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81E" w14:textId="31BF67D1" w:rsidR="00DA410F" w:rsidRPr="00370A7F" w:rsidRDefault="00DA410F" w:rsidP="00370A7F">
      <w:pPr>
        <w:spacing w:before="240" w:after="240"/>
        <w:jc w:val="center"/>
        <w:rPr>
          <w:b/>
          <w:bCs/>
          <w:noProof/>
          <w:sz w:val="28"/>
          <w:szCs w:val="28"/>
        </w:rPr>
      </w:pPr>
      <w:r>
        <w:rPr>
          <w:b/>
          <w:sz w:val="28"/>
        </w:rPr>
        <w:t>Dikjarazzjoni fuq l-unur dwar</w:t>
      </w:r>
      <w:r>
        <w:t xml:space="preserve"> </w:t>
      </w:r>
      <w:r>
        <w:br/>
      </w:r>
      <w:r>
        <w:rPr>
          <w:b/>
          <w:sz w:val="28"/>
        </w:rPr>
        <w:t>il-kriterji tal-esklużjoni u dawk tal-għażla</w:t>
      </w:r>
    </w:p>
    <w:p w14:paraId="1A26E185" w14:textId="206E0B8A" w:rsidR="00702372" w:rsidRPr="00370A7F" w:rsidRDefault="00702372" w:rsidP="00370A7F">
      <w:pPr>
        <w:spacing w:before="100" w:beforeAutospacing="1" w:after="100" w:afterAutospacing="1"/>
        <w:jc w:val="both"/>
        <w:rPr>
          <w:b/>
          <w:bCs/>
        </w:rPr>
      </w:pPr>
      <w:r>
        <w:rPr>
          <w:b/>
        </w:rPr>
        <w:t>Numru ta’ referenza tal-proċedura:</w:t>
      </w:r>
    </w:p>
    <w:p w14:paraId="60A66E87" w14:textId="242ECE30" w:rsidR="00702372" w:rsidRPr="00370A7F" w:rsidRDefault="00702372" w:rsidP="7F6CA770">
      <w:pPr>
        <w:spacing w:before="100" w:beforeAutospacing="1" w:after="100" w:afterAutospacing="1"/>
        <w:jc w:val="both"/>
        <w:rPr>
          <w:b/>
          <w:bCs/>
        </w:rPr>
      </w:pPr>
      <w:r>
        <w:rPr>
          <w:b/>
        </w:rPr>
        <w:t>Titlu tal-proċedura:</w:t>
      </w:r>
    </w:p>
    <w:p w14:paraId="03B168D8" w14:textId="3C04CAF4" w:rsidR="00702372" w:rsidRDefault="00702372" w:rsidP="7F6CA770">
      <w:pPr>
        <w:spacing w:beforeAutospacing="1" w:afterAutospacing="1"/>
        <w:jc w:val="both"/>
        <w:rPr>
          <w:i/>
          <w:iCs/>
          <w:noProof/>
          <w:highlight w:val="lightGray"/>
        </w:rPr>
      </w:pPr>
      <w:r>
        <w:rPr>
          <w:i/>
          <w:highlight w:val="lightGray"/>
        </w:rPr>
        <w:t>[Opzjoni 1 għal persuni ġuridiċi]</w:t>
      </w:r>
    </w:p>
    <w:p w14:paraId="11F056D1" w14:textId="45B7275C" w:rsidR="00DA410F" w:rsidRDefault="00DA410F" w:rsidP="7F6CA770">
      <w:pPr>
        <w:jc w:val="both"/>
        <w:rPr>
          <w:noProof/>
        </w:rPr>
      </w:pPr>
      <w:r>
        <w:t>Is-sottoskritt [</w:t>
      </w:r>
      <w:r>
        <w:rPr>
          <w:i/>
          <w:highlight w:val="lightGray"/>
        </w:rPr>
        <w:t>daħħal l-isem u l-kunjom tal-firmatarju ta’ din il-formola</w:t>
      </w:r>
      <w:r>
        <w:t>], li jirrappreżenta lill-persuna ġuridika li ġejja:</w:t>
      </w:r>
    </w:p>
    <w:p w14:paraId="629278CB" w14:textId="77777777" w:rsidR="7F6CA770" w:rsidRDefault="7F6CA770"/>
    <w:p w14:paraId="556E93A3" w14:textId="7FA43BB3" w:rsidR="00D17C08" w:rsidRDefault="00D17C08" w:rsidP="7F6CA770">
      <w:pPr>
        <w:rPr>
          <w:b/>
          <w:bCs/>
        </w:rPr>
      </w:pPr>
      <w:r>
        <w:t>Isem uffiċjali sħiħ:</w:t>
      </w:r>
    </w:p>
    <w:p w14:paraId="60A1F64A" w14:textId="32A8BCF0" w:rsidR="00D17C08" w:rsidRDefault="00D17C08">
      <w:r>
        <w:t>Il-forma legali uffiċjali</w:t>
      </w:r>
    </w:p>
    <w:p w14:paraId="775FC49B" w14:textId="77777777" w:rsidR="00D17C08" w:rsidRDefault="00D17C08" w:rsidP="7F6CA770">
      <w:pPr>
        <w:rPr>
          <w:b/>
          <w:bCs/>
        </w:rPr>
      </w:pPr>
      <w:r>
        <w:t>Numru ta’ reġistrazzjoni statutorju</w:t>
      </w:r>
      <w:r>
        <w:rPr>
          <w:b/>
        </w:rPr>
        <w:t xml:space="preserve">: </w:t>
      </w:r>
    </w:p>
    <w:p w14:paraId="3AE2909A" w14:textId="77777777" w:rsidR="00D17C08" w:rsidRDefault="00D17C08" w:rsidP="7F6CA770">
      <w:pPr>
        <w:rPr>
          <w:b/>
          <w:bCs/>
        </w:rPr>
      </w:pPr>
      <w:r>
        <w:t xml:space="preserve">Indirizz uffiċjali sħiħ: </w:t>
      </w:r>
    </w:p>
    <w:p w14:paraId="69884DE8" w14:textId="77777777" w:rsidR="00D17C08" w:rsidRDefault="00D17C08">
      <w:r>
        <w:t xml:space="preserve">Numru ta’ reġistrazzjoni tal-VAT: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t>Imsemmija hawn taħt bħala “</w:t>
      </w:r>
      <w:r>
        <w:rPr>
          <w:b/>
        </w:rPr>
        <w:t>il-persuna</w:t>
      </w:r>
      <w:r>
        <w:t>”</w:t>
      </w:r>
    </w:p>
    <w:p w14:paraId="5C0838DC" w14:textId="77777777" w:rsidR="7F6CA770" w:rsidRDefault="7F6CA770" w:rsidP="7F6CA770">
      <w:pPr>
        <w:jc w:val="both"/>
        <w:rPr>
          <w:noProof/>
        </w:rPr>
      </w:pPr>
    </w:p>
    <w:p w14:paraId="060675A2" w14:textId="7D09EDF1" w:rsidR="00D17C08" w:rsidRDefault="00D17C08" w:rsidP="7F6CA770">
      <w:pPr>
        <w:spacing w:beforeAutospacing="1" w:afterAutospacing="1"/>
        <w:jc w:val="both"/>
        <w:rPr>
          <w:i/>
          <w:iCs/>
          <w:noProof/>
          <w:highlight w:val="lightGray"/>
        </w:rPr>
      </w:pPr>
      <w:r>
        <w:rPr>
          <w:i/>
          <w:highlight w:val="lightGray"/>
        </w:rPr>
        <w:t>[Opzjoni 2 għal persuni fiżiċi]</w:t>
      </w:r>
    </w:p>
    <w:p w14:paraId="63C4093D" w14:textId="66FB4351" w:rsidR="00D17C08" w:rsidRDefault="00D17C08" w:rsidP="7F6CA770">
      <w:pPr>
        <w:jc w:val="both"/>
        <w:rPr>
          <w:noProof/>
        </w:rPr>
      </w:pPr>
      <w:r>
        <w:t>Is-sottoskritt [</w:t>
      </w:r>
      <w:r>
        <w:rPr>
          <w:i/>
          <w:highlight w:val="lightGray"/>
        </w:rPr>
        <w:t>daħħal l-isem u l-kunjom tal-firmatarju ta’ din il-formola</w:t>
      </w:r>
      <w:r>
        <w:t>], bin-numru tal-ID jew tal-passaport [</w:t>
      </w:r>
      <w:r>
        <w:rPr>
          <w:i/>
          <w:highlight w:val="lightGray"/>
        </w:rPr>
        <w:t>daħħal in-numru</w:t>
      </w:r>
      <w:r>
        <w:t>], li jirrappreżenta lilu jew lilha:</w:t>
      </w:r>
    </w:p>
    <w:p w14:paraId="2AA7D8F1" w14:textId="77777777" w:rsidR="7F6CA770" w:rsidRDefault="7F6CA770" w:rsidP="7F6CA770">
      <w:pPr>
        <w:jc w:val="both"/>
        <w:rPr>
          <w:noProof/>
        </w:rPr>
      </w:pPr>
    </w:p>
    <w:p w14:paraId="5C2865AF" w14:textId="77777777" w:rsidR="005F261A" w:rsidRDefault="005F261A" w:rsidP="7F6CA770">
      <w:pPr>
        <w:jc w:val="both"/>
        <w:rPr>
          <w:b/>
          <w:bCs/>
          <w:noProof/>
        </w:rPr>
      </w:pPr>
      <w:r>
        <w:t>Imsemmija hawn taħt bħala “</w:t>
      </w:r>
      <w:r>
        <w:rPr>
          <w:b/>
        </w:rPr>
        <w:t>il-persuna</w:t>
      </w:r>
      <w:r>
        <w:t>”</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t>Dikjarazzjoni fuq l-Unur fuq il-kriterji ta’ esklużjoni</w:t>
      </w:r>
    </w:p>
    <w:p w14:paraId="67F47E4E" w14:textId="637AF68D" w:rsidR="00B74CFF" w:rsidRDefault="007F3628" w:rsidP="00370A7F">
      <w:pPr>
        <w:spacing w:before="100" w:beforeAutospacing="1" w:after="100" w:afterAutospacing="1"/>
        <w:jc w:val="both"/>
      </w:pPr>
      <w:r>
        <w:t>Il-persuna mhijiex obbligata timla din il-Parti A tad-dikjarazzjoni (</w:t>
      </w:r>
      <w:r>
        <w:tab/>
        <w:t>Dikjarazzjoni fuq l-Unur dwar il-kriterji ta’ esklużjoni) jekk l-istess dikjarazzjoni diġà tkun ġiet ippreżentata għall-finijiet ta’ proċedura ta’ aġġudikazzjoni oħra mill-istess awtorità kontraenti</w:t>
      </w:r>
      <w:r>
        <w:rPr>
          <w:rStyle w:val="FootnoteReference"/>
        </w:rPr>
        <w:footnoteReference w:id="2"/>
      </w:r>
      <w:r>
        <w:t>, dment li s-sitwazzjoni ma tkunx inbidlet, u li ż-żmien li jkun għadda mid-data tal-ħruġ tad-dikjarazzjoni ma jkun jeċċedi sena.</w:t>
      </w:r>
    </w:p>
    <w:p w14:paraId="64B20EEE" w14:textId="78AEE0D7" w:rsidR="00AE5C0E" w:rsidRDefault="00AE5C0E" w:rsidP="00370A7F">
      <w:pPr>
        <w:spacing w:before="100" w:beforeAutospacing="1" w:after="100" w:afterAutospacing="1"/>
        <w:jc w:val="both"/>
      </w:pPr>
      <w:r>
        <w:t xml:space="preserve">F’dan il-każ, il-firmatarju jiddikjara li l-persuna tkun diġà tat l-istess dikjarazzjoni dwar il-kriterji tal-esklużjoni għal proċedura preċedenti u jikkonferma li s-sitwazzjoni tagħha ma nbidlitx: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Pr>
                <w:b/>
                <w:sz w:val="22"/>
              </w:rPr>
              <w:t>Data tad-dikjarazzjoni</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Pr>
                <w:b/>
                <w:sz w:val="22"/>
              </w:rPr>
              <w:t>Referenza sħiħa għall-proċedura preċedenti</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43FF3A56" w14:textId="77777777" w:rsidR="00B74CFF" w:rsidRDefault="00B74CFF" w:rsidP="0024225B">
      <w:pPr>
        <w:pStyle w:val="Title"/>
        <w:rPr>
          <w:noProof/>
        </w:rPr>
      </w:pPr>
    </w:p>
    <w:p w14:paraId="16F4482F" w14:textId="3F7D4650" w:rsidR="00897553" w:rsidRDefault="00897553" w:rsidP="0024225B">
      <w:pPr>
        <w:pStyle w:val="Title"/>
        <w:rPr>
          <w:noProof/>
        </w:rPr>
      </w:pPr>
      <w:r>
        <w:t>I – Sitwazzjonijiet ta’ esklużjoni li jikkonċernaw il-persuna</w:t>
      </w:r>
    </w:p>
    <w:p w14:paraId="368816DB" w14:textId="1E6A9513" w:rsidR="00CD4DDC" w:rsidRPr="00897E28" w:rsidRDefault="00CD4A13" w:rsidP="7F6CA770">
      <w:pPr>
        <w:spacing w:before="120" w:after="120"/>
        <w:ind w:firstLine="1"/>
        <w:jc w:val="both"/>
        <w:rPr>
          <w:b/>
          <w:bCs/>
          <w:i/>
          <w:iCs/>
          <w:noProof/>
        </w:rPr>
      </w:pPr>
      <w:r>
        <w:rPr>
          <w:b/>
          <w:i/>
        </w:rPr>
        <w:lastRenderedPageBreak/>
        <w:t>(għandha timtela mill-entitajiet kollha involuti</w:t>
      </w:r>
      <w:r>
        <w:rPr>
          <w:rStyle w:val="FootnoteReference"/>
          <w:b/>
          <w:bCs/>
          <w:i/>
          <w:iCs/>
          <w:noProof/>
        </w:rPr>
        <w:footnoteReference w:id="3"/>
      </w:r>
      <w:r>
        <w:rPr>
          <w:b/>
          <w:i/>
        </w:rPr>
        <w:t>)</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705C8B79" w:rsidR="00F7691A" w:rsidRDefault="000307EB" w:rsidP="000307EB">
            <w:pPr>
              <w:numPr>
                <w:ilvl w:val="0"/>
                <w:numId w:val="17"/>
              </w:numPr>
              <w:spacing w:before="40" w:after="40"/>
              <w:jc w:val="both"/>
              <w:rPr>
                <w:noProof/>
              </w:rPr>
            </w:pPr>
            <w:r>
              <w:t xml:space="preserve"> dikjarazzjoni</w:t>
            </w:r>
            <w:r w:rsidR="00F7691A">
              <w:t xml:space="preserve"> li l-persuna hija f’waħda mis-sitwazzjonijiet li ġejjin:</w:t>
            </w:r>
          </w:p>
        </w:tc>
        <w:tc>
          <w:tcPr>
            <w:tcW w:w="812" w:type="dxa"/>
            <w:shd w:val="clear" w:color="auto" w:fill="auto"/>
          </w:tcPr>
          <w:p w14:paraId="16F44831" w14:textId="77777777" w:rsidR="00F7691A" w:rsidRDefault="00F7691A" w:rsidP="006B0A89">
            <w:pPr>
              <w:spacing w:before="40" w:after="40"/>
              <w:ind w:left="142"/>
              <w:jc w:val="center"/>
              <w:rPr>
                <w:noProof/>
              </w:rPr>
            </w:pPr>
            <w:r>
              <w:t>IVA</w:t>
            </w:r>
          </w:p>
        </w:tc>
        <w:tc>
          <w:tcPr>
            <w:tcW w:w="705" w:type="dxa"/>
            <w:shd w:val="clear" w:color="auto" w:fill="auto"/>
          </w:tcPr>
          <w:p w14:paraId="16F44832" w14:textId="77777777" w:rsidR="00F7691A" w:rsidRDefault="00F7691A" w:rsidP="006B0A89">
            <w:pPr>
              <w:spacing w:before="40" w:after="40"/>
              <w:ind w:left="142"/>
              <w:jc w:val="center"/>
              <w:rPr>
                <w:noProof/>
              </w:rPr>
            </w:pPr>
            <w:r>
              <w:t>LE</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t>qiegħda fi stat ta’ falliment, soġġetta għal proċeduri ta’ insolvenza jew ta’ stralċ, l-assi tagħha qed jiġu amministrati minn likwidatur jew minn qorti, tinsab f’arranġament mal-kredituri, l-attivitajiet ta’ negozju tagħha huma sospiżi, jew tinsab f’xi sitwazzjoni analoga li tirriżulta minn proċedura simili prevista fid-dritt tal-Unjoni jew dak nazzjonali;</w:t>
            </w:r>
          </w:p>
        </w:tc>
        <w:tc>
          <w:tcPr>
            <w:tcW w:w="812" w:type="dxa"/>
            <w:shd w:val="clear" w:color="auto" w:fill="auto"/>
          </w:tcPr>
          <w:p w14:paraId="16F44835" w14:textId="77777777" w:rsidR="00E33977" w:rsidRDefault="00E33977"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36"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E33977" w14:paraId="16F4483B" w14:textId="77777777" w:rsidTr="740E3E08">
        <w:tc>
          <w:tcPr>
            <w:tcW w:w="8238" w:type="dxa"/>
            <w:shd w:val="clear" w:color="auto" w:fill="auto"/>
          </w:tcPr>
          <w:p w14:paraId="16F44838" w14:textId="79E75E12" w:rsidR="00E33977" w:rsidRDefault="000307EB" w:rsidP="004729C1">
            <w:pPr>
              <w:pStyle w:val="Text1"/>
              <w:numPr>
                <w:ilvl w:val="0"/>
                <w:numId w:val="15"/>
              </w:numPr>
              <w:spacing w:before="40" w:after="40"/>
              <w:rPr>
                <w:noProof/>
              </w:rPr>
            </w:pPr>
            <w:r>
              <w:t xml:space="preserve">ikun </w:t>
            </w:r>
            <w:r w:rsidR="00E33977">
              <w:t>ġie stabbilit b’sentenza finali jew b’deċiżjoni amministrattiva finali li l-persuna qed tikser l-obbligi tagħha relatati mal-pagament tat-taxxi jew mal-kontribuzzjonijiet tas-sigurtà soċjali f’konformità mal-liġi applikabbli;</w:t>
            </w:r>
          </w:p>
        </w:tc>
        <w:tc>
          <w:tcPr>
            <w:tcW w:w="812" w:type="dxa"/>
            <w:shd w:val="clear" w:color="auto" w:fill="auto"/>
          </w:tcPr>
          <w:p w14:paraId="16F44839"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bookmarkStart w:id="0" w:name="Check1"/>
            <w:r>
              <w:instrText xml:space="preserve"> FORMCHECKBOX </w:instrText>
            </w:r>
            <w:r w:rsidR="00431519">
              <w:fldChar w:fldCharType="separate"/>
            </w:r>
            <w: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7D7A5F" w14:paraId="16F4483E" w14:textId="77777777" w:rsidTr="00370A7F">
        <w:tc>
          <w:tcPr>
            <w:tcW w:w="8238" w:type="dxa"/>
            <w:shd w:val="clear" w:color="auto" w:fill="auto"/>
          </w:tcPr>
          <w:p w14:paraId="16F4483C" w14:textId="028EB142" w:rsidR="007D7A5F" w:rsidRDefault="000307EB" w:rsidP="000307EB">
            <w:pPr>
              <w:pStyle w:val="Text1"/>
              <w:numPr>
                <w:ilvl w:val="0"/>
                <w:numId w:val="15"/>
              </w:numPr>
              <w:spacing w:before="40" w:after="40"/>
              <w:rPr>
                <w:noProof/>
              </w:rPr>
            </w:pPr>
            <w:r>
              <w:t xml:space="preserve">ikun </w:t>
            </w:r>
            <w:r w:rsidR="007D7A5F">
              <w:t>ġie stabbilit permezz ta’ sentenza finali jew deċiżjoni amministrattiva finali li l-persuna hija ħatja ta’ mġiba professjonali ħażina ħafna billi tkun kisret il-liġijiet jew ir-regolamenti jew l-istandards etiċi applikabbli tal-professjoni li tappartjeni għaliha l-persuna, jew billi tkun involuta fi kwalunkwe aġir illegali li għandu impatt fuq il-kredibbiltà professjonali tagħha, fejn dan it-tip ta’ aġir jindika intenzjoni ħażina jew negliġenza serja, inkluż, b’mod partikolari, kwalunkwe aġir minn dawn li ġejjin:</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145DA003" w:rsidR="00E33977" w:rsidRDefault="00E33977" w:rsidP="002737A5">
            <w:pPr>
              <w:pStyle w:val="Text1"/>
              <w:spacing w:before="40" w:after="40"/>
              <w:ind w:left="709"/>
              <w:rPr>
                <w:noProof/>
              </w:rPr>
            </w:pPr>
            <w:bookmarkStart w:id="1" w:name="_DV_C368"/>
            <w:r>
              <w:rPr>
                <w:color w:val="000000"/>
              </w:rPr>
              <w:t xml:space="preserve">(i) </w:t>
            </w:r>
            <w:r w:rsidR="00A54548">
              <w:rPr>
                <w:color w:val="000000"/>
              </w:rPr>
              <w:t>ir-</w:t>
            </w:r>
            <w:r>
              <w:rPr>
                <w:color w:val="000000"/>
              </w:rPr>
              <w:t>rappreżentazzjoni qarrieqa b’mod frawdolenti jew b’negliġenza ta’ informazzjoni meħtieġa għall-verifika tan-nuqqas ta’ raġunijiet għall-esklużjoni jew għall-issodisfar tal-kriterji tal-eliġibbiltà jew tal-għażla jew għall-eżekuzzjoni ta’ kuntratt jew ftehim;</w:t>
            </w:r>
            <w:bookmarkEnd w:id="1"/>
          </w:p>
        </w:tc>
        <w:tc>
          <w:tcPr>
            <w:tcW w:w="812" w:type="dxa"/>
            <w:shd w:val="clear" w:color="auto" w:fill="auto"/>
          </w:tcPr>
          <w:p w14:paraId="16F44840"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41"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Pr>
                <w:color w:val="000000"/>
              </w:rPr>
              <w:t>(ii) id-dħul fi ftehim ma’ persuni jew ma’ entitajiet oħrajn bl-għan li tiġi kkawżata distorsjoni tal-kompetizzjoni;</w:t>
            </w:r>
            <w:bookmarkEnd w:id="2"/>
          </w:p>
        </w:tc>
        <w:tc>
          <w:tcPr>
            <w:tcW w:w="812" w:type="dxa"/>
            <w:shd w:val="clear" w:color="auto" w:fill="auto"/>
          </w:tcPr>
          <w:p w14:paraId="16F4484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45"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Pr>
                <w:color w:val="000000"/>
              </w:rPr>
              <w:t>(iii) il-ksur tad-drittijiet tal-proprjetà intellettwali;</w:t>
            </w:r>
            <w:bookmarkEnd w:id="3"/>
          </w:p>
        </w:tc>
        <w:tc>
          <w:tcPr>
            <w:tcW w:w="812" w:type="dxa"/>
            <w:shd w:val="clear" w:color="auto" w:fill="auto"/>
          </w:tcPr>
          <w:p w14:paraId="16F4484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49"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4" w:name="_DV_C372"/>
            <w:r>
              <w:rPr>
                <w:color w:val="000000"/>
              </w:rPr>
              <w:t>(iv) it-tentattiv li jiġi influwenzat il-proċess tat-teħid ta’ deċiżjonijiet tal-awtorità kontraenti matul il-proċedura ta’aġġudikazzjoni;</w:t>
            </w:r>
            <w:bookmarkEnd w:id="4"/>
          </w:p>
        </w:tc>
        <w:tc>
          <w:tcPr>
            <w:tcW w:w="812" w:type="dxa"/>
            <w:shd w:val="clear" w:color="auto" w:fill="auto"/>
          </w:tcPr>
          <w:p w14:paraId="16F4484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4D"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t>(v) it-tentattiv li tinkiseb informazzjoni kunfidenzjali li tista’ tagħtih vantaġġi mhux xierqa fil-proċedura tal-aġġudikazzjoni</w:t>
            </w:r>
            <w:bookmarkEnd w:id="5"/>
            <w:r>
              <w:t>;</w:t>
            </w:r>
            <w:r>
              <w:rPr>
                <w:b/>
                <w:i/>
                <w:color w:val="000000"/>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51"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7D7A5F" w14:paraId="16F44855" w14:textId="77777777" w:rsidTr="00370A7F">
        <w:tc>
          <w:tcPr>
            <w:tcW w:w="8238" w:type="dxa"/>
            <w:shd w:val="clear" w:color="auto" w:fill="auto"/>
          </w:tcPr>
          <w:p w14:paraId="16F44853" w14:textId="0A4940F7" w:rsidR="007D7A5F" w:rsidRPr="00583379" w:rsidRDefault="000307EB" w:rsidP="000307EB">
            <w:pPr>
              <w:pStyle w:val="Text1"/>
              <w:numPr>
                <w:ilvl w:val="0"/>
                <w:numId w:val="15"/>
              </w:numPr>
              <w:spacing w:before="40" w:after="40"/>
              <w:ind w:left="357" w:hanging="357"/>
              <w:rPr>
                <w:color w:val="000000"/>
              </w:rPr>
            </w:pPr>
            <w:r>
              <w:t xml:space="preserve">ikun </w:t>
            </w:r>
            <w:r w:rsidR="007D7A5F">
              <w:t>ġie stabbilit permezz ta’ sentenza finali li l-persuna tkun ħatja ta’ kwalunkwe reat minn dawn li ġejjin:</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t>(i) frodi, skont it-tifsira tal-Artikolu 3 tad-Direttiva (UE) 2017/1371 u l-Artikolu 1 tal-Konvenzjoni dwar il-protezzjoni tal-interessi finanzjarji tal-Komunitajiet Ewropej, imfassla mill-Att tal-Kunsill tas-26 ta’ Lulju 1995</w:t>
            </w:r>
            <w:bookmarkStart w:id="6" w:name="_DV_C378"/>
            <w:r>
              <w:t>;</w:t>
            </w:r>
            <w:bookmarkEnd w:id="6"/>
          </w:p>
        </w:tc>
        <w:tc>
          <w:tcPr>
            <w:tcW w:w="812" w:type="dxa"/>
            <w:shd w:val="clear" w:color="auto" w:fill="auto"/>
          </w:tcPr>
          <w:p w14:paraId="16F44857"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5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t>(ii) korruzzjoni, kif definita fl-Artikolu 4(2) tad-Direttiva (UE) 2017/1371 jew korruzzjoni attiva fis-sens tal-Artikolu 3 tal-Konvenzjoni dwar il-ġlieda kontra l-korruzzjoni li tinvolvi uffiċjali tal-Komunitajiet Ewropej jew uffiċjali tal-Istati Membri</w:t>
            </w:r>
            <w:bookmarkStart w:id="8" w:name="_DV_C381"/>
            <w:bookmarkEnd w:id="7"/>
            <w:r>
              <w:t xml:space="preserve"> tal-Unjoni Ewropea, imfassla mill-Att tal-Kunsill tas-26 ta’ Mejju 1997, jew imġiba msemmija fl-Artikolu 2(1) tad-Deċiżjoni </w:t>
            </w:r>
            <w:r>
              <w:lastRenderedPageBreak/>
              <w:t>Qafas tal-Kunsill 2003/568/JHA</w:t>
            </w:r>
            <w:bookmarkStart w:id="9" w:name="_DV_C383"/>
            <w:bookmarkEnd w:id="8"/>
            <w:r>
              <w:t>, jew korruzzjoni kif definita fil-liġijiet applikabbli l-oħrajn;</w:t>
            </w:r>
            <w:bookmarkEnd w:id="9"/>
          </w:p>
        </w:tc>
        <w:tc>
          <w:tcPr>
            <w:tcW w:w="812" w:type="dxa"/>
            <w:shd w:val="clear" w:color="auto" w:fill="auto"/>
          </w:tcPr>
          <w:p w14:paraId="16F4485B" w14:textId="77777777" w:rsidR="00C475D8" w:rsidRDefault="00C475D8" w:rsidP="006B0A89">
            <w:pPr>
              <w:spacing w:before="240" w:after="120"/>
              <w:jc w:val="center"/>
              <w:rPr>
                <w:noProof/>
              </w:rPr>
            </w:pPr>
            <w:r>
              <w:lastRenderedPageBreak/>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5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t>(iii)</w:t>
            </w:r>
            <w:bookmarkStart w:id="11" w:name="_DV_M250"/>
            <w:bookmarkEnd w:id="10"/>
            <w:bookmarkEnd w:id="11"/>
            <w:r>
              <w:t xml:space="preserve"> imġiba marbuta ma’ organizzazzjoni kriminali, </w:t>
            </w:r>
            <w:bookmarkStart w:id="12" w:name="_DV_C385"/>
            <w:r>
              <w:t>kif imsemmi fl-Artikolu 2 tad-Deċiżjoni Kwadru tal-Kunsill 2008/841/ĠAI</w:t>
            </w:r>
            <w:bookmarkStart w:id="13" w:name="_DV_C387"/>
            <w:bookmarkEnd w:id="12"/>
            <w:r>
              <w:t>;</w:t>
            </w:r>
            <w:bookmarkEnd w:id="13"/>
          </w:p>
        </w:tc>
        <w:tc>
          <w:tcPr>
            <w:tcW w:w="812" w:type="dxa"/>
            <w:shd w:val="clear" w:color="auto" w:fill="auto"/>
          </w:tcPr>
          <w:p w14:paraId="16F4485F"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6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t>(iv)</w:t>
            </w:r>
            <w:bookmarkStart w:id="14" w:name="_DV_M251"/>
            <w:bookmarkEnd w:id="14"/>
            <w:r>
              <w:t xml:space="preserve"> ħasil tal-flus</w:t>
            </w:r>
            <w:bookmarkStart w:id="15" w:name="_DV_C391"/>
            <w:r>
              <w:t xml:space="preserve"> jew</w:t>
            </w:r>
            <w:bookmarkStart w:id="16" w:name="_DV_M252"/>
            <w:bookmarkEnd w:id="15"/>
            <w:bookmarkEnd w:id="16"/>
            <w:r>
              <w:t xml:space="preserve"> finanzjament tat-terroriżmu </w:t>
            </w:r>
            <w:bookmarkStart w:id="17" w:name="_DV_C392"/>
            <w:r>
              <w:t>skont it-tifsira tal-Artikolu 1(3), (4) u (5) tad-Direttiva (UE) 2015/849 tal-Parlament Ewropew u tal-Kunsill</w:t>
            </w:r>
            <w:bookmarkStart w:id="18" w:name="_DV_C394"/>
            <w:bookmarkEnd w:id="17"/>
            <w:r>
              <w:t>;</w:t>
            </w:r>
            <w:bookmarkEnd w:id="18"/>
          </w:p>
        </w:tc>
        <w:tc>
          <w:tcPr>
            <w:tcW w:w="812" w:type="dxa"/>
            <w:shd w:val="clear" w:color="auto" w:fill="auto"/>
          </w:tcPr>
          <w:p w14:paraId="16F44863"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6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t xml:space="preserve">(v) </w:t>
            </w:r>
            <w:bookmarkStart w:id="20" w:name="_DV_M253"/>
            <w:bookmarkEnd w:id="19"/>
            <w:bookmarkEnd w:id="20"/>
            <w:r>
              <w:t>reati ta’ terroriżmu</w:t>
            </w:r>
            <w:bookmarkStart w:id="21" w:name="_DV_C397"/>
            <w:r>
              <w:t xml:space="preserve"> jew reati marbuta ma’ attivitajiet terroristiċi kif ukoll inċitament, għajnuna, tixwix jew tentattivi għat-twettiq ta’ tali reati kif definiti fl-Artikoli 3, 14 u fit-Titolu III tad-Direttiva (UE) 2017/541 tal-Parlament Ewropew u tal-Kunsill tal-15 ta’ Marzu 2017 dwar il-ġlieda kontra t-terroriżmu</w:t>
            </w:r>
            <w:bookmarkStart w:id="22" w:name="_DV_C399"/>
            <w:bookmarkEnd w:id="21"/>
            <w:r>
              <w:t>;</w:t>
            </w:r>
            <w:bookmarkEnd w:id="22"/>
          </w:p>
        </w:tc>
        <w:tc>
          <w:tcPr>
            <w:tcW w:w="812" w:type="dxa"/>
            <w:shd w:val="clear" w:color="auto" w:fill="auto"/>
          </w:tcPr>
          <w:p w14:paraId="16F44867"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6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t>(vi)</w:t>
            </w:r>
            <w:bookmarkStart w:id="24" w:name="_DV_M254"/>
            <w:bookmarkEnd w:id="23"/>
            <w:bookmarkEnd w:id="24"/>
            <w:r>
              <w:t xml:space="preserve"> tħaddim tat-tfal jew reati oħra li jikkonċernaw it-traffikar ta’ bnedmin </w:t>
            </w:r>
            <w:bookmarkStart w:id="25" w:name="_DV_C402"/>
            <w:r>
              <w:t>kif imsemmi fl-Artikolu 2 tad-Direttiva 2011/36/UE tal-Parlament Ewropew u tal-Kunsill</w:t>
            </w:r>
            <w:bookmarkStart w:id="26" w:name="_DV_C404"/>
            <w:bookmarkEnd w:id="25"/>
            <w:r>
              <w:t>;</w:t>
            </w:r>
            <w:bookmarkEnd w:id="26"/>
          </w:p>
        </w:tc>
        <w:tc>
          <w:tcPr>
            <w:tcW w:w="812" w:type="dxa"/>
            <w:shd w:val="clear" w:color="auto" w:fill="auto"/>
          </w:tcPr>
          <w:p w14:paraId="16F4486B"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6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t xml:space="preserve">ikunu ntwerew nuqqasijiet sinifikanti rigward il-konformità mal-obbligi ewlenin fl-eżekuzzjoni ta’ kuntratt jew ftehim ffinanzjati mill-baġit tal-Unjoni, li jkunu wasslu għat-terminazzjoni bikrija tagħhom jew għall-applikazzjoni ta’ danni likwidati jew penali kuntrattwali oħrajn, jew li jkunu ġew skoperti wara kontrolli, awditi jew investigazzjonijiet minn awtorità kontraenti, mill-Uffiċċju Ewropew għall-Ġlieda kontra l-Frodi (OLAF) jew mill-Qorti tal-Awdituri; </w:t>
            </w:r>
          </w:p>
        </w:tc>
        <w:tc>
          <w:tcPr>
            <w:tcW w:w="812" w:type="dxa"/>
            <w:shd w:val="clear" w:color="auto" w:fill="auto"/>
          </w:tcPr>
          <w:p w14:paraId="16F4486F"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7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t>ikun ġie stabbilit permezz ta’ sentenza finali jew deċiżjoni amministrattiva finali li l-persuna tkun wettqet irregolarità skont it-tifsira tal-Artikolu 1(2) tar-Regolament tal-Kunsill (KE, Euratom) Nru 2988/95</w:t>
            </w:r>
            <w:bookmarkEnd w:id="27"/>
            <w:r>
              <w:t>;</w:t>
            </w:r>
          </w:p>
        </w:tc>
        <w:tc>
          <w:tcPr>
            <w:tcW w:w="812" w:type="dxa"/>
            <w:shd w:val="clear" w:color="auto" w:fill="auto"/>
          </w:tcPr>
          <w:p w14:paraId="16F44873"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7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Pr>
                <w:color w:val="000000"/>
              </w:rPr>
              <w:t>ikun ġie stabbilit permezz ta’ sentenza finali jew deċiżjoni amministrattiva finali li l-persuna ħolqot entità f’ġurisdizzjoni differenti bil-ħsieb li jiġu evitati obbligazzjonijiet fiskali, soċjali jew kwalunkwe obbligazzjoni legali oħra fil-ġurisdizzjoni tal-uffiċċju rreġistrat, tal-amministrazzjoni ċentrali jew tas-sede prinċipali tagħha.</w:t>
            </w:r>
          </w:p>
        </w:tc>
        <w:tc>
          <w:tcPr>
            <w:tcW w:w="812" w:type="dxa"/>
            <w:shd w:val="clear" w:color="auto" w:fill="auto"/>
          </w:tcPr>
          <w:p w14:paraId="323E098E" w14:textId="5CC3DF43"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10148AE" w14:textId="71C1DB1B"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t>(</w:t>
            </w:r>
            <w:r>
              <w:rPr>
                <w:i/>
                <w:iCs/>
              </w:rPr>
              <w:t>għall-persuni ġuridiċi biss</w:t>
            </w:r>
            <w:r>
              <w:t>) ikun ġie stabbilit permezz ta’ sentenza finali jew deċiżjoni amministrattiva finali li l-persuna tkun inħolqot bl-intenzjoni prevista fil-punt (g).</w:t>
            </w:r>
          </w:p>
        </w:tc>
        <w:tc>
          <w:tcPr>
            <w:tcW w:w="812" w:type="dxa"/>
            <w:shd w:val="clear" w:color="auto" w:fill="auto"/>
          </w:tcPr>
          <w:p w14:paraId="415689BC" w14:textId="4F1B388E"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2FEEC824" w14:textId="6945CFDF"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977B4E" w14:paraId="1A385EC2" w14:textId="77777777" w:rsidTr="740E3E08">
        <w:tc>
          <w:tcPr>
            <w:tcW w:w="8238" w:type="dxa"/>
            <w:shd w:val="clear" w:color="auto" w:fill="auto"/>
          </w:tcPr>
          <w:p w14:paraId="3087E785" w14:textId="20A7DF66" w:rsidR="00977B4E" w:rsidRPr="0024350A" w:rsidRDefault="000307EB" w:rsidP="00295BCF">
            <w:pPr>
              <w:numPr>
                <w:ilvl w:val="0"/>
                <w:numId w:val="17"/>
              </w:numPr>
              <w:spacing w:before="40" w:after="40"/>
              <w:jc w:val="both"/>
              <w:rPr>
                <w:noProof/>
              </w:rPr>
            </w:pPr>
            <w:r>
              <w:t xml:space="preserve">dikjarazzjoni </w:t>
            </w:r>
            <w:r w:rsidR="00977B4E">
              <w:t>li, għas-sitwazzjonijiet imsemmija fil-punti (1) (c) sa (1) (h) hawn fuq, fin-nuqqas ta’ sentenza finali jew deċiżjoni amministrattiva finali, il-persuna hija</w:t>
            </w:r>
            <w:r w:rsidR="00977B4E">
              <w:rPr>
                <w:rStyle w:val="FootnoteReference"/>
                <w:noProof/>
              </w:rPr>
              <w:footnoteReference w:id="4"/>
            </w:r>
            <w:r w:rsidR="00977B4E">
              <w:t>:</w:t>
            </w:r>
          </w:p>
        </w:tc>
        <w:tc>
          <w:tcPr>
            <w:tcW w:w="812" w:type="dxa"/>
            <w:shd w:val="clear" w:color="auto" w:fill="auto"/>
          </w:tcPr>
          <w:p w14:paraId="68C9A1B2" w14:textId="46B95573" w:rsidR="00977B4E" w:rsidRDefault="00977B4E" w:rsidP="006B0A89">
            <w:pPr>
              <w:spacing w:before="240" w:after="120"/>
              <w:jc w:val="center"/>
              <w:rPr>
                <w:noProof/>
              </w:rPr>
            </w:pPr>
            <w:r>
              <w:t>IVA</w:t>
            </w:r>
          </w:p>
        </w:tc>
        <w:tc>
          <w:tcPr>
            <w:tcW w:w="705" w:type="dxa"/>
            <w:shd w:val="clear" w:color="auto" w:fill="auto"/>
          </w:tcPr>
          <w:p w14:paraId="1A4D1557" w14:textId="4113B6AB" w:rsidR="00977B4E" w:rsidRDefault="00977B4E" w:rsidP="006B0A89">
            <w:pPr>
              <w:spacing w:before="240" w:after="120"/>
              <w:jc w:val="center"/>
              <w:rPr>
                <w:noProof/>
              </w:rPr>
            </w:pPr>
            <w:r>
              <w:t>LE</w:t>
            </w:r>
          </w:p>
        </w:tc>
      </w:tr>
      <w:tr w:rsidR="006B67AB" w14:paraId="16F4487E" w14:textId="77777777" w:rsidTr="00370A7F">
        <w:trPr>
          <w:trHeight w:val="1579"/>
        </w:trPr>
        <w:tc>
          <w:tcPr>
            <w:tcW w:w="8238" w:type="dxa"/>
            <w:shd w:val="clear" w:color="auto" w:fill="auto"/>
          </w:tcPr>
          <w:p w14:paraId="16F4487B" w14:textId="31582AD8" w:rsidR="006B67AB" w:rsidRPr="00583379" w:rsidRDefault="006B67AB" w:rsidP="003D2108">
            <w:pPr>
              <w:pStyle w:val="Text1"/>
              <w:numPr>
                <w:ilvl w:val="0"/>
                <w:numId w:val="25"/>
              </w:numPr>
              <w:spacing w:before="40" w:after="40"/>
              <w:ind w:left="709" w:firstLine="0"/>
              <w:rPr>
                <w:color w:val="000000"/>
              </w:rPr>
            </w:pPr>
            <w:r>
              <w:rPr>
                <w:color w:val="000000"/>
              </w:rPr>
              <w:t xml:space="preserve"> suġġett għal fatti stabbiliti fil-kuntest ta’ awditi jew investigazzjonijiet imwettqa mill-Uffiċċju tal-Prosekutur Pubbliku Ewropew, mill-Qorti tal-Awdituri, jew mill-awditur intern, jew kwalunkwe verifika, awditu jew kontroll ieħor li jsiru taħt ir-responsabbiltà ta’ uffiċjal tal-awtorizzazzjoni ta’ istituzzjoni tal-UE, ta’ uffiċċju Ewropew jew ta’ aġenzija jew korp tal-UE;</w:t>
            </w:r>
          </w:p>
        </w:tc>
        <w:tc>
          <w:tcPr>
            <w:tcW w:w="812" w:type="dxa"/>
            <w:shd w:val="clear" w:color="auto" w:fill="auto"/>
          </w:tcPr>
          <w:p w14:paraId="16F4487C" w14:textId="6DD11AEB"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16F4487D" w14:textId="77777777"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6B67AB" w14:paraId="5692311F" w14:textId="77777777" w:rsidTr="740E3E08">
        <w:trPr>
          <w:trHeight w:val="1346"/>
        </w:trPr>
        <w:tc>
          <w:tcPr>
            <w:tcW w:w="8238" w:type="dxa"/>
            <w:shd w:val="clear" w:color="auto" w:fill="auto"/>
          </w:tcPr>
          <w:p w14:paraId="1BBF8C34" w14:textId="77456FE1" w:rsidR="006B67AB" w:rsidRPr="006B67AB" w:rsidDel="00977B4E" w:rsidRDefault="00410AC2" w:rsidP="003D2108">
            <w:pPr>
              <w:pStyle w:val="Text1"/>
              <w:numPr>
                <w:ilvl w:val="0"/>
                <w:numId w:val="25"/>
              </w:numPr>
              <w:spacing w:before="40" w:after="40"/>
              <w:ind w:left="709" w:firstLine="0"/>
              <w:rPr>
                <w:color w:val="000000"/>
              </w:rPr>
            </w:pPr>
            <w:r>
              <w:rPr>
                <w:color w:val="000000"/>
              </w:rPr>
              <w:t xml:space="preserve"> suġġett għal sentenzi mhux finali jew deċiżjonijiet amministrattivi mhux finali li jistgħu jinkludu miżuri dixxiplinari meħudin mill-korp superviżorju kompetenti responsabbli għall-verifika tal-applikazzjoni tal-istandards ta’ etika professjonali;</w:t>
            </w:r>
          </w:p>
        </w:tc>
        <w:tc>
          <w:tcPr>
            <w:tcW w:w="812" w:type="dxa"/>
            <w:shd w:val="clear" w:color="auto" w:fill="auto"/>
          </w:tcPr>
          <w:p w14:paraId="1E7263A9" w14:textId="05F25552"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256609C9" w14:textId="3CBFD2E0"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6B67AB" w14:paraId="074D4EBB" w14:textId="77777777" w:rsidTr="740E3E08">
        <w:trPr>
          <w:trHeight w:val="614"/>
        </w:trPr>
        <w:tc>
          <w:tcPr>
            <w:tcW w:w="8238" w:type="dxa"/>
            <w:shd w:val="clear" w:color="auto" w:fill="auto"/>
          </w:tcPr>
          <w:p w14:paraId="41734894" w14:textId="459EE967" w:rsidR="006B67AB" w:rsidDel="00977B4E" w:rsidRDefault="00410AC2" w:rsidP="003D2108">
            <w:pPr>
              <w:pStyle w:val="Text1"/>
              <w:numPr>
                <w:ilvl w:val="0"/>
                <w:numId w:val="25"/>
              </w:numPr>
              <w:spacing w:before="40" w:after="40"/>
              <w:ind w:left="709" w:firstLine="0"/>
              <w:rPr>
                <w:color w:val="000000"/>
              </w:rPr>
            </w:pPr>
            <w:r>
              <w:rPr>
                <w:color w:val="000000"/>
              </w:rPr>
              <w:lastRenderedPageBreak/>
              <w:t xml:space="preserve"> suġġett għal fatti msemmija fid-deċiżjonijiet tal-entitajiet jew persuni fdati b’kompiti ta’ implimentazzjoni tal-baġit tal-UE;</w:t>
            </w:r>
          </w:p>
        </w:tc>
        <w:tc>
          <w:tcPr>
            <w:tcW w:w="812" w:type="dxa"/>
            <w:shd w:val="clear" w:color="auto" w:fill="auto"/>
          </w:tcPr>
          <w:p w14:paraId="7EB43931" w14:textId="6397F222"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63030E6D" w14:textId="5730E302"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6B67AB" w14:paraId="494260E4" w14:textId="77777777" w:rsidTr="740E3E08">
        <w:trPr>
          <w:trHeight w:val="473"/>
        </w:trPr>
        <w:tc>
          <w:tcPr>
            <w:tcW w:w="8238" w:type="dxa"/>
            <w:shd w:val="clear" w:color="auto" w:fill="auto"/>
          </w:tcPr>
          <w:p w14:paraId="3BD21B53" w14:textId="4016AEFF" w:rsidR="006B67AB" w:rsidDel="00977B4E" w:rsidRDefault="006B67AB" w:rsidP="00410AC2">
            <w:pPr>
              <w:pStyle w:val="Text1"/>
              <w:numPr>
                <w:ilvl w:val="0"/>
                <w:numId w:val="25"/>
              </w:numPr>
              <w:spacing w:before="40" w:after="40"/>
              <w:ind w:left="709" w:firstLine="0"/>
              <w:rPr>
                <w:color w:val="000000"/>
              </w:rPr>
            </w:pPr>
            <w:r>
              <w:tab/>
            </w:r>
            <w:r>
              <w:rPr>
                <w:color w:val="000000"/>
              </w:rPr>
              <w:t xml:space="preserve"> suġġett</w:t>
            </w:r>
            <w:r w:rsidR="003D2108">
              <w:rPr>
                <w:color w:val="000000"/>
              </w:rPr>
              <w:t>a</w:t>
            </w:r>
            <w:r>
              <w:rPr>
                <w:color w:val="000000"/>
              </w:rPr>
              <w:t xml:space="preserve"> għal informazzjoni trażmessa mill-Istati Membri li jimplimentaw il-fondi tal-Unjoni;</w:t>
            </w:r>
          </w:p>
        </w:tc>
        <w:tc>
          <w:tcPr>
            <w:tcW w:w="812" w:type="dxa"/>
            <w:shd w:val="clear" w:color="auto" w:fill="auto"/>
          </w:tcPr>
          <w:p w14:paraId="066F0C42" w14:textId="4C93C88C"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6D35EFEE" w14:textId="5C8193C6"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6B67AB" w14:paraId="3C758EFF" w14:textId="77777777" w:rsidTr="740E3E08">
        <w:trPr>
          <w:trHeight w:val="614"/>
        </w:trPr>
        <w:tc>
          <w:tcPr>
            <w:tcW w:w="8238" w:type="dxa"/>
            <w:shd w:val="clear" w:color="auto" w:fill="auto"/>
          </w:tcPr>
          <w:p w14:paraId="128BE62B" w14:textId="555A4DD7" w:rsidR="006B67AB" w:rsidDel="00977B4E" w:rsidRDefault="006B67AB" w:rsidP="003D2108">
            <w:pPr>
              <w:pStyle w:val="Text1"/>
              <w:numPr>
                <w:ilvl w:val="0"/>
                <w:numId w:val="25"/>
              </w:numPr>
              <w:spacing w:before="40" w:after="40"/>
              <w:ind w:left="709" w:firstLine="0"/>
              <w:rPr>
                <w:color w:val="000000"/>
              </w:rPr>
            </w:pPr>
            <w:r>
              <w:tab/>
            </w:r>
            <w:r>
              <w:rPr>
                <w:color w:val="000000"/>
              </w:rPr>
              <w:t xml:space="preserve"> suġġett għal deċiżjonijiet tal-Kummissjoni b’rabta mal-ksur tal-liġi tal-kompetizzjoni tal-Unjoni jew ta’ awtorità kompetenti nazzjonali b’rabta mal-ksur tal-liġi tal-kompetizzjoni tal-Unjoni jew dik nazzjonali; </w:t>
            </w:r>
          </w:p>
        </w:tc>
        <w:tc>
          <w:tcPr>
            <w:tcW w:w="812" w:type="dxa"/>
            <w:shd w:val="clear" w:color="auto" w:fill="auto"/>
          </w:tcPr>
          <w:p w14:paraId="1C09C335" w14:textId="0E204C8F"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3D929BF3" w14:textId="0825BEA1"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Pr>
                <w:color w:val="000000"/>
              </w:rPr>
              <w:t xml:space="preserve"> infurmata, bi kwalunkwe mezz, li hija soġġetta għal investigazzjoni mill-Uffiċċju Ewropew Kontra l-Frodi (OLAF): jew minħabba li tkun ingħatat l-opportunità li tikkummenta dwar fatti li jikkonċernawha mill-OLAF, jew li tkun ġiet soġġetta għal kontrolli fuq il-post mill-OLAF matul investigazzjoni, jew inkella tkun ġiet innotifikata bil-ftuħ, bl-għeluq jew bi kwalunkwe ċirkostanza relatata ma’ investigazzjoni tal-OLAF li tikkonċernaha.</w:t>
            </w:r>
          </w:p>
        </w:tc>
        <w:tc>
          <w:tcPr>
            <w:tcW w:w="812" w:type="dxa"/>
            <w:shd w:val="clear" w:color="auto" w:fill="auto"/>
          </w:tcPr>
          <w:p w14:paraId="7FF77DAD" w14:textId="2880DFD9"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31519">
              <w:fldChar w:fldCharType="separate"/>
            </w:r>
            <w:r>
              <w:fldChar w:fldCharType="end"/>
            </w:r>
          </w:p>
        </w:tc>
        <w:tc>
          <w:tcPr>
            <w:tcW w:w="705" w:type="dxa"/>
            <w:shd w:val="clear" w:color="auto" w:fill="auto"/>
          </w:tcPr>
          <w:p w14:paraId="549D5A18" w14:textId="731862B8"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bl>
    <w:p w14:paraId="16F4487F" w14:textId="3C305866" w:rsidR="00897553" w:rsidRDefault="00897553" w:rsidP="00422300">
      <w:pPr>
        <w:pStyle w:val="Title"/>
        <w:jc w:val="both"/>
      </w:pPr>
      <w:bookmarkStart w:id="28" w:name="_DV_C376"/>
      <w:r>
        <w:t>II – Sitwazzjonijiet ta’ esklużjoni li jikkonċernaw persuni fiżiċi jew ġuridiċi b’setgħa ta’ rappreżentanza, teħid ta’ deċiżjonijiet jew kontroll fuq il-persuna ġuridika u s-sidien benefiċjarji</w:t>
      </w:r>
    </w:p>
    <w:p w14:paraId="16F44880" w14:textId="6842849F" w:rsidR="00897553" w:rsidRDefault="001F135A" w:rsidP="7F6CA770">
      <w:pPr>
        <w:autoSpaceDE w:val="0"/>
        <w:autoSpaceDN w:val="0"/>
        <w:adjustRightInd w:val="0"/>
        <w:spacing w:before="120" w:after="240"/>
        <w:jc w:val="center"/>
        <w:rPr>
          <w:b/>
          <w:bCs/>
          <w:i/>
          <w:iCs/>
          <w:noProof/>
          <w:u w:val="single"/>
        </w:rPr>
      </w:pPr>
      <w:r>
        <w:rPr>
          <w:b/>
          <w:i/>
          <w:u w:val="single"/>
        </w:rPr>
        <w:t>Mhux applikabbli meta “il-persuna” tkun persuna fiżika, Stat Membru jew awtorità lokali. Fil-każijiet l-oħra kollha, għandha timtela mill-entitajiet involuti kollha.</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3"/>
        <w:gridCol w:w="839"/>
        <w:gridCol w:w="913"/>
        <w:gridCol w:w="1296"/>
      </w:tblGrid>
      <w:tr w:rsidR="001F135A" w14:paraId="16F44885" w14:textId="77777777" w:rsidTr="006C769B">
        <w:trPr>
          <w:jc w:val="center"/>
        </w:trPr>
        <w:tc>
          <w:tcPr>
            <w:tcW w:w="7038" w:type="dxa"/>
            <w:shd w:val="clear" w:color="auto" w:fill="auto"/>
            <w:vAlign w:val="center"/>
          </w:tcPr>
          <w:p w14:paraId="16F44881" w14:textId="1EC3F573" w:rsidR="001F135A" w:rsidRPr="003E5E5C" w:rsidRDefault="000562EA" w:rsidP="00A82BCC">
            <w:pPr>
              <w:numPr>
                <w:ilvl w:val="0"/>
                <w:numId w:val="17"/>
              </w:numPr>
              <w:spacing w:before="40" w:after="40"/>
              <w:jc w:val="both"/>
              <w:rPr>
                <w:noProof/>
              </w:rPr>
            </w:pPr>
            <w:r>
              <w:t>dikjarazzjoni</w:t>
            </w:r>
            <w:r w:rsidR="001F135A">
              <w:t xml:space="preserve"> li persuna fiżika jew ġuridika li hija membru tal-korp amministrattiv, maniġerjali jew superviżorju tal-persuna, jew li għandha setgħat ta’ rappreżentanza, ta’ deċiżjoni jew ta’ kontroll fir-rigward tal-persuna (inklużi eż. id-diretturi ta’ kumpaniji, il-membri ta’ korpi maniġerjali jew superviżorji, u l-każijiet fejn persuna fiżika jew ġuridika waħda jkollha l-maġġoranza tal-ishma), jew sid benefiċjarju tal-persuna (kif imsemmi fil-punt 6 tal-Artikolu 3 tad-Direttiva (UE) Nru 2015/849) li jkun f’waħda minn dawn is-sitwazzjonijiet li ġejjin: </w:t>
            </w:r>
          </w:p>
        </w:tc>
        <w:tc>
          <w:tcPr>
            <w:tcW w:w="858" w:type="dxa"/>
            <w:shd w:val="clear" w:color="auto" w:fill="auto"/>
          </w:tcPr>
          <w:p w14:paraId="16F44882" w14:textId="77777777" w:rsidR="001F135A" w:rsidRDefault="001F135A" w:rsidP="00C37A34">
            <w:pPr>
              <w:spacing w:before="240" w:after="120"/>
              <w:jc w:val="center"/>
              <w:rPr>
                <w:noProof/>
              </w:rPr>
            </w:pPr>
            <w:r>
              <w:t>IVA</w:t>
            </w:r>
          </w:p>
        </w:tc>
        <w:tc>
          <w:tcPr>
            <w:tcW w:w="952" w:type="dxa"/>
            <w:shd w:val="clear" w:color="auto" w:fill="auto"/>
          </w:tcPr>
          <w:p w14:paraId="16F44883" w14:textId="77777777" w:rsidR="001F135A" w:rsidRDefault="001F135A" w:rsidP="00C37A34">
            <w:pPr>
              <w:spacing w:before="240" w:after="120"/>
              <w:jc w:val="center"/>
              <w:rPr>
                <w:noProof/>
              </w:rPr>
            </w:pPr>
            <w:r>
              <w:t>LE</w:t>
            </w:r>
          </w:p>
        </w:tc>
        <w:tc>
          <w:tcPr>
            <w:tcW w:w="813" w:type="dxa"/>
          </w:tcPr>
          <w:p w14:paraId="16F44884" w14:textId="77777777" w:rsidR="001F135A" w:rsidRDefault="001F135A" w:rsidP="00C37A34">
            <w:pPr>
              <w:spacing w:before="240" w:after="120"/>
              <w:jc w:val="center"/>
              <w:rPr>
                <w:noProof/>
              </w:rPr>
            </w:pPr>
            <w:r>
              <w:t>Mhux applikabbli</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t>Is-sitwazzjoni (1)(c) imsemmija hawn fuq (imġiba professjonali ħażina ħafna)</w:t>
            </w:r>
          </w:p>
        </w:tc>
        <w:tc>
          <w:tcPr>
            <w:tcW w:w="858" w:type="dxa"/>
            <w:shd w:val="clear" w:color="auto" w:fill="auto"/>
            <w:vAlign w:val="center"/>
          </w:tcPr>
          <w:p w14:paraId="16F44887"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813" w:type="dxa"/>
          </w:tcPr>
          <w:p w14:paraId="16F44889"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t>Is-sitwazzjoni (1)(d) imsemmija hawn fuq (frodi, korruzzjoni jew reati kriminali oħrajn)</w:t>
            </w:r>
          </w:p>
        </w:tc>
        <w:tc>
          <w:tcPr>
            <w:tcW w:w="858" w:type="dxa"/>
            <w:shd w:val="clear" w:color="auto" w:fill="auto"/>
            <w:vAlign w:val="center"/>
          </w:tcPr>
          <w:p w14:paraId="16F4488C"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813" w:type="dxa"/>
          </w:tcPr>
          <w:p w14:paraId="16F4488E"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1F135A" w14:paraId="16F44894" w14:textId="77777777" w:rsidTr="006C769B">
        <w:trPr>
          <w:jc w:val="center"/>
        </w:trPr>
        <w:tc>
          <w:tcPr>
            <w:tcW w:w="7038" w:type="dxa"/>
            <w:shd w:val="clear" w:color="auto" w:fill="auto"/>
            <w:vAlign w:val="center"/>
          </w:tcPr>
          <w:p w14:paraId="16F44890" w14:textId="5BD531F0" w:rsidR="001F135A" w:rsidRDefault="001F135A" w:rsidP="00510EC4">
            <w:pPr>
              <w:pStyle w:val="Text1"/>
              <w:spacing w:before="40" w:after="40"/>
              <w:ind w:left="360"/>
              <w:rPr>
                <w:noProof/>
              </w:rPr>
            </w:pPr>
            <w:r>
              <w:t>Is-sitwazzjoni (1)(e) imsemmija hawn fuq (nuqqasijiet sinifikanti fl-eżekuzzjoni ta’ kuntratt)</w:t>
            </w:r>
          </w:p>
        </w:tc>
        <w:tc>
          <w:tcPr>
            <w:tcW w:w="858" w:type="dxa"/>
            <w:shd w:val="clear" w:color="auto" w:fill="auto"/>
            <w:vAlign w:val="center"/>
          </w:tcPr>
          <w:p w14:paraId="16F44891"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813" w:type="dxa"/>
          </w:tcPr>
          <w:p w14:paraId="16F44893"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t>Is-sitwazzjoni (1)(f) imsemmija hawn fuq (irregolarità)</w:t>
            </w:r>
          </w:p>
        </w:tc>
        <w:tc>
          <w:tcPr>
            <w:tcW w:w="858" w:type="dxa"/>
            <w:shd w:val="clear" w:color="auto" w:fill="auto"/>
            <w:vAlign w:val="center"/>
          </w:tcPr>
          <w:p w14:paraId="16F44896"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813" w:type="dxa"/>
          </w:tcPr>
          <w:p w14:paraId="16F44898"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t>Is-sitwazzjoni (1)(g) imsemmija hawn fuq (il-ħolqien ta’ entità bil-ħsieb li jiġu evitati obbligi legali)</w:t>
            </w:r>
          </w:p>
        </w:tc>
        <w:tc>
          <w:tcPr>
            <w:tcW w:w="858" w:type="dxa"/>
            <w:shd w:val="clear" w:color="auto" w:fill="auto"/>
            <w:vAlign w:val="center"/>
          </w:tcPr>
          <w:p w14:paraId="18EF2326" w14:textId="0489205B"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813" w:type="dxa"/>
          </w:tcPr>
          <w:p w14:paraId="68BCCF11" w14:textId="0A30A6E4"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t>Is-sitwazzjoni (1)(h) imsemmija hawn fuq (persuna maħluqa bil-ħsieb li jiġu evitati l-obbligi legali)</w:t>
            </w:r>
          </w:p>
        </w:tc>
        <w:tc>
          <w:tcPr>
            <w:tcW w:w="858" w:type="dxa"/>
            <w:shd w:val="clear" w:color="auto" w:fill="auto"/>
            <w:vAlign w:val="center"/>
          </w:tcPr>
          <w:p w14:paraId="47BE4182" w14:textId="6B6D861F"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813" w:type="dxa"/>
          </w:tcPr>
          <w:p w14:paraId="0ED824AD" w14:textId="394323D5"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bl>
    <w:p w14:paraId="051C02E8" w14:textId="77777777" w:rsidR="00D6012C" w:rsidRDefault="00D6012C" w:rsidP="00422300">
      <w:pPr>
        <w:pStyle w:val="Title"/>
        <w:jc w:val="both"/>
      </w:pPr>
    </w:p>
    <w:p w14:paraId="65AE5235" w14:textId="77777777" w:rsidR="00D6012C" w:rsidRDefault="00D6012C" w:rsidP="00422300">
      <w:pPr>
        <w:pStyle w:val="Title"/>
        <w:jc w:val="both"/>
      </w:pPr>
    </w:p>
    <w:p w14:paraId="6E418E50" w14:textId="77777777" w:rsidR="00D6012C" w:rsidRDefault="00D6012C" w:rsidP="00422300">
      <w:pPr>
        <w:pStyle w:val="Title"/>
        <w:jc w:val="both"/>
      </w:pPr>
    </w:p>
    <w:p w14:paraId="06B1FD74" w14:textId="77777777" w:rsidR="00D6012C" w:rsidRDefault="00D6012C" w:rsidP="00422300">
      <w:pPr>
        <w:pStyle w:val="Title"/>
        <w:jc w:val="both"/>
      </w:pPr>
    </w:p>
    <w:p w14:paraId="16F4489A" w14:textId="52E718DF" w:rsidR="00CA27B0" w:rsidRDefault="00CA27B0" w:rsidP="00422300">
      <w:pPr>
        <w:pStyle w:val="Title"/>
        <w:jc w:val="both"/>
      </w:pPr>
      <w:r>
        <w:t>III – Sitwazzjonijiet ta’ esklużjoni li jikkonċernaw persuni fiżiċi jew ġuridiċi li jassumu responsabbiltà illimitata għad-djun tal-persuna ġuridika</w:t>
      </w:r>
    </w:p>
    <w:p w14:paraId="35672559" w14:textId="242B3A3A" w:rsidR="00CF1E63" w:rsidRPr="00370A7F" w:rsidRDefault="00CF1E63" w:rsidP="6FB7994E">
      <w:pPr>
        <w:autoSpaceDE w:val="0"/>
        <w:autoSpaceDN w:val="0"/>
        <w:adjustRightInd w:val="0"/>
        <w:spacing w:before="120" w:after="240"/>
        <w:jc w:val="center"/>
        <w:rPr>
          <w:i/>
          <w:iCs/>
        </w:rPr>
      </w:pPr>
      <w:r>
        <w:rPr>
          <w:b/>
          <w:i/>
          <w:u w:val="single"/>
        </w:rPr>
        <w:t>Mhux applikabbli meta “il-persuna” tkun persuna fiżika, Stat Membru, awtorità lokali jew persuni ġuridiċi b’responsabbiltà limitata. Fil-każijiet l-oħra kollha, għandha timtela mill-entitajiet involuti kollha.</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667"/>
        <w:gridCol w:w="602"/>
        <w:gridCol w:w="1296"/>
      </w:tblGrid>
      <w:tr w:rsidR="003E5E5C" w14:paraId="16F4489F" w14:textId="77777777" w:rsidTr="007E18C5">
        <w:tc>
          <w:tcPr>
            <w:tcW w:w="7747" w:type="dxa"/>
            <w:shd w:val="clear" w:color="auto" w:fill="auto"/>
          </w:tcPr>
          <w:p w14:paraId="16F4489B" w14:textId="18CCC29F" w:rsidR="003E5E5C" w:rsidRDefault="003E5E5C" w:rsidP="000562EA">
            <w:pPr>
              <w:numPr>
                <w:ilvl w:val="0"/>
                <w:numId w:val="17"/>
              </w:numPr>
              <w:spacing w:before="40" w:after="40"/>
              <w:jc w:val="both"/>
              <w:rPr>
                <w:noProof/>
              </w:rPr>
            </w:pPr>
            <w:r>
              <w:t xml:space="preserve"> </w:t>
            </w:r>
            <w:r w:rsidR="000562EA">
              <w:t>dikjarazzjoni</w:t>
            </w:r>
            <w:r>
              <w:t xml:space="preserve"> li persuna fiżika jew ġuridika li tassumi responsabbiltà illimitata għad-djun tal-persuna ġuridika tkun tinsab f’waħda minn dawn is-sitwazzjonijiet li ġejjin: </w:t>
            </w:r>
          </w:p>
        </w:tc>
        <w:tc>
          <w:tcPr>
            <w:tcW w:w="670" w:type="dxa"/>
            <w:shd w:val="clear" w:color="auto" w:fill="auto"/>
          </w:tcPr>
          <w:p w14:paraId="16F4489C" w14:textId="77777777" w:rsidR="003E5E5C" w:rsidRDefault="003E5E5C" w:rsidP="00C37A34">
            <w:pPr>
              <w:spacing w:before="240" w:after="120"/>
              <w:jc w:val="center"/>
              <w:rPr>
                <w:noProof/>
              </w:rPr>
            </w:pPr>
            <w:r>
              <w:t>IVA</w:t>
            </w:r>
          </w:p>
        </w:tc>
        <w:tc>
          <w:tcPr>
            <w:tcW w:w="614" w:type="dxa"/>
          </w:tcPr>
          <w:p w14:paraId="16F4489D" w14:textId="77777777" w:rsidR="003E5E5C" w:rsidRDefault="003E5E5C" w:rsidP="00C37A34">
            <w:pPr>
              <w:spacing w:before="240" w:after="120"/>
              <w:jc w:val="center"/>
              <w:rPr>
                <w:noProof/>
              </w:rPr>
            </w:pPr>
            <w:r>
              <w:t>LE</w:t>
            </w:r>
          </w:p>
        </w:tc>
        <w:tc>
          <w:tcPr>
            <w:tcW w:w="630" w:type="dxa"/>
            <w:shd w:val="clear" w:color="auto" w:fill="auto"/>
          </w:tcPr>
          <w:p w14:paraId="16F4489E" w14:textId="77777777" w:rsidR="003E5E5C" w:rsidRDefault="003E5E5C" w:rsidP="00C37A34">
            <w:pPr>
              <w:spacing w:before="240" w:after="120"/>
              <w:jc w:val="center"/>
              <w:rPr>
                <w:noProof/>
              </w:rPr>
            </w:pPr>
            <w:r>
              <w:t>Mhux applikabbli</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t>Is-sitwazzjoni (a) imsemmija hawn fuq (falliment)</w:t>
            </w:r>
          </w:p>
        </w:tc>
        <w:tc>
          <w:tcPr>
            <w:tcW w:w="670" w:type="dxa"/>
            <w:shd w:val="clear" w:color="auto" w:fill="auto"/>
            <w:vAlign w:val="center"/>
          </w:tcPr>
          <w:p w14:paraId="16F448A1"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14" w:type="dxa"/>
          </w:tcPr>
          <w:p w14:paraId="16F448A2"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t>Is-sitwazzjoni (b) imsemmija hawn fuq (in-nuqqas ta’ pagamenti ta’ taxxi jew ta’ kontribuzzjonijiet tas-sigurtà soċjali)</w:t>
            </w:r>
          </w:p>
        </w:tc>
        <w:tc>
          <w:tcPr>
            <w:tcW w:w="670" w:type="dxa"/>
            <w:shd w:val="clear" w:color="auto" w:fill="auto"/>
            <w:vAlign w:val="center"/>
          </w:tcPr>
          <w:p w14:paraId="16F448A6"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14" w:type="dxa"/>
          </w:tcPr>
          <w:p w14:paraId="16F448A7"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bl>
    <w:p w14:paraId="28F7EA99" w14:textId="76AEE25F" w:rsidR="00B05C76" w:rsidRDefault="00B05C76" w:rsidP="00B05C76">
      <w:pPr>
        <w:pStyle w:val="Title"/>
        <w:rPr>
          <w:noProof/>
        </w:rPr>
      </w:pPr>
      <w:r>
        <w:t>IV – Raġunijiet oħra għar-rifjut ta’ din il-proċedura</w:t>
      </w:r>
    </w:p>
    <w:p w14:paraId="49EFC66C" w14:textId="603EB082" w:rsidR="00B05C76" w:rsidRPr="00897E28" w:rsidRDefault="00B05C76" w:rsidP="00B05C76">
      <w:pPr>
        <w:spacing w:before="120" w:after="120"/>
        <w:ind w:firstLine="1"/>
        <w:jc w:val="both"/>
        <w:rPr>
          <w:b/>
          <w:bCs/>
          <w:i/>
          <w:iCs/>
          <w:noProof/>
        </w:rPr>
      </w:pPr>
      <w:r>
        <w:rPr>
          <w:b/>
          <w:i/>
        </w:rPr>
        <w:t>(għandha timtela individwalment mill-kandidat/offerent uniku jew mill-membri kollha f’każ ta’ talba konġunta għall-parteċipazzjoni/offerta)</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14:paraId="71808D1B" w14:textId="77777777" w:rsidTr="00D6012C">
        <w:trPr>
          <w:trHeight w:val="511"/>
        </w:trPr>
        <w:tc>
          <w:tcPr>
            <w:tcW w:w="8327" w:type="dxa"/>
            <w:shd w:val="clear" w:color="auto" w:fill="auto"/>
          </w:tcPr>
          <w:p w14:paraId="0E9C0B15" w14:textId="0B379A2C" w:rsidR="00B05C76" w:rsidRDefault="00B05C76" w:rsidP="00D6012C">
            <w:pPr>
              <w:spacing w:before="40" w:after="40"/>
              <w:jc w:val="both"/>
              <w:rPr>
                <w:noProof/>
              </w:rPr>
            </w:pPr>
            <w:r>
              <w:t xml:space="preserve">(5) </w:t>
            </w:r>
            <w:r w:rsidR="000562EA">
              <w:t>dikjarazzjoni</w:t>
            </w:r>
            <w:r>
              <w:t xml:space="preserve"> li l-persuna:</w:t>
            </w:r>
          </w:p>
        </w:tc>
        <w:tc>
          <w:tcPr>
            <w:tcW w:w="670" w:type="dxa"/>
            <w:shd w:val="clear" w:color="auto" w:fill="auto"/>
          </w:tcPr>
          <w:p w14:paraId="1361E30C" w14:textId="77777777" w:rsidR="00B05C76" w:rsidRDefault="00B05C76" w:rsidP="00D6012C">
            <w:pPr>
              <w:spacing w:before="240" w:after="120"/>
              <w:jc w:val="center"/>
              <w:rPr>
                <w:noProof/>
              </w:rPr>
            </w:pPr>
            <w:r>
              <w:t>IVA</w:t>
            </w:r>
          </w:p>
        </w:tc>
        <w:tc>
          <w:tcPr>
            <w:tcW w:w="759" w:type="dxa"/>
            <w:shd w:val="clear" w:color="auto" w:fill="auto"/>
          </w:tcPr>
          <w:p w14:paraId="2D50029A" w14:textId="77777777" w:rsidR="00B05C76" w:rsidRDefault="00B05C76" w:rsidP="00D6012C">
            <w:pPr>
              <w:spacing w:before="240" w:after="120"/>
              <w:jc w:val="center"/>
              <w:rPr>
                <w:noProof/>
              </w:rPr>
            </w:pPr>
            <w:r>
              <w:t>LE</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t xml:space="preserve">(a) kienet preċedentement involuta fit-tħejjija tad-dokumenti tal-offerta użati fil-proċedura ta’ din l-aġġudikazzjoni fejn dan kien jinvolvi ksur tal-prinċipju ta’ trattament indaqs, inkluża d-distorsjoni tal-kompetizzjoni li ma tistax tiġi rimedjata b’xi mod ieħor. </w:t>
            </w:r>
          </w:p>
        </w:tc>
        <w:tc>
          <w:tcPr>
            <w:tcW w:w="670" w:type="dxa"/>
            <w:shd w:val="clear" w:color="auto" w:fill="auto"/>
          </w:tcPr>
          <w:p w14:paraId="31C36DC4" w14:textId="77777777" w:rsidR="00B05C76" w:rsidRDefault="00B05C76" w:rsidP="00D6012C">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59" w:type="dxa"/>
            <w:shd w:val="clear" w:color="auto" w:fill="auto"/>
          </w:tcPr>
          <w:p w14:paraId="3156C229" w14:textId="77777777" w:rsidR="00B05C76" w:rsidRDefault="00B05C76" w:rsidP="00D6012C">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t xml:space="preserve"> </w:t>
      </w:r>
      <w:bookmarkEnd w:id="28"/>
      <w:r>
        <w:rPr>
          <w:rFonts w:ascii="Times New Roman Bold" w:hAnsi="Times New Roman Bold"/>
          <w:b/>
          <w:smallCaps/>
        </w:rPr>
        <w:t>V – Miżuri ta’ rimedju</w:t>
      </w:r>
    </w:p>
    <w:p w14:paraId="16F448B4" w14:textId="432FB097" w:rsidR="005C6293" w:rsidRDefault="005C6293" w:rsidP="007C6650">
      <w:pPr>
        <w:spacing w:before="120" w:after="120"/>
        <w:jc w:val="both"/>
        <w:rPr>
          <w:color w:val="000000"/>
        </w:rPr>
      </w:pPr>
      <w:r>
        <w:t>Jekk il-persuna tiddikjara waħda mis-sitwazzjonijiet ta’ esklużjoni elenkati hawn fuq, hija tista’ tindika miżuri ta’ rimedju li tkun ħadet biex tirrimedja s-sitwazzjoni ta’ esklużjoni, sabiex tippermetti lill-uffiċjal tal-awtorizzazzjoni jiddetermina jekk tali miżuri humiex biżżejjed biex juru l-affidabbiltà tagħha.</w:t>
      </w:r>
      <w:r>
        <w:rPr>
          <w:color w:val="000000"/>
        </w:rPr>
        <w:t xml:space="preserve"> Dan jista’ jinkludi, pereżempju, miżuri tekniċi, organizzazzjonali jew tal-persunal sabiex jipprevjenu aktar okkorrenzi, kumpens għal danni jew pagamenti ta’ multi jew ta’ xi taxxi jew kontribuzzjonijiet tas-sigurtà soċjali. L-evidenza dokumentarja rilevanti li turi l-miżuri ta’ rimedju meħuda, trid tiġi pprovduta fl-anness ta’ din id-dikjarazzjoni. Dan ma japplikax għas-sitwazzjonijiet imsemmija fil-punt (1)(d) ta’ din id-dikjarazzjoni.</w:t>
      </w:r>
    </w:p>
    <w:p w14:paraId="16F448B5" w14:textId="3FE5177B" w:rsidR="00F96EAB" w:rsidRPr="007D7A5F" w:rsidRDefault="00B05C76" w:rsidP="0024225B">
      <w:pPr>
        <w:pStyle w:val="Title"/>
        <w:rPr>
          <w:noProof/>
        </w:rPr>
      </w:pPr>
      <w:r>
        <w:t>VI – Evidenza dwar il-kriterji ta’ esklużjoni</w:t>
      </w:r>
    </w:p>
    <w:p w14:paraId="477A6316" w14:textId="3261E630" w:rsidR="00695D93" w:rsidRDefault="0092592E" w:rsidP="7F6CA770">
      <w:pPr>
        <w:spacing w:before="120" w:after="120"/>
        <w:ind w:firstLine="11"/>
        <w:jc w:val="both"/>
        <w:rPr>
          <w:noProof/>
        </w:rPr>
      </w:pPr>
      <w:r>
        <w:t>L-ispeċifikazzjonijiet tal-offerta jistabbilixxu fid-dettall liema entitajiet involuti jridu jipprovdu l-evidenza xierqa biex jagħtu prova li mhumiex f’sitwazzjoni ta’ esklużjoni msemmija f’(1) u meta jkun meħtieġ li tiġi pprovduta l-evidenza.</w:t>
      </w:r>
    </w:p>
    <w:p w14:paraId="3EE64640" w14:textId="03697B6E" w:rsidR="00835E88" w:rsidRPr="00F76ABA" w:rsidRDefault="00CA3ADD" w:rsidP="00835E88">
      <w:pPr>
        <w:spacing w:before="120" w:after="120"/>
        <w:jc w:val="both"/>
        <w:rPr>
          <w:noProof/>
        </w:rPr>
      </w:pPr>
      <w:r>
        <w:t>L-evidenza li ġejja tista’ sservi bħala evidenza:</w:t>
      </w:r>
    </w:p>
    <w:p w14:paraId="16F448B7" w14:textId="7D810624" w:rsidR="00357CC2" w:rsidRPr="00900331" w:rsidRDefault="00DA410F" w:rsidP="00897E28">
      <w:pPr>
        <w:pStyle w:val="Text1"/>
        <w:numPr>
          <w:ilvl w:val="0"/>
          <w:numId w:val="38"/>
        </w:numPr>
        <w:spacing w:before="100" w:beforeAutospacing="1" w:after="100" w:afterAutospacing="1"/>
        <w:rPr>
          <w:noProof/>
        </w:rPr>
      </w:pPr>
      <w:r>
        <w:lastRenderedPageBreak/>
        <w:t xml:space="preserve">Għas-sitwazzjonijiet deskritti fil-punti (1): (a), (c), (d), (f), (g) u (h) hawn fuq, is-sottomissjoni ta’ estratt riċenti mir-rekord ġudizzjarju jew, fin-nuqqas ta’ dan, dokument ekwivalenti maħruġ riċentament minn awtorità ġudizzjarja jew amministrattiva fil-pajjiż ta’ stabbiliment tal-persuna li juri li dawk ir-rekwiżiti huma ssodisfati. </w:t>
      </w:r>
    </w:p>
    <w:p w14:paraId="16F448B8" w14:textId="65CFA682"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t>Għas-sitwazzjonijiet deskritti fil-punt (1)(a), (b), ċertifikati riċenti maħruġa mill-awtoritajiet kompetenti tal-pajjiż ta’ stabbiliment. Dawn id-dokumenti jridu jagħtu l-evidenza kollha dwar taxxi u kontribuzzjonijiet tas-sigurtà soċjali li hija responsabbli għalihom il-persuna, inklużi, pereżempju, il-VAT, it-taxxa fuq l-introjtu (il-persuni fiżiċi biss), it-taxxa korporattiva (il-persuni ġuridiċi biss) u l-kontribuzzjonijiet tas-sigurtà soċjali. Meta xi dokument deskritt hawn fuq ma jkunx inħareġ fil-pajjiż ta’ stabbiliment, dan jista’ jiġi ssostitwit minn dikjarazzjoni taħt ġurament magħmula quddiem awtorità ġudizzjarja jew nutar jew, fin-nuqqas ta’ din, dikjarazzjoni solenni magħmula quddiem awtorità amministrattiva jew korp professjonali kkwalifikat fil-pajjiż ta’ stabbiliment tagħha.</w:t>
      </w:r>
    </w:p>
    <w:p w14:paraId="16F448B9" w14:textId="6993ED04" w:rsidR="008C4A00" w:rsidRDefault="00C55150" w:rsidP="00897E28">
      <w:pPr>
        <w:spacing w:before="100" w:beforeAutospacing="1" w:after="100" w:afterAutospacing="1"/>
        <w:jc w:val="both"/>
      </w:pPr>
      <w:r>
        <w:t>Il-persuna mhijiex obbligata tissottometti l-evidenza jekk diġà tkun ġiet sottomessa għal xi proċedura oħra ta’ aġġudikazzjoni mill-istess awtorità kontraenti</w:t>
      </w:r>
      <w:r>
        <w:rPr>
          <w:rStyle w:val="FootnoteReference"/>
        </w:rPr>
        <w:footnoteReference w:id="5"/>
      </w:r>
      <w:r>
        <w:t xml:space="preserve">. Id-dokumenti jridu jkunu nħarġu mhux iżjed minn sena qabel id-data tat-talba għalihom mill-awtorità kontraenti u jridu jkunu għadhom validi f’dik id-data. </w:t>
      </w:r>
    </w:p>
    <w:p w14:paraId="16F448BA" w14:textId="1463A7B7" w:rsidR="008C4A00" w:rsidRDefault="00A40405" w:rsidP="00897E28">
      <w:pPr>
        <w:spacing w:before="100" w:beforeAutospacing="1" w:after="100" w:afterAutospacing="1"/>
        <w:jc w:val="both"/>
      </w:pPr>
      <w:r>
        <w:t xml:space="preserve">Il-firmatarju jiddikjara li l-persuna tkun diġà pprovdiet l-evidenza dokumentarja għal proċedura preċedenti u jikkonferma li ma kienx hemm tibdil fis-sitwazzjoni tagħha: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Pr>
                <w:b/>
                <w:sz w:val="22"/>
              </w:rPr>
              <w:t>Dokument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Pr>
                <w:b/>
                <w:sz w:val="22"/>
              </w:rPr>
              <w:t>Referenza sħiħa għall-proċedura preċedenti</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Pr>
                <w:i/>
                <w:highlight w:val="lightGray"/>
              </w:rPr>
              <w:t>Daħħal linji kemm hemm bżonn.</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t>Il-persuna mhijiex obbligata tippreżenta l-evidenza jekk din tista’ tiġi aċċessata fuq bażi tad-</w:t>
      </w:r>
      <w:r>
        <w:rPr>
          <w:i/>
        </w:rPr>
        <w:t>data</w:t>
      </w:r>
      <w:r>
        <w:t xml:space="preserve"> nazzjonali mingħajr ħlas. </w:t>
      </w:r>
    </w:p>
    <w:p w14:paraId="0F58ED09" w14:textId="2FB86EF0" w:rsidR="00CF0C80" w:rsidRDefault="00602579" w:rsidP="00897E28">
      <w:pPr>
        <w:spacing w:before="100" w:beforeAutospacing="1" w:after="100" w:afterAutospacing="1"/>
        <w:jc w:val="both"/>
      </w:pPr>
      <w:r>
        <w:t>Il-firmatarju jiddikjara li l-indirizz tal-internet li ġej tal-bażi tad-</w:t>
      </w:r>
      <w:r>
        <w:rPr>
          <w:i/>
        </w:rPr>
        <w:t>data</w:t>
      </w:r>
      <w:r>
        <w:t>/tad-</w:t>
      </w:r>
      <w:r>
        <w:rPr>
          <w:i/>
        </w:rPr>
        <w:t>data</w:t>
      </w:r>
      <w:r>
        <w:t xml:space="preserve"> ta’ identifikazzjoni jipprovdi aċċess għall-evidenza meħtieġa.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L-indirizz tal-internet tal-bażi tad-</w:t>
            </w:r>
            <w:r>
              <w:rPr>
                <w:i/>
              </w:rPr>
              <w:t>data</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Id-</w:t>
            </w:r>
            <w:r>
              <w:rPr>
                <w:i/>
              </w:rPr>
              <w:t>data</w:t>
            </w:r>
            <w:r>
              <w:t xml:space="preserve"> ta’ identifikazzjoni tad-dokument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Pr>
                <w:i/>
                <w:highlight w:val="lightGray"/>
              </w:rPr>
              <w:t>Daħħal linji kemm hemm bżonn.</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3C950355" w:rsidR="00454D84" w:rsidRPr="00E25A58" w:rsidRDefault="49BAA85C" w:rsidP="00900331">
      <w:pPr>
        <w:pStyle w:val="Title"/>
        <w:numPr>
          <w:ilvl w:val="0"/>
          <w:numId w:val="30"/>
        </w:numPr>
        <w:ind w:left="567" w:hanging="567"/>
        <w:jc w:val="both"/>
        <w:rPr>
          <w:noProof/>
        </w:rPr>
      </w:pPr>
      <w:r>
        <w:t xml:space="preserve">Dikjarazzjoni fuq l-unur fuq il-kriterji ta’ esklużjoni </w:t>
      </w:r>
    </w:p>
    <w:p w14:paraId="2D59BB2A" w14:textId="01DD445D" w:rsidR="743C92D7" w:rsidRDefault="743C92D7" w:rsidP="001B5619">
      <w:pPr>
        <w:spacing w:beforeAutospacing="1" w:afterAutospacing="1"/>
        <w:jc w:val="both"/>
      </w:pPr>
      <w:r>
        <w:t>Fil-każ ta’ proċedura bil-lottijiet id-dikjarazzjonijiet f’din il-parti B japplikaw għal-lott(ijiet) li għalih/hom titressaq it-talba għall-parteċipazzjoni/offerta.</w:t>
      </w:r>
    </w:p>
    <w:p w14:paraId="7232500E" w14:textId="59A72938" w:rsidR="00E25A58" w:rsidRDefault="00E25A58" w:rsidP="00E25A58">
      <w:pPr>
        <w:pStyle w:val="Title"/>
        <w:rPr>
          <w:noProof/>
        </w:rPr>
      </w:pPr>
      <w:r>
        <w:t>I – Kriterji tal-għażla</w:t>
      </w:r>
    </w:p>
    <w:p w14:paraId="7CE533D0" w14:textId="16A9A02E" w:rsidR="00B74E92" w:rsidRPr="00897E28" w:rsidRDefault="00CA2C74">
      <w:pPr>
        <w:jc w:val="both"/>
        <w:rPr>
          <w:b/>
          <w:bCs/>
          <w:u w:val="single"/>
        </w:rPr>
      </w:pPr>
      <w:r>
        <w:rPr>
          <w:b/>
          <w:u w:val="single"/>
        </w:rPr>
        <w:t xml:space="preserve">Il-kriterji tal-għażla applikabbli għall-kandidat/offerent b’mod ġenerali - valutazzjoni konsolidata </w:t>
      </w:r>
    </w:p>
    <w:p w14:paraId="1E43862B" w14:textId="28BF9BC9" w:rsidR="006E23B3" w:rsidRPr="00897E28" w:rsidRDefault="006E23B3" w:rsidP="00897E28">
      <w:pPr>
        <w:spacing w:before="120" w:after="120"/>
        <w:ind w:firstLine="1"/>
        <w:jc w:val="both"/>
        <w:rPr>
          <w:b/>
          <w:bCs/>
          <w:i/>
          <w:iCs/>
          <w:noProof/>
        </w:rPr>
      </w:pPr>
      <w:r>
        <w:rPr>
          <w:b/>
          <w:i/>
        </w:rPr>
        <w:t>(għandha timtela BISS mill-kandidat/offerent uniku jew mill-mexxej tal-grupp f’każ ta’ talba konġunta għall-parteċipazzjoni/offerta)</w:t>
      </w:r>
    </w:p>
    <w:p w14:paraId="580B2348" w14:textId="36EFDB8E" w:rsidR="00F04B97" w:rsidRDefault="00F04B97" w:rsidP="00F04B97">
      <w:pPr>
        <w:spacing w:before="120" w:after="120"/>
        <w:ind w:firstLine="1"/>
        <w:jc w:val="both"/>
        <w:rPr>
          <w:noProof/>
        </w:rPr>
      </w:pPr>
      <w:r>
        <w:lastRenderedPageBreak/>
        <w:t>Il-persuna, li hija l-uniku kandidat/offerent/il-mexxej tal-grupp ta’ talba konġunta għall-parteċipazzjoni/offerta, li tissottometti talba għall-parteċipazzjoni/offerta għall-proċedura msemmija hawn fuq:</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2F167937" w:rsidR="00723411" w:rsidRDefault="0056736F" w:rsidP="000562EA">
            <w:pPr>
              <w:spacing w:before="120" w:after="120"/>
              <w:jc w:val="both"/>
            </w:pPr>
            <w:r>
              <w:t>(6)</w:t>
            </w:r>
            <w:r w:rsidR="000562EA">
              <w:t xml:space="preserve"> tiddikjara </w:t>
            </w:r>
            <w:r>
              <w:t>li l-kandidat/l-offerent, inklużi l-membri kollha tal-grupp f’każ ta’ talba konġunta għall-parteċipazzjoni/offerta, is-sottokuntratturi u l-entitajiet li fuq il-kapaċità tagħhom il-kandidat/l-offerent biħsiebu jiddependi, jekk applikabbli:</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IVA</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LE</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6EA2CE7E" w:rsidR="00723411" w:rsidRDefault="000562EA" w:rsidP="00F5266F">
            <w:pPr>
              <w:pStyle w:val="Text1"/>
              <w:numPr>
                <w:ilvl w:val="0"/>
                <w:numId w:val="24"/>
              </w:numPr>
              <w:spacing w:before="40" w:after="40"/>
              <w:rPr>
                <w:noProof/>
              </w:rPr>
            </w:pPr>
            <w:r>
              <w:t>t</w:t>
            </w:r>
            <w:r w:rsidR="000B752C">
              <w:t>issodisfa l-kriterji tal-għażla kollha li għalihom se ssir valutazzjoni konsolidata kif previst fl-ispeċifikazzjonijiet tal-offerta.</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bl>
    <w:p w14:paraId="50AB76DC" w14:textId="419BD58E" w:rsidR="00CA2C74" w:rsidRPr="00EC7E2B" w:rsidRDefault="00CA2C74" w:rsidP="00897E28">
      <w:pPr>
        <w:spacing w:before="100" w:beforeAutospacing="1" w:after="100" w:afterAutospacing="1"/>
        <w:jc w:val="both"/>
        <w:rPr>
          <w:b/>
          <w:i/>
          <w:iCs/>
          <w:color w:val="0070C0"/>
        </w:rPr>
      </w:pPr>
      <w:r>
        <w:rPr>
          <w:b/>
          <w:i/>
          <w:color w:val="0070C0"/>
          <w:highlight w:val="yellow"/>
        </w:rPr>
        <w:t>L-għażla ta’ hawn taħt għandha tiddaħħal mill-awtorità kontraenti meta applikabbli skont id-dokumenti tal-akkwist. L-awtorità kontraenti għandha tħassar it-taqsima ta’ hawn taħt jekk ma jkunx hemm kriterji tal-għażla applikabbli individwalment. Jekk ikun hemm tali kriterji, l-awtorità kontraenti għandha tadatta t-tabella għall-kriterji indikati fl-ispeċifikazzjonijiet tal-offerta.</w:t>
      </w:r>
    </w:p>
    <w:p w14:paraId="5CFBC1F8" w14:textId="7B867C43" w:rsidR="00CA2C74" w:rsidRPr="00897E28" w:rsidRDefault="00C4227A">
      <w:pPr>
        <w:jc w:val="both"/>
        <w:rPr>
          <w:b/>
          <w:bCs/>
          <w:u w:val="single"/>
        </w:rPr>
      </w:pPr>
      <w:r>
        <w:rPr>
          <w:b/>
          <w:u w:val="single"/>
        </w:rPr>
        <w:t>Kriterji tal-għażla applikabbli individwalment għall-entitajiet involuti - valutazzjoni individwali</w:t>
      </w:r>
    </w:p>
    <w:p w14:paraId="78C15FF3" w14:textId="0676A81C" w:rsidR="00723411" w:rsidRPr="00897E28" w:rsidRDefault="00723411" w:rsidP="7F6CA770">
      <w:pPr>
        <w:spacing w:before="120" w:after="120"/>
        <w:ind w:firstLine="1"/>
        <w:jc w:val="both"/>
        <w:rPr>
          <w:b/>
          <w:bCs/>
          <w:i/>
          <w:iCs/>
          <w:noProof/>
        </w:rPr>
      </w:pPr>
      <w:r>
        <w:rPr>
          <w:b/>
          <w:i/>
        </w:rPr>
        <w:t>(għandha timtela individwalment mill-entitajiet involuti li għalihom japplikaw il-kriterji tal-għażla individwalment skont l-ispeċifikazzjonijiet tal-offerta)</w:t>
      </w:r>
    </w:p>
    <w:p w14:paraId="64745216" w14:textId="17979E7F" w:rsidR="00E80BCE" w:rsidRPr="00897E28" w:rsidRDefault="00E80BCE" w:rsidP="6FB7994E">
      <w:pPr>
        <w:spacing w:before="120" w:after="120"/>
        <w:ind w:firstLine="1"/>
        <w:jc w:val="both"/>
        <w:rPr>
          <w:b/>
          <w:bCs/>
          <w:i/>
          <w:iCs/>
          <w:noProof/>
        </w:rPr>
      </w:pPr>
      <w:r>
        <w:t>Il-persuna, li hija l-uniku kandidat/offerent/membru ta’ talba konġunta għall-parteċipazzjoni/offerta/bħala sottokuntrattur, li tissottometti/tipparteċipa f’talba għall-parteċipazzjoni/offerta għall-proċedura msemmija hawn fuq:</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9"/>
        <w:gridCol w:w="696"/>
        <w:gridCol w:w="595"/>
        <w:gridCol w:w="1296"/>
      </w:tblGrid>
      <w:tr w:rsidR="00A551F6" w14:paraId="4C5D7034" w14:textId="77777777" w:rsidTr="740E3E08">
        <w:tc>
          <w:tcPr>
            <w:tcW w:w="7344" w:type="dxa"/>
            <w:shd w:val="clear" w:color="auto" w:fill="auto"/>
          </w:tcPr>
          <w:p w14:paraId="66242635" w14:textId="50DF55FA" w:rsidR="00A551F6" w:rsidRPr="006C5B50" w:rsidRDefault="00850397" w:rsidP="006020BD">
            <w:pPr>
              <w:spacing w:before="120" w:after="120"/>
              <w:ind w:firstLine="1"/>
              <w:jc w:val="both"/>
              <w:rPr>
                <w:b/>
                <w:bCs/>
                <w:i/>
                <w:iCs/>
                <w:noProof/>
              </w:rPr>
            </w:pPr>
            <w:r>
              <w:t>(7) tiddikjara li l-persuna tikkonforma mal-kriterji tal-għażla applikabbli għaliha individwalment:</w:t>
            </w:r>
          </w:p>
        </w:tc>
        <w:tc>
          <w:tcPr>
            <w:tcW w:w="704" w:type="dxa"/>
            <w:shd w:val="clear" w:color="auto" w:fill="auto"/>
          </w:tcPr>
          <w:p w14:paraId="13DAA78F" w14:textId="77777777" w:rsidR="00A551F6" w:rsidRDefault="00A551F6" w:rsidP="00C37A34">
            <w:pPr>
              <w:spacing w:before="240" w:after="120"/>
              <w:jc w:val="center"/>
              <w:rPr>
                <w:noProof/>
              </w:rPr>
            </w:pPr>
            <w:r>
              <w:t>IVA</w:t>
            </w:r>
          </w:p>
        </w:tc>
        <w:tc>
          <w:tcPr>
            <w:tcW w:w="608" w:type="dxa"/>
            <w:shd w:val="clear" w:color="auto" w:fill="auto"/>
          </w:tcPr>
          <w:p w14:paraId="465AC66E" w14:textId="77777777" w:rsidR="00A551F6" w:rsidRDefault="00A551F6" w:rsidP="00C37A34">
            <w:pPr>
              <w:spacing w:before="240" w:after="120"/>
              <w:jc w:val="center"/>
              <w:rPr>
                <w:noProof/>
              </w:rPr>
            </w:pPr>
            <w:r>
              <w:t>LE</w:t>
            </w:r>
          </w:p>
        </w:tc>
        <w:tc>
          <w:tcPr>
            <w:tcW w:w="630" w:type="dxa"/>
            <w:shd w:val="clear" w:color="auto" w:fill="auto"/>
          </w:tcPr>
          <w:p w14:paraId="237B4D9E" w14:textId="77777777" w:rsidR="00A551F6" w:rsidRDefault="00A551F6" w:rsidP="00C37A34">
            <w:pPr>
              <w:spacing w:before="240" w:after="120"/>
              <w:jc w:val="center"/>
              <w:rPr>
                <w:noProof/>
              </w:rPr>
            </w:pPr>
            <w:r>
              <w:t>Mhux applikabbli</w:t>
            </w:r>
          </w:p>
        </w:tc>
      </w:tr>
      <w:tr w:rsidR="00A551F6" w14:paraId="5B12A280" w14:textId="77777777" w:rsidTr="740E3E08">
        <w:tc>
          <w:tcPr>
            <w:tcW w:w="7344" w:type="dxa"/>
            <w:shd w:val="clear" w:color="auto" w:fill="auto"/>
          </w:tcPr>
          <w:p w14:paraId="37A65182" w14:textId="553A92FC" w:rsidR="00A551F6" w:rsidRDefault="00A551F6" w:rsidP="00F5266F">
            <w:pPr>
              <w:pStyle w:val="Text1"/>
              <w:numPr>
                <w:ilvl w:val="0"/>
                <w:numId w:val="47"/>
              </w:numPr>
              <w:spacing w:before="40" w:after="40"/>
              <w:rPr>
                <w:noProof/>
              </w:rPr>
            </w:pPr>
            <w:r>
              <w:t>għandha l-kapaċità legali u regolatorja biex twettaq l-attività professjonali meħtieġa għat-twettiq tal-kuntratt kif meħtieġ fl-ispeċifikazzjonijiet tal-offerta;</w:t>
            </w:r>
          </w:p>
        </w:tc>
        <w:tc>
          <w:tcPr>
            <w:tcW w:w="704" w:type="dxa"/>
            <w:shd w:val="clear" w:color="auto" w:fill="auto"/>
          </w:tcPr>
          <w:p w14:paraId="0291C12C"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08" w:type="dxa"/>
            <w:shd w:val="clear" w:color="auto" w:fill="auto"/>
          </w:tcPr>
          <w:p w14:paraId="2CAC5967"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30" w:type="dxa"/>
          </w:tcPr>
          <w:p w14:paraId="6AEE8289"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A551F6" w14:paraId="1FD24AF9" w14:textId="77777777" w:rsidTr="740E3E08">
        <w:tc>
          <w:tcPr>
            <w:tcW w:w="7344" w:type="dxa"/>
            <w:shd w:val="clear" w:color="auto" w:fill="auto"/>
          </w:tcPr>
          <w:p w14:paraId="74F0F585" w14:textId="0D567F77" w:rsidR="00A551F6" w:rsidRDefault="00A551F6" w:rsidP="00F5266F">
            <w:pPr>
              <w:pStyle w:val="Text1"/>
              <w:numPr>
                <w:ilvl w:val="0"/>
                <w:numId w:val="47"/>
              </w:numPr>
              <w:spacing w:before="40" w:after="40"/>
              <w:rPr>
                <w:noProof/>
              </w:rPr>
            </w:pPr>
            <w:r>
              <w:t>tissodisfa l-kriterji ekonomiċi u finanzjarji applikabbli indikati fl-ispeċifikazzjonijiet tal-offerta;</w:t>
            </w:r>
          </w:p>
        </w:tc>
        <w:tc>
          <w:tcPr>
            <w:tcW w:w="704" w:type="dxa"/>
            <w:shd w:val="clear" w:color="auto" w:fill="auto"/>
          </w:tcPr>
          <w:p w14:paraId="5B07D42B"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08" w:type="dxa"/>
            <w:shd w:val="clear" w:color="auto" w:fill="auto"/>
          </w:tcPr>
          <w:p w14:paraId="56636257"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30" w:type="dxa"/>
          </w:tcPr>
          <w:p w14:paraId="3DC092F3"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r w:rsidR="00A551F6" w14:paraId="1A0954B6" w14:textId="77777777" w:rsidTr="740E3E08">
        <w:tc>
          <w:tcPr>
            <w:tcW w:w="7344" w:type="dxa"/>
            <w:shd w:val="clear" w:color="auto" w:fill="auto"/>
          </w:tcPr>
          <w:p w14:paraId="6192EC00" w14:textId="0EE080D4" w:rsidR="00A551F6" w:rsidRDefault="00A551F6" w:rsidP="00F5266F">
            <w:pPr>
              <w:pStyle w:val="Text1"/>
              <w:numPr>
                <w:ilvl w:val="0"/>
                <w:numId w:val="47"/>
              </w:numPr>
              <w:spacing w:before="40" w:after="40"/>
              <w:rPr>
                <w:noProof/>
              </w:rPr>
            </w:pPr>
            <w:r>
              <w:t>tissodisfa l-kriterji tekniċi u professjonali applikabbli indikati fl-ispeċifikazzjonijiet tal-offerta.</w:t>
            </w:r>
          </w:p>
        </w:tc>
        <w:tc>
          <w:tcPr>
            <w:tcW w:w="704" w:type="dxa"/>
            <w:shd w:val="clear" w:color="auto" w:fill="auto"/>
          </w:tcPr>
          <w:p w14:paraId="5C74A905"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08" w:type="dxa"/>
            <w:shd w:val="clear" w:color="auto" w:fill="auto"/>
          </w:tcPr>
          <w:p w14:paraId="028509AD"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630" w:type="dxa"/>
          </w:tcPr>
          <w:p w14:paraId="44D0D1B1"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bl>
    <w:p w14:paraId="7F200ED7" w14:textId="02A6270A" w:rsidR="00850397" w:rsidRPr="006C5B50" w:rsidRDefault="006C5B50" w:rsidP="00D36F93">
      <w:pPr>
        <w:spacing w:before="100" w:beforeAutospacing="1" w:after="100" w:afterAutospacing="1"/>
        <w:jc w:val="both"/>
        <w:rPr>
          <w:rFonts w:ascii="Times New Roman Bold" w:hAnsi="Times New Roman Bold"/>
          <w:b/>
          <w:bCs/>
          <w:smallCaps/>
          <w:noProof/>
          <w:kern w:val="28"/>
          <w:szCs w:val="32"/>
        </w:rPr>
      </w:pPr>
      <w:r>
        <w:rPr>
          <w:rFonts w:ascii="Times New Roman Bold" w:hAnsi="Times New Roman Bold"/>
          <w:b/>
          <w:smallCaps/>
        </w:rPr>
        <w:t xml:space="preserve">II) Kriterji tal-Għażla – interessi konfliġġenti professjonali </w:t>
      </w:r>
    </w:p>
    <w:p w14:paraId="6D4253AB" w14:textId="6F28DDE5" w:rsidR="00850397" w:rsidRPr="00897E28" w:rsidRDefault="00850397" w:rsidP="00EE7E2B">
      <w:pPr>
        <w:spacing w:before="120" w:after="120"/>
        <w:ind w:firstLine="1"/>
        <w:rPr>
          <w:b/>
          <w:bCs/>
          <w:i/>
          <w:iCs/>
          <w:noProof/>
        </w:rPr>
      </w:pPr>
      <w:r>
        <w:rPr>
          <w:b/>
          <w:i/>
        </w:rPr>
        <w:t>(għandha timtela mill-entitajiet kollha involuti)</w:t>
      </w:r>
    </w:p>
    <w:p w14:paraId="4E52E5EC" w14:textId="6CF73761" w:rsidR="00850397" w:rsidRDefault="00850397" w:rsidP="00850397">
      <w:pPr>
        <w:jc w:val="both"/>
        <w:rPr>
          <w:b/>
          <w:bCs/>
          <w:u w:val="single"/>
        </w:rPr>
      </w:pPr>
      <w:r>
        <w:t>Il-persuna, li hija kandidat uniku/offerent/membru ta’ talba konġunta għall-parteċipazzjoni/offerta/bħala sottokuntrattur, li tissottometti/tipparteċipa f’talba għall-parteċipazzjoni/offerta għall-proċedura msemmija hawn fuq:</w:t>
      </w:r>
    </w:p>
    <w:p w14:paraId="0A9EA582" w14:textId="77777777" w:rsidR="00850397" w:rsidRPr="00897E28"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Default="007E0722" w:rsidP="007E0722">
            <w:pPr>
              <w:spacing w:before="120" w:after="120"/>
              <w:jc w:val="both"/>
            </w:pPr>
            <w:r>
              <w:t xml:space="preserve">(8) tiddikjara li l-persuna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Default="00850397" w:rsidP="002775C9">
            <w:pPr>
              <w:spacing w:before="240" w:after="120"/>
              <w:jc w:val="center"/>
            </w:pPr>
            <w:r>
              <w:t>IVA</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Default="00850397" w:rsidP="002775C9">
            <w:pPr>
              <w:spacing w:before="240" w:after="120"/>
              <w:jc w:val="center"/>
            </w:pPr>
            <w:r>
              <w:t>LE</w:t>
            </w:r>
          </w:p>
        </w:tc>
      </w:tr>
      <w:tr w:rsidR="00850397"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Default="00850397" w:rsidP="00D36F93">
            <w:pPr>
              <w:pStyle w:val="Text1"/>
              <w:numPr>
                <w:ilvl w:val="0"/>
                <w:numId w:val="48"/>
              </w:numPr>
              <w:spacing w:before="40" w:after="40"/>
              <w:rPr>
                <w:noProof/>
              </w:rPr>
            </w:pPr>
            <w:r>
              <w:t>hija soġġetta għal interessi kunfliġġenti li jistgħu jaffettwaw b’mod negattiv l-eżekuzzjoni tal-kuntratt.</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Default="00850397" w:rsidP="002775C9">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Default="00850397" w:rsidP="002775C9">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bl>
    <w:p w14:paraId="790CAC98" w14:textId="130FE33D" w:rsidR="00C4227A" w:rsidRDefault="00C4227A" w:rsidP="00C4227A">
      <w:pPr>
        <w:pStyle w:val="Title"/>
        <w:rPr>
          <w:noProof/>
        </w:rPr>
      </w:pPr>
      <w:r>
        <w:lastRenderedPageBreak/>
        <w:t xml:space="preserve">IIII – Evidenza dwar il-kriterji tal-għażla </w:t>
      </w:r>
    </w:p>
    <w:p w14:paraId="6C38D641" w14:textId="3F0D33E7" w:rsidR="00F04B97" w:rsidRDefault="00F04B97" w:rsidP="7F6CA770">
      <w:pPr>
        <w:spacing w:before="100" w:beforeAutospacing="1" w:after="100" w:afterAutospacing="1"/>
        <w:jc w:val="both"/>
      </w:pPr>
      <w:r>
        <w:t>L-ispeċifikazzjonijiet tal-offerta jistabbilixxu fid-dettall liema evidenza, meta, u b’liema entità involuta jeħtieġ li tiġi pprovduta sabiex jiġi ppruvat li l-kandidat/l-offerent jissodisfa l-kriterji tal-għażla.</w:t>
      </w:r>
    </w:p>
    <w:p w14:paraId="1699FA0D" w14:textId="1725CF14" w:rsidR="00F04B97" w:rsidRPr="00A64C2E" w:rsidRDefault="00F04B97" w:rsidP="00897E28">
      <w:pPr>
        <w:spacing w:before="100" w:beforeAutospacing="1" w:after="100" w:afterAutospacing="1"/>
        <w:jc w:val="both"/>
        <w:rPr>
          <w:noProof/>
        </w:rPr>
      </w:pPr>
      <w:r>
        <w:t>Fejn ma jkunx meħtieġ li tiġi pprovduta l-evidenza mat-talba għall-parteċipazzjoni/l-offerta, il-persuna hija mistiedna tħejji minn qabel id-dokumenti relatati mal-evidenza, peress li l-awtorità kontraenti tista’ titlob li dawn jiġu pprovduti fi żmien</w:t>
      </w:r>
      <w:r w:rsidR="00204D99">
        <w:t xml:space="preserve"> </w:t>
      </w:r>
      <w:r>
        <w:t xml:space="preserve">qasir. </w:t>
      </w:r>
    </w:p>
    <w:p w14:paraId="1279E35F" w14:textId="2584B0D8" w:rsidR="0073022B" w:rsidRDefault="0073022B" w:rsidP="0073022B">
      <w:pPr>
        <w:spacing w:before="100" w:beforeAutospacing="1" w:after="100" w:afterAutospacing="1"/>
        <w:jc w:val="both"/>
      </w:pPr>
      <w:r>
        <w:t>Il-persuna mhijiex obbligata tippreżenta l-evidenza jekk din tkun diġà ġiet ippreżentata għal proċedura oħra ta’ akkwist tal-istess awtorità kontraenti</w:t>
      </w:r>
      <w:r>
        <w:rPr>
          <w:rStyle w:val="FootnoteReference"/>
        </w:rPr>
        <w:footnoteReference w:id="6"/>
      </w:r>
      <w:r>
        <w:t xml:space="preserve"> u d-dokumenti jkunu għadhom aġġornati.</w:t>
      </w:r>
    </w:p>
    <w:p w14:paraId="0FBE3FFA" w14:textId="51DD42D5" w:rsidR="00F04B97" w:rsidRDefault="00F04B97" w:rsidP="00897E28">
      <w:pPr>
        <w:spacing w:before="100" w:beforeAutospacing="1" w:after="100" w:afterAutospacing="1"/>
        <w:jc w:val="both"/>
      </w:pPr>
      <w:r>
        <w:t xml:space="preserve">Il-firmatarju jiddikjara li l-persuna tkun diġà pprovdiet l-evidenza dokumentarja għal proċedura preċedenti u jikkonferma li ma kienx hemm tibdil fis-sitwazzjoni tagħha: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Pr>
                <w:b/>
                <w:sz w:val="22"/>
              </w:rPr>
              <w:t>Dokument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Pr>
                <w:b/>
                <w:sz w:val="22"/>
              </w:rPr>
              <w:t>Referenza sħiħa għall-proċedura preċedenti</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Pr>
                <w:i/>
                <w:highlight w:val="lightGray"/>
              </w:rPr>
              <w:t>Daħħal linji kemm hemm bżonn.</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t>Il-persuna mhijiex obbligata tippreżenta l-evidenza jekk din tista’ tiġi aċċessata fuq bażi tad-</w:t>
      </w:r>
      <w:r>
        <w:rPr>
          <w:i/>
        </w:rPr>
        <w:t>data</w:t>
      </w:r>
      <w:r>
        <w:t xml:space="preserve"> nazzjonali mingħajr ħlas. </w:t>
      </w:r>
    </w:p>
    <w:p w14:paraId="03A26509" w14:textId="77777777" w:rsidR="008B35EE" w:rsidRDefault="008B35EE" w:rsidP="00897E28">
      <w:pPr>
        <w:spacing w:before="100" w:beforeAutospacing="1" w:after="100" w:afterAutospacing="1"/>
        <w:jc w:val="both"/>
      </w:pPr>
      <w:r>
        <w:t>Il-firmatarju jiddikjara li l-indirizz tal-internet li ġej tal-bażi tad-</w:t>
      </w:r>
      <w:r>
        <w:rPr>
          <w:i/>
        </w:rPr>
        <w:t>data</w:t>
      </w:r>
      <w:r>
        <w:t>/tad-</w:t>
      </w:r>
      <w:r>
        <w:rPr>
          <w:i/>
        </w:rPr>
        <w:t>data</w:t>
      </w:r>
      <w:r>
        <w:t xml:space="preserve"> ta’ identifikazzjoni jipprovdi aċċess għall-evidenza meħtieġa.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Indirizz tal-internet tal-bażi tad-</w:t>
            </w:r>
            <w:r>
              <w:rPr>
                <w:i/>
              </w:rPr>
              <w:t>data</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 xml:space="preserve">Data ta’ identifikazzjoni tad-dokument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Pr>
                <w:i/>
                <w:highlight w:val="lightGray"/>
              </w:rPr>
              <w:t>Daħħal linji kemm hemm bżonn.</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0A2970AE" w14:textId="3D14C550" w:rsidR="006B2B45" w:rsidRPr="006B0A89" w:rsidRDefault="006B2B45" w:rsidP="006B2B45">
      <w:pPr>
        <w:pStyle w:val="Title"/>
        <w:numPr>
          <w:ilvl w:val="0"/>
          <w:numId w:val="30"/>
        </w:numPr>
        <w:ind w:left="567" w:hanging="567"/>
        <w:jc w:val="both"/>
        <w:rPr>
          <w:noProof/>
        </w:rPr>
      </w:pPr>
      <w:r>
        <w:t xml:space="preserve">Dikjarazzjoni fuq l-unur dwar dejn stabbilit mal-Unjoni </w:t>
      </w:r>
    </w:p>
    <w:p w14:paraId="1DCBB562" w14:textId="03CF733F" w:rsidR="006B2B45" w:rsidRPr="006B0A89" w:rsidRDefault="0013073C" w:rsidP="6FB7994E">
      <w:pPr>
        <w:spacing w:before="120" w:after="120"/>
        <w:jc w:val="both"/>
        <w:rPr>
          <w:b/>
          <w:bCs/>
          <w:i/>
          <w:iCs/>
          <w:noProof/>
        </w:rPr>
      </w:pPr>
      <w:r>
        <w:rPr>
          <w:b/>
          <w:i/>
        </w:rPr>
        <w:t xml:space="preserve"> (għandha timtela mill-kandidat/offerent uniku jew minn kull membru tal-grupp f’każ ta’ talba konġunta għall-parteċipazzjoni/offerta)</w:t>
      </w:r>
    </w:p>
    <w:p w14:paraId="5915DC59" w14:textId="752F5BD7" w:rsidR="00EE7E2B" w:rsidRDefault="00EE7E2B" w:rsidP="00EE7E2B">
      <w:pPr>
        <w:jc w:val="both"/>
        <w:rPr>
          <w:noProof/>
        </w:rPr>
      </w:pPr>
      <w:r>
        <w:t>Il-persuna, li hija l-uniku kandidat/offerent/membru ta’ talba konġunta għall-parteċipazzjoni/offerta, li tressaq talba għall-parteċipazzjoni/offerta għall-proċedura msemmija hawn fuq:</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6B0A89" w:rsidRDefault="00920214" w:rsidP="006B0A89">
            <w:pPr>
              <w:spacing w:before="120" w:after="120"/>
              <w:jc w:val="both"/>
            </w:pPr>
            <w:r>
              <w:t>(9) tiddikjara li l-persuna</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t>IVA</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t>LE</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5A62A641" w:rsidR="006B2B45" w:rsidRPr="006B0A89" w:rsidRDefault="00EE7E2B" w:rsidP="000562EA">
            <w:pPr>
              <w:pStyle w:val="Text1"/>
              <w:spacing w:before="40" w:after="40"/>
              <w:ind w:left="0"/>
              <w:rPr>
                <w:noProof/>
              </w:rPr>
            </w:pPr>
            <w:r>
              <w:t>(a) għand</w:t>
            </w:r>
            <w:r w:rsidR="000562EA">
              <w:t>ha</w:t>
            </w:r>
            <w:r>
              <w:t xml:space="preserve"> dejn stabbilit mal-Unjoni, il-Komunità Ewropea tal-Enerġija Atomika jew aġenzija eżekuttiva meta din tal-aħħar timplimenta l-baġit tal-Unjoni.</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bl>
    <w:p w14:paraId="171E4AF4" w14:textId="20CC95AF" w:rsidR="00340E14" w:rsidRPr="006B0A89" w:rsidRDefault="00340E14" w:rsidP="00340E14">
      <w:pPr>
        <w:pStyle w:val="Title"/>
        <w:numPr>
          <w:ilvl w:val="0"/>
          <w:numId w:val="30"/>
        </w:numPr>
        <w:ind w:left="567" w:hanging="567"/>
        <w:jc w:val="both"/>
        <w:rPr>
          <w:noProof/>
        </w:rPr>
      </w:pPr>
      <w:r>
        <w:t xml:space="preserve">Dikjarazzjoni fuq l-unur dwar l-offerta sottomessa </w:t>
      </w:r>
    </w:p>
    <w:p w14:paraId="7D66B10A" w14:textId="0B06DCCD" w:rsidR="00765179" w:rsidRPr="000C6B51" w:rsidRDefault="00765179" w:rsidP="570F7154">
      <w:pPr>
        <w:spacing w:beforeAutospacing="1" w:afterAutospacing="1"/>
        <w:jc w:val="both"/>
        <w:rPr>
          <w:b/>
          <w:bCs/>
          <w:i/>
          <w:iCs/>
          <w:noProof/>
        </w:rPr>
      </w:pPr>
      <w:r>
        <w:rPr>
          <w:b/>
          <w:i/>
        </w:rPr>
        <w:t>(għandha timtela individwalment mill-kandidat/offerent uniku, jew mill-mexxej tal-grupp f’każ ta’ talba konġunta għall-parteċipazzjoni/offerta)</w:t>
      </w:r>
    </w:p>
    <w:p w14:paraId="44652C08" w14:textId="3F669C66" w:rsidR="743C92D7" w:rsidRDefault="743C92D7" w:rsidP="570F7154">
      <w:pPr>
        <w:spacing w:beforeAutospacing="1" w:afterAutospacing="1"/>
        <w:jc w:val="both"/>
      </w:pPr>
      <w:r>
        <w:lastRenderedPageBreak/>
        <w:t>Fil-każ ta’ proċedura bil-lottijiet id-dikjarazzjonijiet f’din il-parti D japplikaw għal-lott(ijiet) li għalih/hom titressaq it-talba għall-parteċipazzjoni/offerta.</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EA2" w14:paraId="022E046F" w14:textId="77777777" w:rsidTr="6FB7994E">
        <w:tc>
          <w:tcPr>
            <w:tcW w:w="8327" w:type="dxa"/>
            <w:shd w:val="clear" w:color="auto" w:fill="auto"/>
          </w:tcPr>
          <w:p w14:paraId="09C4ACC7" w14:textId="1C49DC02" w:rsidR="000F6EA2" w:rsidRDefault="00C210FF" w:rsidP="00C210FF">
            <w:pPr>
              <w:spacing w:before="120" w:after="120"/>
              <w:jc w:val="both"/>
              <w:rPr>
                <w:noProof/>
              </w:rPr>
            </w:pPr>
            <w:r>
              <w:t>(10) tiddikjara li l-persuna:</w:t>
            </w:r>
          </w:p>
        </w:tc>
        <w:tc>
          <w:tcPr>
            <w:tcW w:w="670" w:type="dxa"/>
            <w:shd w:val="clear" w:color="auto" w:fill="auto"/>
          </w:tcPr>
          <w:p w14:paraId="59250AC2" w14:textId="77777777" w:rsidR="000F6EA2" w:rsidRDefault="000F6EA2" w:rsidP="00C54FCE">
            <w:pPr>
              <w:spacing w:before="240" w:after="120"/>
              <w:jc w:val="center"/>
              <w:rPr>
                <w:noProof/>
              </w:rPr>
            </w:pPr>
            <w:r>
              <w:t>IVA</w:t>
            </w:r>
          </w:p>
        </w:tc>
        <w:tc>
          <w:tcPr>
            <w:tcW w:w="759" w:type="dxa"/>
            <w:shd w:val="clear" w:color="auto" w:fill="auto"/>
          </w:tcPr>
          <w:p w14:paraId="7D1AA4B7" w14:textId="77777777" w:rsidR="000F6EA2" w:rsidRDefault="000F6EA2" w:rsidP="00C54FCE">
            <w:pPr>
              <w:spacing w:before="240" w:after="120"/>
              <w:jc w:val="center"/>
              <w:rPr>
                <w:noProof/>
              </w:rPr>
            </w:pPr>
            <w:r>
              <w:t>LE</w:t>
            </w:r>
          </w:p>
        </w:tc>
      </w:tr>
      <w:tr w:rsidR="000F6EA2" w14:paraId="787F342E" w14:textId="77777777" w:rsidTr="6FB7994E">
        <w:tc>
          <w:tcPr>
            <w:tcW w:w="8327" w:type="dxa"/>
            <w:shd w:val="clear" w:color="auto" w:fill="auto"/>
          </w:tcPr>
          <w:p w14:paraId="7975BFE1" w14:textId="706E36C7" w:rsidR="000F6EA2" w:rsidRDefault="000C6B51" w:rsidP="007C0017">
            <w:pPr>
              <w:pStyle w:val="Text1"/>
              <w:spacing w:before="40" w:after="40"/>
              <w:ind w:left="0"/>
              <w:rPr>
                <w:noProof/>
              </w:rPr>
            </w:pPr>
            <w:r>
              <w:t>(a) [ippreparat l-offerta sottomessa] [timpenja ruħha li tħejji l-offerta (jekk mistiedna tissottometti offerta)] b’indipendenza sħiħa u b’mod awtonomu mill-offerti l-oħra sottomessi fl-istess proċedura ta’ akkwist.</w:t>
            </w:r>
          </w:p>
        </w:tc>
        <w:tc>
          <w:tcPr>
            <w:tcW w:w="670" w:type="dxa"/>
            <w:shd w:val="clear" w:color="auto" w:fill="auto"/>
          </w:tcPr>
          <w:p w14:paraId="354F15FF" w14:textId="77777777" w:rsidR="000F6EA2" w:rsidRDefault="000F6EA2" w:rsidP="00C54FCE">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c>
          <w:tcPr>
            <w:tcW w:w="759" w:type="dxa"/>
            <w:shd w:val="clear" w:color="auto" w:fill="auto"/>
          </w:tcPr>
          <w:p w14:paraId="360BA9D6" w14:textId="77777777" w:rsidR="000F6EA2" w:rsidRDefault="000F6EA2" w:rsidP="00C54FCE">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31519">
              <w:fldChar w:fldCharType="separate"/>
            </w:r>
            <w: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rPr>
        <w:t>Il-persuna hija obbligata tinforma lill-awtorità kontraenti b’kull tibdil fis-sitwazzjonijiet kif iddikjarati.</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Pr>
          <w:b/>
          <w:i/>
        </w:rPr>
        <w:t>Il-persuna tista’ tkun soġġetta għal rifjut minn din il-proċedura u għal sanzjonijiet amministrattivi (l-esklużjoni jew il-penali finanzjarja) jekk xi waħda mid-dikjarazzjonijiet jew l-informazzjoni pprovduta bħala kundizzjoni għall-parteċipazzjoni f’din il-proċedura tkun falza.</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t>Isem sħiħ:</w:t>
      </w:r>
      <w:r>
        <w:tab/>
      </w:r>
    </w:p>
    <w:p w14:paraId="4F5C3CA0" w14:textId="4ADE4B77" w:rsidR="00522736" w:rsidRDefault="00DA410F" w:rsidP="004A4B4A">
      <w:pPr>
        <w:tabs>
          <w:tab w:val="left" w:pos="4395"/>
          <w:tab w:val="left" w:pos="7797"/>
        </w:tabs>
        <w:spacing w:before="40" w:after="40"/>
        <w:jc w:val="both"/>
        <w:rPr>
          <w:noProof/>
        </w:rPr>
      </w:pPr>
      <w:r>
        <w:t>Data:</w:t>
      </w:r>
      <w:r>
        <w:tab/>
      </w:r>
    </w:p>
    <w:p w14:paraId="16F448F0" w14:textId="42F52720" w:rsidR="00DA410F" w:rsidRPr="00F76ABA" w:rsidRDefault="00DA410F" w:rsidP="004A4B4A">
      <w:pPr>
        <w:tabs>
          <w:tab w:val="left" w:pos="4395"/>
          <w:tab w:val="left" w:pos="7797"/>
        </w:tabs>
        <w:spacing w:before="40" w:after="40"/>
        <w:jc w:val="both"/>
        <w:rPr>
          <w:noProof/>
        </w:rPr>
      </w:pPr>
      <w:r>
        <w:t>Firma:</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Pr>
          <w:i/>
          <w:highlight w:val="lightGray"/>
        </w:rPr>
        <w:t>Id-dikjarazzjoni għandha tiġi ffirmata permezz ta’:</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Pr>
          <w:i/>
          <w:highlight w:val="lightGray"/>
        </w:rPr>
        <w:t>Firma elettronika (l-għażla rakkomandata):</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Pr>
          <w:i/>
          <w:highlight w:val="lightGray"/>
        </w:rPr>
        <w:t xml:space="preserve">F’każ li jkollok il-possibbiltà li tiffirma d-dikjarazzjoni permezz ta’ firma elettronika kwalifikata (qualified electronic signature, QES), jekk jogħġbok itlob li tiġi ffirmata elettronikament mir-rappreżentant(i) awtorizzat(i) tiegħek. Jekk jogħġbok kun af li se tiġi aċċettata biss il-firma elettronika kwalifikata (QES) skont it-tifsira tar-Regolament (UE) Nru 910/2014 (ir-Regolament eIDAS).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Pr>
          <w:i/>
          <w:highlight w:val="lightGray"/>
        </w:rPr>
        <w:t>Qabel ma tibgħat lura d-dokument iffirmat elettronikament tiegħek, jekk jogħġbok iċċekkja l-firma u l-validità taċ-ċertifikat b’waħda mill-għodod li ġejjin:</w:t>
      </w:r>
    </w:p>
    <w:p w14:paraId="51E4A90D" w14:textId="77777777" w:rsidR="00454D84" w:rsidRPr="002870DB" w:rsidRDefault="00454D84">
      <w:pPr>
        <w:pStyle w:val="ListParagraph"/>
        <w:numPr>
          <w:ilvl w:val="0"/>
          <w:numId w:val="32"/>
        </w:numPr>
        <w:rPr>
          <w:i/>
          <w:iCs/>
          <w:highlight w:val="lightGray"/>
        </w:rPr>
      </w:pPr>
      <w:r>
        <w:rPr>
          <w:i/>
          <w:highlight w:val="lightGray"/>
        </w:rPr>
        <w:t>L-għodda ta’ validazzjoni ta’ Dimostrazzjoni DSS hija disponibbli fuq</w:t>
      </w:r>
      <w:r>
        <w:t xml:space="preserve"> </w:t>
      </w:r>
      <w:hyperlink r:id="rId12" w:history="1">
        <w:r>
          <w:rPr>
            <w:highlight w:val="lightGray"/>
          </w:rPr>
          <w:t xml:space="preserve">https://ec.europa.eu/cefdigital/DSS/webapp-demo/validation </w:t>
        </w:r>
      </w:hyperlink>
      <w:r>
        <w:rPr>
          <w:i/>
          <w:highlight w:val="lightGray"/>
        </w:rPr>
        <w:t>tista’ tgħinek tiċċekkja l-validità ta’ ċertifikat billi tindika n-numru u t-tip ta’ firem validi f’dokument</w:t>
      </w:r>
      <w:r>
        <w:t>.</w:t>
      </w:r>
    </w:p>
    <w:p w14:paraId="4C363E86" w14:textId="114D5DCB" w:rsidR="00454D84" w:rsidRPr="002870DB" w:rsidRDefault="00454D84" w:rsidP="00F556E0">
      <w:pPr>
        <w:pStyle w:val="ListParagraph"/>
        <w:numPr>
          <w:ilvl w:val="0"/>
          <w:numId w:val="32"/>
        </w:numPr>
        <w:rPr>
          <w:i/>
          <w:iCs/>
          <w:highlight w:val="lightGray"/>
        </w:rPr>
      </w:pPr>
      <w:r>
        <w:rPr>
          <w:i/>
          <w:highlight w:val="lightGray"/>
        </w:rPr>
        <w:t xml:space="preserve">Il-browser tal-Lista ta’ Fiduċja tal-UE jista’ jiġi kkonsultat sabiex jiġi vverifikat jekk il-fornitur tal-firma elettronika u s-servizz fiduċjarju li jipprovdi humiex parti mil-Lista ta’ Fiduċja tal-Unjoni Ewropea: </w:t>
      </w:r>
      <w:hyperlink r:id="rId13" w:anchor="/screen/home" w:history="1">
        <w:r>
          <w:rPr>
            <w:i/>
            <w:highlight w:val="lightGray"/>
          </w:rPr>
          <w:t>https://esignature.ec.europa.eu/efda/tl-browser/#/screen/home</w:t>
        </w:r>
      </w:hyperlink>
      <w:r>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Pr>
          <w:i/>
          <w:highlight w:val="lightGray"/>
        </w:rPr>
        <w:t>Biex tiżgura li tkun qed tuża l-QES konformi mar-Regolament eIDAS, trid tiċċekkja li kemm il-fornitur tas-servizz kif ukoll is-servizz tal-ġenerazzjoni taċ-ċertifikat kwalifikat użat huma inklużi fil-browser tal-Lista ta’ Fiduċja tal-UE.</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Pr>
          <w:i/>
          <w:highlight w:val="lightGray"/>
        </w:rPr>
        <w:t>Firma bl-idejn:</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Pr>
          <w:i/>
          <w:highlight w:val="lightGray"/>
        </w:rPr>
        <w:t>F’każ li ma jkollokx il-possibbiltà li tiffirma d-dikjarazzjoni permezz ta’ firma elettronika kwalifikata (QES), jekk jogħġbok imliha b’mod elettroniku, imbagħad stampaha u din għandha tiġi ffirmata u ddatata mir-rappreżentant(i) awtorizzat(i) tiegħek b’firma bl-idejn.</w:t>
      </w:r>
    </w:p>
    <w:sectPr w:rsidR="00454D84" w:rsidRPr="006B2B45" w:rsidSect="001D72E4">
      <w:headerReference w:type="default" r:id="rId14"/>
      <w:footerReference w:type="default" r:id="rId15"/>
      <w:headerReference w:type="first" r:id="rId16"/>
      <w:footerReference w:type="first" r:id="rId17"/>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BF5" w14:textId="77777777" w:rsidR="00585B73" w:rsidRDefault="00585B73">
      <w:r>
        <w:separator/>
      </w:r>
    </w:p>
  </w:endnote>
  <w:endnote w:type="continuationSeparator" w:id="0">
    <w:p w14:paraId="6E938B31" w14:textId="77777777" w:rsidR="00585B73" w:rsidRDefault="00585B73">
      <w:r>
        <w:continuationSeparator/>
      </w:r>
    </w:p>
  </w:endnote>
  <w:endnote w:type="continuationNotice" w:id="1">
    <w:p w14:paraId="6ACA152D" w14:textId="77777777" w:rsidR="00585B73" w:rsidRDefault="0058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BE254BC" w:rsidR="00585B73" w:rsidRDefault="00585B73" w:rsidP="00370A7F">
            <w:pPr>
              <w:pStyle w:val="Footer"/>
              <w:jc w:val="center"/>
            </w:pPr>
            <w:r>
              <w:rPr>
                <w:sz w:val="20"/>
              </w:rPr>
              <w:t xml:space="preserve">Paġna </w:t>
            </w:r>
            <w:r>
              <w:rPr>
                <w:sz w:val="20"/>
              </w:rPr>
              <w:fldChar w:fldCharType="begin"/>
            </w:r>
            <w:r>
              <w:rPr>
                <w:sz w:val="20"/>
              </w:rPr>
              <w:instrText xml:space="preserve"> PAGE </w:instrText>
            </w:r>
            <w:r>
              <w:rPr>
                <w:sz w:val="20"/>
              </w:rPr>
              <w:fldChar w:fldCharType="separate"/>
            </w:r>
            <w:r w:rsidR="00BD599B">
              <w:rPr>
                <w:noProof/>
                <w:sz w:val="20"/>
              </w:rPr>
              <w:t>1</w:t>
            </w:r>
            <w:r>
              <w:rPr>
                <w:sz w:val="20"/>
              </w:rPr>
              <w:fldChar w:fldCharType="end"/>
            </w:r>
            <w:r>
              <w:rPr>
                <w:sz w:val="20"/>
              </w:rPr>
              <w:t xml:space="preserve"> minn </w:t>
            </w:r>
            <w:r>
              <w:rPr>
                <w:sz w:val="20"/>
              </w:rPr>
              <w:fldChar w:fldCharType="begin"/>
            </w:r>
            <w:r>
              <w:rPr>
                <w:sz w:val="20"/>
              </w:rPr>
              <w:instrText xml:space="preserve"> NUMPAGES  </w:instrText>
            </w:r>
            <w:r>
              <w:rPr>
                <w:sz w:val="20"/>
              </w:rPr>
              <w:fldChar w:fldCharType="separate"/>
            </w:r>
            <w:r w:rsidR="00BD599B">
              <w:rPr>
                <w:noProof/>
                <w:sz w:val="20"/>
              </w:rPr>
              <w:t>10</w:t>
            </w:r>
            <w:r>
              <w:rPr>
                <w:sz w:val="20"/>
              </w:rPr>
              <w:fldChar w:fldCharType="end"/>
            </w:r>
          </w:p>
        </w:sdtContent>
      </w:sdt>
    </w:sdtContent>
  </w:sdt>
  <w:p w14:paraId="65B8CF84" w14:textId="77777777" w:rsidR="00585B73" w:rsidRDefault="0058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AE" w14:textId="70FD2B71" w:rsidR="00585B73" w:rsidRPr="00D6012C" w:rsidRDefault="00585B73">
    <w:pPr>
      <w:pStyle w:val="Footer"/>
      <w:jc w:val="right"/>
      <w:rPr>
        <w:sz w:val="20"/>
        <w:szCs w:val="20"/>
      </w:rPr>
    </w:pPr>
  </w:p>
  <w:p w14:paraId="247F4E4D" w14:textId="77777777" w:rsidR="00585B73" w:rsidRDefault="0058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AAB" w14:textId="77777777" w:rsidR="00585B73" w:rsidRDefault="00585B73">
      <w:r>
        <w:separator/>
      </w:r>
    </w:p>
  </w:footnote>
  <w:footnote w:type="continuationSeparator" w:id="0">
    <w:p w14:paraId="26DD29FA" w14:textId="77777777" w:rsidR="00585B73" w:rsidRDefault="00585B73">
      <w:r>
        <w:continuationSeparator/>
      </w:r>
    </w:p>
  </w:footnote>
  <w:footnote w:type="continuationNotice" w:id="1">
    <w:p w14:paraId="51915B9B" w14:textId="77777777" w:rsidR="00585B73" w:rsidRDefault="00585B73"/>
  </w:footnote>
  <w:footnote w:id="2">
    <w:p w14:paraId="61539AC3" w14:textId="46EF5ACC" w:rsidR="00585B73" w:rsidRPr="009857B0" w:rsidRDefault="00585B73">
      <w:pPr>
        <w:pStyle w:val="FootnoteText"/>
      </w:pPr>
      <w:r>
        <w:rPr>
          <w:rStyle w:val="FootnoteReference"/>
        </w:rPr>
        <w:footnoteRef/>
      </w:r>
      <w:r>
        <w:t xml:space="preserve"> L-istess istituzzjoni, aġenzija, korp jew uffiċċju tal-UE. </w:t>
      </w:r>
    </w:p>
  </w:footnote>
  <w:footnote w:id="3">
    <w:p w14:paraId="77A259E1" w14:textId="37F9C71D" w:rsidR="00585B73" w:rsidRPr="00B74CFF" w:rsidRDefault="00585B73" w:rsidP="004C0A40">
      <w:pPr>
        <w:rPr>
          <w:spacing w:val="-3"/>
          <w:sz w:val="20"/>
          <w:szCs w:val="20"/>
        </w:rPr>
      </w:pPr>
      <w:r>
        <w:rPr>
          <w:rStyle w:val="FootnoteReference"/>
          <w:sz w:val="20"/>
          <w:szCs w:val="20"/>
        </w:rPr>
        <w:footnoteRef/>
      </w:r>
      <w:r>
        <w:rPr>
          <w:sz w:val="20"/>
        </w:rPr>
        <w:t xml:space="preserve"> </w:t>
      </w:r>
      <w:r>
        <w:rPr>
          <w:b/>
          <w:sz w:val="20"/>
        </w:rPr>
        <w:t>“Entità involuta</w:t>
      </w:r>
      <w:r>
        <w:rPr>
          <w:sz w:val="20"/>
        </w:rPr>
        <w:t>” hija kull operatur ekonomiku involut fit-talba għall-parteċipazzjoni/offerta. Dan jinkludi l-erba’ kategoriji ta’ operaturi ekonomiċi li ġejjin:</w:t>
      </w:r>
    </w:p>
    <w:p w14:paraId="2A5F011B" w14:textId="797285D5" w:rsidR="00585B73" w:rsidRPr="00B74CFF" w:rsidRDefault="00585B73" w:rsidP="004C0A40">
      <w:pPr>
        <w:pStyle w:val="ListParagraph"/>
        <w:numPr>
          <w:ilvl w:val="0"/>
          <w:numId w:val="52"/>
        </w:numPr>
        <w:contextualSpacing w:val="0"/>
        <w:jc w:val="both"/>
        <w:rPr>
          <w:spacing w:val="-3"/>
          <w:sz w:val="20"/>
          <w:szCs w:val="20"/>
        </w:rPr>
      </w:pPr>
      <w:r>
        <w:rPr>
          <w:sz w:val="20"/>
        </w:rPr>
        <w:t xml:space="preserve">il-kandidat/l-offerent uniku; </w:t>
      </w:r>
    </w:p>
    <w:p w14:paraId="19BA1FBC" w14:textId="0458761C" w:rsidR="00585B73" w:rsidRPr="00B74CFF" w:rsidRDefault="00585B73" w:rsidP="004C0A40">
      <w:pPr>
        <w:pStyle w:val="ListParagraph"/>
        <w:numPr>
          <w:ilvl w:val="0"/>
          <w:numId w:val="52"/>
        </w:numPr>
        <w:spacing w:before="100" w:beforeAutospacing="1" w:after="100" w:afterAutospacing="1"/>
        <w:contextualSpacing w:val="0"/>
        <w:jc w:val="both"/>
        <w:rPr>
          <w:spacing w:val="-3"/>
          <w:sz w:val="20"/>
          <w:szCs w:val="20"/>
        </w:rPr>
      </w:pPr>
      <w:r>
        <w:rPr>
          <w:sz w:val="20"/>
        </w:rPr>
        <w:t xml:space="preserve">il-membri tal-grupp (inkluż il-mexxej tal-grupp) f’każ ta’ talba konġunta għall-parteċipazzjoni/l-offerta; </w:t>
      </w:r>
    </w:p>
    <w:p w14:paraId="1460283F" w14:textId="114CC700" w:rsidR="00585B73" w:rsidRPr="00B74CFF" w:rsidRDefault="00585B73" w:rsidP="004C0A40">
      <w:pPr>
        <w:pStyle w:val="ListParagraph"/>
        <w:numPr>
          <w:ilvl w:val="0"/>
          <w:numId w:val="52"/>
        </w:numPr>
        <w:contextualSpacing w:val="0"/>
        <w:jc w:val="both"/>
        <w:rPr>
          <w:spacing w:val="-3"/>
          <w:sz w:val="20"/>
          <w:szCs w:val="20"/>
        </w:rPr>
      </w:pPr>
      <w:r>
        <w:rPr>
          <w:sz w:val="20"/>
        </w:rPr>
        <w:t xml:space="preserve">sottokuntratturi identifikati; kif ukoll </w:t>
      </w:r>
    </w:p>
    <w:p w14:paraId="47F4AE29" w14:textId="50B7CA17" w:rsidR="00585B73" w:rsidRPr="00B74CFF" w:rsidRDefault="00585B73" w:rsidP="004C0A40">
      <w:pPr>
        <w:pStyle w:val="ListParagraph"/>
        <w:numPr>
          <w:ilvl w:val="0"/>
          <w:numId w:val="52"/>
        </w:numPr>
        <w:contextualSpacing w:val="0"/>
        <w:jc w:val="both"/>
        <w:rPr>
          <w:spacing w:val="-3"/>
          <w:sz w:val="20"/>
          <w:szCs w:val="20"/>
        </w:rPr>
      </w:pPr>
      <w:r>
        <w:rPr>
          <w:sz w:val="20"/>
        </w:rPr>
        <w:t>entitajiet oħra (li mhumiex sottokuntratturi) li l-kandidat/l-offerent jiddependi fuq il-kapaċità tagħhom biex jissodisfa l-kriterji tal-għażla.</w:t>
      </w:r>
    </w:p>
    <w:p w14:paraId="5BE9C146" w14:textId="10CA3A5B" w:rsidR="00585B73" w:rsidRPr="00A54548" w:rsidRDefault="00585B73" w:rsidP="004C0A40">
      <w:pPr>
        <w:pStyle w:val="FootnoteText"/>
        <w:ind w:left="0" w:firstLine="0"/>
      </w:pPr>
    </w:p>
  </w:footnote>
  <w:footnote w:id="4">
    <w:p w14:paraId="60E27032" w14:textId="05EBE0E1" w:rsidR="00585B73" w:rsidRPr="00295BCF" w:rsidRDefault="00585B73" w:rsidP="00295BCF">
      <w:pPr>
        <w:pStyle w:val="FootnoteText"/>
        <w:ind w:left="0" w:firstLine="0"/>
      </w:pPr>
      <w:r>
        <w:rPr>
          <w:rStyle w:val="FootnoteReference"/>
        </w:rPr>
        <w:footnoteRef/>
      </w:r>
      <w:r>
        <w:t xml:space="preserve"> Id-dikjarazzjoni skont dan il-punt (2) hija volontarja u ma jistax ikollha effett legali negattiv fuq l-operatur ekonomiku sakemm jiġu ssodisfati l-kundizzjonijiet tal-Artikolu 141(1)(a) tar-Regolament Finanzjarju.</w:t>
      </w:r>
    </w:p>
  </w:footnote>
  <w:footnote w:id="5">
    <w:p w14:paraId="79038C83" w14:textId="46E5ADA1" w:rsidR="00585B73" w:rsidRPr="00EA6BA4" w:rsidRDefault="00585B73">
      <w:pPr>
        <w:pStyle w:val="FootnoteText"/>
      </w:pPr>
      <w:r>
        <w:rPr>
          <w:rStyle w:val="FootnoteReference"/>
        </w:rPr>
        <w:footnoteRef/>
      </w:r>
      <w:r>
        <w:t xml:space="preserve"> L-istess istituzzjoni, aġenzija, korp jew uffiċċju tal-UE.</w:t>
      </w:r>
    </w:p>
  </w:footnote>
  <w:footnote w:id="6">
    <w:p w14:paraId="691476B8" w14:textId="175A7801" w:rsidR="00585B73" w:rsidRPr="00EA6BA4" w:rsidRDefault="00585B73" w:rsidP="0073022B">
      <w:pPr>
        <w:pStyle w:val="FootnoteText"/>
      </w:pPr>
      <w:r>
        <w:rPr>
          <w:rStyle w:val="FootnoteReference"/>
        </w:rPr>
        <w:footnoteRef/>
      </w:r>
      <w:r>
        <w:t xml:space="preserve"> L-istess istituzzjoni, aġenzija, korp jew uffiċċju tal-UE.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530D" w14:textId="77777777" w:rsidR="00585B73" w:rsidRDefault="00585B73" w:rsidP="001D72E4">
    <w:pPr>
      <w:pStyle w:val="Header"/>
      <w:jc w:val="right"/>
      <w:rPr>
        <w:sz w:val="20"/>
        <w:szCs w:val="20"/>
      </w:rPr>
    </w:pPr>
    <w:r>
      <w:rPr>
        <w:sz w:val="20"/>
      </w:rPr>
      <w:t>Verżjoni Lulju 2022</w:t>
    </w:r>
  </w:p>
  <w:p w14:paraId="42189F54" w14:textId="77777777" w:rsidR="00585B73" w:rsidRDefault="0058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24A0B937" w:rsidR="00585B73" w:rsidRPr="00370A7F" w:rsidRDefault="00585B73">
    <w:pPr>
      <w:pStyle w:val="Header"/>
      <w:jc w:val="right"/>
      <w:rPr>
        <w:sz w:val="20"/>
        <w:szCs w:val="20"/>
      </w:rPr>
    </w:pPr>
    <w:r>
      <w:rPr>
        <w:sz w:val="20"/>
      </w:rPr>
      <w:t>Verżjoni Lulju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6"/>
  </w:num>
  <w:num w:numId="2">
    <w:abstractNumId w:val="0"/>
  </w:num>
  <w:num w:numId="3">
    <w:abstractNumId w:val="37"/>
  </w:num>
  <w:num w:numId="4">
    <w:abstractNumId w:val="6"/>
  </w:num>
  <w:num w:numId="5">
    <w:abstractNumId w:val="35"/>
  </w:num>
  <w:num w:numId="6">
    <w:abstractNumId w:val="20"/>
  </w:num>
  <w:num w:numId="7">
    <w:abstractNumId w:val="51"/>
  </w:num>
  <w:num w:numId="8">
    <w:abstractNumId w:val="36"/>
  </w:num>
  <w:num w:numId="9">
    <w:abstractNumId w:val="15"/>
  </w:num>
  <w:num w:numId="10">
    <w:abstractNumId w:val="12"/>
  </w:num>
  <w:num w:numId="11">
    <w:abstractNumId w:val="2"/>
  </w:num>
  <w:num w:numId="12">
    <w:abstractNumId w:val="44"/>
  </w:num>
  <w:num w:numId="13">
    <w:abstractNumId w:val="50"/>
  </w:num>
  <w:num w:numId="14">
    <w:abstractNumId w:val="42"/>
  </w:num>
  <w:num w:numId="15">
    <w:abstractNumId w:val="14"/>
  </w:num>
  <w:num w:numId="16">
    <w:abstractNumId w:val="43"/>
  </w:num>
  <w:num w:numId="17">
    <w:abstractNumId w:val="16"/>
  </w:num>
  <w:num w:numId="18">
    <w:abstractNumId w:val="1"/>
  </w:num>
  <w:num w:numId="19">
    <w:abstractNumId w:val="3"/>
  </w:num>
  <w:num w:numId="20">
    <w:abstractNumId w:val="40"/>
  </w:num>
  <w:num w:numId="21">
    <w:abstractNumId w:val="49"/>
  </w:num>
  <w:num w:numId="22">
    <w:abstractNumId w:val="34"/>
  </w:num>
  <w:num w:numId="23">
    <w:abstractNumId w:val="47"/>
  </w:num>
  <w:num w:numId="24">
    <w:abstractNumId w:val="31"/>
  </w:num>
  <w:num w:numId="25">
    <w:abstractNumId w:val="11"/>
  </w:num>
  <w:num w:numId="26">
    <w:abstractNumId w:val="25"/>
  </w:num>
  <w:num w:numId="27">
    <w:abstractNumId w:val="22"/>
  </w:num>
  <w:num w:numId="28">
    <w:abstractNumId w:val="13"/>
  </w:num>
  <w:num w:numId="29">
    <w:abstractNumId w:val="39"/>
  </w:num>
  <w:num w:numId="30">
    <w:abstractNumId w:val="45"/>
  </w:num>
  <w:num w:numId="31">
    <w:abstractNumId w:val="38"/>
  </w:num>
  <w:num w:numId="32">
    <w:abstractNumId w:val="41"/>
  </w:num>
  <w:num w:numId="33">
    <w:abstractNumId w:val="23"/>
  </w:num>
  <w:num w:numId="34">
    <w:abstractNumId w:val="10"/>
  </w:num>
  <w:num w:numId="35">
    <w:abstractNumId w:val="19"/>
  </w:num>
  <w:num w:numId="36">
    <w:abstractNumId w:val="4"/>
  </w:num>
  <w:num w:numId="37">
    <w:abstractNumId w:val="8"/>
  </w:num>
  <w:num w:numId="38">
    <w:abstractNumId w:val="5"/>
  </w:num>
  <w:num w:numId="39">
    <w:abstractNumId w:val="24"/>
  </w:num>
  <w:num w:numId="40">
    <w:abstractNumId w:val="29"/>
  </w:num>
  <w:num w:numId="41">
    <w:abstractNumId w:val="9"/>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2"/>
    </w:lvlOverride>
    <w:lvlOverride w:ilvl="1"/>
    <w:lvlOverride w:ilvl="2"/>
    <w:lvlOverride w:ilvl="3"/>
    <w:lvlOverride w:ilvl="4"/>
    <w:lvlOverride w:ilvl="5"/>
    <w:lvlOverride w:ilvl="6"/>
    <w:lvlOverride w:ilvl="7"/>
    <w:lvlOverride w:ilvl="8"/>
  </w:num>
  <w:num w:numId="44">
    <w:abstractNumId w:val="30"/>
  </w:num>
  <w:num w:numId="45">
    <w:abstractNumId w:val="48"/>
  </w:num>
  <w:num w:numId="46">
    <w:abstractNumId w:val="17"/>
  </w:num>
  <w:num w:numId="47">
    <w:abstractNumId w:val="18"/>
  </w:num>
  <w:num w:numId="48">
    <w:abstractNumId w:val="27"/>
  </w:num>
  <w:num w:numId="49">
    <w:abstractNumId w:val="21"/>
  </w:num>
  <w:num w:numId="50">
    <w:abstractNumId w:val="26"/>
  </w:num>
  <w:num w:numId="51">
    <w:abstractNumId w:val="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93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11D8F"/>
    <w:rsid w:val="000134F6"/>
    <w:rsid w:val="00015453"/>
    <w:rsid w:val="000307EB"/>
    <w:rsid w:val="0003236B"/>
    <w:rsid w:val="00044C7D"/>
    <w:rsid w:val="00055F7F"/>
    <w:rsid w:val="000562EA"/>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4D9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D210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1519"/>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4548"/>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D599B"/>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789F"/>
    <w:rsid w:val="00E6004E"/>
    <w:rsid w:val="00E6068A"/>
    <w:rsid w:val="00E60E5A"/>
    <w:rsid w:val="00E61CDD"/>
    <w:rsid w:val="00E64E98"/>
    <w:rsid w:val="00E70043"/>
    <w:rsid w:val="00E71330"/>
    <w:rsid w:val="00E7518C"/>
    <w:rsid w:val="00E75451"/>
    <w:rsid w:val="00E807C2"/>
    <w:rsid w:val="00E80BCE"/>
    <w:rsid w:val="00E80D99"/>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t-M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mt-MT"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mt-MT"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mt-MT"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mt-MT"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mt-MT"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D25CA-3A8B-493F-8E10-EAB23B5CE144}">
  <ds:schemaRefs>
    <ds:schemaRef ds:uri="http://schemas.openxmlformats.org/officeDocument/2006/bibliography"/>
  </ds:schemaRefs>
</ds:datastoreItem>
</file>

<file path=customXml/itemProps2.xml><?xml version="1.0" encoding="utf-8"?>
<ds:datastoreItem xmlns:ds="http://schemas.openxmlformats.org/officeDocument/2006/customXml" ds:itemID="{CC78E283-07B6-4677-B0CA-86BCC92994C6}">
  <ds:schemaRefs>
    <ds:schemaRef ds:uri="http://schemas.microsoft.com/office/2006/metadata/properties"/>
    <ds:schemaRef ds:uri="http://schemas.microsoft.com/sharepoint/v3"/>
    <ds:schemaRef ds:uri="http://www.w3.org/XML/1998/namespace"/>
    <ds:schemaRef ds:uri="http://purl.org/dc/dcmitype/"/>
    <ds:schemaRef ds:uri="0c251cd7-9b02-4ee5-868f-f820bb07042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1901b91-65c1-4a2f-841b-cc424925e6d8"/>
    <ds:schemaRef ds:uri="http://purl.org/dc/te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FAE716B5-4E93-4F86-AF3D-8CDB1DB84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2803</Words>
  <Characters>20581</Characters>
  <Application>Microsoft Office Word</Application>
  <DocSecurity>4</DocSecurity>
  <Lines>527</Lines>
  <Paragraphs>307</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POPA Alida-Georgiana (OIB)</cp:lastModifiedBy>
  <cp:revision>2</cp:revision>
  <cp:lastPrinted>2018-07-23T14:42:00Z</cp:lastPrinted>
  <dcterms:created xsi:type="dcterms:W3CDTF">2022-12-16T11:27:00Z</dcterms:created>
  <dcterms:modified xsi:type="dcterms:W3CDTF">2022-12-16T11:27:00Z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