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17" w:rsidRPr="00FC0CF0" w:rsidRDefault="00296D17" w:rsidP="00296D17">
      <w:pPr>
        <w:spacing w:after="240"/>
        <w:jc w:val="center"/>
      </w:pPr>
      <w:bookmarkStart w:id="0" w:name="FADO"/>
      <w:r w:rsidRPr="00FC0CF0">
        <w:rPr>
          <w:b/>
        </w:rPr>
        <w:t xml:space="preserve">ORDINARY LEGISLATIVE </w:t>
      </w:r>
      <w:r w:rsidRPr="00FC0CF0">
        <w:rPr>
          <w:b/>
          <w:caps/>
        </w:rPr>
        <w:t>procedure</w:t>
      </w:r>
      <w:r w:rsidRPr="00FC0CF0">
        <w:rPr>
          <w:b/>
        </w:rPr>
        <w:t xml:space="preserve"> – First reading</w:t>
      </w:r>
    </w:p>
    <w:p w:rsidR="00296D17" w:rsidRPr="00D824A0" w:rsidRDefault="00296D17" w:rsidP="00296D17">
      <w:pPr>
        <w:spacing w:after="600"/>
        <w:jc w:val="center"/>
        <w:rPr>
          <w:b/>
          <w:bCs/>
        </w:rPr>
      </w:pPr>
      <w:bookmarkStart w:id="1" w:name="ECDC"/>
      <w:bookmarkEnd w:id="0"/>
      <w:r w:rsidRPr="006957A3">
        <w:rPr>
          <w:b/>
          <w:bCs/>
        </w:rPr>
        <w:t xml:space="preserve">Follow up to the </w:t>
      </w:r>
      <w:r w:rsidRPr="006957A3">
        <w:rPr>
          <w:b/>
        </w:rPr>
        <w:t xml:space="preserve">European Parliament legislative </w:t>
      </w:r>
      <w:r>
        <w:rPr>
          <w:b/>
        </w:rPr>
        <w:t>resolution</w:t>
      </w:r>
      <w:r w:rsidRPr="006957A3">
        <w:rPr>
          <w:b/>
          <w:bCs/>
        </w:rPr>
        <w:t xml:space="preserve"> </w:t>
      </w:r>
      <w:r w:rsidRPr="00D824A0">
        <w:rPr>
          <w:b/>
          <w:bCs/>
        </w:rPr>
        <w:t>on the proposal for a regulation of the European Parliament and of the Council amending Regulation (EC) No 851/2004 establishing a European Centre for disease prevention and control</w:t>
      </w:r>
      <w:bookmarkEnd w:id="1"/>
    </w:p>
    <w:p w:rsidR="00296D17" w:rsidRPr="00AD29CA" w:rsidRDefault="00296D17" w:rsidP="00296D17">
      <w:pPr>
        <w:spacing w:after="240"/>
        <w:ind w:left="567" w:hanging="567"/>
        <w:rPr>
          <w:lang w:val="sv-SE"/>
        </w:rPr>
      </w:pPr>
      <w:r w:rsidRPr="00AD29CA">
        <w:rPr>
          <w:b/>
          <w:lang w:val="sv-SE"/>
        </w:rPr>
        <w:t>1.</w:t>
      </w:r>
      <w:r w:rsidRPr="00AD29CA">
        <w:rPr>
          <w:b/>
          <w:lang w:val="sv-SE"/>
        </w:rPr>
        <w:tab/>
      </w:r>
      <w:proofErr w:type="spellStart"/>
      <w:r w:rsidRPr="00AD29CA">
        <w:rPr>
          <w:b/>
          <w:lang w:val="sv-SE"/>
        </w:rPr>
        <w:t>Rapporteur</w:t>
      </w:r>
      <w:proofErr w:type="spellEnd"/>
      <w:r w:rsidRPr="00AD29CA">
        <w:rPr>
          <w:b/>
          <w:lang w:val="sv-SE"/>
        </w:rPr>
        <w:t xml:space="preserve">: </w:t>
      </w:r>
      <w:r w:rsidRPr="00AD29CA">
        <w:rPr>
          <w:noProof/>
          <w:lang w:val="sv-SE"/>
        </w:rPr>
        <w:t xml:space="preserve">Joanna KOPCIŃSKA </w:t>
      </w:r>
      <w:r w:rsidRPr="00AD29CA">
        <w:rPr>
          <w:color w:val="1E1E1F"/>
          <w:lang w:val="sv-SE"/>
        </w:rPr>
        <w:t>(ECR / PL)</w:t>
      </w:r>
    </w:p>
    <w:p w:rsidR="00296D17" w:rsidRPr="00F42D18" w:rsidRDefault="00296D17" w:rsidP="00296D17">
      <w:pPr>
        <w:spacing w:after="240"/>
        <w:ind w:left="567" w:hanging="567"/>
      </w:pPr>
      <w:r w:rsidRPr="00AC338E">
        <w:rPr>
          <w:b/>
        </w:rPr>
        <w:t>2.</w:t>
      </w:r>
      <w:r w:rsidRPr="00AC338E">
        <w:rPr>
          <w:b/>
        </w:rPr>
        <w:tab/>
        <w:t>Reference numbers:</w:t>
      </w:r>
      <w:r w:rsidRPr="00AC338E">
        <w:t xml:space="preserve"> 20</w:t>
      </w:r>
      <w:r>
        <w:t>20</w:t>
      </w:r>
      <w:r w:rsidRPr="00AC338E">
        <w:t>/0</w:t>
      </w:r>
      <w:r>
        <w:t>320</w:t>
      </w:r>
      <w:r w:rsidRPr="00AC338E">
        <w:t xml:space="preserve"> (COD) </w:t>
      </w:r>
      <w:r w:rsidRPr="006957A3">
        <w:t xml:space="preserve">/ </w:t>
      </w:r>
      <w:r>
        <w:t>A9-0253/2021 / P9_</w:t>
      </w:r>
      <w:proofErr w:type="gramStart"/>
      <w:r>
        <w:t>TA</w:t>
      </w:r>
      <w:r w:rsidRPr="006957A3">
        <w:t>(</w:t>
      </w:r>
      <w:proofErr w:type="gramEnd"/>
      <w:r w:rsidRPr="006957A3">
        <w:t>2022)0</w:t>
      </w:r>
      <w:r>
        <w:t>332</w:t>
      </w:r>
    </w:p>
    <w:p w:rsidR="00296D17" w:rsidRPr="00FC0CF0" w:rsidRDefault="00296D17" w:rsidP="00296D17">
      <w:pPr>
        <w:spacing w:after="240"/>
        <w:ind w:left="567" w:hanging="567"/>
      </w:pPr>
      <w:r w:rsidRPr="00FC0CF0">
        <w:rPr>
          <w:b/>
        </w:rPr>
        <w:t>3.</w:t>
      </w:r>
      <w:r w:rsidRPr="00FC0CF0">
        <w:rPr>
          <w:b/>
        </w:rPr>
        <w:tab/>
        <w:t>Date of adoption of the resolution:</w:t>
      </w:r>
      <w:r w:rsidRPr="00DE762C">
        <w:t xml:space="preserve"> </w:t>
      </w:r>
      <w:r>
        <w:t xml:space="preserve">4 October </w:t>
      </w:r>
      <w:r w:rsidRPr="007859CD">
        <w:t>202</w:t>
      </w:r>
      <w:r>
        <w:t>2</w:t>
      </w:r>
    </w:p>
    <w:p w:rsidR="00296D17" w:rsidRPr="00FD5BA5" w:rsidRDefault="00296D17" w:rsidP="00296D17">
      <w:pPr>
        <w:spacing w:after="240"/>
        <w:ind w:left="567" w:hanging="567"/>
      </w:pPr>
      <w:r w:rsidRPr="00FC0CF0">
        <w:rPr>
          <w:b/>
        </w:rPr>
        <w:t>4.</w:t>
      </w:r>
      <w:r w:rsidRPr="00FC0CF0">
        <w:rPr>
          <w:b/>
        </w:rPr>
        <w:tab/>
        <w:t xml:space="preserve">Legal basis: </w:t>
      </w:r>
      <w:r w:rsidRPr="0036264F">
        <w:t xml:space="preserve">Article </w:t>
      </w:r>
      <w:r>
        <w:t>168</w:t>
      </w:r>
      <w:r w:rsidRPr="0036264F">
        <w:t>(</w:t>
      </w:r>
      <w:r>
        <w:t>5</w:t>
      </w:r>
      <w:r w:rsidRPr="0036264F">
        <w:t xml:space="preserve">) </w:t>
      </w:r>
      <w:r w:rsidRPr="006957A3">
        <w:t>of the Treaty</w:t>
      </w:r>
      <w:r w:rsidRPr="00FD5BA5">
        <w:t xml:space="preserve"> on the Functioning of the European Union</w:t>
      </w:r>
    </w:p>
    <w:p w:rsidR="00296D17" w:rsidRPr="00FC0CF0" w:rsidRDefault="00296D17" w:rsidP="00296D17">
      <w:pPr>
        <w:shd w:val="clear" w:color="auto" w:fill="FFFFFF"/>
        <w:spacing w:after="240" w:line="288" w:lineRule="atLeast"/>
        <w:ind w:left="567" w:hanging="567"/>
        <w:textAlignment w:val="center"/>
        <w:rPr>
          <w:i/>
        </w:rPr>
      </w:pPr>
      <w:r w:rsidRPr="00FC0CF0">
        <w:rPr>
          <w:b/>
        </w:rPr>
        <w:t>5.</w:t>
      </w:r>
      <w:r w:rsidRPr="00FC0CF0">
        <w:rPr>
          <w:b/>
        </w:rPr>
        <w:tab/>
        <w:t xml:space="preserve">Competent Parliamentary Committee: </w:t>
      </w:r>
      <w:r>
        <w:t>Committee on Environment, Public Health and Food Safety (ENVI)</w:t>
      </w:r>
    </w:p>
    <w:p w:rsidR="00296D17" w:rsidRDefault="00296D17" w:rsidP="00296D17">
      <w:pPr>
        <w:spacing w:after="240"/>
        <w:ind w:left="567" w:hanging="567"/>
        <w:rPr>
          <w:color w:val="000000"/>
        </w:rPr>
      </w:pPr>
      <w:r w:rsidRPr="00FC0CF0">
        <w:rPr>
          <w:b/>
        </w:rPr>
        <w:t>6.</w:t>
      </w:r>
      <w:r w:rsidRPr="00FC0CF0">
        <w:rPr>
          <w:b/>
        </w:rPr>
        <w:tab/>
        <w:t>Commission's position:</w:t>
      </w:r>
      <w:r w:rsidRPr="00FC0CF0">
        <w:rPr>
          <w:color w:val="000000"/>
          <w:sz w:val="22"/>
          <w:szCs w:val="22"/>
        </w:rPr>
        <w:t xml:space="preserve"> </w:t>
      </w:r>
      <w:r>
        <w:rPr>
          <w:color w:val="000000"/>
        </w:rPr>
        <w:t>Accepts all amendments. The Commission presented the following statement</w:t>
      </w:r>
    </w:p>
    <w:p w:rsidR="00296D17" w:rsidRPr="00DD6C54" w:rsidRDefault="00296D17" w:rsidP="00296D17">
      <w:pPr>
        <w:spacing w:after="120"/>
        <w:rPr>
          <w:iCs/>
        </w:rPr>
      </w:pPr>
      <w:r w:rsidRPr="00DD6C54">
        <w:rPr>
          <w:iCs/>
        </w:rPr>
        <w:t>“The Commission welcomes the overall agreement reached by the co-legislators on the proposal for a Regulation on the extension of the mandate of the European Centre for Disease Prevention and Control.  The new Regulation will reinforce the capacity of the Centre to support the EU and its Member States in the prevention and control of communicable disease threats and improve European preparedness for future health challenges.</w:t>
      </w:r>
    </w:p>
    <w:p w:rsidR="00296D17" w:rsidRDefault="00296D17" w:rsidP="00296D17">
      <w:pPr>
        <w:spacing w:after="120"/>
        <w:rPr>
          <w:color w:val="000000"/>
        </w:rPr>
      </w:pPr>
      <w:r w:rsidRPr="00DD6C54">
        <w:rPr>
          <w:iCs/>
        </w:rPr>
        <w:t xml:space="preserve">The Commission regrets that the agreed text does not fully align the Regulation with the principles of the Common Approach on the EU decentralised agencies, as regards the voting regime of the Management Board concerning the rules governing the languages of the Centre. </w:t>
      </w:r>
      <w:proofErr w:type="gramStart"/>
      <w:r w:rsidRPr="00DD6C54">
        <w:rPr>
          <w:iCs/>
        </w:rPr>
        <w:t>Therefore</w:t>
      </w:r>
      <w:proofErr w:type="gramEnd"/>
      <w:r w:rsidRPr="00DD6C54">
        <w:rPr>
          <w:iCs/>
        </w:rPr>
        <w:t xml:space="preserve"> the agreement reached between the European Parliament and the Council on the language regime of the agency is without prejudice to any future legislative texts. The Commission remains convinced of the benefits of following all aspects of the Common Approach in relation to decentralised agencies.”</w:t>
      </w:r>
    </w:p>
    <w:p w:rsidR="008765BE" w:rsidRDefault="008765BE">
      <w:bookmarkStart w:id="2" w:name="_GoBack"/>
      <w:bookmarkEnd w:id="2"/>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17"/>
    <w:rsid w:val="00296D17"/>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D2B4-F8C7-49B9-BFA0-E3AF0CF5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2022-12-07T16:12:00Z</dcterms:created>
  <dcterms:modified xsi:type="dcterms:W3CDTF">2022-12-07T16:13:00Z</dcterms:modified>
</cp:coreProperties>
</file>