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B7EBD" w14:textId="60CD1193" w:rsidR="00BD08CB" w:rsidRPr="00B01372" w:rsidRDefault="00F92DAE" w:rsidP="00411EDE">
      <w:pPr>
        <w:pStyle w:val="Heading1"/>
        <w:jc w:val="center"/>
        <w:rPr>
          <w:rFonts w:asciiTheme="minorHAnsi" w:hAnsiTheme="minorHAnsi"/>
          <w:sz w:val="22"/>
          <w:szCs w:val="22"/>
          <w:u w:val="single"/>
        </w:rPr>
      </w:pPr>
      <w:r w:rsidRPr="00B01372">
        <w:rPr>
          <w:rFonts w:asciiTheme="minorHAnsi" w:hAnsiTheme="minorHAnsi"/>
          <w:sz w:val="22"/>
          <w:szCs w:val="22"/>
          <w:u w:val="single"/>
        </w:rPr>
        <w:t>Annex</w:t>
      </w:r>
      <w:r w:rsidR="00411EDE" w:rsidRPr="00B01372">
        <w:rPr>
          <w:rFonts w:asciiTheme="minorHAnsi" w:hAnsiTheme="minorHAnsi"/>
          <w:sz w:val="22"/>
          <w:szCs w:val="22"/>
          <w:u w:val="single"/>
        </w:rPr>
        <w:br/>
      </w:r>
      <w:r w:rsidR="00411EDE" w:rsidRPr="00B01372">
        <w:rPr>
          <w:rFonts w:asciiTheme="minorHAnsi" w:hAnsiTheme="minorHAnsi"/>
          <w:sz w:val="22"/>
          <w:szCs w:val="22"/>
          <w:u w:val="single"/>
        </w:rPr>
        <w:br/>
      </w:r>
      <w:r w:rsidRPr="00B01372">
        <w:rPr>
          <w:rFonts w:asciiTheme="minorHAnsi" w:hAnsiTheme="minorHAnsi"/>
          <w:sz w:val="32"/>
          <w:szCs w:val="32"/>
          <w:u w:val="single"/>
        </w:rPr>
        <w:t xml:space="preserve">Procurement </w:t>
      </w:r>
      <w:r w:rsidR="0051246A" w:rsidRPr="00B01372">
        <w:rPr>
          <w:rFonts w:asciiTheme="minorHAnsi" w:hAnsiTheme="minorHAnsi"/>
          <w:sz w:val="32"/>
          <w:szCs w:val="32"/>
          <w:u w:val="single"/>
        </w:rPr>
        <w:t xml:space="preserve">Monitoring </w:t>
      </w:r>
      <w:r w:rsidRPr="00B01372">
        <w:rPr>
          <w:rFonts w:asciiTheme="minorHAnsi" w:hAnsiTheme="minorHAnsi"/>
          <w:sz w:val="32"/>
          <w:szCs w:val="32"/>
          <w:u w:val="single"/>
        </w:rPr>
        <w:t xml:space="preserve">Report </w:t>
      </w:r>
    </w:p>
    <w:p w14:paraId="34AB7EBE" w14:textId="77777777" w:rsidR="00BD08CB" w:rsidRPr="00B01372" w:rsidRDefault="00C314EF" w:rsidP="00F92DAE">
      <w:pPr>
        <w:pStyle w:val="NoSpacing"/>
        <w:jc w:val="center"/>
        <w:rPr>
          <w:b/>
          <w:sz w:val="32"/>
          <w:szCs w:val="32"/>
        </w:rPr>
      </w:pPr>
      <w:r w:rsidRPr="00B01372">
        <w:rPr>
          <w:b/>
          <w:sz w:val="32"/>
          <w:szCs w:val="32"/>
        </w:rPr>
        <w:t xml:space="preserve">In view of </w:t>
      </w:r>
      <w:r w:rsidR="00411EDE" w:rsidRPr="00B01372">
        <w:rPr>
          <w:b/>
          <w:sz w:val="32"/>
          <w:szCs w:val="32"/>
        </w:rPr>
        <w:t>the Member States' reporting proces</w:t>
      </w:r>
      <w:r w:rsidRPr="00B01372">
        <w:rPr>
          <w:b/>
          <w:sz w:val="32"/>
          <w:szCs w:val="32"/>
        </w:rPr>
        <w:t>s</w:t>
      </w:r>
      <w:r w:rsidR="00411EDE" w:rsidRPr="00B01372">
        <w:rPr>
          <w:b/>
          <w:sz w:val="32"/>
          <w:szCs w:val="32"/>
        </w:rPr>
        <w:t xml:space="preserve"> </w:t>
      </w:r>
      <w:r w:rsidR="00411EDE" w:rsidRPr="00B01372">
        <w:rPr>
          <w:b/>
          <w:sz w:val="32"/>
          <w:szCs w:val="32"/>
        </w:rPr>
        <w:br/>
      </w:r>
      <w:r w:rsidRPr="00B01372">
        <w:rPr>
          <w:b/>
          <w:sz w:val="32"/>
          <w:szCs w:val="32"/>
        </w:rPr>
        <w:t xml:space="preserve">under the </w:t>
      </w:r>
      <w:r w:rsidR="00411EDE" w:rsidRPr="00B01372">
        <w:rPr>
          <w:b/>
          <w:sz w:val="32"/>
          <w:szCs w:val="32"/>
        </w:rPr>
        <w:t xml:space="preserve">Directives 2014/23/EU, 2014/24/EU and 2014/25/EU   </w:t>
      </w:r>
    </w:p>
    <w:p w14:paraId="34AB7ED1" w14:textId="23F78D1D" w:rsidR="00C437AF" w:rsidRPr="00B01372" w:rsidRDefault="00411EDE" w:rsidP="003F1BD0">
      <w:pPr>
        <w:pStyle w:val="Heading1"/>
        <w:tabs>
          <w:tab w:val="right" w:pos="14004"/>
        </w:tabs>
        <w:rPr>
          <w:rFonts w:asciiTheme="minorHAnsi" w:hAnsiTheme="minorHAnsi"/>
        </w:rPr>
      </w:pPr>
      <w:r w:rsidRPr="00B01372">
        <w:rPr>
          <w:rFonts w:asciiTheme="minorHAnsi" w:hAnsiTheme="minorHAnsi"/>
        </w:rPr>
        <w:t xml:space="preserve">General information </w:t>
      </w:r>
      <w:r w:rsidR="003F1BD0" w:rsidRPr="00B01372">
        <w:rPr>
          <w:rFonts w:asciiTheme="minorHAnsi" w:hAnsiTheme="minorHAnsi"/>
        </w:rPr>
        <w:tab/>
      </w:r>
    </w:p>
    <w:p w14:paraId="34AB7ED3" w14:textId="77777777" w:rsidR="00411EDE" w:rsidRPr="00B01372" w:rsidRDefault="00411EDE" w:rsidP="00A051EB"/>
    <w:tbl>
      <w:tblPr>
        <w:tblStyle w:val="TableGrid"/>
        <w:tblW w:w="0" w:type="auto"/>
        <w:tblLook w:val="04A0" w:firstRow="1" w:lastRow="0" w:firstColumn="1" w:lastColumn="0" w:noHBand="0" w:noVBand="1"/>
      </w:tblPr>
      <w:tblGrid>
        <w:gridCol w:w="13994"/>
      </w:tblGrid>
      <w:tr w:rsidR="00411EDE" w:rsidRPr="00B01372" w14:paraId="34AB7ED5" w14:textId="77777777" w:rsidTr="00267227">
        <w:trPr>
          <w:trHeight w:val="369"/>
        </w:trPr>
        <w:tc>
          <w:tcPr>
            <w:tcW w:w="0" w:type="auto"/>
          </w:tcPr>
          <w:p w14:paraId="34AB7ED4" w14:textId="64AD19EA" w:rsidR="00411EDE" w:rsidRPr="00B01372" w:rsidRDefault="00B6290E" w:rsidP="00A051EB">
            <w:pPr>
              <w:rPr>
                <w:b/>
                <w:sz w:val="24"/>
                <w:szCs w:val="24"/>
              </w:rPr>
            </w:pPr>
            <w:r w:rsidRPr="00B01372">
              <w:rPr>
                <w:b/>
                <w:sz w:val="24"/>
                <w:szCs w:val="24"/>
              </w:rPr>
              <w:t xml:space="preserve">Scope of </w:t>
            </w:r>
            <w:r w:rsidR="00411EDE" w:rsidRPr="00B01372">
              <w:rPr>
                <w:b/>
                <w:sz w:val="24"/>
                <w:szCs w:val="24"/>
              </w:rPr>
              <w:t>reporting</w:t>
            </w:r>
          </w:p>
        </w:tc>
      </w:tr>
      <w:tr w:rsidR="00411EDE" w:rsidRPr="00B01372" w14:paraId="34AB7ED8" w14:textId="77777777" w:rsidTr="00267227">
        <w:trPr>
          <w:trHeight w:val="559"/>
        </w:trPr>
        <w:tc>
          <w:tcPr>
            <w:tcW w:w="0" w:type="auto"/>
          </w:tcPr>
          <w:p w14:paraId="4BCBD252" w14:textId="77777777" w:rsidR="002F6861" w:rsidRDefault="002F6861" w:rsidP="002F6861">
            <w:pPr>
              <w:rPr>
                <w:rFonts w:ascii="Arial" w:hAnsi="Arial" w:cs="Arial"/>
                <w:sz w:val="28"/>
                <w:szCs w:val="28"/>
              </w:rPr>
            </w:pPr>
          </w:p>
          <w:p w14:paraId="3C4AEB45" w14:textId="0606BEA1" w:rsidR="002F6861" w:rsidRDefault="002F6861" w:rsidP="002F6861">
            <w:pPr>
              <w:rPr>
                <w:rFonts w:ascii="Arial" w:hAnsi="Arial" w:cs="Arial"/>
                <w:sz w:val="28"/>
                <w:szCs w:val="28"/>
              </w:rPr>
            </w:pPr>
            <w:r w:rsidRPr="007B0E67">
              <w:rPr>
                <w:rFonts w:ascii="Arial" w:hAnsi="Arial" w:cs="Arial"/>
                <w:sz w:val="28"/>
                <w:szCs w:val="28"/>
              </w:rPr>
              <w:t>Period 1 January 2017- 31 January 2017</w:t>
            </w:r>
          </w:p>
          <w:p w14:paraId="34AB7ED7" w14:textId="36283129" w:rsidR="00411EDE" w:rsidRPr="00B01372" w:rsidRDefault="00411EDE" w:rsidP="001227DE">
            <w:pPr>
              <w:pStyle w:val="NoSpacing"/>
              <w:jc w:val="both"/>
            </w:pPr>
          </w:p>
        </w:tc>
      </w:tr>
      <w:tr w:rsidR="004954F8" w:rsidRPr="00B01372" w14:paraId="023B8AE7" w14:textId="77777777" w:rsidTr="00267227">
        <w:trPr>
          <w:trHeight w:val="270"/>
        </w:trPr>
        <w:tc>
          <w:tcPr>
            <w:tcW w:w="0" w:type="auto"/>
          </w:tcPr>
          <w:p w14:paraId="585CFBFA" w14:textId="3433F10F" w:rsidR="004954F8" w:rsidRPr="00B01372" w:rsidRDefault="004954F8" w:rsidP="004954F8">
            <w:pPr>
              <w:pStyle w:val="NoSpacing"/>
              <w:jc w:val="both"/>
            </w:pPr>
            <w:r w:rsidRPr="00B01372">
              <w:rPr>
                <w:b/>
                <w:sz w:val="24"/>
                <w:szCs w:val="24"/>
              </w:rPr>
              <w:t>General information</w:t>
            </w:r>
          </w:p>
        </w:tc>
      </w:tr>
      <w:tr w:rsidR="004954F8" w:rsidRPr="00B01372" w14:paraId="11E1FAB6" w14:textId="77777777" w:rsidTr="00267227">
        <w:trPr>
          <w:trHeight w:val="701"/>
        </w:trPr>
        <w:tc>
          <w:tcPr>
            <w:tcW w:w="0" w:type="auto"/>
            <w:vAlign w:val="center"/>
          </w:tcPr>
          <w:p w14:paraId="51780FE6" w14:textId="77777777" w:rsidR="002F6861" w:rsidRDefault="002F6861" w:rsidP="002F6861">
            <w:pPr>
              <w:spacing w:line="360" w:lineRule="auto"/>
              <w:rPr>
                <w:rFonts w:ascii="Arial" w:hAnsi="Arial" w:cs="Arial"/>
                <w:sz w:val="24"/>
                <w:szCs w:val="24"/>
                <w:lang w:val="en-US"/>
              </w:rPr>
            </w:pPr>
          </w:p>
          <w:p w14:paraId="0CEAB89A" w14:textId="63A1CE66" w:rsidR="002F6861" w:rsidRPr="003927E8" w:rsidRDefault="004954F8" w:rsidP="002F6861">
            <w:pPr>
              <w:spacing w:line="360" w:lineRule="auto"/>
              <w:rPr>
                <w:rFonts w:ascii="Arial" w:hAnsi="Arial" w:cs="Arial"/>
                <w:sz w:val="24"/>
                <w:szCs w:val="24"/>
                <w:lang w:val="en-US"/>
              </w:rPr>
            </w:pPr>
            <w:r w:rsidRPr="002F6861">
              <w:rPr>
                <w:rFonts w:ascii="Arial" w:hAnsi="Arial" w:cs="Arial"/>
                <w:sz w:val="24"/>
                <w:szCs w:val="24"/>
                <w:lang w:val="en-US"/>
              </w:rPr>
              <w:t>Number of procurement procedures (i.e. the number of calls for competition)</w:t>
            </w:r>
            <w:r w:rsidR="002F6861">
              <w:rPr>
                <w:rFonts w:ascii="Arial" w:hAnsi="Arial" w:cs="Arial"/>
                <w:sz w:val="24"/>
                <w:szCs w:val="24"/>
                <w:lang w:val="en-US"/>
              </w:rPr>
              <w:t>:</w:t>
            </w:r>
            <w:r w:rsidR="002F6861">
              <w:t xml:space="preserve"> </w:t>
            </w:r>
            <w:r w:rsidR="002F6861" w:rsidRPr="003927E8">
              <w:rPr>
                <w:rFonts w:ascii="Arial" w:hAnsi="Arial" w:cs="Arial"/>
                <w:sz w:val="24"/>
                <w:szCs w:val="24"/>
                <w:lang w:val="en-US"/>
              </w:rPr>
              <w:t>2</w:t>
            </w:r>
            <w:r w:rsidR="002F6861">
              <w:rPr>
                <w:rFonts w:ascii="Arial" w:hAnsi="Arial" w:cs="Arial"/>
                <w:sz w:val="24"/>
                <w:szCs w:val="24"/>
                <w:lang w:val="en-US"/>
              </w:rPr>
              <w:t>6</w:t>
            </w:r>
            <w:r w:rsidR="002F6861" w:rsidRPr="003927E8">
              <w:rPr>
                <w:rFonts w:ascii="Arial" w:hAnsi="Arial" w:cs="Arial"/>
                <w:sz w:val="24"/>
                <w:szCs w:val="24"/>
                <w:lang w:val="en-US"/>
              </w:rPr>
              <w:t>2 Above / 1490 below</w:t>
            </w:r>
          </w:p>
          <w:p w14:paraId="6035FAC3" w14:textId="4CE326B7" w:rsidR="004954F8" w:rsidRPr="002F6861" w:rsidRDefault="002F6861" w:rsidP="002F6861">
            <w:pPr>
              <w:spacing w:line="360" w:lineRule="auto"/>
              <w:rPr>
                <w:rFonts w:ascii="Arial" w:hAnsi="Arial" w:cs="Arial"/>
                <w:sz w:val="24"/>
                <w:szCs w:val="24"/>
                <w:lang w:val="en-US"/>
              </w:rPr>
            </w:pPr>
            <w:r w:rsidRPr="003927E8">
              <w:rPr>
                <w:rFonts w:ascii="Arial" w:hAnsi="Arial" w:cs="Arial"/>
                <w:sz w:val="24"/>
                <w:szCs w:val="24"/>
                <w:lang w:val="en-US"/>
              </w:rPr>
              <w:t xml:space="preserve">Number of awarded contracts: 2619 contracts </w:t>
            </w:r>
          </w:p>
        </w:tc>
      </w:tr>
      <w:tr w:rsidR="004954F8" w:rsidRPr="00B01372" w14:paraId="34AB7EDA" w14:textId="77777777" w:rsidTr="00267227">
        <w:trPr>
          <w:trHeight w:val="397"/>
        </w:trPr>
        <w:tc>
          <w:tcPr>
            <w:tcW w:w="0" w:type="auto"/>
          </w:tcPr>
          <w:p w14:paraId="34AB7ED9" w14:textId="112B3641" w:rsidR="004954F8" w:rsidRPr="00B01372" w:rsidRDefault="004954F8" w:rsidP="00A051EB">
            <w:pPr>
              <w:rPr>
                <w:b/>
                <w:sz w:val="32"/>
                <w:szCs w:val="32"/>
              </w:rPr>
            </w:pPr>
            <w:r w:rsidRPr="00B01372">
              <w:rPr>
                <w:sz w:val="32"/>
                <w:szCs w:val="32"/>
              </w:rPr>
              <w:t>I</w:t>
            </w:r>
            <w:r w:rsidRPr="00B01372">
              <w:rPr>
                <w:b/>
                <w:sz w:val="24"/>
                <w:szCs w:val="24"/>
              </w:rPr>
              <w:t>nformation on monitoring and reporting bodies</w:t>
            </w:r>
          </w:p>
        </w:tc>
      </w:tr>
      <w:tr w:rsidR="004954F8" w:rsidRPr="00B01372" w14:paraId="34AB7EDE" w14:textId="77777777" w:rsidTr="00267227">
        <w:trPr>
          <w:trHeight w:val="558"/>
        </w:trPr>
        <w:tc>
          <w:tcPr>
            <w:tcW w:w="0" w:type="auto"/>
          </w:tcPr>
          <w:p w14:paraId="00840433" w14:textId="77777777" w:rsidR="002F6861" w:rsidRDefault="002F6861" w:rsidP="002F6861">
            <w:pPr>
              <w:spacing w:line="360" w:lineRule="auto"/>
              <w:rPr>
                <w:rFonts w:ascii="Arial" w:hAnsi="Arial" w:cs="Arial"/>
                <w:sz w:val="24"/>
                <w:szCs w:val="24"/>
                <w:lang w:val="en-US"/>
              </w:rPr>
            </w:pPr>
          </w:p>
          <w:p w14:paraId="34AB7EDD" w14:textId="7086DAC7" w:rsidR="004954F8" w:rsidRPr="002F6861" w:rsidRDefault="002F6861" w:rsidP="002F6861">
            <w:pPr>
              <w:spacing w:line="360" w:lineRule="auto"/>
              <w:rPr>
                <w:rFonts w:ascii="Arial" w:hAnsi="Arial" w:cs="Arial"/>
                <w:sz w:val="24"/>
                <w:szCs w:val="24"/>
                <w:lang w:val="en-US"/>
              </w:rPr>
            </w:pPr>
            <w:r w:rsidRPr="003927E8">
              <w:rPr>
                <w:rFonts w:ascii="Arial" w:hAnsi="Arial" w:cs="Arial"/>
                <w:sz w:val="24"/>
                <w:szCs w:val="24"/>
                <w:lang w:val="en-US"/>
              </w:rPr>
              <w:t>The Treasury of the Republic of Cyprus, through the Public Procurement Directorate, is the body responsible for performing monitoring activities required by the public procurement directives and hence is in charge of drafting the respective Monitoring Report based on the results of the monitoring activities undertaken, to be provided to the European Commission.</w:t>
            </w:r>
          </w:p>
        </w:tc>
      </w:tr>
    </w:tbl>
    <w:p w14:paraId="34AB7EE5" w14:textId="77777777" w:rsidR="00E75E9D" w:rsidRPr="00B01372" w:rsidRDefault="00E75E9D" w:rsidP="00E75E9D">
      <w:pPr>
        <w:pStyle w:val="NoSpacing"/>
      </w:pPr>
      <w:r w:rsidRPr="00B01372">
        <w:br w:type="page"/>
      </w:r>
    </w:p>
    <w:p w14:paraId="355CF502" w14:textId="3F66EA1B" w:rsidR="00870F03" w:rsidRPr="00B01372" w:rsidRDefault="00870F03" w:rsidP="00FB64C5">
      <w:pPr>
        <w:pStyle w:val="Heading1"/>
        <w:rPr>
          <w:rFonts w:asciiTheme="minorHAnsi" w:hAnsiTheme="minorHAnsi"/>
        </w:rPr>
      </w:pPr>
    </w:p>
    <w:p w14:paraId="6A2FDC55" w14:textId="76FE22C6" w:rsidR="009B40D2" w:rsidRPr="00B01372" w:rsidRDefault="00BC4C3D" w:rsidP="00BC4C3D">
      <w:pPr>
        <w:pStyle w:val="Heading2"/>
        <w:rPr>
          <w:rFonts w:asciiTheme="minorHAnsi" w:hAnsiTheme="minorHAnsi"/>
        </w:rPr>
      </w:pPr>
      <w:r w:rsidRPr="00B01372">
        <w:rPr>
          <w:rFonts w:asciiTheme="minorHAnsi" w:hAnsiTheme="minorHAnsi"/>
        </w:rPr>
        <w:t>Estimation of the aggregated total value of procurement which would have been covered by the directives if its value had exceeded the relevant thresholds</w:t>
      </w:r>
    </w:p>
    <w:p w14:paraId="148F7BBB" w14:textId="77777777" w:rsidR="00BC4C3D" w:rsidRPr="00B01372" w:rsidRDefault="00BC4C3D" w:rsidP="009B40D2">
      <w:pPr>
        <w:pStyle w:val="NoSpacing"/>
      </w:pPr>
    </w:p>
    <w:tbl>
      <w:tblPr>
        <w:tblStyle w:val="TableGrid"/>
        <w:tblW w:w="5115" w:type="pct"/>
        <w:tblInd w:w="-5" w:type="dxa"/>
        <w:tblLook w:val="04A0" w:firstRow="1" w:lastRow="0" w:firstColumn="1" w:lastColumn="0" w:noHBand="0" w:noVBand="1"/>
      </w:tblPr>
      <w:tblGrid>
        <w:gridCol w:w="3261"/>
        <w:gridCol w:w="11055"/>
      </w:tblGrid>
      <w:tr w:rsidR="003F660D" w:rsidRPr="00B01372" w14:paraId="277A2679" w14:textId="344A3042" w:rsidTr="00B01DFB">
        <w:trPr>
          <w:trHeight w:val="1354"/>
        </w:trPr>
        <w:tc>
          <w:tcPr>
            <w:tcW w:w="1139" w:type="pct"/>
          </w:tcPr>
          <w:p w14:paraId="70AFE892" w14:textId="12AE1746" w:rsidR="003F660D" w:rsidRPr="00B01372" w:rsidRDefault="003F660D" w:rsidP="003F660D">
            <w:pPr>
              <w:rPr>
                <w:b/>
                <w:sz w:val="24"/>
                <w:szCs w:val="24"/>
              </w:rPr>
            </w:pPr>
            <w:r w:rsidRPr="00B01372">
              <w:rPr>
                <w:b/>
                <w:sz w:val="24"/>
                <w:szCs w:val="24"/>
              </w:rPr>
              <w:t>Estimation of the aggregated total value of procurement which would have been covered by the directives if its value had exceeded the relevant thresholds</w:t>
            </w:r>
          </w:p>
        </w:tc>
        <w:tc>
          <w:tcPr>
            <w:tcW w:w="3861" w:type="pct"/>
          </w:tcPr>
          <w:p w14:paraId="41497A4A" w14:textId="77777777" w:rsidR="002F6861" w:rsidRDefault="002F6861" w:rsidP="002F6861">
            <w:pPr>
              <w:spacing w:line="360" w:lineRule="auto"/>
              <w:rPr>
                <w:rFonts w:ascii="Arial" w:hAnsi="Arial" w:cs="Arial"/>
                <w:sz w:val="24"/>
                <w:szCs w:val="24"/>
                <w:lang w:val="en-US"/>
              </w:rPr>
            </w:pPr>
            <w:r w:rsidRPr="009B48A2">
              <w:rPr>
                <w:rFonts w:ascii="Arial" w:hAnsi="Arial" w:cs="Arial"/>
                <w:sz w:val="24"/>
                <w:szCs w:val="24"/>
                <w:lang w:val="en-US"/>
              </w:rPr>
              <w:t>Below threshold procedures conducted:</w:t>
            </w:r>
            <w:r>
              <w:rPr>
                <w:rFonts w:ascii="Arial" w:hAnsi="Arial" w:cs="Arial"/>
                <w:sz w:val="24"/>
                <w:szCs w:val="24"/>
                <w:lang w:val="en-US"/>
              </w:rPr>
              <w:t xml:space="preserve"> 1490</w:t>
            </w:r>
          </w:p>
          <w:p w14:paraId="3AE5517C" w14:textId="52B5B2C4" w:rsidR="002F6861" w:rsidRDefault="002F6861" w:rsidP="002F6861">
            <w:pPr>
              <w:spacing w:line="360" w:lineRule="auto"/>
              <w:rPr>
                <w:rFonts w:ascii="Arial" w:hAnsi="Arial" w:cs="Arial"/>
                <w:sz w:val="24"/>
                <w:szCs w:val="24"/>
                <w:lang w:val="en-US"/>
              </w:rPr>
            </w:pPr>
            <w:r>
              <w:rPr>
                <w:rFonts w:ascii="Arial" w:hAnsi="Arial" w:cs="Arial"/>
                <w:sz w:val="24"/>
                <w:szCs w:val="24"/>
                <w:lang w:val="en-US"/>
              </w:rPr>
              <w:t xml:space="preserve">Value of below thresholds procedures:  </w:t>
            </w:r>
            <w:r w:rsidR="00B01DFB">
              <w:rPr>
                <w:rFonts w:ascii="Arial" w:hAnsi="Arial" w:cs="Arial"/>
                <w:sz w:val="24"/>
                <w:szCs w:val="24"/>
                <w:lang w:val="en-US"/>
              </w:rPr>
              <w:t>175.921K</w:t>
            </w:r>
          </w:p>
          <w:p w14:paraId="694F2845" w14:textId="77777777" w:rsidR="00F356F1" w:rsidRPr="002F6861" w:rsidRDefault="00F356F1" w:rsidP="003F660D">
            <w:pPr>
              <w:pStyle w:val="NoSpacing"/>
              <w:jc w:val="both"/>
              <w:rPr>
                <w:lang w:val="en-US"/>
              </w:rPr>
            </w:pPr>
          </w:p>
          <w:p w14:paraId="3D5CD8DF" w14:textId="23A45ACF" w:rsidR="003F660D" w:rsidRPr="002F6861" w:rsidRDefault="00317B05" w:rsidP="002F6861">
            <w:pPr>
              <w:spacing w:line="360" w:lineRule="auto"/>
              <w:rPr>
                <w:rFonts w:ascii="Arial" w:hAnsi="Arial" w:cs="Arial"/>
                <w:sz w:val="24"/>
                <w:szCs w:val="24"/>
                <w:lang w:val="en-US"/>
              </w:rPr>
            </w:pPr>
            <w:r w:rsidRPr="002F6861">
              <w:rPr>
                <w:rFonts w:ascii="Arial" w:hAnsi="Arial" w:cs="Arial"/>
                <w:sz w:val="24"/>
                <w:szCs w:val="24"/>
                <w:lang w:val="en-US"/>
              </w:rPr>
              <w:t xml:space="preserve">The methodology used for the estimation </w:t>
            </w:r>
            <w:r w:rsidR="00882444">
              <w:rPr>
                <w:rFonts w:ascii="Arial" w:hAnsi="Arial" w:cs="Arial"/>
                <w:sz w:val="24"/>
                <w:szCs w:val="24"/>
                <w:lang w:val="en-US"/>
              </w:rPr>
              <w:t>is</w:t>
            </w:r>
            <w:r w:rsidRPr="002F6861">
              <w:rPr>
                <w:rFonts w:ascii="Arial" w:hAnsi="Arial" w:cs="Arial"/>
                <w:sz w:val="24"/>
                <w:szCs w:val="24"/>
                <w:lang w:val="en-US"/>
              </w:rPr>
              <w:t xml:space="preserve"> </w:t>
            </w:r>
            <w:r w:rsidR="00C33C12" w:rsidRPr="002F6861">
              <w:rPr>
                <w:rFonts w:ascii="Arial" w:hAnsi="Arial" w:cs="Arial"/>
                <w:sz w:val="24"/>
                <w:szCs w:val="24"/>
                <w:lang w:val="en-US"/>
              </w:rPr>
              <w:t xml:space="preserve">explained </w:t>
            </w:r>
            <w:r w:rsidRPr="002F6861">
              <w:rPr>
                <w:rFonts w:ascii="Arial" w:hAnsi="Arial" w:cs="Arial"/>
                <w:sz w:val="24"/>
                <w:szCs w:val="24"/>
                <w:lang w:val="en-US"/>
              </w:rPr>
              <w:t xml:space="preserve">in </w:t>
            </w:r>
            <w:r w:rsidR="003F660D" w:rsidRPr="002F6861">
              <w:rPr>
                <w:rFonts w:ascii="Arial" w:hAnsi="Arial" w:cs="Arial"/>
                <w:b/>
                <w:sz w:val="24"/>
                <w:szCs w:val="24"/>
                <w:lang w:val="en-US"/>
              </w:rPr>
              <w:t>Annex I.</w:t>
            </w:r>
          </w:p>
          <w:p w14:paraId="1D2A3370" w14:textId="18BDF26E" w:rsidR="006720AD" w:rsidRPr="00B01372" w:rsidRDefault="006720AD" w:rsidP="00A86892">
            <w:pPr>
              <w:pStyle w:val="NoSpacing"/>
              <w:jc w:val="both"/>
            </w:pPr>
          </w:p>
        </w:tc>
      </w:tr>
    </w:tbl>
    <w:p w14:paraId="52BB74F2" w14:textId="4D019D22" w:rsidR="009B40D2" w:rsidRPr="00B01372" w:rsidRDefault="009B40D2" w:rsidP="009B40D2">
      <w:pPr>
        <w:pStyle w:val="NoSpacing"/>
      </w:pPr>
    </w:p>
    <w:p w14:paraId="11B2FC22" w14:textId="77777777" w:rsidR="002F27BC" w:rsidRPr="00B01372" w:rsidRDefault="002F27BC" w:rsidP="009B40D2">
      <w:pPr>
        <w:pStyle w:val="NoSpacing"/>
      </w:pPr>
    </w:p>
    <w:p w14:paraId="34AB7EE8" w14:textId="77777777" w:rsidR="0057733C" w:rsidRPr="00B01372" w:rsidRDefault="00F122C4" w:rsidP="00B12049">
      <w:pPr>
        <w:pStyle w:val="Heading2"/>
        <w:rPr>
          <w:rFonts w:asciiTheme="minorHAnsi" w:hAnsiTheme="minorHAnsi"/>
        </w:rPr>
      </w:pPr>
      <w:r w:rsidRPr="00B01372">
        <w:rPr>
          <w:rFonts w:asciiTheme="minorHAnsi" w:hAnsiTheme="minorHAnsi"/>
        </w:rPr>
        <w:t>Most frequent sources of wrong application or of legal uncertainty, including possible structural or recurring problems in the application of the rules</w:t>
      </w:r>
    </w:p>
    <w:p w14:paraId="34AB7EE9" w14:textId="77777777" w:rsidR="00A051EB" w:rsidRPr="00B01372" w:rsidRDefault="00A051EB" w:rsidP="0057733C">
      <w:pPr>
        <w:pStyle w:val="NoSpacing"/>
        <w:jc w:val="both"/>
      </w:pPr>
    </w:p>
    <w:tbl>
      <w:tblPr>
        <w:tblStyle w:val="TableGrid"/>
        <w:tblW w:w="14424" w:type="dxa"/>
        <w:tblInd w:w="-5" w:type="dxa"/>
        <w:tblLook w:val="04A0" w:firstRow="1" w:lastRow="0" w:firstColumn="1" w:lastColumn="0" w:noHBand="0" w:noVBand="1"/>
      </w:tblPr>
      <w:tblGrid>
        <w:gridCol w:w="3198"/>
        <w:gridCol w:w="11226"/>
      </w:tblGrid>
      <w:tr w:rsidR="00413165" w:rsidRPr="00B01372" w14:paraId="3550B523" w14:textId="77777777" w:rsidTr="00416950">
        <w:tc>
          <w:tcPr>
            <w:tcW w:w="3198" w:type="dxa"/>
          </w:tcPr>
          <w:p w14:paraId="0C1AA974" w14:textId="25DBEC5D" w:rsidR="00253552" w:rsidRPr="00B01372" w:rsidRDefault="00620C02" w:rsidP="001D4DCD">
            <w:pPr>
              <w:pStyle w:val="NoSpacing"/>
            </w:pPr>
            <w:r w:rsidRPr="00B01372">
              <w:rPr>
                <w:b/>
              </w:rPr>
              <w:t>II</w:t>
            </w:r>
            <w:r w:rsidR="00253552" w:rsidRPr="00B01372">
              <w:rPr>
                <w:b/>
              </w:rPr>
              <w:t>.1.</w:t>
            </w:r>
            <w:r w:rsidR="00253552" w:rsidRPr="00B01372">
              <w:t xml:space="preserve"> </w:t>
            </w:r>
            <w:r w:rsidR="00253552" w:rsidRPr="00B01372">
              <w:rPr>
                <w:b/>
              </w:rPr>
              <w:t xml:space="preserve">Qualitative reporting </w:t>
            </w:r>
            <w:r w:rsidR="001D4DCD" w:rsidRPr="00B01372">
              <w:rPr>
                <w:b/>
              </w:rPr>
              <w:t>on</w:t>
            </w:r>
            <w:r w:rsidR="00253552" w:rsidRPr="00B01372">
              <w:rPr>
                <w:b/>
              </w:rPr>
              <w:t xml:space="preserve"> application of public procurement rules</w:t>
            </w:r>
          </w:p>
        </w:tc>
        <w:tc>
          <w:tcPr>
            <w:tcW w:w="11226" w:type="dxa"/>
          </w:tcPr>
          <w:p w14:paraId="75E38ACC" w14:textId="77777777" w:rsidR="00253552" w:rsidRPr="00B01372" w:rsidRDefault="00253552" w:rsidP="005329C9">
            <w:pPr>
              <w:pStyle w:val="NoSpacing"/>
              <w:jc w:val="both"/>
            </w:pPr>
          </w:p>
        </w:tc>
      </w:tr>
      <w:tr w:rsidR="00413165" w:rsidRPr="00B01372" w14:paraId="1AEF9F61" w14:textId="77777777" w:rsidTr="00416950">
        <w:tc>
          <w:tcPr>
            <w:tcW w:w="3198" w:type="dxa"/>
          </w:tcPr>
          <w:p w14:paraId="0EB951AD" w14:textId="77777777" w:rsidR="00253552" w:rsidRDefault="00253552" w:rsidP="00253552">
            <w:pPr>
              <w:pStyle w:val="NoSpacing"/>
            </w:pPr>
            <w:r w:rsidRPr="00B01372">
              <w:t>Main sources of wrong application or of legal uncertainty</w:t>
            </w:r>
          </w:p>
          <w:p w14:paraId="24EB57A5" w14:textId="37F90A23" w:rsidR="0007324C" w:rsidRPr="00B01372" w:rsidRDefault="0007324C" w:rsidP="00B05C8F">
            <w:pPr>
              <w:pStyle w:val="NoSpacing"/>
            </w:pPr>
          </w:p>
        </w:tc>
        <w:tc>
          <w:tcPr>
            <w:tcW w:w="11226" w:type="dxa"/>
          </w:tcPr>
          <w:p w14:paraId="1DE5F5F3" w14:textId="208ABBB1" w:rsidR="00253552" w:rsidRDefault="00423342" w:rsidP="005002EC">
            <w:pPr>
              <w:pStyle w:val="ListParagraph"/>
              <w:numPr>
                <w:ilvl w:val="0"/>
                <w:numId w:val="45"/>
              </w:numPr>
              <w:ind w:left="387" w:hanging="284"/>
              <w:jc w:val="both"/>
            </w:pPr>
            <w:r>
              <w:t xml:space="preserve">The treasury of the Republic of Cyprus during its involvement in the field of Public Procurement as competent authority from the accession of Cyprus in the EU in 2004, has identified that the main issue and the basis on which the procurement environment is challenged is the absence of the role of the Professional procurer. This is not a Cyprus specific limitation, but rather an EU wide weakness that was admittedly identified and in the last couple of years is tackled through various initiatives undertaken by the Commission towards bringing up the importance of professionalisation in the field of Public Procurement.  In Cyprus the Competent Authority has submitted </w:t>
            </w:r>
            <w:r w:rsidR="005002EC">
              <w:t>a proposal</w:t>
            </w:r>
            <w:r>
              <w:t xml:space="preserve"> to the Council of Ministers to officially create a role for Professional Procurers that would be academically and </w:t>
            </w:r>
            <w:r w:rsidR="005002EC">
              <w:t>practically certified</w:t>
            </w:r>
            <w:r>
              <w:t xml:space="preserve"> as competent and </w:t>
            </w:r>
            <w:r w:rsidR="005002EC">
              <w:t>capable</w:t>
            </w:r>
            <w:r>
              <w:t xml:space="preserve"> to undertake </w:t>
            </w:r>
            <w:r w:rsidR="005002EC">
              <w:t>purchasing on behalf of Contracting Authorities.</w:t>
            </w:r>
            <w:r>
              <w:t xml:space="preserve"> </w:t>
            </w:r>
            <w:r w:rsidR="005002EC">
              <w:t>It is anticipated that this would tackle the issue of assigning procurement tasks, in addition to the normal course of business, to individuals that were employed based on their own professional background, irrelevant most of the times to procurement activity, ( i.e teachers, policemen, doctors engineers etc).</w:t>
            </w:r>
          </w:p>
          <w:p w14:paraId="7ACC8F88" w14:textId="381F8452" w:rsidR="005002EC" w:rsidRDefault="005002EC" w:rsidP="005002EC">
            <w:pPr>
              <w:pStyle w:val="ListParagraph"/>
              <w:numPr>
                <w:ilvl w:val="0"/>
                <w:numId w:val="45"/>
              </w:numPr>
              <w:ind w:left="387" w:hanging="284"/>
              <w:jc w:val="both"/>
            </w:pPr>
            <w:r>
              <w:t>In the same proposal to the Council of Ministers it is requested that a central purchasing Unit is established to act a service centre to smaller Contracting Authorities that cannot sustain a professional procurement function, in order to undertake procurement</w:t>
            </w:r>
            <w:r>
              <w:t xml:space="preserve"> on their </w:t>
            </w:r>
            <w:r w:rsidR="00B01DFB">
              <w:t>behalf, as</w:t>
            </w:r>
            <w:r>
              <w:t xml:space="preserve"> they handle a very limited number of competitions </w:t>
            </w:r>
            <w:r w:rsidR="00B01DFB">
              <w:t>(less</w:t>
            </w:r>
            <w:r>
              <w:t xml:space="preserve"> than 10 annually).</w:t>
            </w:r>
          </w:p>
          <w:p w14:paraId="054F4C26" w14:textId="0412F96A" w:rsidR="005002EC" w:rsidRDefault="005002EC" w:rsidP="005002EC">
            <w:pPr>
              <w:pStyle w:val="ListParagraph"/>
              <w:numPr>
                <w:ilvl w:val="0"/>
                <w:numId w:val="45"/>
              </w:numPr>
              <w:ind w:left="387" w:hanging="284"/>
              <w:jc w:val="both"/>
            </w:pPr>
            <w:r>
              <w:lastRenderedPageBreak/>
              <w:t xml:space="preserve">  </w:t>
            </w:r>
            <w:r w:rsidR="00B01DFB">
              <w:t>The absence of professional Procurers limits the capacity of Contracting authorities to undertake proper market sounding prior to the publication of Competition which affects in several occasions the competitiveness and quality of tender Documents.</w:t>
            </w:r>
          </w:p>
          <w:p w14:paraId="66F6FE18" w14:textId="578D5F95" w:rsidR="00B01DFB" w:rsidRDefault="00B01DFB" w:rsidP="005002EC">
            <w:pPr>
              <w:pStyle w:val="ListParagraph"/>
              <w:numPr>
                <w:ilvl w:val="0"/>
                <w:numId w:val="45"/>
              </w:numPr>
              <w:ind w:left="387" w:hanging="284"/>
              <w:jc w:val="both"/>
            </w:pPr>
            <w:r>
              <w:t>Administrative errors have also been noted, in the decisions in the Tenders Review Authority that typically affects the procedures like i.e the composition of the Deciding Bodies, Attendance of Observers, Quality of minutes etc.</w:t>
            </w:r>
          </w:p>
          <w:p w14:paraId="1FF87D67" w14:textId="2DC29BF6" w:rsidR="005002EC" w:rsidRPr="00B01372" w:rsidRDefault="005002EC" w:rsidP="00A92FC8">
            <w:pPr>
              <w:jc w:val="both"/>
            </w:pPr>
          </w:p>
        </w:tc>
      </w:tr>
      <w:tr w:rsidR="00413165" w:rsidRPr="00B01372" w14:paraId="1F5C36BD" w14:textId="77777777" w:rsidTr="00416950">
        <w:tc>
          <w:tcPr>
            <w:tcW w:w="3198" w:type="dxa"/>
          </w:tcPr>
          <w:p w14:paraId="1C346F64" w14:textId="77777777" w:rsidR="00253552" w:rsidRDefault="00253552" w:rsidP="00B36524">
            <w:pPr>
              <w:jc w:val="both"/>
            </w:pPr>
            <w:r w:rsidRPr="00B01372">
              <w:lastRenderedPageBreak/>
              <w:t>Specific legal provisions (from EU or national law) which appear to raise significant problems of application</w:t>
            </w:r>
          </w:p>
          <w:p w14:paraId="093CBBCD" w14:textId="6806B3E2" w:rsidR="00A92FC8" w:rsidRPr="00A92FC8" w:rsidRDefault="00A92FC8" w:rsidP="00A92FC8">
            <w:pPr>
              <w:rPr>
                <w:i/>
                <w:color w:val="FF0000"/>
              </w:rPr>
            </w:pPr>
            <w:r w:rsidRPr="00A92FC8">
              <w:rPr>
                <w:i/>
                <w:color w:val="FF0000"/>
              </w:rPr>
              <w:t xml:space="preserve"> </w:t>
            </w:r>
          </w:p>
          <w:p w14:paraId="75C2003C" w14:textId="1A4F0C1A" w:rsidR="00A92FC8" w:rsidRPr="00B05C8F" w:rsidRDefault="00A92FC8" w:rsidP="00B05C8F">
            <w:pPr>
              <w:jc w:val="both"/>
              <w:rPr>
                <w:i/>
              </w:rPr>
            </w:pPr>
          </w:p>
        </w:tc>
        <w:tc>
          <w:tcPr>
            <w:tcW w:w="11226" w:type="dxa"/>
          </w:tcPr>
          <w:p w14:paraId="28DC1D49" w14:textId="733D939B" w:rsidR="00423342" w:rsidRDefault="00C87D9F" w:rsidP="00423342">
            <w:pPr>
              <w:ind w:left="103"/>
              <w:jc w:val="both"/>
            </w:pPr>
            <w:r>
              <w:t xml:space="preserve">No </w:t>
            </w:r>
            <w:r w:rsidR="00423342">
              <w:t>specific Legal</w:t>
            </w:r>
            <w:r>
              <w:t xml:space="preserve"> Provisions either from National or EU Legislation where identified that create any material problem or concerns to the Competent Authority, as observed in practice in the two years of the implementation </w:t>
            </w:r>
            <w:r w:rsidR="00423342">
              <w:t>of the latest procurement legislation. Overall, we consider the Law and Directive to be clearer and more cohesive than the previous Regime which in our opinion achieves the goal of ensuring the legal certainty of the Procurement environment.</w:t>
            </w:r>
          </w:p>
          <w:p w14:paraId="54F4641D" w14:textId="3EB19583" w:rsidR="00F90E57" w:rsidRPr="00423342" w:rsidRDefault="00423342" w:rsidP="00423342">
            <w:pPr>
              <w:tabs>
                <w:tab w:val="left" w:pos="1965"/>
              </w:tabs>
            </w:pPr>
            <w:r>
              <w:tab/>
            </w:r>
          </w:p>
        </w:tc>
      </w:tr>
      <w:tr w:rsidR="00413165" w:rsidRPr="00B01372" w14:paraId="28261C74" w14:textId="77777777" w:rsidTr="00416950">
        <w:tc>
          <w:tcPr>
            <w:tcW w:w="3198" w:type="dxa"/>
          </w:tcPr>
          <w:p w14:paraId="489AC1CD" w14:textId="4D8F76E7" w:rsidR="00687B14" w:rsidRPr="00687B14" w:rsidRDefault="007F2B97" w:rsidP="00687B14">
            <w:pPr>
              <w:jc w:val="both"/>
              <w:rPr>
                <w:color w:val="FF0000"/>
              </w:rPr>
            </w:pPr>
            <w:bookmarkStart w:id="0" w:name="_Hlk513472856"/>
            <w:r>
              <w:t>An assessment on whether a wrong application of rules might exist, by observing p</w:t>
            </w:r>
            <w:r w:rsidRPr="00B01372">
              <w:t>atterns of application of the rules which</w:t>
            </w:r>
            <w:r>
              <w:t xml:space="preserve"> do not by themselves</w:t>
            </w:r>
            <w:r w:rsidRPr="00B01372">
              <w:t xml:space="preserve"> constitut</w:t>
            </w:r>
            <w:r>
              <w:t>e</w:t>
            </w:r>
            <w:r w:rsidRPr="00B01372">
              <w:t xml:space="preserve"> cases of wrong application of the rules,</w:t>
            </w:r>
            <w:r>
              <w:t xml:space="preserve"> but</w:t>
            </w:r>
            <w:r w:rsidRPr="00B01372">
              <w:t xml:space="preserve"> nonetheless</w:t>
            </w:r>
            <w:r>
              <w:t xml:space="preserve"> </w:t>
            </w:r>
            <w:r w:rsidRPr="00B01372">
              <w:t>point at structural or recurring problems yielding a sub-optimal outcome</w:t>
            </w:r>
            <w:r>
              <w:t>.</w:t>
            </w:r>
          </w:p>
          <w:p w14:paraId="0F6EE9E1" w14:textId="77777777" w:rsidR="00253552" w:rsidRPr="00B01372" w:rsidRDefault="00253552" w:rsidP="005329C9">
            <w:pPr>
              <w:jc w:val="both"/>
            </w:pPr>
          </w:p>
        </w:tc>
        <w:tc>
          <w:tcPr>
            <w:tcW w:w="11226" w:type="dxa"/>
          </w:tcPr>
          <w:p w14:paraId="79818C30" w14:textId="5617C041" w:rsidR="00882444" w:rsidRDefault="00882444" w:rsidP="00882444">
            <w:pPr>
              <w:pStyle w:val="ListParagraph"/>
              <w:numPr>
                <w:ilvl w:val="0"/>
                <w:numId w:val="39"/>
              </w:numPr>
            </w:pPr>
            <w:r w:rsidRPr="00413165">
              <w:t xml:space="preserve">Systematic use of Lowest Price as an award criterion, </w:t>
            </w:r>
            <w:r w:rsidR="00763FC9" w:rsidRPr="00413165">
              <w:t>as it considered by Contracting authorities as simpler and more objective, in terms of evaluation of the tenders received. The Price-Quality award criterion is used in limited cases</w:t>
            </w:r>
            <w:r w:rsidR="00763FC9">
              <w:t xml:space="preserve"> and usually involves the award of services contract. Additionally, the use of cost award criterion is </w:t>
            </w:r>
            <w:r w:rsidR="00961EFB">
              <w:t xml:space="preserve">limited to </w:t>
            </w:r>
            <w:r w:rsidR="00763FC9">
              <w:t>like vehicles, and I</w:t>
            </w:r>
            <w:r w:rsidR="00961EFB">
              <w:t>T and office equipment.</w:t>
            </w:r>
            <w:r w:rsidR="00763FC9">
              <w:t xml:space="preserve">  </w:t>
            </w:r>
          </w:p>
          <w:p w14:paraId="6B56E4EF" w14:textId="5117ADB1" w:rsidR="00882444" w:rsidRDefault="00763FC9" w:rsidP="00882444">
            <w:pPr>
              <w:pStyle w:val="ListParagraph"/>
              <w:numPr>
                <w:ilvl w:val="0"/>
                <w:numId w:val="39"/>
              </w:numPr>
            </w:pPr>
            <w:r>
              <w:t xml:space="preserve">Contracting authorities usually </w:t>
            </w:r>
            <w:r w:rsidR="00687B14">
              <w:t>select</w:t>
            </w:r>
            <w:r>
              <w:t xml:space="preserve"> open procedure than the </w:t>
            </w:r>
            <w:r w:rsidR="00882444">
              <w:t xml:space="preserve">restricted </w:t>
            </w:r>
            <w:r>
              <w:t>one, in conducting their competitions as it is found to be less time consuming.</w:t>
            </w:r>
          </w:p>
          <w:p w14:paraId="48EBF60B" w14:textId="534E6D56" w:rsidR="00882444" w:rsidRDefault="00961EFB" w:rsidP="00882444">
            <w:pPr>
              <w:pStyle w:val="ListParagraph"/>
              <w:numPr>
                <w:ilvl w:val="0"/>
                <w:numId w:val="39"/>
              </w:numPr>
            </w:pPr>
            <w:r>
              <w:t xml:space="preserve">In certain occasion there </w:t>
            </w:r>
            <w:r w:rsidR="00F90E57">
              <w:t>is an</w:t>
            </w:r>
            <w:r>
              <w:t xml:space="preserve"> </w:t>
            </w:r>
            <w:r w:rsidR="00687B14">
              <w:t>absence of</w:t>
            </w:r>
            <w:r>
              <w:t xml:space="preserve"> </w:t>
            </w:r>
            <w:r w:rsidR="00687B14">
              <w:t xml:space="preserve">interaction with the market </w:t>
            </w:r>
            <w:r>
              <w:t xml:space="preserve">prior to the publication of the competition </w:t>
            </w:r>
            <w:r w:rsidR="00687B14">
              <w:t>could</w:t>
            </w:r>
            <w:r w:rsidR="00882444">
              <w:t xml:space="preserve"> result </w:t>
            </w:r>
            <w:r w:rsidR="00687B14">
              <w:t>in non</w:t>
            </w:r>
            <w:r w:rsidR="00882444">
              <w:t>-realistic or outdated specifications</w:t>
            </w:r>
            <w:r w:rsidR="00687B14">
              <w:t xml:space="preserve"> and the final outcome of the procurement procedure could not be the best possible.</w:t>
            </w:r>
          </w:p>
          <w:p w14:paraId="13D89DB8" w14:textId="79278778" w:rsidR="001F7630" w:rsidRDefault="001F7630" w:rsidP="00882444">
            <w:pPr>
              <w:pStyle w:val="ListParagraph"/>
              <w:numPr>
                <w:ilvl w:val="0"/>
                <w:numId w:val="39"/>
              </w:numPr>
            </w:pPr>
            <w:r>
              <w:t xml:space="preserve">Inconsistency in the provision of the information regarding the award </w:t>
            </w:r>
            <w:r w:rsidR="00D11F65">
              <w:t xml:space="preserve">of </w:t>
            </w:r>
            <w:r>
              <w:t xml:space="preserve">Contracts resulting in a misleading picture of the </w:t>
            </w:r>
            <w:r w:rsidR="00D11F65">
              <w:t xml:space="preserve">Public Procurement Market </w:t>
            </w:r>
            <w:r>
              <w:t>in Cyprus</w:t>
            </w:r>
            <w:r w:rsidR="00D11F65">
              <w:t>. As the market is small both in numbers and value figures can easily be distorted from year to year.</w:t>
            </w:r>
          </w:p>
          <w:p w14:paraId="20A2FF3A" w14:textId="43C71033" w:rsidR="00253552" w:rsidRPr="00F90E57" w:rsidDel="00B943DE" w:rsidRDefault="00D11F65" w:rsidP="00F90E57">
            <w:pPr>
              <w:pStyle w:val="ListParagraph"/>
              <w:numPr>
                <w:ilvl w:val="0"/>
                <w:numId w:val="39"/>
              </w:numPr>
            </w:pPr>
            <w:r w:rsidRPr="00D11F65">
              <w:t>the relatively high number of procedures (decreased from 38% in 2016 to 30% in 2017) utilizing the negotiated procedure without the publication of a call for tenders, employed mainly for the purchase of pharmaceutical products (more than 90% of the cases).</w:t>
            </w:r>
            <w:r>
              <w:t xml:space="preserve">  This is due to the small total number of above </w:t>
            </w:r>
            <w:r w:rsidR="00F90E57">
              <w:t>threshold procedures</w:t>
            </w:r>
            <w:r>
              <w:t xml:space="preserve"> in Cyprus which is distorted because of the pharmaceutical products and medical equipment that are necessary and are under patent protection</w:t>
            </w:r>
            <w:r w:rsidR="00F90E57">
              <w:t>.</w:t>
            </w:r>
          </w:p>
        </w:tc>
      </w:tr>
      <w:bookmarkEnd w:id="0"/>
      <w:tr w:rsidR="00413165" w:rsidRPr="00B01372" w14:paraId="356029E8" w14:textId="77777777" w:rsidTr="00416950">
        <w:tc>
          <w:tcPr>
            <w:tcW w:w="3198" w:type="dxa"/>
          </w:tcPr>
          <w:p w14:paraId="591E5373" w14:textId="4F0866E2" w:rsidR="00253552" w:rsidRPr="00B01372" w:rsidDel="00BC09FC" w:rsidRDefault="00620C02" w:rsidP="005329C9">
            <w:pPr>
              <w:jc w:val="both"/>
              <w:rPr>
                <w:b/>
              </w:rPr>
            </w:pPr>
            <w:r w:rsidRPr="00B01372">
              <w:rPr>
                <w:b/>
              </w:rPr>
              <w:t>II</w:t>
            </w:r>
            <w:r w:rsidR="00253552" w:rsidRPr="00B01372">
              <w:rPr>
                <w:b/>
              </w:rPr>
              <w:t xml:space="preserve">.2 </w:t>
            </w:r>
            <w:r w:rsidR="007F2B97">
              <w:rPr>
                <w:b/>
              </w:rPr>
              <w:t>Supporting documents</w:t>
            </w:r>
          </w:p>
        </w:tc>
        <w:tc>
          <w:tcPr>
            <w:tcW w:w="11226" w:type="dxa"/>
          </w:tcPr>
          <w:p w14:paraId="7B743D4A" w14:textId="77777777" w:rsidR="00253552" w:rsidRPr="00B01372" w:rsidRDefault="00253552" w:rsidP="00CE4EFC">
            <w:pPr>
              <w:jc w:val="both"/>
            </w:pPr>
          </w:p>
        </w:tc>
      </w:tr>
      <w:tr w:rsidR="00413165" w:rsidRPr="00B01372" w14:paraId="30910821" w14:textId="77777777" w:rsidTr="00416950">
        <w:tc>
          <w:tcPr>
            <w:tcW w:w="3198" w:type="dxa"/>
          </w:tcPr>
          <w:p w14:paraId="4DA643ED" w14:textId="105FDA19" w:rsidR="00253552" w:rsidRDefault="00AC7614" w:rsidP="00B72720">
            <w:pPr>
              <w:jc w:val="both"/>
            </w:pPr>
            <w:r w:rsidRPr="00B01372">
              <w:t xml:space="preserve">Please </w:t>
            </w:r>
            <w:r w:rsidR="00B72720" w:rsidRPr="00B01372">
              <w:t>provide</w:t>
            </w:r>
            <w:r w:rsidRPr="00B01372">
              <w:t xml:space="preserve"> any available evidence of the issues identified under section </w:t>
            </w:r>
            <w:r w:rsidR="00464D72" w:rsidRPr="00B01372">
              <w:t>II</w:t>
            </w:r>
            <w:r w:rsidRPr="00B01372">
              <w:t>.1.</w:t>
            </w:r>
          </w:p>
          <w:p w14:paraId="45348405" w14:textId="560D0C86" w:rsidR="00C83900" w:rsidRPr="00B01372" w:rsidRDefault="00C83900" w:rsidP="008B2E5B">
            <w:pPr>
              <w:pStyle w:val="ListParagraph"/>
              <w:ind w:left="306"/>
              <w:jc w:val="both"/>
            </w:pPr>
          </w:p>
        </w:tc>
        <w:tc>
          <w:tcPr>
            <w:tcW w:w="11226" w:type="dxa"/>
          </w:tcPr>
          <w:p w14:paraId="560579ED" w14:textId="3A1CF0DD" w:rsidR="00C83900" w:rsidRPr="00413165" w:rsidRDefault="00C83900" w:rsidP="00C83900">
            <w:pPr>
              <w:pStyle w:val="ListParagraph"/>
              <w:numPr>
                <w:ilvl w:val="0"/>
                <w:numId w:val="29"/>
              </w:numPr>
              <w:jc w:val="both"/>
            </w:pPr>
            <w:r w:rsidRPr="00413165">
              <w:lastRenderedPageBreak/>
              <w:t xml:space="preserve">Circulars interpreting and provide </w:t>
            </w:r>
            <w:r w:rsidR="001F7630" w:rsidRPr="00413165">
              <w:t xml:space="preserve">guidance on issues like </w:t>
            </w:r>
          </w:p>
          <w:p w14:paraId="03510F2D" w14:textId="02FADB2D" w:rsidR="001F7630" w:rsidRPr="00413165" w:rsidRDefault="001F7630" w:rsidP="001F7630">
            <w:pPr>
              <w:pStyle w:val="ListParagraph"/>
              <w:numPr>
                <w:ilvl w:val="1"/>
                <w:numId w:val="29"/>
              </w:numPr>
              <w:jc w:val="both"/>
            </w:pPr>
            <w:r w:rsidRPr="00413165">
              <w:t>Social and other Special services</w:t>
            </w:r>
          </w:p>
          <w:p w14:paraId="214E13FB" w14:textId="55A7EEC5" w:rsidR="001F7630" w:rsidRPr="00F90E57" w:rsidRDefault="001F7630" w:rsidP="001F7630">
            <w:pPr>
              <w:pStyle w:val="ListParagraph"/>
              <w:numPr>
                <w:ilvl w:val="1"/>
                <w:numId w:val="29"/>
              </w:numPr>
              <w:jc w:val="both"/>
            </w:pPr>
            <w:r w:rsidRPr="00413165">
              <w:t>Use of price quality ratio as an award criterion</w:t>
            </w:r>
            <w:r w:rsidRPr="00F90E57">
              <w:t xml:space="preserve"> in services especially for consultants in the construction sector</w:t>
            </w:r>
          </w:p>
          <w:p w14:paraId="267FD3E9" w14:textId="46B2BA86" w:rsidR="001F7630" w:rsidRPr="00F90E57" w:rsidRDefault="001F7630" w:rsidP="001F7630">
            <w:pPr>
              <w:pStyle w:val="ListParagraph"/>
              <w:numPr>
                <w:ilvl w:val="1"/>
                <w:numId w:val="29"/>
              </w:numPr>
              <w:jc w:val="both"/>
            </w:pPr>
            <w:r w:rsidRPr="00F90E57">
              <w:lastRenderedPageBreak/>
              <w:t>Input of data regarding the award of contracts in the platform</w:t>
            </w:r>
          </w:p>
          <w:p w14:paraId="51AA84F0" w14:textId="2FB5D393" w:rsidR="001F7630" w:rsidRPr="00F90E57" w:rsidRDefault="001F7630" w:rsidP="001F7630">
            <w:pPr>
              <w:pStyle w:val="ListParagraph"/>
              <w:numPr>
                <w:ilvl w:val="1"/>
                <w:numId w:val="29"/>
              </w:numPr>
              <w:jc w:val="both"/>
            </w:pPr>
            <w:r w:rsidRPr="00F90E57">
              <w:rPr>
                <w:lang w:val="en-US"/>
              </w:rPr>
              <w:t>Clarifications during the evaluation</w:t>
            </w:r>
          </w:p>
          <w:p w14:paraId="6D826E9D" w14:textId="101F28C4" w:rsidR="001F7630" w:rsidRPr="00F90E57" w:rsidRDefault="001F7630" w:rsidP="001F7630">
            <w:pPr>
              <w:pStyle w:val="ListParagraph"/>
              <w:numPr>
                <w:ilvl w:val="1"/>
                <w:numId w:val="29"/>
              </w:numPr>
              <w:jc w:val="both"/>
            </w:pPr>
            <w:r w:rsidRPr="00F90E57">
              <w:rPr>
                <w:lang w:val="en-US"/>
              </w:rPr>
              <w:t>Replacement of the third party on which the Economic operators relies on</w:t>
            </w:r>
          </w:p>
          <w:p w14:paraId="2ED0F3F2" w14:textId="212B577E" w:rsidR="00253552" w:rsidRDefault="00C83900" w:rsidP="00C83900">
            <w:pPr>
              <w:pStyle w:val="ListParagraph"/>
              <w:numPr>
                <w:ilvl w:val="0"/>
                <w:numId w:val="29"/>
              </w:numPr>
              <w:jc w:val="both"/>
            </w:pPr>
            <w:r w:rsidRPr="00F90E57">
              <w:t xml:space="preserve">Reports extracted </w:t>
            </w:r>
            <w:r w:rsidR="001F7630" w:rsidRPr="00F90E57">
              <w:t>from</w:t>
            </w:r>
            <w:r w:rsidRPr="00F90E57">
              <w:t xml:space="preserve"> the eProcurement Platform showing the number of open procedures initiated in relation to the total </w:t>
            </w:r>
            <w:r w:rsidR="00F90E57" w:rsidRPr="00F90E57">
              <w:t>numbers’</w:t>
            </w:r>
            <w:r w:rsidRPr="00F90E57">
              <w:t xml:space="preserve"> competitions announced as well as the award criterion used.</w:t>
            </w:r>
          </w:p>
          <w:p w14:paraId="16C848AE" w14:textId="00D37773" w:rsidR="00F90E57" w:rsidRDefault="00F90E57" w:rsidP="00C83900">
            <w:pPr>
              <w:pStyle w:val="ListParagraph"/>
              <w:numPr>
                <w:ilvl w:val="0"/>
                <w:numId w:val="29"/>
              </w:numPr>
              <w:jc w:val="both"/>
            </w:pPr>
            <w:r>
              <w:t xml:space="preserve">Decision of the Tenders Review authority </w:t>
            </w:r>
          </w:p>
          <w:p w14:paraId="4B9A2A67" w14:textId="0106DF77" w:rsidR="00F90E57" w:rsidRDefault="00F90E57" w:rsidP="00C83900">
            <w:pPr>
              <w:pStyle w:val="ListParagraph"/>
              <w:numPr>
                <w:ilvl w:val="0"/>
                <w:numId w:val="29"/>
              </w:numPr>
              <w:jc w:val="both"/>
            </w:pPr>
            <w:r>
              <w:t>Single Market Scoreboard Report</w:t>
            </w:r>
          </w:p>
          <w:p w14:paraId="62213F94" w14:textId="3907F487" w:rsidR="00F90E57" w:rsidRPr="00F90E57" w:rsidRDefault="00F90E57" w:rsidP="007F2B97">
            <w:pPr>
              <w:pStyle w:val="ListParagraph"/>
              <w:numPr>
                <w:ilvl w:val="0"/>
                <w:numId w:val="29"/>
              </w:numPr>
              <w:jc w:val="both"/>
            </w:pPr>
            <w:r>
              <w:t>Monitoring of Procurement Activity in Cyprus as a Help desk Function and Training Agents.</w:t>
            </w:r>
          </w:p>
        </w:tc>
      </w:tr>
      <w:tr w:rsidR="00413165" w:rsidRPr="00B01372" w14:paraId="1B195211" w14:textId="77777777" w:rsidTr="00416950">
        <w:tc>
          <w:tcPr>
            <w:tcW w:w="3198" w:type="dxa"/>
          </w:tcPr>
          <w:p w14:paraId="0EFDD4F3" w14:textId="0D5BA5B4" w:rsidR="00C91FDC" w:rsidRPr="00B01372" w:rsidRDefault="00464D72" w:rsidP="00B05C8F">
            <w:pPr>
              <w:pStyle w:val="Heading3"/>
              <w:outlineLvl w:val="2"/>
            </w:pPr>
            <w:r w:rsidRPr="00B01372">
              <w:lastRenderedPageBreak/>
              <w:t>II</w:t>
            </w:r>
            <w:r w:rsidR="00C91FDC" w:rsidRPr="00B01372">
              <w:t>.3</w:t>
            </w:r>
            <w:r w:rsidR="00B72720" w:rsidRPr="00B01372">
              <w:t xml:space="preserve">. </w:t>
            </w:r>
            <w:r w:rsidR="00C91FDC" w:rsidRPr="00B01372">
              <w:t xml:space="preserve">Quantitative indicators </w:t>
            </w:r>
          </w:p>
        </w:tc>
        <w:tc>
          <w:tcPr>
            <w:tcW w:w="11226" w:type="dxa"/>
          </w:tcPr>
          <w:p w14:paraId="3ADF1444" w14:textId="41C0A3E3" w:rsidR="00C91FDC" w:rsidRPr="00B01372" w:rsidRDefault="00C91FDC" w:rsidP="0086391B">
            <w:pPr>
              <w:jc w:val="both"/>
              <w:rPr>
                <w:i/>
              </w:rPr>
            </w:pPr>
          </w:p>
        </w:tc>
      </w:tr>
      <w:tr w:rsidR="00413165" w:rsidRPr="00B01372" w14:paraId="69EC1028" w14:textId="77777777" w:rsidTr="00416950">
        <w:tc>
          <w:tcPr>
            <w:tcW w:w="3198" w:type="dxa"/>
          </w:tcPr>
          <w:p w14:paraId="5C178EC9" w14:textId="4A60F59A" w:rsidR="00C91FDC" w:rsidRDefault="00C91FDC" w:rsidP="00980048">
            <w:pPr>
              <w:pStyle w:val="Heading3"/>
              <w:outlineLvl w:val="2"/>
              <w:rPr>
                <w:b w:val="0"/>
              </w:rPr>
            </w:pPr>
            <w:r w:rsidRPr="00B01372">
              <w:rPr>
                <w:b w:val="0"/>
              </w:rPr>
              <w:t>Number of</w:t>
            </w:r>
            <w:r w:rsidR="00980048" w:rsidRPr="00B01372">
              <w:rPr>
                <w:b w:val="0"/>
              </w:rPr>
              <w:t xml:space="preserve"> </w:t>
            </w:r>
            <w:r w:rsidRPr="00F90E57">
              <w:rPr>
                <w:b w:val="0"/>
              </w:rPr>
              <w:t>procedures c</w:t>
            </w:r>
            <w:r w:rsidRPr="00B01372">
              <w:rPr>
                <w:b w:val="0"/>
              </w:rPr>
              <w:t>hallenged before a review body</w:t>
            </w:r>
          </w:p>
          <w:p w14:paraId="5F0023A7" w14:textId="6056C412" w:rsidR="00A61403" w:rsidRPr="00B01372" w:rsidRDefault="00A61403" w:rsidP="00C31962"/>
        </w:tc>
        <w:tc>
          <w:tcPr>
            <w:tcW w:w="11226" w:type="dxa"/>
          </w:tcPr>
          <w:p w14:paraId="2364B7CE" w14:textId="34AD8385" w:rsidR="0010414C" w:rsidRPr="00B01372" w:rsidRDefault="00C31962" w:rsidP="00AF3A52">
            <w:pPr>
              <w:jc w:val="both"/>
            </w:pPr>
            <w:r>
              <w:t>42 Procedures have been challenged before Tenders Review Authority during 2017</w:t>
            </w:r>
          </w:p>
        </w:tc>
      </w:tr>
      <w:tr w:rsidR="00413165" w:rsidRPr="00B01372" w14:paraId="4D78B36C" w14:textId="77777777" w:rsidTr="00416950">
        <w:tc>
          <w:tcPr>
            <w:tcW w:w="3198" w:type="dxa"/>
          </w:tcPr>
          <w:p w14:paraId="174EF793" w14:textId="77777777" w:rsidR="00980048" w:rsidRDefault="00980048" w:rsidP="00C31962">
            <w:pPr>
              <w:jc w:val="both"/>
            </w:pPr>
            <w:r w:rsidRPr="00B01372">
              <w:t xml:space="preserve">Number of </w:t>
            </w:r>
            <w:r w:rsidRPr="00C31962">
              <w:t>complaints b</w:t>
            </w:r>
            <w:r w:rsidRPr="00B01372">
              <w:t>rought before a review body</w:t>
            </w:r>
            <w:r w:rsidR="00CE7B90" w:rsidRPr="00B01372">
              <w:t xml:space="preserve"> </w:t>
            </w:r>
          </w:p>
          <w:p w14:paraId="089D65E6" w14:textId="76A0F11E" w:rsidR="00C31962" w:rsidRPr="00C31962" w:rsidRDefault="00C31962" w:rsidP="00C31962">
            <w:pPr>
              <w:jc w:val="both"/>
            </w:pPr>
          </w:p>
        </w:tc>
        <w:tc>
          <w:tcPr>
            <w:tcW w:w="11226" w:type="dxa"/>
          </w:tcPr>
          <w:p w14:paraId="195ADA62" w14:textId="35CD20E8" w:rsidR="00BA0ADF" w:rsidRPr="00B01372" w:rsidRDefault="00C31962" w:rsidP="00146F52">
            <w:pPr>
              <w:jc w:val="both"/>
            </w:pPr>
            <w:r>
              <w:t>44 complaints have been brought before Tenders Review Authority during 2017</w:t>
            </w:r>
          </w:p>
        </w:tc>
      </w:tr>
      <w:tr w:rsidR="00413165" w:rsidRPr="00B01372" w14:paraId="3B423C61" w14:textId="77777777" w:rsidTr="00416950">
        <w:tc>
          <w:tcPr>
            <w:tcW w:w="3198" w:type="dxa"/>
          </w:tcPr>
          <w:p w14:paraId="439F7DEB" w14:textId="7DE934F1" w:rsidR="00BE60E9" w:rsidRPr="00C31962" w:rsidRDefault="00BE60E9" w:rsidP="00C31962">
            <w:pPr>
              <w:jc w:val="both"/>
            </w:pPr>
            <w:r w:rsidRPr="00B01372">
              <w:t xml:space="preserve">Number of complaints </w:t>
            </w:r>
            <w:r w:rsidR="00355492" w:rsidRPr="00B01372">
              <w:t xml:space="preserve">on </w:t>
            </w:r>
            <w:r w:rsidRPr="00B01372">
              <w:t xml:space="preserve">which </w:t>
            </w:r>
            <w:r w:rsidR="00355492" w:rsidRPr="00B01372">
              <w:t xml:space="preserve">the </w:t>
            </w:r>
            <w:r w:rsidRPr="00B01372">
              <w:t xml:space="preserve">review body has already </w:t>
            </w:r>
            <w:r w:rsidR="00FE1113" w:rsidRPr="00B01372">
              <w:t>made a decision</w:t>
            </w:r>
            <w:r w:rsidR="00834057" w:rsidRPr="00B01372">
              <w:t xml:space="preserve"> </w:t>
            </w:r>
          </w:p>
        </w:tc>
        <w:tc>
          <w:tcPr>
            <w:tcW w:w="11226" w:type="dxa"/>
          </w:tcPr>
          <w:p w14:paraId="58AE8C1E" w14:textId="4ECB5CD9" w:rsidR="00BE60E9" w:rsidRPr="00B01372" w:rsidRDefault="00C31962" w:rsidP="00A51838">
            <w:pPr>
              <w:jc w:val="both"/>
            </w:pPr>
            <w:r>
              <w:t xml:space="preserve">The Tenders Review Authority has decided for </w:t>
            </w:r>
            <w:r w:rsidR="00E56F64">
              <w:t>38</w:t>
            </w:r>
            <w:r>
              <w:t xml:space="preserve"> complaints brought before the Authority during 2017 </w:t>
            </w:r>
          </w:p>
        </w:tc>
      </w:tr>
      <w:tr w:rsidR="00413165" w:rsidRPr="00B01372" w14:paraId="22AE08C8" w14:textId="77777777" w:rsidTr="00416950">
        <w:tc>
          <w:tcPr>
            <w:tcW w:w="3198" w:type="dxa"/>
          </w:tcPr>
          <w:p w14:paraId="504056A1" w14:textId="68798393" w:rsidR="00BE60E9" w:rsidRPr="00E56F64" w:rsidRDefault="00BE60E9" w:rsidP="00BE60E9">
            <w:pPr>
              <w:pStyle w:val="Heading3"/>
              <w:outlineLvl w:val="2"/>
            </w:pPr>
            <w:r w:rsidRPr="00B01372">
              <w:rPr>
                <w:b w:val="0"/>
              </w:rPr>
              <w:t>Number of complaints upheld by the review body</w:t>
            </w:r>
            <w:r w:rsidR="00CE7B90" w:rsidRPr="00B01372">
              <w:t xml:space="preserve"> </w:t>
            </w:r>
          </w:p>
        </w:tc>
        <w:tc>
          <w:tcPr>
            <w:tcW w:w="11226" w:type="dxa"/>
          </w:tcPr>
          <w:p w14:paraId="4F4845E4" w14:textId="6DBAE8EF" w:rsidR="00BE60E9" w:rsidRPr="00B01372" w:rsidRDefault="00E56F64" w:rsidP="00BA0ADF">
            <w:pPr>
              <w:jc w:val="both"/>
              <w:rPr>
                <w:i/>
              </w:rPr>
            </w:pPr>
            <w:r>
              <w:t>6</w:t>
            </w:r>
            <w:r w:rsidR="00C31962">
              <w:t xml:space="preserve"> </w:t>
            </w:r>
            <w:r>
              <w:t>complaints have</w:t>
            </w:r>
            <w:r w:rsidR="00C31962">
              <w:t xml:space="preserve"> been</w:t>
            </w:r>
            <w:r>
              <w:t xml:space="preserve"> upheld. Decision was issued in January 2018. </w:t>
            </w:r>
            <w:r w:rsidR="00C31962">
              <w:t xml:space="preserve"> </w:t>
            </w:r>
          </w:p>
        </w:tc>
      </w:tr>
      <w:tr w:rsidR="00413165" w:rsidRPr="00B01372" w14:paraId="40E8021D" w14:textId="77777777" w:rsidTr="00416950">
        <w:tc>
          <w:tcPr>
            <w:tcW w:w="3198" w:type="dxa"/>
          </w:tcPr>
          <w:p w14:paraId="2B157F68" w14:textId="72C59205" w:rsidR="00CE7B90" w:rsidRDefault="00BE60E9" w:rsidP="00CE7B90">
            <w:pPr>
              <w:jc w:val="both"/>
            </w:pPr>
            <w:r w:rsidRPr="00B01372">
              <w:t>Average length of review procedures</w:t>
            </w:r>
            <w:r w:rsidR="00CE7B90" w:rsidRPr="00B01372">
              <w:t xml:space="preserve"> </w:t>
            </w:r>
          </w:p>
          <w:p w14:paraId="405C70E2" w14:textId="3BC7C1C1" w:rsidR="00BE60E9" w:rsidRPr="00B01372" w:rsidRDefault="00BE60E9" w:rsidP="00CE7B90">
            <w:pPr>
              <w:pStyle w:val="Heading3"/>
              <w:outlineLvl w:val="2"/>
              <w:rPr>
                <w:b w:val="0"/>
              </w:rPr>
            </w:pPr>
          </w:p>
        </w:tc>
        <w:tc>
          <w:tcPr>
            <w:tcW w:w="11226" w:type="dxa"/>
          </w:tcPr>
          <w:p w14:paraId="3563635F" w14:textId="7E7A7AD9" w:rsidR="0010414C" w:rsidRPr="00B01372" w:rsidRDefault="00E56F64" w:rsidP="00BE60E9">
            <w:pPr>
              <w:jc w:val="both"/>
            </w:pPr>
            <w:r>
              <w:t>Approximately 3.5 to 4 months</w:t>
            </w:r>
          </w:p>
        </w:tc>
      </w:tr>
      <w:tr w:rsidR="00413165" w:rsidRPr="00B01372" w14:paraId="5F3F355B" w14:textId="77777777" w:rsidTr="00416950">
        <w:tc>
          <w:tcPr>
            <w:tcW w:w="3198" w:type="dxa"/>
          </w:tcPr>
          <w:p w14:paraId="14C15D8C" w14:textId="56B5A239" w:rsidR="00CE7B90" w:rsidRDefault="00AD5A2B" w:rsidP="00F707A7">
            <w:pPr>
              <w:pStyle w:val="Heading3"/>
              <w:outlineLvl w:val="2"/>
              <w:rPr>
                <w:b w:val="0"/>
              </w:rPr>
            </w:pPr>
            <w:r w:rsidRPr="00B01372">
              <w:rPr>
                <w:b w:val="0"/>
              </w:rPr>
              <w:t>Histogram of values</w:t>
            </w:r>
            <w:r w:rsidR="00F707A7" w:rsidRPr="00B01372">
              <w:rPr>
                <w:b w:val="0"/>
              </w:rPr>
              <w:t xml:space="preserve"> of procedures</w:t>
            </w:r>
            <w:r w:rsidRPr="00B01372">
              <w:rPr>
                <w:b w:val="0"/>
              </w:rPr>
              <w:t xml:space="preserve">, </w:t>
            </w:r>
            <w:r w:rsidR="006D4823" w:rsidRPr="00B01372">
              <w:rPr>
                <w:b w:val="0"/>
              </w:rPr>
              <w:t xml:space="preserve">covering </w:t>
            </w:r>
            <w:r w:rsidR="00933EC9" w:rsidRPr="00B01372">
              <w:rPr>
                <w:b w:val="0"/>
              </w:rPr>
              <w:t xml:space="preserve">also procedures below </w:t>
            </w:r>
            <w:r w:rsidR="000A0653" w:rsidRPr="00B01372">
              <w:rPr>
                <w:b w:val="0"/>
              </w:rPr>
              <w:t>the thresholds</w:t>
            </w:r>
          </w:p>
          <w:p w14:paraId="111D5720" w14:textId="77777777" w:rsidR="00CE7B90" w:rsidRPr="00CE7B90" w:rsidRDefault="00CE7B90" w:rsidP="00CE7B90"/>
          <w:p w14:paraId="2ABE3C44" w14:textId="6D0884B5" w:rsidR="00CE7B90" w:rsidRPr="00CE7B90" w:rsidRDefault="00CE7B90" w:rsidP="00CE7B90">
            <w:pPr>
              <w:jc w:val="both"/>
              <w:rPr>
                <w:color w:val="FF0000"/>
              </w:rPr>
            </w:pPr>
            <w:r w:rsidRPr="00CE7B90" w:rsidDel="00AE3F8C">
              <w:rPr>
                <w:color w:val="FF0000"/>
              </w:rPr>
              <w:t xml:space="preserve"> </w:t>
            </w:r>
          </w:p>
          <w:p w14:paraId="2F9ACFF2" w14:textId="71FD12A6" w:rsidR="00BE60E9" w:rsidRPr="00CE7B90" w:rsidRDefault="00BE60E9" w:rsidP="00F707A7">
            <w:pPr>
              <w:pStyle w:val="Heading3"/>
              <w:outlineLvl w:val="2"/>
              <w:rPr>
                <w:b w:val="0"/>
              </w:rPr>
            </w:pPr>
          </w:p>
        </w:tc>
        <w:tc>
          <w:tcPr>
            <w:tcW w:w="11226" w:type="dxa"/>
          </w:tcPr>
          <w:p w14:paraId="64F2BA04" w14:textId="0F1BE73C" w:rsidR="00832674" w:rsidRPr="00B01372" w:rsidRDefault="00832674" w:rsidP="00BE60E9">
            <w:pPr>
              <w:jc w:val="both"/>
            </w:pPr>
          </w:p>
          <w:p w14:paraId="2F98BEDE" w14:textId="292A585C" w:rsidR="00832674" w:rsidRPr="00B01372" w:rsidRDefault="00B07D6F" w:rsidP="00BE60E9">
            <w:pPr>
              <w:jc w:val="both"/>
            </w:pPr>
            <w:r>
              <w:rPr>
                <w:noProof/>
              </w:rPr>
              <w:lastRenderedPageBreak/>
              <w:drawing>
                <wp:inline distT="0" distB="0" distL="0" distR="0" wp14:anchorId="588C7E90" wp14:editId="25D2AD50">
                  <wp:extent cx="6968954" cy="1985319"/>
                  <wp:effectExtent l="0" t="0" r="3810" b="15240"/>
                  <wp:docPr id="1" name="Chart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5807B5" w14:textId="352CB167" w:rsidR="00413165" w:rsidRDefault="00413165" w:rsidP="00D82802">
            <w:pPr>
              <w:rPr>
                <w:i/>
              </w:rPr>
            </w:pPr>
          </w:p>
          <w:p w14:paraId="0E9E7FA2" w14:textId="71931AB4" w:rsidR="00413165" w:rsidRDefault="00413165" w:rsidP="00D82802">
            <w:pPr>
              <w:rPr>
                <w:i/>
              </w:rPr>
            </w:pPr>
          </w:p>
          <w:p w14:paraId="337455B7" w14:textId="5DE19B85" w:rsidR="00413165" w:rsidRDefault="00413165" w:rsidP="00D82802">
            <w:pPr>
              <w:rPr>
                <w:i/>
              </w:rPr>
            </w:pPr>
            <w:r>
              <w:rPr>
                <w:noProof/>
              </w:rPr>
              <w:drawing>
                <wp:inline distT="0" distB="0" distL="0" distR="0" wp14:anchorId="331819EE" wp14:editId="251AF7E8">
                  <wp:extent cx="6968490" cy="2376805"/>
                  <wp:effectExtent l="0" t="0" r="3810" b="4445"/>
                  <wp:docPr id="4" name="Chart 4">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C65704" w14:textId="45050440" w:rsidR="00413165" w:rsidRDefault="00413165" w:rsidP="00D82802">
            <w:pPr>
              <w:rPr>
                <w:i/>
              </w:rPr>
            </w:pPr>
          </w:p>
          <w:p w14:paraId="6C80F63F" w14:textId="2A73B76A" w:rsidR="00413165" w:rsidRDefault="00413165" w:rsidP="00D82802">
            <w:pPr>
              <w:rPr>
                <w:i/>
              </w:rPr>
            </w:pPr>
          </w:p>
          <w:p w14:paraId="34501FF8" w14:textId="7521D357" w:rsidR="00413165" w:rsidRDefault="00413165" w:rsidP="00D82802">
            <w:pPr>
              <w:rPr>
                <w:i/>
              </w:rPr>
            </w:pPr>
            <w:r>
              <w:rPr>
                <w:noProof/>
              </w:rPr>
              <w:lastRenderedPageBreak/>
              <w:drawing>
                <wp:inline distT="0" distB="0" distL="0" distR="0" wp14:anchorId="2DB5A02D" wp14:editId="44720966">
                  <wp:extent cx="6977449" cy="2224216"/>
                  <wp:effectExtent l="0" t="0" r="13970" b="5080"/>
                  <wp:docPr id="5" name="Chart 5">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42A8DE" w14:textId="4C551913" w:rsidR="00413165" w:rsidRDefault="00413165" w:rsidP="00D82802">
            <w:pPr>
              <w:rPr>
                <w:i/>
              </w:rPr>
            </w:pPr>
          </w:p>
          <w:p w14:paraId="77AFDDB1" w14:textId="30D8CFCE" w:rsidR="00413165" w:rsidRDefault="00413165" w:rsidP="00D82802">
            <w:pPr>
              <w:rPr>
                <w:i/>
              </w:rPr>
            </w:pPr>
          </w:p>
          <w:p w14:paraId="2F47565D" w14:textId="07859968" w:rsidR="00413165" w:rsidRDefault="00413165" w:rsidP="00D82802">
            <w:pPr>
              <w:rPr>
                <w:i/>
              </w:rPr>
            </w:pPr>
            <w:r>
              <w:rPr>
                <w:noProof/>
              </w:rPr>
              <w:drawing>
                <wp:inline distT="0" distB="0" distL="0" distR="0" wp14:anchorId="2B5AE274" wp14:editId="706A1C67">
                  <wp:extent cx="5972175" cy="2684505"/>
                  <wp:effectExtent l="0" t="0" r="9525" b="1905"/>
                  <wp:docPr id="6" name="Chart 6">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2839D3" w14:textId="5D25CEE9" w:rsidR="004F136D" w:rsidRPr="00B01372" w:rsidRDefault="004F136D" w:rsidP="00D82802">
            <w:pPr>
              <w:rPr>
                <w:i/>
              </w:rPr>
            </w:pPr>
          </w:p>
        </w:tc>
      </w:tr>
      <w:tr w:rsidR="00413165" w:rsidRPr="00B01372" w14:paraId="0BD70BD5" w14:textId="77777777" w:rsidTr="00416950">
        <w:tc>
          <w:tcPr>
            <w:tcW w:w="3198" w:type="dxa"/>
          </w:tcPr>
          <w:p w14:paraId="704DFD54" w14:textId="77777777" w:rsidR="00BE60E9" w:rsidRDefault="004B20E1" w:rsidP="004B20E1">
            <w:r w:rsidRPr="00B01372">
              <w:lastRenderedPageBreak/>
              <w:t xml:space="preserve">Numbers of procedures audited, </w:t>
            </w:r>
            <w:r w:rsidR="00012443" w:rsidRPr="00B01372">
              <w:t xml:space="preserve">total and </w:t>
            </w:r>
            <w:r w:rsidRPr="00B01372">
              <w:t>by auditing body</w:t>
            </w:r>
          </w:p>
          <w:p w14:paraId="4F1A745A" w14:textId="0A476A80" w:rsidR="00CE7B90" w:rsidRPr="00B01372" w:rsidRDefault="00CE7B90" w:rsidP="004B20E1"/>
        </w:tc>
        <w:tc>
          <w:tcPr>
            <w:tcW w:w="11226" w:type="dxa"/>
          </w:tcPr>
          <w:p w14:paraId="2E4B4BD2" w14:textId="77777777" w:rsidR="00E56F64" w:rsidRPr="00DC1ADD" w:rsidRDefault="00E56F64" w:rsidP="00E56F64">
            <w:pPr>
              <w:pStyle w:val="ListParagraph"/>
              <w:ind w:left="426"/>
              <w:contextualSpacing w:val="0"/>
              <w:jc w:val="both"/>
            </w:pPr>
            <w:r w:rsidRPr="00DC1ADD">
              <w:t>According to the Regulations on the Coordination of procedures for the award of Supplies, Works and Services of 2007 (KDP 201/2007), Regulation 19, the Auditor General of the Republic, or their representatives, has the right to attend as independent observers in the sessions of the Evaluation Committees, to express his views on the issues discussed and to request that they will be recorded in the minutes kept. The same right is assigned to the Accountant General of the Republic, heading the Competent Authority on Public Procurement, as well as to the Attorney General of the Republic.</w:t>
            </w:r>
          </w:p>
          <w:p w14:paraId="65FB7B5E" w14:textId="404F604E" w:rsidR="00DC1ADD" w:rsidRPr="00DC1ADD" w:rsidRDefault="00E56F64" w:rsidP="00B05C8F">
            <w:pPr>
              <w:ind w:left="426" w:hanging="426"/>
              <w:jc w:val="both"/>
            </w:pPr>
            <w:r w:rsidRPr="00DC1ADD">
              <w:t xml:space="preserve">         Furthermore, the PPD reviews the agendas of the Tender Boards submitted by the contracting authorities and if issues are identified, our position is stated in writing. In cases where major issues occur which cannot be resolved otherwise, a representative of the Accountant General of the Republic attends the relevant meeting. </w:t>
            </w:r>
            <w:r w:rsidR="00DC1ADD">
              <w:t xml:space="preserve">  Therefore, the involvement of the Competent authority the Auditor General and the Attorney General in the several steps during the procedure provides the opportunity for ex- ante monitoring and give the right for intervention early in every process which limits both the need and undertaking of ex post auditing and monitoring activities. </w:t>
            </w:r>
          </w:p>
          <w:p w14:paraId="44EE7A4F" w14:textId="410AA6A1" w:rsidR="00BE60E9" w:rsidRPr="00B01372" w:rsidRDefault="00BE60E9" w:rsidP="00E10D63">
            <w:pPr>
              <w:jc w:val="both"/>
            </w:pPr>
          </w:p>
        </w:tc>
      </w:tr>
      <w:tr w:rsidR="00413165" w:rsidRPr="00B01372" w14:paraId="31A569D0" w14:textId="77777777" w:rsidTr="00416950">
        <w:tc>
          <w:tcPr>
            <w:tcW w:w="3198" w:type="dxa"/>
          </w:tcPr>
          <w:p w14:paraId="1C295646" w14:textId="64007633" w:rsidR="004B20E1" w:rsidRPr="00B01372" w:rsidRDefault="004B20E1" w:rsidP="004B20E1">
            <w:r w:rsidRPr="00B01372">
              <w:t xml:space="preserve">Number of audit findings, </w:t>
            </w:r>
            <w:r w:rsidR="00012443" w:rsidRPr="00B01372">
              <w:t xml:space="preserve">total and </w:t>
            </w:r>
            <w:r w:rsidRPr="00B01372">
              <w:t>by auditing body</w:t>
            </w:r>
            <w:r w:rsidR="00CE7B90" w:rsidRPr="00B01372">
              <w:t xml:space="preserve"> </w:t>
            </w:r>
          </w:p>
        </w:tc>
        <w:tc>
          <w:tcPr>
            <w:tcW w:w="11226" w:type="dxa"/>
          </w:tcPr>
          <w:p w14:paraId="29F67C87" w14:textId="028F5B7E" w:rsidR="00DC1ADD" w:rsidRDefault="00DC1ADD" w:rsidP="00EC1C0A">
            <w:pPr>
              <w:jc w:val="both"/>
            </w:pPr>
            <w:r>
              <w:t>The response in the above question is also valid for this part, Furthermore, the Auditor General publishes any findings of audits conducted on a sample basis or based on analytical review methods employed during the auditing work as prescribed by the Constitution or in the course of the ex post Administrative audits.</w:t>
            </w:r>
          </w:p>
          <w:p w14:paraId="78DF82AF" w14:textId="0BF75925" w:rsidR="004B20E1" w:rsidRPr="00B01372" w:rsidRDefault="004B20E1" w:rsidP="00BE60E9">
            <w:pPr>
              <w:jc w:val="both"/>
            </w:pPr>
          </w:p>
        </w:tc>
      </w:tr>
    </w:tbl>
    <w:p w14:paraId="34AB7F0B" w14:textId="77777777" w:rsidR="000D5425" w:rsidRPr="00B01372" w:rsidRDefault="000D5425" w:rsidP="00BE433B">
      <w:pPr>
        <w:pStyle w:val="ListParagraph"/>
        <w:jc w:val="both"/>
      </w:pPr>
    </w:p>
    <w:p w14:paraId="34AB7F13" w14:textId="77777777" w:rsidR="004932A2" w:rsidRPr="00B01372" w:rsidRDefault="004932A2" w:rsidP="004932A2">
      <w:pPr>
        <w:pStyle w:val="NoSpacing"/>
      </w:pPr>
      <w:r w:rsidRPr="00B01372">
        <w:br w:type="page"/>
      </w:r>
    </w:p>
    <w:p w14:paraId="7EFAE71E" w14:textId="170EE2F8" w:rsidR="00082B68" w:rsidRPr="00B01372" w:rsidRDefault="00082B68" w:rsidP="004932A2">
      <w:pPr>
        <w:pStyle w:val="NoSpacing"/>
      </w:pPr>
    </w:p>
    <w:p w14:paraId="561FA522" w14:textId="77777777" w:rsidR="00082B68" w:rsidRPr="00B01372" w:rsidRDefault="00082B68" w:rsidP="004932A2">
      <w:pPr>
        <w:pStyle w:val="NoSpacing"/>
      </w:pPr>
    </w:p>
    <w:p w14:paraId="34AB7F14" w14:textId="77777777" w:rsidR="008A2313" w:rsidRPr="00B01372" w:rsidRDefault="008A2313" w:rsidP="008A2313">
      <w:pPr>
        <w:pStyle w:val="NoSpacing"/>
        <w:jc w:val="both"/>
      </w:pPr>
    </w:p>
    <w:p w14:paraId="34AB7F15" w14:textId="77777777" w:rsidR="00A051EB" w:rsidRPr="00B01372" w:rsidRDefault="00CF260D" w:rsidP="00B12049">
      <w:pPr>
        <w:pStyle w:val="Heading2"/>
        <w:rPr>
          <w:rFonts w:asciiTheme="minorHAnsi" w:hAnsiTheme="minorHAnsi"/>
        </w:rPr>
      </w:pPr>
      <w:r w:rsidRPr="00B01372">
        <w:rPr>
          <w:rFonts w:asciiTheme="minorHAnsi" w:hAnsiTheme="minorHAnsi"/>
        </w:rPr>
        <w:t>P</w:t>
      </w:r>
      <w:r w:rsidR="005F4733" w:rsidRPr="00B01372">
        <w:rPr>
          <w:rFonts w:asciiTheme="minorHAnsi" w:hAnsiTheme="minorHAnsi"/>
        </w:rPr>
        <w:t>revention, detection and adequate reporting of cases of procurement fraud, corruption, conflict of interests and other serious irregularities</w:t>
      </w:r>
    </w:p>
    <w:p w14:paraId="34AB7F16" w14:textId="77777777" w:rsidR="005F4733" w:rsidRPr="00B01372" w:rsidRDefault="005F4733" w:rsidP="00D24317">
      <w:r w:rsidRPr="00B01372">
        <w:t xml:space="preserve"> </w:t>
      </w:r>
    </w:p>
    <w:tbl>
      <w:tblPr>
        <w:tblStyle w:val="TableGrid"/>
        <w:tblW w:w="4945" w:type="pct"/>
        <w:tblLook w:val="04A0" w:firstRow="1" w:lastRow="0" w:firstColumn="1" w:lastColumn="0" w:noHBand="0" w:noVBand="1"/>
      </w:tblPr>
      <w:tblGrid>
        <w:gridCol w:w="1658"/>
        <w:gridCol w:w="12336"/>
      </w:tblGrid>
      <w:tr w:rsidR="00253552" w:rsidRPr="00B01372" w14:paraId="732EAE05" w14:textId="77777777" w:rsidTr="00B01DFB">
        <w:tc>
          <w:tcPr>
            <w:tcW w:w="742" w:type="pct"/>
          </w:tcPr>
          <w:p w14:paraId="0DA192FE" w14:textId="3D616F19" w:rsidR="00253552" w:rsidRPr="00B01372" w:rsidRDefault="002B6572" w:rsidP="001D4DCD">
            <w:pPr>
              <w:pStyle w:val="Heading3"/>
              <w:outlineLvl w:val="2"/>
            </w:pPr>
            <w:r w:rsidRPr="00B01372">
              <w:t>III</w:t>
            </w:r>
            <w:r w:rsidR="00253552" w:rsidRPr="00B01372">
              <w:t xml:space="preserve">.1. Qualitative reporting </w:t>
            </w:r>
            <w:r w:rsidR="001D4DCD" w:rsidRPr="00B01372">
              <w:t>on</w:t>
            </w:r>
            <w:r w:rsidR="00253552" w:rsidRPr="00B01372">
              <w:t xml:space="preserve"> fraud, corruptio</w:t>
            </w:r>
            <w:bookmarkStart w:id="1" w:name="_GoBack"/>
            <w:bookmarkEnd w:id="1"/>
            <w:r w:rsidR="00253552" w:rsidRPr="00B01372">
              <w:t>n, conflict of interests etc</w:t>
            </w:r>
            <w:r w:rsidR="00AC7614" w:rsidRPr="00B01372">
              <w:t>.</w:t>
            </w:r>
          </w:p>
        </w:tc>
        <w:tc>
          <w:tcPr>
            <w:tcW w:w="4258" w:type="pct"/>
          </w:tcPr>
          <w:p w14:paraId="0A90E1AF" w14:textId="77777777" w:rsidR="00253552" w:rsidRPr="00B01372" w:rsidRDefault="00253552" w:rsidP="005329C9">
            <w:pPr>
              <w:jc w:val="both"/>
            </w:pPr>
          </w:p>
        </w:tc>
      </w:tr>
      <w:tr w:rsidR="00253552" w:rsidRPr="00B01372" w14:paraId="7514108B" w14:textId="77777777" w:rsidTr="00B01DFB">
        <w:tc>
          <w:tcPr>
            <w:tcW w:w="742" w:type="pct"/>
          </w:tcPr>
          <w:p w14:paraId="4DE1EE64" w14:textId="77777777" w:rsidR="00C271E3" w:rsidRDefault="00253552" w:rsidP="00C271E3">
            <w:r w:rsidRPr="00B01372">
              <w:t>Describe the actions undertaken and/or mechanisms put in place to ensure compliance with the new provisions on the prevention, detection and adequate reporting of public procurement irregularities</w:t>
            </w:r>
            <w:r w:rsidR="007217FF" w:rsidRPr="00B01372">
              <w:t xml:space="preserve"> including fraud and corruption</w:t>
            </w:r>
          </w:p>
          <w:p w14:paraId="60D6DF8A" w14:textId="06EDD51B" w:rsidR="00253552" w:rsidRPr="00EC1C0A" w:rsidRDefault="00253552" w:rsidP="00EC1C0A">
            <w:pPr>
              <w:jc w:val="both"/>
              <w:rPr>
                <w:i/>
                <w:color w:val="FF0000"/>
              </w:rPr>
            </w:pPr>
          </w:p>
        </w:tc>
        <w:tc>
          <w:tcPr>
            <w:tcW w:w="4258" w:type="pct"/>
          </w:tcPr>
          <w:p w14:paraId="2D33BAB5" w14:textId="77777777" w:rsidR="00392B2B" w:rsidRDefault="00DC1ADD" w:rsidP="00392B2B">
            <w:pPr>
              <w:pStyle w:val="ListParagraph"/>
              <w:numPr>
                <w:ilvl w:val="0"/>
                <w:numId w:val="43"/>
              </w:numPr>
              <w:contextualSpacing w:val="0"/>
              <w:jc w:val="both"/>
            </w:pPr>
            <w:r w:rsidRPr="00EC1C0A">
              <w:lastRenderedPageBreak/>
              <w:t>According to the Regulations on the Coordination of procedures for the award of Supplies, Works and Services of 2007 (KDP 201/2007), Regulation 19, the Auditor General of the Republic, or their representatives, has the right to attend as independent observers in the sessions of the Evaluation Committees, to express his views on the issues discussed and to request that they will be recorded in the minutes kept. The same right is assigned to the Accountant General of the Republic, heading the Competent Authority on Public Procurement, as well as to the Attorney General of the Republic.</w:t>
            </w:r>
          </w:p>
          <w:p w14:paraId="26567184" w14:textId="77777777" w:rsidR="00392B2B" w:rsidRDefault="00DC1ADD" w:rsidP="00392B2B">
            <w:pPr>
              <w:pStyle w:val="ListParagraph"/>
              <w:ind w:left="727"/>
              <w:contextualSpacing w:val="0"/>
              <w:jc w:val="both"/>
            </w:pPr>
            <w:r w:rsidRPr="00EC1C0A">
              <w:t xml:space="preserve">Furthermore, the PPD reviews the agendas of the Tender Boards submitted by the contracting authorities and if issues are identified, our position is stated in writing. In cases where major issues occur which cannot be resolved otherwise, a representative of the Accountant General of the Republic attends the relevant meeting.       </w:t>
            </w:r>
          </w:p>
          <w:p w14:paraId="12500184" w14:textId="77777777" w:rsidR="00392B2B" w:rsidRDefault="00392B2B" w:rsidP="00392B2B">
            <w:pPr>
              <w:pStyle w:val="ListParagraph"/>
              <w:numPr>
                <w:ilvl w:val="0"/>
                <w:numId w:val="43"/>
              </w:numPr>
              <w:autoSpaceDE w:val="0"/>
              <w:autoSpaceDN w:val="0"/>
              <w:ind w:right="308"/>
              <w:jc w:val="both"/>
            </w:pPr>
            <w:r w:rsidRPr="00392B2B">
              <w:t>Within the context of reducing / preventing corruption in public procurement a Manual on Bid- rigging has been issued with the contribution of the Public Procurement Directorate and was circulated to all contracting authorities/entities.</w:t>
            </w:r>
          </w:p>
          <w:p w14:paraId="01CA3383" w14:textId="77777777" w:rsidR="00392B2B" w:rsidRDefault="00392B2B" w:rsidP="00392B2B">
            <w:pPr>
              <w:pStyle w:val="ListParagraph"/>
              <w:autoSpaceDE w:val="0"/>
              <w:autoSpaceDN w:val="0"/>
              <w:ind w:left="727" w:right="308"/>
              <w:jc w:val="both"/>
            </w:pPr>
            <w:r w:rsidRPr="00392B2B">
              <w:t>The Manual is based on the OECD Guidelines for fighting bid rigging in public procurement and aims on one hand at informing the contracting authorities/entities about bid rigging in public procurement (Collusive tendering) and the various forms it can take and on the other, about the various preventive measures that can be adopted to mitigate the risk of bid rigging.</w:t>
            </w:r>
          </w:p>
          <w:p w14:paraId="1AA5624E" w14:textId="77777777" w:rsidR="00392B2B" w:rsidRDefault="00392B2B" w:rsidP="00392B2B">
            <w:pPr>
              <w:pStyle w:val="ListParagraph"/>
              <w:autoSpaceDE w:val="0"/>
              <w:autoSpaceDN w:val="0"/>
              <w:ind w:left="727" w:right="308"/>
              <w:jc w:val="both"/>
            </w:pPr>
            <w:r w:rsidRPr="00392B2B">
              <w:t>Seminars analyzing the Manual were organized in cooperation with the Commission for the Protection of Competition.</w:t>
            </w:r>
          </w:p>
          <w:p w14:paraId="274DF746" w14:textId="506054E3" w:rsidR="00253552" w:rsidRPr="00B01372" w:rsidRDefault="00EC1C0A" w:rsidP="00392B2B">
            <w:pPr>
              <w:pStyle w:val="ListParagraph"/>
              <w:numPr>
                <w:ilvl w:val="0"/>
                <w:numId w:val="43"/>
              </w:numPr>
              <w:autoSpaceDE w:val="0"/>
              <w:autoSpaceDN w:val="0"/>
              <w:ind w:right="308"/>
              <w:jc w:val="both"/>
            </w:pPr>
            <w:r>
              <w:t>Furthermore</w:t>
            </w:r>
            <w:r w:rsidR="00DC1ADD">
              <w:t xml:space="preserve">, as competent authority we have established a central </w:t>
            </w:r>
            <w:r>
              <w:t xml:space="preserve">phone and </w:t>
            </w:r>
            <w:r w:rsidR="00DC1ADD">
              <w:t>email address where any interested party may report any complaints or even suspicion for fraudulent or corrupt practices</w:t>
            </w:r>
            <w:r>
              <w:t>.</w:t>
            </w:r>
            <w:r w:rsidR="00DC1ADD">
              <w:t xml:space="preserve"> </w:t>
            </w:r>
          </w:p>
        </w:tc>
      </w:tr>
      <w:tr w:rsidR="007217FF" w:rsidRPr="00B01372" w14:paraId="21F995DE" w14:textId="77777777" w:rsidTr="00B01DFB">
        <w:tc>
          <w:tcPr>
            <w:tcW w:w="742" w:type="pct"/>
          </w:tcPr>
          <w:p w14:paraId="59EC66BD" w14:textId="77777777" w:rsidR="00C271E3" w:rsidRDefault="007217FF" w:rsidP="00C271E3">
            <w:r w:rsidRPr="00B01372">
              <w:t>Describe the actions undertaken and/or mechanisms put in place to ensure compliance with the new provisions on the prevention, detection and adequate reporting of conflicts of interests</w:t>
            </w:r>
            <w:r w:rsidR="00C271E3" w:rsidRPr="00B01372">
              <w:t xml:space="preserve"> </w:t>
            </w:r>
          </w:p>
          <w:p w14:paraId="7C193813" w14:textId="402E6ED2" w:rsidR="007217FF" w:rsidRPr="00CD7F86" w:rsidRDefault="007217FF" w:rsidP="00CD7F86">
            <w:pPr>
              <w:jc w:val="both"/>
              <w:rPr>
                <w:color w:val="FF0000"/>
              </w:rPr>
            </w:pPr>
          </w:p>
        </w:tc>
        <w:tc>
          <w:tcPr>
            <w:tcW w:w="4258" w:type="pct"/>
          </w:tcPr>
          <w:p w14:paraId="2A6304D5" w14:textId="2418086C" w:rsidR="00392B2B" w:rsidRPr="00392B2B" w:rsidRDefault="00392B2B" w:rsidP="00392B2B">
            <w:pPr>
              <w:pStyle w:val="ListParagraph"/>
              <w:numPr>
                <w:ilvl w:val="0"/>
                <w:numId w:val="24"/>
              </w:numPr>
              <w:contextualSpacing w:val="0"/>
              <w:jc w:val="both"/>
              <w:rPr>
                <w:lang w:val="en-US"/>
              </w:rPr>
            </w:pPr>
            <w:r>
              <w:t>A</w:t>
            </w:r>
            <w:r w:rsidRPr="00392B2B">
              <w:t xml:space="preserve"> National Code of Conduct for the Award of Public Contracts (‘Code”) has been prepared by the Public Procurement Directorate (</w:t>
            </w:r>
            <w:hyperlink r:id="rId12" w:history="1">
              <w:r w:rsidRPr="00392B2B">
                <w:rPr>
                  <w:rStyle w:val="Hyperlink"/>
                </w:rPr>
                <w:t>http://www.treasury.gov.cy/Treasury/treasurynew.nsf/All/41884241D7099A25C2257F1100431D27/$file/Εθνικός%20Κώδικας%20Δεοντολογίας.pdf?OpenElement</w:t>
              </w:r>
            </w:hyperlink>
            <w:r w:rsidRPr="00392B2B">
              <w:t xml:space="preserve">) which establishes the </w:t>
            </w:r>
            <w:r w:rsidRPr="00392B2B">
              <w:rPr>
                <w:lang w:val="en-US"/>
              </w:rPr>
              <w:t>principles that should be respected and adopted by officials and public officers involved in public procurement procedures (i.e. integrity and impartiality, objectivity, transparency, honesty etc). The Code deals with various issues such as bribery accepted by the public officers, conflicts of interests, confidentiality etc.</w:t>
            </w:r>
            <w:r>
              <w:rPr>
                <w:lang w:val="en-US"/>
              </w:rPr>
              <w:t xml:space="preserve"> </w:t>
            </w:r>
            <w:r w:rsidRPr="00392B2B">
              <w:rPr>
                <w:lang w:val="en-US"/>
              </w:rPr>
              <w:t>At the same time, the Code is used as a standard of behaviour that is consistent with the principles of the EU in the public procurement field (i.e. the principles of equal treatment, non-discrimination, mutual recognition, proportionality and transparency.</w:t>
            </w:r>
          </w:p>
          <w:p w14:paraId="3E6F8CD6" w14:textId="77777777" w:rsidR="00392B2B" w:rsidRDefault="001C5596" w:rsidP="00392B2B">
            <w:pPr>
              <w:pStyle w:val="ListParagraph"/>
              <w:numPr>
                <w:ilvl w:val="0"/>
                <w:numId w:val="24"/>
              </w:numPr>
              <w:contextualSpacing w:val="0"/>
              <w:jc w:val="both"/>
            </w:pPr>
            <w:r w:rsidRPr="001C5596">
              <w:t xml:space="preserve">Regulations </w:t>
            </w:r>
            <w:r w:rsidR="00EC1C0A" w:rsidRPr="001C5596">
              <w:t xml:space="preserve">on the Coordination of procedures for the award of Supplies, Works </w:t>
            </w:r>
            <w:r w:rsidRPr="001C5596">
              <w:t>and Services</w:t>
            </w:r>
            <w:r w:rsidR="00EC1C0A" w:rsidRPr="001C5596">
              <w:t xml:space="preserve"> of 2007 (KDP 201/2007</w:t>
            </w:r>
            <w:r w:rsidRPr="001C5596">
              <w:t xml:space="preserve">), </w:t>
            </w:r>
            <w:r w:rsidR="00EC1C0A" w:rsidRPr="001C5596">
              <w:t>provides that, before taking up their duties, the President, his representative and the members of all Boards and Committees, including the Consultants, are obliged to sign a Declaration that they will execute their duties with conscientious and impartiality, without any fear or favour and will observe strict confidentiality during the execution of their duties.</w:t>
            </w:r>
            <w:r w:rsidRPr="001C5596">
              <w:t xml:space="preserve"> </w:t>
            </w:r>
            <w:r w:rsidR="00EC1C0A" w:rsidRPr="001C5596">
              <w:t>In case the President or his representative or any other member of any Board or Committee has any interest, financial or other, direct or indirect, in relation to any competition that leads to the award of the contract or has any particular relation or any blood relationship or any relationship by marriage up to the fourth grade with any person who has evident financial or other interest in the whole procedure, is obliged to disclose this interest, relationship or kinship  to the Competent Board or Committee and to withdraw from the relevant meeting.</w:t>
            </w:r>
            <w:r>
              <w:t xml:space="preserve"> (Regulation 21)  </w:t>
            </w:r>
          </w:p>
          <w:p w14:paraId="32A86F46" w14:textId="77777777" w:rsidR="00392B2B" w:rsidRDefault="00392B2B" w:rsidP="00392B2B">
            <w:pPr>
              <w:pStyle w:val="ListParagraph"/>
              <w:contextualSpacing w:val="0"/>
              <w:jc w:val="both"/>
            </w:pPr>
            <w:r>
              <w:t>Furthermore,</w:t>
            </w:r>
            <w:r w:rsidR="001C5596">
              <w:t xml:space="preserve"> the </w:t>
            </w:r>
            <w:r>
              <w:t xml:space="preserve">Regulation </w:t>
            </w:r>
            <w:r w:rsidR="00EC1C0A" w:rsidRPr="001C5596">
              <w:t>provides that the simultaneous participation of members of adhoc technical committees to any other Committee or Board that deals with the same matter for which the relevant ad hoc technical committee has been appointed, is incompatible.</w:t>
            </w:r>
          </w:p>
          <w:p w14:paraId="6E893D17" w14:textId="3517A4C3" w:rsidR="00392B2B" w:rsidRPr="00B01372" w:rsidRDefault="00EC1C0A" w:rsidP="00392B2B">
            <w:pPr>
              <w:pStyle w:val="ListParagraph"/>
              <w:contextualSpacing w:val="0"/>
              <w:jc w:val="both"/>
            </w:pPr>
            <w:r w:rsidRPr="001C5596">
              <w:t>Likewise, the simultaneous participation of members of the Evaluation Committee in a Tender Board that deals with the same matter for which the relevant Evaluation Committee has been appointed, is also incompatible</w:t>
            </w:r>
            <w:r w:rsidR="00392B2B">
              <w:t xml:space="preserve"> (Regulation 22).</w:t>
            </w:r>
          </w:p>
        </w:tc>
      </w:tr>
      <w:tr w:rsidR="00253552" w:rsidRPr="00B01372" w14:paraId="4CDE2A28" w14:textId="77777777" w:rsidTr="00B01DFB">
        <w:tc>
          <w:tcPr>
            <w:tcW w:w="742" w:type="pct"/>
          </w:tcPr>
          <w:p w14:paraId="1DCB95B7" w14:textId="7EB90917" w:rsidR="00253552" w:rsidRPr="00B01372" w:rsidRDefault="00524104" w:rsidP="005329C9">
            <w:pPr>
              <w:pStyle w:val="Heading3"/>
              <w:outlineLvl w:val="2"/>
            </w:pPr>
            <w:r w:rsidRPr="00B01372">
              <w:t>III</w:t>
            </w:r>
            <w:r w:rsidR="00253552" w:rsidRPr="00B01372">
              <w:t>.2. Factual reporting</w:t>
            </w:r>
          </w:p>
        </w:tc>
        <w:tc>
          <w:tcPr>
            <w:tcW w:w="4258" w:type="pct"/>
          </w:tcPr>
          <w:p w14:paraId="263B52A4" w14:textId="77777777" w:rsidR="00253552" w:rsidRPr="00B01372" w:rsidRDefault="00253552" w:rsidP="005329C9">
            <w:pPr>
              <w:rPr>
                <w:i/>
              </w:rPr>
            </w:pPr>
          </w:p>
        </w:tc>
      </w:tr>
      <w:tr w:rsidR="00253552" w:rsidRPr="00B01372" w14:paraId="02400CED" w14:textId="77777777" w:rsidTr="00B01DFB">
        <w:tc>
          <w:tcPr>
            <w:tcW w:w="742" w:type="pct"/>
          </w:tcPr>
          <w:p w14:paraId="02040C70" w14:textId="7B078037" w:rsidR="00253552" w:rsidRPr="00B05C8F" w:rsidRDefault="00253552" w:rsidP="00B05C8F">
            <w:pPr>
              <w:jc w:val="both"/>
            </w:pPr>
            <w:r w:rsidRPr="00B01372">
              <w:t xml:space="preserve">Please provide any available factual information on the actions/mechanisms and measures </w:t>
            </w:r>
            <w:r w:rsidRPr="00B01372">
              <w:lastRenderedPageBreak/>
              <w:t xml:space="preserve">described under section </w:t>
            </w:r>
            <w:r w:rsidR="00046AD1" w:rsidRPr="00B01372">
              <w:t>III</w:t>
            </w:r>
            <w:r w:rsidRPr="00B01372">
              <w:t xml:space="preserve">.1. above </w:t>
            </w:r>
            <w:r w:rsidR="00B72720" w:rsidRPr="00B01372">
              <w:t>demonstrating</w:t>
            </w:r>
            <w:r w:rsidRPr="00B01372">
              <w:t xml:space="preserve"> compliance with the new provisions on the prevention, detection and adequate reporting of public procurement irregularities and conflicts of interests  </w:t>
            </w:r>
          </w:p>
        </w:tc>
        <w:tc>
          <w:tcPr>
            <w:tcW w:w="4258" w:type="pct"/>
          </w:tcPr>
          <w:p w14:paraId="522702E5" w14:textId="394AC5D9" w:rsidR="00253552" w:rsidRPr="00C14664" w:rsidRDefault="00417CC1" w:rsidP="00C14664">
            <w:pPr>
              <w:pStyle w:val="ListParagraph"/>
              <w:numPr>
                <w:ilvl w:val="0"/>
                <w:numId w:val="29"/>
              </w:numPr>
              <w:jc w:val="both"/>
              <w:rPr>
                <w:i/>
              </w:rPr>
            </w:pPr>
            <w:r w:rsidRPr="00C14664">
              <w:rPr>
                <w:i/>
              </w:rPr>
              <w:lastRenderedPageBreak/>
              <w:t xml:space="preserve">A National Strategy have been developed against corruption under Ministry of Justice. </w:t>
            </w:r>
          </w:p>
          <w:p w14:paraId="68C70B29" w14:textId="77777777" w:rsidR="00C14664" w:rsidRDefault="00C14664" w:rsidP="00C14664">
            <w:pPr>
              <w:pStyle w:val="ListParagraph"/>
              <w:numPr>
                <w:ilvl w:val="0"/>
                <w:numId w:val="29"/>
              </w:numPr>
              <w:jc w:val="both"/>
              <w:rPr>
                <w:i/>
              </w:rPr>
            </w:pPr>
            <w:r w:rsidRPr="00C14664">
              <w:rPr>
                <w:i/>
              </w:rPr>
              <w:t xml:space="preserve">National Code of Conduct </w:t>
            </w:r>
          </w:p>
          <w:p w14:paraId="340FBF93" w14:textId="76565350" w:rsidR="00C14664" w:rsidRDefault="00C14664" w:rsidP="00C14664">
            <w:pPr>
              <w:pStyle w:val="ListParagraph"/>
              <w:jc w:val="both"/>
              <w:rPr>
                <w:i/>
              </w:rPr>
            </w:pPr>
            <w:r w:rsidRPr="00392B2B">
              <w:t>(</w:t>
            </w:r>
            <w:hyperlink r:id="rId13" w:history="1">
              <w:r w:rsidRPr="00392B2B">
                <w:rPr>
                  <w:rStyle w:val="Hyperlink"/>
                </w:rPr>
                <w:t>http://www.treasury.gov.cy/Treasury/treasurynew.nsf/All/41884241D7099A25C2257F1100431D27/$file/Εθνικός%20Κώδικας%20Δεοντολογίας.pdf?OpenElement</w:t>
              </w:r>
            </w:hyperlink>
          </w:p>
          <w:p w14:paraId="30CA378A" w14:textId="73C6CE15" w:rsidR="00C14664" w:rsidRDefault="00C14664" w:rsidP="00C14664">
            <w:pPr>
              <w:pStyle w:val="ListParagraph"/>
              <w:numPr>
                <w:ilvl w:val="0"/>
                <w:numId w:val="29"/>
              </w:numPr>
              <w:jc w:val="both"/>
              <w:rPr>
                <w:i/>
              </w:rPr>
            </w:pPr>
            <w:r>
              <w:rPr>
                <w:i/>
              </w:rPr>
              <w:t>Manual of Bid Rigging</w:t>
            </w:r>
          </w:p>
          <w:p w14:paraId="2CDCF1DE" w14:textId="77777777" w:rsidR="00C14664" w:rsidRPr="00C14664" w:rsidRDefault="00C14664" w:rsidP="00C14664">
            <w:pPr>
              <w:pStyle w:val="ListParagraph"/>
              <w:jc w:val="both"/>
              <w:rPr>
                <w:i/>
              </w:rPr>
            </w:pPr>
          </w:p>
          <w:p w14:paraId="5FB6C8BE" w14:textId="6EB1BF96" w:rsidR="00C14664" w:rsidRPr="005D24CE" w:rsidRDefault="00C14664" w:rsidP="005D24CE">
            <w:pPr>
              <w:jc w:val="both"/>
              <w:rPr>
                <w:i/>
              </w:rPr>
            </w:pPr>
          </w:p>
        </w:tc>
      </w:tr>
      <w:tr w:rsidR="009C6F87" w:rsidRPr="00B01372" w14:paraId="2F7CD515" w14:textId="77777777" w:rsidTr="00B01DFB">
        <w:tc>
          <w:tcPr>
            <w:tcW w:w="742" w:type="pct"/>
          </w:tcPr>
          <w:p w14:paraId="7F372948" w14:textId="5FB0172F" w:rsidR="009C6F87" w:rsidRPr="00B01372" w:rsidRDefault="00A0326A" w:rsidP="00253552">
            <w:pPr>
              <w:pStyle w:val="Heading3"/>
              <w:outlineLvl w:val="2"/>
            </w:pPr>
            <w:r w:rsidRPr="00B01372">
              <w:t>III</w:t>
            </w:r>
            <w:r w:rsidR="009C6F87" w:rsidRPr="00B01372">
              <w:t>.3. Quantitative indicators</w:t>
            </w:r>
          </w:p>
        </w:tc>
        <w:tc>
          <w:tcPr>
            <w:tcW w:w="4258" w:type="pct"/>
            <w:tcBorders>
              <w:bottom w:val="single" w:sz="4" w:space="0" w:color="auto"/>
            </w:tcBorders>
          </w:tcPr>
          <w:p w14:paraId="0237BDE6" w14:textId="14C1D8D2" w:rsidR="009C6F87" w:rsidRPr="00B01372" w:rsidRDefault="009C6F87" w:rsidP="0086391B">
            <w:pPr>
              <w:jc w:val="both"/>
              <w:rPr>
                <w:i/>
              </w:rPr>
            </w:pPr>
          </w:p>
        </w:tc>
      </w:tr>
      <w:tr w:rsidR="009C6F87" w:rsidRPr="00B01372" w14:paraId="7E1C9B21" w14:textId="77777777" w:rsidTr="00B01DFB">
        <w:tc>
          <w:tcPr>
            <w:tcW w:w="742" w:type="pct"/>
          </w:tcPr>
          <w:p w14:paraId="6CBECB05" w14:textId="77777777" w:rsidR="009C6F87" w:rsidRDefault="00567DA6" w:rsidP="003236CE">
            <w:pPr>
              <w:pStyle w:val="Heading3"/>
              <w:outlineLvl w:val="2"/>
              <w:rPr>
                <w:b w:val="0"/>
              </w:rPr>
            </w:pPr>
            <w:r w:rsidRPr="00B01372">
              <w:rPr>
                <w:b w:val="0"/>
              </w:rPr>
              <w:t>Statistical d</w:t>
            </w:r>
            <w:r w:rsidR="00D50216" w:rsidRPr="00B01372">
              <w:rPr>
                <w:b w:val="0"/>
              </w:rPr>
              <w:t xml:space="preserve">istribution of </w:t>
            </w:r>
            <w:r w:rsidR="00AA74C1" w:rsidRPr="00B01372">
              <w:rPr>
                <w:b w:val="0"/>
              </w:rPr>
              <w:t xml:space="preserve">buyers by frequency of </w:t>
            </w:r>
            <w:r w:rsidR="00477293" w:rsidRPr="00B01372">
              <w:rPr>
                <w:b w:val="0"/>
              </w:rPr>
              <w:t>actual</w:t>
            </w:r>
            <w:r w:rsidR="00AA74C1" w:rsidRPr="00B01372">
              <w:rPr>
                <w:b w:val="0"/>
              </w:rPr>
              <w:t xml:space="preserve"> </w:t>
            </w:r>
            <w:r w:rsidR="00D50216" w:rsidRPr="00B01372">
              <w:rPr>
                <w:b w:val="0"/>
              </w:rPr>
              <w:t xml:space="preserve">competition </w:t>
            </w:r>
          </w:p>
          <w:p w14:paraId="0F2DF75B" w14:textId="2B311365" w:rsidR="004A5013" w:rsidRPr="004A5013" w:rsidRDefault="004A5013" w:rsidP="004A5013"/>
        </w:tc>
        <w:tc>
          <w:tcPr>
            <w:tcW w:w="4258" w:type="pct"/>
          </w:tcPr>
          <w:p w14:paraId="257779CC" w14:textId="77777777" w:rsidR="00411CF2" w:rsidRDefault="00411CF2" w:rsidP="00891481">
            <w:pPr>
              <w:jc w:val="both"/>
            </w:pPr>
            <w:r>
              <w:t>Due to the small number of competitions above threshold in Cyprus the data is analysed as follows:</w:t>
            </w:r>
          </w:p>
          <w:p w14:paraId="5D7947D5" w14:textId="77777777" w:rsidR="00411CF2" w:rsidRDefault="00411CF2" w:rsidP="00891481">
            <w:pPr>
              <w:jc w:val="both"/>
            </w:pPr>
          </w:p>
          <w:p w14:paraId="300BD66E" w14:textId="10C5A041" w:rsidR="00891481" w:rsidRDefault="00891481" w:rsidP="00891481">
            <w:pPr>
              <w:jc w:val="both"/>
            </w:pPr>
            <w:r>
              <w:t xml:space="preserve">Number of Contracting Authorities </w:t>
            </w:r>
            <w:r w:rsidR="00CD7F86">
              <w:t xml:space="preserve">that have </w:t>
            </w:r>
            <w:r>
              <w:t xml:space="preserve">awarded </w:t>
            </w:r>
            <w:r w:rsidR="00B132BA">
              <w:t>procedures</w:t>
            </w:r>
            <w:r w:rsidR="00CD7F86">
              <w:t xml:space="preserve"> during </w:t>
            </w:r>
            <w:r>
              <w:t>2017 (above Thresholds): 37</w:t>
            </w:r>
          </w:p>
          <w:p w14:paraId="61AD9F06" w14:textId="04FDC7E7" w:rsidR="00B132BA" w:rsidRDefault="00B132BA" w:rsidP="00891481">
            <w:pPr>
              <w:jc w:val="both"/>
            </w:pPr>
            <w:r>
              <w:t>Number of Procedures: 262</w:t>
            </w:r>
          </w:p>
          <w:p w14:paraId="16EA9B1F" w14:textId="39731010" w:rsidR="00B132BA" w:rsidRDefault="00B132BA" w:rsidP="00891481">
            <w:pPr>
              <w:jc w:val="both"/>
            </w:pPr>
            <w:r>
              <w:t>Number of procedures (including negotiated procedures) with 1 bidder: 115</w:t>
            </w:r>
          </w:p>
          <w:p w14:paraId="7A834583" w14:textId="77777777" w:rsidR="00B132BA" w:rsidRDefault="00B132BA" w:rsidP="00891481">
            <w:pPr>
              <w:jc w:val="both"/>
            </w:pPr>
          </w:p>
          <w:p w14:paraId="3D10A572" w14:textId="77777777" w:rsidR="00F004C4" w:rsidRDefault="00891481" w:rsidP="00891481">
            <w:pPr>
              <w:jc w:val="both"/>
            </w:pPr>
            <w:r>
              <w:t>Only two buyers have awarded more than 3 procedures in which only one Economic operator participated over the reporting period.</w:t>
            </w:r>
          </w:p>
          <w:p w14:paraId="7177058B" w14:textId="59A888A4" w:rsidR="00411CF2" w:rsidRPr="00B01372" w:rsidRDefault="00411CF2" w:rsidP="00891481">
            <w:pPr>
              <w:jc w:val="both"/>
            </w:pPr>
            <w:r>
              <w:t>Ministry of Health has the vast majority of these type of Procedures due to the patents in Pharmaceuticals products as reported below</w:t>
            </w:r>
          </w:p>
        </w:tc>
      </w:tr>
      <w:tr w:rsidR="00D50216" w:rsidRPr="00B01372" w14:paraId="656FB1F8" w14:textId="77777777" w:rsidTr="00B01DFB">
        <w:tc>
          <w:tcPr>
            <w:tcW w:w="742" w:type="pct"/>
          </w:tcPr>
          <w:p w14:paraId="5AC9F31C" w14:textId="77777777" w:rsidR="00891481" w:rsidRDefault="007C1F4F" w:rsidP="00891481">
            <w:pPr>
              <w:jc w:val="both"/>
            </w:pPr>
            <w:r w:rsidRPr="00B01372">
              <w:t xml:space="preserve">Statistical distribution of buyers by frequency of using a negotiated </w:t>
            </w:r>
            <w:r w:rsidRPr="00B01372">
              <w:lastRenderedPageBreak/>
              <w:t>procedure without the prior publication of a call of competition</w:t>
            </w:r>
            <w:r w:rsidR="00891481" w:rsidRPr="00B01372">
              <w:t xml:space="preserve"> </w:t>
            </w:r>
          </w:p>
          <w:p w14:paraId="6A4A1A16" w14:textId="514A8846" w:rsidR="00D50216" w:rsidRPr="00891481" w:rsidRDefault="00D50216" w:rsidP="00891481">
            <w:pPr>
              <w:pStyle w:val="Heading3"/>
              <w:outlineLvl w:val="2"/>
              <w:rPr>
                <w:b w:val="0"/>
              </w:rPr>
            </w:pPr>
          </w:p>
        </w:tc>
        <w:tc>
          <w:tcPr>
            <w:tcW w:w="4258" w:type="pct"/>
          </w:tcPr>
          <w:p w14:paraId="7318290E" w14:textId="00EBFB98" w:rsidR="00B132BA" w:rsidRDefault="00B132BA" w:rsidP="00B132BA">
            <w:pPr>
              <w:jc w:val="both"/>
            </w:pPr>
          </w:p>
          <w:p w14:paraId="781FB348" w14:textId="6C1538D4" w:rsidR="00B132BA" w:rsidRDefault="00B132BA" w:rsidP="00B132BA">
            <w:pPr>
              <w:jc w:val="both"/>
            </w:pPr>
            <w:r>
              <w:t>Number of Procedures</w:t>
            </w:r>
            <w:r w:rsidR="00416950">
              <w:t xml:space="preserve"> above threshold</w:t>
            </w:r>
            <w:r>
              <w:t>: 262</w:t>
            </w:r>
          </w:p>
          <w:p w14:paraId="5BD830D6" w14:textId="4366C6F7" w:rsidR="00B132BA" w:rsidRDefault="00B132BA" w:rsidP="00B132BA">
            <w:pPr>
              <w:jc w:val="both"/>
            </w:pPr>
            <w:r>
              <w:t xml:space="preserve">Number of Negotiated </w:t>
            </w:r>
            <w:r w:rsidR="00416950">
              <w:t>Procedures:</w:t>
            </w:r>
            <w:r>
              <w:t xml:space="preserve"> </w:t>
            </w:r>
            <w:r w:rsidR="00411CF2">
              <w:t>96</w:t>
            </w:r>
          </w:p>
          <w:p w14:paraId="61E5CBC6" w14:textId="0750FE67" w:rsidR="00416950" w:rsidRDefault="00416950" w:rsidP="00416950">
            <w:pPr>
              <w:jc w:val="both"/>
            </w:pPr>
            <w:r>
              <w:t>Number of Negotiated Procedures conducted by Ministry of Health: 91</w:t>
            </w:r>
          </w:p>
          <w:p w14:paraId="37D79B5B" w14:textId="0D7FC34C" w:rsidR="008A2537" w:rsidRPr="00B01372" w:rsidRDefault="00416950" w:rsidP="00891481">
            <w:pPr>
              <w:jc w:val="both"/>
            </w:pPr>
            <w:r>
              <w:t>Number of Negotiated Procedures by other Contracting Authorities: 5 (IT Systems Maintenance mainly)</w:t>
            </w:r>
          </w:p>
        </w:tc>
      </w:tr>
      <w:tr w:rsidR="00D50216" w:rsidRPr="00B01372" w14:paraId="01D829E3" w14:textId="77777777" w:rsidTr="00B01DFB">
        <w:tc>
          <w:tcPr>
            <w:tcW w:w="742" w:type="pct"/>
          </w:tcPr>
          <w:p w14:paraId="5E96A9C9" w14:textId="77777777" w:rsidR="00B132BA" w:rsidRDefault="00517206" w:rsidP="00B132BA">
            <w:pPr>
              <w:jc w:val="both"/>
            </w:pPr>
            <w:r w:rsidRPr="00B01372">
              <w:t>Quantitative assessment of collusion risks</w:t>
            </w:r>
            <w:r w:rsidR="00B132BA" w:rsidRPr="00B01372">
              <w:t xml:space="preserve"> </w:t>
            </w:r>
          </w:p>
          <w:p w14:paraId="01B6334F" w14:textId="11E88604" w:rsidR="00D50216" w:rsidRPr="00B01372" w:rsidRDefault="00D50216" w:rsidP="00416950">
            <w:pPr>
              <w:jc w:val="both"/>
              <w:rPr>
                <w:b/>
              </w:rPr>
            </w:pPr>
          </w:p>
        </w:tc>
        <w:tc>
          <w:tcPr>
            <w:tcW w:w="4258" w:type="pct"/>
          </w:tcPr>
          <w:p w14:paraId="45DB1C44" w14:textId="4E57ED8A" w:rsidR="00D1227F" w:rsidRPr="00416950" w:rsidRDefault="00416950" w:rsidP="009804B7">
            <w:pPr>
              <w:jc w:val="both"/>
              <w:rPr>
                <w:color w:val="0000FF" w:themeColor="hyperlink"/>
              </w:rPr>
            </w:pPr>
            <w:r>
              <w:t xml:space="preserve">Due to the small size of the Cyprus economy, </w:t>
            </w:r>
            <w:r w:rsidRPr="00416950">
              <w:t>Risk is assessed</w:t>
            </w:r>
            <w:r>
              <w:t xml:space="preserve"> empirically based on media reporting and knowledge of cases brought before the competition Authority on an ad-hoc basis. </w:t>
            </w:r>
          </w:p>
        </w:tc>
      </w:tr>
      <w:tr w:rsidR="00BD57A1" w:rsidRPr="00B01372" w14:paraId="1B9F93D1" w14:textId="77777777" w:rsidTr="00B01DFB">
        <w:tc>
          <w:tcPr>
            <w:tcW w:w="742" w:type="pct"/>
          </w:tcPr>
          <w:p w14:paraId="01D24DB3" w14:textId="1C56E84E" w:rsidR="009114CB" w:rsidRPr="00B01372" w:rsidRDefault="009114CB" w:rsidP="009114CB">
            <w:r w:rsidRPr="00B01372">
              <w:t xml:space="preserve">Risk of undiscovered conflict of interest </w:t>
            </w:r>
          </w:p>
          <w:p w14:paraId="5601A529" w14:textId="0568B0E5" w:rsidR="00BD57A1" w:rsidRPr="00B01372" w:rsidRDefault="00BD57A1" w:rsidP="00B132BA"/>
        </w:tc>
        <w:tc>
          <w:tcPr>
            <w:tcW w:w="4258" w:type="pct"/>
          </w:tcPr>
          <w:p w14:paraId="1829EE16" w14:textId="2474709A" w:rsidR="004229F7" w:rsidRPr="00B01372" w:rsidRDefault="003675EB" w:rsidP="003675EB">
            <w:pPr>
              <w:jc w:val="both"/>
            </w:pPr>
            <w:r w:rsidRPr="00B01372">
              <w:t xml:space="preserve"> </w:t>
            </w:r>
            <w:r w:rsidR="00B132BA">
              <w:t xml:space="preserve"> </w:t>
            </w:r>
            <w:r w:rsidR="00416950">
              <w:t xml:space="preserve">Due to the small size of the Cyprus economy, </w:t>
            </w:r>
            <w:r w:rsidR="00416950" w:rsidRPr="00416950">
              <w:t xml:space="preserve">Risk is </w:t>
            </w:r>
            <w:r w:rsidR="00416950">
              <w:t xml:space="preserve">minimised as the Competent authority received Directly complaints from </w:t>
            </w:r>
            <w:r w:rsidR="00FD73FD">
              <w:t>Economic</w:t>
            </w:r>
            <w:r w:rsidR="00416950">
              <w:t xml:space="preserve"> Operators that are of the opinion that the Procurement market is distorted any</w:t>
            </w:r>
            <w:r w:rsidR="00FD73FD">
              <w:t xml:space="preserve"> </w:t>
            </w:r>
            <w:r w:rsidR="00416950">
              <w:t>way</w:t>
            </w:r>
            <w:r w:rsidR="00FD73FD">
              <w:t>.</w:t>
            </w:r>
          </w:p>
        </w:tc>
      </w:tr>
    </w:tbl>
    <w:p w14:paraId="34AB7F30" w14:textId="4FA55650" w:rsidR="004932A2" w:rsidRPr="00B01372" w:rsidRDefault="004932A2" w:rsidP="00B132BA">
      <w:pPr>
        <w:spacing w:line="240" w:lineRule="auto"/>
        <w:jc w:val="both"/>
      </w:pPr>
    </w:p>
    <w:p w14:paraId="34AB7F31" w14:textId="77777777" w:rsidR="00D24317" w:rsidRPr="00B01372" w:rsidRDefault="00D24317" w:rsidP="00797030">
      <w:pPr>
        <w:pStyle w:val="NoSpacing"/>
        <w:ind w:left="1135"/>
      </w:pPr>
    </w:p>
    <w:p w14:paraId="34AB7F32" w14:textId="77777777" w:rsidR="002222BD" w:rsidRPr="00B01372" w:rsidRDefault="00C25098" w:rsidP="00B12049">
      <w:pPr>
        <w:pStyle w:val="Heading2"/>
        <w:rPr>
          <w:rFonts w:asciiTheme="minorHAnsi" w:hAnsiTheme="minorHAnsi"/>
        </w:rPr>
      </w:pPr>
      <w:r w:rsidRPr="00B01372">
        <w:rPr>
          <w:rFonts w:asciiTheme="minorHAnsi" w:hAnsiTheme="minorHAnsi"/>
        </w:rPr>
        <w:t>L</w:t>
      </w:r>
      <w:r w:rsidR="00FB6E7C" w:rsidRPr="00B01372">
        <w:rPr>
          <w:rFonts w:asciiTheme="minorHAnsi" w:hAnsiTheme="minorHAnsi"/>
        </w:rPr>
        <w:t>evel of SME</w:t>
      </w:r>
      <w:r w:rsidR="00B46F31" w:rsidRPr="00B01372">
        <w:rPr>
          <w:rFonts w:asciiTheme="minorHAnsi" w:hAnsiTheme="minorHAnsi"/>
        </w:rPr>
        <w:t>s</w:t>
      </w:r>
      <w:r w:rsidR="00FB6E7C" w:rsidRPr="00B01372">
        <w:rPr>
          <w:rFonts w:asciiTheme="minorHAnsi" w:hAnsiTheme="minorHAnsi"/>
        </w:rPr>
        <w:t xml:space="preserve"> participation in public procurement</w:t>
      </w:r>
    </w:p>
    <w:p w14:paraId="34AB7F33" w14:textId="77777777" w:rsidR="00A051EB" w:rsidRPr="00B01372" w:rsidRDefault="00A051EB" w:rsidP="00A051EB">
      <w:pPr>
        <w:pStyle w:val="NoSpacing"/>
      </w:pPr>
    </w:p>
    <w:tbl>
      <w:tblPr>
        <w:tblStyle w:val="TableGrid"/>
        <w:tblW w:w="5114" w:type="pct"/>
        <w:tblLook w:val="04A0" w:firstRow="1" w:lastRow="0" w:firstColumn="1" w:lastColumn="0" w:noHBand="0" w:noVBand="1"/>
      </w:tblPr>
      <w:tblGrid>
        <w:gridCol w:w="4672"/>
        <w:gridCol w:w="9641"/>
      </w:tblGrid>
      <w:tr w:rsidR="00B54D84" w:rsidRPr="00B01372" w14:paraId="48222DAF" w14:textId="77777777" w:rsidTr="006C45B3">
        <w:tc>
          <w:tcPr>
            <w:tcW w:w="1632" w:type="pct"/>
          </w:tcPr>
          <w:p w14:paraId="5A956443" w14:textId="18F76D96" w:rsidR="00B54D84" w:rsidRPr="00B01372" w:rsidRDefault="00A0723C" w:rsidP="001D4DCD">
            <w:r w:rsidRPr="00B01372">
              <w:rPr>
                <w:b/>
              </w:rPr>
              <w:t>IV</w:t>
            </w:r>
            <w:r w:rsidR="00B54D84" w:rsidRPr="00B01372">
              <w:rPr>
                <w:b/>
              </w:rPr>
              <w:t>.1</w:t>
            </w:r>
            <w:r w:rsidR="00B72720" w:rsidRPr="00B01372">
              <w:rPr>
                <w:b/>
              </w:rPr>
              <w:t>.</w:t>
            </w:r>
            <w:r w:rsidR="00B54D84" w:rsidRPr="00B01372">
              <w:rPr>
                <w:b/>
              </w:rPr>
              <w:t xml:space="preserve"> </w:t>
            </w:r>
            <w:r w:rsidR="001D4DCD" w:rsidRPr="00B01372">
              <w:rPr>
                <w:b/>
              </w:rPr>
              <w:t>Qualitative reporting on SME participation</w:t>
            </w:r>
          </w:p>
        </w:tc>
        <w:tc>
          <w:tcPr>
            <w:tcW w:w="3368" w:type="pct"/>
          </w:tcPr>
          <w:p w14:paraId="511FB2FB" w14:textId="2C532248" w:rsidR="00B54D84" w:rsidRPr="00B01372" w:rsidRDefault="00B54D84" w:rsidP="00B54D84">
            <w:pPr>
              <w:jc w:val="both"/>
            </w:pPr>
          </w:p>
        </w:tc>
      </w:tr>
      <w:tr w:rsidR="001D4DCD" w:rsidRPr="00B01372" w14:paraId="6AE7F73F" w14:textId="77777777" w:rsidTr="006C45B3">
        <w:tc>
          <w:tcPr>
            <w:tcW w:w="1632" w:type="pct"/>
          </w:tcPr>
          <w:p w14:paraId="4118229E" w14:textId="528B37AF" w:rsidR="001D4DCD" w:rsidRDefault="001D4DCD" w:rsidP="001D4DCD">
            <w:r w:rsidRPr="00B01372">
              <w:t>Key challenges encountered</w:t>
            </w:r>
          </w:p>
          <w:p w14:paraId="180C718F" w14:textId="77777777" w:rsidR="001D4DCD" w:rsidRPr="00B01372" w:rsidRDefault="001D4DCD" w:rsidP="00416950">
            <w:pPr>
              <w:rPr>
                <w:b/>
              </w:rPr>
            </w:pPr>
          </w:p>
        </w:tc>
        <w:tc>
          <w:tcPr>
            <w:tcW w:w="3368" w:type="pct"/>
          </w:tcPr>
          <w:p w14:paraId="25925F3E" w14:textId="4BE6E35A" w:rsidR="009D50CC" w:rsidRDefault="009D50CC" w:rsidP="009D50CC">
            <w:pPr>
              <w:pStyle w:val="ListParagraph"/>
              <w:numPr>
                <w:ilvl w:val="0"/>
                <w:numId w:val="29"/>
              </w:numPr>
              <w:jc w:val="both"/>
            </w:pPr>
            <w:r>
              <w:t xml:space="preserve">Every procurement procedure either above or below the thresholds is published in a single point </w:t>
            </w:r>
          </w:p>
          <w:p w14:paraId="639153EE" w14:textId="679BE25F" w:rsidR="00DC7F52" w:rsidRPr="00DC7F52" w:rsidRDefault="009D50CC" w:rsidP="009D50CC">
            <w:pPr>
              <w:pStyle w:val="ListParagraph"/>
              <w:numPr>
                <w:ilvl w:val="0"/>
                <w:numId w:val="29"/>
              </w:numPr>
              <w:jc w:val="both"/>
            </w:pPr>
            <w:r>
              <w:t>The</w:t>
            </w:r>
            <w:r w:rsidRPr="009D50CC">
              <w:t xml:space="preserve"> </w:t>
            </w:r>
            <w:r>
              <w:rPr>
                <w:lang w:val="en-US"/>
              </w:rPr>
              <w:t xml:space="preserve">publication of the tender documents </w:t>
            </w:r>
            <w:r w:rsidR="00DC7F52">
              <w:rPr>
                <w:lang w:val="en-US"/>
              </w:rPr>
              <w:t>consists</w:t>
            </w:r>
            <w:r>
              <w:rPr>
                <w:lang w:val="en-US"/>
              </w:rPr>
              <w:t xml:space="preserve"> an obligation for every contracting authority in order all interested EOs could retrieve the documents</w:t>
            </w:r>
            <w:r w:rsidR="00DC7F52">
              <w:rPr>
                <w:lang w:val="en-US"/>
              </w:rPr>
              <w:t xml:space="preserve"> electronically</w:t>
            </w:r>
            <w:r w:rsidR="00E56F64">
              <w:rPr>
                <w:lang w:val="en-US"/>
              </w:rPr>
              <w:t>,</w:t>
            </w:r>
            <w:r w:rsidR="00DC7F52">
              <w:rPr>
                <w:lang w:val="en-US"/>
              </w:rPr>
              <w:t xml:space="preserve"> anytime</w:t>
            </w:r>
            <w:r w:rsidR="00E56F64">
              <w:rPr>
                <w:lang w:val="en-US"/>
              </w:rPr>
              <w:t xml:space="preserve"> and Free of charge</w:t>
            </w:r>
          </w:p>
          <w:p w14:paraId="73ACC511" w14:textId="1D8EEAEA" w:rsidR="009D50CC" w:rsidRDefault="00DC7F52" w:rsidP="009D50CC">
            <w:pPr>
              <w:pStyle w:val="ListParagraph"/>
              <w:numPr>
                <w:ilvl w:val="0"/>
                <w:numId w:val="29"/>
              </w:numPr>
              <w:jc w:val="both"/>
            </w:pPr>
            <w:r>
              <w:t>Required supporting documents and certificates are not required by the Tenderer but only by the Contractor prior the signature of the contract in order to reduce any administrative burden for the Eos</w:t>
            </w:r>
          </w:p>
          <w:p w14:paraId="60F78DE6" w14:textId="20E60AF8" w:rsidR="00DC7F52" w:rsidRDefault="00DC7F52" w:rsidP="009D50CC">
            <w:pPr>
              <w:pStyle w:val="ListParagraph"/>
              <w:numPr>
                <w:ilvl w:val="0"/>
                <w:numId w:val="29"/>
              </w:numPr>
              <w:jc w:val="both"/>
            </w:pPr>
            <w:r>
              <w:t>The clearance certification regarding tax and Social Insurance obligations is provided only by the contractor and it is associated with the date of the signature and not the date of the submission of tenders. That proved to be a sufficient measure to increase the participation of EOs especially in sectors where the economic crisis is still occurring and the cashflows are still tight.</w:t>
            </w:r>
          </w:p>
          <w:p w14:paraId="5FE9C477" w14:textId="1E5F1764" w:rsidR="00DC7F52" w:rsidRDefault="00DC7F52" w:rsidP="009D50CC">
            <w:pPr>
              <w:pStyle w:val="ListParagraph"/>
              <w:numPr>
                <w:ilvl w:val="0"/>
                <w:numId w:val="29"/>
              </w:numPr>
              <w:jc w:val="both"/>
            </w:pPr>
            <w:r>
              <w:lastRenderedPageBreak/>
              <w:t>The submission of tenders electronically</w:t>
            </w:r>
            <w:r w:rsidR="00E56F64">
              <w:t xml:space="preserve"> </w:t>
            </w:r>
            <w:r>
              <w:t xml:space="preserve">has been successfully implemented since 2014, </w:t>
            </w:r>
            <w:r w:rsidR="00E56F64">
              <w:t xml:space="preserve">for the procedures whose estimate value falls above threshold </w:t>
            </w:r>
            <w:r>
              <w:t xml:space="preserve">and </w:t>
            </w:r>
            <w:r w:rsidR="00E56F64">
              <w:t>for those below, since June 2018</w:t>
            </w:r>
            <w:r>
              <w:t>.</w:t>
            </w:r>
          </w:p>
          <w:p w14:paraId="343F8737" w14:textId="5729A5F8" w:rsidR="00DC7F52" w:rsidRDefault="00DC7F52" w:rsidP="009D50CC">
            <w:pPr>
              <w:pStyle w:val="ListParagraph"/>
              <w:numPr>
                <w:ilvl w:val="0"/>
                <w:numId w:val="29"/>
              </w:numPr>
              <w:jc w:val="both"/>
            </w:pPr>
            <w:r>
              <w:t xml:space="preserve"> Although the eProcurement system was an example of Excellence and won an award regarding its </w:t>
            </w:r>
            <w:r w:rsidR="00A27BD9">
              <w:t>user-friendliness, during its last upgrade, the process of the submission of tenders was carefully examined and improvement steps had been taken.</w:t>
            </w:r>
          </w:p>
          <w:p w14:paraId="2C0DB30A" w14:textId="6EF2A960" w:rsidR="00DC7F52" w:rsidRPr="00227B79" w:rsidRDefault="00A27BD9" w:rsidP="009D50CC">
            <w:pPr>
              <w:pStyle w:val="ListParagraph"/>
              <w:numPr>
                <w:ilvl w:val="0"/>
                <w:numId w:val="29"/>
              </w:numPr>
              <w:jc w:val="both"/>
            </w:pPr>
            <w:r>
              <w:t xml:space="preserve">Guidance is provided to Contracting authorities, via the Standard Tender Documents to include (if necessary) selection criteria that are appropriate, </w:t>
            </w:r>
            <w:r>
              <w:rPr>
                <w:lang w:val="en-US"/>
              </w:rPr>
              <w:t>and proportional to the subject matter and the size of the contract.</w:t>
            </w:r>
            <w:r w:rsidR="009004DE">
              <w:rPr>
                <w:lang w:val="en-US"/>
              </w:rPr>
              <w:t xml:space="preserve"> In cases where prior experience or financial evaluation of the company is not considered as vital, it should not be included in the selection criteria to allow start ups to participate.</w:t>
            </w:r>
          </w:p>
          <w:p w14:paraId="6EB7F1C7" w14:textId="19A2C6C3" w:rsidR="00227B79" w:rsidRDefault="00227B79" w:rsidP="009D50CC">
            <w:pPr>
              <w:pStyle w:val="ListParagraph"/>
              <w:numPr>
                <w:ilvl w:val="0"/>
                <w:numId w:val="29"/>
              </w:numPr>
              <w:jc w:val="both"/>
            </w:pPr>
            <w:r>
              <w:t>Standard documents include provision that enables the Contracting Authorities to provide for Deposit to be paid to the contractors (assuming a tender Deposit Guarantee is given by the Contractor)</w:t>
            </w:r>
          </w:p>
          <w:p w14:paraId="74C21974" w14:textId="14AFEFE6" w:rsidR="00227B79" w:rsidRDefault="00227B79" w:rsidP="00227B79">
            <w:pPr>
              <w:pStyle w:val="ListParagraph"/>
              <w:numPr>
                <w:ilvl w:val="0"/>
                <w:numId w:val="29"/>
              </w:numPr>
              <w:jc w:val="both"/>
            </w:pPr>
            <w:r>
              <w:t>The Participation Guarantee has been removed and replaced by a declaration that ensures that the contractor will not withdraw the tender</w:t>
            </w:r>
          </w:p>
          <w:p w14:paraId="0421FAA6" w14:textId="77777777" w:rsidR="00227B79" w:rsidRDefault="00227B79" w:rsidP="00227B79">
            <w:pPr>
              <w:pStyle w:val="ListParagraph"/>
              <w:numPr>
                <w:ilvl w:val="0"/>
                <w:numId w:val="29"/>
              </w:numPr>
              <w:jc w:val="both"/>
            </w:pPr>
            <w:r>
              <w:t>In some cases, where subcontractors are involved, a direct payment is allowed to be made to subcontractors</w:t>
            </w:r>
          </w:p>
          <w:p w14:paraId="3C9301DA" w14:textId="5EA229D3" w:rsidR="00227B79" w:rsidRPr="00A27BD9" w:rsidRDefault="00227B79" w:rsidP="00227B79">
            <w:pPr>
              <w:pStyle w:val="ListParagraph"/>
              <w:numPr>
                <w:ilvl w:val="0"/>
                <w:numId w:val="29"/>
              </w:numPr>
              <w:jc w:val="both"/>
            </w:pPr>
            <w:r>
              <w:t xml:space="preserve">Guidance to Contracting Authorities, where possible, to divide the contract into lots i.e geographically to allow the maximum number of EOs to participate and </w:t>
            </w:r>
            <w:r>
              <w:rPr>
                <w:lang w:val="en-US"/>
              </w:rPr>
              <w:t>develop fair competition</w:t>
            </w:r>
            <w:r>
              <w:t xml:space="preserve">   </w:t>
            </w:r>
          </w:p>
          <w:p w14:paraId="306D4475" w14:textId="6DD1D2D6" w:rsidR="001D4DCD" w:rsidRPr="00B01372" w:rsidRDefault="001D4DCD" w:rsidP="00046AD1">
            <w:pPr>
              <w:jc w:val="both"/>
            </w:pPr>
            <w:r w:rsidRPr="00B01372">
              <w:t xml:space="preserve"> </w:t>
            </w:r>
          </w:p>
        </w:tc>
      </w:tr>
      <w:tr w:rsidR="00B54D84" w:rsidRPr="00B01372" w14:paraId="15F782FD" w14:textId="77777777" w:rsidTr="006C45B3">
        <w:tc>
          <w:tcPr>
            <w:tcW w:w="1632" w:type="pct"/>
          </w:tcPr>
          <w:p w14:paraId="623F7EFE" w14:textId="67A27F2B" w:rsidR="00B54D84" w:rsidRPr="00B01372" w:rsidRDefault="00092C5B" w:rsidP="00E04DAF">
            <w:pPr>
              <w:pStyle w:val="Heading3"/>
              <w:outlineLvl w:val="2"/>
            </w:pPr>
            <w:r w:rsidRPr="00B01372">
              <w:lastRenderedPageBreak/>
              <w:t>IV</w:t>
            </w:r>
            <w:r w:rsidR="00E04DAF" w:rsidRPr="00B01372">
              <w:t xml:space="preserve">.2. Factual reporting </w:t>
            </w:r>
          </w:p>
        </w:tc>
        <w:tc>
          <w:tcPr>
            <w:tcW w:w="3368" w:type="pct"/>
          </w:tcPr>
          <w:p w14:paraId="38F7D01C" w14:textId="77777777" w:rsidR="00B54D84" w:rsidRPr="00B01372" w:rsidRDefault="00B54D84" w:rsidP="00B54D84">
            <w:pPr>
              <w:rPr>
                <w:i/>
              </w:rPr>
            </w:pPr>
          </w:p>
        </w:tc>
      </w:tr>
      <w:tr w:rsidR="00B54D84" w:rsidRPr="00B01372" w14:paraId="161AD0D2" w14:textId="77777777" w:rsidTr="006C45B3">
        <w:tc>
          <w:tcPr>
            <w:tcW w:w="1632" w:type="pct"/>
          </w:tcPr>
          <w:p w14:paraId="5D6F0B86" w14:textId="687371DF" w:rsidR="00A27BD9" w:rsidRDefault="00E04DAF" w:rsidP="00A27BD9">
            <w:pPr>
              <w:pStyle w:val="Heading4"/>
              <w:numPr>
                <w:ilvl w:val="0"/>
                <w:numId w:val="8"/>
              </w:numPr>
              <w:jc w:val="both"/>
              <w:outlineLvl w:val="3"/>
              <w:rPr>
                <w:b w:val="0"/>
              </w:rPr>
            </w:pPr>
            <w:r w:rsidRPr="00B01372">
              <w:rPr>
                <w:b w:val="0"/>
              </w:rPr>
              <w:t xml:space="preserve">Please report any available factual evidence or supporting document </w:t>
            </w:r>
            <w:r w:rsidR="00B72720" w:rsidRPr="00B01372">
              <w:rPr>
                <w:b w:val="0"/>
              </w:rPr>
              <w:t xml:space="preserve">for point </w:t>
            </w:r>
            <w:r w:rsidR="00426F49" w:rsidRPr="00B01372">
              <w:rPr>
                <w:b w:val="0"/>
              </w:rPr>
              <w:t>IV</w:t>
            </w:r>
            <w:r w:rsidR="00B72720" w:rsidRPr="00B01372">
              <w:rPr>
                <w:b w:val="0"/>
              </w:rPr>
              <w:t xml:space="preserve">.1, </w:t>
            </w:r>
            <w:r w:rsidRPr="00B01372">
              <w:rPr>
                <w:b w:val="0"/>
              </w:rPr>
              <w:t>illustrating the measures, achievements or challenges faced, relating to the facilitation of the participatio</w:t>
            </w:r>
            <w:r w:rsidR="006753EC" w:rsidRPr="00B01372">
              <w:rPr>
                <w:b w:val="0"/>
              </w:rPr>
              <w:t>n of SMEs in public procurement</w:t>
            </w:r>
          </w:p>
          <w:p w14:paraId="5368DBF5" w14:textId="34B2F313" w:rsidR="00B54D84" w:rsidRPr="00227B79" w:rsidRDefault="00B54D84" w:rsidP="00FD73FD">
            <w:pPr>
              <w:pStyle w:val="Heading4"/>
              <w:numPr>
                <w:ilvl w:val="0"/>
                <w:numId w:val="0"/>
              </w:numPr>
              <w:jc w:val="both"/>
              <w:outlineLvl w:val="3"/>
              <w:rPr>
                <w:b w:val="0"/>
                <w:i/>
                <w:color w:val="FF0000"/>
              </w:rPr>
            </w:pPr>
          </w:p>
        </w:tc>
        <w:tc>
          <w:tcPr>
            <w:tcW w:w="3368" w:type="pct"/>
          </w:tcPr>
          <w:p w14:paraId="48BF7E48" w14:textId="3468A406" w:rsidR="00B54D84" w:rsidRDefault="00A27BD9" w:rsidP="00A27BD9">
            <w:pPr>
              <w:pStyle w:val="ListParagraph"/>
              <w:numPr>
                <w:ilvl w:val="0"/>
                <w:numId w:val="40"/>
              </w:numPr>
              <w:jc w:val="both"/>
              <w:rPr>
                <w:i/>
              </w:rPr>
            </w:pPr>
            <w:r>
              <w:rPr>
                <w:i/>
              </w:rPr>
              <w:t xml:space="preserve">Standard </w:t>
            </w:r>
            <w:r w:rsidR="00FD73FD">
              <w:rPr>
                <w:i/>
              </w:rPr>
              <w:t xml:space="preserve">Tender </w:t>
            </w:r>
            <w:r>
              <w:rPr>
                <w:i/>
              </w:rPr>
              <w:t>Documents</w:t>
            </w:r>
          </w:p>
          <w:p w14:paraId="3BA16605" w14:textId="77777777" w:rsidR="00A27BD9" w:rsidRDefault="00A27BD9" w:rsidP="00A27BD9">
            <w:pPr>
              <w:pStyle w:val="ListParagraph"/>
              <w:numPr>
                <w:ilvl w:val="0"/>
                <w:numId w:val="40"/>
              </w:numPr>
              <w:jc w:val="both"/>
              <w:rPr>
                <w:i/>
              </w:rPr>
            </w:pPr>
            <w:r>
              <w:rPr>
                <w:i/>
              </w:rPr>
              <w:t>Circulars containing the obligation of Contracting Authorities to</w:t>
            </w:r>
          </w:p>
          <w:p w14:paraId="16227CFE" w14:textId="77777777" w:rsidR="00A27BD9" w:rsidRDefault="00A27BD9" w:rsidP="00A27BD9">
            <w:pPr>
              <w:pStyle w:val="ListParagraph"/>
              <w:numPr>
                <w:ilvl w:val="1"/>
                <w:numId w:val="40"/>
              </w:numPr>
              <w:jc w:val="both"/>
              <w:rPr>
                <w:i/>
              </w:rPr>
            </w:pPr>
            <w:r>
              <w:rPr>
                <w:i/>
              </w:rPr>
              <w:t>Publish the notices and the tender documents on the Platform</w:t>
            </w:r>
          </w:p>
          <w:p w14:paraId="5726ED7E" w14:textId="77777777" w:rsidR="00A27BD9" w:rsidRDefault="00A27BD9" w:rsidP="00A27BD9">
            <w:pPr>
              <w:pStyle w:val="ListParagraph"/>
              <w:numPr>
                <w:ilvl w:val="1"/>
                <w:numId w:val="40"/>
              </w:numPr>
              <w:jc w:val="both"/>
              <w:rPr>
                <w:i/>
              </w:rPr>
            </w:pPr>
            <w:r>
              <w:rPr>
                <w:i/>
              </w:rPr>
              <w:t>Accept Elec</w:t>
            </w:r>
            <w:r w:rsidRPr="00A27BD9">
              <w:rPr>
                <w:i/>
              </w:rPr>
              <w:t>tronic submission of tenders</w:t>
            </w:r>
          </w:p>
          <w:p w14:paraId="1FA80CBD" w14:textId="77777777" w:rsidR="00A27BD9" w:rsidRDefault="00A27BD9" w:rsidP="00A27BD9">
            <w:pPr>
              <w:pStyle w:val="ListParagraph"/>
              <w:numPr>
                <w:ilvl w:val="1"/>
                <w:numId w:val="40"/>
              </w:numPr>
              <w:jc w:val="both"/>
              <w:rPr>
                <w:i/>
              </w:rPr>
            </w:pPr>
            <w:r>
              <w:rPr>
                <w:i/>
              </w:rPr>
              <w:t>Guidelines on how to upload a tender within the tender workspace</w:t>
            </w:r>
          </w:p>
          <w:p w14:paraId="3F196949" w14:textId="77777777" w:rsidR="00A27BD9" w:rsidRDefault="00227B79" w:rsidP="00A27BD9">
            <w:pPr>
              <w:pStyle w:val="ListParagraph"/>
              <w:numPr>
                <w:ilvl w:val="1"/>
                <w:numId w:val="40"/>
              </w:numPr>
              <w:jc w:val="both"/>
              <w:rPr>
                <w:i/>
              </w:rPr>
            </w:pPr>
            <w:r>
              <w:rPr>
                <w:i/>
              </w:rPr>
              <w:t>Payments directly to subcontractors</w:t>
            </w:r>
          </w:p>
          <w:p w14:paraId="30EDB99A" w14:textId="77777777" w:rsidR="00227B79" w:rsidRDefault="00227B79" w:rsidP="00A27BD9">
            <w:pPr>
              <w:pStyle w:val="ListParagraph"/>
              <w:numPr>
                <w:ilvl w:val="1"/>
                <w:numId w:val="40"/>
              </w:numPr>
              <w:jc w:val="both"/>
              <w:rPr>
                <w:i/>
              </w:rPr>
            </w:pPr>
            <w:r>
              <w:rPr>
                <w:i/>
              </w:rPr>
              <w:t>Use of declaration of non-withdrawal of the tender</w:t>
            </w:r>
          </w:p>
          <w:p w14:paraId="680B7FF1" w14:textId="31C62411" w:rsidR="00227B79" w:rsidRDefault="00227B79" w:rsidP="00A27BD9">
            <w:pPr>
              <w:pStyle w:val="ListParagraph"/>
              <w:numPr>
                <w:ilvl w:val="1"/>
                <w:numId w:val="40"/>
              </w:numPr>
              <w:jc w:val="both"/>
              <w:rPr>
                <w:i/>
              </w:rPr>
            </w:pPr>
            <w:r>
              <w:rPr>
                <w:i/>
              </w:rPr>
              <w:t>Division into lots</w:t>
            </w:r>
          </w:p>
          <w:p w14:paraId="7C1A2E2A" w14:textId="62349B4E" w:rsidR="00227B79" w:rsidRDefault="00FD73FD" w:rsidP="00FD73FD">
            <w:pPr>
              <w:pStyle w:val="ListParagraph"/>
              <w:numPr>
                <w:ilvl w:val="0"/>
                <w:numId w:val="40"/>
              </w:numPr>
              <w:jc w:val="both"/>
              <w:rPr>
                <w:i/>
              </w:rPr>
            </w:pPr>
            <w:r>
              <w:rPr>
                <w:i/>
              </w:rPr>
              <w:t xml:space="preserve">Central Procurement System </w:t>
            </w:r>
          </w:p>
          <w:p w14:paraId="0A130105" w14:textId="41B9485F" w:rsidR="00FD73FD" w:rsidRPr="00FD73FD" w:rsidRDefault="00FD73FD" w:rsidP="00FD73FD">
            <w:pPr>
              <w:pStyle w:val="ListParagraph"/>
              <w:jc w:val="both"/>
              <w:rPr>
                <w:i/>
              </w:rPr>
            </w:pPr>
          </w:p>
        </w:tc>
      </w:tr>
      <w:tr w:rsidR="00B54D84" w:rsidRPr="00B01372" w14:paraId="0055167D" w14:textId="77777777" w:rsidTr="006C45B3">
        <w:tc>
          <w:tcPr>
            <w:tcW w:w="1632" w:type="pct"/>
          </w:tcPr>
          <w:p w14:paraId="1BA286A4" w14:textId="77777777" w:rsidR="009004DE" w:rsidRDefault="000A2192" w:rsidP="00E04DAF">
            <w:pPr>
              <w:pStyle w:val="Heading3"/>
              <w:outlineLvl w:val="2"/>
            </w:pPr>
            <w:r w:rsidRPr="00B01372">
              <w:t>IV</w:t>
            </w:r>
            <w:r w:rsidR="00E04DAF" w:rsidRPr="00B01372">
              <w:t xml:space="preserve">.3. Quantitative indicators </w:t>
            </w:r>
          </w:p>
          <w:p w14:paraId="1DC9BE04" w14:textId="24719443" w:rsidR="00B54D84" w:rsidRPr="00B01372" w:rsidRDefault="00B54D84" w:rsidP="00FD73FD">
            <w:pPr>
              <w:pStyle w:val="Heading3"/>
              <w:outlineLvl w:val="2"/>
              <w:rPr>
                <w:b w:val="0"/>
              </w:rPr>
            </w:pPr>
          </w:p>
        </w:tc>
        <w:tc>
          <w:tcPr>
            <w:tcW w:w="3368" w:type="pct"/>
          </w:tcPr>
          <w:p w14:paraId="5F8B5BFE" w14:textId="76602BD3" w:rsidR="00B54D84" w:rsidRPr="00B01372" w:rsidRDefault="00B54D84" w:rsidP="00247E16">
            <w:pPr>
              <w:jc w:val="both"/>
              <w:rPr>
                <w:i/>
              </w:rPr>
            </w:pPr>
          </w:p>
        </w:tc>
      </w:tr>
      <w:tr w:rsidR="00FD73FD" w:rsidRPr="00B01372" w14:paraId="379D2F6D" w14:textId="77777777" w:rsidTr="006C45B3">
        <w:tc>
          <w:tcPr>
            <w:tcW w:w="1632" w:type="pct"/>
          </w:tcPr>
          <w:p w14:paraId="1DEBB2CA" w14:textId="6DBAA2CC" w:rsidR="00FD73FD" w:rsidRPr="00FD73FD" w:rsidRDefault="00FD73FD" w:rsidP="00FD73FD">
            <w:pPr>
              <w:jc w:val="both"/>
            </w:pPr>
            <w:r w:rsidRPr="00B01372">
              <w:lastRenderedPageBreak/>
              <w:t>Please provide, when available, any quantitative data (statistics, etc.) illustrating the achievements and challenges identified under section IV.1. above</w:t>
            </w:r>
          </w:p>
        </w:tc>
        <w:tc>
          <w:tcPr>
            <w:tcW w:w="3368" w:type="pct"/>
          </w:tcPr>
          <w:p w14:paraId="5E14BCB0" w14:textId="77777777" w:rsidR="00FD73FD" w:rsidRDefault="00FD73FD" w:rsidP="00FD73FD">
            <w:pPr>
              <w:jc w:val="both"/>
              <w:rPr>
                <w:i/>
              </w:rPr>
            </w:pPr>
            <w:r>
              <w:rPr>
                <w:i/>
              </w:rPr>
              <w:t xml:space="preserve">Due to the small size of Cyprus economy and the low number of competitions published annually, figures can be distorted from year to year. However, in Cyprus the Public Procurement market is dominated by mainly Small enterprises. </w:t>
            </w:r>
          </w:p>
          <w:p w14:paraId="40DEFC52" w14:textId="77777777" w:rsidR="00FD73FD" w:rsidRDefault="00FD73FD" w:rsidP="00FD73FD">
            <w:pPr>
              <w:jc w:val="both"/>
              <w:rPr>
                <w:i/>
              </w:rPr>
            </w:pPr>
          </w:p>
          <w:p w14:paraId="5313BF42" w14:textId="234C2F53" w:rsidR="00FD73FD" w:rsidRPr="00B01372" w:rsidRDefault="00FD73FD" w:rsidP="00FD73FD">
            <w:pPr>
              <w:jc w:val="both"/>
              <w:rPr>
                <w:i/>
              </w:rPr>
            </w:pPr>
            <w:r>
              <w:rPr>
                <w:i/>
              </w:rPr>
              <w:t>Therefore, participation in Both below and above threshold procurement by SMEs exceeds 95%.</w:t>
            </w:r>
          </w:p>
        </w:tc>
      </w:tr>
    </w:tbl>
    <w:p w14:paraId="34AB7F43" w14:textId="77777777" w:rsidR="001C5F45" w:rsidRPr="00B01372" w:rsidRDefault="001C5F45" w:rsidP="001C5F45"/>
    <w:p w14:paraId="34AB7F4A" w14:textId="41FC6B2C" w:rsidR="00C9307F" w:rsidRPr="00B01372" w:rsidRDefault="00C554EC" w:rsidP="00B72720">
      <w:pPr>
        <w:pStyle w:val="Heading2"/>
        <w:rPr>
          <w:rFonts w:asciiTheme="minorHAnsi" w:hAnsiTheme="minorHAnsi"/>
        </w:rPr>
      </w:pPr>
      <w:r w:rsidRPr="00B01372">
        <w:rPr>
          <w:rFonts w:asciiTheme="minorHAnsi" w:hAnsiTheme="minorHAnsi"/>
        </w:rPr>
        <w:t>Information on the practical implementation of national strategic procurement</w:t>
      </w:r>
    </w:p>
    <w:p w14:paraId="34AB7F4C" w14:textId="03BA04F0" w:rsidR="00123723" w:rsidRPr="00B01372" w:rsidRDefault="00123723" w:rsidP="00D24317">
      <w:pPr>
        <w:spacing w:line="240" w:lineRule="auto"/>
      </w:pPr>
    </w:p>
    <w:tbl>
      <w:tblPr>
        <w:tblStyle w:val="TableGrid"/>
        <w:tblW w:w="5000" w:type="pct"/>
        <w:tblLook w:val="04A0" w:firstRow="1" w:lastRow="0" w:firstColumn="1" w:lastColumn="0" w:noHBand="0" w:noVBand="1"/>
      </w:tblPr>
      <w:tblGrid>
        <w:gridCol w:w="4612"/>
        <w:gridCol w:w="9382"/>
      </w:tblGrid>
      <w:tr w:rsidR="00994F58" w:rsidRPr="00B01372" w14:paraId="5B6BBFBA" w14:textId="77777777" w:rsidTr="005F0ADF">
        <w:tc>
          <w:tcPr>
            <w:tcW w:w="1648" w:type="pct"/>
          </w:tcPr>
          <w:p w14:paraId="5C6C3770" w14:textId="7B220A08" w:rsidR="00994F58" w:rsidRPr="00B01372" w:rsidRDefault="00994F58" w:rsidP="005F0ADF">
            <w:pPr>
              <w:pStyle w:val="Heading3"/>
              <w:outlineLvl w:val="2"/>
            </w:pPr>
            <w:r w:rsidRPr="00B01372">
              <w:t>V.1 Green procurement ('GPP')</w:t>
            </w:r>
          </w:p>
        </w:tc>
        <w:tc>
          <w:tcPr>
            <w:tcW w:w="3352" w:type="pct"/>
          </w:tcPr>
          <w:p w14:paraId="3E97AA44" w14:textId="129E1845" w:rsidR="00994F58" w:rsidRPr="00B01372" w:rsidRDefault="00994F58" w:rsidP="005F0ADF">
            <w:pPr>
              <w:jc w:val="both"/>
            </w:pPr>
            <w:r w:rsidRPr="00B01372">
              <w:t>Green Public Procurement ('GPP') is defined as "a process whereby public authorities seek to procure goods, services and works with a reduced environmental impact throughout their life cycle when compared to goods, services and works with the same primary function that would otherwise be procured."</w:t>
            </w:r>
            <w:r w:rsidRPr="00B01372">
              <w:rPr>
                <w:rStyle w:val="FootnoteReference"/>
              </w:rPr>
              <w:footnoteReference w:id="2"/>
            </w:r>
            <w:r w:rsidRPr="00B01372">
              <w:t xml:space="preserve"> A voluntary target of 50 % GPP per Member State in number and value of relevant procedures was proposed by the Commission and welcomed by the Council in 2008.</w:t>
            </w:r>
          </w:p>
        </w:tc>
      </w:tr>
      <w:tr w:rsidR="005F0ADF" w:rsidRPr="00B01372" w14:paraId="19FBB54C" w14:textId="77777777" w:rsidTr="00994F58">
        <w:trPr>
          <w:trHeight w:val="324"/>
        </w:trPr>
        <w:tc>
          <w:tcPr>
            <w:tcW w:w="1648" w:type="pct"/>
          </w:tcPr>
          <w:p w14:paraId="3DF76B1B" w14:textId="2DD2EA66" w:rsidR="005F0ADF" w:rsidRPr="00B01372" w:rsidRDefault="00F13DA8" w:rsidP="005F0ADF">
            <w:pPr>
              <w:pStyle w:val="Heading3"/>
              <w:outlineLvl w:val="2"/>
            </w:pPr>
            <w:r w:rsidRPr="00B01372">
              <w:t>V</w:t>
            </w:r>
            <w:r w:rsidR="005F0ADF" w:rsidRPr="00B01372">
              <w:t>.1.</w:t>
            </w:r>
            <w:r w:rsidR="00994F58" w:rsidRPr="00B01372">
              <w:t>1</w:t>
            </w:r>
            <w:r w:rsidR="005F0ADF" w:rsidRPr="00B01372">
              <w:t xml:space="preserve"> </w:t>
            </w:r>
            <w:r w:rsidR="00C96DD0" w:rsidRPr="00B01372">
              <w:t>Qualitative reporting</w:t>
            </w:r>
            <w:r w:rsidR="00C96DD0" w:rsidRPr="00B01372">
              <w:rPr>
                <w:b w:val="0"/>
              </w:rPr>
              <w:t xml:space="preserve"> </w:t>
            </w:r>
          </w:p>
        </w:tc>
        <w:tc>
          <w:tcPr>
            <w:tcW w:w="3352" w:type="pct"/>
          </w:tcPr>
          <w:p w14:paraId="57D4CE50" w14:textId="77777777" w:rsidR="005F0ADF" w:rsidRPr="00B01372" w:rsidRDefault="005F0ADF" w:rsidP="005F0ADF">
            <w:pPr>
              <w:jc w:val="both"/>
            </w:pPr>
          </w:p>
        </w:tc>
      </w:tr>
      <w:tr w:rsidR="005F0ADF" w:rsidRPr="00B01372" w14:paraId="05B5832A" w14:textId="77777777" w:rsidTr="005F0ADF">
        <w:tc>
          <w:tcPr>
            <w:tcW w:w="1648" w:type="pct"/>
          </w:tcPr>
          <w:p w14:paraId="492C319A" w14:textId="77777777" w:rsidR="0007324C" w:rsidRDefault="005F0ADF" w:rsidP="0007324C">
            <w:r w:rsidRPr="00B01372">
              <w:t>Key challenges encountered</w:t>
            </w:r>
            <w:r w:rsidR="0007324C" w:rsidRPr="00B01372">
              <w:t xml:space="preserve"> </w:t>
            </w:r>
          </w:p>
          <w:p w14:paraId="6866DD1A" w14:textId="7E7A9B98" w:rsidR="005F0ADF" w:rsidRPr="00B01372" w:rsidRDefault="005F0ADF" w:rsidP="00D32C6B">
            <w:pPr>
              <w:jc w:val="both"/>
            </w:pPr>
          </w:p>
        </w:tc>
        <w:tc>
          <w:tcPr>
            <w:tcW w:w="3352" w:type="pct"/>
          </w:tcPr>
          <w:p w14:paraId="6FDCCC7F" w14:textId="77777777" w:rsidR="005F0ADF" w:rsidRDefault="00D32C6B" w:rsidP="005F0ADF">
            <w:pPr>
              <w:jc w:val="both"/>
            </w:pPr>
            <w:r>
              <w:t>Given that the scoring of specific parameters that differentiate products between green or not, can take either the form of a minimum requirement or a scoring criterion, it is a significant challenge to ensure effective competition on equal terms between economic operators especially in small markets like the one in Cyprus.</w:t>
            </w:r>
          </w:p>
          <w:p w14:paraId="082C21D5" w14:textId="47D064CE" w:rsidR="00D32C6B" w:rsidRDefault="00D32C6B" w:rsidP="005F0ADF">
            <w:pPr>
              <w:jc w:val="both"/>
            </w:pPr>
            <w:r>
              <w:t>Measures undertaken to overcome the above difficulties, include consulting contracting authorities to undergo a proper market sounding and developing a good understanding of competition prior to procuring for their contracts.</w:t>
            </w:r>
          </w:p>
          <w:p w14:paraId="5A9E4B24" w14:textId="26FBE6ED" w:rsidR="00D32C6B" w:rsidRPr="00B01372" w:rsidRDefault="00A305DE" w:rsidP="005F0ADF">
            <w:pPr>
              <w:jc w:val="both"/>
            </w:pPr>
            <w:r>
              <w:t>However,</w:t>
            </w:r>
            <w:r w:rsidR="00D32C6B">
              <w:t xml:space="preserve"> it is still difficult to quantify the impact and cost of environmentally friendly attributes in the greater extent of a bigger </w:t>
            </w:r>
            <w:r>
              <w:t>contract.</w:t>
            </w:r>
            <w:r w:rsidR="00D32C6B">
              <w:t xml:space="preserve"> </w:t>
            </w:r>
          </w:p>
        </w:tc>
      </w:tr>
      <w:tr w:rsidR="005F0ADF" w:rsidRPr="00B01372" w14:paraId="70A73762" w14:textId="77777777" w:rsidTr="005F0ADF">
        <w:tc>
          <w:tcPr>
            <w:tcW w:w="1648" w:type="pct"/>
          </w:tcPr>
          <w:p w14:paraId="1F75A8FE" w14:textId="68F805EB" w:rsidR="005F0ADF" w:rsidRPr="00B01372" w:rsidRDefault="00D5004D" w:rsidP="005F0ADF">
            <w:pPr>
              <w:pStyle w:val="Heading3"/>
              <w:outlineLvl w:val="2"/>
            </w:pPr>
            <w:r w:rsidRPr="00B01372">
              <w:t>V</w:t>
            </w:r>
            <w:r w:rsidR="005F0ADF" w:rsidRPr="00B01372">
              <w:t>.1.2. Factual reporting</w:t>
            </w:r>
          </w:p>
        </w:tc>
        <w:tc>
          <w:tcPr>
            <w:tcW w:w="3352" w:type="pct"/>
          </w:tcPr>
          <w:p w14:paraId="7FE0DDBA" w14:textId="7E98A981" w:rsidR="005F0ADF" w:rsidRPr="00A305DE" w:rsidRDefault="005F0ADF" w:rsidP="005F0ADF"/>
        </w:tc>
      </w:tr>
      <w:tr w:rsidR="005F0ADF" w:rsidRPr="00B01372" w14:paraId="0FD36345" w14:textId="77777777" w:rsidTr="005F0ADF">
        <w:tc>
          <w:tcPr>
            <w:tcW w:w="1648" w:type="pct"/>
          </w:tcPr>
          <w:p w14:paraId="5A048C62" w14:textId="4D9FD555" w:rsidR="005F0ADF" w:rsidRPr="00A305DE" w:rsidRDefault="005F0ADF" w:rsidP="00A305DE">
            <w:pPr>
              <w:jc w:val="both"/>
            </w:pPr>
            <w:r w:rsidRPr="00B01372">
              <w:t xml:space="preserve">Please report any available factual evidence or supporting document </w:t>
            </w:r>
            <w:r w:rsidR="006753EC" w:rsidRPr="00B01372">
              <w:t xml:space="preserve">for point </w:t>
            </w:r>
            <w:r w:rsidR="00426F49" w:rsidRPr="00B01372">
              <w:t>V</w:t>
            </w:r>
            <w:r w:rsidR="006753EC" w:rsidRPr="00B01372">
              <w:t xml:space="preserve">.1, </w:t>
            </w:r>
            <w:r w:rsidRPr="00B01372">
              <w:t xml:space="preserve">illustrating the measures, achievements or challenges faced, relating to the </w:t>
            </w:r>
            <w:r w:rsidR="00C96DD0" w:rsidRPr="00B01372">
              <w:t>promotion</w:t>
            </w:r>
            <w:r w:rsidRPr="00B01372">
              <w:t xml:space="preserve"> of </w:t>
            </w:r>
            <w:r w:rsidR="003236CE" w:rsidRPr="00B01372">
              <w:t>green public</w:t>
            </w:r>
            <w:r w:rsidRPr="00B01372">
              <w:t xml:space="preserve"> procurement. </w:t>
            </w:r>
          </w:p>
        </w:tc>
        <w:tc>
          <w:tcPr>
            <w:tcW w:w="3352" w:type="pct"/>
          </w:tcPr>
          <w:p w14:paraId="60BEB930" w14:textId="41ABC11C" w:rsidR="005F0ADF" w:rsidRPr="00A92FC8" w:rsidRDefault="00A305DE" w:rsidP="00A92FC8">
            <w:pPr>
              <w:jc w:val="both"/>
              <w:rPr>
                <w:i/>
              </w:rPr>
            </w:pPr>
            <w:r w:rsidRPr="00A305DE">
              <w:t xml:space="preserve">A green procurement strategy </w:t>
            </w:r>
            <w:r>
              <w:t xml:space="preserve">and the resulting Action Plan </w:t>
            </w:r>
            <w:r w:rsidRPr="00A305DE">
              <w:t>has been implemented in Cyprus which is monitored and promoted by the Environmental Department of the Ministry of Agriculture.</w:t>
            </w:r>
            <w:r>
              <w:t xml:space="preserve"> The Action Plan includes Green specifications for a wide variety of items</w:t>
            </w:r>
            <w:r w:rsidRPr="00A305DE">
              <w:t xml:space="preserve"> All Directives related to Green procurement have been transposed and enforced in national legal system including the provisions for </w:t>
            </w:r>
            <w:r w:rsidRPr="00A305DE">
              <w:lastRenderedPageBreak/>
              <w:t>Green Vehicles, energy efficient Buildings the Provision of the Procurement Directive assisting and promoting the concept of buying environmentally responsible.</w:t>
            </w:r>
          </w:p>
        </w:tc>
      </w:tr>
      <w:tr w:rsidR="005F0ADF" w:rsidRPr="00B01372" w14:paraId="024043AF" w14:textId="77777777" w:rsidTr="005F0ADF">
        <w:tc>
          <w:tcPr>
            <w:tcW w:w="1648" w:type="pct"/>
          </w:tcPr>
          <w:p w14:paraId="0A45E1E5" w14:textId="77777777" w:rsidR="0007324C" w:rsidRDefault="007C7271" w:rsidP="005F0ADF">
            <w:pPr>
              <w:pStyle w:val="Heading3"/>
              <w:outlineLvl w:val="2"/>
              <w:rPr>
                <w:i/>
              </w:rPr>
            </w:pPr>
            <w:r w:rsidRPr="00B01372">
              <w:lastRenderedPageBreak/>
              <w:t>V</w:t>
            </w:r>
            <w:r w:rsidR="005F0ADF" w:rsidRPr="00B01372">
              <w:t>.1.3. Quantitative indicators</w:t>
            </w:r>
            <w:r w:rsidR="0007324C" w:rsidRPr="00B01372">
              <w:rPr>
                <w:i/>
              </w:rPr>
              <w:t xml:space="preserve"> </w:t>
            </w:r>
          </w:p>
          <w:p w14:paraId="3B941912" w14:textId="07C7EEBB" w:rsidR="005F0ADF" w:rsidRPr="00B01372" w:rsidRDefault="005F0ADF" w:rsidP="005F0ADF">
            <w:pPr>
              <w:pStyle w:val="Heading3"/>
              <w:outlineLvl w:val="2"/>
              <w:rPr>
                <w:b w:val="0"/>
              </w:rPr>
            </w:pPr>
          </w:p>
        </w:tc>
        <w:tc>
          <w:tcPr>
            <w:tcW w:w="3352" w:type="pct"/>
          </w:tcPr>
          <w:p w14:paraId="3B929A8F" w14:textId="60A6AD70" w:rsidR="005F0ADF" w:rsidRPr="00B01372" w:rsidRDefault="005F0ADF" w:rsidP="00247E16">
            <w:pPr>
              <w:jc w:val="both"/>
              <w:rPr>
                <w:i/>
              </w:rPr>
            </w:pPr>
          </w:p>
        </w:tc>
      </w:tr>
      <w:tr w:rsidR="005F0ADF" w:rsidRPr="00B01372" w14:paraId="24E93C97" w14:textId="77777777" w:rsidTr="005F0ADF">
        <w:tc>
          <w:tcPr>
            <w:tcW w:w="1648" w:type="pct"/>
          </w:tcPr>
          <w:p w14:paraId="76713AFB" w14:textId="10C09894" w:rsidR="0007324C" w:rsidRPr="00A305DE" w:rsidRDefault="005F0ADF" w:rsidP="00A305DE">
            <w:pPr>
              <w:jc w:val="both"/>
            </w:pPr>
            <w:r w:rsidRPr="00B01372">
              <w:t xml:space="preserve">Please provide, when available, any quantitative data (statistics, etc.) illustrating the achievements and challenges identified under section </w:t>
            </w:r>
            <w:r w:rsidR="00B34CD3" w:rsidRPr="00B01372">
              <w:t>V</w:t>
            </w:r>
            <w:r w:rsidRPr="00B01372">
              <w:t>.1.</w:t>
            </w:r>
            <w:r w:rsidR="002C131E" w:rsidRPr="00B01372">
              <w:t>1</w:t>
            </w:r>
            <w:r w:rsidRPr="00B01372">
              <w:t xml:space="preserve"> above. To the extent possible, these indicators should be further g</w:t>
            </w:r>
            <w:r w:rsidR="006753EC" w:rsidRPr="00B01372">
              <w:t>rouped by type of legal problem.</w:t>
            </w:r>
          </w:p>
        </w:tc>
        <w:tc>
          <w:tcPr>
            <w:tcW w:w="3352" w:type="pct"/>
          </w:tcPr>
          <w:p w14:paraId="6FA6EEEE" w14:textId="47AA10C6" w:rsidR="00A305DE" w:rsidRDefault="005F0ADF" w:rsidP="00DD5AB5">
            <w:pPr>
              <w:jc w:val="both"/>
            </w:pPr>
            <w:r w:rsidRPr="0007324C">
              <w:rPr>
                <w:i/>
              </w:rPr>
              <w:t xml:space="preserve"> </w:t>
            </w:r>
            <w:r w:rsidR="00A305DE">
              <w:t xml:space="preserve">All items included under Framework Agreements which account for nearly 10% of Total Procurement Spend, take into consideration the guidance of the Action Plan. </w:t>
            </w:r>
          </w:p>
          <w:p w14:paraId="229ABA49" w14:textId="3076CDF5" w:rsidR="005F0ADF" w:rsidRPr="00B01372" w:rsidRDefault="00A305DE" w:rsidP="00DD5AB5">
            <w:pPr>
              <w:jc w:val="both"/>
            </w:pPr>
            <w:r>
              <w:t>Furthermore, Contracting Authorities are advised to considered the Total Cost of Ownership and where quantifiable ( i.e Co2 emissions, Electricity consumption, cost of disposal etc) include it in the evaluation formula.</w:t>
            </w:r>
          </w:p>
        </w:tc>
      </w:tr>
      <w:tr w:rsidR="00994F58" w:rsidRPr="00B01372" w14:paraId="448ED29A" w14:textId="77777777" w:rsidTr="00994F58">
        <w:trPr>
          <w:trHeight w:val="1248"/>
        </w:trPr>
        <w:tc>
          <w:tcPr>
            <w:tcW w:w="1648" w:type="pct"/>
          </w:tcPr>
          <w:p w14:paraId="34A7A084" w14:textId="766D9FD6" w:rsidR="00994F58" w:rsidRPr="00B01372" w:rsidRDefault="00994F58" w:rsidP="00994F58">
            <w:pPr>
              <w:pStyle w:val="Heading3"/>
              <w:outlineLvl w:val="2"/>
            </w:pPr>
            <w:r w:rsidRPr="00B01372">
              <w:t>V.2 Socially responsible public procurement ('SRPP')</w:t>
            </w:r>
          </w:p>
        </w:tc>
        <w:tc>
          <w:tcPr>
            <w:tcW w:w="3352" w:type="pct"/>
          </w:tcPr>
          <w:p w14:paraId="1DC5B3C8" w14:textId="6D444712" w:rsidR="00994F58" w:rsidRPr="00B01372" w:rsidRDefault="00994F58" w:rsidP="006753EC">
            <w:pPr>
              <w:jc w:val="both"/>
            </w:pPr>
            <w:r w:rsidRPr="00B01372">
              <w:t>Socially Responsible Public Procurement ('SRPP') is defined as procurement that takes into account one or several social considerations for advancing social objectives. SRPP covers a wide spectrum of social considerations, such as for example employment opportunities, decent work conditions, compliance with social and labour rights, social inclusion, equal opportunities and accessibility.</w:t>
            </w:r>
          </w:p>
        </w:tc>
      </w:tr>
      <w:tr w:rsidR="005F0ADF" w:rsidRPr="00B01372" w14:paraId="449FD48B" w14:textId="77777777" w:rsidTr="00994F58">
        <w:trPr>
          <w:trHeight w:val="415"/>
        </w:trPr>
        <w:tc>
          <w:tcPr>
            <w:tcW w:w="1648" w:type="pct"/>
          </w:tcPr>
          <w:p w14:paraId="22C63DEE" w14:textId="36B98714" w:rsidR="005F0ADF" w:rsidRPr="00B01372" w:rsidRDefault="007C7271" w:rsidP="005F0ADF">
            <w:pPr>
              <w:pStyle w:val="Heading3"/>
              <w:outlineLvl w:val="2"/>
              <w:rPr>
                <w:b w:val="0"/>
              </w:rPr>
            </w:pPr>
            <w:r w:rsidRPr="00B01372">
              <w:t>V</w:t>
            </w:r>
            <w:r w:rsidR="00DD5AB5" w:rsidRPr="00B01372">
              <w:t>.2.</w:t>
            </w:r>
            <w:r w:rsidR="00994F58" w:rsidRPr="00B01372">
              <w:t>1</w:t>
            </w:r>
            <w:r w:rsidR="00DD5AB5" w:rsidRPr="00B01372">
              <w:t xml:space="preserve"> </w:t>
            </w:r>
            <w:r w:rsidR="00C96DD0" w:rsidRPr="00B01372">
              <w:t>Qualitative reporting</w:t>
            </w:r>
          </w:p>
        </w:tc>
        <w:tc>
          <w:tcPr>
            <w:tcW w:w="3352" w:type="pct"/>
          </w:tcPr>
          <w:p w14:paraId="6D0A710C" w14:textId="45C84343" w:rsidR="005F0ADF" w:rsidRPr="00B01372" w:rsidRDefault="005F0ADF" w:rsidP="006753EC">
            <w:pPr>
              <w:jc w:val="both"/>
              <w:rPr>
                <w:i/>
              </w:rPr>
            </w:pPr>
          </w:p>
        </w:tc>
      </w:tr>
      <w:tr w:rsidR="005F0ADF" w:rsidRPr="00B01372" w14:paraId="463AA80D" w14:textId="77777777" w:rsidTr="005F0ADF">
        <w:tc>
          <w:tcPr>
            <w:tcW w:w="1648" w:type="pct"/>
          </w:tcPr>
          <w:p w14:paraId="55B70750" w14:textId="77777777" w:rsidR="0007324C" w:rsidRDefault="00DD5AB5" w:rsidP="0007324C">
            <w:r w:rsidRPr="00B01372">
              <w:t>Key challenges encountered</w:t>
            </w:r>
            <w:r w:rsidR="0007324C" w:rsidRPr="00B01372">
              <w:t xml:space="preserve"> </w:t>
            </w:r>
          </w:p>
          <w:p w14:paraId="42A9A3A6" w14:textId="1E1B3F0B" w:rsidR="005F0ADF" w:rsidRPr="00B01372" w:rsidRDefault="005F0ADF" w:rsidP="0007324C">
            <w:pPr>
              <w:pStyle w:val="Heading3"/>
              <w:outlineLvl w:val="2"/>
              <w:rPr>
                <w:b w:val="0"/>
              </w:rPr>
            </w:pPr>
          </w:p>
        </w:tc>
        <w:tc>
          <w:tcPr>
            <w:tcW w:w="3352" w:type="pct"/>
          </w:tcPr>
          <w:p w14:paraId="7137432C" w14:textId="77777777" w:rsidR="006C45B3" w:rsidRDefault="00DD5AB5" w:rsidP="006753EC">
            <w:pPr>
              <w:jc w:val="both"/>
            </w:pPr>
            <w:r w:rsidRPr="00B01372">
              <w:t xml:space="preserve"> </w:t>
            </w:r>
            <w:r w:rsidR="00A305DE">
              <w:t>Socially responsible purchasing is a task pursuit by a Contracting Authorities in Cyprus. To this end the Competent Authority issued a circular on the parameter’s purchasers should have in mind when undertaking their competitions. Furthermore, the Standard Tender documents used by all Contracting authorities include specific provisions, concerning social responsibility and adherence to the relevant legislation of Contactors in public and wider public Sector</w:t>
            </w:r>
            <w:r w:rsidR="006C45B3">
              <w:t>.</w:t>
            </w:r>
          </w:p>
          <w:p w14:paraId="35457F8A" w14:textId="250C9C7E" w:rsidR="006C45B3" w:rsidRPr="006C45B3" w:rsidRDefault="006C45B3" w:rsidP="006753EC">
            <w:pPr>
              <w:jc w:val="both"/>
            </w:pPr>
            <w:r>
              <w:t>However, it is a challenge to include parameters in the form of award criteria as it is very difficult to conclude at a specific cost or benefit proportional and relevant to a specific procurement.</w:t>
            </w:r>
          </w:p>
        </w:tc>
      </w:tr>
      <w:tr w:rsidR="005F0ADF" w:rsidRPr="00B01372" w14:paraId="259FB2D5" w14:textId="77777777" w:rsidTr="005F0ADF">
        <w:tc>
          <w:tcPr>
            <w:tcW w:w="1648" w:type="pct"/>
          </w:tcPr>
          <w:p w14:paraId="217FE28F" w14:textId="496A5A92" w:rsidR="005F0ADF" w:rsidRPr="00B01372" w:rsidRDefault="007C7271" w:rsidP="005F0ADF">
            <w:r w:rsidRPr="00B01372">
              <w:rPr>
                <w:b/>
              </w:rPr>
              <w:t>V</w:t>
            </w:r>
            <w:r w:rsidR="00DD5AB5" w:rsidRPr="00B01372">
              <w:rPr>
                <w:b/>
              </w:rPr>
              <w:t xml:space="preserve">.2.2. Factual reporting </w:t>
            </w:r>
          </w:p>
        </w:tc>
        <w:tc>
          <w:tcPr>
            <w:tcW w:w="3352" w:type="pct"/>
          </w:tcPr>
          <w:p w14:paraId="31ABC48A" w14:textId="346099AB" w:rsidR="005F0ADF" w:rsidRPr="00B01372" w:rsidRDefault="005F0ADF" w:rsidP="005F0ADF">
            <w:pPr>
              <w:jc w:val="both"/>
            </w:pPr>
            <w:r w:rsidRPr="00B01372">
              <w:t xml:space="preserve"> </w:t>
            </w:r>
          </w:p>
        </w:tc>
      </w:tr>
      <w:tr w:rsidR="00DD5AB5" w:rsidRPr="00B01372" w14:paraId="4F3CF26A" w14:textId="77777777" w:rsidTr="005F0ADF">
        <w:tc>
          <w:tcPr>
            <w:tcW w:w="1648" w:type="pct"/>
          </w:tcPr>
          <w:p w14:paraId="2775CB89" w14:textId="7A8AD60C" w:rsidR="00DD5AB5" w:rsidRPr="006C45B3" w:rsidRDefault="00DD5AB5" w:rsidP="006C45B3">
            <w:pPr>
              <w:jc w:val="both"/>
            </w:pPr>
            <w:r w:rsidRPr="00B01372">
              <w:t>Please report any available factual evidence or supporting document</w:t>
            </w:r>
            <w:r w:rsidR="006753EC" w:rsidRPr="00B01372">
              <w:t xml:space="preserve"> for point </w:t>
            </w:r>
            <w:r w:rsidR="007C7271" w:rsidRPr="00B01372">
              <w:t>V</w:t>
            </w:r>
            <w:r w:rsidR="006753EC" w:rsidRPr="00B01372">
              <w:t>.2</w:t>
            </w:r>
            <w:r w:rsidR="002C131E" w:rsidRPr="00B01372">
              <w:t>.1</w:t>
            </w:r>
            <w:r w:rsidRPr="00B01372">
              <w:t xml:space="preserve"> illustrating the measures, achievements or challenges faced, relating to the promotion of SRPP. </w:t>
            </w:r>
          </w:p>
        </w:tc>
        <w:tc>
          <w:tcPr>
            <w:tcW w:w="3352" w:type="pct"/>
          </w:tcPr>
          <w:p w14:paraId="229E1DD2" w14:textId="77777777" w:rsidR="00DD5AB5" w:rsidRDefault="006C45B3" w:rsidP="006C45B3">
            <w:pPr>
              <w:pStyle w:val="ListParagraph"/>
              <w:numPr>
                <w:ilvl w:val="0"/>
                <w:numId w:val="7"/>
              </w:numPr>
              <w:jc w:val="both"/>
            </w:pPr>
            <w:r>
              <w:t xml:space="preserve">Circular </w:t>
            </w:r>
          </w:p>
          <w:p w14:paraId="6C030A4F" w14:textId="77777777" w:rsidR="006C45B3" w:rsidRDefault="006C45B3" w:rsidP="006C45B3">
            <w:pPr>
              <w:pStyle w:val="ListParagraph"/>
              <w:numPr>
                <w:ilvl w:val="0"/>
                <w:numId w:val="7"/>
              </w:numPr>
              <w:jc w:val="both"/>
            </w:pPr>
            <w:r>
              <w:t xml:space="preserve">Standard Tender Documents </w:t>
            </w:r>
          </w:p>
          <w:p w14:paraId="6D0E0E06" w14:textId="1333B7F0" w:rsidR="006C45B3" w:rsidRPr="00B01372" w:rsidDel="00DD5AB5" w:rsidRDefault="006C45B3" w:rsidP="006C45B3">
            <w:pPr>
              <w:pStyle w:val="ListParagraph"/>
              <w:numPr>
                <w:ilvl w:val="0"/>
                <w:numId w:val="7"/>
              </w:numPr>
              <w:jc w:val="both"/>
            </w:pPr>
            <w:r>
              <w:t xml:space="preserve">Training material </w:t>
            </w:r>
          </w:p>
        </w:tc>
      </w:tr>
      <w:tr w:rsidR="00DD5AB5" w:rsidRPr="00B01372" w14:paraId="51A7B11F" w14:textId="77777777" w:rsidTr="005F0ADF">
        <w:tc>
          <w:tcPr>
            <w:tcW w:w="1648" w:type="pct"/>
          </w:tcPr>
          <w:p w14:paraId="21E85D7B" w14:textId="77777777" w:rsidR="0007324C" w:rsidRDefault="007C7271" w:rsidP="005F0ADF">
            <w:pPr>
              <w:rPr>
                <w:b/>
              </w:rPr>
            </w:pPr>
            <w:r w:rsidRPr="00B01372">
              <w:rPr>
                <w:b/>
              </w:rPr>
              <w:t>V</w:t>
            </w:r>
            <w:r w:rsidR="00DD5AB5" w:rsidRPr="00B01372">
              <w:rPr>
                <w:b/>
              </w:rPr>
              <w:t xml:space="preserve">.2.3. Quantitative indicators </w:t>
            </w:r>
          </w:p>
          <w:p w14:paraId="6DAB0E8B" w14:textId="7BC19AE6" w:rsidR="00DD5AB5" w:rsidRPr="00B01372" w:rsidRDefault="00DD5AB5" w:rsidP="005F0ADF">
            <w:pPr>
              <w:rPr>
                <w:b/>
              </w:rPr>
            </w:pPr>
          </w:p>
        </w:tc>
        <w:tc>
          <w:tcPr>
            <w:tcW w:w="3352" w:type="pct"/>
          </w:tcPr>
          <w:p w14:paraId="5659E4B4" w14:textId="61EF93DA" w:rsidR="00DD5AB5" w:rsidRPr="00B01372" w:rsidDel="00DD5AB5" w:rsidRDefault="00DD5AB5" w:rsidP="00C6144F">
            <w:pPr>
              <w:jc w:val="both"/>
            </w:pPr>
          </w:p>
        </w:tc>
      </w:tr>
      <w:tr w:rsidR="00DD5AB5" w:rsidRPr="00B01372" w14:paraId="0E35A5BE" w14:textId="77777777" w:rsidTr="005F0ADF">
        <w:tc>
          <w:tcPr>
            <w:tcW w:w="1648" w:type="pct"/>
          </w:tcPr>
          <w:p w14:paraId="3613F285" w14:textId="0C9420AE" w:rsidR="00DD5AB5" w:rsidRPr="006C45B3" w:rsidRDefault="00DD5AB5" w:rsidP="006C45B3">
            <w:pPr>
              <w:jc w:val="both"/>
            </w:pPr>
            <w:r w:rsidRPr="00B01372">
              <w:t xml:space="preserve">Please provide, when available, any quantitative data (statistics, etc.) illustrating the achievements </w:t>
            </w:r>
            <w:r w:rsidRPr="00B01372">
              <w:lastRenderedPageBreak/>
              <w:t xml:space="preserve">and challenges identified under section </w:t>
            </w:r>
            <w:r w:rsidR="007C7271" w:rsidRPr="00B01372">
              <w:t>V</w:t>
            </w:r>
            <w:r w:rsidRPr="00B01372">
              <w:t>.2.</w:t>
            </w:r>
            <w:r w:rsidR="002C131E" w:rsidRPr="00B01372">
              <w:t xml:space="preserve">1 </w:t>
            </w:r>
            <w:r w:rsidRPr="00B01372">
              <w:t xml:space="preserve">above. </w:t>
            </w:r>
          </w:p>
        </w:tc>
        <w:tc>
          <w:tcPr>
            <w:tcW w:w="3352" w:type="pct"/>
          </w:tcPr>
          <w:p w14:paraId="276116DB" w14:textId="77777777" w:rsidR="009847FE" w:rsidRDefault="009847FE" w:rsidP="00CC25C6">
            <w:pPr>
              <w:ind w:left="360"/>
              <w:jc w:val="both"/>
            </w:pPr>
          </w:p>
          <w:p w14:paraId="364B9F93" w14:textId="03F9F60E" w:rsidR="00DD5AB5" w:rsidRPr="00B01372" w:rsidDel="00DD5AB5" w:rsidRDefault="006C45B3" w:rsidP="009847FE">
            <w:pPr>
              <w:jc w:val="both"/>
            </w:pPr>
            <w:r>
              <w:t>All Contracting Authorities by using the Standard tender Documents ensure the application of the provision of the relevant legislation concerning socially responsible Purchasing.</w:t>
            </w:r>
          </w:p>
        </w:tc>
      </w:tr>
      <w:tr w:rsidR="009D79A4" w:rsidRPr="00B01372" w14:paraId="19DF63EF" w14:textId="77777777" w:rsidTr="006708CC">
        <w:tc>
          <w:tcPr>
            <w:tcW w:w="1648" w:type="pct"/>
          </w:tcPr>
          <w:p w14:paraId="2D1B13C7" w14:textId="77777777" w:rsidR="009D79A4" w:rsidRDefault="009D79A4" w:rsidP="00DE3F88">
            <w:pPr>
              <w:pStyle w:val="Heading3"/>
              <w:outlineLvl w:val="2"/>
            </w:pPr>
            <w:r w:rsidRPr="00B01372">
              <w:t>V.3 Public procurement of innovati</w:t>
            </w:r>
            <w:r w:rsidR="00DE3F88" w:rsidRPr="00B01372">
              <w:t>on</w:t>
            </w:r>
          </w:p>
          <w:p w14:paraId="435A63A9" w14:textId="3A919C29" w:rsidR="00CC25C6" w:rsidRPr="00CC25C6" w:rsidRDefault="00CC25C6" w:rsidP="00CC25C6"/>
        </w:tc>
        <w:tc>
          <w:tcPr>
            <w:tcW w:w="3352" w:type="pct"/>
          </w:tcPr>
          <w:p w14:paraId="7DAE116C" w14:textId="7F209719" w:rsidR="009D79A4" w:rsidRPr="006C45B3" w:rsidRDefault="006C45B3" w:rsidP="006753EC">
            <w:pPr>
              <w:pStyle w:val="Heading4"/>
              <w:numPr>
                <w:ilvl w:val="0"/>
                <w:numId w:val="0"/>
              </w:numPr>
              <w:jc w:val="both"/>
              <w:outlineLvl w:val="3"/>
              <w:rPr>
                <w:b w:val="0"/>
              </w:rPr>
            </w:pPr>
            <w:r w:rsidRPr="006C45B3">
              <w:rPr>
                <w:b w:val="0"/>
              </w:rPr>
              <w:t>An innovative solution is defined in 2014/24/EU Art.2 (1.22) as "a new or significantly improved product, service or process". This includes not only those solutions resulting from R&amp;D but also those solutions resulting from activities, "including but not limited to production, building or construction processes, a new marketing method, or a new organisational method in business practices, workplace organisation or external relations." Please report both dimensions of innovation procurement: Procurement of R&amp;D and procurement of innovative solutions.</w:t>
            </w:r>
          </w:p>
        </w:tc>
      </w:tr>
      <w:tr w:rsidR="006708CC" w:rsidRPr="00B01372" w14:paraId="25EBCE41" w14:textId="77777777" w:rsidTr="006708CC">
        <w:tc>
          <w:tcPr>
            <w:tcW w:w="1648" w:type="pct"/>
          </w:tcPr>
          <w:p w14:paraId="5A772C25" w14:textId="0992EC61" w:rsidR="006708CC" w:rsidRPr="00B01372" w:rsidRDefault="009D79A4" w:rsidP="00FE7D75">
            <w:pPr>
              <w:pStyle w:val="Heading3"/>
              <w:outlineLvl w:val="2"/>
            </w:pPr>
            <w:r w:rsidRPr="00B01372">
              <w:t>V</w:t>
            </w:r>
            <w:r w:rsidR="006708CC" w:rsidRPr="00B01372">
              <w:t>.3.</w:t>
            </w:r>
            <w:r w:rsidRPr="00B01372">
              <w:t>1</w:t>
            </w:r>
            <w:r w:rsidR="006708CC" w:rsidRPr="00B01372">
              <w:t xml:space="preserve"> </w:t>
            </w:r>
            <w:r w:rsidR="002C131E" w:rsidRPr="00B01372">
              <w:t>Qualitative reporting</w:t>
            </w:r>
          </w:p>
        </w:tc>
        <w:tc>
          <w:tcPr>
            <w:tcW w:w="3352" w:type="pct"/>
          </w:tcPr>
          <w:p w14:paraId="033F13EB" w14:textId="19E59728" w:rsidR="006708CC" w:rsidRPr="00B01372" w:rsidRDefault="006708CC" w:rsidP="006753EC">
            <w:pPr>
              <w:pStyle w:val="Heading4"/>
              <w:numPr>
                <w:ilvl w:val="0"/>
                <w:numId w:val="0"/>
              </w:numPr>
              <w:jc w:val="both"/>
              <w:outlineLvl w:val="3"/>
            </w:pPr>
          </w:p>
        </w:tc>
      </w:tr>
      <w:tr w:rsidR="006708CC" w:rsidRPr="00B01372" w14:paraId="293F0B0C" w14:textId="77777777" w:rsidTr="006708CC">
        <w:tc>
          <w:tcPr>
            <w:tcW w:w="1648" w:type="pct"/>
          </w:tcPr>
          <w:p w14:paraId="779255E4" w14:textId="75B08836" w:rsidR="006708CC" w:rsidRPr="00B01372" w:rsidRDefault="006708CC" w:rsidP="006708CC">
            <w:r w:rsidRPr="00B01372">
              <w:t>Key challenges encountered</w:t>
            </w:r>
          </w:p>
          <w:p w14:paraId="625449B6" w14:textId="15211766" w:rsidR="006708CC" w:rsidRPr="00B01372" w:rsidRDefault="00CC25C6" w:rsidP="00CC25C6">
            <w:r w:rsidRPr="00CC25C6">
              <w:rPr>
                <w:i/>
                <w:color w:val="FF0000"/>
              </w:rPr>
              <w:t xml:space="preserve"> </w:t>
            </w:r>
          </w:p>
        </w:tc>
        <w:tc>
          <w:tcPr>
            <w:tcW w:w="3352" w:type="pct"/>
          </w:tcPr>
          <w:p w14:paraId="4B161561" w14:textId="466112F5" w:rsidR="006708CC" w:rsidRPr="006C45B3" w:rsidRDefault="006708CC" w:rsidP="006753EC">
            <w:pPr>
              <w:jc w:val="both"/>
            </w:pPr>
            <w:r w:rsidRPr="00B01372">
              <w:rPr>
                <w:i/>
              </w:rPr>
              <w:t xml:space="preserve"> </w:t>
            </w:r>
            <w:r w:rsidR="006C45B3">
              <w:t xml:space="preserve">Innovation is difficult to achieve in the absence of professional procurers and specifically trained individuals that can articulate competitive tender documents </w:t>
            </w:r>
            <w:r w:rsidR="009847FE">
              <w:t>attractive</w:t>
            </w:r>
            <w:r w:rsidR="006C45B3">
              <w:t xml:space="preserve"> to innovative solutions. Most of the times, especially in smaller procurement markets like the one in Cyprus the task is assigned as a side duty and the speed of conclusion of a contract is pushing</w:t>
            </w:r>
            <w:r w:rsidR="009847FE">
              <w:t>,</w:t>
            </w:r>
            <w:r w:rsidR="006C45B3">
              <w:t xml:space="preserve"> rendering the</w:t>
            </w:r>
            <w:r w:rsidR="009847FE">
              <w:t xml:space="preserve"> proper preparation and search of innovative fields very difficult. The competent authority during training sessions is encouraging purchasers to look for innovation opportunities and offer s full support in cases where this is pursuit.</w:t>
            </w:r>
          </w:p>
        </w:tc>
      </w:tr>
      <w:tr w:rsidR="006708CC" w:rsidRPr="00B01372" w14:paraId="5ECD12D9" w14:textId="77777777" w:rsidTr="006708CC">
        <w:tc>
          <w:tcPr>
            <w:tcW w:w="1648" w:type="pct"/>
          </w:tcPr>
          <w:p w14:paraId="729798E8" w14:textId="17E48F09" w:rsidR="006708CC" w:rsidRPr="00B01372" w:rsidRDefault="009D79A4" w:rsidP="00FE7D75">
            <w:pPr>
              <w:pStyle w:val="Heading3"/>
              <w:outlineLvl w:val="2"/>
            </w:pPr>
            <w:r w:rsidRPr="00B01372">
              <w:t>V</w:t>
            </w:r>
            <w:r w:rsidR="006708CC" w:rsidRPr="00B01372">
              <w:t>.3.2. Factual reporting</w:t>
            </w:r>
          </w:p>
        </w:tc>
        <w:tc>
          <w:tcPr>
            <w:tcW w:w="3352" w:type="pct"/>
          </w:tcPr>
          <w:p w14:paraId="3CD1FC69" w14:textId="77777777" w:rsidR="006708CC" w:rsidRPr="00B01372" w:rsidRDefault="006708CC" w:rsidP="00FE7D75">
            <w:pPr>
              <w:rPr>
                <w:i/>
              </w:rPr>
            </w:pPr>
          </w:p>
        </w:tc>
      </w:tr>
      <w:tr w:rsidR="006708CC" w:rsidRPr="00B01372" w14:paraId="40569968" w14:textId="77777777" w:rsidTr="006708CC">
        <w:tc>
          <w:tcPr>
            <w:tcW w:w="1648" w:type="pct"/>
          </w:tcPr>
          <w:p w14:paraId="7C58EC57" w14:textId="4281ADEB" w:rsidR="006708CC" w:rsidRPr="009847FE" w:rsidRDefault="006708CC" w:rsidP="009847FE">
            <w:pPr>
              <w:jc w:val="both"/>
            </w:pPr>
            <w:r w:rsidRPr="00B01372">
              <w:t xml:space="preserve">Please report any available factual evidence or supporting document illustrating the measures, achievements or challenges faced, relating to the promotion </w:t>
            </w:r>
            <w:r w:rsidR="00DE3F88" w:rsidRPr="00B01372">
              <w:t xml:space="preserve">and implementation </w:t>
            </w:r>
            <w:r w:rsidRPr="00B01372">
              <w:t xml:space="preserve">of </w:t>
            </w:r>
            <w:r w:rsidR="00DE3F88" w:rsidRPr="00B01372">
              <w:t>innovation procurement</w:t>
            </w:r>
            <w:r w:rsidRPr="00B01372">
              <w:t>.</w:t>
            </w:r>
            <w:r w:rsidR="00CC25C6" w:rsidRPr="009847FE">
              <w:rPr>
                <w:i/>
              </w:rPr>
              <w:t xml:space="preserve"> </w:t>
            </w:r>
          </w:p>
        </w:tc>
        <w:tc>
          <w:tcPr>
            <w:tcW w:w="3352" w:type="pct"/>
          </w:tcPr>
          <w:p w14:paraId="2CD34CE8" w14:textId="77777777" w:rsidR="006708CC" w:rsidRDefault="009847FE" w:rsidP="009847FE">
            <w:pPr>
              <w:pStyle w:val="ListParagraph"/>
              <w:numPr>
                <w:ilvl w:val="0"/>
                <w:numId w:val="44"/>
              </w:numPr>
              <w:jc w:val="both"/>
            </w:pPr>
            <w:r>
              <w:t xml:space="preserve">Training Material </w:t>
            </w:r>
          </w:p>
          <w:p w14:paraId="1F48A109" w14:textId="5C68BA0B" w:rsidR="009847FE" w:rsidRPr="009847FE" w:rsidRDefault="009847FE" w:rsidP="009847FE">
            <w:pPr>
              <w:pStyle w:val="ListParagraph"/>
              <w:numPr>
                <w:ilvl w:val="0"/>
                <w:numId w:val="44"/>
              </w:numPr>
              <w:jc w:val="both"/>
            </w:pPr>
            <w:r>
              <w:t>Circulars</w:t>
            </w:r>
          </w:p>
        </w:tc>
      </w:tr>
    </w:tbl>
    <w:p w14:paraId="34AB7F7C" w14:textId="77777777" w:rsidR="00306938" w:rsidRPr="00B01372" w:rsidRDefault="00306938" w:rsidP="00ED019E">
      <w:pPr>
        <w:pStyle w:val="ListParagraph"/>
      </w:pPr>
    </w:p>
    <w:p w14:paraId="34AB7F8A" w14:textId="77777777" w:rsidR="00DA6F44" w:rsidRPr="00B01372" w:rsidRDefault="00DA6F44" w:rsidP="00DA6F44">
      <w:pPr>
        <w:pStyle w:val="ListParagraph"/>
        <w:ind w:left="709"/>
        <w:jc w:val="both"/>
      </w:pPr>
    </w:p>
    <w:p w14:paraId="34AB7F96" w14:textId="77777777" w:rsidR="00C9307F" w:rsidRPr="00B01372" w:rsidRDefault="008F56CB" w:rsidP="00B12049">
      <w:pPr>
        <w:pStyle w:val="Heading2"/>
        <w:rPr>
          <w:rFonts w:asciiTheme="minorHAnsi" w:hAnsiTheme="minorHAnsi"/>
        </w:rPr>
      </w:pPr>
      <w:r w:rsidRPr="00B01372">
        <w:rPr>
          <w:rFonts w:asciiTheme="minorHAnsi" w:hAnsiTheme="minorHAnsi"/>
        </w:rPr>
        <w:t>Replicability</w:t>
      </w:r>
    </w:p>
    <w:p w14:paraId="50E7497D" w14:textId="4D180E4C" w:rsidR="00BC4C3D" w:rsidRPr="00B01372" w:rsidRDefault="00BC4C3D" w:rsidP="00BC4C3D">
      <w:pPr>
        <w:pStyle w:val="NoSpacing"/>
      </w:pPr>
    </w:p>
    <w:p w14:paraId="34AB7F98" w14:textId="476E80CB" w:rsidR="00BD4C3B" w:rsidRPr="00B01372" w:rsidRDefault="00BD4C3B" w:rsidP="00BD4C3B">
      <w:pPr>
        <w:pStyle w:val="NoSpacing"/>
      </w:pPr>
      <w:r w:rsidRPr="00B01372">
        <w:t xml:space="preserve">This section </w:t>
      </w:r>
      <w:r w:rsidR="00807AF4" w:rsidRPr="00B01372">
        <w:t xml:space="preserve">should provide </w:t>
      </w:r>
      <w:r w:rsidRPr="00B01372">
        <w:t>information allowing any</w:t>
      </w:r>
      <w:r w:rsidR="00807AF4" w:rsidRPr="00B01372">
        <w:t>one</w:t>
      </w:r>
      <w:r w:rsidRPr="00B01372">
        <w:t xml:space="preserve"> to fully replicate </w:t>
      </w:r>
      <w:r w:rsidR="00E06A5D" w:rsidRPr="00B01372">
        <w:t xml:space="preserve">the </w:t>
      </w:r>
      <w:r w:rsidR="00BC4C3D" w:rsidRPr="00B01372">
        <w:t xml:space="preserve">quantitative </w:t>
      </w:r>
      <w:r w:rsidR="00E06A5D" w:rsidRPr="00B01372">
        <w:t>results presented in the report.</w:t>
      </w:r>
    </w:p>
    <w:p w14:paraId="7E66C3B2" w14:textId="77777777" w:rsidR="00BC4C3D" w:rsidRPr="00B01372" w:rsidRDefault="00BC4C3D" w:rsidP="00BD4C3B">
      <w:pPr>
        <w:pStyle w:val="NoSpacing"/>
      </w:pPr>
    </w:p>
    <w:tbl>
      <w:tblPr>
        <w:tblStyle w:val="TableGrid"/>
        <w:tblW w:w="5000" w:type="pct"/>
        <w:tblLook w:val="04A0" w:firstRow="1" w:lastRow="0" w:firstColumn="1" w:lastColumn="0" w:noHBand="0" w:noVBand="1"/>
      </w:tblPr>
      <w:tblGrid>
        <w:gridCol w:w="4612"/>
        <w:gridCol w:w="9382"/>
      </w:tblGrid>
      <w:tr w:rsidR="00BC4C3D" w:rsidRPr="00B01372" w14:paraId="62E2165F" w14:textId="77777777" w:rsidTr="00F249E2">
        <w:tc>
          <w:tcPr>
            <w:tcW w:w="1648" w:type="pct"/>
          </w:tcPr>
          <w:p w14:paraId="70B6AF08" w14:textId="42ED951C" w:rsidR="00BC4C3D" w:rsidRPr="00B01372" w:rsidRDefault="00BC4C3D" w:rsidP="00BC4C3D">
            <w:pPr>
              <w:pStyle w:val="Heading3"/>
              <w:outlineLvl w:val="2"/>
              <w:rPr>
                <w:b w:val="0"/>
              </w:rPr>
            </w:pPr>
            <w:r w:rsidRPr="00B01372">
              <w:rPr>
                <w:b w:val="0"/>
              </w:rPr>
              <w:t>Links to datasets used to prepare the report</w:t>
            </w:r>
          </w:p>
          <w:p w14:paraId="6E36C894" w14:textId="77777777" w:rsidR="00BC4C3D" w:rsidRPr="00B01372" w:rsidRDefault="00BC4C3D" w:rsidP="00F249E2">
            <w:pPr>
              <w:pStyle w:val="Heading3"/>
              <w:outlineLvl w:val="2"/>
              <w:rPr>
                <w:b w:val="0"/>
              </w:rPr>
            </w:pPr>
          </w:p>
        </w:tc>
        <w:tc>
          <w:tcPr>
            <w:tcW w:w="3352" w:type="pct"/>
          </w:tcPr>
          <w:p w14:paraId="18E324D2" w14:textId="57BF72D0" w:rsidR="00C87D9F" w:rsidRDefault="00C87D9F" w:rsidP="001D0125">
            <w:pPr>
              <w:pStyle w:val="NoSpacing"/>
            </w:pPr>
            <w:hyperlink r:id="rId14" w:history="1">
              <w:r w:rsidRPr="00E81A13">
                <w:rPr>
                  <w:rStyle w:val="Hyperlink"/>
                </w:rPr>
                <w:t>http://www.treasury.gov.cy/treasury/treasurynew.nsf/page21_gr/page21_gr?OpenDocument</w:t>
              </w:r>
            </w:hyperlink>
          </w:p>
          <w:p w14:paraId="243145F0" w14:textId="45C2A9B2" w:rsidR="00C87D9F" w:rsidRDefault="00C87D9F" w:rsidP="001D0125">
            <w:pPr>
              <w:pStyle w:val="NoSpacing"/>
            </w:pPr>
          </w:p>
          <w:p w14:paraId="4F3025FF" w14:textId="708E48C1" w:rsidR="009847FE" w:rsidRDefault="00C87D9F" w:rsidP="001D0125">
            <w:pPr>
              <w:pStyle w:val="NoSpacing"/>
            </w:pPr>
            <w:hyperlink r:id="rId15" w:history="1">
              <w:r w:rsidRPr="00E81A13">
                <w:rPr>
                  <w:rStyle w:val="Hyperlink"/>
                </w:rPr>
                <w:t>www.eprocurement.gov.cy</w:t>
              </w:r>
            </w:hyperlink>
          </w:p>
          <w:p w14:paraId="46B9D9B7" w14:textId="10134AFB" w:rsidR="00C87D9F" w:rsidRPr="00B01372" w:rsidRDefault="00C87D9F" w:rsidP="001D0125">
            <w:pPr>
              <w:pStyle w:val="NoSpacing"/>
            </w:pPr>
          </w:p>
        </w:tc>
      </w:tr>
      <w:tr w:rsidR="00BC4C3D" w:rsidRPr="00B01372" w14:paraId="6CD926D1" w14:textId="77777777" w:rsidTr="00F249E2">
        <w:tc>
          <w:tcPr>
            <w:tcW w:w="1648" w:type="pct"/>
          </w:tcPr>
          <w:p w14:paraId="16813300" w14:textId="4B999A08" w:rsidR="00BC4C3D" w:rsidRPr="00B01372" w:rsidRDefault="002B0F2F" w:rsidP="002B0F2F">
            <w:pPr>
              <w:pStyle w:val="Heading3"/>
              <w:outlineLvl w:val="2"/>
              <w:rPr>
                <w:b w:val="0"/>
              </w:rPr>
            </w:pPr>
            <w:r w:rsidRPr="00B01372">
              <w:rPr>
                <w:b w:val="0"/>
              </w:rPr>
              <w:t>Files used to obtain the results from the datasets</w:t>
            </w:r>
          </w:p>
        </w:tc>
        <w:tc>
          <w:tcPr>
            <w:tcW w:w="3352" w:type="pct"/>
          </w:tcPr>
          <w:p w14:paraId="758E3D78" w14:textId="1B8E31B9" w:rsidR="00BC4C3D" w:rsidRPr="00B01372" w:rsidRDefault="00C87D9F" w:rsidP="002B0F2F">
            <w:r>
              <w:t>N/A</w:t>
            </w:r>
          </w:p>
        </w:tc>
      </w:tr>
    </w:tbl>
    <w:p w14:paraId="1399CAD0" w14:textId="77777777" w:rsidR="00BC4C3D" w:rsidRPr="00B01372" w:rsidRDefault="00BC4C3D" w:rsidP="00BD4C3B">
      <w:pPr>
        <w:pStyle w:val="NoSpacing"/>
      </w:pPr>
    </w:p>
    <w:p w14:paraId="34AB7F99" w14:textId="77777777" w:rsidR="00BD4C3B" w:rsidRPr="00B01372" w:rsidRDefault="00BD4C3B" w:rsidP="00BD4C3B">
      <w:pPr>
        <w:pStyle w:val="NoSpacing"/>
      </w:pPr>
    </w:p>
    <w:p w14:paraId="34AB7F9B" w14:textId="77777777" w:rsidR="008F56CB" w:rsidRPr="00B01372" w:rsidRDefault="008F56CB" w:rsidP="008F56CB">
      <w:pPr>
        <w:pStyle w:val="NoSpacing"/>
      </w:pPr>
    </w:p>
    <w:p w14:paraId="34AB7F9D" w14:textId="77777777" w:rsidR="00BA1A89" w:rsidRPr="00B01372" w:rsidRDefault="00BA1A89" w:rsidP="00482B9A">
      <w:pPr>
        <w:pStyle w:val="NoSpacing"/>
      </w:pPr>
    </w:p>
    <w:p w14:paraId="34AB7F9E" w14:textId="77777777" w:rsidR="00482B9A" w:rsidRPr="00B01372" w:rsidRDefault="00482B9A" w:rsidP="00566A07">
      <w:pPr>
        <w:pStyle w:val="NoSpacing"/>
      </w:pPr>
    </w:p>
    <w:p w14:paraId="34AB7FA1" w14:textId="69300213" w:rsidR="00F94ABC" w:rsidRPr="00B01372" w:rsidRDefault="00F94ABC" w:rsidP="00F94ABC"/>
    <w:p w14:paraId="34AB7FA2" w14:textId="77777777" w:rsidR="00F94ABC" w:rsidRPr="00B01372" w:rsidRDefault="00F94ABC" w:rsidP="00F94ABC">
      <w:pPr>
        <w:pStyle w:val="NoSpacing"/>
      </w:pPr>
      <w:r w:rsidRPr="00B01372">
        <w:br w:type="page"/>
      </w:r>
    </w:p>
    <w:p w14:paraId="34AB7FA3" w14:textId="77777777" w:rsidR="00C314EF" w:rsidRPr="00B01372" w:rsidRDefault="00C314EF" w:rsidP="00F94ABC"/>
    <w:p w14:paraId="34AB7FA4" w14:textId="77777777" w:rsidR="00F94ABC" w:rsidRPr="00B01372" w:rsidRDefault="00F94ABC" w:rsidP="00F94ABC">
      <w:pPr>
        <w:jc w:val="center"/>
        <w:rPr>
          <w:b/>
        </w:rPr>
      </w:pPr>
      <w:r w:rsidRPr="00B01372">
        <w:rPr>
          <w:b/>
          <w:u w:val="single"/>
        </w:rPr>
        <w:t>Annex I</w:t>
      </w:r>
      <w:r w:rsidRPr="00B01372">
        <w:rPr>
          <w:b/>
        </w:rPr>
        <w:t>:</w:t>
      </w:r>
    </w:p>
    <w:p w14:paraId="34AB7FA5" w14:textId="30E3369A" w:rsidR="003E56A6" w:rsidRPr="00B01372" w:rsidRDefault="003E56A6" w:rsidP="00F94ABC">
      <w:pPr>
        <w:jc w:val="center"/>
        <w:rPr>
          <w:b/>
        </w:rPr>
      </w:pPr>
      <w:r w:rsidRPr="00B01372">
        <w:rPr>
          <w:b/>
        </w:rPr>
        <w:t xml:space="preserve">Methodology </w:t>
      </w:r>
      <w:r w:rsidR="00C314EF" w:rsidRPr="00B01372">
        <w:rPr>
          <w:b/>
        </w:rPr>
        <w:t xml:space="preserve">for </w:t>
      </w:r>
      <w:r w:rsidRPr="00B01372">
        <w:rPr>
          <w:b/>
        </w:rPr>
        <w:t>estimati</w:t>
      </w:r>
      <w:r w:rsidR="008337F4" w:rsidRPr="00B01372">
        <w:rPr>
          <w:b/>
        </w:rPr>
        <w:t>ng</w:t>
      </w:r>
      <w:r w:rsidRPr="00B01372">
        <w:rPr>
          <w:b/>
        </w:rPr>
        <w:t xml:space="preserve"> </w:t>
      </w:r>
      <w:r w:rsidR="002F225B" w:rsidRPr="00B01372">
        <w:rPr>
          <w:b/>
        </w:rPr>
        <w:t>the value of</w:t>
      </w:r>
      <w:r w:rsidR="00F94ABC" w:rsidRPr="00B01372">
        <w:rPr>
          <w:b/>
        </w:rPr>
        <w:t xml:space="preserve"> </w:t>
      </w:r>
      <w:r w:rsidRPr="00B01372">
        <w:rPr>
          <w:b/>
        </w:rPr>
        <w:t>procurement which would have been covered by the directives if its value ha</w:t>
      </w:r>
      <w:r w:rsidR="00C314EF" w:rsidRPr="00B01372">
        <w:rPr>
          <w:b/>
        </w:rPr>
        <w:t>d</w:t>
      </w:r>
      <w:r w:rsidRPr="00B01372">
        <w:rPr>
          <w:b/>
        </w:rPr>
        <w:t xml:space="preserve"> exceeded the relevant thresholds</w:t>
      </w:r>
    </w:p>
    <w:p w14:paraId="34AB7FA6" w14:textId="77777777" w:rsidR="00D24317" w:rsidRPr="00B01372" w:rsidRDefault="00D24317" w:rsidP="003E56A6">
      <w:pPr>
        <w:pStyle w:val="Heading3"/>
      </w:pPr>
    </w:p>
    <w:p w14:paraId="34AB7FA7" w14:textId="3460CA6C" w:rsidR="003E56A6" w:rsidRPr="00B01372" w:rsidRDefault="00D24317" w:rsidP="003E56A6">
      <w:pPr>
        <w:pStyle w:val="Heading3"/>
      </w:pPr>
      <w:r w:rsidRPr="00B01372">
        <w:t xml:space="preserve">1. </w:t>
      </w:r>
      <w:r w:rsidR="003E56A6" w:rsidRPr="00B01372">
        <w:t xml:space="preserve">Classification and methodology </w:t>
      </w:r>
    </w:p>
    <w:p w14:paraId="34AB7FA8" w14:textId="77777777" w:rsidR="003E56A6" w:rsidRPr="00B01372" w:rsidRDefault="003E56A6" w:rsidP="003E56A6">
      <w:pPr>
        <w:pStyle w:val="NoSpacing"/>
        <w:ind w:left="720"/>
      </w:pPr>
    </w:p>
    <w:p w14:paraId="34AB7FA9" w14:textId="77777777" w:rsidR="003E56A6" w:rsidRPr="00B01372" w:rsidRDefault="003E56A6" w:rsidP="003E56A6">
      <w:pPr>
        <w:pStyle w:val="NoSpacing"/>
        <w:ind w:left="720"/>
      </w:pPr>
      <w:r w:rsidRPr="00B01372">
        <w:t>Indicate the basic characteristics of the methodology used by selecting from the options below. Description of the methodology is to be given in the subsequent section.</w:t>
      </w:r>
    </w:p>
    <w:p w14:paraId="34AB7FAA" w14:textId="77777777" w:rsidR="003E56A6" w:rsidRPr="00B01372" w:rsidRDefault="003E56A6" w:rsidP="003E56A6">
      <w:pPr>
        <w:pStyle w:val="NoSpacing"/>
        <w:ind w:left="360"/>
      </w:pPr>
    </w:p>
    <w:p w14:paraId="34AB7FAB" w14:textId="4A1EB066" w:rsidR="008540A7" w:rsidRPr="00B01372" w:rsidRDefault="00D24317" w:rsidP="00D24317">
      <w:pPr>
        <w:pStyle w:val="Heading4"/>
        <w:numPr>
          <w:ilvl w:val="0"/>
          <w:numId w:val="0"/>
        </w:numPr>
        <w:ind w:left="947"/>
      </w:pPr>
      <w:r w:rsidRPr="00B01372">
        <w:t xml:space="preserve">1.1. </w:t>
      </w:r>
      <w:r w:rsidR="003E56A6" w:rsidRPr="00B01372">
        <w:t>General approach:</w:t>
      </w:r>
      <w:r w:rsidR="008540A7" w:rsidRPr="00B01372">
        <w:br/>
      </w:r>
    </w:p>
    <w:p w14:paraId="34AB7FAC" w14:textId="77777777" w:rsidR="003E56A6" w:rsidRPr="00B01372" w:rsidRDefault="003E56A6" w:rsidP="00707DFB">
      <w:pPr>
        <w:pStyle w:val="NoSpacing"/>
        <w:numPr>
          <w:ilvl w:val="0"/>
          <w:numId w:val="1"/>
        </w:numPr>
      </w:pPr>
      <w:r w:rsidRPr="00B01372">
        <w:t>[data available under national publication requirements]</w:t>
      </w:r>
    </w:p>
    <w:p w14:paraId="34AB7FAD" w14:textId="77777777" w:rsidR="003E56A6" w:rsidRPr="00B01372" w:rsidRDefault="003E56A6" w:rsidP="00707DFB">
      <w:pPr>
        <w:pStyle w:val="NoSpacing"/>
        <w:numPr>
          <w:ilvl w:val="0"/>
          <w:numId w:val="1"/>
        </w:numPr>
      </w:pPr>
      <w:r w:rsidRPr="00B01372">
        <w:t>[sample-based estimates]</w:t>
      </w:r>
    </w:p>
    <w:p w14:paraId="34AB7FAE" w14:textId="77777777" w:rsidR="003E56A6" w:rsidRPr="00B01372" w:rsidRDefault="003E56A6" w:rsidP="00707DFB">
      <w:pPr>
        <w:pStyle w:val="NoSpacing"/>
        <w:numPr>
          <w:ilvl w:val="0"/>
          <w:numId w:val="1"/>
        </w:numPr>
      </w:pPr>
      <w:r w:rsidRPr="00B01372">
        <w:t>[combined]</w:t>
      </w:r>
    </w:p>
    <w:p w14:paraId="34AB7FAF" w14:textId="77777777" w:rsidR="003E56A6" w:rsidRPr="00B01372" w:rsidRDefault="003E56A6" w:rsidP="003E56A6">
      <w:pPr>
        <w:pStyle w:val="NoSpacing"/>
      </w:pPr>
    </w:p>
    <w:p w14:paraId="34AB7FB0" w14:textId="77777777" w:rsidR="003E56A6" w:rsidRPr="00B01372" w:rsidRDefault="003E56A6" w:rsidP="008540A7">
      <w:pPr>
        <w:pStyle w:val="NoSpacing"/>
        <w:ind w:left="792"/>
        <w:jc w:val="both"/>
      </w:pPr>
      <w:r w:rsidRPr="00B01372">
        <w:t xml:space="preserve">Please note that in our opinion using existing administrative data is preferable, as it implies both lower administrative burden (no additional data collection is necessary) and higher data quality. </w:t>
      </w:r>
    </w:p>
    <w:p w14:paraId="34AB7FB1" w14:textId="77777777" w:rsidR="003E56A6" w:rsidRPr="00B01372" w:rsidRDefault="003E56A6" w:rsidP="008540A7">
      <w:pPr>
        <w:pStyle w:val="NoSpacing"/>
        <w:ind w:left="792"/>
        <w:jc w:val="both"/>
      </w:pPr>
    </w:p>
    <w:p w14:paraId="34AB7FB2" w14:textId="77777777" w:rsidR="003E56A6" w:rsidRPr="00B01372" w:rsidRDefault="003E56A6" w:rsidP="008540A7">
      <w:pPr>
        <w:pStyle w:val="NoSpacing"/>
        <w:ind w:left="792"/>
        <w:jc w:val="both"/>
      </w:pPr>
      <w:r w:rsidRPr="00B01372">
        <w:t xml:space="preserve">If a sampling approach is taken, both the source of the sample and the sampling methodology, provided in the following subsection, must be able to withstand careful scrutiny. This ensures that the estimate is representative of the whole Member State. </w:t>
      </w:r>
    </w:p>
    <w:p w14:paraId="34AB7FB3" w14:textId="77777777" w:rsidR="003E56A6" w:rsidRPr="00B01372" w:rsidRDefault="003E56A6" w:rsidP="008540A7">
      <w:pPr>
        <w:pStyle w:val="NoSpacing"/>
        <w:ind w:left="792"/>
        <w:jc w:val="both"/>
      </w:pPr>
    </w:p>
    <w:p w14:paraId="34AB7FB4" w14:textId="3A32227B" w:rsidR="003E56A6" w:rsidRPr="00B01372" w:rsidRDefault="00D24317" w:rsidP="00D24317">
      <w:pPr>
        <w:pStyle w:val="Heading4"/>
        <w:numPr>
          <w:ilvl w:val="0"/>
          <w:numId w:val="0"/>
        </w:numPr>
        <w:ind w:left="947"/>
      </w:pPr>
      <w:r w:rsidRPr="00B01372">
        <w:t xml:space="preserve">1.2. </w:t>
      </w:r>
      <w:r w:rsidR="003E56A6" w:rsidRPr="00B01372">
        <w:t>Source of data:</w:t>
      </w:r>
    </w:p>
    <w:p w14:paraId="34AB7FB5" w14:textId="77777777" w:rsidR="008540A7" w:rsidRPr="00B01372" w:rsidRDefault="008540A7" w:rsidP="008540A7"/>
    <w:tbl>
      <w:tblPr>
        <w:tblStyle w:val="TableGrid"/>
        <w:tblW w:w="0" w:type="auto"/>
        <w:tblInd w:w="360" w:type="dxa"/>
        <w:tblLook w:val="04A0" w:firstRow="1" w:lastRow="0" w:firstColumn="1" w:lastColumn="0" w:noHBand="0" w:noVBand="1"/>
      </w:tblPr>
      <w:tblGrid>
        <w:gridCol w:w="2976"/>
        <w:gridCol w:w="2976"/>
        <w:gridCol w:w="2976"/>
      </w:tblGrid>
      <w:tr w:rsidR="003E56A6" w:rsidRPr="00B01372" w14:paraId="34AB7FBA" w14:textId="77777777" w:rsidTr="003E56A6">
        <w:tc>
          <w:tcPr>
            <w:tcW w:w="2976" w:type="dxa"/>
            <w:tcBorders>
              <w:tl2br w:val="single" w:sz="4" w:space="0" w:color="auto"/>
            </w:tcBorders>
          </w:tcPr>
          <w:p w14:paraId="34AB7FB6" w14:textId="77777777" w:rsidR="003E56A6" w:rsidRPr="00B01372" w:rsidRDefault="003E56A6" w:rsidP="009F486E">
            <w:pPr>
              <w:pStyle w:val="NoSpacing"/>
              <w:ind w:firstLine="1908"/>
            </w:pPr>
            <w:r w:rsidRPr="00B01372">
              <w:t xml:space="preserve">     Scope:</w:t>
            </w:r>
          </w:p>
          <w:p w14:paraId="34AB7FB7" w14:textId="77777777" w:rsidR="003E56A6" w:rsidRPr="00B01372" w:rsidRDefault="003E56A6" w:rsidP="009F486E">
            <w:pPr>
              <w:pStyle w:val="NoSpacing"/>
              <w:ind w:right="1"/>
            </w:pPr>
            <w:r w:rsidRPr="00B01372">
              <w:t>Source of data:</w:t>
            </w:r>
          </w:p>
        </w:tc>
        <w:tc>
          <w:tcPr>
            <w:tcW w:w="2976" w:type="dxa"/>
          </w:tcPr>
          <w:p w14:paraId="34AB7FB8" w14:textId="77777777" w:rsidR="003E56A6" w:rsidRPr="00B01372" w:rsidRDefault="003E56A6" w:rsidP="009F486E">
            <w:pPr>
              <w:pStyle w:val="NoSpacing"/>
            </w:pPr>
            <w:r w:rsidRPr="00B01372">
              <w:t>above national publication thresholds [</w:t>
            </w:r>
            <w:r w:rsidRPr="00B01372">
              <w:sym w:font="Wingdings" w:char="F0FC"/>
            </w:r>
            <w:r w:rsidRPr="00B01372">
              <w:t>]</w:t>
            </w:r>
          </w:p>
        </w:tc>
        <w:tc>
          <w:tcPr>
            <w:tcW w:w="2976" w:type="dxa"/>
          </w:tcPr>
          <w:p w14:paraId="34AB7FB9" w14:textId="77777777" w:rsidR="003E56A6" w:rsidRPr="00B01372" w:rsidRDefault="003E56A6" w:rsidP="009F486E">
            <w:pPr>
              <w:pStyle w:val="NoSpacing"/>
            </w:pPr>
            <w:r w:rsidRPr="00B01372">
              <w:t>below national publication thresholds [</w:t>
            </w:r>
            <w:r w:rsidRPr="00B01372">
              <w:sym w:font="Wingdings" w:char="F0FC"/>
            </w:r>
            <w:r w:rsidRPr="00B01372">
              <w:t>]</w:t>
            </w:r>
          </w:p>
        </w:tc>
      </w:tr>
      <w:tr w:rsidR="003E56A6" w:rsidRPr="00B01372" w14:paraId="34AB7FBE" w14:textId="77777777" w:rsidTr="003E56A6">
        <w:tc>
          <w:tcPr>
            <w:tcW w:w="2976" w:type="dxa"/>
          </w:tcPr>
          <w:p w14:paraId="34AB7FBB" w14:textId="77777777" w:rsidR="003E56A6" w:rsidRPr="00B01372" w:rsidRDefault="003E56A6" w:rsidP="009F486E">
            <w:pPr>
              <w:pStyle w:val="NoSpacing"/>
            </w:pPr>
            <w:r w:rsidRPr="00B01372">
              <w:t>[e-notification platforms]</w:t>
            </w:r>
          </w:p>
        </w:tc>
        <w:tc>
          <w:tcPr>
            <w:tcW w:w="2976" w:type="dxa"/>
          </w:tcPr>
          <w:p w14:paraId="34AB7FBC" w14:textId="77777777" w:rsidR="003E56A6" w:rsidRPr="00B01372" w:rsidRDefault="003E56A6" w:rsidP="009F486E">
            <w:pPr>
              <w:pStyle w:val="NoSpacing"/>
              <w:jc w:val="center"/>
            </w:pPr>
          </w:p>
        </w:tc>
        <w:tc>
          <w:tcPr>
            <w:tcW w:w="2976" w:type="dxa"/>
          </w:tcPr>
          <w:p w14:paraId="34AB7FBD" w14:textId="77777777" w:rsidR="003E56A6" w:rsidRPr="00B01372" w:rsidRDefault="003E56A6" w:rsidP="009F486E">
            <w:pPr>
              <w:pStyle w:val="NoSpacing"/>
              <w:jc w:val="center"/>
            </w:pPr>
          </w:p>
        </w:tc>
      </w:tr>
      <w:tr w:rsidR="003E56A6" w:rsidRPr="00B01372" w14:paraId="34AB7FC2" w14:textId="77777777" w:rsidTr="003E56A6">
        <w:tc>
          <w:tcPr>
            <w:tcW w:w="2976" w:type="dxa"/>
          </w:tcPr>
          <w:p w14:paraId="34AB7FBF" w14:textId="77777777" w:rsidR="003E56A6" w:rsidRPr="00B01372" w:rsidRDefault="003E56A6" w:rsidP="009F486E">
            <w:pPr>
              <w:pStyle w:val="NoSpacing"/>
            </w:pPr>
            <w:r w:rsidRPr="00B01372">
              <w:t>[e-submission platforms]</w:t>
            </w:r>
          </w:p>
        </w:tc>
        <w:tc>
          <w:tcPr>
            <w:tcW w:w="2976" w:type="dxa"/>
          </w:tcPr>
          <w:p w14:paraId="34AB7FC0" w14:textId="77777777" w:rsidR="003E56A6" w:rsidRPr="00B01372" w:rsidRDefault="003E56A6" w:rsidP="009F486E">
            <w:pPr>
              <w:pStyle w:val="NoSpacing"/>
              <w:jc w:val="center"/>
            </w:pPr>
          </w:p>
        </w:tc>
        <w:tc>
          <w:tcPr>
            <w:tcW w:w="2976" w:type="dxa"/>
          </w:tcPr>
          <w:p w14:paraId="34AB7FC1" w14:textId="77777777" w:rsidR="003E56A6" w:rsidRPr="00B01372" w:rsidRDefault="003E56A6" w:rsidP="009F486E">
            <w:pPr>
              <w:pStyle w:val="NoSpacing"/>
              <w:jc w:val="center"/>
            </w:pPr>
          </w:p>
        </w:tc>
      </w:tr>
      <w:tr w:rsidR="003E56A6" w:rsidRPr="00B01372" w14:paraId="34AB7FC6" w14:textId="77777777" w:rsidTr="003E56A6">
        <w:tc>
          <w:tcPr>
            <w:tcW w:w="2976" w:type="dxa"/>
          </w:tcPr>
          <w:p w14:paraId="34AB7FC3" w14:textId="77777777" w:rsidR="003E56A6" w:rsidRPr="00B01372" w:rsidRDefault="003E56A6" w:rsidP="009F486E">
            <w:pPr>
              <w:pStyle w:val="NoSpacing"/>
            </w:pPr>
            <w:r w:rsidRPr="00B01372">
              <w:t>[invoices]</w:t>
            </w:r>
          </w:p>
        </w:tc>
        <w:tc>
          <w:tcPr>
            <w:tcW w:w="2976" w:type="dxa"/>
          </w:tcPr>
          <w:p w14:paraId="34AB7FC4" w14:textId="77777777" w:rsidR="003E56A6" w:rsidRPr="00B01372" w:rsidRDefault="003E56A6" w:rsidP="009F486E">
            <w:pPr>
              <w:pStyle w:val="NoSpacing"/>
              <w:jc w:val="center"/>
            </w:pPr>
          </w:p>
        </w:tc>
        <w:tc>
          <w:tcPr>
            <w:tcW w:w="2976" w:type="dxa"/>
          </w:tcPr>
          <w:p w14:paraId="34AB7FC5" w14:textId="77777777" w:rsidR="003E56A6" w:rsidRPr="00B01372" w:rsidRDefault="003E56A6" w:rsidP="009F486E">
            <w:pPr>
              <w:pStyle w:val="NoSpacing"/>
              <w:jc w:val="center"/>
            </w:pPr>
          </w:p>
        </w:tc>
      </w:tr>
      <w:tr w:rsidR="003E56A6" w:rsidRPr="00B01372" w14:paraId="34AB7FCA" w14:textId="77777777" w:rsidTr="003E56A6">
        <w:tc>
          <w:tcPr>
            <w:tcW w:w="2976" w:type="dxa"/>
          </w:tcPr>
          <w:p w14:paraId="34AB7FC7" w14:textId="77777777" w:rsidR="003E56A6" w:rsidRPr="00B01372" w:rsidRDefault="003E56A6" w:rsidP="009F486E">
            <w:pPr>
              <w:pStyle w:val="NoSpacing"/>
            </w:pPr>
            <w:r w:rsidRPr="00B01372">
              <w:t>[budgets]</w:t>
            </w:r>
          </w:p>
        </w:tc>
        <w:tc>
          <w:tcPr>
            <w:tcW w:w="2976" w:type="dxa"/>
          </w:tcPr>
          <w:p w14:paraId="34AB7FC8" w14:textId="77777777" w:rsidR="003E56A6" w:rsidRPr="00B01372" w:rsidRDefault="003E56A6" w:rsidP="009F486E">
            <w:pPr>
              <w:pStyle w:val="NoSpacing"/>
              <w:jc w:val="center"/>
            </w:pPr>
          </w:p>
        </w:tc>
        <w:tc>
          <w:tcPr>
            <w:tcW w:w="2976" w:type="dxa"/>
          </w:tcPr>
          <w:p w14:paraId="34AB7FC9" w14:textId="77777777" w:rsidR="003E56A6" w:rsidRPr="00B01372" w:rsidRDefault="003E56A6" w:rsidP="009F486E">
            <w:pPr>
              <w:pStyle w:val="NoSpacing"/>
              <w:jc w:val="center"/>
            </w:pPr>
          </w:p>
        </w:tc>
      </w:tr>
      <w:tr w:rsidR="003E56A6" w:rsidRPr="00B01372" w14:paraId="34AB7FCE" w14:textId="77777777" w:rsidTr="003E56A6">
        <w:tc>
          <w:tcPr>
            <w:tcW w:w="2976" w:type="dxa"/>
          </w:tcPr>
          <w:p w14:paraId="34AB7FCB" w14:textId="77777777" w:rsidR="003E56A6" w:rsidRPr="00B01372" w:rsidRDefault="003E56A6" w:rsidP="009F486E">
            <w:pPr>
              <w:pStyle w:val="NoSpacing"/>
            </w:pPr>
            <w:r w:rsidRPr="00B01372">
              <w:lastRenderedPageBreak/>
              <w:t>[other]</w:t>
            </w:r>
          </w:p>
        </w:tc>
        <w:tc>
          <w:tcPr>
            <w:tcW w:w="2976" w:type="dxa"/>
          </w:tcPr>
          <w:p w14:paraId="34AB7FCC" w14:textId="77777777" w:rsidR="003E56A6" w:rsidRPr="00B01372" w:rsidRDefault="003E56A6" w:rsidP="009F486E">
            <w:pPr>
              <w:pStyle w:val="NoSpacing"/>
              <w:jc w:val="center"/>
            </w:pPr>
          </w:p>
        </w:tc>
        <w:tc>
          <w:tcPr>
            <w:tcW w:w="2976" w:type="dxa"/>
          </w:tcPr>
          <w:p w14:paraId="34AB7FCD" w14:textId="77777777" w:rsidR="003E56A6" w:rsidRPr="00B01372" w:rsidRDefault="003E56A6" w:rsidP="009F486E">
            <w:pPr>
              <w:pStyle w:val="NoSpacing"/>
              <w:jc w:val="center"/>
            </w:pPr>
          </w:p>
        </w:tc>
      </w:tr>
    </w:tbl>
    <w:p w14:paraId="34AB7FCF" w14:textId="77777777" w:rsidR="003E56A6" w:rsidRPr="00B01372" w:rsidRDefault="003E56A6" w:rsidP="003E56A6">
      <w:pPr>
        <w:pStyle w:val="NoSpacing"/>
        <w:ind w:left="360"/>
      </w:pPr>
    </w:p>
    <w:p w14:paraId="34AB7FD0" w14:textId="296FBF0A" w:rsidR="003E56A6" w:rsidRPr="00B01372" w:rsidRDefault="00D24317" w:rsidP="003E56A6">
      <w:pPr>
        <w:pStyle w:val="Heading3"/>
      </w:pPr>
      <w:r w:rsidRPr="00B01372">
        <w:t xml:space="preserve">2. </w:t>
      </w:r>
      <w:r w:rsidR="003E56A6" w:rsidRPr="00B01372">
        <w:t xml:space="preserve">Methodology description  </w:t>
      </w:r>
    </w:p>
    <w:p w14:paraId="34AB7FD1" w14:textId="77777777" w:rsidR="003E56A6" w:rsidRPr="00B01372" w:rsidRDefault="003E56A6" w:rsidP="003E56A6">
      <w:pPr>
        <w:pStyle w:val="NoSpacing"/>
        <w:ind w:left="360"/>
      </w:pPr>
    </w:p>
    <w:p w14:paraId="34AB8022" w14:textId="70DE3948" w:rsidR="003E56A6" w:rsidRDefault="003E56A6" w:rsidP="0086391B">
      <w:pPr>
        <w:pStyle w:val="NoSpacing"/>
        <w:ind w:left="792"/>
        <w:jc w:val="both"/>
      </w:pPr>
      <w:r w:rsidRPr="00B01372">
        <w:t>Indicate, amongst others, information on the sources of data, approaches taken to deal with possible missing data and erroneous data, and representativity of the sample used (if a sample-based approach was taken). If methodology is different depending on the thresholds or source of data, please clearly indicate this, including the relevant thresholds.</w:t>
      </w:r>
    </w:p>
    <w:p w14:paraId="184871A6" w14:textId="2E3CB5C3" w:rsidR="00B01DFB" w:rsidRDefault="00B01DFB" w:rsidP="0086391B">
      <w:pPr>
        <w:pStyle w:val="NoSpacing"/>
        <w:ind w:left="792"/>
        <w:jc w:val="both"/>
      </w:pPr>
    </w:p>
    <w:p w14:paraId="6A15C61D" w14:textId="605E434A" w:rsidR="00B01DFB" w:rsidRDefault="00B01DFB" w:rsidP="0086391B">
      <w:pPr>
        <w:pStyle w:val="NoSpacing"/>
        <w:ind w:left="792"/>
        <w:jc w:val="both"/>
      </w:pPr>
    </w:p>
    <w:p w14:paraId="1B485849" w14:textId="416F994C" w:rsidR="00B01DFB" w:rsidRDefault="00B01DFB" w:rsidP="0086391B">
      <w:pPr>
        <w:pStyle w:val="NoSpacing"/>
        <w:ind w:left="792"/>
        <w:jc w:val="both"/>
      </w:pPr>
    </w:p>
    <w:p w14:paraId="7158DBF6" w14:textId="78FB6706" w:rsidR="00B01DFB" w:rsidRDefault="00B01DFB" w:rsidP="0086391B">
      <w:pPr>
        <w:pStyle w:val="NoSpacing"/>
        <w:ind w:left="792"/>
        <w:jc w:val="both"/>
      </w:pPr>
    </w:p>
    <w:p w14:paraId="5FAC385B" w14:textId="6CFAD98A" w:rsidR="00B01DFB" w:rsidRDefault="00B01DFB" w:rsidP="0086391B">
      <w:pPr>
        <w:pStyle w:val="NoSpacing"/>
        <w:ind w:left="792"/>
        <w:jc w:val="both"/>
      </w:pPr>
    </w:p>
    <w:p w14:paraId="6E788535" w14:textId="209B28AF" w:rsidR="00B01DFB" w:rsidRDefault="00B01DFB" w:rsidP="0086391B">
      <w:pPr>
        <w:pStyle w:val="NoSpacing"/>
        <w:ind w:left="792"/>
        <w:jc w:val="both"/>
      </w:pPr>
    </w:p>
    <w:p w14:paraId="7B7480BC" w14:textId="3F7BB138" w:rsidR="00B01DFB" w:rsidRDefault="00B01DFB" w:rsidP="0086391B">
      <w:pPr>
        <w:pStyle w:val="NoSpacing"/>
        <w:ind w:left="792"/>
        <w:jc w:val="both"/>
      </w:pPr>
    </w:p>
    <w:p w14:paraId="074A942E" w14:textId="53234C3A" w:rsidR="00B01DFB" w:rsidRDefault="00B01DFB" w:rsidP="0086391B">
      <w:pPr>
        <w:pStyle w:val="NoSpacing"/>
        <w:ind w:left="792"/>
        <w:jc w:val="both"/>
      </w:pPr>
    </w:p>
    <w:p w14:paraId="0C302AA9" w14:textId="2EE143DA" w:rsidR="00B01DFB" w:rsidRDefault="00B01DFB" w:rsidP="0086391B">
      <w:pPr>
        <w:pStyle w:val="NoSpacing"/>
        <w:ind w:left="792"/>
        <w:jc w:val="both"/>
      </w:pPr>
    </w:p>
    <w:p w14:paraId="12F4CD5A" w14:textId="5476B04A" w:rsidR="00B01DFB" w:rsidRDefault="00B01DFB" w:rsidP="0086391B">
      <w:pPr>
        <w:pStyle w:val="NoSpacing"/>
        <w:ind w:left="792"/>
        <w:jc w:val="both"/>
      </w:pPr>
    </w:p>
    <w:p w14:paraId="6855E25E" w14:textId="41DA2809" w:rsidR="00B01DFB" w:rsidRDefault="00B01DFB" w:rsidP="0086391B">
      <w:pPr>
        <w:pStyle w:val="NoSpacing"/>
        <w:ind w:left="792"/>
        <w:jc w:val="both"/>
      </w:pPr>
    </w:p>
    <w:p w14:paraId="693EACB8" w14:textId="24750BAD" w:rsidR="00B01DFB" w:rsidRDefault="00B01DFB" w:rsidP="0086391B">
      <w:pPr>
        <w:pStyle w:val="NoSpacing"/>
        <w:ind w:left="792"/>
        <w:jc w:val="both"/>
      </w:pPr>
    </w:p>
    <w:p w14:paraId="394DB6DA" w14:textId="756C9C37" w:rsidR="00B01DFB" w:rsidRDefault="00B01DFB" w:rsidP="0086391B">
      <w:pPr>
        <w:pStyle w:val="NoSpacing"/>
        <w:ind w:left="792"/>
        <w:jc w:val="both"/>
      </w:pPr>
    </w:p>
    <w:p w14:paraId="62B1CDB5" w14:textId="5A2D8FF7" w:rsidR="00B01DFB" w:rsidRDefault="00B01DFB" w:rsidP="0086391B">
      <w:pPr>
        <w:pStyle w:val="NoSpacing"/>
        <w:ind w:left="792"/>
        <w:jc w:val="both"/>
      </w:pPr>
    </w:p>
    <w:p w14:paraId="20F8D032" w14:textId="0457E35D" w:rsidR="00B01DFB" w:rsidRDefault="00B01DFB" w:rsidP="0086391B">
      <w:pPr>
        <w:pStyle w:val="NoSpacing"/>
        <w:ind w:left="792"/>
        <w:jc w:val="both"/>
      </w:pPr>
    </w:p>
    <w:p w14:paraId="3ABA080E" w14:textId="0DD3CD71" w:rsidR="00B01DFB" w:rsidRDefault="00B01DFB" w:rsidP="0086391B">
      <w:pPr>
        <w:pStyle w:val="NoSpacing"/>
        <w:ind w:left="792"/>
        <w:jc w:val="both"/>
      </w:pPr>
    </w:p>
    <w:p w14:paraId="117D1F0D" w14:textId="081CF5A4" w:rsidR="00B01DFB" w:rsidRDefault="00B01DFB" w:rsidP="0086391B">
      <w:pPr>
        <w:pStyle w:val="NoSpacing"/>
        <w:ind w:left="792"/>
        <w:jc w:val="both"/>
      </w:pPr>
    </w:p>
    <w:p w14:paraId="5A0845BB" w14:textId="0A67F6C5" w:rsidR="00B01DFB" w:rsidRDefault="00B01DFB" w:rsidP="0086391B">
      <w:pPr>
        <w:pStyle w:val="NoSpacing"/>
        <w:ind w:left="792"/>
        <w:jc w:val="both"/>
      </w:pPr>
    </w:p>
    <w:p w14:paraId="5172A341" w14:textId="35EDDD97" w:rsidR="00B01DFB" w:rsidRDefault="00B01DFB" w:rsidP="0086391B">
      <w:pPr>
        <w:pStyle w:val="NoSpacing"/>
        <w:ind w:left="792"/>
        <w:jc w:val="both"/>
      </w:pPr>
    </w:p>
    <w:p w14:paraId="015AAFB1" w14:textId="0F12D7DF" w:rsidR="00B01DFB" w:rsidRDefault="00B01DFB" w:rsidP="0086391B">
      <w:pPr>
        <w:pStyle w:val="NoSpacing"/>
        <w:ind w:left="792"/>
        <w:jc w:val="both"/>
      </w:pPr>
    </w:p>
    <w:p w14:paraId="60F02CD3" w14:textId="78F48370" w:rsidR="00B01DFB" w:rsidRDefault="00B01DFB" w:rsidP="0086391B">
      <w:pPr>
        <w:pStyle w:val="NoSpacing"/>
        <w:ind w:left="792"/>
        <w:jc w:val="both"/>
      </w:pPr>
    </w:p>
    <w:p w14:paraId="57634DAE" w14:textId="17A7FEEE" w:rsidR="00B01DFB" w:rsidRDefault="00B01DFB" w:rsidP="0086391B">
      <w:pPr>
        <w:pStyle w:val="NoSpacing"/>
        <w:ind w:left="792"/>
        <w:jc w:val="both"/>
      </w:pPr>
    </w:p>
    <w:p w14:paraId="22EBA776" w14:textId="458419C8" w:rsidR="00B01DFB" w:rsidRDefault="00B01DFB" w:rsidP="0086391B">
      <w:pPr>
        <w:pStyle w:val="NoSpacing"/>
        <w:ind w:left="792"/>
        <w:jc w:val="both"/>
      </w:pPr>
    </w:p>
    <w:p w14:paraId="77DDE52B" w14:textId="16ADA8D2" w:rsidR="00B01DFB" w:rsidRDefault="00B01DFB" w:rsidP="0086391B">
      <w:pPr>
        <w:pStyle w:val="NoSpacing"/>
        <w:ind w:left="792"/>
        <w:jc w:val="both"/>
      </w:pPr>
    </w:p>
    <w:p w14:paraId="1F32400E" w14:textId="65D022AA" w:rsidR="00B01DFB" w:rsidRDefault="00B01DFB" w:rsidP="0086391B">
      <w:pPr>
        <w:pStyle w:val="NoSpacing"/>
        <w:ind w:left="792"/>
        <w:jc w:val="both"/>
      </w:pPr>
    </w:p>
    <w:p w14:paraId="7CCEBBD4" w14:textId="2208BFAF" w:rsidR="00B01DFB" w:rsidRDefault="00B01DFB" w:rsidP="0086391B">
      <w:pPr>
        <w:pStyle w:val="NoSpacing"/>
        <w:ind w:left="792"/>
        <w:jc w:val="both"/>
      </w:pPr>
    </w:p>
    <w:p w14:paraId="7194AE1D" w14:textId="77777777" w:rsidR="00B01DFB" w:rsidRDefault="00B01DFB" w:rsidP="00B01DFB">
      <w:pPr>
        <w:pStyle w:val="Heading1"/>
        <w:rPr>
          <w:lang w:val="en-US"/>
        </w:rPr>
      </w:pPr>
      <w:r>
        <w:rPr>
          <w:lang w:val="en-US"/>
        </w:rPr>
        <w:lastRenderedPageBreak/>
        <w:t>Annex 1</w:t>
      </w:r>
    </w:p>
    <w:p w14:paraId="6FE86FB7" w14:textId="77777777" w:rsidR="00B01DFB" w:rsidRDefault="00B01DFB" w:rsidP="00B01DFB">
      <w:pPr>
        <w:rPr>
          <w:lang w:val="en-US"/>
        </w:rPr>
      </w:pPr>
    </w:p>
    <w:p w14:paraId="4312AFF3" w14:textId="77777777" w:rsidR="00B01DFB" w:rsidRDefault="00B01DFB" w:rsidP="00B01DFB">
      <w:pPr>
        <w:spacing w:after="0" w:line="360" w:lineRule="auto"/>
        <w:rPr>
          <w:rFonts w:ascii="Arial" w:hAnsi="Arial" w:cs="Arial"/>
          <w:sz w:val="24"/>
          <w:szCs w:val="24"/>
          <w:u w:val="single"/>
          <w:lang w:val="en-US"/>
        </w:rPr>
      </w:pPr>
      <w:r w:rsidRPr="009B48A2">
        <w:rPr>
          <w:rFonts w:ascii="Arial" w:hAnsi="Arial" w:cs="Arial"/>
          <w:sz w:val="24"/>
          <w:szCs w:val="24"/>
          <w:u w:val="single"/>
          <w:lang w:val="en-US"/>
        </w:rPr>
        <w:t>Methodology for estimating the value of procurement which would have been covered by the directives if its value had exceeded the relevant thresholds</w:t>
      </w:r>
    </w:p>
    <w:p w14:paraId="3EF4C97B" w14:textId="77777777" w:rsidR="00B01DFB" w:rsidRDefault="00B01DFB" w:rsidP="00B01DFB">
      <w:pPr>
        <w:spacing w:after="0" w:line="360" w:lineRule="auto"/>
        <w:rPr>
          <w:rFonts w:ascii="Arial" w:hAnsi="Arial" w:cs="Arial"/>
          <w:sz w:val="24"/>
          <w:szCs w:val="24"/>
          <w:u w:val="single"/>
          <w:lang w:val="en-US"/>
        </w:rPr>
      </w:pPr>
    </w:p>
    <w:p w14:paraId="4FE2431B" w14:textId="77777777" w:rsidR="00B01DFB" w:rsidRPr="008D17B3" w:rsidRDefault="00B01DFB" w:rsidP="00B01DFB">
      <w:pPr>
        <w:spacing w:after="0" w:line="360" w:lineRule="auto"/>
        <w:rPr>
          <w:rFonts w:ascii="Arial" w:hAnsi="Arial" w:cs="Arial"/>
          <w:sz w:val="24"/>
          <w:szCs w:val="24"/>
          <w:u w:val="single"/>
          <w:lang w:val="en-US"/>
        </w:rPr>
      </w:pPr>
      <w:r w:rsidRPr="008D17B3">
        <w:rPr>
          <w:rFonts w:ascii="Arial" w:hAnsi="Arial" w:cs="Arial"/>
          <w:sz w:val="24"/>
          <w:szCs w:val="24"/>
          <w:u w:val="single"/>
          <w:lang w:val="en-US"/>
        </w:rPr>
        <w:t>Classification and methodology</w:t>
      </w:r>
    </w:p>
    <w:p w14:paraId="36355154" w14:textId="77777777" w:rsidR="00B01DFB" w:rsidRDefault="00B01DFB" w:rsidP="00B01DFB">
      <w:pPr>
        <w:spacing w:after="0" w:line="360" w:lineRule="auto"/>
        <w:rPr>
          <w:rFonts w:ascii="Arial" w:hAnsi="Arial" w:cs="Arial"/>
          <w:sz w:val="24"/>
          <w:szCs w:val="24"/>
          <w:lang w:val="en-US"/>
        </w:rPr>
      </w:pPr>
      <w:r>
        <w:rPr>
          <w:rFonts w:ascii="Arial" w:hAnsi="Arial" w:cs="Arial"/>
          <w:sz w:val="24"/>
          <w:szCs w:val="24"/>
          <w:lang w:val="en-US"/>
        </w:rPr>
        <w:t xml:space="preserve">The total value of the procurement procedures is calculated using the awarded value for each contract which was inserted by the Contracting Authority in the eprocurement system following the award of the contract. The same figure should be reported in the Contact Award Notice (CAN) published in the eProcurement system, in cases where publication of an award notice is involved.  </w:t>
      </w:r>
    </w:p>
    <w:p w14:paraId="367DDA49" w14:textId="77777777" w:rsidR="00B01DFB" w:rsidRDefault="00B01DFB" w:rsidP="00B01DFB">
      <w:pPr>
        <w:spacing w:after="0" w:line="360" w:lineRule="auto"/>
        <w:rPr>
          <w:rFonts w:ascii="Arial" w:hAnsi="Arial" w:cs="Arial"/>
          <w:sz w:val="24"/>
          <w:szCs w:val="24"/>
          <w:lang w:val="en-US"/>
        </w:rPr>
      </w:pPr>
    </w:p>
    <w:p w14:paraId="152BE309" w14:textId="77777777" w:rsidR="00B01DFB" w:rsidRDefault="00B01DFB" w:rsidP="00B01DFB">
      <w:pPr>
        <w:spacing w:after="0" w:line="360" w:lineRule="auto"/>
        <w:rPr>
          <w:rFonts w:ascii="Arial" w:hAnsi="Arial" w:cs="Arial"/>
          <w:sz w:val="24"/>
          <w:szCs w:val="24"/>
          <w:lang w:val="en-US"/>
        </w:rPr>
      </w:pPr>
      <w:r>
        <w:rPr>
          <w:rFonts w:ascii="Arial" w:hAnsi="Arial" w:cs="Arial"/>
          <w:sz w:val="24"/>
          <w:szCs w:val="24"/>
          <w:lang w:val="en-US"/>
        </w:rPr>
        <w:t xml:space="preserve">The above methodology is based on the data already available in the eProcurement platform and consist of published data under national publication requirements as well as data imported in the platform by Contracting Authority regarding simplified procedures where no publication of a notice is required. All contracts whose awarded value is above 2000 Euro, are supposed to be posted in the platform according to a Contracting Authority’s national obligation. </w:t>
      </w:r>
    </w:p>
    <w:p w14:paraId="4FB192CE" w14:textId="77777777" w:rsidR="00B01DFB" w:rsidRDefault="00B01DFB" w:rsidP="00B01DFB">
      <w:pPr>
        <w:spacing w:after="0" w:line="360" w:lineRule="auto"/>
        <w:rPr>
          <w:rFonts w:ascii="Arial" w:hAnsi="Arial" w:cs="Arial"/>
          <w:sz w:val="24"/>
          <w:szCs w:val="24"/>
          <w:lang w:val="en-US"/>
        </w:rPr>
      </w:pPr>
    </w:p>
    <w:p w14:paraId="6A59CE10" w14:textId="77777777" w:rsidR="00B01DFB" w:rsidRDefault="00B01DFB" w:rsidP="00B01DFB">
      <w:pPr>
        <w:spacing w:after="0" w:line="360" w:lineRule="auto"/>
        <w:rPr>
          <w:rFonts w:ascii="Arial" w:hAnsi="Arial" w:cs="Arial"/>
          <w:sz w:val="24"/>
          <w:szCs w:val="24"/>
          <w:lang w:val="en-US"/>
        </w:rPr>
      </w:pPr>
      <w:r>
        <w:rPr>
          <w:rFonts w:ascii="Arial" w:hAnsi="Arial" w:cs="Arial"/>
          <w:sz w:val="24"/>
          <w:szCs w:val="24"/>
          <w:lang w:val="en-US"/>
        </w:rPr>
        <w:t>eProcurement Platform is the only source of data used for the collection of the information needed. The Platform is an e-notification and also an e-submission platform and it is obligatory to be used for all Contracting authorities in Cyprus for procedures both below and above thresholds.</w:t>
      </w:r>
    </w:p>
    <w:p w14:paraId="124324DD" w14:textId="77777777" w:rsidR="00B01DFB" w:rsidRDefault="00B01DFB" w:rsidP="00B01DFB">
      <w:pPr>
        <w:spacing w:after="0" w:line="360" w:lineRule="auto"/>
        <w:rPr>
          <w:rFonts w:ascii="Arial" w:hAnsi="Arial" w:cs="Arial"/>
          <w:sz w:val="24"/>
          <w:szCs w:val="24"/>
          <w:lang w:val="en-US"/>
        </w:rPr>
      </w:pPr>
    </w:p>
    <w:p w14:paraId="44AE663B" w14:textId="75E731A1" w:rsidR="00B01DFB" w:rsidRPr="001E2657" w:rsidRDefault="00B01DFB" w:rsidP="001E2657">
      <w:pPr>
        <w:spacing w:after="0" w:line="360" w:lineRule="auto"/>
        <w:rPr>
          <w:rFonts w:ascii="Arial" w:hAnsi="Arial" w:cs="Arial"/>
          <w:sz w:val="24"/>
          <w:szCs w:val="24"/>
          <w:lang w:val="en-US"/>
        </w:rPr>
      </w:pPr>
      <w:r>
        <w:rPr>
          <w:rFonts w:ascii="Arial" w:hAnsi="Arial" w:cs="Arial"/>
          <w:sz w:val="24"/>
          <w:szCs w:val="24"/>
          <w:lang w:val="en-US"/>
        </w:rPr>
        <w:t>A contract notice is not possible to be published using any other means of publication either in European Publication Office nor in Cyprus Gazette. Therefore a comprehensive list of all the publications is kept in the platform and occasionally a sample check is performed to ensure that the results of the procedures are also published in the platform and in publication offices</w:t>
      </w:r>
    </w:p>
    <w:sectPr w:rsidR="00B01DFB" w:rsidRPr="001E2657" w:rsidSect="00A47B20">
      <w:footerReference w:type="defaul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C2007" w14:textId="77777777" w:rsidR="00414FB0" w:rsidRDefault="00414FB0" w:rsidP="00E05B18">
      <w:pPr>
        <w:spacing w:after="0" w:line="240" w:lineRule="auto"/>
      </w:pPr>
      <w:r>
        <w:separator/>
      </w:r>
    </w:p>
  </w:endnote>
  <w:endnote w:type="continuationSeparator" w:id="0">
    <w:p w14:paraId="314D41D7" w14:textId="77777777" w:rsidR="00414FB0" w:rsidRDefault="00414FB0" w:rsidP="00E05B18">
      <w:pPr>
        <w:spacing w:after="0" w:line="240" w:lineRule="auto"/>
      </w:pPr>
      <w:r>
        <w:continuationSeparator/>
      </w:r>
    </w:p>
  </w:endnote>
  <w:endnote w:type="continuationNotice" w:id="1">
    <w:p w14:paraId="68ACEC3B" w14:textId="77777777" w:rsidR="00414FB0" w:rsidRDefault="00414F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32570"/>
      <w:docPartObj>
        <w:docPartGallery w:val="Page Numbers (Bottom of Page)"/>
        <w:docPartUnique/>
      </w:docPartObj>
    </w:sdtPr>
    <w:sdtEndPr>
      <w:rPr>
        <w:noProof/>
      </w:rPr>
    </w:sdtEndPr>
    <w:sdtContent>
      <w:p w14:paraId="34AB802E" w14:textId="77777777" w:rsidR="00C87D9F" w:rsidRDefault="00C87D9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4AB802F" w14:textId="77777777" w:rsidR="00C87D9F" w:rsidRDefault="00C87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7576E" w14:textId="77777777" w:rsidR="00414FB0" w:rsidRDefault="00414FB0" w:rsidP="00E05B18">
      <w:pPr>
        <w:spacing w:after="0" w:line="240" w:lineRule="auto"/>
      </w:pPr>
      <w:r>
        <w:separator/>
      </w:r>
    </w:p>
  </w:footnote>
  <w:footnote w:type="continuationSeparator" w:id="0">
    <w:p w14:paraId="3F3E4F69" w14:textId="77777777" w:rsidR="00414FB0" w:rsidRDefault="00414FB0" w:rsidP="00E05B18">
      <w:pPr>
        <w:spacing w:after="0" w:line="240" w:lineRule="auto"/>
      </w:pPr>
      <w:r>
        <w:continuationSeparator/>
      </w:r>
    </w:p>
  </w:footnote>
  <w:footnote w:type="continuationNotice" w:id="1">
    <w:p w14:paraId="4C5C186F" w14:textId="77777777" w:rsidR="00414FB0" w:rsidRDefault="00414FB0">
      <w:pPr>
        <w:spacing w:after="0" w:line="240" w:lineRule="auto"/>
      </w:pPr>
    </w:p>
  </w:footnote>
  <w:footnote w:id="2">
    <w:p w14:paraId="2E47C6B0" w14:textId="77777777" w:rsidR="00C87D9F" w:rsidRPr="002E657A" w:rsidRDefault="00C87D9F" w:rsidP="00994F58">
      <w:pPr>
        <w:pStyle w:val="FootnoteText"/>
      </w:pPr>
      <w:r>
        <w:rPr>
          <w:rStyle w:val="FootnoteReference"/>
        </w:rPr>
        <w:footnoteRef/>
      </w:r>
      <w:r>
        <w:t xml:space="preserve"> </w:t>
      </w:r>
      <w:r w:rsidRPr="002E657A">
        <w:t>Commission Communication (COM (2008) 400) "Public procurem</w:t>
      </w:r>
      <w:r>
        <w:t>ent for a better environment"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4157"/>
    <w:multiLevelType w:val="hybridMultilevel"/>
    <w:tmpl w:val="F416B7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7700996"/>
    <w:multiLevelType w:val="hybridMultilevel"/>
    <w:tmpl w:val="C33A0E14"/>
    <w:lvl w:ilvl="0" w:tplc="08090001">
      <w:start w:val="1"/>
      <w:numFmt w:val="bullet"/>
      <w:lvlText w:val=""/>
      <w:lvlJc w:val="left"/>
      <w:pPr>
        <w:ind w:left="1342" w:hanging="360"/>
      </w:pPr>
      <w:rPr>
        <w:rFonts w:ascii="Symbol" w:hAnsi="Symbol" w:hint="default"/>
      </w:rPr>
    </w:lvl>
    <w:lvl w:ilvl="1" w:tplc="08090003" w:tentative="1">
      <w:start w:val="1"/>
      <w:numFmt w:val="bullet"/>
      <w:lvlText w:val="o"/>
      <w:lvlJc w:val="left"/>
      <w:pPr>
        <w:ind w:left="2062" w:hanging="360"/>
      </w:pPr>
      <w:rPr>
        <w:rFonts w:ascii="Courier New" w:hAnsi="Courier New" w:cs="Courier New" w:hint="default"/>
      </w:rPr>
    </w:lvl>
    <w:lvl w:ilvl="2" w:tplc="08090005" w:tentative="1">
      <w:start w:val="1"/>
      <w:numFmt w:val="bullet"/>
      <w:lvlText w:val=""/>
      <w:lvlJc w:val="left"/>
      <w:pPr>
        <w:ind w:left="2782" w:hanging="360"/>
      </w:pPr>
      <w:rPr>
        <w:rFonts w:ascii="Wingdings" w:hAnsi="Wingdings" w:hint="default"/>
      </w:rPr>
    </w:lvl>
    <w:lvl w:ilvl="3" w:tplc="08090001" w:tentative="1">
      <w:start w:val="1"/>
      <w:numFmt w:val="bullet"/>
      <w:lvlText w:val=""/>
      <w:lvlJc w:val="left"/>
      <w:pPr>
        <w:ind w:left="3502" w:hanging="360"/>
      </w:pPr>
      <w:rPr>
        <w:rFonts w:ascii="Symbol" w:hAnsi="Symbol" w:hint="default"/>
      </w:rPr>
    </w:lvl>
    <w:lvl w:ilvl="4" w:tplc="08090003" w:tentative="1">
      <w:start w:val="1"/>
      <w:numFmt w:val="bullet"/>
      <w:lvlText w:val="o"/>
      <w:lvlJc w:val="left"/>
      <w:pPr>
        <w:ind w:left="4222" w:hanging="360"/>
      </w:pPr>
      <w:rPr>
        <w:rFonts w:ascii="Courier New" w:hAnsi="Courier New" w:cs="Courier New" w:hint="default"/>
      </w:rPr>
    </w:lvl>
    <w:lvl w:ilvl="5" w:tplc="08090005" w:tentative="1">
      <w:start w:val="1"/>
      <w:numFmt w:val="bullet"/>
      <w:lvlText w:val=""/>
      <w:lvlJc w:val="left"/>
      <w:pPr>
        <w:ind w:left="4942" w:hanging="360"/>
      </w:pPr>
      <w:rPr>
        <w:rFonts w:ascii="Wingdings" w:hAnsi="Wingdings" w:hint="default"/>
      </w:rPr>
    </w:lvl>
    <w:lvl w:ilvl="6" w:tplc="08090001" w:tentative="1">
      <w:start w:val="1"/>
      <w:numFmt w:val="bullet"/>
      <w:lvlText w:val=""/>
      <w:lvlJc w:val="left"/>
      <w:pPr>
        <w:ind w:left="5662" w:hanging="360"/>
      </w:pPr>
      <w:rPr>
        <w:rFonts w:ascii="Symbol" w:hAnsi="Symbol" w:hint="default"/>
      </w:rPr>
    </w:lvl>
    <w:lvl w:ilvl="7" w:tplc="08090003" w:tentative="1">
      <w:start w:val="1"/>
      <w:numFmt w:val="bullet"/>
      <w:lvlText w:val="o"/>
      <w:lvlJc w:val="left"/>
      <w:pPr>
        <w:ind w:left="6382" w:hanging="360"/>
      </w:pPr>
      <w:rPr>
        <w:rFonts w:ascii="Courier New" w:hAnsi="Courier New" w:cs="Courier New" w:hint="default"/>
      </w:rPr>
    </w:lvl>
    <w:lvl w:ilvl="8" w:tplc="08090005" w:tentative="1">
      <w:start w:val="1"/>
      <w:numFmt w:val="bullet"/>
      <w:lvlText w:val=""/>
      <w:lvlJc w:val="left"/>
      <w:pPr>
        <w:ind w:left="7102" w:hanging="360"/>
      </w:pPr>
      <w:rPr>
        <w:rFonts w:ascii="Wingdings" w:hAnsi="Wingdings" w:hint="default"/>
      </w:rPr>
    </w:lvl>
  </w:abstractNum>
  <w:abstractNum w:abstractNumId="2" w15:restartNumberingAfterBreak="0">
    <w:nsid w:val="0805633C"/>
    <w:multiLevelType w:val="hybridMultilevel"/>
    <w:tmpl w:val="5BA2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11773"/>
    <w:multiLevelType w:val="hybridMultilevel"/>
    <w:tmpl w:val="BD4A64A8"/>
    <w:lvl w:ilvl="0" w:tplc="B19AE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62107"/>
    <w:multiLevelType w:val="hybridMultilevel"/>
    <w:tmpl w:val="69205AC8"/>
    <w:lvl w:ilvl="0" w:tplc="04D6BEDC">
      <w:start w:val="1"/>
      <w:numFmt w:val="lowerRoman"/>
      <w:lvlText w:val="(%1)"/>
      <w:lvlJc w:val="left"/>
      <w:pPr>
        <w:ind w:left="2563" w:hanging="720"/>
      </w:pPr>
      <w:rPr>
        <w:rFonts w:hint="default"/>
        <w:b w:val="0"/>
      </w:rPr>
    </w:lvl>
    <w:lvl w:ilvl="1" w:tplc="04080019" w:tentative="1">
      <w:start w:val="1"/>
      <w:numFmt w:val="lowerLetter"/>
      <w:lvlText w:val="%2."/>
      <w:lvlJc w:val="left"/>
      <w:pPr>
        <w:ind w:left="2923" w:hanging="360"/>
      </w:pPr>
    </w:lvl>
    <w:lvl w:ilvl="2" w:tplc="0408001B" w:tentative="1">
      <w:start w:val="1"/>
      <w:numFmt w:val="lowerRoman"/>
      <w:lvlText w:val="%3."/>
      <w:lvlJc w:val="right"/>
      <w:pPr>
        <w:ind w:left="3643" w:hanging="180"/>
      </w:pPr>
    </w:lvl>
    <w:lvl w:ilvl="3" w:tplc="0408000F" w:tentative="1">
      <w:start w:val="1"/>
      <w:numFmt w:val="decimal"/>
      <w:lvlText w:val="%4."/>
      <w:lvlJc w:val="left"/>
      <w:pPr>
        <w:ind w:left="4363" w:hanging="360"/>
      </w:pPr>
    </w:lvl>
    <w:lvl w:ilvl="4" w:tplc="04080019" w:tentative="1">
      <w:start w:val="1"/>
      <w:numFmt w:val="lowerLetter"/>
      <w:lvlText w:val="%5."/>
      <w:lvlJc w:val="left"/>
      <w:pPr>
        <w:ind w:left="5083" w:hanging="360"/>
      </w:pPr>
    </w:lvl>
    <w:lvl w:ilvl="5" w:tplc="0408001B" w:tentative="1">
      <w:start w:val="1"/>
      <w:numFmt w:val="lowerRoman"/>
      <w:lvlText w:val="%6."/>
      <w:lvlJc w:val="right"/>
      <w:pPr>
        <w:ind w:left="5803" w:hanging="180"/>
      </w:pPr>
    </w:lvl>
    <w:lvl w:ilvl="6" w:tplc="0408000F" w:tentative="1">
      <w:start w:val="1"/>
      <w:numFmt w:val="decimal"/>
      <w:lvlText w:val="%7."/>
      <w:lvlJc w:val="left"/>
      <w:pPr>
        <w:ind w:left="6523" w:hanging="360"/>
      </w:pPr>
    </w:lvl>
    <w:lvl w:ilvl="7" w:tplc="04080019" w:tentative="1">
      <w:start w:val="1"/>
      <w:numFmt w:val="lowerLetter"/>
      <w:lvlText w:val="%8."/>
      <w:lvlJc w:val="left"/>
      <w:pPr>
        <w:ind w:left="7243" w:hanging="360"/>
      </w:pPr>
    </w:lvl>
    <w:lvl w:ilvl="8" w:tplc="0408001B" w:tentative="1">
      <w:start w:val="1"/>
      <w:numFmt w:val="lowerRoman"/>
      <w:lvlText w:val="%9."/>
      <w:lvlJc w:val="right"/>
      <w:pPr>
        <w:ind w:left="7963" w:hanging="180"/>
      </w:pPr>
    </w:lvl>
  </w:abstractNum>
  <w:abstractNum w:abstractNumId="5" w15:restartNumberingAfterBreak="0">
    <w:nsid w:val="0C2A4ECD"/>
    <w:multiLevelType w:val="hybridMultilevel"/>
    <w:tmpl w:val="878202DC"/>
    <w:lvl w:ilvl="0" w:tplc="D108BC9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94F8F"/>
    <w:multiLevelType w:val="multilevel"/>
    <w:tmpl w:val="D5743C9A"/>
    <w:lvl w:ilvl="0">
      <w:start w:val="1"/>
      <w:numFmt w:val="decimal"/>
      <w:lvlText w:val="%1."/>
      <w:lvlJc w:val="left"/>
      <w:pPr>
        <w:ind w:left="492" w:firstLine="76"/>
      </w:pPr>
      <w:rPr>
        <w:rFonts w:hint="default"/>
      </w:rPr>
    </w:lvl>
    <w:lvl w:ilvl="1">
      <w:start w:val="1"/>
      <w:numFmt w:val="decimal"/>
      <w:lvlText w:val="%1.%2"/>
      <w:lvlJc w:val="left"/>
      <w:pPr>
        <w:ind w:left="622" w:firstLine="51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851" w:firstLine="9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567" w:firstLine="1953"/>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B906CE"/>
    <w:multiLevelType w:val="hybridMultilevel"/>
    <w:tmpl w:val="AB7072E6"/>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8" w15:restartNumberingAfterBreak="0">
    <w:nsid w:val="1A1852DF"/>
    <w:multiLevelType w:val="hybridMultilevel"/>
    <w:tmpl w:val="DD04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22A8C"/>
    <w:multiLevelType w:val="hybridMultilevel"/>
    <w:tmpl w:val="E38C2D7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 w15:restartNumberingAfterBreak="0">
    <w:nsid w:val="22455E86"/>
    <w:multiLevelType w:val="hybridMultilevel"/>
    <w:tmpl w:val="2CCE3C26"/>
    <w:lvl w:ilvl="0" w:tplc="AC8E7252">
      <w:start w:val="1"/>
      <w:numFmt w:val="decimal"/>
      <w:lvlText w:val="%1."/>
      <w:lvlJc w:val="left"/>
      <w:pPr>
        <w:ind w:left="1230" w:hanging="360"/>
      </w:p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1" w15:restartNumberingAfterBreak="0">
    <w:nsid w:val="23291B96"/>
    <w:multiLevelType w:val="hybridMultilevel"/>
    <w:tmpl w:val="DD7446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47012F9"/>
    <w:multiLevelType w:val="hybridMultilevel"/>
    <w:tmpl w:val="F94A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371AB"/>
    <w:multiLevelType w:val="hybridMultilevel"/>
    <w:tmpl w:val="F530EF7A"/>
    <w:lvl w:ilvl="0" w:tplc="08090001">
      <w:start w:val="1"/>
      <w:numFmt w:val="bullet"/>
      <w:lvlText w:val=""/>
      <w:lvlJc w:val="left"/>
      <w:pPr>
        <w:ind w:left="4782" w:hanging="360"/>
      </w:pPr>
      <w:rPr>
        <w:rFonts w:ascii="Symbol" w:hAnsi="Symbol" w:hint="default"/>
      </w:rPr>
    </w:lvl>
    <w:lvl w:ilvl="1" w:tplc="08090003">
      <w:start w:val="1"/>
      <w:numFmt w:val="bullet"/>
      <w:lvlText w:val="o"/>
      <w:lvlJc w:val="left"/>
      <w:pPr>
        <w:ind w:left="5502" w:hanging="360"/>
      </w:pPr>
      <w:rPr>
        <w:rFonts w:ascii="Courier New" w:hAnsi="Courier New" w:cs="Courier New" w:hint="default"/>
      </w:rPr>
    </w:lvl>
    <w:lvl w:ilvl="2" w:tplc="08090005" w:tentative="1">
      <w:start w:val="1"/>
      <w:numFmt w:val="bullet"/>
      <w:lvlText w:val=""/>
      <w:lvlJc w:val="left"/>
      <w:pPr>
        <w:ind w:left="6222" w:hanging="360"/>
      </w:pPr>
      <w:rPr>
        <w:rFonts w:ascii="Wingdings" w:hAnsi="Wingdings" w:hint="default"/>
      </w:rPr>
    </w:lvl>
    <w:lvl w:ilvl="3" w:tplc="08090001" w:tentative="1">
      <w:start w:val="1"/>
      <w:numFmt w:val="bullet"/>
      <w:lvlText w:val=""/>
      <w:lvlJc w:val="left"/>
      <w:pPr>
        <w:ind w:left="6942" w:hanging="360"/>
      </w:pPr>
      <w:rPr>
        <w:rFonts w:ascii="Symbol" w:hAnsi="Symbol" w:hint="default"/>
      </w:rPr>
    </w:lvl>
    <w:lvl w:ilvl="4" w:tplc="08090003" w:tentative="1">
      <w:start w:val="1"/>
      <w:numFmt w:val="bullet"/>
      <w:lvlText w:val="o"/>
      <w:lvlJc w:val="left"/>
      <w:pPr>
        <w:ind w:left="7662" w:hanging="360"/>
      </w:pPr>
      <w:rPr>
        <w:rFonts w:ascii="Courier New" w:hAnsi="Courier New" w:cs="Courier New" w:hint="default"/>
      </w:rPr>
    </w:lvl>
    <w:lvl w:ilvl="5" w:tplc="08090005" w:tentative="1">
      <w:start w:val="1"/>
      <w:numFmt w:val="bullet"/>
      <w:lvlText w:val=""/>
      <w:lvlJc w:val="left"/>
      <w:pPr>
        <w:ind w:left="8382" w:hanging="360"/>
      </w:pPr>
      <w:rPr>
        <w:rFonts w:ascii="Wingdings" w:hAnsi="Wingdings" w:hint="default"/>
      </w:rPr>
    </w:lvl>
    <w:lvl w:ilvl="6" w:tplc="08090001" w:tentative="1">
      <w:start w:val="1"/>
      <w:numFmt w:val="bullet"/>
      <w:lvlText w:val=""/>
      <w:lvlJc w:val="left"/>
      <w:pPr>
        <w:ind w:left="9102" w:hanging="360"/>
      </w:pPr>
      <w:rPr>
        <w:rFonts w:ascii="Symbol" w:hAnsi="Symbol" w:hint="default"/>
      </w:rPr>
    </w:lvl>
    <w:lvl w:ilvl="7" w:tplc="08090003" w:tentative="1">
      <w:start w:val="1"/>
      <w:numFmt w:val="bullet"/>
      <w:lvlText w:val="o"/>
      <w:lvlJc w:val="left"/>
      <w:pPr>
        <w:ind w:left="9822" w:hanging="360"/>
      </w:pPr>
      <w:rPr>
        <w:rFonts w:ascii="Courier New" w:hAnsi="Courier New" w:cs="Courier New" w:hint="default"/>
      </w:rPr>
    </w:lvl>
    <w:lvl w:ilvl="8" w:tplc="08090005" w:tentative="1">
      <w:start w:val="1"/>
      <w:numFmt w:val="bullet"/>
      <w:lvlText w:val=""/>
      <w:lvlJc w:val="left"/>
      <w:pPr>
        <w:ind w:left="10542" w:hanging="360"/>
      </w:pPr>
      <w:rPr>
        <w:rFonts w:ascii="Wingdings" w:hAnsi="Wingdings" w:hint="default"/>
      </w:rPr>
    </w:lvl>
  </w:abstractNum>
  <w:abstractNum w:abstractNumId="14" w15:restartNumberingAfterBreak="0">
    <w:nsid w:val="2A037F75"/>
    <w:multiLevelType w:val="hybridMultilevel"/>
    <w:tmpl w:val="AF946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44319F"/>
    <w:multiLevelType w:val="hybridMultilevel"/>
    <w:tmpl w:val="D7A6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B7E34"/>
    <w:multiLevelType w:val="hybridMultilevel"/>
    <w:tmpl w:val="CCB26A54"/>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D4443A9"/>
    <w:multiLevelType w:val="hybridMultilevel"/>
    <w:tmpl w:val="E5269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E511176"/>
    <w:multiLevelType w:val="hybridMultilevel"/>
    <w:tmpl w:val="057C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57287"/>
    <w:multiLevelType w:val="hybridMultilevel"/>
    <w:tmpl w:val="D8F00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B53D35"/>
    <w:multiLevelType w:val="hybridMultilevel"/>
    <w:tmpl w:val="AB3A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3A12D7"/>
    <w:multiLevelType w:val="hybridMultilevel"/>
    <w:tmpl w:val="A818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F62C07"/>
    <w:multiLevelType w:val="hybridMultilevel"/>
    <w:tmpl w:val="9A344C1A"/>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3" w15:restartNumberingAfterBreak="0">
    <w:nsid w:val="4E845E50"/>
    <w:multiLevelType w:val="hybridMultilevel"/>
    <w:tmpl w:val="EAA8B3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3C038ED"/>
    <w:multiLevelType w:val="hybridMultilevel"/>
    <w:tmpl w:val="68E22326"/>
    <w:lvl w:ilvl="0" w:tplc="08090017">
      <w:start w:val="1"/>
      <w:numFmt w:val="lowerLetter"/>
      <w:lvlText w:val="%1)"/>
      <w:lvlJc w:val="left"/>
      <w:pPr>
        <w:ind w:left="1512" w:hanging="360"/>
      </w:pPr>
      <w:rPr>
        <w:rFont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5" w15:restartNumberingAfterBreak="0">
    <w:nsid w:val="54B908C3"/>
    <w:multiLevelType w:val="hybridMultilevel"/>
    <w:tmpl w:val="74C2B5C4"/>
    <w:lvl w:ilvl="0" w:tplc="E5D0161A">
      <w:start w:val="1"/>
      <w:numFmt w:val="bullet"/>
      <w:lvlText w:val=""/>
      <w:lvlJc w:val="left"/>
      <w:pPr>
        <w:ind w:left="786"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57383A47"/>
    <w:multiLevelType w:val="hybridMultilevel"/>
    <w:tmpl w:val="E96C5152"/>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7" w15:restartNumberingAfterBreak="0">
    <w:nsid w:val="5A455D53"/>
    <w:multiLevelType w:val="hybridMultilevel"/>
    <w:tmpl w:val="170EBDB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615E2735"/>
    <w:multiLevelType w:val="hybridMultilevel"/>
    <w:tmpl w:val="BA2474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4363A97"/>
    <w:multiLevelType w:val="hybridMultilevel"/>
    <w:tmpl w:val="D5CEDFAE"/>
    <w:lvl w:ilvl="0" w:tplc="B19AE5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72F3A3B"/>
    <w:multiLevelType w:val="hybridMultilevel"/>
    <w:tmpl w:val="2D184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C66F96"/>
    <w:multiLevelType w:val="multilevel"/>
    <w:tmpl w:val="3C7CBF6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8BD58A0"/>
    <w:multiLevelType w:val="hybridMultilevel"/>
    <w:tmpl w:val="72467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A7D27"/>
    <w:multiLevelType w:val="hybridMultilevel"/>
    <w:tmpl w:val="4E86FD02"/>
    <w:lvl w:ilvl="0" w:tplc="19226DA6">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817BA3"/>
    <w:multiLevelType w:val="hybridMultilevel"/>
    <w:tmpl w:val="A818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AE123A"/>
    <w:multiLevelType w:val="hybridMultilevel"/>
    <w:tmpl w:val="6B4A8C5E"/>
    <w:lvl w:ilvl="0" w:tplc="90049668">
      <w:start w:val="1"/>
      <w:numFmt w:val="upperRoman"/>
      <w:pStyle w:val="Heading2"/>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50C1E66"/>
    <w:multiLevelType w:val="hybridMultilevel"/>
    <w:tmpl w:val="C712A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FC4181"/>
    <w:multiLevelType w:val="hybridMultilevel"/>
    <w:tmpl w:val="55181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37690C"/>
    <w:multiLevelType w:val="hybridMultilevel"/>
    <w:tmpl w:val="6DEA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E462ED"/>
    <w:multiLevelType w:val="hybridMultilevel"/>
    <w:tmpl w:val="CD1C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4D1973"/>
    <w:multiLevelType w:val="hybridMultilevel"/>
    <w:tmpl w:val="791ED8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7448F8"/>
    <w:multiLevelType w:val="hybridMultilevel"/>
    <w:tmpl w:val="C9C8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6"/>
  </w:num>
  <w:num w:numId="4">
    <w:abstractNumId w:val="13"/>
  </w:num>
  <w:num w:numId="5">
    <w:abstractNumId w:val="23"/>
  </w:num>
  <w:num w:numId="6">
    <w:abstractNumId w:val="25"/>
  </w:num>
  <w:num w:numId="7">
    <w:abstractNumId w:val="14"/>
  </w:num>
  <w:num w:numId="8">
    <w:abstractNumId w:val="34"/>
  </w:num>
  <w:num w:numId="9">
    <w:abstractNumId w:val="3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0"/>
  </w:num>
  <w:num w:numId="13">
    <w:abstractNumId w:val="37"/>
  </w:num>
  <w:num w:numId="14">
    <w:abstractNumId w:val="16"/>
  </w:num>
  <w:num w:numId="15">
    <w:abstractNumId w:val="26"/>
  </w:num>
  <w:num w:numId="16">
    <w:abstractNumId w:val="22"/>
  </w:num>
  <w:num w:numId="17">
    <w:abstractNumId w:val="1"/>
  </w:num>
  <w:num w:numId="18">
    <w:abstractNumId w:val="9"/>
  </w:num>
  <w:num w:numId="19">
    <w:abstractNumId w:val="17"/>
  </w:num>
  <w:num w:numId="20">
    <w:abstractNumId w:val="12"/>
  </w:num>
  <w:num w:numId="21">
    <w:abstractNumId w:val="18"/>
  </w:num>
  <w:num w:numId="22">
    <w:abstractNumId w:val="11"/>
  </w:num>
  <w:num w:numId="23">
    <w:abstractNumId w:val="15"/>
  </w:num>
  <w:num w:numId="24">
    <w:abstractNumId w:val="41"/>
  </w:num>
  <w:num w:numId="25">
    <w:abstractNumId w:val="36"/>
  </w:num>
  <w:num w:numId="26">
    <w:abstractNumId w:val="31"/>
  </w:num>
  <w:num w:numId="27">
    <w:abstractNumId w:val="40"/>
  </w:num>
  <w:num w:numId="28">
    <w:abstractNumId w:val="19"/>
  </w:num>
  <w:num w:numId="29">
    <w:abstractNumId w:val="32"/>
  </w:num>
  <w:num w:numId="30">
    <w:abstractNumId w:val="33"/>
  </w:num>
  <w:num w:numId="31">
    <w:abstractNumId w:val="10"/>
  </w:num>
  <w:num w:numId="32">
    <w:abstractNumId w:val="35"/>
  </w:num>
  <w:num w:numId="33">
    <w:abstractNumId w:val="5"/>
  </w:num>
  <w:num w:numId="34">
    <w:abstractNumId w:val="35"/>
  </w:num>
  <w:num w:numId="35">
    <w:abstractNumId w:val="35"/>
  </w:num>
  <w:num w:numId="36">
    <w:abstractNumId w:val="39"/>
  </w:num>
  <w:num w:numId="37">
    <w:abstractNumId w:val="3"/>
  </w:num>
  <w:num w:numId="38">
    <w:abstractNumId w:val="29"/>
  </w:num>
  <w:num w:numId="39">
    <w:abstractNumId w:val="21"/>
  </w:num>
  <w:num w:numId="40">
    <w:abstractNumId w:val="30"/>
  </w:num>
  <w:num w:numId="41">
    <w:abstractNumId w:val="27"/>
  </w:num>
  <w:num w:numId="42">
    <w:abstractNumId w:val="4"/>
  </w:num>
  <w:num w:numId="43">
    <w:abstractNumId w:val="7"/>
  </w:num>
  <w:num w:numId="44">
    <w:abstractNumId w:val="20"/>
  </w:num>
  <w:num w:numId="45">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83A80"/>
    <w:rsid w:val="000007BA"/>
    <w:rsid w:val="0000330E"/>
    <w:rsid w:val="000078A4"/>
    <w:rsid w:val="000114AC"/>
    <w:rsid w:val="00012443"/>
    <w:rsid w:val="00012BE4"/>
    <w:rsid w:val="00012E23"/>
    <w:rsid w:val="00013C6A"/>
    <w:rsid w:val="00015883"/>
    <w:rsid w:val="00017130"/>
    <w:rsid w:val="00020C6F"/>
    <w:rsid w:val="000224D9"/>
    <w:rsid w:val="000225BF"/>
    <w:rsid w:val="000231D4"/>
    <w:rsid w:val="00024F85"/>
    <w:rsid w:val="00026CC2"/>
    <w:rsid w:val="000314DD"/>
    <w:rsid w:val="00033543"/>
    <w:rsid w:val="00035954"/>
    <w:rsid w:val="00035FA6"/>
    <w:rsid w:val="000368C3"/>
    <w:rsid w:val="00043EE0"/>
    <w:rsid w:val="0004473C"/>
    <w:rsid w:val="00044CAF"/>
    <w:rsid w:val="00044D2C"/>
    <w:rsid w:val="00046AD1"/>
    <w:rsid w:val="00047441"/>
    <w:rsid w:val="000561EF"/>
    <w:rsid w:val="00056317"/>
    <w:rsid w:val="00056B0B"/>
    <w:rsid w:val="00057A35"/>
    <w:rsid w:val="00057BFC"/>
    <w:rsid w:val="00061269"/>
    <w:rsid w:val="000614B3"/>
    <w:rsid w:val="00062364"/>
    <w:rsid w:val="000624FD"/>
    <w:rsid w:val="00063D60"/>
    <w:rsid w:val="00064F6C"/>
    <w:rsid w:val="00065290"/>
    <w:rsid w:val="00066A6E"/>
    <w:rsid w:val="00071BD7"/>
    <w:rsid w:val="000720F8"/>
    <w:rsid w:val="00072A1E"/>
    <w:rsid w:val="0007324C"/>
    <w:rsid w:val="00073D19"/>
    <w:rsid w:val="00076183"/>
    <w:rsid w:val="000762C6"/>
    <w:rsid w:val="00077074"/>
    <w:rsid w:val="00077CB7"/>
    <w:rsid w:val="00080B5D"/>
    <w:rsid w:val="00081353"/>
    <w:rsid w:val="00081F84"/>
    <w:rsid w:val="00082B68"/>
    <w:rsid w:val="000834B8"/>
    <w:rsid w:val="00084BD2"/>
    <w:rsid w:val="00087A7E"/>
    <w:rsid w:val="0009058C"/>
    <w:rsid w:val="00091F47"/>
    <w:rsid w:val="00092C5B"/>
    <w:rsid w:val="00094594"/>
    <w:rsid w:val="00095106"/>
    <w:rsid w:val="000952CA"/>
    <w:rsid w:val="00096622"/>
    <w:rsid w:val="000A0653"/>
    <w:rsid w:val="000A1CB3"/>
    <w:rsid w:val="000A2192"/>
    <w:rsid w:val="000A3ECA"/>
    <w:rsid w:val="000A4C34"/>
    <w:rsid w:val="000A63F0"/>
    <w:rsid w:val="000A6465"/>
    <w:rsid w:val="000A716C"/>
    <w:rsid w:val="000B1571"/>
    <w:rsid w:val="000B4CB4"/>
    <w:rsid w:val="000C1E03"/>
    <w:rsid w:val="000C1E38"/>
    <w:rsid w:val="000C3DEC"/>
    <w:rsid w:val="000C50DF"/>
    <w:rsid w:val="000C57D0"/>
    <w:rsid w:val="000C7F4C"/>
    <w:rsid w:val="000D0F60"/>
    <w:rsid w:val="000D18C0"/>
    <w:rsid w:val="000D1F54"/>
    <w:rsid w:val="000D5425"/>
    <w:rsid w:val="000D5D02"/>
    <w:rsid w:val="000E1216"/>
    <w:rsid w:val="000E1B69"/>
    <w:rsid w:val="000E4EDE"/>
    <w:rsid w:val="000E51BA"/>
    <w:rsid w:val="000F0224"/>
    <w:rsid w:val="000F0ABF"/>
    <w:rsid w:val="000F1493"/>
    <w:rsid w:val="000F221C"/>
    <w:rsid w:val="000F2D65"/>
    <w:rsid w:val="000F491C"/>
    <w:rsid w:val="000F4C51"/>
    <w:rsid w:val="000F4CE6"/>
    <w:rsid w:val="000F5515"/>
    <w:rsid w:val="000F7EE1"/>
    <w:rsid w:val="00100021"/>
    <w:rsid w:val="00100B60"/>
    <w:rsid w:val="0010153A"/>
    <w:rsid w:val="00101BD3"/>
    <w:rsid w:val="0010414C"/>
    <w:rsid w:val="0010540B"/>
    <w:rsid w:val="00110A27"/>
    <w:rsid w:val="001135E3"/>
    <w:rsid w:val="00113981"/>
    <w:rsid w:val="00114850"/>
    <w:rsid w:val="001202C3"/>
    <w:rsid w:val="001227DE"/>
    <w:rsid w:val="00123685"/>
    <w:rsid w:val="00123723"/>
    <w:rsid w:val="0012404E"/>
    <w:rsid w:val="001257BF"/>
    <w:rsid w:val="00125881"/>
    <w:rsid w:val="0012686F"/>
    <w:rsid w:val="00126F13"/>
    <w:rsid w:val="00130D35"/>
    <w:rsid w:val="001331BB"/>
    <w:rsid w:val="00133553"/>
    <w:rsid w:val="00134128"/>
    <w:rsid w:val="001365A6"/>
    <w:rsid w:val="00140DCB"/>
    <w:rsid w:val="001435EE"/>
    <w:rsid w:val="00143D4A"/>
    <w:rsid w:val="0014476E"/>
    <w:rsid w:val="00145C9C"/>
    <w:rsid w:val="00146208"/>
    <w:rsid w:val="00146F52"/>
    <w:rsid w:val="00146FEF"/>
    <w:rsid w:val="00147947"/>
    <w:rsid w:val="00150A31"/>
    <w:rsid w:val="00151E7F"/>
    <w:rsid w:val="00155B8B"/>
    <w:rsid w:val="00155B9A"/>
    <w:rsid w:val="001575BA"/>
    <w:rsid w:val="00160554"/>
    <w:rsid w:val="00160BFE"/>
    <w:rsid w:val="00161278"/>
    <w:rsid w:val="0016221C"/>
    <w:rsid w:val="0016242D"/>
    <w:rsid w:val="00162BA0"/>
    <w:rsid w:val="00163FF2"/>
    <w:rsid w:val="001649F6"/>
    <w:rsid w:val="00166503"/>
    <w:rsid w:val="00167C02"/>
    <w:rsid w:val="00167F08"/>
    <w:rsid w:val="00170BB8"/>
    <w:rsid w:val="001711E9"/>
    <w:rsid w:val="001716FD"/>
    <w:rsid w:val="00173739"/>
    <w:rsid w:val="00173A5E"/>
    <w:rsid w:val="00173B79"/>
    <w:rsid w:val="001759BB"/>
    <w:rsid w:val="00180D95"/>
    <w:rsid w:val="001818F8"/>
    <w:rsid w:val="001819AD"/>
    <w:rsid w:val="001820C7"/>
    <w:rsid w:val="001832E2"/>
    <w:rsid w:val="0018639D"/>
    <w:rsid w:val="001870EB"/>
    <w:rsid w:val="001872C6"/>
    <w:rsid w:val="00192154"/>
    <w:rsid w:val="00195459"/>
    <w:rsid w:val="00195547"/>
    <w:rsid w:val="00195B1C"/>
    <w:rsid w:val="00195D2D"/>
    <w:rsid w:val="00197395"/>
    <w:rsid w:val="00197C11"/>
    <w:rsid w:val="001A28DD"/>
    <w:rsid w:val="001A4018"/>
    <w:rsid w:val="001A578A"/>
    <w:rsid w:val="001A6E08"/>
    <w:rsid w:val="001A7AAB"/>
    <w:rsid w:val="001B0E03"/>
    <w:rsid w:val="001B0FA5"/>
    <w:rsid w:val="001B10ED"/>
    <w:rsid w:val="001B17F0"/>
    <w:rsid w:val="001B1AC2"/>
    <w:rsid w:val="001B2A0F"/>
    <w:rsid w:val="001B4931"/>
    <w:rsid w:val="001B51C2"/>
    <w:rsid w:val="001B5399"/>
    <w:rsid w:val="001B604C"/>
    <w:rsid w:val="001C046D"/>
    <w:rsid w:val="001C3CFB"/>
    <w:rsid w:val="001C4EFC"/>
    <w:rsid w:val="001C4F09"/>
    <w:rsid w:val="001C5596"/>
    <w:rsid w:val="001C5CB7"/>
    <w:rsid w:val="001C5F45"/>
    <w:rsid w:val="001D0125"/>
    <w:rsid w:val="001D04C7"/>
    <w:rsid w:val="001D4779"/>
    <w:rsid w:val="001D4DCD"/>
    <w:rsid w:val="001D641E"/>
    <w:rsid w:val="001E23FB"/>
    <w:rsid w:val="001E2657"/>
    <w:rsid w:val="001E2E7E"/>
    <w:rsid w:val="001E3155"/>
    <w:rsid w:val="001E4671"/>
    <w:rsid w:val="001E6020"/>
    <w:rsid w:val="001F0DC3"/>
    <w:rsid w:val="001F345B"/>
    <w:rsid w:val="001F4763"/>
    <w:rsid w:val="001F48F2"/>
    <w:rsid w:val="001F6CE1"/>
    <w:rsid w:val="001F7630"/>
    <w:rsid w:val="00202F67"/>
    <w:rsid w:val="002035DE"/>
    <w:rsid w:val="0020427A"/>
    <w:rsid w:val="0020711B"/>
    <w:rsid w:val="002102DA"/>
    <w:rsid w:val="00213AE5"/>
    <w:rsid w:val="00213F1D"/>
    <w:rsid w:val="00214246"/>
    <w:rsid w:val="00216FB4"/>
    <w:rsid w:val="00217F15"/>
    <w:rsid w:val="00220D53"/>
    <w:rsid w:val="00221000"/>
    <w:rsid w:val="002222BD"/>
    <w:rsid w:val="002242F7"/>
    <w:rsid w:val="00225335"/>
    <w:rsid w:val="00227B79"/>
    <w:rsid w:val="00231A1E"/>
    <w:rsid w:val="00233608"/>
    <w:rsid w:val="00235F68"/>
    <w:rsid w:val="0023752C"/>
    <w:rsid w:val="0024324D"/>
    <w:rsid w:val="00243516"/>
    <w:rsid w:val="00244B6E"/>
    <w:rsid w:val="00245F0E"/>
    <w:rsid w:val="00247E16"/>
    <w:rsid w:val="0025040F"/>
    <w:rsid w:val="00253552"/>
    <w:rsid w:val="00254344"/>
    <w:rsid w:val="00254657"/>
    <w:rsid w:val="00255075"/>
    <w:rsid w:val="002568F0"/>
    <w:rsid w:val="002614C3"/>
    <w:rsid w:val="00262A1D"/>
    <w:rsid w:val="00262C9C"/>
    <w:rsid w:val="00263424"/>
    <w:rsid w:val="00263852"/>
    <w:rsid w:val="00266700"/>
    <w:rsid w:val="00267227"/>
    <w:rsid w:val="0027059B"/>
    <w:rsid w:val="00270CEF"/>
    <w:rsid w:val="00272E3C"/>
    <w:rsid w:val="00276408"/>
    <w:rsid w:val="00282E8C"/>
    <w:rsid w:val="00284F2C"/>
    <w:rsid w:val="002851A8"/>
    <w:rsid w:val="0028711E"/>
    <w:rsid w:val="0028781C"/>
    <w:rsid w:val="00287CC0"/>
    <w:rsid w:val="0029052F"/>
    <w:rsid w:val="002905AA"/>
    <w:rsid w:val="002920BF"/>
    <w:rsid w:val="0029610F"/>
    <w:rsid w:val="002A01A2"/>
    <w:rsid w:val="002A04AA"/>
    <w:rsid w:val="002A0D57"/>
    <w:rsid w:val="002A2B65"/>
    <w:rsid w:val="002A35A5"/>
    <w:rsid w:val="002A421F"/>
    <w:rsid w:val="002B0645"/>
    <w:rsid w:val="002B0F2F"/>
    <w:rsid w:val="002B13A5"/>
    <w:rsid w:val="002B1533"/>
    <w:rsid w:val="002B2169"/>
    <w:rsid w:val="002B2BA3"/>
    <w:rsid w:val="002B35A2"/>
    <w:rsid w:val="002B4176"/>
    <w:rsid w:val="002B6572"/>
    <w:rsid w:val="002B6AEB"/>
    <w:rsid w:val="002B7D35"/>
    <w:rsid w:val="002C131E"/>
    <w:rsid w:val="002C13BE"/>
    <w:rsid w:val="002C5713"/>
    <w:rsid w:val="002C5BD5"/>
    <w:rsid w:val="002D0034"/>
    <w:rsid w:val="002D5837"/>
    <w:rsid w:val="002D5982"/>
    <w:rsid w:val="002D6DE5"/>
    <w:rsid w:val="002E1A11"/>
    <w:rsid w:val="002E2B13"/>
    <w:rsid w:val="002E3097"/>
    <w:rsid w:val="002E3DEB"/>
    <w:rsid w:val="002E657A"/>
    <w:rsid w:val="002F0F5F"/>
    <w:rsid w:val="002F225B"/>
    <w:rsid w:val="002F27BC"/>
    <w:rsid w:val="002F2C5C"/>
    <w:rsid w:val="002F6580"/>
    <w:rsid w:val="002F6861"/>
    <w:rsid w:val="00300EB3"/>
    <w:rsid w:val="00303E8A"/>
    <w:rsid w:val="00304552"/>
    <w:rsid w:val="00306938"/>
    <w:rsid w:val="003102C0"/>
    <w:rsid w:val="003107E1"/>
    <w:rsid w:val="00313158"/>
    <w:rsid w:val="003140CA"/>
    <w:rsid w:val="003145F8"/>
    <w:rsid w:val="00315248"/>
    <w:rsid w:val="00317B05"/>
    <w:rsid w:val="00317F28"/>
    <w:rsid w:val="00321429"/>
    <w:rsid w:val="00321D7F"/>
    <w:rsid w:val="00322A0C"/>
    <w:rsid w:val="003236CE"/>
    <w:rsid w:val="00323897"/>
    <w:rsid w:val="003260E4"/>
    <w:rsid w:val="00327547"/>
    <w:rsid w:val="00330225"/>
    <w:rsid w:val="00330603"/>
    <w:rsid w:val="0033137B"/>
    <w:rsid w:val="00332A75"/>
    <w:rsid w:val="00334D27"/>
    <w:rsid w:val="00336DB2"/>
    <w:rsid w:val="00340038"/>
    <w:rsid w:val="003407F6"/>
    <w:rsid w:val="0034125E"/>
    <w:rsid w:val="0034147E"/>
    <w:rsid w:val="003423BC"/>
    <w:rsid w:val="003446FB"/>
    <w:rsid w:val="00344B58"/>
    <w:rsid w:val="00350F0D"/>
    <w:rsid w:val="00355492"/>
    <w:rsid w:val="00355611"/>
    <w:rsid w:val="003568B8"/>
    <w:rsid w:val="00357EAC"/>
    <w:rsid w:val="00360238"/>
    <w:rsid w:val="00361401"/>
    <w:rsid w:val="0036283F"/>
    <w:rsid w:val="003675EB"/>
    <w:rsid w:val="0037272E"/>
    <w:rsid w:val="003731D1"/>
    <w:rsid w:val="00375D44"/>
    <w:rsid w:val="0038013D"/>
    <w:rsid w:val="0038101A"/>
    <w:rsid w:val="003811E8"/>
    <w:rsid w:val="0038192C"/>
    <w:rsid w:val="003829D1"/>
    <w:rsid w:val="00383C4F"/>
    <w:rsid w:val="003844FF"/>
    <w:rsid w:val="00384557"/>
    <w:rsid w:val="003845B2"/>
    <w:rsid w:val="00386646"/>
    <w:rsid w:val="0038706E"/>
    <w:rsid w:val="003876F2"/>
    <w:rsid w:val="003917A9"/>
    <w:rsid w:val="00392B2B"/>
    <w:rsid w:val="00394264"/>
    <w:rsid w:val="00394C30"/>
    <w:rsid w:val="00394E85"/>
    <w:rsid w:val="00396CDB"/>
    <w:rsid w:val="0039747B"/>
    <w:rsid w:val="003978C2"/>
    <w:rsid w:val="003A02FB"/>
    <w:rsid w:val="003A1FCA"/>
    <w:rsid w:val="003A25B9"/>
    <w:rsid w:val="003A31F9"/>
    <w:rsid w:val="003A3DB1"/>
    <w:rsid w:val="003A4550"/>
    <w:rsid w:val="003A4EB6"/>
    <w:rsid w:val="003A6920"/>
    <w:rsid w:val="003B2239"/>
    <w:rsid w:val="003B2992"/>
    <w:rsid w:val="003B3BC6"/>
    <w:rsid w:val="003B5C2D"/>
    <w:rsid w:val="003B76FE"/>
    <w:rsid w:val="003C0293"/>
    <w:rsid w:val="003C1F9B"/>
    <w:rsid w:val="003C28E5"/>
    <w:rsid w:val="003C3803"/>
    <w:rsid w:val="003C3861"/>
    <w:rsid w:val="003C42A1"/>
    <w:rsid w:val="003C503F"/>
    <w:rsid w:val="003C6035"/>
    <w:rsid w:val="003C6E5D"/>
    <w:rsid w:val="003C79C3"/>
    <w:rsid w:val="003D1415"/>
    <w:rsid w:val="003D157E"/>
    <w:rsid w:val="003D2751"/>
    <w:rsid w:val="003D2C49"/>
    <w:rsid w:val="003D2F9D"/>
    <w:rsid w:val="003D3A65"/>
    <w:rsid w:val="003D468B"/>
    <w:rsid w:val="003D4736"/>
    <w:rsid w:val="003D563A"/>
    <w:rsid w:val="003D5DF0"/>
    <w:rsid w:val="003E0A87"/>
    <w:rsid w:val="003E4F10"/>
    <w:rsid w:val="003E56A6"/>
    <w:rsid w:val="003E78E2"/>
    <w:rsid w:val="003F1330"/>
    <w:rsid w:val="003F1BD0"/>
    <w:rsid w:val="003F3482"/>
    <w:rsid w:val="003F3F02"/>
    <w:rsid w:val="003F660D"/>
    <w:rsid w:val="003F68C4"/>
    <w:rsid w:val="0040061F"/>
    <w:rsid w:val="00400FBC"/>
    <w:rsid w:val="00401632"/>
    <w:rsid w:val="0040198D"/>
    <w:rsid w:val="00402027"/>
    <w:rsid w:val="00402EDC"/>
    <w:rsid w:val="00404F47"/>
    <w:rsid w:val="00406703"/>
    <w:rsid w:val="00406FB9"/>
    <w:rsid w:val="00407424"/>
    <w:rsid w:val="00410883"/>
    <w:rsid w:val="00411CF2"/>
    <w:rsid w:val="00411EDE"/>
    <w:rsid w:val="004122D1"/>
    <w:rsid w:val="00413165"/>
    <w:rsid w:val="0041366A"/>
    <w:rsid w:val="00414FB0"/>
    <w:rsid w:val="00416950"/>
    <w:rsid w:val="00417CC1"/>
    <w:rsid w:val="004202C0"/>
    <w:rsid w:val="004206D0"/>
    <w:rsid w:val="00421335"/>
    <w:rsid w:val="00422146"/>
    <w:rsid w:val="004229F7"/>
    <w:rsid w:val="004232A6"/>
    <w:rsid w:val="00423342"/>
    <w:rsid w:val="00423A44"/>
    <w:rsid w:val="00424F8C"/>
    <w:rsid w:val="00425272"/>
    <w:rsid w:val="00426BD3"/>
    <w:rsid w:val="00426F49"/>
    <w:rsid w:val="004273B4"/>
    <w:rsid w:val="004309CF"/>
    <w:rsid w:val="00431659"/>
    <w:rsid w:val="004335B3"/>
    <w:rsid w:val="004401ED"/>
    <w:rsid w:val="00444704"/>
    <w:rsid w:val="00444CCB"/>
    <w:rsid w:val="00444E14"/>
    <w:rsid w:val="004468E5"/>
    <w:rsid w:val="004469BB"/>
    <w:rsid w:val="0045064F"/>
    <w:rsid w:val="0045236D"/>
    <w:rsid w:val="004523C7"/>
    <w:rsid w:val="0045418E"/>
    <w:rsid w:val="00454528"/>
    <w:rsid w:val="00457DDF"/>
    <w:rsid w:val="004609F9"/>
    <w:rsid w:val="0046273A"/>
    <w:rsid w:val="0046353C"/>
    <w:rsid w:val="00464901"/>
    <w:rsid w:val="00464D72"/>
    <w:rsid w:val="00466ED4"/>
    <w:rsid w:val="00467E8D"/>
    <w:rsid w:val="0047310B"/>
    <w:rsid w:val="0047381A"/>
    <w:rsid w:val="004738C2"/>
    <w:rsid w:val="00473C17"/>
    <w:rsid w:val="0047464B"/>
    <w:rsid w:val="00475C48"/>
    <w:rsid w:val="00476BB2"/>
    <w:rsid w:val="00477293"/>
    <w:rsid w:val="00477644"/>
    <w:rsid w:val="00477D28"/>
    <w:rsid w:val="0048020B"/>
    <w:rsid w:val="00480A4B"/>
    <w:rsid w:val="00481026"/>
    <w:rsid w:val="00481536"/>
    <w:rsid w:val="00482B9A"/>
    <w:rsid w:val="004835B8"/>
    <w:rsid w:val="00483B23"/>
    <w:rsid w:val="00484188"/>
    <w:rsid w:val="00485117"/>
    <w:rsid w:val="004856C3"/>
    <w:rsid w:val="00485ADB"/>
    <w:rsid w:val="00490486"/>
    <w:rsid w:val="00490E58"/>
    <w:rsid w:val="00491484"/>
    <w:rsid w:val="00492369"/>
    <w:rsid w:val="004932A2"/>
    <w:rsid w:val="00494CDF"/>
    <w:rsid w:val="004954F8"/>
    <w:rsid w:val="00496646"/>
    <w:rsid w:val="00497590"/>
    <w:rsid w:val="004A1CFA"/>
    <w:rsid w:val="004A24FF"/>
    <w:rsid w:val="004A251E"/>
    <w:rsid w:val="004A3449"/>
    <w:rsid w:val="004A3BCB"/>
    <w:rsid w:val="004A3C08"/>
    <w:rsid w:val="004A4DCA"/>
    <w:rsid w:val="004A4DF0"/>
    <w:rsid w:val="004A5013"/>
    <w:rsid w:val="004A6432"/>
    <w:rsid w:val="004A7139"/>
    <w:rsid w:val="004B1681"/>
    <w:rsid w:val="004B20E1"/>
    <w:rsid w:val="004B2C13"/>
    <w:rsid w:val="004B34E0"/>
    <w:rsid w:val="004B72B7"/>
    <w:rsid w:val="004B734C"/>
    <w:rsid w:val="004B7895"/>
    <w:rsid w:val="004C1227"/>
    <w:rsid w:val="004C2337"/>
    <w:rsid w:val="004C2B2D"/>
    <w:rsid w:val="004C5F5E"/>
    <w:rsid w:val="004C6F2F"/>
    <w:rsid w:val="004D0B52"/>
    <w:rsid w:val="004D24EB"/>
    <w:rsid w:val="004D2E9F"/>
    <w:rsid w:val="004D4F0D"/>
    <w:rsid w:val="004E1352"/>
    <w:rsid w:val="004E1F77"/>
    <w:rsid w:val="004E31E1"/>
    <w:rsid w:val="004E368B"/>
    <w:rsid w:val="004E4075"/>
    <w:rsid w:val="004E55E0"/>
    <w:rsid w:val="004E5D49"/>
    <w:rsid w:val="004E6F32"/>
    <w:rsid w:val="004F051A"/>
    <w:rsid w:val="004F136D"/>
    <w:rsid w:val="004F3046"/>
    <w:rsid w:val="004F4DE4"/>
    <w:rsid w:val="004F533C"/>
    <w:rsid w:val="005002EC"/>
    <w:rsid w:val="005004C1"/>
    <w:rsid w:val="0050082D"/>
    <w:rsid w:val="00500BDF"/>
    <w:rsid w:val="00502149"/>
    <w:rsid w:val="00502EBA"/>
    <w:rsid w:val="005033A6"/>
    <w:rsid w:val="00503831"/>
    <w:rsid w:val="0050699B"/>
    <w:rsid w:val="00506C64"/>
    <w:rsid w:val="00511389"/>
    <w:rsid w:val="0051246A"/>
    <w:rsid w:val="00515DC4"/>
    <w:rsid w:val="00515EFF"/>
    <w:rsid w:val="00517206"/>
    <w:rsid w:val="0051769D"/>
    <w:rsid w:val="005202C6"/>
    <w:rsid w:val="00522832"/>
    <w:rsid w:val="00522F30"/>
    <w:rsid w:val="00523D4D"/>
    <w:rsid w:val="00524104"/>
    <w:rsid w:val="0052469B"/>
    <w:rsid w:val="005329C9"/>
    <w:rsid w:val="00534BF2"/>
    <w:rsid w:val="005355A8"/>
    <w:rsid w:val="005363AF"/>
    <w:rsid w:val="005368A0"/>
    <w:rsid w:val="00536FB2"/>
    <w:rsid w:val="00540FEC"/>
    <w:rsid w:val="005509D3"/>
    <w:rsid w:val="00550DB0"/>
    <w:rsid w:val="00551D56"/>
    <w:rsid w:val="00552762"/>
    <w:rsid w:val="00552D20"/>
    <w:rsid w:val="0055462C"/>
    <w:rsid w:val="005557E2"/>
    <w:rsid w:val="00557149"/>
    <w:rsid w:val="00562C3C"/>
    <w:rsid w:val="0056331F"/>
    <w:rsid w:val="00564B67"/>
    <w:rsid w:val="00566A07"/>
    <w:rsid w:val="00566B3C"/>
    <w:rsid w:val="00567357"/>
    <w:rsid w:val="00567CB2"/>
    <w:rsid w:val="00567DA6"/>
    <w:rsid w:val="00567F17"/>
    <w:rsid w:val="00570FAB"/>
    <w:rsid w:val="005740E8"/>
    <w:rsid w:val="00574495"/>
    <w:rsid w:val="005754FB"/>
    <w:rsid w:val="0057733C"/>
    <w:rsid w:val="00580C72"/>
    <w:rsid w:val="00580E04"/>
    <w:rsid w:val="005813B2"/>
    <w:rsid w:val="00583A80"/>
    <w:rsid w:val="005858E5"/>
    <w:rsid w:val="00586BBE"/>
    <w:rsid w:val="005874D8"/>
    <w:rsid w:val="00587870"/>
    <w:rsid w:val="00590695"/>
    <w:rsid w:val="00596ED1"/>
    <w:rsid w:val="005A1ADC"/>
    <w:rsid w:val="005A27E1"/>
    <w:rsid w:val="005A3EFF"/>
    <w:rsid w:val="005A5B82"/>
    <w:rsid w:val="005A77F8"/>
    <w:rsid w:val="005B08F1"/>
    <w:rsid w:val="005B1888"/>
    <w:rsid w:val="005B1B3C"/>
    <w:rsid w:val="005B3045"/>
    <w:rsid w:val="005B44F1"/>
    <w:rsid w:val="005B4DE8"/>
    <w:rsid w:val="005B52B2"/>
    <w:rsid w:val="005B633B"/>
    <w:rsid w:val="005C6B20"/>
    <w:rsid w:val="005C79DA"/>
    <w:rsid w:val="005D1EC7"/>
    <w:rsid w:val="005D1EC8"/>
    <w:rsid w:val="005D24CE"/>
    <w:rsid w:val="005D3B78"/>
    <w:rsid w:val="005D5258"/>
    <w:rsid w:val="005D55A5"/>
    <w:rsid w:val="005D59DB"/>
    <w:rsid w:val="005D6904"/>
    <w:rsid w:val="005D7D63"/>
    <w:rsid w:val="005E08EA"/>
    <w:rsid w:val="005E2AB6"/>
    <w:rsid w:val="005E4FEB"/>
    <w:rsid w:val="005E6868"/>
    <w:rsid w:val="005F0933"/>
    <w:rsid w:val="005F0ADF"/>
    <w:rsid w:val="005F1CC4"/>
    <w:rsid w:val="005F4733"/>
    <w:rsid w:val="005F574D"/>
    <w:rsid w:val="005F5E94"/>
    <w:rsid w:val="005F662D"/>
    <w:rsid w:val="005F7225"/>
    <w:rsid w:val="006035A7"/>
    <w:rsid w:val="006037E6"/>
    <w:rsid w:val="00604909"/>
    <w:rsid w:val="00604EE2"/>
    <w:rsid w:val="00606FD2"/>
    <w:rsid w:val="00607CE6"/>
    <w:rsid w:val="006101B1"/>
    <w:rsid w:val="00614AB3"/>
    <w:rsid w:val="00617D04"/>
    <w:rsid w:val="00620C02"/>
    <w:rsid w:val="00620FD9"/>
    <w:rsid w:val="00621719"/>
    <w:rsid w:val="0062331D"/>
    <w:rsid w:val="006249D7"/>
    <w:rsid w:val="006261F4"/>
    <w:rsid w:val="00631E75"/>
    <w:rsid w:val="006327E9"/>
    <w:rsid w:val="00632C39"/>
    <w:rsid w:val="0063404A"/>
    <w:rsid w:val="006373E7"/>
    <w:rsid w:val="00641828"/>
    <w:rsid w:val="00641901"/>
    <w:rsid w:val="0064283E"/>
    <w:rsid w:val="00642C72"/>
    <w:rsid w:val="0064305F"/>
    <w:rsid w:val="00644E2A"/>
    <w:rsid w:val="006450E3"/>
    <w:rsid w:val="00654301"/>
    <w:rsid w:val="0065495C"/>
    <w:rsid w:val="006613D9"/>
    <w:rsid w:val="00662C3D"/>
    <w:rsid w:val="00663025"/>
    <w:rsid w:val="00663987"/>
    <w:rsid w:val="0066589D"/>
    <w:rsid w:val="00666B62"/>
    <w:rsid w:val="00666D04"/>
    <w:rsid w:val="00670083"/>
    <w:rsid w:val="006708CC"/>
    <w:rsid w:val="006720AD"/>
    <w:rsid w:val="00673125"/>
    <w:rsid w:val="00673205"/>
    <w:rsid w:val="006753EC"/>
    <w:rsid w:val="00676392"/>
    <w:rsid w:val="00677CD1"/>
    <w:rsid w:val="00680465"/>
    <w:rsid w:val="0068115A"/>
    <w:rsid w:val="0068147F"/>
    <w:rsid w:val="0068212A"/>
    <w:rsid w:val="006834C7"/>
    <w:rsid w:val="0068369A"/>
    <w:rsid w:val="00684091"/>
    <w:rsid w:val="006845F6"/>
    <w:rsid w:val="0068502D"/>
    <w:rsid w:val="00687B14"/>
    <w:rsid w:val="0069037B"/>
    <w:rsid w:val="0069126C"/>
    <w:rsid w:val="00691EA6"/>
    <w:rsid w:val="00691F52"/>
    <w:rsid w:val="00694FEA"/>
    <w:rsid w:val="00695836"/>
    <w:rsid w:val="006963E2"/>
    <w:rsid w:val="006965BD"/>
    <w:rsid w:val="006A085F"/>
    <w:rsid w:val="006A23E1"/>
    <w:rsid w:val="006A29BA"/>
    <w:rsid w:val="006A4EF0"/>
    <w:rsid w:val="006A62B9"/>
    <w:rsid w:val="006B1ACB"/>
    <w:rsid w:val="006B5C87"/>
    <w:rsid w:val="006B6F20"/>
    <w:rsid w:val="006C0795"/>
    <w:rsid w:val="006C45B3"/>
    <w:rsid w:val="006C4DDB"/>
    <w:rsid w:val="006C57E3"/>
    <w:rsid w:val="006C5B68"/>
    <w:rsid w:val="006C7259"/>
    <w:rsid w:val="006D2CFC"/>
    <w:rsid w:val="006D2F0D"/>
    <w:rsid w:val="006D4823"/>
    <w:rsid w:val="006D5C37"/>
    <w:rsid w:val="006E1E04"/>
    <w:rsid w:val="006E55F2"/>
    <w:rsid w:val="006F1D30"/>
    <w:rsid w:val="006F7A6B"/>
    <w:rsid w:val="007017A2"/>
    <w:rsid w:val="00701AC7"/>
    <w:rsid w:val="007051B7"/>
    <w:rsid w:val="00705446"/>
    <w:rsid w:val="00705AC8"/>
    <w:rsid w:val="0070614D"/>
    <w:rsid w:val="00707DFB"/>
    <w:rsid w:val="00710308"/>
    <w:rsid w:val="00710F08"/>
    <w:rsid w:val="00711655"/>
    <w:rsid w:val="00711A16"/>
    <w:rsid w:val="00711AB7"/>
    <w:rsid w:val="00711BBB"/>
    <w:rsid w:val="0071527E"/>
    <w:rsid w:val="00715320"/>
    <w:rsid w:val="00716A44"/>
    <w:rsid w:val="007217FF"/>
    <w:rsid w:val="00722834"/>
    <w:rsid w:val="007267F0"/>
    <w:rsid w:val="00727268"/>
    <w:rsid w:val="007309EC"/>
    <w:rsid w:val="00733660"/>
    <w:rsid w:val="00733892"/>
    <w:rsid w:val="00740821"/>
    <w:rsid w:val="00740CFA"/>
    <w:rsid w:val="00742AF8"/>
    <w:rsid w:val="007432B8"/>
    <w:rsid w:val="00746133"/>
    <w:rsid w:val="00747C9D"/>
    <w:rsid w:val="00750A0D"/>
    <w:rsid w:val="007515BC"/>
    <w:rsid w:val="00751E10"/>
    <w:rsid w:val="00752535"/>
    <w:rsid w:val="00752CC8"/>
    <w:rsid w:val="007533FA"/>
    <w:rsid w:val="00753FC1"/>
    <w:rsid w:val="00755007"/>
    <w:rsid w:val="0075699A"/>
    <w:rsid w:val="00757D90"/>
    <w:rsid w:val="00763FC9"/>
    <w:rsid w:val="00766373"/>
    <w:rsid w:val="0076721B"/>
    <w:rsid w:val="00767BD5"/>
    <w:rsid w:val="007716E2"/>
    <w:rsid w:val="007745D7"/>
    <w:rsid w:val="007751A4"/>
    <w:rsid w:val="00775C97"/>
    <w:rsid w:val="0078061D"/>
    <w:rsid w:val="00780AD9"/>
    <w:rsid w:val="007828FB"/>
    <w:rsid w:val="007831F7"/>
    <w:rsid w:val="00786A54"/>
    <w:rsid w:val="007932D4"/>
    <w:rsid w:val="0079392E"/>
    <w:rsid w:val="00793952"/>
    <w:rsid w:val="00793C49"/>
    <w:rsid w:val="0079449E"/>
    <w:rsid w:val="0079494A"/>
    <w:rsid w:val="007959D3"/>
    <w:rsid w:val="00796D13"/>
    <w:rsid w:val="00797030"/>
    <w:rsid w:val="007A3962"/>
    <w:rsid w:val="007A7403"/>
    <w:rsid w:val="007B1E60"/>
    <w:rsid w:val="007B5046"/>
    <w:rsid w:val="007B7697"/>
    <w:rsid w:val="007C1348"/>
    <w:rsid w:val="007C1A4F"/>
    <w:rsid w:val="007C1F4F"/>
    <w:rsid w:val="007C4E02"/>
    <w:rsid w:val="007C56EA"/>
    <w:rsid w:val="007C6E33"/>
    <w:rsid w:val="007C7271"/>
    <w:rsid w:val="007D3020"/>
    <w:rsid w:val="007D3B86"/>
    <w:rsid w:val="007D4CD5"/>
    <w:rsid w:val="007D57F0"/>
    <w:rsid w:val="007D7087"/>
    <w:rsid w:val="007E2AA1"/>
    <w:rsid w:val="007E6310"/>
    <w:rsid w:val="007F222F"/>
    <w:rsid w:val="007F2B97"/>
    <w:rsid w:val="007F37AD"/>
    <w:rsid w:val="007F37E5"/>
    <w:rsid w:val="007F474B"/>
    <w:rsid w:val="007F4BE5"/>
    <w:rsid w:val="007F654E"/>
    <w:rsid w:val="00800673"/>
    <w:rsid w:val="00802C6E"/>
    <w:rsid w:val="00804119"/>
    <w:rsid w:val="00804513"/>
    <w:rsid w:val="00807867"/>
    <w:rsid w:val="00807AF4"/>
    <w:rsid w:val="00810346"/>
    <w:rsid w:val="008112F1"/>
    <w:rsid w:val="00817FCA"/>
    <w:rsid w:val="008207F7"/>
    <w:rsid w:val="00825063"/>
    <w:rsid w:val="00825A57"/>
    <w:rsid w:val="00825C83"/>
    <w:rsid w:val="00827296"/>
    <w:rsid w:val="00832674"/>
    <w:rsid w:val="008337F4"/>
    <w:rsid w:val="00834057"/>
    <w:rsid w:val="00834BFB"/>
    <w:rsid w:val="00835D81"/>
    <w:rsid w:val="0083645B"/>
    <w:rsid w:val="0083686D"/>
    <w:rsid w:val="00837AA8"/>
    <w:rsid w:val="008408FA"/>
    <w:rsid w:val="008421AE"/>
    <w:rsid w:val="00844037"/>
    <w:rsid w:val="0084409B"/>
    <w:rsid w:val="008452F1"/>
    <w:rsid w:val="00845BBA"/>
    <w:rsid w:val="00845C37"/>
    <w:rsid w:val="00846B73"/>
    <w:rsid w:val="008472EB"/>
    <w:rsid w:val="00850314"/>
    <w:rsid w:val="00853E97"/>
    <w:rsid w:val="008540A7"/>
    <w:rsid w:val="00856ACD"/>
    <w:rsid w:val="00857A88"/>
    <w:rsid w:val="00857B20"/>
    <w:rsid w:val="008636E9"/>
    <w:rsid w:val="0086391B"/>
    <w:rsid w:val="00864D87"/>
    <w:rsid w:val="00865B7D"/>
    <w:rsid w:val="00867144"/>
    <w:rsid w:val="0086787A"/>
    <w:rsid w:val="00870F03"/>
    <w:rsid w:val="00871D19"/>
    <w:rsid w:val="00872B90"/>
    <w:rsid w:val="00873105"/>
    <w:rsid w:val="008769DB"/>
    <w:rsid w:val="00882023"/>
    <w:rsid w:val="00882444"/>
    <w:rsid w:val="00882C35"/>
    <w:rsid w:val="008840C5"/>
    <w:rsid w:val="008847B1"/>
    <w:rsid w:val="00885BB4"/>
    <w:rsid w:val="008865BE"/>
    <w:rsid w:val="00887501"/>
    <w:rsid w:val="00891481"/>
    <w:rsid w:val="00891D9A"/>
    <w:rsid w:val="00892674"/>
    <w:rsid w:val="00895C70"/>
    <w:rsid w:val="008A03A9"/>
    <w:rsid w:val="008A0C3A"/>
    <w:rsid w:val="008A2313"/>
    <w:rsid w:val="008A2537"/>
    <w:rsid w:val="008A2DF8"/>
    <w:rsid w:val="008A39DC"/>
    <w:rsid w:val="008A4246"/>
    <w:rsid w:val="008A43DA"/>
    <w:rsid w:val="008A4448"/>
    <w:rsid w:val="008A6B33"/>
    <w:rsid w:val="008A7740"/>
    <w:rsid w:val="008A77ED"/>
    <w:rsid w:val="008A7C39"/>
    <w:rsid w:val="008A7D75"/>
    <w:rsid w:val="008B0490"/>
    <w:rsid w:val="008B09BB"/>
    <w:rsid w:val="008B0A04"/>
    <w:rsid w:val="008B2A77"/>
    <w:rsid w:val="008B2E5B"/>
    <w:rsid w:val="008B32F9"/>
    <w:rsid w:val="008B3775"/>
    <w:rsid w:val="008B3860"/>
    <w:rsid w:val="008B38A8"/>
    <w:rsid w:val="008B5D43"/>
    <w:rsid w:val="008B76F5"/>
    <w:rsid w:val="008C0EEF"/>
    <w:rsid w:val="008C22F0"/>
    <w:rsid w:val="008C7259"/>
    <w:rsid w:val="008D0A2C"/>
    <w:rsid w:val="008D1873"/>
    <w:rsid w:val="008D4E90"/>
    <w:rsid w:val="008D5542"/>
    <w:rsid w:val="008D6614"/>
    <w:rsid w:val="008D6B39"/>
    <w:rsid w:val="008E066D"/>
    <w:rsid w:val="008E2CAD"/>
    <w:rsid w:val="008E434B"/>
    <w:rsid w:val="008E4831"/>
    <w:rsid w:val="008E4880"/>
    <w:rsid w:val="008E64D4"/>
    <w:rsid w:val="008F05EE"/>
    <w:rsid w:val="008F2342"/>
    <w:rsid w:val="008F3C47"/>
    <w:rsid w:val="008F3D02"/>
    <w:rsid w:val="008F3F2E"/>
    <w:rsid w:val="008F56CB"/>
    <w:rsid w:val="008F64B6"/>
    <w:rsid w:val="008F7E88"/>
    <w:rsid w:val="009004DE"/>
    <w:rsid w:val="0090131B"/>
    <w:rsid w:val="00901473"/>
    <w:rsid w:val="009067C8"/>
    <w:rsid w:val="009114CB"/>
    <w:rsid w:val="009128A7"/>
    <w:rsid w:val="00913A95"/>
    <w:rsid w:val="009148F8"/>
    <w:rsid w:val="00914902"/>
    <w:rsid w:val="00922600"/>
    <w:rsid w:val="00922E02"/>
    <w:rsid w:val="00923408"/>
    <w:rsid w:val="00925AB9"/>
    <w:rsid w:val="00925D3A"/>
    <w:rsid w:val="00926D49"/>
    <w:rsid w:val="009272B7"/>
    <w:rsid w:val="009323AF"/>
    <w:rsid w:val="0093281F"/>
    <w:rsid w:val="00933ADC"/>
    <w:rsid w:val="00933EC9"/>
    <w:rsid w:val="00935C20"/>
    <w:rsid w:val="009375DD"/>
    <w:rsid w:val="00937988"/>
    <w:rsid w:val="00943689"/>
    <w:rsid w:val="00944986"/>
    <w:rsid w:val="00944A3F"/>
    <w:rsid w:val="00945931"/>
    <w:rsid w:val="009467AE"/>
    <w:rsid w:val="00947400"/>
    <w:rsid w:val="00951190"/>
    <w:rsid w:val="00953271"/>
    <w:rsid w:val="00953D1A"/>
    <w:rsid w:val="0095473A"/>
    <w:rsid w:val="00954BD4"/>
    <w:rsid w:val="009558FA"/>
    <w:rsid w:val="00956FDA"/>
    <w:rsid w:val="00961EFB"/>
    <w:rsid w:val="009622F6"/>
    <w:rsid w:val="00964126"/>
    <w:rsid w:val="00964C54"/>
    <w:rsid w:val="009654C5"/>
    <w:rsid w:val="00965983"/>
    <w:rsid w:val="0096654F"/>
    <w:rsid w:val="009706D9"/>
    <w:rsid w:val="00970EDC"/>
    <w:rsid w:val="009741F9"/>
    <w:rsid w:val="00974E21"/>
    <w:rsid w:val="00975CDD"/>
    <w:rsid w:val="00976EF3"/>
    <w:rsid w:val="00980048"/>
    <w:rsid w:val="009804B7"/>
    <w:rsid w:val="00980E47"/>
    <w:rsid w:val="00981373"/>
    <w:rsid w:val="0098254D"/>
    <w:rsid w:val="00982AC3"/>
    <w:rsid w:val="009847FE"/>
    <w:rsid w:val="00986DC0"/>
    <w:rsid w:val="009904AD"/>
    <w:rsid w:val="00994F58"/>
    <w:rsid w:val="00995C8B"/>
    <w:rsid w:val="009970F9"/>
    <w:rsid w:val="009978C5"/>
    <w:rsid w:val="009A0C2A"/>
    <w:rsid w:val="009A1582"/>
    <w:rsid w:val="009A4844"/>
    <w:rsid w:val="009B0038"/>
    <w:rsid w:val="009B1B68"/>
    <w:rsid w:val="009B1F36"/>
    <w:rsid w:val="009B2A32"/>
    <w:rsid w:val="009B40D2"/>
    <w:rsid w:val="009B4998"/>
    <w:rsid w:val="009B70D2"/>
    <w:rsid w:val="009C02A5"/>
    <w:rsid w:val="009C138B"/>
    <w:rsid w:val="009C18B0"/>
    <w:rsid w:val="009C2005"/>
    <w:rsid w:val="009C4232"/>
    <w:rsid w:val="009C4FD6"/>
    <w:rsid w:val="009C5510"/>
    <w:rsid w:val="009C644B"/>
    <w:rsid w:val="009C6F87"/>
    <w:rsid w:val="009C741B"/>
    <w:rsid w:val="009C7D79"/>
    <w:rsid w:val="009D3F56"/>
    <w:rsid w:val="009D50CC"/>
    <w:rsid w:val="009D5CD4"/>
    <w:rsid w:val="009D6D09"/>
    <w:rsid w:val="009D6FFC"/>
    <w:rsid w:val="009D793F"/>
    <w:rsid w:val="009D79A4"/>
    <w:rsid w:val="009D7DC9"/>
    <w:rsid w:val="009E00FB"/>
    <w:rsid w:val="009E0312"/>
    <w:rsid w:val="009E0602"/>
    <w:rsid w:val="009E0A3A"/>
    <w:rsid w:val="009E42A9"/>
    <w:rsid w:val="009E4569"/>
    <w:rsid w:val="009E73D4"/>
    <w:rsid w:val="009E75E5"/>
    <w:rsid w:val="009E797F"/>
    <w:rsid w:val="009F1548"/>
    <w:rsid w:val="009F211D"/>
    <w:rsid w:val="009F2ABE"/>
    <w:rsid w:val="009F486E"/>
    <w:rsid w:val="009F4FAE"/>
    <w:rsid w:val="00A0026A"/>
    <w:rsid w:val="00A00CE2"/>
    <w:rsid w:val="00A01340"/>
    <w:rsid w:val="00A0326A"/>
    <w:rsid w:val="00A040B7"/>
    <w:rsid w:val="00A051EB"/>
    <w:rsid w:val="00A06B66"/>
    <w:rsid w:val="00A0723C"/>
    <w:rsid w:val="00A075A6"/>
    <w:rsid w:val="00A07FE7"/>
    <w:rsid w:val="00A1002A"/>
    <w:rsid w:val="00A10386"/>
    <w:rsid w:val="00A1129C"/>
    <w:rsid w:val="00A11FC4"/>
    <w:rsid w:val="00A13BB3"/>
    <w:rsid w:val="00A14892"/>
    <w:rsid w:val="00A165A6"/>
    <w:rsid w:val="00A16A75"/>
    <w:rsid w:val="00A16C93"/>
    <w:rsid w:val="00A17817"/>
    <w:rsid w:val="00A17D1B"/>
    <w:rsid w:val="00A20655"/>
    <w:rsid w:val="00A22A1F"/>
    <w:rsid w:val="00A242A8"/>
    <w:rsid w:val="00A25631"/>
    <w:rsid w:val="00A25C3C"/>
    <w:rsid w:val="00A26C23"/>
    <w:rsid w:val="00A27760"/>
    <w:rsid w:val="00A27AA7"/>
    <w:rsid w:val="00A27BD9"/>
    <w:rsid w:val="00A305DE"/>
    <w:rsid w:val="00A33F12"/>
    <w:rsid w:val="00A340E4"/>
    <w:rsid w:val="00A35685"/>
    <w:rsid w:val="00A3691C"/>
    <w:rsid w:val="00A376A9"/>
    <w:rsid w:val="00A37AEB"/>
    <w:rsid w:val="00A44EF2"/>
    <w:rsid w:val="00A47B20"/>
    <w:rsid w:val="00A50F7B"/>
    <w:rsid w:val="00A514D0"/>
    <w:rsid w:val="00A51838"/>
    <w:rsid w:val="00A526DC"/>
    <w:rsid w:val="00A5279A"/>
    <w:rsid w:val="00A530F7"/>
    <w:rsid w:val="00A544BC"/>
    <w:rsid w:val="00A5797A"/>
    <w:rsid w:val="00A57FB6"/>
    <w:rsid w:val="00A61403"/>
    <w:rsid w:val="00A62818"/>
    <w:rsid w:val="00A63426"/>
    <w:rsid w:val="00A642AE"/>
    <w:rsid w:val="00A646EB"/>
    <w:rsid w:val="00A67479"/>
    <w:rsid w:val="00A67903"/>
    <w:rsid w:val="00A67DA5"/>
    <w:rsid w:val="00A70393"/>
    <w:rsid w:val="00A760D4"/>
    <w:rsid w:val="00A7688B"/>
    <w:rsid w:val="00A77019"/>
    <w:rsid w:val="00A7773B"/>
    <w:rsid w:val="00A8474E"/>
    <w:rsid w:val="00A86892"/>
    <w:rsid w:val="00A87569"/>
    <w:rsid w:val="00A90CCE"/>
    <w:rsid w:val="00A92FC8"/>
    <w:rsid w:val="00A943DA"/>
    <w:rsid w:val="00A94C94"/>
    <w:rsid w:val="00A96C25"/>
    <w:rsid w:val="00A972CB"/>
    <w:rsid w:val="00AA113E"/>
    <w:rsid w:val="00AA2C9E"/>
    <w:rsid w:val="00AA3DBE"/>
    <w:rsid w:val="00AA4053"/>
    <w:rsid w:val="00AA5122"/>
    <w:rsid w:val="00AA64D6"/>
    <w:rsid w:val="00AA6F02"/>
    <w:rsid w:val="00AA74C1"/>
    <w:rsid w:val="00AB44D1"/>
    <w:rsid w:val="00AB4F90"/>
    <w:rsid w:val="00AB6D0B"/>
    <w:rsid w:val="00AB6F10"/>
    <w:rsid w:val="00AB7874"/>
    <w:rsid w:val="00AC237A"/>
    <w:rsid w:val="00AC2E1D"/>
    <w:rsid w:val="00AC3891"/>
    <w:rsid w:val="00AC6504"/>
    <w:rsid w:val="00AC7614"/>
    <w:rsid w:val="00AC7B93"/>
    <w:rsid w:val="00AD0D30"/>
    <w:rsid w:val="00AD13D2"/>
    <w:rsid w:val="00AD5A2B"/>
    <w:rsid w:val="00AD6230"/>
    <w:rsid w:val="00AD77BC"/>
    <w:rsid w:val="00AD789C"/>
    <w:rsid w:val="00AE011F"/>
    <w:rsid w:val="00AE18CC"/>
    <w:rsid w:val="00AE3822"/>
    <w:rsid w:val="00AE3F8C"/>
    <w:rsid w:val="00AE5061"/>
    <w:rsid w:val="00AE670E"/>
    <w:rsid w:val="00AE7C00"/>
    <w:rsid w:val="00AF2DD4"/>
    <w:rsid w:val="00AF305F"/>
    <w:rsid w:val="00AF3A52"/>
    <w:rsid w:val="00AF475F"/>
    <w:rsid w:val="00AF7A28"/>
    <w:rsid w:val="00B01372"/>
    <w:rsid w:val="00B01C7A"/>
    <w:rsid w:val="00B01DFB"/>
    <w:rsid w:val="00B04F2C"/>
    <w:rsid w:val="00B05C8F"/>
    <w:rsid w:val="00B05C9C"/>
    <w:rsid w:val="00B07009"/>
    <w:rsid w:val="00B0769F"/>
    <w:rsid w:val="00B07D6F"/>
    <w:rsid w:val="00B10B9E"/>
    <w:rsid w:val="00B10EBD"/>
    <w:rsid w:val="00B11DB1"/>
    <w:rsid w:val="00B12049"/>
    <w:rsid w:val="00B12D84"/>
    <w:rsid w:val="00B132BA"/>
    <w:rsid w:val="00B14CC0"/>
    <w:rsid w:val="00B1566C"/>
    <w:rsid w:val="00B16705"/>
    <w:rsid w:val="00B2440C"/>
    <w:rsid w:val="00B24BAC"/>
    <w:rsid w:val="00B25FC5"/>
    <w:rsid w:val="00B2767F"/>
    <w:rsid w:val="00B279C4"/>
    <w:rsid w:val="00B3175A"/>
    <w:rsid w:val="00B317F8"/>
    <w:rsid w:val="00B330F7"/>
    <w:rsid w:val="00B333ED"/>
    <w:rsid w:val="00B34CD3"/>
    <w:rsid w:val="00B35E06"/>
    <w:rsid w:val="00B36524"/>
    <w:rsid w:val="00B36A66"/>
    <w:rsid w:val="00B37832"/>
    <w:rsid w:val="00B43E82"/>
    <w:rsid w:val="00B45800"/>
    <w:rsid w:val="00B461E9"/>
    <w:rsid w:val="00B46F31"/>
    <w:rsid w:val="00B50D39"/>
    <w:rsid w:val="00B513EA"/>
    <w:rsid w:val="00B51C87"/>
    <w:rsid w:val="00B525A3"/>
    <w:rsid w:val="00B5323D"/>
    <w:rsid w:val="00B53DED"/>
    <w:rsid w:val="00B53E02"/>
    <w:rsid w:val="00B541D8"/>
    <w:rsid w:val="00B54A06"/>
    <w:rsid w:val="00B54D84"/>
    <w:rsid w:val="00B56861"/>
    <w:rsid w:val="00B576A0"/>
    <w:rsid w:val="00B60556"/>
    <w:rsid w:val="00B61A8D"/>
    <w:rsid w:val="00B61D99"/>
    <w:rsid w:val="00B6290E"/>
    <w:rsid w:val="00B632FF"/>
    <w:rsid w:val="00B63481"/>
    <w:rsid w:val="00B6377E"/>
    <w:rsid w:val="00B668A5"/>
    <w:rsid w:val="00B670EE"/>
    <w:rsid w:val="00B67281"/>
    <w:rsid w:val="00B712FA"/>
    <w:rsid w:val="00B72720"/>
    <w:rsid w:val="00B7298A"/>
    <w:rsid w:val="00B737F9"/>
    <w:rsid w:val="00B742BF"/>
    <w:rsid w:val="00B753F4"/>
    <w:rsid w:val="00B77E29"/>
    <w:rsid w:val="00B810C7"/>
    <w:rsid w:val="00B81A73"/>
    <w:rsid w:val="00B82A36"/>
    <w:rsid w:val="00B83C9B"/>
    <w:rsid w:val="00B841F0"/>
    <w:rsid w:val="00B84857"/>
    <w:rsid w:val="00B879D6"/>
    <w:rsid w:val="00B9221D"/>
    <w:rsid w:val="00B92253"/>
    <w:rsid w:val="00B96076"/>
    <w:rsid w:val="00B96826"/>
    <w:rsid w:val="00B96E95"/>
    <w:rsid w:val="00B97E02"/>
    <w:rsid w:val="00BA0A3A"/>
    <w:rsid w:val="00BA0ADF"/>
    <w:rsid w:val="00BA13C9"/>
    <w:rsid w:val="00BA1A89"/>
    <w:rsid w:val="00BA487C"/>
    <w:rsid w:val="00BB00A4"/>
    <w:rsid w:val="00BB017E"/>
    <w:rsid w:val="00BB0A4F"/>
    <w:rsid w:val="00BB0CD0"/>
    <w:rsid w:val="00BB0DAE"/>
    <w:rsid w:val="00BB30CC"/>
    <w:rsid w:val="00BB47F8"/>
    <w:rsid w:val="00BB4B68"/>
    <w:rsid w:val="00BB6BBA"/>
    <w:rsid w:val="00BC04FF"/>
    <w:rsid w:val="00BC0F9C"/>
    <w:rsid w:val="00BC16E2"/>
    <w:rsid w:val="00BC17F0"/>
    <w:rsid w:val="00BC19C8"/>
    <w:rsid w:val="00BC1E92"/>
    <w:rsid w:val="00BC21F2"/>
    <w:rsid w:val="00BC2BC1"/>
    <w:rsid w:val="00BC4C3D"/>
    <w:rsid w:val="00BC5BE9"/>
    <w:rsid w:val="00BC7DBC"/>
    <w:rsid w:val="00BD08CB"/>
    <w:rsid w:val="00BD10E9"/>
    <w:rsid w:val="00BD1A2B"/>
    <w:rsid w:val="00BD496E"/>
    <w:rsid w:val="00BD4C3B"/>
    <w:rsid w:val="00BD57A1"/>
    <w:rsid w:val="00BE3109"/>
    <w:rsid w:val="00BE41EF"/>
    <w:rsid w:val="00BE433B"/>
    <w:rsid w:val="00BE5705"/>
    <w:rsid w:val="00BE5DC4"/>
    <w:rsid w:val="00BE60E9"/>
    <w:rsid w:val="00BE7666"/>
    <w:rsid w:val="00BF0331"/>
    <w:rsid w:val="00BF0DB5"/>
    <w:rsid w:val="00BF0F85"/>
    <w:rsid w:val="00BF19A1"/>
    <w:rsid w:val="00BF26AF"/>
    <w:rsid w:val="00BF5F0E"/>
    <w:rsid w:val="00C00509"/>
    <w:rsid w:val="00C00563"/>
    <w:rsid w:val="00C00784"/>
    <w:rsid w:val="00C03F17"/>
    <w:rsid w:val="00C04868"/>
    <w:rsid w:val="00C04CD9"/>
    <w:rsid w:val="00C050EC"/>
    <w:rsid w:val="00C07565"/>
    <w:rsid w:val="00C07761"/>
    <w:rsid w:val="00C10C45"/>
    <w:rsid w:val="00C1102F"/>
    <w:rsid w:val="00C128AF"/>
    <w:rsid w:val="00C12B63"/>
    <w:rsid w:val="00C13464"/>
    <w:rsid w:val="00C14664"/>
    <w:rsid w:val="00C16F26"/>
    <w:rsid w:val="00C17AD4"/>
    <w:rsid w:val="00C17C3F"/>
    <w:rsid w:val="00C21020"/>
    <w:rsid w:val="00C22E68"/>
    <w:rsid w:val="00C230CB"/>
    <w:rsid w:val="00C23743"/>
    <w:rsid w:val="00C25098"/>
    <w:rsid w:val="00C26127"/>
    <w:rsid w:val="00C26B3E"/>
    <w:rsid w:val="00C271E3"/>
    <w:rsid w:val="00C27C36"/>
    <w:rsid w:val="00C309E8"/>
    <w:rsid w:val="00C30B0C"/>
    <w:rsid w:val="00C30E79"/>
    <w:rsid w:val="00C314EF"/>
    <w:rsid w:val="00C31962"/>
    <w:rsid w:val="00C32417"/>
    <w:rsid w:val="00C3249F"/>
    <w:rsid w:val="00C32D54"/>
    <w:rsid w:val="00C335CB"/>
    <w:rsid w:val="00C33C12"/>
    <w:rsid w:val="00C34372"/>
    <w:rsid w:val="00C361BF"/>
    <w:rsid w:val="00C3727E"/>
    <w:rsid w:val="00C42225"/>
    <w:rsid w:val="00C4253C"/>
    <w:rsid w:val="00C437AF"/>
    <w:rsid w:val="00C43FC3"/>
    <w:rsid w:val="00C472DF"/>
    <w:rsid w:val="00C50C1B"/>
    <w:rsid w:val="00C5398E"/>
    <w:rsid w:val="00C5450C"/>
    <w:rsid w:val="00C554EC"/>
    <w:rsid w:val="00C55C35"/>
    <w:rsid w:val="00C57987"/>
    <w:rsid w:val="00C6144F"/>
    <w:rsid w:val="00C6463A"/>
    <w:rsid w:val="00C664FD"/>
    <w:rsid w:val="00C71850"/>
    <w:rsid w:val="00C747DE"/>
    <w:rsid w:val="00C7656C"/>
    <w:rsid w:val="00C7671E"/>
    <w:rsid w:val="00C8304D"/>
    <w:rsid w:val="00C83900"/>
    <w:rsid w:val="00C877AD"/>
    <w:rsid w:val="00C87D9F"/>
    <w:rsid w:val="00C90C12"/>
    <w:rsid w:val="00C91FDC"/>
    <w:rsid w:val="00C921AA"/>
    <w:rsid w:val="00C92C1F"/>
    <w:rsid w:val="00C9307F"/>
    <w:rsid w:val="00C95338"/>
    <w:rsid w:val="00C96137"/>
    <w:rsid w:val="00C96A89"/>
    <w:rsid w:val="00C96DD0"/>
    <w:rsid w:val="00C97899"/>
    <w:rsid w:val="00CA03AE"/>
    <w:rsid w:val="00CA33C1"/>
    <w:rsid w:val="00CA6963"/>
    <w:rsid w:val="00CA7D32"/>
    <w:rsid w:val="00CB1154"/>
    <w:rsid w:val="00CB19ED"/>
    <w:rsid w:val="00CB4243"/>
    <w:rsid w:val="00CB4D2F"/>
    <w:rsid w:val="00CC0477"/>
    <w:rsid w:val="00CC0F54"/>
    <w:rsid w:val="00CC25C6"/>
    <w:rsid w:val="00CC291A"/>
    <w:rsid w:val="00CC3FFA"/>
    <w:rsid w:val="00CC4F2D"/>
    <w:rsid w:val="00CC56EF"/>
    <w:rsid w:val="00CC64AC"/>
    <w:rsid w:val="00CD121D"/>
    <w:rsid w:val="00CD2900"/>
    <w:rsid w:val="00CD3A1C"/>
    <w:rsid w:val="00CD7F86"/>
    <w:rsid w:val="00CE0E59"/>
    <w:rsid w:val="00CE3E79"/>
    <w:rsid w:val="00CE4EFC"/>
    <w:rsid w:val="00CE546A"/>
    <w:rsid w:val="00CE5EEC"/>
    <w:rsid w:val="00CE69B2"/>
    <w:rsid w:val="00CE7B90"/>
    <w:rsid w:val="00CF260D"/>
    <w:rsid w:val="00CF35E6"/>
    <w:rsid w:val="00CF77DB"/>
    <w:rsid w:val="00D02B82"/>
    <w:rsid w:val="00D05BC9"/>
    <w:rsid w:val="00D071DE"/>
    <w:rsid w:val="00D07343"/>
    <w:rsid w:val="00D110AF"/>
    <w:rsid w:val="00D11364"/>
    <w:rsid w:val="00D11F65"/>
    <w:rsid w:val="00D1227F"/>
    <w:rsid w:val="00D12F71"/>
    <w:rsid w:val="00D15EE5"/>
    <w:rsid w:val="00D17869"/>
    <w:rsid w:val="00D24317"/>
    <w:rsid w:val="00D2471E"/>
    <w:rsid w:val="00D24B8D"/>
    <w:rsid w:val="00D2746B"/>
    <w:rsid w:val="00D31091"/>
    <w:rsid w:val="00D31B03"/>
    <w:rsid w:val="00D323DB"/>
    <w:rsid w:val="00D32C6B"/>
    <w:rsid w:val="00D35D51"/>
    <w:rsid w:val="00D37C42"/>
    <w:rsid w:val="00D43FA5"/>
    <w:rsid w:val="00D440A4"/>
    <w:rsid w:val="00D47D05"/>
    <w:rsid w:val="00D5004D"/>
    <w:rsid w:val="00D50216"/>
    <w:rsid w:val="00D50425"/>
    <w:rsid w:val="00D51508"/>
    <w:rsid w:val="00D51789"/>
    <w:rsid w:val="00D548B1"/>
    <w:rsid w:val="00D55789"/>
    <w:rsid w:val="00D576FE"/>
    <w:rsid w:val="00D60309"/>
    <w:rsid w:val="00D60B85"/>
    <w:rsid w:val="00D60BE5"/>
    <w:rsid w:val="00D60D0A"/>
    <w:rsid w:val="00D6180B"/>
    <w:rsid w:val="00D62185"/>
    <w:rsid w:val="00D64825"/>
    <w:rsid w:val="00D6487F"/>
    <w:rsid w:val="00D64D79"/>
    <w:rsid w:val="00D6566C"/>
    <w:rsid w:val="00D71BF6"/>
    <w:rsid w:val="00D73E31"/>
    <w:rsid w:val="00D75500"/>
    <w:rsid w:val="00D757B2"/>
    <w:rsid w:val="00D76BB7"/>
    <w:rsid w:val="00D82802"/>
    <w:rsid w:val="00D82882"/>
    <w:rsid w:val="00D8368A"/>
    <w:rsid w:val="00D838F8"/>
    <w:rsid w:val="00D8550B"/>
    <w:rsid w:val="00D9020F"/>
    <w:rsid w:val="00D9039B"/>
    <w:rsid w:val="00D9323A"/>
    <w:rsid w:val="00D942C9"/>
    <w:rsid w:val="00D96FEE"/>
    <w:rsid w:val="00D97883"/>
    <w:rsid w:val="00DA0E7A"/>
    <w:rsid w:val="00DA1EED"/>
    <w:rsid w:val="00DA24BC"/>
    <w:rsid w:val="00DA3005"/>
    <w:rsid w:val="00DA3A0D"/>
    <w:rsid w:val="00DA3A76"/>
    <w:rsid w:val="00DA3EB8"/>
    <w:rsid w:val="00DA6F44"/>
    <w:rsid w:val="00DB18D9"/>
    <w:rsid w:val="00DB29CD"/>
    <w:rsid w:val="00DB2E99"/>
    <w:rsid w:val="00DB30CF"/>
    <w:rsid w:val="00DB677E"/>
    <w:rsid w:val="00DC003F"/>
    <w:rsid w:val="00DC0CE2"/>
    <w:rsid w:val="00DC1ADD"/>
    <w:rsid w:val="00DC239E"/>
    <w:rsid w:val="00DC2ADE"/>
    <w:rsid w:val="00DC4450"/>
    <w:rsid w:val="00DC6B9D"/>
    <w:rsid w:val="00DC7F52"/>
    <w:rsid w:val="00DD0247"/>
    <w:rsid w:val="00DD4D06"/>
    <w:rsid w:val="00DD4F9C"/>
    <w:rsid w:val="00DD5AB5"/>
    <w:rsid w:val="00DD5BF5"/>
    <w:rsid w:val="00DD718B"/>
    <w:rsid w:val="00DE042A"/>
    <w:rsid w:val="00DE0D14"/>
    <w:rsid w:val="00DE24C3"/>
    <w:rsid w:val="00DE39A6"/>
    <w:rsid w:val="00DE3F88"/>
    <w:rsid w:val="00DE408E"/>
    <w:rsid w:val="00DE703F"/>
    <w:rsid w:val="00DE728D"/>
    <w:rsid w:val="00DE79BC"/>
    <w:rsid w:val="00DE7D4F"/>
    <w:rsid w:val="00DF0DCD"/>
    <w:rsid w:val="00DF30C7"/>
    <w:rsid w:val="00DF6028"/>
    <w:rsid w:val="00DF73D4"/>
    <w:rsid w:val="00E0161D"/>
    <w:rsid w:val="00E01D32"/>
    <w:rsid w:val="00E02B92"/>
    <w:rsid w:val="00E03641"/>
    <w:rsid w:val="00E04DAF"/>
    <w:rsid w:val="00E05B18"/>
    <w:rsid w:val="00E05D07"/>
    <w:rsid w:val="00E05E78"/>
    <w:rsid w:val="00E06810"/>
    <w:rsid w:val="00E06A5D"/>
    <w:rsid w:val="00E07A3C"/>
    <w:rsid w:val="00E106CA"/>
    <w:rsid w:val="00E10D63"/>
    <w:rsid w:val="00E111E7"/>
    <w:rsid w:val="00E1311B"/>
    <w:rsid w:val="00E137A4"/>
    <w:rsid w:val="00E14ECD"/>
    <w:rsid w:val="00E2199B"/>
    <w:rsid w:val="00E221A5"/>
    <w:rsid w:val="00E27389"/>
    <w:rsid w:val="00E3098B"/>
    <w:rsid w:val="00E31E16"/>
    <w:rsid w:val="00E33BB7"/>
    <w:rsid w:val="00E34377"/>
    <w:rsid w:val="00E344ED"/>
    <w:rsid w:val="00E4160A"/>
    <w:rsid w:val="00E429C8"/>
    <w:rsid w:val="00E42DA4"/>
    <w:rsid w:val="00E444F3"/>
    <w:rsid w:val="00E45EA0"/>
    <w:rsid w:val="00E47711"/>
    <w:rsid w:val="00E47E68"/>
    <w:rsid w:val="00E50B3F"/>
    <w:rsid w:val="00E52788"/>
    <w:rsid w:val="00E53C7D"/>
    <w:rsid w:val="00E53EA9"/>
    <w:rsid w:val="00E56F64"/>
    <w:rsid w:val="00E60BD4"/>
    <w:rsid w:val="00E62A4E"/>
    <w:rsid w:val="00E63858"/>
    <w:rsid w:val="00E6461C"/>
    <w:rsid w:val="00E6603C"/>
    <w:rsid w:val="00E66758"/>
    <w:rsid w:val="00E70F16"/>
    <w:rsid w:val="00E7155B"/>
    <w:rsid w:val="00E722CE"/>
    <w:rsid w:val="00E72C04"/>
    <w:rsid w:val="00E73243"/>
    <w:rsid w:val="00E73D4A"/>
    <w:rsid w:val="00E754A1"/>
    <w:rsid w:val="00E75E9D"/>
    <w:rsid w:val="00E76711"/>
    <w:rsid w:val="00E77715"/>
    <w:rsid w:val="00E80332"/>
    <w:rsid w:val="00E81F92"/>
    <w:rsid w:val="00E821EC"/>
    <w:rsid w:val="00E8268D"/>
    <w:rsid w:val="00E8400E"/>
    <w:rsid w:val="00E85086"/>
    <w:rsid w:val="00E90038"/>
    <w:rsid w:val="00E90BAE"/>
    <w:rsid w:val="00E93B22"/>
    <w:rsid w:val="00E946DD"/>
    <w:rsid w:val="00E9622E"/>
    <w:rsid w:val="00E962BD"/>
    <w:rsid w:val="00EA0856"/>
    <w:rsid w:val="00EA2931"/>
    <w:rsid w:val="00EA2CF6"/>
    <w:rsid w:val="00EA547E"/>
    <w:rsid w:val="00EA62F1"/>
    <w:rsid w:val="00EA63E4"/>
    <w:rsid w:val="00EB1687"/>
    <w:rsid w:val="00EB2333"/>
    <w:rsid w:val="00EB2F2F"/>
    <w:rsid w:val="00EC1093"/>
    <w:rsid w:val="00EC1C0A"/>
    <w:rsid w:val="00EC2C0B"/>
    <w:rsid w:val="00EC4642"/>
    <w:rsid w:val="00EC5140"/>
    <w:rsid w:val="00EC5956"/>
    <w:rsid w:val="00EC59B1"/>
    <w:rsid w:val="00EC686F"/>
    <w:rsid w:val="00EC7C0C"/>
    <w:rsid w:val="00ED019E"/>
    <w:rsid w:val="00ED3187"/>
    <w:rsid w:val="00ED3840"/>
    <w:rsid w:val="00ED3DF3"/>
    <w:rsid w:val="00ED580A"/>
    <w:rsid w:val="00ED5B02"/>
    <w:rsid w:val="00ED6380"/>
    <w:rsid w:val="00ED71F7"/>
    <w:rsid w:val="00EE0CDF"/>
    <w:rsid w:val="00EE1363"/>
    <w:rsid w:val="00EE38F5"/>
    <w:rsid w:val="00EE59C5"/>
    <w:rsid w:val="00EE6542"/>
    <w:rsid w:val="00EE7126"/>
    <w:rsid w:val="00EF04BC"/>
    <w:rsid w:val="00EF0906"/>
    <w:rsid w:val="00EF10E9"/>
    <w:rsid w:val="00EF2A73"/>
    <w:rsid w:val="00EF33D4"/>
    <w:rsid w:val="00EF3FC8"/>
    <w:rsid w:val="00EF56E1"/>
    <w:rsid w:val="00EF57F2"/>
    <w:rsid w:val="00EF5D67"/>
    <w:rsid w:val="00EF6118"/>
    <w:rsid w:val="00EF6393"/>
    <w:rsid w:val="00EF774D"/>
    <w:rsid w:val="00EF7867"/>
    <w:rsid w:val="00F004C4"/>
    <w:rsid w:val="00F025A1"/>
    <w:rsid w:val="00F03695"/>
    <w:rsid w:val="00F04A97"/>
    <w:rsid w:val="00F122C4"/>
    <w:rsid w:val="00F12D6F"/>
    <w:rsid w:val="00F134F8"/>
    <w:rsid w:val="00F13DA8"/>
    <w:rsid w:val="00F161BB"/>
    <w:rsid w:val="00F16BA1"/>
    <w:rsid w:val="00F16EA7"/>
    <w:rsid w:val="00F1710C"/>
    <w:rsid w:val="00F20712"/>
    <w:rsid w:val="00F20A82"/>
    <w:rsid w:val="00F21F88"/>
    <w:rsid w:val="00F2252F"/>
    <w:rsid w:val="00F2457F"/>
    <w:rsid w:val="00F249E2"/>
    <w:rsid w:val="00F24CFD"/>
    <w:rsid w:val="00F262A2"/>
    <w:rsid w:val="00F26FC1"/>
    <w:rsid w:val="00F27B85"/>
    <w:rsid w:val="00F30293"/>
    <w:rsid w:val="00F32EDF"/>
    <w:rsid w:val="00F33350"/>
    <w:rsid w:val="00F33E20"/>
    <w:rsid w:val="00F348DE"/>
    <w:rsid w:val="00F34EA9"/>
    <w:rsid w:val="00F35660"/>
    <w:rsid w:val="00F356F1"/>
    <w:rsid w:val="00F369F7"/>
    <w:rsid w:val="00F36D82"/>
    <w:rsid w:val="00F40386"/>
    <w:rsid w:val="00F478A4"/>
    <w:rsid w:val="00F50B89"/>
    <w:rsid w:val="00F53F6A"/>
    <w:rsid w:val="00F562D9"/>
    <w:rsid w:val="00F56449"/>
    <w:rsid w:val="00F57C68"/>
    <w:rsid w:val="00F60E74"/>
    <w:rsid w:val="00F612DC"/>
    <w:rsid w:val="00F6169E"/>
    <w:rsid w:val="00F629D9"/>
    <w:rsid w:val="00F62F67"/>
    <w:rsid w:val="00F635BC"/>
    <w:rsid w:val="00F666F1"/>
    <w:rsid w:val="00F67C8E"/>
    <w:rsid w:val="00F707A7"/>
    <w:rsid w:val="00F70CC3"/>
    <w:rsid w:val="00F717B3"/>
    <w:rsid w:val="00F7351D"/>
    <w:rsid w:val="00F74766"/>
    <w:rsid w:val="00F74E22"/>
    <w:rsid w:val="00F7556A"/>
    <w:rsid w:val="00F75C54"/>
    <w:rsid w:val="00F77F6C"/>
    <w:rsid w:val="00F8040E"/>
    <w:rsid w:val="00F81609"/>
    <w:rsid w:val="00F83581"/>
    <w:rsid w:val="00F86455"/>
    <w:rsid w:val="00F87EB7"/>
    <w:rsid w:val="00F87EB9"/>
    <w:rsid w:val="00F90E57"/>
    <w:rsid w:val="00F92558"/>
    <w:rsid w:val="00F92CAB"/>
    <w:rsid w:val="00F92DAE"/>
    <w:rsid w:val="00F94ABC"/>
    <w:rsid w:val="00F94DE7"/>
    <w:rsid w:val="00F94E2E"/>
    <w:rsid w:val="00F9645C"/>
    <w:rsid w:val="00F96E5B"/>
    <w:rsid w:val="00F97DA1"/>
    <w:rsid w:val="00FA0029"/>
    <w:rsid w:val="00FA03AE"/>
    <w:rsid w:val="00FA12AC"/>
    <w:rsid w:val="00FA14E0"/>
    <w:rsid w:val="00FA7A16"/>
    <w:rsid w:val="00FA7F86"/>
    <w:rsid w:val="00FB0BB5"/>
    <w:rsid w:val="00FB3A9E"/>
    <w:rsid w:val="00FB4962"/>
    <w:rsid w:val="00FB49A1"/>
    <w:rsid w:val="00FB5546"/>
    <w:rsid w:val="00FB64C5"/>
    <w:rsid w:val="00FB6E7C"/>
    <w:rsid w:val="00FB7006"/>
    <w:rsid w:val="00FB7020"/>
    <w:rsid w:val="00FC1176"/>
    <w:rsid w:val="00FC2EA2"/>
    <w:rsid w:val="00FC37E4"/>
    <w:rsid w:val="00FC3D02"/>
    <w:rsid w:val="00FC46CA"/>
    <w:rsid w:val="00FC476F"/>
    <w:rsid w:val="00FC4C09"/>
    <w:rsid w:val="00FC5429"/>
    <w:rsid w:val="00FC77D7"/>
    <w:rsid w:val="00FD404E"/>
    <w:rsid w:val="00FD5228"/>
    <w:rsid w:val="00FD56E8"/>
    <w:rsid w:val="00FD5E38"/>
    <w:rsid w:val="00FD611E"/>
    <w:rsid w:val="00FD73FD"/>
    <w:rsid w:val="00FD7D2E"/>
    <w:rsid w:val="00FD7E84"/>
    <w:rsid w:val="00FE0886"/>
    <w:rsid w:val="00FE1113"/>
    <w:rsid w:val="00FE2C2A"/>
    <w:rsid w:val="00FE2F87"/>
    <w:rsid w:val="00FE4493"/>
    <w:rsid w:val="00FE4BEC"/>
    <w:rsid w:val="00FE51E5"/>
    <w:rsid w:val="00FE59A2"/>
    <w:rsid w:val="00FE7D75"/>
    <w:rsid w:val="00FF10D1"/>
    <w:rsid w:val="00FF2693"/>
    <w:rsid w:val="00FF2956"/>
    <w:rsid w:val="00FF4109"/>
    <w:rsid w:val="00FF5D38"/>
    <w:rsid w:val="00FF5E02"/>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B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C23"/>
  </w:style>
  <w:style w:type="paragraph" w:styleId="Heading1">
    <w:name w:val="heading 1"/>
    <w:basedOn w:val="NoSpacing"/>
    <w:next w:val="NoSpacing"/>
    <w:link w:val="Heading1Char"/>
    <w:uiPriority w:val="9"/>
    <w:qFormat/>
    <w:rsid w:val="00454528"/>
    <w:pPr>
      <w:keepNext/>
      <w:keepLines/>
      <w:spacing w:before="480"/>
      <w:outlineLvl w:val="0"/>
    </w:pPr>
    <w:rPr>
      <w:rFonts w:asciiTheme="majorHAnsi" w:eastAsiaTheme="majorEastAsia" w:hAnsiTheme="majorHAnsi" w:cstheme="majorBidi"/>
      <w:b/>
      <w:bCs/>
      <w:sz w:val="28"/>
      <w:szCs w:val="28"/>
    </w:rPr>
  </w:style>
  <w:style w:type="paragraph" w:styleId="Heading2">
    <w:name w:val="heading 2"/>
    <w:next w:val="NoSpacing"/>
    <w:link w:val="Heading2Char"/>
    <w:autoRedefine/>
    <w:uiPriority w:val="9"/>
    <w:unhideWhenUsed/>
    <w:qFormat/>
    <w:rsid w:val="00B12049"/>
    <w:pPr>
      <w:numPr>
        <w:numId w:val="32"/>
      </w:numPr>
      <w:spacing w:after="0" w:line="240" w:lineRule="auto"/>
      <w:outlineLvl w:val="1"/>
    </w:pPr>
    <w:rPr>
      <w:rFonts w:asciiTheme="majorHAnsi" w:eastAsiaTheme="majorEastAsia" w:hAnsiTheme="majorHAnsi" w:cstheme="majorBidi"/>
      <w:b/>
      <w:bCs/>
      <w:u w:val="single"/>
    </w:rPr>
  </w:style>
  <w:style w:type="paragraph" w:styleId="Heading3">
    <w:name w:val="heading 3"/>
    <w:basedOn w:val="NoSpacing"/>
    <w:next w:val="Normal"/>
    <w:link w:val="Heading3Char"/>
    <w:uiPriority w:val="9"/>
    <w:unhideWhenUsed/>
    <w:qFormat/>
    <w:rsid w:val="00D24317"/>
    <w:pPr>
      <w:outlineLvl w:val="2"/>
    </w:pPr>
    <w:rPr>
      <w:b/>
    </w:rPr>
  </w:style>
  <w:style w:type="paragraph" w:styleId="Heading4">
    <w:name w:val="heading 4"/>
    <w:basedOn w:val="NoSpacing"/>
    <w:next w:val="Normal"/>
    <w:link w:val="Heading4Char"/>
    <w:uiPriority w:val="9"/>
    <w:unhideWhenUsed/>
    <w:qFormat/>
    <w:rsid w:val="00CF260D"/>
    <w:pPr>
      <w:numPr>
        <w:ilvl w:val="2"/>
        <w:numId w:val="3"/>
      </w:numPr>
      <w:ind w:left="0" w:firstLine="947"/>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B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5B18"/>
  </w:style>
  <w:style w:type="paragraph" w:styleId="Footer">
    <w:name w:val="footer"/>
    <w:basedOn w:val="NoSpacing"/>
    <w:link w:val="FooterChar"/>
    <w:uiPriority w:val="99"/>
    <w:unhideWhenUsed/>
    <w:rsid w:val="00E05B18"/>
    <w:pPr>
      <w:tabs>
        <w:tab w:val="center" w:pos="4536"/>
        <w:tab w:val="right" w:pos="9072"/>
      </w:tabs>
    </w:pPr>
  </w:style>
  <w:style w:type="character" w:customStyle="1" w:styleId="FooterChar">
    <w:name w:val="Footer Char"/>
    <w:basedOn w:val="DefaultParagraphFont"/>
    <w:link w:val="Footer"/>
    <w:uiPriority w:val="99"/>
    <w:rsid w:val="00A26C23"/>
  </w:style>
  <w:style w:type="paragraph" w:styleId="BalloonText">
    <w:name w:val="Balloon Text"/>
    <w:basedOn w:val="Normal"/>
    <w:link w:val="BalloonTextChar"/>
    <w:uiPriority w:val="99"/>
    <w:semiHidden/>
    <w:unhideWhenUsed/>
    <w:rsid w:val="00E05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B18"/>
    <w:rPr>
      <w:rFonts w:ascii="Tahoma" w:hAnsi="Tahoma" w:cs="Tahoma"/>
      <w:sz w:val="16"/>
      <w:szCs w:val="16"/>
    </w:rPr>
  </w:style>
  <w:style w:type="paragraph" w:styleId="NoSpacing">
    <w:name w:val="No Spacing"/>
    <w:uiPriority w:val="1"/>
    <w:qFormat/>
    <w:rsid w:val="00A37AEB"/>
    <w:pPr>
      <w:spacing w:after="0" w:line="240" w:lineRule="auto"/>
    </w:pPr>
  </w:style>
  <w:style w:type="paragraph" w:styleId="Title">
    <w:name w:val="Title"/>
    <w:basedOn w:val="NoSpacing"/>
    <w:next w:val="NoSpacing"/>
    <w:link w:val="TitleChar"/>
    <w:uiPriority w:val="10"/>
    <w:qFormat/>
    <w:rsid w:val="00D71B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735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5452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12049"/>
    <w:rPr>
      <w:rFonts w:asciiTheme="majorHAnsi" w:eastAsiaTheme="majorEastAsia" w:hAnsiTheme="majorHAnsi" w:cstheme="majorBidi"/>
      <w:b/>
      <w:bCs/>
      <w:u w:val="single"/>
    </w:rPr>
  </w:style>
  <w:style w:type="paragraph" w:styleId="Subtitle">
    <w:name w:val="Subtitle"/>
    <w:basedOn w:val="NoSpacing"/>
    <w:next w:val="NoSpacing"/>
    <w:link w:val="SubtitleChar"/>
    <w:uiPriority w:val="11"/>
    <w:qFormat/>
    <w:rsid w:val="005673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7357"/>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Spacing"/>
    <w:next w:val="NoSpacing"/>
    <w:link w:val="IntenseQuoteChar"/>
    <w:uiPriority w:val="30"/>
    <w:qFormat/>
    <w:rsid w:val="005673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7357"/>
    <w:rPr>
      <w:b/>
      <w:bCs/>
      <w:i/>
      <w:iCs/>
      <w:color w:val="4F81BD" w:themeColor="accent1"/>
    </w:rPr>
  </w:style>
  <w:style w:type="table" w:styleId="TableGrid">
    <w:name w:val="Table Grid"/>
    <w:basedOn w:val="TableNormal"/>
    <w:uiPriority w:val="59"/>
    <w:rsid w:val="00ED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Spacing"/>
    <w:next w:val="NoSpacing"/>
    <w:uiPriority w:val="35"/>
    <w:unhideWhenUsed/>
    <w:qFormat/>
    <w:rsid w:val="00ED71F7"/>
    <w:rPr>
      <w:b/>
      <w:bCs/>
      <w:szCs w:val="18"/>
    </w:rPr>
  </w:style>
  <w:style w:type="paragraph" w:styleId="Quote">
    <w:name w:val="Quote"/>
    <w:basedOn w:val="NoSpacing"/>
    <w:next w:val="NoSpacing"/>
    <w:link w:val="QuoteChar"/>
    <w:uiPriority w:val="29"/>
    <w:qFormat/>
    <w:rsid w:val="009C4FD6"/>
    <w:rPr>
      <w:i/>
      <w:iCs/>
      <w:color w:val="000000" w:themeColor="text1"/>
    </w:rPr>
  </w:style>
  <w:style w:type="character" w:customStyle="1" w:styleId="QuoteChar">
    <w:name w:val="Quote Char"/>
    <w:basedOn w:val="DefaultParagraphFont"/>
    <w:link w:val="Quote"/>
    <w:uiPriority w:val="29"/>
    <w:rsid w:val="009C4FD6"/>
    <w:rPr>
      <w:i/>
      <w:iCs/>
      <w:color w:val="000000" w:themeColor="text1"/>
    </w:rPr>
  </w:style>
  <w:style w:type="paragraph" w:styleId="ListParagraph">
    <w:name w:val="List Paragraph"/>
    <w:basedOn w:val="NoSpacing"/>
    <w:link w:val="ListParagraphChar"/>
    <w:uiPriority w:val="34"/>
    <w:qFormat/>
    <w:rsid w:val="009C4FD6"/>
    <w:pPr>
      <w:ind w:left="720"/>
      <w:contextualSpacing/>
    </w:pPr>
  </w:style>
  <w:style w:type="paragraph" w:styleId="FootnoteText">
    <w:name w:val="footnote text"/>
    <w:basedOn w:val="NoSpacing"/>
    <w:link w:val="FootnoteTextChar"/>
    <w:uiPriority w:val="99"/>
    <w:semiHidden/>
    <w:unhideWhenUsed/>
    <w:rsid w:val="00A26C23"/>
    <w:rPr>
      <w:sz w:val="20"/>
      <w:szCs w:val="20"/>
    </w:rPr>
  </w:style>
  <w:style w:type="character" w:customStyle="1" w:styleId="FootnoteTextChar">
    <w:name w:val="Footnote Text Char"/>
    <w:basedOn w:val="DefaultParagraphFont"/>
    <w:link w:val="FootnoteText"/>
    <w:uiPriority w:val="99"/>
    <w:semiHidden/>
    <w:rsid w:val="00A26C23"/>
    <w:rPr>
      <w:sz w:val="20"/>
      <w:szCs w:val="20"/>
    </w:rPr>
  </w:style>
  <w:style w:type="character" w:styleId="CommentReference">
    <w:name w:val="annotation reference"/>
    <w:basedOn w:val="DefaultParagraphFont"/>
    <w:uiPriority w:val="99"/>
    <w:unhideWhenUsed/>
    <w:rsid w:val="00CC291A"/>
    <w:rPr>
      <w:sz w:val="16"/>
      <w:szCs w:val="16"/>
    </w:rPr>
  </w:style>
  <w:style w:type="paragraph" w:styleId="CommentText">
    <w:name w:val="annotation text"/>
    <w:basedOn w:val="Normal"/>
    <w:link w:val="CommentTextChar"/>
    <w:uiPriority w:val="99"/>
    <w:unhideWhenUsed/>
    <w:rsid w:val="00CC291A"/>
    <w:pPr>
      <w:spacing w:line="240" w:lineRule="auto"/>
    </w:pPr>
    <w:rPr>
      <w:sz w:val="20"/>
      <w:szCs w:val="20"/>
    </w:rPr>
  </w:style>
  <w:style w:type="character" w:customStyle="1" w:styleId="CommentTextChar">
    <w:name w:val="Comment Text Char"/>
    <w:basedOn w:val="DefaultParagraphFont"/>
    <w:link w:val="CommentText"/>
    <w:uiPriority w:val="99"/>
    <w:rsid w:val="00CC291A"/>
    <w:rPr>
      <w:sz w:val="20"/>
      <w:szCs w:val="20"/>
    </w:rPr>
  </w:style>
  <w:style w:type="paragraph" w:styleId="CommentSubject">
    <w:name w:val="annotation subject"/>
    <w:basedOn w:val="CommentText"/>
    <w:next w:val="CommentText"/>
    <w:link w:val="CommentSubjectChar"/>
    <w:uiPriority w:val="99"/>
    <w:semiHidden/>
    <w:unhideWhenUsed/>
    <w:rsid w:val="00CC291A"/>
    <w:rPr>
      <w:b/>
      <w:bCs/>
    </w:rPr>
  </w:style>
  <w:style w:type="character" w:customStyle="1" w:styleId="CommentSubjectChar">
    <w:name w:val="Comment Subject Char"/>
    <w:basedOn w:val="CommentTextChar"/>
    <w:link w:val="CommentSubject"/>
    <w:uiPriority w:val="99"/>
    <w:semiHidden/>
    <w:rsid w:val="00CC291A"/>
    <w:rPr>
      <w:b/>
      <w:bCs/>
      <w:sz w:val="20"/>
      <w:szCs w:val="20"/>
    </w:rPr>
  </w:style>
  <w:style w:type="paragraph" w:customStyle="1" w:styleId="Char1">
    <w:name w:val="Char1"/>
    <w:basedOn w:val="Normal"/>
    <w:rsid w:val="00901473"/>
    <w:pPr>
      <w:spacing w:after="0" w:line="240" w:lineRule="auto"/>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617D04"/>
    <w:rPr>
      <w:color w:val="0000FF" w:themeColor="hyperlink"/>
      <w:u w:val="single"/>
    </w:rPr>
  </w:style>
  <w:style w:type="table" w:styleId="LightShading-Accent1">
    <w:name w:val="Light Shading Accent 1"/>
    <w:basedOn w:val="TableNormal"/>
    <w:uiPriority w:val="60"/>
    <w:rsid w:val="00F53F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AB4F90"/>
    <w:rPr>
      <w:color w:val="800080" w:themeColor="followedHyperlink"/>
      <w:u w:val="single"/>
    </w:rPr>
  </w:style>
  <w:style w:type="character" w:styleId="FootnoteReference">
    <w:name w:val="footnote reference"/>
    <w:basedOn w:val="DefaultParagraphFont"/>
    <w:uiPriority w:val="99"/>
    <w:semiHidden/>
    <w:unhideWhenUsed/>
    <w:rsid w:val="00F262A2"/>
    <w:rPr>
      <w:vertAlign w:val="superscript"/>
    </w:rPr>
  </w:style>
  <w:style w:type="character" w:styleId="Emphasis">
    <w:name w:val="Emphasis"/>
    <w:uiPriority w:val="20"/>
    <w:qFormat/>
    <w:rsid w:val="000F0ABF"/>
    <w:rPr>
      <w:b/>
      <w:u w:val="single"/>
    </w:rPr>
  </w:style>
  <w:style w:type="character" w:styleId="SubtleEmphasis">
    <w:name w:val="Subtle Emphasis"/>
    <w:uiPriority w:val="19"/>
    <w:qFormat/>
    <w:rsid w:val="000F0ABF"/>
    <w:rPr>
      <w:b/>
    </w:rPr>
  </w:style>
  <w:style w:type="character" w:customStyle="1" w:styleId="Heading3Char">
    <w:name w:val="Heading 3 Char"/>
    <w:basedOn w:val="DefaultParagraphFont"/>
    <w:link w:val="Heading3"/>
    <w:uiPriority w:val="9"/>
    <w:rsid w:val="00D24317"/>
    <w:rPr>
      <w:b/>
    </w:rPr>
  </w:style>
  <w:style w:type="character" w:customStyle="1" w:styleId="Heading4Char">
    <w:name w:val="Heading 4 Char"/>
    <w:basedOn w:val="DefaultParagraphFont"/>
    <w:link w:val="Heading4"/>
    <w:uiPriority w:val="9"/>
    <w:rsid w:val="00CF260D"/>
    <w:rPr>
      <w:b/>
    </w:rPr>
  </w:style>
  <w:style w:type="paragraph" w:customStyle="1" w:styleId="Default">
    <w:name w:val="Default"/>
    <w:rsid w:val="00864D87"/>
    <w:pPr>
      <w:autoSpaceDE w:val="0"/>
      <w:autoSpaceDN w:val="0"/>
      <w:adjustRightInd w:val="0"/>
      <w:spacing w:after="0" w:line="240" w:lineRule="auto"/>
    </w:pPr>
    <w:rPr>
      <w:rFonts w:ascii="Myriad Pro" w:hAnsi="Myriad Pro" w:cs="Myriad Pro"/>
      <w:color w:val="000000"/>
      <w:sz w:val="24"/>
      <w:szCs w:val="24"/>
    </w:rPr>
  </w:style>
  <w:style w:type="paragraph" w:customStyle="1" w:styleId="Pa5">
    <w:name w:val="Pa5"/>
    <w:basedOn w:val="Default"/>
    <w:next w:val="Default"/>
    <w:uiPriority w:val="99"/>
    <w:rsid w:val="00864D87"/>
    <w:pPr>
      <w:spacing w:line="201" w:lineRule="atLeast"/>
    </w:pPr>
    <w:rPr>
      <w:rFonts w:cstheme="minorBidi"/>
      <w:color w:val="auto"/>
    </w:rPr>
  </w:style>
  <w:style w:type="paragraph" w:customStyle="1" w:styleId="Pa34">
    <w:name w:val="Pa34"/>
    <w:basedOn w:val="Default"/>
    <w:next w:val="Default"/>
    <w:uiPriority w:val="99"/>
    <w:rsid w:val="00864D87"/>
    <w:pPr>
      <w:spacing w:line="201" w:lineRule="atLeast"/>
    </w:pPr>
    <w:rPr>
      <w:rFonts w:cstheme="minorBidi"/>
      <w:color w:val="auto"/>
    </w:rPr>
  </w:style>
  <w:style w:type="paragraph" w:styleId="Revision">
    <w:name w:val="Revision"/>
    <w:hidden/>
    <w:uiPriority w:val="99"/>
    <w:semiHidden/>
    <w:rsid w:val="0009058C"/>
    <w:pPr>
      <w:spacing w:after="0" w:line="240" w:lineRule="auto"/>
    </w:pPr>
  </w:style>
  <w:style w:type="character" w:customStyle="1" w:styleId="ListParagraphChar">
    <w:name w:val="List Paragraph Char"/>
    <w:link w:val="ListParagraph"/>
    <w:uiPriority w:val="34"/>
    <w:rsid w:val="00E56F64"/>
  </w:style>
  <w:style w:type="character" w:styleId="UnresolvedMention">
    <w:name w:val="Unresolved Mention"/>
    <w:basedOn w:val="DefaultParagraphFont"/>
    <w:uiPriority w:val="99"/>
    <w:semiHidden/>
    <w:unhideWhenUsed/>
    <w:rsid w:val="00392B2B"/>
    <w:rPr>
      <w:color w:val="605E5C"/>
      <w:shd w:val="clear" w:color="auto" w:fill="E1DFDD"/>
    </w:rPr>
  </w:style>
  <w:style w:type="character" w:customStyle="1" w:styleId="simpletext">
    <w:name w:val="simpletext"/>
    <w:basedOn w:val="DefaultParagraphFont"/>
    <w:rsid w:val="0039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523">
      <w:bodyDiv w:val="1"/>
      <w:marLeft w:val="0"/>
      <w:marRight w:val="0"/>
      <w:marTop w:val="0"/>
      <w:marBottom w:val="0"/>
      <w:divBdr>
        <w:top w:val="none" w:sz="0" w:space="0" w:color="auto"/>
        <w:left w:val="none" w:sz="0" w:space="0" w:color="auto"/>
        <w:bottom w:val="none" w:sz="0" w:space="0" w:color="auto"/>
        <w:right w:val="none" w:sz="0" w:space="0" w:color="auto"/>
      </w:divBdr>
    </w:div>
    <w:div w:id="66147382">
      <w:bodyDiv w:val="1"/>
      <w:marLeft w:val="0"/>
      <w:marRight w:val="0"/>
      <w:marTop w:val="0"/>
      <w:marBottom w:val="0"/>
      <w:divBdr>
        <w:top w:val="none" w:sz="0" w:space="0" w:color="auto"/>
        <w:left w:val="none" w:sz="0" w:space="0" w:color="auto"/>
        <w:bottom w:val="none" w:sz="0" w:space="0" w:color="auto"/>
        <w:right w:val="none" w:sz="0" w:space="0" w:color="auto"/>
      </w:divBdr>
    </w:div>
    <w:div w:id="74790089">
      <w:bodyDiv w:val="1"/>
      <w:marLeft w:val="0"/>
      <w:marRight w:val="0"/>
      <w:marTop w:val="0"/>
      <w:marBottom w:val="0"/>
      <w:divBdr>
        <w:top w:val="none" w:sz="0" w:space="0" w:color="auto"/>
        <w:left w:val="none" w:sz="0" w:space="0" w:color="auto"/>
        <w:bottom w:val="none" w:sz="0" w:space="0" w:color="auto"/>
        <w:right w:val="none" w:sz="0" w:space="0" w:color="auto"/>
      </w:divBdr>
    </w:div>
    <w:div w:id="228927475">
      <w:bodyDiv w:val="1"/>
      <w:marLeft w:val="0"/>
      <w:marRight w:val="0"/>
      <w:marTop w:val="0"/>
      <w:marBottom w:val="0"/>
      <w:divBdr>
        <w:top w:val="none" w:sz="0" w:space="0" w:color="auto"/>
        <w:left w:val="none" w:sz="0" w:space="0" w:color="auto"/>
        <w:bottom w:val="none" w:sz="0" w:space="0" w:color="auto"/>
        <w:right w:val="none" w:sz="0" w:space="0" w:color="auto"/>
      </w:divBdr>
    </w:div>
    <w:div w:id="562527775">
      <w:bodyDiv w:val="1"/>
      <w:marLeft w:val="0"/>
      <w:marRight w:val="0"/>
      <w:marTop w:val="0"/>
      <w:marBottom w:val="0"/>
      <w:divBdr>
        <w:top w:val="none" w:sz="0" w:space="0" w:color="auto"/>
        <w:left w:val="none" w:sz="0" w:space="0" w:color="auto"/>
        <w:bottom w:val="none" w:sz="0" w:space="0" w:color="auto"/>
        <w:right w:val="none" w:sz="0" w:space="0" w:color="auto"/>
      </w:divBdr>
    </w:div>
    <w:div w:id="1188985882">
      <w:bodyDiv w:val="1"/>
      <w:marLeft w:val="0"/>
      <w:marRight w:val="0"/>
      <w:marTop w:val="0"/>
      <w:marBottom w:val="0"/>
      <w:divBdr>
        <w:top w:val="none" w:sz="0" w:space="0" w:color="auto"/>
        <w:left w:val="none" w:sz="0" w:space="0" w:color="auto"/>
        <w:bottom w:val="none" w:sz="0" w:space="0" w:color="auto"/>
        <w:right w:val="none" w:sz="0" w:space="0" w:color="auto"/>
      </w:divBdr>
    </w:div>
    <w:div w:id="1610043683">
      <w:bodyDiv w:val="1"/>
      <w:marLeft w:val="0"/>
      <w:marRight w:val="0"/>
      <w:marTop w:val="0"/>
      <w:marBottom w:val="0"/>
      <w:divBdr>
        <w:top w:val="none" w:sz="0" w:space="0" w:color="auto"/>
        <w:left w:val="none" w:sz="0" w:space="0" w:color="auto"/>
        <w:bottom w:val="none" w:sz="0" w:space="0" w:color="auto"/>
        <w:right w:val="none" w:sz="0" w:space="0" w:color="auto"/>
      </w:divBdr>
    </w:div>
    <w:div w:id="1618173398">
      <w:bodyDiv w:val="1"/>
      <w:marLeft w:val="0"/>
      <w:marRight w:val="0"/>
      <w:marTop w:val="0"/>
      <w:marBottom w:val="0"/>
      <w:divBdr>
        <w:top w:val="none" w:sz="0" w:space="0" w:color="auto"/>
        <w:left w:val="none" w:sz="0" w:space="0" w:color="auto"/>
        <w:bottom w:val="none" w:sz="0" w:space="0" w:color="auto"/>
        <w:right w:val="none" w:sz="0" w:space="0" w:color="auto"/>
      </w:divBdr>
    </w:div>
    <w:div w:id="1642879809">
      <w:bodyDiv w:val="1"/>
      <w:marLeft w:val="0"/>
      <w:marRight w:val="0"/>
      <w:marTop w:val="0"/>
      <w:marBottom w:val="0"/>
      <w:divBdr>
        <w:top w:val="none" w:sz="0" w:space="0" w:color="auto"/>
        <w:left w:val="none" w:sz="0" w:space="0" w:color="auto"/>
        <w:bottom w:val="none" w:sz="0" w:space="0" w:color="auto"/>
        <w:right w:val="none" w:sz="0" w:space="0" w:color="auto"/>
      </w:divBdr>
    </w:div>
    <w:div w:id="1669477012">
      <w:bodyDiv w:val="1"/>
      <w:marLeft w:val="0"/>
      <w:marRight w:val="0"/>
      <w:marTop w:val="0"/>
      <w:marBottom w:val="0"/>
      <w:divBdr>
        <w:top w:val="none" w:sz="0" w:space="0" w:color="auto"/>
        <w:left w:val="none" w:sz="0" w:space="0" w:color="auto"/>
        <w:bottom w:val="none" w:sz="0" w:space="0" w:color="auto"/>
        <w:right w:val="none" w:sz="0" w:space="0" w:color="auto"/>
      </w:divBdr>
    </w:div>
    <w:div w:id="1845708577">
      <w:bodyDiv w:val="1"/>
      <w:marLeft w:val="0"/>
      <w:marRight w:val="0"/>
      <w:marTop w:val="0"/>
      <w:marBottom w:val="0"/>
      <w:divBdr>
        <w:top w:val="none" w:sz="0" w:space="0" w:color="auto"/>
        <w:left w:val="none" w:sz="0" w:space="0" w:color="auto"/>
        <w:bottom w:val="none" w:sz="0" w:space="0" w:color="auto"/>
        <w:right w:val="none" w:sz="0" w:space="0" w:color="auto"/>
      </w:divBdr>
    </w:div>
    <w:div w:id="1915627580">
      <w:bodyDiv w:val="1"/>
      <w:marLeft w:val="0"/>
      <w:marRight w:val="0"/>
      <w:marTop w:val="0"/>
      <w:marBottom w:val="0"/>
      <w:divBdr>
        <w:top w:val="none" w:sz="0" w:space="0" w:color="auto"/>
        <w:left w:val="none" w:sz="0" w:space="0" w:color="auto"/>
        <w:bottom w:val="none" w:sz="0" w:space="0" w:color="auto"/>
        <w:right w:val="none" w:sz="0" w:space="0" w:color="auto"/>
      </w:divBdr>
    </w:div>
    <w:div w:id="1919747748">
      <w:bodyDiv w:val="1"/>
      <w:marLeft w:val="0"/>
      <w:marRight w:val="0"/>
      <w:marTop w:val="0"/>
      <w:marBottom w:val="0"/>
      <w:divBdr>
        <w:top w:val="none" w:sz="0" w:space="0" w:color="auto"/>
        <w:left w:val="none" w:sz="0" w:space="0" w:color="auto"/>
        <w:bottom w:val="none" w:sz="0" w:space="0" w:color="auto"/>
        <w:right w:val="none" w:sz="0" w:space="0" w:color="auto"/>
      </w:divBdr>
    </w:div>
    <w:div w:id="2073191756">
      <w:bodyDiv w:val="1"/>
      <w:marLeft w:val="0"/>
      <w:marRight w:val="0"/>
      <w:marTop w:val="0"/>
      <w:marBottom w:val="0"/>
      <w:divBdr>
        <w:top w:val="none" w:sz="0" w:space="0" w:color="auto"/>
        <w:left w:val="none" w:sz="0" w:space="0" w:color="auto"/>
        <w:bottom w:val="none" w:sz="0" w:space="0" w:color="auto"/>
        <w:right w:val="none" w:sz="0" w:space="0" w:color="auto"/>
      </w:divBdr>
    </w:div>
    <w:div w:id="2091655367">
      <w:bodyDiv w:val="1"/>
      <w:marLeft w:val="0"/>
      <w:marRight w:val="0"/>
      <w:marTop w:val="0"/>
      <w:marBottom w:val="0"/>
      <w:divBdr>
        <w:top w:val="none" w:sz="0" w:space="0" w:color="auto"/>
        <w:left w:val="none" w:sz="0" w:space="0" w:color="auto"/>
        <w:bottom w:val="none" w:sz="0" w:space="0" w:color="auto"/>
        <w:right w:val="none" w:sz="0" w:space="0" w:color="auto"/>
      </w:divBdr>
    </w:div>
    <w:div w:id="2094423705">
      <w:bodyDiv w:val="1"/>
      <w:marLeft w:val="0"/>
      <w:marRight w:val="0"/>
      <w:marTop w:val="0"/>
      <w:marBottom w:val="0"/>
      <w:divBdr>
        <w:top w:val="none" w:sz="0" w:space="0" w:color="auto"/>
        <w:left w:val="none" w:sz="0" w:space="0" w:color="auto"/>
        <w:bottom w:val="none" w:sz="0" w:space="0" w:color="auto"/>
        <w:right w:val="none" w:sz="0" w:space="0" w:color="auto"/>
      </w:divBdr>
    </w:div>
    <w:div w:id="213529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treasury.gov.cy/Treasury/treasurynew.nsf/All/41884241D7099A25C2257F1100431D27/$file/&#917;&#952;&#957;&#953;&#954;&#972;&#962;%20&#922;&#974;&#948;&#953;&#954;&#945;&#962;%20&#916;&#949;&#959;&#957;&#964;&#959;&#955;&#959;&#947;&#943;&#945;&#962;.pdf?OpenEl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cy/Treasury/treasurynew.nsf/All/41884241D7099A25C2257F1100431D27/$file/&#917;&#952;&#957;&#953;&#954;&#972;&#962;%20&#922;&#974;&#948;&#953;&#954;&#945;&#962;%20&#916;&#949;&#959;&#957;&#964;&#959;&#955;&#959;&#947;&#943;&#945;&#962;.pdf?OpenEl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www.eprocurement.gov.cy"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treasury.gov.cy/treasury/treasurynew.nsf/page21_gr/page21_gr?OpenDocume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georgiou\Downloads\Statistics%202017_E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georgiou\Downloads\Statistics%202017_EU.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rgeorgiou\Downloads\Statistics%202017_EU.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rgeorgiou\Downloads\Statistics%202017_EU.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value for below threholds tenders </a:t>
            </a:r>
            <a:r>
              <a:rPr lang="en-US" sz="1400" b="0" i="0" u="none" strike="noStrike" baseline="0">
                <a:effectLst/>
              </a:rPr>
              <a:t>- Supplies &amp; Services</a:t>
            </a:r>
            <a:endParaRPr lang="en-US" baseline="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'[Statistics 2017_EU.xlsx]Sheet2'!$F$2</c:f>
              <c:strCache>
                <c:ptCount val="1"/>
                <c:pt idx="0">
                  <c:v>Αριθμός</c:v>
                </c:pt>
              </c:strCache>
            </c:strRef>
          </c:tx>
          <c:spPr>
            <a:solidFill>
              <a:schemeClr val="accent1"/>
            </a:solidFill>
            <a:ln>
              <a:noFill/>
            </a:ln>
            <a:effectLst/>
          </c:spPr>
          <c:invertIfNegative val="0"/>
          <c:cat>
            <c:numRef>
              <c:f>'[Statistics 2017_EU.xlsx]Sheet2'!$B$3:$B$17</c:f>
              <c:numCache>
                <c:formatCode>General</c:formatCode>
                <c:ptCount val="15"/>
                <c:pt idx="0">
                  <c:v>10000</c:v>
                </c:pt>
                <c:pt idx="1">
                  <c:v>20000</c:v>
                </c:pt>
                <c:pt idx="2">
                  <c:v>30000</c:v>
                </c:pt>
                <c:pt idx="3">
                  <c:v>40000</c:v>
                </c:pt>
                <c:pt idx="4">
                  <c:v>50000</c:v>
                </c:pt>
                <c:pt idx="5">
                  <c:v>60000</c:v>
                </c:pt>
                <c:pt idx="6">
                  <c:v>70000</c:v>
                </c:pt>
                <c:pt idx="7">
                  <c:v>80000</c:v>
                </c:pt>
                <c:pt idx="8">
                  <c:v>90000</c:v>
                </c:pt>
                <c:pt idx="9">
                  <c:v>100000</c:v>
                </c:pt>
                <c:pt idx="10">
                  <c:v>110000</c:v>
                </c:pt>
                <c:pt idx="11">
                  <c:v>120000</c:v>
                </c:pt>
                <c:pt idx="12">
                  <c:v>130000</c:v>
                </c:pt>
                <c:pt idx="13">
                  <c:v>135000</c:v>
                </c:pt>
                <c:pt idx="14">
                  <c:v>600000</c:v>
                </c:pt>
              </c:numCache>
            </c:numRef>
          </c:cat>
          <c:val>
            <c:numRef>
              <c:f>'[Statistics 2017_EU.xlsx]Sheet2'!$F$3:$F$17</c:f>
              <c:numCache>
                <c:formatCode>General</c:formatCode>
                <c:ptCount val="15"/>
                <c:pt idx="0">
                  <c:v>399</c:v>
                </c:pt>
                <c:pt idx="1">
                  <c:v>236</c:v>
                </c:pt>
                <c:pt idx="2">
                  <c:v>124</c:v>
                </c:pt>
                <c:pt idx="3">
                  <c:v>91</c:v>
                </c:pt>
                <c:pt idx="4">
                  <c:v>113</c:v>
                </c:pt>
                <c:pt idx="5">
                  <c:v>36</c:v>
                </c:pt>
                <c:pt idx="6">
                  <c:v>34</c:v>
                </c:pt>
                <c:pt idx="7">
                  <c:v>30</c:v>
                </c:pt>
                <c:pt idx="8">
                  <c:v>28</c:v>
                </c:pt>
                <c:pt idx="9">
                  <c:v>35</c:v>
                </c:pt>
                <c:pt idx="10">
                  <c:v>27</c:v>
                </c:pt>
                <c:pt idx="11">
                  <c:v>28</c:v>
                </c:pt>
                <c:pt idx="12">
                  <c:v>61</c:v>
                </c:pt>
                <c:pt idx="13">
                  <c:v>11</c:v>
                </c:pt>
                <c:pt idx="14">
                  <c:v>42</c:v>
                </c:pt>
              </c:numCache>
            </c:numRef>
          </c:val>
          <c:extLst>
            <c:ext xmlns:c16="http://schemas.microsoft.com/office/drawing/2014/chart" uri="{C3380CC4-5D6E-409C-BE32-E72D297353CC}">
              <c16:uniqueId val="{00000000-3FAC-46C9-8655-A79D49DDE5E9}"/>
            </c:ext>
          </c:extLst>
        </c:ser>
        <c:dLbls>
          <c:showLegendKey val="0"/>
          <c:showVal val="0"/>
          <c:showCatName val="0"/>
          <c:showSerName val="0"/>
          <c:showPercent val="0"/>
          <c:showBubbleSize val="0"/>
        </c:dLbls>
        <c:gapWidth val="219"/>
        <c:overlap val="-27"/>
        <c:axId val="1118520751"/>
        <c:axId val="1118534479"/>
      </c:barChart>
      <c:catAx>
        <c:axId val="11185207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Value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534479"/>
        <c:crosses val="autoZero"/>
        <c:auto val="1"/>
        <c:lblAlgn val="ctr"/>
        <c:lblOffset val="100"/>
        <c:noMultiLvlLbl val="0"/>
      </c:catAx>
      <c:valAx>
        <c:axId val="11185344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Tenders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5207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value for above threholds tenders- Supplies &amp; Services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'[Statistics 2017_EU.xlsx]Sheet2'!$F$20</c:f>
              <c:strCache>
                <c:ptCount val="1"/>
                <c:pt idx="0">
                  <c:v>Αριθμός</c:v>
                </c:pt>
              </c:strCache>
            </c:strRef>
          </c:tx>
          <c:spPr>
            <a:solidFill>
              <a:schemeClr val="accent1"/>
            </a:solidFill>
            <a:ln>
              <a:noFill/>
            </a:ln>
            <a:effectLst/>
          </c:spPr>
          <c:invertIfNegative val="0"/>
          <c:cat>
            <c:numRef>
              <c:f>'[Statistics 2017_EU.xlsx]Sheet2'!$B$21:$B$38</c:f>
              <c:numCache>
                <c:formatCode>General</c:formatCode>
                <c:ptCount val="18"/>
                <c:pt idx="0">
                  <c:v>135000</c:v>
                </c:pt>
                <c:pt idx="1">
                  <c:v>200000</c:v>
                </c:pt>
                <c:pt idx="2">
                  <c:v>300000</c:v>
                </c:pt>
                <c:pt idx="3">
                  <c:v>400000</c:v>
                </c:pt>
                <c:pt idx="4">
                  <c:v>500000</c:v>
                </c:pt>
                <c:pt idx="5">
                  <c:v>600000</c:v>
                </c:pt>
                <c:pt idx="6">
                  <c:v>700000</c:v>
                </c:pt>
                <c:pt idx="7">
                  <c:v>800000</c:v>
                </c:pt>
                <c:pt idx="8">
                  <c:v>900000</c:v>
                </c:pt>
                <c:pt idx="9">
                  <c:v>1000000</c:v>
                </c:pt>
                <c:pt idx="10">
                  <c:v>2000000</c:v>
                </c:pt>
                <c:pt idx="11">
                  <c:v>3000000</c:v>
                </c:pt>
                <c:pt idx="12">
                  <c:v>4000000</c:v>
                </c:pt>
                <c:pt idx="13">
                  <c:v>5000000</c:v>
                </c:pt>
                <c:pt idx="14">
                  <c:v>6000000</c:v>
                </c:pt>
                <c:pt idx="15">
                  <c:v>7000000</c:v>
                </c:pt>
                <c:pt idx="16">
                  <c:v>8000000</c:v>
                </c:pt>
                <c:pt idx="17">
                  <c:v>9000000</c:v>
                </c:pt>
              </c:numCache>
            </c:numRef>
          </c:cat>
          <c:val>
            <c:numRef>
              <c:f>'[Statistics 2017_EU.xlsx]Sheet2'!$F$21:$F$38</c:f>
              <c:numCache>
                <c:formatCode>General</c:formatCode>
                <c:ptCount val="18"/>
                <c:pt idx="0">
                  <c:v>13</c:v>
                </c:pt>
                <c:pt idx="1">
                  <c:v>31</c:v>
                </c:pt>
                <c:pt idx="2">
                  <c:v>46</c:v>
                </c:pt>
                <c:pt idx="3">
                  <c:v>33</c:v>
                </c:pt>
                <c:pt idx="4">
                  <c:v>23</c:v>
                </c:pt>
                <c:pt idx="5">
                  <c:v>16</c:v>
                </c:pt>
                <c:pt idx="6">
                  <c:v>16</c:v>
                </c:pt>
                <c:pt idx="7">
                  <c:v>9</c:v>
                </c:pt>
                <c:pt idx="8">
                  <c:v>10</c:v>
                </c:pt>
                <c:pt idx="9">
                  <c:v>13</c:v>
                </c:pt>
                <c:pt idx="10">
                  <c:v>23</c:v>
                </c:pt>
                <c:pt idx="11">
                  <c:v>8</c:v>
                </c:pt>
                <c:pt idx="12">
                  <c:v>7</c:v>
                </c:pt>
                <c:pt idx="13">
                  <c:v>3</c:v>
                </c:pt>
                <c:pt idx="14">
                  <c:v>1</c:v>
                </c:pt>
                <c:pt idx="15">
                  <c:v>0</c:v>
                </c:pt>
                <c:pt idx="16">
                  <c:v>2</c:v>
                </c:pt>
                <c:pt idx="17">
                  <c:v>1</c:v>
                </c:pt>
              </c:numCache>
            </c:numRef>
          </c:val>
          <c:extLst>
            <c:ext xmlns:c16="http://schemas.microsoft.com/office/drawing/2014/chart" uri="{C3380CC4-5D6E-409C-BE32-E72D297353CC}">
              <c16:uniqueId val="{00000000-7612-4C76-838A-06C4C0EF9A8A}"/>
            </c:ext>
          </c:extLst>
        </c:ser>
        <c:dLbls>
          <c:showLegendKey val="0"/>
          <c:showVal val="0"/>
          <c:showCatName val="0"/>
          <c:showSerName val="0"/>
          <c:showPercent val="0"/>
          <c:showBubbleSize val="0"/>
        </c:dLbls>
        <c:gapWidth val="219"/>
        <c:overlap val="-27"/>
        <c:axId val="1118520751"/>
        <c:axId val="1118534479"/>
      </c:barChart>
      <c:catAx>
        <c:axId val="11185207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Value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32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534479"/>
        <c:crosses val="autoZero"/>
        <c:auto val="1"/>
        <c:lblAlgn val="ctr"/>
        <c:lblOffset val="100"/>
        <c:noMultiLvlLbl val="0"/>
      </c:catAx>
      <c:valAx>
        <c:axId val="11185344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Tenders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5207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value for below threholds tenders - Works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'[Statistics 2017_EU.xlsx]Sheet2'!$E$42</c:f>
              <c:strCache>
                <c:ptCount val="1"/>
                <c:pt idx="0">
                  <c:v>Αριθμός</c:v>
                </c:pt>
              </c:strCache>
            </c:strRef>
          </c:tx>
          <c:spPr>
            <a:solidFill>
              <a:schemeClr val="accent1"/>
            </a:solidFill>
            <a:ln>
              <a:noFill/>
            </a:ln>
            <a:effectLst/>
          </c:spPr>
          <c:invertIfNegative val="0"/>
          <c:cat>
            <c:numRef>
              <c:f>'[Statistics 2017_EU.xlsx]Sheet2'!$B$43:$B$53</c:f>
              <c:numCache>
                <c:formatCode>General</c:formatCode>
                <c:ptCount val="11"/>
                <c:pt idx="0">
                  <c:v>50000</c:v>
                </c:pt>
                <c:pt idx="1">
                  <c:v>100000</c:v>
                </c:pt>
                <c:pt idx="2">
                  <c:v>150000</c:v>
                </c:pt>
                <c:pt idx="3">
                  <c:v>250000</c:v>
                </c:pt>
                <c:pt idx="4">
                  <c:v>350000</c:v>
                </c:pt>
                <c:pt idx="5">
                  <c:v>500000</c:v>
                </c:pt>
                <c:pt idx="6">
                  <c:v>1000000</c:v>
                </c:pt>
                <c:pt idx="7">
                  <c:v>1500000</c:v>
                </c:pt>
                <c:pt idx="8">
                  <c:v>2000000</c:v>
                </c:pt>
                <c:pt idx="9">
                  <c:v>2500000</c:v>
                </c:pt>
                <c:pt idx="10">
                  <c:v>4000000</c:v>
                </c:pt>
              </c:numCache>
            </c:numRef>
          </c:cat>
          <c:val>
            <c:numRef>
              <c:f>'[Statistics 2017_EU.xlsx]Sheet2'!$E$43:$E$53</c:f>
              <c:numCache>
                <c:formatCode>General</c:formatCode>
                <c:ptCount val="11"/>
                <c:pt idx="0">
                  <c:v>90</c:v>
                </c:pt>
                <c:pt idx="1">
                  <c:v>40</c:v>
                </c:pt>
                <c:pt idx="2">
                  <c:v>17</c:v>
                </c:pt>
                <c:pt idx="3">
                  <c:v>14</c:v>
                </c:pt>
                <c:pt idx="4">
                  <c:v>6</c:v>
                </c:pt>
                <c:pt idx="5">
                  <c:v>5</c:v>
                </c:pt>
                <c:pt idx="6">
                  <c:v>11</c:v>
                </c:pt>
                <c:pt idx="7">
                  <c:v>3</c:v>
                </c:pt>
                <c:pt idx="8">
                  <c:v>3</c:v>
                </c:pt>
                <c:pt idx="9">
                  <c:v>2</c:v>
                </c:pt>
                <c:pt idx="10">
                  <c:v>3</c:v>
                </c:pt>
              </c:numCache>
            </c:numRef>
          </c:val>
          <c:extLst>
            <c:ext xmlns:c16="http://schemas.microsoft.com/office/drawing/2014/chart" uri="{C3380CC4-5D6E-409C-BE32-E72D297353CC}">
              <c16:uniqueId val="{00000000-03A2-4332-AD3A-92E4F8C40D74}"/>
            </c:ext>
          </c:extLst>
        </c:ser>
        <c:dLbls>
          <c:showLegendKey val="0"/>
          <c:showVal val="0"/>
          <c:showCatName val="0"/>
          <c:showSerName val="0"/>
          <c:showPercent val="0"/>
          <c:showBubbleSize val="0"/>
        </c:dLbls>
        <c:gapWidth val="219"/>
        <c:overlap val="-27"/>
        <c:axId val="1118520751"/>
        <c:axId val="1118534479"/>
      </c:barChart>
      <c:catAx>
        <c:axId val="11185207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Value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32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534479"/>
        <c:crosses val="autoZero"/>
        <c:auto val="1"/>
        <c:lblAlgn val="ctr"/>
        <c:lblOffset val="100"/>
        <c:noMultiLvlLbl val="0"/>
      </c:catAx>
      <c:valAx>
        <c:axId val="11185344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Tenders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5207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value for above threholds tenders - Works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'[Statistics 2017_EU.xlsx]Sheet2'!$E$61</c:f>
              <c:strCache>
                <c:ptCount val="1"/>
                <c:pt idx="0">
                  <c:v>Αριθμός</c:v>
                </c:pt>
              </c:strCache>
            </c:strRef>
          </c:tx>
          <c:spPr>
            <a:solidFill>
              <a:schemeClr val="accent1"/>
            </a:solidFill>
            <a:ln>
              <a:noFill/>
            </a:ln>
            <a:effectLst/>
          </c:spPr>
          <c:invertIfNegative val="0"/>
          <c:cat>
            <c:numRef>
              <c:f>'[Statistics 2017_EU.xlsx]Sheet2'!$B$62:$B$65</c:f>
              <c:numCache>
                <c:formatCode>General</c:formatCode>
                <c:ptCount val="4"/>
                <c:pt idx="0">
                  <c:v>5000000</c:v>
                </c:pt>
                <c:pt idx="1">
                  <c:v>10000000</c:v>
                </c:pt>
                <c:pt idx="2">
                  <c:v>15000000</c:v>
                </c:pt>
                <c:pt idx="3">
                  <c:v>20000000</c:v>
                </c:pt>
              </c:numCache>
            </c:numRef>
          </c:cat>
          <c:val>
            <c:numRef>
              <c:f>'[Statistics 2017_EU.xlsx]Sheet2'!$E$62:$E$65</c:f>
              <c:numCache>
                <c:formatCode>General</c:formatCode>
                <c:ptCount val="4"/>
                <c:pt idx="0">
                  <c:v>1</c:v>
                </c:pt>
                <c:pt idx="1">
                  <c:v>4</c:v>
                </c:pt>
                <c:pt idx="2">
                  <c:v>1</c:v>
                </c:pt>
                <c:pt idx="3">
                  <c:v>1</c:v>
                </c:pt>
              </c:numCache>
            </c:numRef>
          </c:val>
          <c:extLst>
            <c:ext xmlns:c16="http://schemas.microsoft.com/office/drawing/2014/chart" uri="{C3380CC4-5D6E-409C-BE32-E72D297353CC}">
              <c16:uniqueId val="{00000000-2105-42B0-802D-94BAFC116362}"/>
            </c:ext>
          </c:extLst>
        </c:ser>
        <c:dLbls>
          <c:showLegendKey val="0"/>
          <c:showVal val="0"/>
          <c:showCatName val="0"/>
          <c:showSerName val="0"/>
          <c:showPercent val="0"/>
          <c:showBubbleSize val="0"/>
        </c:dLbls>
        <c:gapWidth val="219"/>
        <c:overlap val="-27"/>
        <c:axId val="1118520751"/>
        <c:axId val="1118534479"/>
      </c:barChart>
      <c:catAx>
        <c:axId val="11185207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Value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32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534479"/>
        <c:crosses val="autoZero"/>
        <c:auto val="1"/>
        <c:lblAlgn val="ctr"/>
        <c:lblOffset val="100"/>
        <c:noMultiLvlLbl val="0"/>
      </c:catAx>
      <c:valAx>
        <c:axId val="11185344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Tenders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5207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5B8AA-1E28-4086-BBA4-765850DC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4522</Words>
  <Characters>25782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2018-10-12T13:07:00Z</dcterms:created>
  <dcterms:modified xsi:type="dcterms:W3CDTF">2018-10-12T13:07:00Z</dcterms:modified>
</cp:coreProperties>
</file>