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B7EBD" w14:textId="3DC21693" w:rsidR="00BD08CB" w:rsidRPr="00B01372" w:rsidRDefault="00F92DAE" w:rsidP="002552B2">
      <w:pPr>
        <w:pStyle w:val="Cmsor1"/>
        <w:spacing w:before="0"/>
        <w:jc w:val="center"/>
        <w:rPr>
          <w:rFonts w:asciiTheme="minorHAnsi" w:hAnsiTheme="minorHAnsi"/>
          <w:sz w:val="22"/>
          <w:szCs w:val="22"/>
          <w:u w:val="single"/>
        </w:rPr>
      </w:pPr>
      <w:r w:rsidRPr="00B01372">
        <w:rPr>
          <w:rFonts w:asciiTheme="minorHAnsi" w:hAnsiTheme="minorHAnsi"/>
          <w:sz w:val="32"/>
          <w:szCs w:val="32"/>
          <w:u w:val="single"/>
        </w:rPr>
        <w:t xml:space="preserve">Procurement </w:t>
      </w:r>
      <w:r w:rsidR="0051246A" w:rsidRPr="00B01372">
        <w:rPr>
          <w:rFonts w:asciiTheme="minorHAnsi" w:hAnsiTheme="minorHAnsi"/>
          <w:sz w:val="32"/>
          <w:szCs w:val="32"/>
          <w:u w:val="single"/>
        </w:rPr>
        <w:t xml:space="preserve">Monitoring </w:t>
      </w:r>
      <w:r w:rsidRPr="00B01372">
        <w:rPr>
          <w:rFonts w:asciiTheme="minorHAnsi" w:hAnsiTheme="minorHAnsi"/>
          <w:sz w:val="32"/>
          <w:szCs w:val="32"/>
          <w:u w:val="single"/>
        </w:rPr>
        <w:t>Report Template</w:t>
      </w:r>
      <w:r w:rsidRPr="00B01372">
        <w:rPr>
          <w:rFonts w:asciiTheme="minorHAnsi" w:hAnsiTheme="minorHAnsi"/>
          <w:sz w:val="32"/>
          <w:szCs w:val="32"/>
        </w:rPr>
        <w:t xml:space="preserve"> </w:t>
      </w:r>
    </w:p>
    <w:p w14:paraId="34AB7ECC" w14:textId="2144C94C" w:rsidR="008472EB" w:rsidRPr="00F2389C" w:rsidRDefault="00C314EF" w:rsidP="00F2389C">
      <w:pPr>
        <w:pStyle w:val="Nincstrkz"/>
        <w:jc w:val="center"/>
        <w:rPr>
          <w:b/>
          <w:sz w:val="32"/>
          <w:szCs w:val="32"/>
        </w:rPr>
      </w:pPr>
      <w:r w:rsidRPr="00B01372">
        <w:rPr>
          <w:b/>
          <w:sz w:val="32"/>
          <w:szCs w:val="32"/>
        </w:rPr>
        <w:t xml:space="preserve">In view of </w:t>
      </w:r>
      <w:r w:rsidR="00411EDE" w:rsidRPr="00B01372">
        <w:rPr>
          <w:b/>
          <w:sz w:val="32"/>
          <w:szCs w:val="32"/>
        </w:rPr>
        <w:t>the Member States' reporting proces</w:t>
      </w:r>
      <w:r w:rsidRPr="00B01372">
        <w:rPr>
          <w:b/>
          <w:sz w:val="32"/>
          <w:szCs w:val="32"/>
        </w:rPr>
        <w:t>s</w:t>
      </w:r>
      <w:r w:rsidR="00411EDE" w:rsidRPr="00B01372">
        <w:rPr>
          <w:b/>
          <w:sz w:val="32"/>
          <w:szCs w:val="32"/>
        </w:rPr>
        <w:t xml:space="preserve"> </w:t>
      </w:r>
      <w:r w:rsidR="00411EDE" w:rsidRPr="00B01372">
        <w:rPr>
          <w:b/>
          <w:sz w:val="32"/>
          <w:szCs w:val="32"/>
        </w:rPr>
        <w:br/>
      </w:r>
      <w:r w:rsidRPr="00B01372">
        <w:rPr>
          <w:b/>
          <w:sz w:val="32"/>
          <w:szCs w:val="32"/>
        </w:rPr>
        <w:t xml:space="preserve">under the </w:t>
      </w:r>
      <w:r w:rsidR="00411EDE" w:rsidRPr="00B01372">
        <w:rPr>
          <w:b/>
          <w:sz w:val="32"/>
          <w:szCs w:val="32"/>
        </w:rPr>
        <w:t>Directives 2014/23/</w:t>
      </w:r>
      <w:r w:rsidR="00F2389C">
        <w:rPr>
          <w:b/>
          <w:sz w:val="32"/>
          <w:szCs w:val="32"/>
        </w:rPr>
        <w:t>EU, 2014/24/EU and 2014/25/EU</w:t>
      </w:r>
    </w:p>
    <w:p w14:paraId="34AB7ED3" w14:textId="418322C0" w:rsidR="00411EDE" w:rsidRPr="000E4461" w:rsidRDefault="003F1BD0" w:rsidP="00296F69">
      <w:pPr>
        <w:pStyle w:val="Cmsor1"/>
        <w:tabs>
          <w:tab w:val="right" w:pos="14004"/>
        </w:tabs>
        <w:spacing w:before="0"/>
        <w:rPr>
          <w:rFonts w:asciiTheme="minorHAnsi" w:hAnsiTheme="minorHAnsi"/>
        </w:rPr>
      </w:pPr>
      <w:r w:rsidRPr="000E4461">
        <w:rPr>
          <w:rFonts w:asciiTheme="minorHAnsi" w:hAnsiTheme="minorHAnsi"/>
        </w:rPr>
        <w:tab/>
      </w:r>
    </w:p>
    <w:tbl>
      <w:tblPr>
        <w:tblStyle w:val="Rcsostblzat"/>
        <w:tblW w:w="0" w:type="auto"/>
        <w:tblLook w:val="04A0" w:firstRow="1" w:lastRow="0" w:firstColumn="1" w:lastColumn="0" w:noHBand="0" w:noVBand="1"/>
      </w:tblPr>
      <w:tblGrid>
        <w:gridCol w:w="14220"/>
      </w:tblGrid>
      <w:tr w:rsidR="004954F8" w:rsidRPr="000E4461" w14:paraId="023B8AE7" w14:textId="77777777" w:rsidTr="00267227">
        <w:trPr>
          <w:trHeight w:val="270"/>
        </w:trPr>
        <w:tc>
          <w:tcPr>
            <w:tcW w:w="0" w:type="auto"/>
          </w:tcPr>
          <w:p w14:paraId="585CFBFA" w14:textId="3433F10F" w:rsidR="004954F8" w:rsidRPr="000E4461" w:rsidRDefault="004954F8" w:rsidP="004954F8">
            <w:pPr>
              <w:pStyle w:val="Nincstrkz"/>
              <w:jc w:val="both"/>
            </w:pPr>
            <w:r w:rsidRPr="000E4461">
              <w:rPr>
                <w:b/>
                <w:sz w:val="24"/>
                <w:szCs w:val="24"/>
              </w:rPr>
              <w:t>General information</w:t>
            </w:r>
          </w:p>
        </w:tc>
      </w:tr>
      <w:tr w:rsidR="004954F8" w:rsidRPr="000E4461" w14:paraId="11E1FAB6" w14:textId="77777777" w:rsidTr="00267227">
        <w:trPr>
          <w:trHeight w:val="701"/>
        </w:trPr>
        <w:tc>
          <w:tcPr>
            <w:tcW w:w="0" w:type="auto"/>
            <w:vAlign w:val="center"/>
          </w:tcPr>
          <w:p w14:paraId="427490DD" w14:textId="77777777" w:rsidR="0071213C" w:rsidRPr="000E4461" w:rsidRDefault="0071213C" w:rsidP="00F20712">
            <w:pPr>
              <w:pStyle w:val="Nincstrkz"/>
              <w:rPr>
                <w:color w:val="1F497D" w:themeColor="text2"/>
              </w:rPr>
            </w:pPr>
          </w:p>
          <w:p w14:paraId="78083533" w14:textId="3BB928FC" w:rsidR="0071213C" w:rsidRPr="000E4461" w:rsidRDefault="0071213C" w:rsidP="00F20712">
            <w:pPr>
              <w:pStyle w:val="Nincstrkz"/>
            </w:pPr>
            <w:r w:rsidRPr="000E4461">
              <w:t xml:space="preserve">In 2017, a total of 11691 public procurement procedures were </w:t>
            </w:r>
            <w:r w:rsidR="00DB0D96" w:rsidRPr="000E4461">
              <w:t>launched</w:t>
            </w:r>
            <w:r w:rsidRPr="000E4461">
              <w:t xml:space="preserve"> in Hungary, resulting in 8811 contracts awarded. </w:t>
            </w:r>
            <w:r w:rsidR="00DB0D96" w:rsidRPr="000E4461">
              <w:t xml:space="preserve">In this field the whole number of </w:t>
            </w:r>
            <w:r w:rsidR="00073155" w:rsidRPr="000E4461">
              <w:t xml:space="preserve">launched </w:t>
            </w:r>
            <w:r w:rsidR="00DB0D96" w:rsidRPr="000E4461">
              <w:t>public procurement procedures and the number of awarded contracts are presented.</w:t>
            </w:r>
          </w:p>
          <w:p w14:paraId="0CE63EE9" w14:textId="77777777" w:rsidR="0071213C" w:rsidRPr="000E4461" w:rsidRDefault="0071213C" w:rsidP="00F20712">
            <w:pPr>
              <w:pStyle w:val="Nincstrkz"/>
            </w:pPr>
          </w:p>
          <w:p w14:paraId="5236DB1A" w14:textId="097B2E3E" w:rsidR="004954F8" w:rsidRPr="000E4461" w:rsidRDefault="004954F8" w:rsidP="00F20712">
            <w:pPr>
              <w:pStyle w:val="Nincstrkz"/>
            </w:pPr>
            <w:r w:rsidRPr="000E4461">
              <w:t xml:space="preserve">Number of procurement procedures </w:t>
            </w:r>
            <w:r w:rsidR="00A54194" w:rsidRPr="000E4461">
              <w:t>launched</w:t>
            </w:r>
            <w:r w:rsidR="00DB26A2" w:rsidRPr="000E4461">
              <w:t>:</w:t>
            </w:r>
          </w:p>
          <w:p w14:paraId="7B541391" w14:textId="77777777" w:rsidR="00DB26A2" w:rsidRPr="000E4461" w:rsidRDefault="00DB26A2" w:rsidP="00F20712">
            <w:pPr>
              <w:pStyle w:val="Nincstrkz"/>
            </w:pPr>
          </w:p>
          <w:p w14:paraId="233DF6AC" w14:textId="05261BBE" w:rsidR="00994AD7" w:rsidRPr="000E4461" w:rsidRDefault="00994AD7" w:rsidP="00500037">
            <w:pPr>
              <w:pStyle w:val="Nincstrkz"/>
              <w:numPr>
                <w:ilvl w:val="0"/>
                <w:numId w:val="33"/>
              </w:numPr>
            </w:pPr>
            <w:r w:rsidRPr="000E4461">
              <w:t>3020 public procurement procedures were launched in EU regime</w:t>
            </w:r>
          </w:p>
          <w:p w14:paraId="1C56647B" w14:textId="0462C35E" w:rsidR="00994AD7" w:rsidRPr="000E4461" w:rsidRDefault="00994AD7" w:rsidP="00500037">
            <w:pPr>
              <w:pStyle w:val="Nincstrkz"/>
              <w:numPr>
                <w:ilvl w:val="0"/>
                <w:numId w:val="33"/>
              </w:numPr>
            </w:pPr>
            <w:r w:rsidRPr="000E4461">
              <w:t>8671 public procurement procedures were launched in national regime</w:t>
            </w:r>
          </w:p>
          <w:p w14:paraId="637FAD6A" w14:textId="77777777" w:rsidR="00DB26A2" w:rsidRPr="000E4461" w:rsidRDefault="00DB26A2" w:rsidP="00F20712">
            <w:pPr>
              <w:pStyle w:val="Nincstrkz"/>
            </w:pPr>
          </w:p>
          <w:p w14:paraId="68B37A89" w14:textId="77777777" w:rsidR="004954F8" w:rsidRPr="00357C16" w:rsidRDefault="004954F8" w:rsidP="00F20712">
            <w:pPr>
              <w:pStyle w:val="Nincstrkz"/>
              <w:rPr>
                <w:b/>
                <w:u w:val="single"/>
              </w:rPr>
            </w:pPr>
            <w:r w:rsidRPr="00357C16">
              <w:rPr>
                <w:b/>
                <w:u w:val="single"/>
              </w:rPr>
              <w:t>Number of awarded contracts</w:t>
            </w:r>
            <w:r w:rsidR="00021FB4" w:rsidRPr="00357C16">
              <w:rPr>
                <w:b/>
                <w:u w:val="single"/>
              </w:rPr>
              <w:t>:</w:t>
            </w:r>
          </w:p>
          <w:p w14:paraId="2A5AEC2A" w14:textId="77777777" w:rsidR="00875393" w:rsidRPr="000E4461" w:rsidRDefault="00875393" w:rsidP="00F20712">
            <w:pPr>
              <w:pStyle w:val="Nincstrkz"/>
              <w:rPr>
                <w:color w:val="1F497D" w:themeColor="text2"/>
              </w:rPr>
            </w:pPr>
          </w:p>
          <w:tbl>
            <w:tblPr>
              <w:tblStyle w:val="Vilgosrnykols1jellszn"/>
              <w:tblW w:w="4314" w:type="pct"/>
              <w:tblLook w:val="04A0" w:firstRow="1" w:lastRow="0" w:firstColumn="1" w:lastColumn="0" w:noHBand="0" w:noVBand="1"/>
            </w:tblPr>
            <w:tblGrid>
              <w:gridCol w:w="1021"/>
              <w:gridCol w:w="2413"/>
              <w:gridCol w:w="3120"/>
              <w:gridCol w:w="3262"/>
              <w:gridCol w:w="2267"/>
            </w:tblGrid>
            <w:tr w:rsidR="009600DC" w:rsidRPr="000E4461" w14:paraId="3E53DD64" w14:textId="77777777" w:rsidTr="009600DC">
              <w:trPr>
                <w:cnfStyle w:val="100000000000" w:firstRow="1" w:lastRow="0"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422" w:type="pct"/>
                  <w:noWrap/>
                  <w:hideMark/>
                </w:tcPr>
                <w:p w14:paraId="7990E2C2" w14:textId="77777777" w:rsidR="00875393" w:rsidRPr="000E4461" w:rsidRDefault="00875393" w:rsidP="006E04BE">
                  <w:pPr>
                    <w:rPr>
                      <w:rFonts w:cs="Calibri"/>
                      <w:b w:val="0"/>
                      <w:bCs w:val="0"/>
                      <w:color w:val="1F497D" w:themeColor="text2"/>
                    </w:rPr>
                  </w:pPr>
                  <w:r w:rsidRPr="000E4461">
                    <w:rPr>
                      <w:rFonts w:cs="Calibri"/>
                      <w:color w:val="1F497D" w:themeColor="text2"/>
                    </w:rPr>
                    <w:t>Regime</w:t>
                  </w:r>
                </w:p>
              </w:tc>
              <w:tc>
                <w:tcPr>
                  <w:tcW w:w="998" w:type="pct"/>
                  <w:hideMark/>
                </w:tcPr>
                <w:p w14:paraId="465820FD" w14:textId="77777777" w:rsidR="00875393" w:rsidRPr="000E4461" w:rsidRDefault="00875393" w:rsidP="006E04BE">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1F497D" w:themeColor="text2"/>
                    </w:rPr>
                  </w:pPr>
                  <w:r w:rsidRPr="000E4461">
                    <w:rPr>
                      <w:rFonts w:cs="Calibri"/>
                      <w:color w:val="1F497D" w:themeColor="text2"/>
                    </w:rPr>
                    <w:t>Number of procedures</w:t>
                  </w:r>
                </w:p>
              </w:tc>
              <w:tc>
                <w:tcPr>
                  <w:tcW w:w="1291" w:type="pct"/>
                  <w:hideMark/>
                </w:tcPr>
                <w:p w14:paraId="3DF67522" w14:textId="77777777" w:rsidR="00875393" w:rsidRPr="000E4461" w:rsidRDefault="00875393" w:rsidP="006E04BE">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1F497D" w:themeColor="text2"/>
                    </w:rPr>
                  </w:pPr>
                  <w:r w:rsidRPr="000E4461">
                    <w:rPr>
                      <w:rFonts w:cs="Calibri"/>
                      <w:color w:val="1F497D" w:themeColor="text2"/>
                    </w:rPr>
                    <w:t>Proportion compared to all procedures (%)</w:t>
                  </w:r>
                </w:p>
              </w:tc>
              <w:tc>
                <w:tcPr>
                  <w:tcW w:w="1350" w:type="pct"/>
                  <w:hideMark/>
                </w:tcPr>
                <w:p w14:paraId="32F8706B" w14:textId="77777777" w:rsidR="00875393" w:rsidRPr="000E4461" w:rsidRDefault="00875393" w:rsidP="006E04BE">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1F497D" w:themeColor="text2"/>
                    </w:rPr>
                  </w:pPr>
                  <w:r w:rsidRPr="000E4461">
                    <w:rPr>
                      <w:rFonts w:cs="Calibri"/>
                      <w:color w:val="1F497D" w:themeColor="text2"/>
                    </w:rPr>
                    <w:t xml:space="preserve">Aggregate value of procedures (HUF </w:t>
                  </w:r>
                  <w:proofErr w:type="spellStart"/>
                  <w:r w:rsidRPr="000E4461">
                    <w:rPr>
                      <w:rFonts w:cs="Calibri"/>
                      <w:color w:val="1F497D" w:themeColor="text2"/>
                    </w:rPr>
                    <w:t>bn</w:t>
                  </w:r>
                  <w:proofErr w:type="spellEnd"/>
                  <w:r w:rsidRPr="000E4461">
                    <w:rPr>
                      <w:rFonts w:cs="Calibri"/>
                      <w:color w:val="1F497D" w:themeColor="text2"/>
                    </w:rPr>
                    <w:t>)</w:t>
                  </w:r>
                </w:p>
              </w:tc>
              <w:tc>
                <w:tcPr>
                  <w:tcW w:w="938" w:type="pct"/>
                  <w:hideMark/>
                </w:tcPr>
                <w:p w14:paraId="7FFD9541" w14:textId="77777777" w:rsidR="00875393" w:rsidRPr="000E4461" w:rsidRDefault="00875393" w:rsidP="006E04BE">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1F497D" w:themeColor="text2"/>
                    </w:rPr>
                  </w:pPr>
                  <w:r w:rsidRPr="000E4461">
                    <w:rPr>
                      <w:rFonts w:cs="Calibri"/>
                      <w:color w:val="1F497D" w:themeColor="text2"/>
                    </w:rPr>
                    <w:t>Proportion compared to all procedures (%)</w:t>
                  </w:r>
                </w:p>
              </w:tc>
            </w:tr>
            <w:tr w:rsidR="009600DC" w:rsidRPr="000E4461" w14:paraId="131857B9" w14:textId="77777777" w:rsidTr="009600D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22" w:type="pct"/>
                  <w:noWrap/>
                  <w:hideMark/>
                </w:tcPr>
                <w:p w14:paraId="32612C0E" w14:textId="77777777" w:rsidR="00875393" w:rsidRPr="000E4461" w:rsidRDefault="00875393" w:rsidP="006E04BE">
                  <w:pPr>
                    <w:rPr>
                      <w:rFonts w:cs="Calibri"/>
                      <w:color w:val="1F497D" w:themeColor="text2"/>
                    </w:rPr>
                  </w:pPr>
                  <w:r w:rsidRPr="000E4461">
                    <w:rPr>
                      <w:rFonts w:cs="Calibri"/>
                      <w:color w:val="1F497D" w:themeColor="text2"/>
                    </w:rPr>
                    <w:t>EU</w:t>
                  </w:r>
                </w:p>
              </w:tc>
              <w:tc>
                <w:tcPr>
                  <w:tcW w:w="998" w:type="pct"/>
                  <w:noWrap/>
                  <w:hideMark/>
                </w:tcPr>
                <w:p w14:paraId="54E3F00C" w14:textId="77777777" w:rsidR="00875393" w:rsidRPr="000E4461" w:rsidRDefault="00875393" w:rsidP="006E04BE">
                  <w:pPr>
                    <w:jc w:val="center"/>
                    <w:cnfStyle w:val="000000100000" w:firstRow="0" w:lastRow="0" w:firstColumn="0" w:lastColumn="0" w:oddVBand="0" w:evenVBand="0" w:oddHBand="1" w:evenHBand="0" w:firstRowFirstColumn="0" w:firstRowLastColumn="0" w:lastRowFirstColumn="0" w:lastRowLastColumn="0"/>
                    <w:rPr>
                      <w:rFonts w:cs="Calibri"/>
                      <w:color w:val="1F497D" w:themeColor="text2"/>
                    </w:rPr>
                  </w:pPr>
                  <w:r w:rsidRPr="000E4461">
                    <w:rPr>
                      <w:rFonts w:cs="Calibri"/>
                      <w:color w:val="1F497D" w:themeColor="text2"/>
                    </w:rPr>
                    <w:t>1 965</w:t>
                  </w:r>
                </w:p>
              </w:tc>
              <w:tc>
                <w:tcPr>
                  <w:tcW w:w="1291" w:type="pct"/>
                  <w:noWrap/>
                  <w:hideMark/>
                </w:tcPr>
                <w:p w14:paraId="477CE9D4" w14:textId="77777777" w:rsidR="00875393" w:rsidRPr="000E4461" w:rsidRDefault="00875393" w:rsidP="006E04BE">
                  <w:pPr>
                    <w:jc w:val="center"/>
                    <w:cnfStyle w:val="000000100000" w:firstRow="0" w:lastRow="0" w:firstColumn="0" w:lastColumn="0" w:oddVBand="0" w:evenVBand="0" w:oddHBand="1" w:evenHBand="0" w:firstRowFirstColumn="0" w:firstRowLastColumn="0" w:lastRowFirstColumn="0" w:lastRowLastColumn="0"/>
                    <w:rPr>
                      <w:rFonts w:cs="Calibri"/>
                      <w:color w:val="1F497D" w:themeColor="text2"/>
                    </w:rPr>
                  </w:pPr>
                  <w:r w:rsidRPr="000E4461">
                    <w:rPr>
                      <w:rFonts w:cs="Calibri"/>
                      <w:color w:val="1F497D" w:themeColor="text2"/>
                    </w:rPr>
                    <w:t>22,30%</w:t>
                  </w:r>
                </w:p>
              </w:tc>
              <w:tc>
                <w:tcPr>
                  <w:tcW w:w="1350" w:type="pct"/>
                  <w:noWrap/>
                  <w:hideMark/>
                </w:tcPr>
                <w:p w14:paraId="1E235251" w14:textId="77777777" w:rsidR="00875393" w:rsidRPr="000E4461" w:rsidRDefault="00875393" w:rsidP="006E04BE">
                  <w:pPr>
                    <w:jc w:val="center"/>
                    <w:cnfStyle w:val="000000100000" w:firstRow="0" w:lastRow="0" w:firstColumn="0" w:lastColumn="0" w:oddVBand="0" w:evenVBand="0" w:oddHBand="1" w:evenHBand="0" w:firstRowFirstColumn="0" w:firstRowLastColumn="0" w:lastRowFirstColumn="0" w:lastRowLastColumn="0"/>
                    <w:rPr>
                      <w:rFonts w:cs="Calibri"/>
                      <w:color w:val="1F497D" w:themeColor="text2"/>
                    </w:rPr>
                  </w:pPr>
                  <w:r w:rsidRPr="000E4461">
                    <w:rPr>
                      <w:rFonts w:cs="Calibri"/>
                      <w:color w:val="1F497D" w:themeColor="text2"/>
                    </w:rPr>
                    <w:t>3 061,58</w:t>
                  </w:r>
                </w:p>
              </w:tc>
              <w:tc>
                <w:tcPr>
                  <w:tcW w:w="938" w:type="pct"/>
                  <w:noWrap/>
                  <w:hideMark/>
                </w:tcPr>
                <w:p w14:paraId="4C19C145" w14:textId="77777777" w:rsidR="00875393" w:rsidRPr="000E4461" w:rsidRDefault="00875393" w:rsidP="006E04BE">
                  <w:pPr>
                    <w:jc w:val="center"/>
                    <w:cnfStyle w:val="000000100000" w:firstRow="0" w:lastRow="0" w:firstColumn="0" w:lastColumn="0" w:oddVBand="0" w:evenVBand="0" w:oddHBand="1" w:evenHBand="0" w:firstRowFirstColumn="0" w:firstRowLastColumn="0" w:lastRowFirstColumn="0" w:lastRowLastColumn="0"/>
                    <w:rPr>
                      <w:rFonts w:cs="Calibri"/>
                      <w:color w:val="1F497D" w:themeColor="text2"/>
                    </w:rPr>
                  </w:pPr>
                  <w:r w:rsidRPr="000E4461">
                    <w:rPr>
                      <w:rFonts w:cs="Calibri"/>
                      <w:color w:val="1F497D" w:themeColor="text2"/>
                    </w:rPr>
                    <w:t>84,34%</w:t>
                  </w:r>
                </w:p>
              </w:tc>
            </w:tr>
            <w:tr w:rsidR="009600DC" w:rsidRPr="000E4461" w14:paraId="1DA57823" w14:textId="77777777" w:rsidTr="009600DC">
              <w:trPr>
                <w:trHeight w:val="285"/>
              </w:trPr>
              <w:tc>
                <w:tcPr>
                  <w:cnfStyle w:val="001000000000" w:firstRow="0" w:lastRow="0" w:firstColumn="1" w:lastColumn="0" w:oddVBand="0" w:evenVBand="0" w:oddHBand="0" w:evenHBand="0" w:firstRowFirstColumn="0" w:firstRowLastColumn="0" w:lastRowFirstColumn="0" w:lastRowLastColumn="0"/>
                  <w:tcW w:w="422" w:type="pct"/>
                  <w:noWrap/>
                  <w:hideMark/>
                </w:tcPr>
                <w:p w14:paraId="27EA1E03" w14:textId="77777777" w:rsidR="00875393" w:rsidRPr="000E4461" w:rsidRDefault="00875393" w:rsidP="006E04BE">
                  <w:pPr>
                    <w:rPr>
                      <w:rFonts w:cs="Calibri"/>
                      <w:color w:val="1F497D" w:themeColor="text2"/>
                    </w:rPr>
                  </w:pPr>
                  <w:r w:rsidRPr="000E4461">
                    <w:rPr>
                      <w:rFonts w:cs="Calibri"/>
                      <w:color w:val="1F497D" w:themeColor="text2"/>
                    </w:rPr>
                    <w:t>National</w:t>
                  </w:r>
                </w:p>
              </w:tc>
              <w:tc>
                <w:tcPr>
                  <w:tcW w:w="998" w:type="pct"/>
                  <w:noWrap/>
                  <w:hideMark/>
                </w:tcPr>
                <w:p w14:paraId="5B8E2FB5" w14:textId="77777777" w:rsidR="00875393" w:rsidRPr="000E4461" w:rsidRDefault="00875393" w:rsidP="006E04BE">
                  <w:pPr>
                    <w:jc w:val="center"/>
                    <w:cnfStyle w:val="000000000000" w:firstRow="0" w:lastRow="0" w:firstColumn="0" w:lastColumn="0" w:oddVBand="0" w:evenVBand="0" w:oddHBand="0" w:evenHBand="0" w:firstRowFirstColumn="0" w:firstRowLastColumn="0" w:lastRowFirstColumn="0" w:lastRowLastColumn="0"/>
                    <w:rPr>
                      <w:rFonts w:cs="Calibri"/>
                      <w:color w:val="1F497D" w:themeColor="text2"/>
                    </w:rPr>
                  </w:pPr>
                  <w:r w:rsidRPr="000E4461">
                    <w:rPr>
                      <w:rFonts w:cs="Calibri"/>
                      <w:color w:val="1F497D" w:themeColor="text2"/>
                    </w:rPr>
                    <w:t>6 846</w:t>
                  </w:r>
                </w:p>
              </w:tc>
              <w:tc>
                <w:tcPr>
                  <w:tcW w:w="1291" w:type="pct"/>
                  <w:noWrap/>
                  <w:hideMark/>
                </w:tcPr>
                <w:p w14:paraId="78C90BB1" w14:textId="77777777" w:rsidR="00875393" w:rsidRPr="000E4461" w:rsidRDefault="00875393" w:rsidP="006E04BE">
                  <w:pPr>
                    <w:jc w:val="center"/>
                    <w:cnfStyle w:val="000000000000" w:firstRow="0" w:lastRow="0" w:firstColumn="0" w:lastColumn="0" w:oddVBand="0" w:evenVBand="0" w:oddHBand="0" w:evenHBand="0" w:firstRowFirstColumn="0" w:firstRowLastColumn="0" w:lastRowFirstColumn="0" w:lastRowLastColumn="0"/>
                    <w:rPr>
                      <w:rFonts w:cs="Calibri"/>
                      <w:color w:val="1F497D" w:themeColor="text2"/>
                    </w:rPr>
                  </w:pPr>
                  <w:r w:rsidRPr="000E4461">
                    <w:rPr>
                      <w:rFonts w:cs="Calibri"/>
                      <w:color w:val="1F497D" w:themeColor="text2"/>
                    </w:rPr>
                    <w:t>77,70%</w:t>
                  </w:r>
                </w:p>
              </w:tc>
              <w:tc>
                <w:tcPr>
                  <w:tcW w:w="1350" w:type="pct"/>
                  <w:noWrap/>
                  <w:hideMark/>
                </w:tcPr>
                <w:p w14:paraId="53D27671" w14:textId="77777777" w:rsidR="00875393" w:rsidRPr="000E4461" w:rsidRDefault="00875393" w:rsidP="006E04BE">
                  <w:pPr>
                    <w:jc w:val="center"/>
                    <w:cnfStyle w:val="000000000000" w:firstRow="0" w:lastRow="0" w:firstColumn="0" w:lastColumn="0" w:oddVBand="0" w:evenVBand="0" w:oddHBand="0" w:evenHBand="0" w:firstRowFirstColumn="0" w:firstRowLastColumn="0" w:lastRowFirstColumn="0" w:lastRowLastColumn="0"/>
                    <w:rPr>
                      <w:rFonts w:cs="Calibri"/>
                      <w:color w:val="1F497D" w:themeColor="text2"/>
                    </w:rPr>
                  </w:pPr>
                  <w:r w:rsidRPr="000E4461">
                    <w:rPr>
                      <w:rFonts w:cs="Calibri"/>
                      <w:color w:val="1F497D" w:themeColor="text2"/>
                    </w:rPr>
                    <w:t>568,37</w:t>
                  </w:r>
                </w:p>
              </w:tc>
              <w:tc>
                <w:tcPr>
                  <w:tcW w:w="938" w:type="pct"/>
                  <w:noWrap/>
                  <w:hideMark/>
                </w:tcPr>
                <w:p w14:paraId="4C16B187" w14:textId="77777777" w:rsidR="00875393" w:rsidRPr="000E4461" w:rsidRDefault="00875393" w:rsidP="006E04BE">
                  <w:pPr>
                    <w:jc w:val="center"/>
                    <w:cnfStyle w:val="000000000000" w:firstRow="0" w:lastRow="0" w:firstColumn="0" w:lastColumn="0" w:oddVBand="0" w:evenVBand="0" w:oddHBand="0" w:evenHBand="0" w:firstRowFirstColumn="0" w:firstRowLastColumn="0" w:lastRowFirstColumn="0" w:lastRowLastColumn="0"/>
                    <w:rPr>
                      <w:rFonts w:cs="Calibri"/>
                      <w:color w:val="1F497D" w:themeColor="text2"/>
                    </w:rPr>
                  </w:pPr>
                  <w:r w:rsidRPr="000E4461">
                    <w:rPr>
                      <w:rFonts w:cs="Calibri"/>
                      <w:color w:val="1F497D" w:themeColor="text2"/>
                    </w:rPr>
                    <w:t>15,66%</w:t>
                  </w:r>
                </w:p>
              </w:tc>
            </w:tr>
            <w:tr w:rsidR="009600DC" w:rsidRPr="000E4461" w14:paraId="2DFE2544" w14:textId="77777777" w:rsidTr="009600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2" w:type="pct"/>
                  <w:noWrap/>
                  <w:hideMark/>
                </w:tcPr>
                <w:p w14:paraId="6FFEA65C" w14:textId="77777777" w:rsidR="00875393" w:rsidRPr="000E4461" w:rsidRDefault="00875393" w:rsidP="006E04BE">
                  <w:pPr>
                    <w:rPr>
                      <w:rFonts w:cs="Calibri"/>
                      <w:b w:val="0"/>
                      <w:bCs w:val="0"/>
                      <w:color w:val="1F497D" w:themeColor="text2"/>
                    </w:rPr>
                  </w:pPr>
                  <w:r w:rsidRPr="000E4461">
                    <w:rPr>
                      <w:rFonts w:cs="Calibri"/>
                      <w:color w:val="1F497D" w:themeColor="text2"/>
                    </w:rPr>
                    <w:t>Total</w:t>
                  </w:r>
                </w:p>
              </w:tc>
              <w:tc>
                <w:tcPr>
                  <w:tcW w:w="998" w:type="pct"/>
                  <w:noWrap/>
                  <w:hideMark/>
                </w:tcPr>
                <w:p w14:paraId="17411AD9" w14:textId="77777777" w:rsidR="00875393" w:rsidRPr="000E4461" w:rsidRDefault="00875393" w:rsidP="006E04BE">
                  <w:pPr>
                    <w:jc w:val="center"/>
                    <w:cnfStyle w:val="000000100000" w:firstRow="0" w:lastRow="0" w:firstColumn="0" w:lastColumn="0" w:oddVBand="0" w:evenVBand="0" w:oddHBand="1" w:evenHBand="0" w:firstRowFirstColumn="0" w:firstRowLastColumn="0" w:lastRowFirstColumn="0" w:lastRowLastColumn="0"/>
                    <w:rPr>
                      <w:rFonts w:cs="Calibri"/>
                      <w:b/>
                      <w:bCs/>
                      <w:color w:val="1F497D" w:themeColor="text2"/>
                    </w:rPr>
                  </w:pPr>
                  <w:r w:rsidRPr="000E4461">
                    <w:rPr>
                      <w:rFonts w:cs="Calibri"/>
                      <w:b/>
                      <w:bCs/>
                      <w:color w:val="1F497D" w:themeColor="text2"/>
                    </w:rPr>
                    <w:t>8 811</w:t>
                  </w:r>
                </w:p>
              </w:tc>
              <w:tc>
                <w:tcPr>
                  <w:tcW w:w="1291" w:type="pct"/>
                  <w:noWrap/>
                  <w:hideMark/>
                </w:tcPr>
                <w:p w14:paraId="37AFC13D" w14:textId="77777777" w:rsidR="00875393" w:rsidRPr="000E4461" w:rsidRDefault="00875393" w:rsidP="006E04BE">
                  <w:pPr>
                    <w:jc w:val="center"/>
                    <w:cnfStyle w:val="000000100000" w:firstRow="0" w:lastRow="0" w:firstColumn="0" w:lastColumn="0" w:oddVBand="0" w:evenVBand="0" w:oddHBand="1" w:evenHBand="0" w:firstRowFirstColumn="0" w:firstRowLastColumn="0" w:lastRowFirstColumn="0" w:lastRowLastColumn="0"/>
                    <w:rPr>
                      <w:rFonts w:cs="Calibri"/>
                      <w:b/>
                      <w:bCs/>
                      <w:color w:val="1F497D" w:themeColor="text2"/>
                    </w:rPr>
                  </w:pPr>
                  <w:r w:rsidRPr="000E4461">
                    <w:rPr>
                      <w:rFonts w:cs="Calibri"/>
                      <w:b/>
                      <w:bCs/>
                      <w:color w:val="1F497D" w:themeColor="text2"/>
                    </w:rPr>
                    <w:t>100,00%</w:t>
                  </w:r>
                </w:p>
              </w:tc>
              <w:tc>
                <w:tcPr>
                  <w:tcW w:w="1350" w:type="pct"/>
                  <w:noWrap/>
                  <w:hideMark/>
                </w:tcPr>
                <w:p w14:paraId="6C9502CC" w14:textId="77777777" w:rsidR="00875393" w:rsidRPr="000E4461" w:rsidRDefault="00875393" w:rsidP="006E04BE">
                  <w:pPr>
                    <w:jc w:val="center"/>
                    <w:cnfStyle w:val="000000100000" w:firstRow="0" w:lastRow="0" w:firstColumn="0" w:lastColumn="0" w:oddVBand="0" w:evenVBand="0" w:oddHBand="1" w:evenHBand="0" w:firstRowFirstColumn="0" w:firstRowLastColumn="0" w:lastRowFirstColumn="0" w:lastRowLastColumn="0"/>
                    <w:rPr>
                      <w:rFonts w:cs="Calibri"/>
                      <w:b/>
                      <w:bCs/>
                      <w:color w:val="1F497D" w:themeColor="text2"/>
                    </w:rPr>
                  </w:pPr>
                  <w:r w:rsidRPr="000E4461">
                    <w:rPr>
                      <w:rFonts w:cs="Calibri"/>
                      <w:b/>
                      <w:bCs/>
                      <w:color w:val="1F497D" w:themeColor="text2"/>
                    </w:rPr>
                    <w:t>3 629,95</w:t>
                  </w:r>
                </w:p>
              </w:tc>
              <w:tc>
                <w:tcPr>
                  <w:tcW w:w="938" w:type="pct"/>
                  <w:noWrap/>
                  <w:hideMark/>
                </w:tcPr>
                <w:p w14:paraId="2B992A72" w14:textId="77777777" w:rsidR="00875393" w:rsidRPr="000E4461" w:rsidRDefault="00875393" w:rsidP="006E04BE">
                  <w:pPr>
                    <w:jc w:val="center"/>
                    <w:cnfStyle w:val="000000100000" w:firstRow="0" w:lastRow="0" w:firstColumn="0" w:lastColumn="0" w:oddVBand="0" w:evenVBand="0" w:oddHBand="1" w:evenHBand="0" w:firstRowFirstColumn="0" w:firstRowLastColumn="0" w:lastRowFirstColumn="0" w:lastRowLastColumn="0"/>
                    <w:rPr>
                      <w:rFonts w:cs="Calibri"/>
                      <w:b/>
                      <w:bCs/>
                      <w:color w:val="1F497D" w:themeColor="text2"/>
                    </w:rPr>
                  </w:pPr>
                  <w:r w:rsidRPr="000E4461">
                    <w:rPr>
                      <w:rFonts w:cs="Calibri"/>
                      <w:b/>
                      <w:bCs/>
                      <w:color w:val="1F497D" w:themeColor="text2"/>
                    </w:rPr>
                    <w:t>100,00%</w:t>
                  </w:r>
                </w:p>
              </w:tc>
            </w:tr>
          </w:tbl>
          <w:p w14:paraId="6035FAC3" w14:textId="4B6832C3" w:rsidR="00693763" w:rsidRPr="000E4461" w:rsidRDefault="00693763" w:rsidP="00D87D4B">
            <w:pPr>
              <w:pStyle w:val="Nincstrkz"/>
            </w:pPr>
          </w:p>
        </w:tc>
      </w:tr>
      <w:tr w:rsidR="004954F8" w:rsidRPr="000E4461" w14:paraId="34AB7EDA" w14:textId="77777777" w:rsidTr="00267227">
        <w:trPr>
          <w:trHeight w:val="397"/>
        </w:trPr>
        <w:tc>
          <w:tcPr>
            <w:tcW w:w="0" w:type="auto"/>
          </w:tcPr>
          <w:p w14:paraId="34AB7ED9" w14:textId="4870B6E8" w:rsidR="004954F8" w:rsidRPr="000E4461" w:rsidRDefault="004954F8" w:rsidP="00A051EB">
            <w:pPr>
              <w:rPr>
                <w:b/>
                <w:sz w:val="32"/>
                <w:szCs w:val="32"/>
              </w:rPr>
            </w:pPr>
            <w:r w:rsidRPr="000E4461">
              <w:rPr>
                <w:sz w:val="32"/>
                <w:szCs w:val="32"/>
              </w:rPr>
              <w:t>I</w:t>
            </w:r>
            <w:r w:rsidRPr="000E4461">
              <w:rPr>
                <w:b/>
                <w:sz w:val="24"/>
                <w:szCs w:val="24"/>
              </w:rPr>
              <w:t>nformation on monitoring and reporting bodies</w:t>
            </w:r>
          </w:p>
        </w:tc>
      </w:tr>
      <w:tr w:rsidR="004954F8" w:rsidRPr="000E4461" w14:paraId="34AB7EDE" w14:textId="77777777" w:rsidTr="00267227">
        <w:trPr>
          <w:trHeight w:val="558"/>
        </w:trPr>
        <w:tc>
          <w:tcPr>
            <w:tcW w:w="0" w:type="auto"/>
          </w:tcPr>
          <w:p w14:paraId="7E9D4173" w14:textId="77777777" w:rsidR="00B22D8B" w:rsidRPr="000E4461" w:rsidRDefault="00B22D8B" w:rsidP="005329C9">
            <w:pPr>
              <w:pStyle w:val="Nincstrkz"/>
              <w:jc w:val="both"/>
            </w:pPr>
          </w:p>
          <w:p w14:paraId="4DF658E3" w14:textId="3C935273" w:rsidR="00D56689" w:rsidRPr="000E4461" w:rsidRDefault="00D56689" w:rsidP="005329C9">
            <w:pPr>
              <w:pStyle w:val="Nincstrkz"/>
              <w:jc w:val="both"/>
            </w:pPr>
            <w:r w:rsidRPr="000E4461">
              <w:t>The most important monitoring and reporting bodies in Hungary:</w:t>
            </w:r>
          </w:p>
          <w:p w14:paraId="7AAB4A70" w14:textId="77777777" w:rsidR="003D77B8" w:rsidRPr="000E4461" w:rsidRDefault="003D77B8" w:rsidP="005329C9">
            <w:pPr>
              <w:pStyle w:val="Nincstrkz"/>
              <w:jc w:val="both"/>
            </w:pPr>
          </w:p>
          <w:p w14:paraId="1853A56C" w14:textId="180707DD" w:rsidR="003D77B8" w:rsidRPr="00357C16" w:rsidRDefault="003D77B8" w:rsidP="00500037">
            <w:pPr>
              <w:pStyle w:val="Nincstrkz"/>
              <w:numPr>
                <w:ilvl w:val="0"/>
                <w:numId w:val="48"/>
              </w:numPr>
              <w:ind w:left="284" w:hanging="284"/>
              <w:jc w:val="both"/>
              <w:rPr>
                <w:u w:val="single"/>
              </w:rPr>
            </w:pPr>
            <w:r w:rsidRPr="00357C16">
              <w:rPr>
                <w:u w:val="single"/>
              </w:rPr>
              <w:t>Control of public procurement procedures:</w:t>
            </w:r>
          </w:p>
          <w:p w14:paraId="2B96359B" w14:textId="77777777" w:rsidR="00D56689" w:rsidRPr="000E4461" w:rsidRDefault="00D56689" w:rsidP="005329C9">
            <w:pPr>
              <w:pStyle w:val="Nincstrkz"/>
              <w:jc w:val="both"/>
            </w:pPr>
          </w:p>
          <w:p w14:paraId="364D0BD9" w14:textId="77777777" w:rsidR="00D56689" w:rsidRPr="000E4461" w:rsidRDefault="00D56689" w:rsidP="00500037">
            <w:pPr>
              <w:pStyle w:val="Nincstrkz"/>
              <w:numPr>
                <w:ilvl w:val="0"/>
                <w:numId w:val="3"/>
              </w:numPr>
              <w:ind w:hanging="294"/>
              <w:jc w:val="both"/>
            </w:pPr>
            <w:r w:rsidRPr="000E4461">
              <w:t>Prime Minister’s Office:</w:t>
            </w:r>
          </w:p>
          <w:p w14:paraId="777DB04D" w14:textId="77777777" w:rsidR="003D77B8" w:rsidRPr="000E4461" w:rsidRDefault="003D77B8" w:rsidP="003D77B8">
            <w:pPr>
              <w:pStyle w:val="Nincstrkz"/>
              <w:ind w:left="720"/>
              <w:jc w:val="both"/>
            </w:pPr>
          </w:p>
          <w:p w14:paraId="59AA3561" w14:textId="00992135" w:rsidR="003D77B8" w:rsidRPr="000E4461" w:rsidRDefault="003D77B8" w:rsidP="00500037">
            <w:pPr>
              <w:pStyle w:val="Nincstrkz"/>
              <w:numPr>
                <w:ilvl w:val="0"/>
                <w:numId w:val="14"/>
              </w:numPr>
              <w:ind w:hanging="306"/>
              <w:jc w:val="both"/>
            </w:pPr>
            <w:r w:rsidRPr="000E4461">
              <w:lastRenderedPageBreak/>
              <w:t>Control of public procuremen</w:t>
            </w:r>
            <w:r w:rsidR="005C2741" w:rsidRPr="000E4461">
              <w:t>ts to be realised using EU</w:t>
            </w:r>
            <w:r w:rsidRPr="000E4461">
              <w:t xml:space="preserve"> funds: Department of Public Procurement Control</w:t>
            </w:r>
          </w:p>
          <w:p w14:paraId="4976311A" w14:textId="4EF58DFF" w:rsidR="003D77B8" w:rsidRPr="000E4461" w:rsidRDefault="003D77B8" w:rsidP="00500037">
            <w:pPr>
              <w:pStyle w:val="Nincstrkz"/>
              <w:numPr>
                <w:ilvl w:val="0"/>
                <w:numId w:val="14"/>
              </w:numPr>
              <w:ind w:hanging="306"/>
              <w:jc w:val="both"/>
            </w:pPr>
            <w:r w:rsidRPr="000E4461">
              <w:t>Control of public procurements to be realised using national funds: Public Procurement Supervision Department</w:t>
            </w:r>
          </w:p>
          <w:p w14:paraId="2BE170E3" w14:textId="77777777" w:rsidR="003D77B8" w:rsidRPr="000E4461" w:rsidRDefault="003D77B8" w:rsidP="003D77B8">
            <w:pPr>
              <w:pStyle w:val="Nincstrkz"/>
              <w:ind w:left="1440"/>
              <w:jc w:val="both"/>
            </w:pPr>
          </w:p>
          <w:p w14:paraId="4F579247" w14:textId="77777777" w:rsidR="003D77B8" w:rsidRPr="000E4461" w:rsidRDefault="003D77B8" w:rsidP="00500037">
            <w:pPr>
              <w:pStyle w:val="Nincstrkz"/>
              <w:numPr>
                <w:ilvl w:val="0"/>
                <w:numId w:val="3"/>
              </w:numPr>
              <w:ind w:hanging="294"/>
              <w:jc w:val="both"/>
            </w:pPr>
            <w:r w:rsidRPr="000E4461">
              <w:t>Managing Authorities</w:t>
            </w:r>
          </w:p>
          <w:p w14:paraId="6D938E00" w14:textId="77777777" w:rsidR="003D77B8" w:rsidRPr="000E4461" w:rsidRDefault="003D77B8" w:rsidP="003D77B8">
            <w:pPr>
              <w:pStyle w:val="Nincstrkz"/>
              <w:jc w:val="both"/>
            </w:pPr>
          </w:p>
          <w:p w14:paraId="50BB7888" w14:textId="5D6B17A8" w:rsidR="003D77B8" w:rsidRPr="00357C16" w:rsidRDefault="003D77B8" w:rsidP="00500037">
            <w:pPr>
              <w:pStyle w:val="Nincstrkz"/>
              <w:numPr>
                <w:ilvl w:val="0"/>
                <w:numId w:val="48"/>
              </w:numPr>
              <w:ind w:left="284" w:hanging="284"/>
              <w:jc w:val="both"/>
              <w:rPr>
                <w:u w:val="single"/>
              </w:rPr>
            </w:pPr>
            <w:r w:rsidRPr="00357C16">
              <w:rPr>
                <w:u w:val="single"/>
              </w:rPr>
              <w:t>Legislation preparation:</w:t>
            </w:r>
          </w:p>
          <w:p w14:paraId="36E4F2DF" w14:textId="77777777" w:rsidR="003D77B8" w:rsidRPr="000E4461" w:rsidRDefault="003D77B8" w:rsidP="003D77B8">
            <w:pPr>
              <w:pStyle w:val="Nincstrkz"/>
              <w:jc w:val="both"/>
            </w:pPr>
          </w:p>
          <w:p w14:paraId="1A30501D" w14:textId="3D55583D" w:rsidR="003D77B8" w:rsidRPr="000E4461" w:rsidRDefault="003D77B8" w:rsidP="00500037">
            <w:pPr>
              <w:pStyle w:val="Nincstrkz"/>
              <w:numPr>
                <w:ilvl w:val="0"/>
                <w:numId w:val="3"/>
              </w:numPr>
              <w:ind w:hanging="294"/>
              <w:jc w:val="both"/>
            </w:pPr>
            <w:r w:rsidRPr="000E4461">
              <w:t>Prime Minister’s Office: Public Procurement Regulatory Department</w:t>
            </w:r>
          </w:p>
          <w:p w14:paraId="64756035" w14:textId="77777777" w:rsidR="003D77B8" w:rsidRPr="000E4461" w:rsidRDefault="003D77B8" w:rsidP="003D77B8">
            <w:pPr>
              <w:pStyle w:val="Nincstrkz"/>
              <w:jc w:val="both"/>
            </w:pPr>
          </w:p>
          <w:p w14:paraId="05F8B43D" w14:textId="539E71B3" w:rsidR="003D77B8" w:rsidRPr="00357C16" w:rsidRDefault="003D77B8" w:rsidP="00500037">
            <w:pPr>
              <w:pStyle w:val="Nincstrkz"/>
              <w:numPr>
                <w:ilvl w:val="0"/>
                <w:numId w:val="48"/>
              </w:numPr>
              <w:ind w:left="284" w:hanging="284"/>
              <w:jc w:val="both"/>
              <w:rPr>
                <w:u w:val="single"/>
              </w:rPr>
            </w:pPr>
            <w:r w:rsidRPr="00357C16">
              <w:rPr>
                <w:u w:val="single"/>
              </w:rPr>
              <w:t xml:space="preserve">Control of the performance </w:t>
            </w:r>
            <w:r w:rsidR="008A68E3" w:rsidRPr="00357C16">
              <w:rPr>
                <w:u w:val="single"/>
              </w:rPr>
              <w:t xml:space="preserve">and the modification </w:t>
            </w:r>
            <w:r w:rsidRPr="00357C16">
              <w:rPr>
                <w:u w:val="single"/>
              </w:rPr>
              <w:t>of contracts</w:t>
            </w:r>
            <w:r w:rsidR="008A68E3" w:rsidRPr="00357C16">
              <w:rPr>
                <w:u w:val="single"/>
              </w:rPr>
              <w:t>, control of notices, legal control of negotiated procedures without prior publication of a contract notice</w:t>
            </w:r>
            <w:r w:rsidR="00533B4A" w:rsidRPr="00357C16">
              <w:rPr>
                <w:u w:val="single"/>
              </w:rPr>
              <w:t>, making official statistics on all public procurement procedures</w:t>
            </w:r>
            <w:r w:rsidRPr="00357C16">
              <w:rPr>
                <w:u w:val="single"/>
              </w:rPr>
              <w:t>:</w:t>
            </w:r>
          </w:p>
          <w:p w14:paraId="48DA1161" w14:textId="77777777" w:rsidR="003D77B8" w:rsidRPr="000E4461" w:rsidRDefault="003D77B8" w:rsidP="003D77B8">
            <w:pPr>
              <w:pStyle w:val="Nincstrkz"/>
              <w:jc w:val="both"/>
            </w:pPr>
          </w:p>
          <w:p w14:paraId="34AB7EDD" w14:textId="6543DCE2" w:rsidR="003D77B8" w:rsidRPr="000E4461" w:rsidRDefault="003D77B8" w:rsidP="00500037">
            <w:pPr>
              <w:pStyle w:val="Nincstrkz"/>
              <w:numPr>
                <w:ilvl w:val="0"/>
                <w:numId w:val="3"/>
              </w:numPr>
              <w:ind w:hanging="294"/>
              <w:jc w:val="both"/>
            </w:pPr>
            <w:r w:rsidRPr="000E4461">
              <w:t>Public Procurement Authority</w:t>
            </w:r>
          </w:p>
        </w:tc>
      </w:tr>
    </w:tbl>
    <w:p w14:paraId="432BAB8A" w14:textId="77777777" w:rsidR="00631D5F" w:rsidRDefault="00631D5F" w:rsidP="00631D5F">
      <w:pPr>
        <w:pStyle w:val="Nincstrkz"/>
      </w:pPr>
    </w:p>
    <w:p w14:paraId="32246A78" w14:textId="77777777" w:rsidR="00694372" w:rsidRPr="00631D5F" w:rsidRDefault="00694372" w:rsidP="00631D5F">
      <w:pPr>
        <w:pStyle w:val="Nincstrkz"/>
      </w:pPr>
    </w:p>
    <w:p w14:paraId="6A2FDC55" w14:textId="61328EF4" w:rsidR="009B40D2" w:rsidRPr="000E4461" w:rsidRDefault="00A86F34" w:rsidP="00DC189A">
      <w:pPr>
        <w:pStyle w:val="Cmsor2"/>
      </w:pPr>
      <w:r w:rsidRPr="000E4461">
        <w:t xml:space="preserve">I. </w:t>
      </w:r>
      <w:r w:rsidR="00BC4C3D" w:rsidRPr="000E4461">
        <w:t>Estimation of the aggregated total value of procurement which would have been covered by the directives if its value had exceeded the relevant thresholds</w:t>
      </w:r>
    </w:p>
    <w:p w14:paraId="148F7BBB" w14:textId="77777777" w:rsidR="00BC4C3D" w:rsidRPr="000E4461" w:rsidRDefault="00BC4C3D" w:rsidP="009B40D2">
      <w:pPr>
        <w:pStyle w:val="Nincstrkz"/>
      </w:pPr>
    </w:p>
    <w:tbl>
      <w:tblPr>
        <w:tblStyle w:val="Rcsostblzat"/>
        <w:tblW w:w="5000" w:type="pct"/>
        <w:tblLook w:val="04A0" w:firstRow="1" w:lastRow="0" w:firstColumn="1" w:lastColumn="0" w:noHBand="0" w:noVBand="1"/>
      </w:tblPr>
      <w:tblGrid>
        <w:gridCol w:w="4511"/>
        <w:gridCol w:w="9709"/>
      </w:tblGrid>
      <w:tr w:rsidR="003F660D" w:rsidRPr="000E4461" w14:paraId="277A2679" w14:textId="344A3042" w:rsidTr="003844FF">
        <w:trPr>
          <w:trHeight w:val="1354"/>
        </w:trPr>
        <w:tc>
          <w:tcPr>
            <w:tcW w:w="1633" w:type="pct"/>
          </w:tcPr>
          <w:p w14:paraId="70AFE892" w14:textId="12AE1746" w:rsidR="003F660D" w:rsidRPr="000E4461" w:rsidRDefault="003F660D" w:rsidP="003F660D">
            <w:pPr>
              <w:rPr>
                <w:b/>
                <w:sz w:val="24"/>
                <w:szCs w:val="24"/>
              </w:rPr>
            </w:pPr>
            <w:r w:rsidRPr="000E4461">
              <w:rPr>
                <w:b/>
                <w:sz w:val="24"/>
                <w:szCs w:val="24"/>
              </w:rPr>
              <w:t>Estimation of the aggregated total value of procurement which would have been covered by the directives if its value had exceeded the relevant thresholds</w:t>
            </w:r>
          </w:p>
        </w:tc>
        <w:tc>
          <w:tcPr>
            <w:tcW w:w="3367" w:type="pct"/>
          </w:tcPr>
          <w:p w14:paraId="71E4E15E" w14:textId="77777777" w:rsidR="00B22D8B" w:rsidRPr="000E4461" w:rsidRDefault="006720AD" w:rsidP="00EF2B09">
            <w:pPr>
              <w:pStyle w:val="Nincstrkz"/>
              <w:jc w:val="both"/>
            </w:pPr>
            <w:r w:rsidRPr="000E4461">
              <w:t xml:space="preserve"> </w:t>
            </w:r>
          </w:p>
          <w:p w14:paraId="30E0AF60" w14:textId="78CACC56" w:rsidR="00C906F0" w:rsidRPr="000E4461" w:rsidRDefault="00FD60FC" w:rsidP="00EF2B09">
            <w:pPr>
              <w:pStyle w:val="Nincstrkz"/>
              <w:jc w:val="both"/>
            </w:pPr>
            <w:r w:rsidRPr="000E4461">
              <w:t>In Hungary the Act CXLIII on Public Procurement</w:t>
            </w:r>
            <w:r w:rsidR="00507F61">
              <w:rPr>
                <w:rStyle w:val="Lbjegyzet-hivatkozs"/>
              </w:rPr>
              <w:footnoteReference w:id="2"/>
            </w:r>
            <w:r w:rsidRPr="000E4461">
              <w:t xml:space="preserve"> (hereinafter: PPA) should be used for public procurements reaching or exceeding specified thresholds</w:t>
            </w:r>
            <w:r w:rsidR="00A42FB1" w:rsidRPr="000E4461">
              <w:t>;</w:t>
            </w:r>
            <w:r w:rsidRPr="000E4461">
              <w:t xml:space="preserve"> consequently only such data </w:t>
            </w:r>
            <w:r w:rsidR="00E153E9" w:rsidRPr="000E4461">
              <w:t xml:space="preserve">and statistics can be collected which are connected to public procurement procedures being under the PPA. </w:t>
            </w:r>
            <w:r w:rsidR="00C906F0" w:rsidRPr="000E4461">
              <w:t xml:space="preserve">Regarding procurements under the national thresholds </w:t>
            </w:r>
            <w:r w:rsidR="00A42FB1" w:rsidRPr="000E4461">
              <w:t>aggregated</w:t>
            </w:r>
            <w:r w:rsidR="00C906F0" w:rsidRPr="000E4461">
              <w:t xml:space="preserve"> data are not available. </w:t>
            </w:r>
          </w:p>
          <w:p w14:paraId="1112A2AE" w14:textId="77777777" w:rsidR="00C906F0" w:rsidRPr="000E4461" w:rsidRDefault="00C906F0" w:rsidP="00EF2B09">
            <w:pPr>
              <w:pStyle w:val="Nincstrkz"/>
              <w:jc w:val="both"/>
            </w:pPr>
          </w:p>
          <w:p w14:paraId="74497381" w14:textId="0950BF16" w:rsidR="00FD60FC" w:rsidRPr="000E4461" w:rsidRDefault="00E153E9" w:rsidP="00EF2B09">
            <w:pPr>
              <w:pStyle w:val="Nincstrkz"/>
              <w:jc w:val="both"/>
            </w:pPr>
            <w:r w:rsidRPr="000E4461">
              <w:t xml:space="preserve">Statistical data </w:t>
            </w:r>
            <w:r w:rsidR="00A152FA" w:rsidRPr="000E4461">
              <w:t>on</w:t>
            </w:r>
            <w:r w:rsidRPr="000E4461">
              <w:t xml:space="preserve"> public procurement procedures are officially collected by the Public Procurement Authority above national thresholds and also above EU thresholds</w:t>
            </w:r>
            <w:r w:rsidR="00C906F0" w:rsidRPr="000E4461">
              <w:t>.</w:t>
            </w:r>
          </w:p>
          <w:p w14:paraId="6EAC5D8E" w14:textId="77777777" w:rsidR="00384DB6" w:rsidRPr="000E4461" w:rsidRDefault="00384DB6" w:rsidP="00EF2B09">
            <w:pPr>
              <w:pStyle w:val="Nincstrkz"/>
              <w:jc w:val="both"/>
            </w:pPr>
          </w:p>
          <w:p w14:paraId="6013D7E6" w14:textId="32D91564" w:rsidR="006C0367" w:rsidRPr="000E4461" w:rsidRDefault="00CC75EF" w:rsidP="00EF2B09">
            <w:pPr>
              <w:pStyle w:val="Nincstrkz"/>
              <w:jc w:val="both"/>
            </w:pPr>
            <w:r w:rsidRPr="000E4461">
              <w:t xml:space="preserve">National public procurement thresholds are laid down annually in the Budget Act. </w:t>
            </w:r>
            <w:r w:rsidR="00DF6451" w:rsidRPr="000E4461">
              <w:t>For</w:t>
            </w:r>
            <w:r w:rsidRPr="000E4461">
              <w:t xml:space="preserve"> 2017, national public procurement thresholds </w:t>
            </w:r>
            <w:r w:rsidR="00CF3159" w:rsidRPr="000E4461">
              <w:t xml:space="preserve">were </w:t>
            </w:r>
            <w:r w:rsidRPr="000E4461">
              <w:t>the following:</w:t>
            </w:r>
          </w:p>
          <w:p w14:paraId="7D6A3D85" w14:textId="77777777" w:rsidR="00CC75EF" w:rsidRPr="000E4461" w:rsidRDefault="00CC75EF" w:rsidP="00EF2B09">
            <w:pPr>
              <w:pStyle w:val="Nincstrkz"/>
              <w:jc w:val="both"/>
            </w:pPr>
          </w:p>
          <w:p w14:paraId="31F38191" w14:textId="759762E2" w:rsidR="006927FF" w:rsidRPr="000E4461" w:rsidRDefault="006927FF" w:rsidP="00500037">
            <w:pPr>
              <w:pStyle w:val="Nincstrkz"/>
              <w:numPr>
                <w:ilvl w:val="0"/>
                <w:numId w:val="40"/>
              </w:numPr>
              <w:ind w:left="602" w:hanging="283"/>
              <w:jc w:val="both"/>
            </w:pPr>
            <w:r w:rsidRPr="000E4461">
              <w:lastRenderedPageBreak/>
              <w:t xml:space="preserve"> For the purposes of Part Three</w:t>
            </w:r>
            <w:r w:rsidR="00B33ED9" w:rsidRPr="000E4461">
              <w:t xml:space="preserve"> of the PPA (procedures below EU thresholds)</w:t>
            </w:r>
            <w:r w:rsidRPr="000E4461">
              <w:t xml:space="preserve"> – except for procedures of entities operating in the water, energy, transport and postal services sectors:</w:t>
            </w:r>
          </w:p>
          <w:p w14:paraId="3136692C" w14:textId="77777777" w:rsidR="006927FF" w:rsidRPr="000E4461" w:rsidRDefault="006927FF" w:rsidP="006927FF">
            <w:pPr>
              <w:pStyle w:val="Nincstrkz"/>
              <w:jc w:val="both"/>
            </w:pPr>
          </w:p>
          <w:p w14:paraId="65BE709D" w14:textId="02725959" w:rsidR="006927FF" w:rsidRPr="000E4461" w:rsidRDefault="006927FF" w:rsidP="00500037">
            <w:pPr>
              <w:pStyle w:val="Nincstrkz"/>
              <w:numPr>
                <w:ilvl w:val="0"/>
                <w:numId w:val="41"/>
              </w:numPr>
              <w:ind w:left="1169" w:hanging="283"/>
              <w:jc w:val="both"/>
            </w:pPr>
            <w:r w:rsidRPr="000E4461">
              <w:t>In the case of public supplies: HUF</w:t>
            </w:r>
            <w:r w:rsidR="00E30A31" w:rsidRPr="000E4461">
              <w:t xml:space="preserve"> 15</w:t>
            </w:r>
            <w:r w:rsidRPr="000E4461">
              <w:t xml:space="preserve"> million</w:t>
            </w:r>
            <w:r w:rsidR="00E30A31" w:rsidRPr="000E4461">
              <w:t xml:space="preserve"> (approx. EUR 48 000)</w:t>
            </w:r>
            <w:r w:rsidRPr="000E4461">
              <w:t>,</w:t>
            </w:r>
          </w:p>
          <w:p w14:paraId="55F3282D" w14:textId="61983A67" w:rsidR="006927FF" w:rsidRPr="000E4461" w:rsidRDefault="006927FF" w:rsidP="00500037">
            <w:pPr>
              <w:pStyle w:val="Nincstrkz"/>
              <w:numPr>
                <w:ilvl w:val="0"/>
                <w:numId w:val="41"/>
              </w:numPr>
              <w:ind w:left="1169" w:hanging="283"/>
              <w:jc w:val="both"/>
            </w:pPr>
            <w:r w:rsidRPr="000E4461">
              <w:t>In the case of public works: HUF</w:t>
            </w:r>
            <w:r w:rsidR="00E30A31" w:rsidRPr="000E4461">
              <w:t xml:space="preserve"> 25</w:t>
            </w:r>
            <w:r w:rsidRPr="000E4461">
              <w:t xml:space="preserve"> million</w:t>
            </w:r>
            <w:r w:rsidR="00E30A31" w:rsidRPr="000E4461">
              <w:t xml:space="preserve"> (approx. EUR 80 000)</w:t>
            </w:r>
            <w:r w:rsidRPr="000E4461">
              <w:t>,</w:t>
            </w:r>
          </w:p>
          <w:p w14:paraId="6C592AD3" w14:textId="0EC784A3" w:rsidR="006927FF" w:rsidRPr="000E4461" w:rsidRDefault="006927FF" w:rsidP="00500037">
            <w:pPr>
              <w:pStyle w:val="Nincstrkz"/>
              <w:numPr>
                <w:ilvl w:val="0"/>
                <w:numId w:val="41"/>
              </w:numPr>
              <w:ind w:left="1169" w:hanging="283"/>
              <w:jc w:val="both"/>
            </w:pPr>
            <w:r w:rsidRPr="000E4461">
              <w:t xml:space="preserve">In the case of public services: HUF </w:t>
            </w:r>
            <w:r w:rsidR="00E30A31" w:rsidRPr="000E4461">
              <w:t xml:space="preserve">15 </w:t>
            </w:r>
            <w:r w:rsidRPr="000E4461">
              <w:t>million</w:t>
            </w:r>
            <w:r w:rsidR="00E30A31" w:rsidRPr="000E4461">
              <w:t xml:space="preserve"> (approx. EUR 48 000)</w:t>
            </w:r>
            <w:r w:rsidRPr="000E4461">
              <w:t>,</w:t>
            </w:r>
          </w:p>
          <w:p w14:paraId="120F820B" w14:textId="77777777" w:rsidR="006927FF" w:rsidRPr="000E4461" w:rsidRDefault="006927FF" w:rsidP="006927FF">
            <w:pPr>
              <w:pStyle w:val="Nincstrkz"/>
              <w:jc w:val="both"/>
            </w:pPr>
          </w:p>
          <w:p w14:paraId="5370FF09" w14:textId="4BB96665" w:rsidR="006927FF" w:rsidRPr="000E4461" w:rsidRDefault="006927FF" w:rsidP="00500037">
            <w:pPr>
              <w:pStyle w:val="Nincstrkz"/>
              <w:numPr>
                <w:ilvl w:val="0"/>
                <w:numId w:val="40"/>
              </w:numPr>
              <w:ind w:left="602" w:hanging="283"/>
              <w:jc w:val="both"/>
            </w:pPr>
            <w:r w:rsidRPr="000E4461">
              <w:t>For the purposes of procedures of entities operating in the water, energy,</w:t>
            </w:r>
            <w:r w:rsidR="00E30A31" w:rsidRPr="000E4461">
              <w:t xml:space="preserve"> </w:t>
            </w:r>
            <w:r w:rsidRPr="000E4461">
              <w:t>transport and postal services sectors:</w:t>
            </w:r>
          </w:p>
          <w:p w14:paraId="77FC9D96" w14:textId="77777777" w:rsidR="006927FF" w:rsidRPr="000E4461" w:rsidRDefault="006927FF" w:rsidP="006927FF">
            <w:pPr>
              <w:pStyle w:val="Nincstrkz"/>
              <w:jc w:val="both"/>
            </w:pPr>
          </w:p>
          <w:p w14:paraId="30F4D955" w14:textId="5412399A" w:rsidR="006927FF" w:rsidRPr="000E4461" w:rsidRDefault="006927FF" w:rsidP="00500037">
            <w:pPr>
              <w:pStyle w:val="Nincstrkz"/>
              <w:numPr>
                <w:ilvl w:val="0"/>
                <w:numId w:val="42"/>
              </w:numPr>
              <w:ind w:left="1169" w:hanging="283"/>
              <w:jc w:val="both"/>
            </w:pPr>
            <w:r w:rsidRPr="000E4461">
              <w:t xml:space="preserve">In the case of public supplies: HUF </w:t>
            </w:r>
            <w:r w:rsidR="00E30A31" w:rsidRPr="000E4461">
              <w:t xml:space="preserve">50 </w:t>
            </w:r>
            <w:r w:rsidRPr="000E4461">
              <w:t>million</w:t>
            </w:r>
            <w:r w:rsidR="000146AE" w:rsidRPr="000E4461">
              <w:t xml:space="preserve"> (approx. EUR 160 000)</w:t>
            </w:r>
            <w:r w:rsidRPr="000E4461">
              <w:t>,</w:t>
            </w:r>
          </w:p>
          <w:p w14:paraId="3C425C49" w14:textId="4D7D3036" w:rsidR="006927FF" w:rsidRPr="000E4461" w:rsidRDefault="006927FF" w:rsidP="00500037">
            <w:pPr>
              <w:pStyle w:val="Nincstrkz"/>
              <w:numPr>
                <w:ilvl w:val="0"/>
                <w:numId w:val="42"/>
              </w:numPr>
              <w:ind w:left="1169" w:hanging="283"/>
              <w:jc w:val="both"/>
            </w:pPr>
            <w:r w:rsidRPr="000E4461">
              <w:t xml:space="preserve">In the case of public works: HUF </w:t>
            </w:r>
            <w:r w:rsidR="00E30A31" w:rsidRPr="000E4461">
              <w:t xml:space="preserve">100 </w:t>
            </w:r>
            <w:r w:rsidRPr="000E4461">
              <w:t>million</w:t>
            </w:r>
            <w:r w:rsidR="000146AE" w:rsidRPr="000E4461">
              <w:t xml:space="preserve"> (approx. EUR 320 000)</w:t>
            </w:r>
            <w:r w:rsidRPr="000E4461">
              <w:t>,</w:t>
            </w:r>
          </w:p>
          <w:p w14:paraId="58DB1E28" w14:textId="6CBA315B" w:rsidR="006927FF" w:rsidRPr="000E4461" w:rsidRDefault="006927FF" w:rsidP="00500037">
            <w:pPr>
              <w:pStyle w:val="Nincstrkz"/>
              <w:numPr>
                <w:ilvl w:val="0"/>
                <w:numId w:val="42"/>
              </w:numPr>
              <w:ind w:left="1169" w:hanging="283"/>
              <w:jc w:val="both"/>
            </w:pPr>
            <w:r w:rsidRPr="000E4461">
              <w:t xml:space="preserve">In the case of public services: HUF </w:t>
            </w:r>
            <w:r w:rsidR="00E30A31" w:rsidRPr="000E4461">
              <w:t xml:space="preserve">50 </w:t>
            </w:r>
            <w:r w:rsidRPr="000E4461">
              <w:t>million</w:t>
            </w:r>
            <w:r w:rsidR="000146AE" w:rsidRPr="000E4461">
              <w:t xml:space="preserve"> (approx. EUR 160 000)</w:t>
            </w:r>
            <w:r w:rsidRPr="000E4461">
              <w:t>.</w:t>
            </w:r>
          </w:p>
          <w:p w14:paraId="1829BA98" w14:textId="77777777" w:rsidR="006927FF" w:rsidRPr="000E4461" w:rsidRDefault="006927FF" w:rsidP="006927FF">
            <w:pPr>
              <w:pStyle w:val="Nincstrkz"/>
              <w:jc w:val="both"/>
            </w:pPr>
          </w:p>
          <w:p w14:paraId="28E08C6D" w14:textId="27F52694" w:rsidR="006927FF" w:rsidRPr="000E4461" w:rsidRDefault="006927FF" w:rsidP="00500037">
            <w:pPr>
              <w:pStyle w:val="Nincstrkz"/>
              <w:numPr>
                <w:ilvl w:val="0"/>
                <w:numId w:val="40"/>
              </w:numPr>
              <w:ind w:left="602" w:hanging="283"/>
              <w:jc w:val="both"/>
            </w:pPr>
            <w:r w:rsidRPr="000E4461">
              <w:t>For the purposes of Part Four</w:t>
            </w:r>
            <w:r w:rsidR="00B33ED9" w:rsidRPr="000E4461">
              <w:t xml:space="preserve"> of the PPA (concessions)</w:t>
            </w:r>
            <w:r w:rsidRPr="000E4461">
              <w:t xml:space="preserve"> – except for procedures of entities operating in the water, energy, transport and postal services sectors:</w:t>
            </w:r>
          </w:p>
          <w:p w14:paraId="7613FE35" w14:textId="77777777" w:rsidR="007212D6" w:rsidRPr="000E4461" w:rsidRDefault="007212D6" w:rsidP="007212D6">
            <w:pPr>
              <w:pStyle w:val="Nincstrkz"/>
              <w:ind w:left="602"/>
              <w:jc w:val="both"/>
              <w:rPr>
                <w:color w:val="1F497D" w:themeColor="text2"/>
              </w:rPr>
            </w:pPr>
          </w:p>
          <w:p w14:paraId="4977F9E7" w14:textId="64B1AA13" w:rsidR="006927FF" w:rsidRPr="000E4461" w:rsidRDefault="006927FF" w:rsidP="00500037">
            <w:pPr>
              <w:pStyle w:val="Nincstrkz"/>
              <w:numPr>
                <w:ilvl w:val="0"/>
                <w:numId w:val="43"/>
              </w:numPr>
              <w:ind w:left="1169" w:hanging="283"/>
              <w:jc w:val="both"/>
            </w:pPr>
            <w:r w:rsidRPr="000E4461">
              <w:t xml:space="preserve">In the case of public works concessions: HUF </w:t>
            </w:r>
            <w:r w:rsidR="00E30A31" w:rsidRPr="000E4461">
              <w:t xml:space="preserve">100 </w:t>
            </w:r>
            <w:r w:rsidRPr="000E4461">
              <w:t>million</w:t>
            </w:r>
            <w:r w:rsidR="000146AE" w:rsidRPr="000E4461">
              <w:t xml:space="preserve"> (approx. EUR 320 000)</w:t>
            </w:r>
            <w:r w:rsidRPr="000E4461">
              <w:t>,</w:t>
            </w:r>
          </w:p>
          <w:p w14:paraId="1ABAF7A0" w14:textId="25B36222" w:rsidR="006927FF" w:rsidRPr="000E4461" w:rsidRDefault="006927FF" w:rsidP="00500037">
            <w:pPr>
              <w:pStyle w:val="Nincstrkz"/>
              <w:numPr>
                <w:ilvl w:val="0"/>
                <w:numId w:val="43"/>
              </w:numPr>
              <w:ind w:left="1169" w:hanging="283"/>
              <w:jc w:val="both"/>
            </w:pPr>
            <w:r w:rsidRPr="000E4461">
              <w:t xml:space="preserve">In the case of public service concessions: HUF </w:t>
            </w:r>
            <w:r w:rsidR="00E30A31" w:rsidRPr="000E4461">
              <w:t xml:space="preserve">30 </w:t>
            </w:r>
            <w:r w:rsidRPr="000E4461">
              <w:t>million</w:t>
            </w:r>
            <w:r w:rsidR="000146AE" w:rsidRPr="000E4461">
              <w:t xml:space="preserve"> (approx. EUR 96 000)</w:t>
            </w:r>
            <w:r w:rsidRPr="000E4461">
              <w:t>.</w:t>
            </w:r>
          </w:p>
          <w:p w14:paraId="3EEFAFF7" w14:textId="77777777" w:rsidR="006927FF" w:rsidRPr="000E4461" w:rsidRDefault="006927FF" w:rsidP="006927FF">
            <w:pPr>
              <w:pStyle w:val="Nincstrkz"/>
              <w:jc w:val="both"/>
            </w:pPr>
          </w:p>
          <w:p w14:paraId="3803A557" w14:textId="5DA4AD2E" w:rsidR="006927FF" w:rsidRPr="000E4461" w:rsidRDefault="006927FF" w:rsidP="00500037">
            <w:pPr>
              <w:pStyle w:val="Nincstrkz"/>
              <w:numPr>
                <w:ilvl w:val="0"/>
                <w:numId w:val="40"/>
              </w:numPr>
              <w:ind w:left="602" w:hanging="283"/>
              <w:jc w:val="both"/>
            </w:pPr>
            <w:r w:rsidRPr="000E4461">
              <w:t>For the purposes of Part Four</w:t>
            </w:r>
            <w:r w:rsidR="00B33ED9" w:rsidRPr="000E4461">
              <w:t xml:space="preserve"> (concessions)</w:t>
            </w:r>
            <w:r w:rsidRPr="000E4461">
              <w:t xml:space="preserve"> in the case of procedures of entities operating in the water, energy, transport and postal services sectors:</w:t>
            </w:r>
          </w:p>
          <w:p w14:paraId="6FF8C33A" w14:textId="77777777" w:rsidR="006927FF" w:rsidRPr="000E4461" w:rsidRDefault="006927FF" w:rsidP="006927FF">
            <w:pPr>
              <w:pStyle w:val="Nincstrkz"/>
              <w:jc w:val="both"/>
            </w:pPr>
          </w:p>
          <w:p w14:paraId="7EEAD8C9" w14:textId="4F69BE52" w:rsidR="006927FF" w:rsidRPr="000E4461" w:rsidRDefault="006927FF" w:rsidP="00500037">
            <w:pPr>
              <w:pStyle w:val="Nincstrkz"/>
              <w:numPr>
                <w:ilvl w:val="0"/>
                <w:numId w:val="44"/>
              </w:numPr>
              <w:ind w:left="1169" w:hanging="283"/>
              <w:jc w:val="both"/>
            </w:pPr>
            <w:r w:rsidRPr="000E4461">
              <w:t xml:space="preserve">In the case of public works concessions: HUF </w:t>
            </w:r>
            <w:r w:rsidR="00E30A31" w:rsidRPr="000E4461">
              <w:t xml:space="preserve">200 </w:t>
            </w:r>
            <w:r w:rsidRPr="000E4461">
              <w:t>million</w:t>
            </w:r>
            <w:r w:rsidR="000146AE" w:rsidRPr="000E4461">
              <w:t xml:space="preserve"> (approx. EUR 640 000)</w:t>
            </w:r>
            <w:r w:rsidRPr="000E4461">
              <w:t>,</w:t>
            </w:r>
          </w:p>
          <w:p w14:paraId="40A5201B" w14:textId="685749EA" w:rsidR="00CC75EF" w:rsidRPr="000E4461" w:rsidRDefault="006927FF" w:rsidP="00500037">
            <w:pPr>
              <w:pStyle w:val="Nincstrkz"/>
              <w:numPr>
                <w:ilvl w:val="0"/>
                <w:numId w:val="44"/>
              </w:numPr>
              <w:ind w:left="1169" w:hanging="283"/>
              <w:jc w:val="both"/>
            </w:pPr>
            <w:r w:rsidRPr="000E4461">
              <w:t xml:space="preserve">In the case of public service concessions: HUF </w:t>
            </w:r>
            <w:r w:rsidR="00E30A31" w:rsidRPr="000E4461">
              <w:t xml:space="preserve">100 </w:t>
            </w:r>
            <w:r w:rsidRPr="000E4461">
              <w:t>million</w:t>
            </w:r>
            <w:r w:rsidR="000146AE" w:rsidRPr="000E4461">
              <w:t xml:space="preserve"> (approx. EUR 320 000).</w:t>
            </w:r>
          </w:p>
          <w:p w14:paraId="744E8305" w14:textId="77777777" w:rsidR="006C0367" w:rsidRPr="000E4461" w:rsidRDefault="006C0367" w:rsidP="00EF2B09">
            <w:pPr>
              <w:pStyle w:val="Nincstrkz"/>
              <w:jc w:val="both"/>
            </w:pPr>
          </w:p>
          <w:p w14:paraId="0D2CBB98" w14:textId="77777777" w:rsidR="007D56E0" w:rsidRDefault="007D56E0" w:rsidP="00EF2B09">
            <w:pPr>
              <w:pStyle w:val="Nincstrkz"/>
              <w:jc w:val="both"/>
              <w:rPr>
                <w:b/>
                <w:u w:val="single"/>
              </w:rPr>
            </w:pPr>
          </w:p>
          <w:p w14:paraId="08257EAE" w14:textId="77777777" w:rsidR="007D56E0" w:rsidRDefault="007D56E0" w:rsidP="00EF2B09">
            <w:pPr>
              <w:pStyle w:val="Nincstrkz"/>
              <w:jc w:val="both"/>
              <w:rPr>
                <w:b/>
                <w:u w:val="single"/>
              </w:rPr>
            </w:pPr>
          </w:p>
          <w:p w14:paraId="21797F20" w14:textId="77777777" w:rsidR="007D56E0" w:rsidRDefault="007D56E0" w:rsidP="00EF2B09">
            <w:pPr>
              <w:pStyle w:val="Nincstrkz"/>
              <w:jc w:val="both"/>
              <w:rPr>
                <w:b/>
                <w:u w:val="single"/>
              </w:rPr>
            </w:pPr>
          </w:p>
          <w:p w14:paraId="4D0EC504" w14:textId="77777777" w:rsidR="007D56E0" w:rsidRDefault="007D56E0" w:rsidP="00EF2B09">
            <w:pPr>
              <w:pStyle w:val="Nincstrkz"/>
              <w:jc w:val="both"/>
              <w:rPr>
                <w:b/>
                <w:u w:val="single"/>
              </w:rPr>
            </w:pPr>
          </w:p>
          <w:p w14:paraId="4AA914DA" w14:textId="77777777" w:rsidR="007D56E0" w:rsidRDefault="007D56E0" w:rsidP="00EF2B09">
            <w:pPr>
              <w:pStyle w:val="Nincstrkz"/>
              <w:jc w:val="both"/>
              <w:rPr>
                <w:b/>
                <w:u w:val="single"/>
              </w:rPr>
            </w:pPr>
          </w:p>
          <w:p w14:paraId="5391C656" w14:textId="77777777" w:rsidR="007D56E0" w:rsidRDefault="007D56E0" w:rsidP="00EF2B09">
            <w:pPr>
              <w:pStyle w:val="Nincstrkz"/>
              <w:jc w:val="both"/>
              <w:rPr>
                <w:b/>
                <w:u w:val="single"/>
              </w:rPr>
            </w:pPr>
          </w:p>
          <w:p w14:paraId="1A72B49A" w14:textId="77777777" w:rsidR="007D56E0" w:rsidRDefault="007D56E0" w:rsidP="00EF2B09">
            <w:pPr>
              <w:pStyle w:val="Nincstrkz"/>
              <w:jc w:val="both"/>
              <w:rPr>
                <w:b/>
                <w:u w:val="single"/>
              </w:rPr>
            </w:pPr>
          </w:p>
          <w:p w14:paraId="7FF764AA" w14:textId="50ED76BB" w:rsidR="00D814B1" w:rsidRPr="00A96E3C" w:rsidRDefault="00A152FA" w:rsidP="00EF2B09">
            <w:pPr>
              <w:pStyle w:val="Nincstrkz"/>
              <w:jc w:val="both"/>
              <w:rPr>
                <w:b/>
                <w:u w:val="single"/>
              </w:rPr>
            </w:pPr>
            <w:r w:rsidRPr="00A96E3C">
              <w:rPr>
                <w:b/>
                <w:u w:val="single"/>
              </w:rPr>
              <w:lastRenderedPageBreak/>
              <w:t xml:space="preserve">Data on public procurement procedures above national </w:t>
            </w:r>
            <w:r w:rsidR="00BB1608" w:rsidRPr="00A96E3C">
              <w:rPr>
                <w:b/>
                <w:u w:val="single"/>
              </w:rPr>
              <w:t xml:space="preserve">– and below EU – </w:t>
            </w:r>
            <w:r w:rsidRPr="00A96E3C">
              <w:rPr>
                <w:b/>
                <w:u w:val="single"/>
              </w:rPr>
              <w:t xml:space="preserve">thresholds </w:t>
            </w:r>
            <w:r w:rsidR="00D814B1" w:rsidRPr="00A96E3C">
              <w:rPr>
                <w:b/>
                <w:u w:val="single"/>
              </w:rPr>
              <w:t xml:space="preserve">are summarised in the </w:t>
            </w:r>
            <w:r w:rsidR="00BB1608" w:rsidRPr="00A96E3C">
              <w:rPr>
                <w:b/>
                <w:u w:val="single"/>
              </w:rPr>
              <w:t xml:space="preserve">following </w:t>
            </w:r>
            <w:r w:rsidR="00D814B1" w:rsidRPr="00A96E3C">
              <w:rPr>
                <w:b/>
                <w:u w:val="single"/>
              </w:rPr>
              <w:t>table:</w:t>
            </w:r>
          </w:p>
          <w:p w14:paraId="03054950" w14:textId="77777777" w:rsidR="006C0367" w:rsidRPr="000E4461" w:rsidRDefault="006C0367" w:rsidP="00EF2B09">
            <w:pPr>
              <w:pStyle w:val="Nincstrkz"/>
              <w:jc w:val="both"/>
            </w:pPr>
          </w:p>
          <w:tbl>
            <w:tblPr>
              <w:tblStyle w:val="Vilgosrnykols1jellszn"/>
              <w:tblW w:w="9493" w:type="dxa"/>
              <w:tblLook w:val="04A0" w:firstRow="1" w:lastRow="0" w:firstColumn="1" w:lastColumn="0" w:noHBand="0" w:noVBand="1"/>
            </w:tblPr>
            <w:tblGrid>
              <w:gridCol w:w="3681"/>
              <w:gridCol w:w="1843"/>
              <w:gridCol w:w="992"/>
              <w:gridCol w:w="1843"/>
              <w:gridCol w:w="1134"/>
            </w:tblGrid>
            <w:tr w:rsidR="009600DC" w:rsidRPr="000E4461" w14:paraId="4877FE78" w14:textId="77777777" w:rsidTr="009600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5"/>
                  <w:noWrap/>
                  <w:hideMark/>
                </w:tcPr>
                <w:p w14:paraId="71439354" w14:textId="77777777" w:rsidR="00493D2D" w:rsidRPr="000E4461" w:rsidRDefault="00493D2D" w:rsidP="001601BC">
                  <w:pPr>
                    <w:jc w:val="center"/>
                    <w:rPr>
                      <w:rFonts w:eastAsia="Times New Roman"/>
                      <w:b w:val="0"/>
                      <w:bCs w:val="0"/>
                      <w:color w:val="1F497D" w:themeColor="text2"/>
                      <w:lang w:eastAsia="hu-HU"/>
                    </w:rPr>
                  </w:pPr>
                  <w:r w:rsidRPr="000E4461">
                    <w:rPr>
                      <w:rFonts w:eastAsia="Times New Roman"/>
                      <w:color w:val="1F497D" w:themeColor="text2"/>
                      <w:lang w:eastAsia="hu-HU"/>
                    </w:rPr>
                    <w:t>National regime</w:t>
                  </w:r>
                </w:p>
              </w:tc>
            </w:tr>
            <w:tr w:rsidR="009600DC" w:rsidRPr="000E4461" w14:paraId="457E13AA" w14:textId="77777777" w:rsidTr="009600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E6A0C4C" w14:textId="77777777" w:rsidR="00493D2D" w:rsidRPr="000E4461" w:rsidRDefault="00493D2D" w:rsidP="001601BC">
                  <w:pPr>
                    <w:jc w:val="center"/>
                    <w:rPr>
                      <w:rFonts w:eastAsia="Times New Roman"/>
                      <w:b w:val="0"/>
                      <w:bCs w:val="0"/>
                      <w:color w:val="1F497D" w:themeColor="text2"/>
                      <w:lang w:eastAsia="hu-HU"/>
                    </w:rPr>
                  </w:pPr>
                  <w:r w:rsidRPr="000E4461">
                    <w:rPr>
                      <w:rFonts w:eastAsia="Times New Roman"/>
                      <w:color w:val="1F497D" w:themeColor="text2"/>
                      <w:lang w:eastAsia="hu-HU"/>
                    </w:rPr>
                    <w:t>Type of procedures</w:t>
                  </w:r>
                </w:p>
              </w:tc>
              <w:tc>
                <w:tcPr>
                  <w:tcW w:w="1843" w:type="dxa"/>
                  <w:noWrap/>
                  <w:hideMark/>
                </w:tcPr>
                <w:p w14:paraId="05669D20" w14:textId="77777777" w:rsidR="00493D2D" w:rsidRPr="000E4461" w:rsidRDefault="00493D2D" w:rsidP="001601BC">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F497D" w:themeColor="text2"/>
                      <w:lang w:eastAsia="hu-HU"/>
                    </w:rPr>
                  </w:pPr>
                  <w:r w:rsidRPr="000E4461">
                    <w:rPr>
                      <w:rFonts w:eastAsia="Times New Roman"/>
                      <w:b/>
                      <w:bCs/>
                      <w:color w:val="1F497D" w:themeColor="text2"/>
                      <w:lang w:eastAsia="hu-HU"/>
                    </w:rPr>
                    <w:t>Number of procedures</w:t>
                  </w:r>
                </w:p>
              </w:tc>
              <w:tc>
                <w:tcPr>
                  <w:tcW w:w="992" w:type="dxa"/>
                  <w:noWrap/>
                  <w:hideMark/>
                </w:tcPr>
                <w:p w14:paraId="4CA67C1D" w14:textId="77777777" w:rsidR="00493D2D" w:rsidRPr="000E4461" w:rsidRDefault="00493D2D" w:rsidP="001601BC">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F497D" w:themeColor="text2"/>
                      <w:lang w:eastAsia="hu-HU"/>
                    </w:rPr>
                  </w:pPr>
                  <w:r w:rsidRPr="000E4461">
                    <w:rPr>
                      <w:rFonts w:eastAsia="Times New Roman"/>
                      <w:b/>
                      <w:bCs/>
                      <w:color w:val="1F497D" w:themeColor="text2"/>
                      <w:lang w:eastAsia="hu-HU"/>
                    </w:rPr>
                    <w:t>(%)</w:t>
                  </w:r>
                </w:p>
              </w:tc>
              <w:tc>
                <w:tcPr>
                  <w:tcW w:w="1843" w:type="dxa"/>
                  <w:noWrap/>
                  <w:hideMark/>
                </w:tcPr>
                <w:p w14:paraId="29F433D0" w14:textId="77777777" w:rsidR="00493D2D" w:rsidRPr="000E4461" w:rsidRDefault="00493D2D" w:rsidP="001601BC">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F497D" w:themeColor="text2"/>
                      <w:u w:val="single"/>
                      <w:lang w:eastAsia="hu-HU"/>
                    </w:rPr>
                  </w:pPr>
                  <w:r w:rsidRPr="000E4461">
                    <w:rPr>
                      <w:rFonts w:eastAsia="Times New Roman"/>
                      <w:b/>
                      <w:bCs/>
                      <w:color w:val="1F497D" w:themeColor="text2"/>
                      <w:u w:val="single"/>
                      <w:lang w:eastAsia="hu-HU"/>
                    </w:rPr>
                    <w:t xml:space="preserve">Value of procedures (HUF </w:t>
                  </w:r>
                  <w:proofErr w:type="spellStart"/>
                  <w:r w:rsidRPr="000E4461">
                    <w:rPr>
                      <w:rFonts w:eastAsia="Times New Roman"/>
                      <w:b/>
                      <w:bCs/>
                      <w:color w:val="1F497D" w:themeColor="text2"/>
                      <w:u w:val="single"/>
                      <w:lang w:eastAsia="hu-HU"/>
                    </w:rPr>
                    <w:t>bn</w:t>
                  </w:r>
                  <w:proofErr w:type="spellEnd"/>
                  <w:r w:rsidRPr="000E4461">
                    <w:rPr>
                      <w:rFonts w:eastAsia="Times New Roman"/>
                      <w:b/>
                      <w:bCs/>
                      <w:color w:val="1F497D" w:themeColor="text2"/>
                      <w:u w:val="single"/>
                      <w:lang w:eastAsia="hu-HU"/>
                    </w:rPr>
                    <w:t>)</w:t>
                  </w:r>
                </w:p>
              </w:tc>
              <w:tc>
                <w:tcPr>
                  <w:tcW w:w="1134" w:type="dxa"/>
                  <w:noWrap/>
                  <w:hideMark/>
                </w:tcPr>
                <w:p w14:paraId="18746CC9" w14:textId="77777777" w:rsidR="00493D2D" w:rsidRPr="000E4461" w:rsidRDefault="00493D2D" w:rsidP="001601BC">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1F497D" w:themeColor="text2"/>
                      <w:lang w:eastAsia="hu-HU"/>
                    </w:rPr>
                  </w:pPr>
                  <w:r w:rsidRPr="000E4461">
                    <w:rPr>
                      <w:rFonts w:eastAsia="Times New Roman"/>
                      <w:b/>
                      <w:bCs/>
                      <w:color w:val="1F497D" w:themeColor="text2"/>
                      <w:lang w:eastAsia="hu-HU"/>
                    </w:rPr>
                    <w:t>(%)</w:t>
                  </w:r>
                </w:p>
              </w:tc>
            </w:tr>
            <w:tr w:rsidR="009600DC" w:rsidRPr="000E4461" w14:paraId="37C5B711" w14:textId="77777777" w:rsidTr="009600DC">
              <w:trPr>
                <w:trHeight w:val="315"/>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0C546E3" w14:textId="77777777" w:rsidR="00493D2D" w:rsidRPr="000E4461" w:rsidRDefault="00493D2D" w:rsidP="001601BC">
                  <w:pPr>
                    <w:rPr>
                      <w:rFonts w:eastAsia="Times New Roman"/>
                      <w:color w:val="1F497D" w:themeColor="text2"/>
                      <w:lang w:eastAsia="hu-HU"/>
                    </w:rPr>
                  </w:pPr>
                  <w:r w:rsidRPr="000E4461">
                    <w:rPr>
                      <w:rFonts w:eastAsia="Times New Roman"/>
                      <w:color w:val="1F497D" w:themeColor="text2"/>
                      <w:lang w:eastAsia="hu-HU"/>
                    </w:rPr>
                    <w:t>Open procedure</w:t>
                  </w:r>
                </w:p>
              </w:tc>
              <w:tc>
                <w:tcPr>
                  <w:tcW w:w="1843" w:type="dxa"/>
                  <w:noWrap/>
                  <w:hideMark/>
                </w:tcPr>
                <w:p w14:paraId="7B3D3C0B" w14:textId="77777777" w:rsidR="00493D2D" w:rsidRPr="000E4461" w:rsidRDefault="00493D2D" w:rsidP="001601BC">
                  <w:pPr>
                    <w:tabs>
                      <w:tab w:val="left" w:pos="1201"/>
                    </w:tabs>
                    <w:ind w:right="499"/>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193</w:t>
                  </w:r>
                </w:p>
              </w:tc>
              <w:tc>
                <w:tcPr>
                  <w:tcW w:w="992" w:type="dxa"/>
                  <w:noWrap/>
                  <w:hideMark/>
                </w:tcPr>
                <w:p w14:paraId="77355A12"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2,82%</w:t>
                  </w:r>
                </w:p>
              </w:tc>
              <w:tc>
                <w:tcPr>
                  <w:tcW w:w="1843" w:type="dxa"/>
                  <w:noWrap/>
                  <w:hideMark/>
                </w:tcPr>
                <w:p w14:paraId="54CD49EB" w14:textId="77777777" w:rsidR="00493D2D" w:rsidRPr="000E4461" w:rsidRDefault="00493D2D" w:rsidP="001601BC">
                  <w:pPr>
                    <w:ind w:right="357"/>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80,68</w:t>
                  </w:r>
                </w:p>
              </w:tc>
              <w:tc>
                <w:tcPr>
                  <w:tcW w:w="1134" w:type="dxa"/>
                  <w:noWrap/>
                  <w:hideMark/>
                </w:tcPr>
                <w:p w14:paraId="62998D11"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14,20%</w:t>
                  </w:r>
                </w:p>
              </w:tc>
            </w:tr>
            <w:tr w:rsidR="009600DC" w:rsidRPr="000E4461" w14:paraId="516BC137" w14:textId="77777777" w:rsidTr="00960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70CE49D" w14:textId="77777777" w:rsidR="00493D2D" w:rsidRPr="000E4461" w:rsidRDefault="00493D2D" w:rsidP="001601BC">
                  <w:pPr>
                    <w:rPr>
                      <w:rFonts w:eastAsia="Times New Roman"/>
                      <w:color w:val="1F497D" w:themeColor="text2"/>
                      <w:lang w:eastAsia="hu-HU"/>
                    </w:rPr>
                  </w:pPr>
                  <w:r w:rsidRPr="000E4461">
                    <w:rPr>
                      <w:rFonts w:eastAsia="Times New Roman"/>
                      <w:color w:val="1F497D" w:themeColor="text2"/>
                      <w:lang w:eastAsia="hu-HU"/>
                    </w:rPr>
                    <w:t>Restricted procedure</w:t>
                  </w:r>
                </w:p>
              </w:tc>
              <w:tc>
                <w:tcPr>
                  <w:tcW w:w="1843" w:type="dxa"/>
                  <w:noWrap/>
                  <w:hideMark/>
                </w:tcPr>
                <w:p w14:paraId="04AB21EC" w14:textId="77777777" w:rsidR="00493D2D" w:rsidRPr="000E4461" w:rsidRDefault="00493D2D" w:rsidP="001601BC">
                  <w:pPr>
                    <w:tabs>
                      <w:tab w:val="left" w:pos="1201"/>
                    </w:tabs>
                    <w:ind w:right="499"/>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11</w:t>
                  </w:r>
                </w:p>
              </w:tc>
              <w:tc>
                <w:tcPr>
                  <w:tcW w:w="992" w:type="dxa"/>
                  <w:noWrap/>
                  <w:hideMark/>
                </w:tcPr>
                <w:p w14:paraId="344107C4" w14:textId="77777777" w:rsidR="00493D2D" w:rsidRPr="000E4461" w:rsidRDefault="00493D2D" w:rsidP="001601BC">
                  <w:pPr>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0,16%</w:t>
                  </w:r>
                </w:p>
              </w:tc>
              <w:tc>
                <w:tcPr>
                  <w:tcW w:w="1843" w:type="dxa"/>
                  <w:noWrap/>
                  <w:hideMark/>
                </w:tcPr>
                <w:p w14:paraId="3DD3CA69" w14:textId="77777777" w:rsidR="00493D2D" w:rsidRPr="000E4461" w:rsidRDefault="00493D2D" w:rsidP="001601BC">
                  <w:pPr>
                    <w:ind w:right="357"/>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8,70</w:t>
                  </w:r>
                </w:p>
              </w:tc>
              <w:tc>
                <w:tcPr>
                  <w:tcW w:w="1134" w:type="dxa"/>
                  <w:noWrap/>
                  <w:hideMark/>
                </w:tcPr>
                <w:p w14:paraId="010900AE" w14:textId="77777777" w:rsidR="00493D2D" w:rsidRPr="000E4461" w:rsidRDefault="00493D2D" w:rsidP="001601BC">
                  <w:pPr>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1,53%</w:t>
                  </w:r>
                </w:p>
              </w:tc>
            </w:tr>
            <w:tr w:rsidR="009600DC" w:rsidRPr="000E4461" w14:paraId="076E5B9E" w14:textId="77777777" w:rsidTr="009600DC">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DE0490D" w14:textId="77777777" w:rsidR="00493D2D" w:rsidRPr="000E4461" w:rsidRDefault="00493D2D" w:rsidP="001601BC">
                  <w:pPr>
                    <w:rPr>
                      <w:rFonts w:eastAsia="Times New Roman"/>
                      <w:color w:val="1F497D" w:themeColor="text2"/>
                      <w:lang w:eastAsia="hu-HU"/>
                    </w:rPr>
                  </w:pPr>
                  <w:r w:rsidRPr="000E4461">
                    <w:rPr>
                      <w:rFonts w:eastAsia="Times New Roman"/>
                      <w:color w:val="1F497D" w:themeColor="text2"/>
                      <w:lang w:eastAsia="hu-HU"/>
                    </w:rPr>
                    <w:t>Negotiated procedure</w:t>
                  </w:r>
                </w:p>
              </w:tc>
              <w:tc>
                <w:tcPr>
                  <w:tcW w:w="1843" w:type="dxa"/>
                  <w:noWrap/>
                  <w:hideMark/>
                </w:tcPr>
                <w:p w14:paraId="105F5683" w14:textId="77777777" w:rsidR="00493D2D" w:rsidRPr="000E4461" w:rsidRDefault="00493D2D" w:rsidP="001601BC">
                  <w:pPr>
                    <w:tabs>
                      <w:tab w:val="left" w:pos="1201"/>
                    </w:tabs>
                    <w:ind w:right="499"/>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22</w:t>
                  </w:r>
                </w:p>
              </w:tc>
              <w:tc>
                <w:tcPr>
                  <w:tcW w:w="992" w:type="dxa"/>
                  <w:noWrap/>
                  <w:hideMark/>
                </w:tcPr>
                <w:p w14:paraId="34868A73"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0,32%</w:t>
                  </w:r>
                </w:p>
              </w:tc>
              <w:tc>
                <w:tcPr>
                  <w:tcW w:w="1843" w:type="dxa"/>
                  <w:noWrap/>
                  <w:hideMark/>
                </w:tcPr>
                <w:p w14:paraId="287A33B9" w14:textId="77777777" w:rsidR="00493D2D" w:rsidRPr="000E4461" w:rsidRDefault="00493D2D" w:rsidP="001601BC">
                  <w:pPr>
                    <w:ind w:right="357"/>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21,37</w:t>
                  </w:r>
                </w:p>
              </w:tc>
              <w:tc>
                <w:tcPr>
                  <w:tcW w:w="1134" w:type="dxa"/>
                  <w:noWrap/>
                  <w:hideMark/>
                </w:tcPr>
                <w:p w14:paraId="731F00CB"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3,76%</w:t>
                  </w:r>
                </w:p>
              </w:tc>
            </w:tr>
            <w:tr w:rsidR="009600DC" w:rsidRPr="000E4461" w14:paraId="4F4AA436" w14:textId="77777777" w:rsidTr="00960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FBD7738" w14:textId="77777777" w:rsidR="00493D2D" w:rsidRPr="000E4461" w:rsidRDefault="00493D2D" w:rsidP="001601BC">
                  <w:pPr>
                    <w:rPr>
                      <w:rFonts w:eastAsia="Times New Roman"/>
                      <w:color w:val="1F497D" w:themeColor="text2"/>
                      <w:lang w:eastAsia="hu-HU"/>
                    </w:rPr>
                  </w:pPr>
                  <w:r w:rsidRPr="000E4461">
                    <w:rPr>
                      <w:rFonts w:eastAsia="Times New Roman"/>
                      <w:color w:val="1F497D" w:themeColor="text2"/>
                      <w:lang w:eastAsia="hu-HU"/>
                    </w:rPr>
                    <w:t>Negotiated procedures without prior publication</w:t>
                  </w:r>
                </w:p>
              </w:tc>
              <w:tc>
                <w:tcPr>
                  <w:tcW w:w="1843" w:type="dxa"/>
                  <w:noWrap/>
                  <w:hideMark/>
                </w:tcPr>
                <w:p w14:paraId="12936960" w14:textId="77777777" w:rsidR="00493D2D" w:rsidRPr="000E4461" w:rsidRDefault="00493D2D" w:rsidP="001601BC">
                  <w:pPr>
                    <w:tabs>
                      <w:tab w:val="left" w:pos="1201"/>
                    </w:tabs>
                    <w:ind w:right="499"/>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145</w:t>
                  </w:r>
                </w:p>
              </w:tc>
              <w:tc>
                <w:tcPr>
                  <w:tcW w:w="992" w:type="dxa"/>
                  <w:noWrap/>
                  <w:hideMark/>
                </w:tcPr>
                <w:p w14:paraId="3C3E4D09" w14:textId="77777777" w:rsidR="00493D2D" w:rsidRPr="000E4461" w:rsidRDefault="00493D2D" w:rsidP="001601BC">
                  <w:pPr>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2,12%</w:t>
                  </w:r>
                </w:p>
              </w:tc>
              <w:tc>
                <w:tcPr>
                  <w:tcW w:w="1843" w:type="dxa"/>
                  <w:noWrap/>
                  <w:hideMark/>
                </w:tcPr>
                <w:p w14:paraId="3D1E1ED9" w14:textId="77777777" w:rsidR="00493D2D" w:rsidRPr="000E4461" w:rsidRDefault="00493D2D" w:rsidP="001601BC">
                  <w:pPr>
                    <w:ind w:right="357"/>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14,16</w:t>
                  </w:r>
                </w:p>
              </w:tc>
              <w:tc>
                <w:tcPr>
                  <w:tcW w:w="1134" w:type="dxa"/>
                  <w:noWrap/>
                  <w:hideMark/>
                </w:tcPr>
                <w:p w14:paraId="479236BC" w14:textId="77777777" w:rsidR="00493D2D" w:rsidRPr="000E4461" w:rsidRDefault="00493D2D" w:rsidP="001601BC">
                  <w:pPr>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2,49%</w:t>
                  </w:r>
                </w:p>
              </w:tc>
            </w:tr>
            <w:tr w:rsidR="009600DC" w:rsidRPr="000E4461" w14:paraId="34BD3FD2" w14:textId="77777777" w:rsidTr="009600DC">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D8A8441" w14:textId="77777777" w:rsidR="00493D2D" w:rsidRPr="000E4461" w:rsidRDefault="00493D2D" w:rsidP="001601BC">
                  <w:pPr>
                    <w:rPr>
                      <w:rFonts w:eastAsia="Times New Roman"/>
                      <w:color w:val="1F497D" w:themeColor="text2"/>
                      <w:lang w:eastAsia="hu-HU"/>
                    </w:rPr>
                  </w:pPr>
                  <w:r w:rsidRPr="000E4461">
                    <w:rPr>
                      <w:rFonts w:eastAsia="Times New Roman"/>
                      <w:color w:val="1F497D" w:themeColor="text2"/>
                      <w:lang w:eastAsia="hu-HU"/>
                    </w:rPr>
                    <w:t>Procedure based on Art. 117 of the PPA</w:t>
                  </w:r>
                </w:p>
              </w:tc>
              <w:tc>
                <w:tcPr>
                  <w:tcW w:w="1843" w:type="dxa"/>
                  <w:noWrap/>
                  <w:hideMark/>
                </w:tcPr>
                <w:p w14:paraId="4600AD3F" w14:textId="77777777" w:rsidR="00493D2D" w:rsidRPr="000E4461" w:rsidRDefault="00493D2D" w:rsidP="001601BC">
                  <w:pPr>
                    <w:tabs>
                      <w:tab w:val="left" w:pos="1201"/>
                    </w:tabs>
                    <w:ind w:right="499"/>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 xml:space="preserve">162 </w:t>
                  </w:r>
                </w:p>
              </w:tc>
              <w:tc>
                <w:tcPr>
                  <w:tcW w:w="992" w:type="dxa"/>
                  <w:noWrap/>
                  <w:hideMark/>
                </w:tcPr>
                <w:p w14:paraId="2303187D"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2,37%</w:t>
                  </w:r>
                </w:p>
              </w:tc>
              <w:tc>
                <w:tcPr>
                  <w:tcW w:w="1843" w:type="dxa"/>
                  <w:noWrap/>
                  <w:hideMark/>
                </w:tcPr>
                <w:p w14:paraId="48CF3BA4" w14:textId="77777777" w:rsidR="00493D2D" w:rsidRPr="000E4461" w:rsidRDefault="00493D2D" w:rsidP="001601BC">
                  <w:pPr>
                    <w:ind w:right="357"/>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30,34</w:t>
                  </w:r>
                </w:p>
              </w:tc>
              <w:tc>
                <w:tcPr>
                  <w:tcW w:w="1134" w:type="dxa"/>
                  <w:noWrap/>
                  <w:hideMark/>
                </w:tcPr>
                <w:p w14:paraId="512FE050"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5,34%</w:t>
                  </w:r>
                </w:p>
              </w:tc>
            </w:tr>
            <w:tr w:rsidR="009600DC" w:rsidRPr="000E4461" w14:paraId="5F91672F" w14:textId="77777777" w:rsidTr="00960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B461E33" w14:textId="77777777" w:rsidR="00493D2D" w:rsidRPr="000E4461" w:rsidRDefault="00493D2D" w:rsidP="001601BC">
                  <w:pPr>
                    <w:rPr>
                      <w:rFonts w:eastAsia="Times New Roman"/>
                      <w:color w:val="1F497D" w:themeColor="text2"/>
                      <w:lang w:eastAsia="hu-HU"/>
                    </w:rPr>
                  </w:pPr>
                  <w:r w:rsidRPr="000E4461">
                    <w:rPr>
                      <w:rFonts w:eastAsia="Times New Roman"/>
                      <w:color w:val="1F497D" w:themeColor="text2"/>
                      <w:lang w:eastAsia="hu-HU"/>
                    </w:rPr>
                    <w:t>Open procedure</w:t>
                  </w:r>
                  <w:r w:rsidRPr="000E4461">
                    <w:rPr>
                      <w:color w:val="1F497D" w:themeColor="text2"/>
                    </w:rPr>
                    <w:t xml:space="preserve"> </w:t>
                  </w:r>
                  <w:r w:rsidRPr="000E4461">
                    <w:rPr>
                      <w:rFonts w:eastAsia="Times New Roman"/>
                      <w:color w:val="1F497D" w:themeColor="text2"/>
                      <w:lang w:eastAsia="hu-HU"/>
                    </w:rPr>
                    <w:t>based on Art. 113 of the PPA</w:t>
                  </w:r>
                </w:p>
              </w:tc>
              <w:tc>
                <w:tcPr>
                  <w:tcW w:w="1843" w:type="dxa"/>
                  <w:noWrap/>
                  <w:hideMark/>
                </w:tcPr>
                <w:p w14:paraId="2C016C3C" w14:textId="77777777" w:rsidR="00493D2D" w:rsidRPr="000E4461" w:rsidRDefault="00493D2D" w:rsidP="001601BC">
                  <w:pPr>
                    <w:tabs>
                      <w:tab w:val="left" w:pos="1201"/>
                    </w:tabs>
                    <w:ind w:right="499"/>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2 141</w:t>
                  </w:r>
                </w:p>
              </w:tc>
              <w:tc>
                <w:tcPr>
                  <w:tcW w:w="992" w:type="dxa"/>
                  <w:noWrap/>
                  <w:hideMark/>
                </w:tcPr>
                <w:p w14:paraId="4DA20E3E" w14:textId="77777777" w:rsidR="00493D2D" w:rsidRPr="000E4461" w:rsidRDefault="00493D2D" w:rsidP="001601BC">
                  <w:pPr>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31,27%</w:t>
                  </w:r>
                </w:p>
              </w:tc>
              <w:tc>
                <w:tcPr>
                  <w:tcW w:w="1843" w:type="dxa"/>
                  <w:noWrap/>
                  <w:hideMark/>
                </w:tcPr>
                <w:p w14:paraId="5D092F32" w14:textId="77777777" w:rsidR="00493D2D" w:rsidRPr="000E4461" w:rsidRDefault="00493D2D" w:rsidP="001601BC">
                  <w:pPr>
                    <w:ind w:right="357"/>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128,07</w:t>
                  </w:r>
                </w:p>
              </w:tc>
              <w:tc>
                <w:tcPr>
                  <w:tcW w:w="1134" w:type="dxa"/>
                  <w:noWrap/>
                  <w:hideMark/>
                </w:tcPr>
                <w:p w14:paraId="446486BA" w14:textId="77777777" w:rsidR="00493D2D" w:rsidRPr="000E4461" w:rsidRDefault="00493D2D" w:rsidP="001601BC">
                  <w:pPr>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22,53%</w:t>
                  </w:r>
                </w:p>
              </w:tc>
            </w:tr>
            <w:tr w:rsidR="009600DC" w:rsidRPr="000E4461" w14:paraId="195A310A" w14:textId="77777777" w:rsidTr="009600DC">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8305934" w14:textId="77777777" w:rsidR="00493D2D" w:rsidRPr="000E4461" w:rsidRDefault="00493D2D" w:rsidP="001601BC">
                  <w:pPr>
                    <w:rPr>
                      <w:rFonts w:eastAsia="Times New Roman"/>
                      <w:color w:val="1F497D" w:themeColor="text2"/>
                      <w:lang w:eastAsia="hu-HU"/>
                    </w:rPr>
                  </w:pPr>
                  <w:r w:rsidRPr="000E4461">
                    <w:rPr>
                      <w:rFonts w:eastAsia="Times New Roman"/>
                      <w:color w:val="1F497D" w:themeColor="text2"/>
                      <w:lang w:eastAsia="hu-HU"/>
                    </w:rPr>
                    <w:t>Restricted procedure based on Art. 113 of the PPA</w:t>
                  </w:r>
                </w:p>
              </w:tc>
              <w:tc>
                <w:tcPr>
                  <w:tcW w:w="1843" w:type="dxa"/>
                  <w:noWrap/>
                  <w:hideMark/>
                </w:tcPr>
                <w:p w14:paraId="21DB05A5" w14:textId="77777777" w:rsidR="00493D2D" w:rsidRPr="000E4461" w:rsidRDefault="00493D2D" w:rsidP="001601BC">
                  <w:pPr>
                    <w:tabs>
                      <w:tab w:val="left" w:pos="1201"/>
                    </w:tabs>
                    <w:ind w:right="499"/>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27</w:t>
                  </w:r>
                </w:p>
              </w:tc>
              <w:tc>
                <w:tcPr>
                  <w:tcW w:w="992" w:type="dxa"/>
                  <w:noWrap/>
                  <w:hideMark/>
                </w:tcPr>
                <w:p w14:paraId="6A74580A"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0,39%</w:t>
                  </w:r>
                </w:p>
              </w:tc>
              <w:tc>
                <w:tcPr>
                  <w:tcW w:w="1843" w:type="dxa"/>
                  <w:noWrap/>
                  <w:hideMark/>
                </w:tcPr>
                <w:p w14:paraId="0C627451" w14:textId="77777777" w:rsidR="00493D2D" w:rsidRPr="000E4461" w:rsidRDefault="00493D2D" w:rsidP="001601BC">
                  <w:pPr>
                    <w:ind w:right="357"/>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2,22</w:t>
                  </w:r>
                </w:p>
              </w:tc>
              <w:tc>
                <w:tcPr>
                  <w:tcW w:w="1134" w:type="dxa"/>
                  <w:noWrap/>
                  <w:hideMark/>
                </w:tcPr>
                <w:p w14:paraId="3815047E"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0,39%</w:t>
                  </w:r>
                </w:p>
              </w:tc>
            </w:tr>
            <w:tr w:rsidR="009600DC" w:rsidRPr="000E4461" w14:paraId="676C8183" w14:textId="77777777" w:rsidTr="00960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4180940" w14:textId="77777777" w:rsidR="00493D2D" w:rsidRPr="000E4461" w:rsidRDefault="00493D2D" w:rsidP="001601BC">
                  <w:pPr>
                    <w:rPr>
                      <w:rFonts w:eastAsia="Times New Roman"/>
                      <w:color w:val="1F497D" w:themeColor="text2"/>
                      <w:lang w:eastAsia="hu-HU"/>
                    </w:rPr>
                  </w:pPr>
                  <w:r w:rsidRPr="000E4461">
                    <w:rPr>
                      <w:rFonts w:eastAsia="Times New Roman"/>
                      <w:color w:val="1F497D" w:themeColor="text2"/>
                      <w:lang w:eastAsia="hu-HU"/>
                    </w:rPr>
                    <w:t>Negotiated procedure based on Art. 113 of the PPA</w:t>
                  </w:r>
                </w:p>
              </w:tc>
              <w:tc>
                <w:tcPr>
                  <w:tcW w:w="1843" w:type="dxa"/>
                  <w:noWrap/>
                  <w:hideMark/>
                </w:tcPr>
                <w:p w14:paraId="1927B412" w14:textId="77777777" w:rsidR="00493D2D" w:rsidRPr="000E4461" w:rsidRDefault="00493D2D" w:rsidP="001601BC">
                  <w:pPr>
                    <w:tabs>
                      <w:tab w:val="left" w:pos="1201"/>
                    </w:tabs>
                    <w:ind w:right="499"/>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107</w:t>
                  </w:r>
                </w:p>
              </w:tc>
              <w:tc>
                <w:tcPr>
                  <w:tcW w:w="992" w:type="dxa"/>
                  <w:noWrap/>
                  <w:hideMark/>
                </w:tcPr>
                <w:p w14:paraId="2333C585" w14:textId="77777777" w:rsidR="00493D2D" w:rsidRPr="000E4461" w:rsidRDefault="00493D2D" w:rsidP="001601BC">
                  <w:pPr>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1,56%</w:t>
                  </w:r>
                </w:p>
              </w:tc>
              <w:tc>
                <w:tcPr>
                  <w:tcW w:w="1843" w:type="dxa"/>
                  <w:noWrap/>
                  <w:hideMark/>
                </w:tcPr>
                <w:p w14:paraId="142D54E3" w14:textId="77777777" w:rsidR="00493D2D" w:rsidRPr="000E4461" w:rsidRDefault="00493D2D" w:rsidP="001601BC">
                  <w:pPr>
                    <w:ind w:right="357"/>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8,11</w:t>
                  </w:r>
                </w:p>
              </w:tc>
              <w:tc>
                <w:tcPr>
                  <w:tcW w:w="1134" w:type="dxa"/>
                  <w:noWrap/>
                  <w:hideMark/>
                </w:tcPr>
                <w:p w14:paraId="2A1E4C94" w14:textId="77777777" w:rsidR="00493D2D" w:rsidRPr="000E4461" w:rsidRDefault="00493D2D" w:rsidP="001601BC">
                  <w:pPr>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1,43%</w:t>
                  </w:r>
                </w:p>
              </w:tc>
            </w:tr>
            <w:tr w:rsidR="009600DC" w:rsidRPr="000E4461" w14:paraId="4C026C1B" w14:textId="77777777" w:rsidTr="009600DC">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8B15DD3" w14:textId="77777777" w:rsidR="00493D2D" w:rsidRPr="000E4461" w:rsidRDefault="00493D2D" w:rsidP="001601BC">
                  <w:pPr>
                    <w:rPr>
                      <w:rFonts w:eastAsia="Times New Roman"/>
                      <w:color w:val="1F497D" w:themeColor="text2"/>
                      <w:lang w:eastAsia="hu-HU"/>
                    </w:rPr>
                  </w:pPr>
                  <w:r w:rsidRPr="000E4461">
                    <w:rPr>
                      <w:rFonts w:eastAsia="Times New Roman"/>
                      <w:color w:val="1F497D" w:themeColor="text2"/>
                      <w:lang w:eastAsia="hu-HU"/>
                    </w:rPr>
                    <w:t>Open procedure based on Art. 115 of the PPA</w:t>
                  </w:r>
                </w:p>
              </w:tc>
              <w:tc>
                <w:tcPr>
                  <w:tcW w:w="1843" w:type="dxa"/>
                  <w:noWrap/>
                  <w:hideMark/>
                </w:tcPr>
                <w:p w14:paraId="57693C52" w14:textId="77777777" w:rsidR="00493D2D" w:rsidRPr="000E4461" w:rsidRDefault="00493D2D" w:rsidP="001601BC">
                  <w:pPr>
                    <w:tabs>
                      <w:tab w:val="left" w:pos="1201"/>
                    </w:tabs>
                    <w:ind w:right="499"/>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 xml:space="preserve">3 650 </w:t>
                  </w:r>
                </w:p>
              </w:tc>
              <w:tc>
                <w:tcPr>
                  <w:tcW w:w="992" w:type="dxa"/>
                  <w:noWrap/>
                  <w:hideMark/>
                </w:tcPr>
                <w:p w14:paraId="7B3BF95E"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53,32%</w:t>
                  </w:r>
                </w:p>
              </w:tc>
              <w:tc>
                <w:tcPr>
                  <w:tcW w:w="1843" w:type="dxa"/>
                  <w:noWrap/>
                  <w:hideMark/>
                </w:tcPr>
                <w:p w14:paraId="46DA7459" w14:textId="77777777" w:rsidR="00493D2D" w:rsidRPr="000E4461" w:rsidRDefault="00493D2D" w:rsidP="001601BC">
                  <w:pPr>
                    <w:ind w:right="357"/>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250,48</w:t>
                  </w:r>
                </w:p>
              </w:tc>
              <w:tc>
                <w:tcPr>
                  <w:tcW w:w="1134" w:type="dxa"/>
                  <w:noWrap/>
                  <w:hideMark/>
                </w:tcPr>
                <w:p w14:paraId="45AE5512"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44,07%</w:t>
                  </w:r>
                </w:p>
              </w:tc>
            </w:tr>
            <w:tr w:rsidR="009600DC" w:rsidRPr="000E4461" w14:paraId="72392DFB" w14:textId="77777777" w:rsidTr="00960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3FA161D" w14:textId="77777777" w:rsidR="00493D2D" w:rsidRPr="000E4461" w:rsidRDefault="00493D2D" w:rsidP="001601BC">
                  <w:pPr>
                    <w:rPr>
                      <w:rFonts w:eastAsia="Times New Roman"/>
                      <w:color w:val="1F497D" w:themeColor="text2"/>
                      <w:lang w:eastAsia="hu-HU"/>
                    </w:rPr>
                  </w:pPr>
                  <w:r w:rsidRPr="000E4461">
                    <w:rPr>
                      <w:rFonts w:eastAsia="Times New Roman"/>
                      <w:color w:val="1F497D" w:themeColor="text2"/>
                      <w:lang w:eastAsia="hu-HU"/>
                    </w:rPr>
                    <w:t xml:space="preserve">Negotiated procedures without prior publication based on Art. 115 of the PPA </w:t>
                  </w:r>
                </w:p>
              </w:tc>
              <w:tc>
                <w:tcPr>
                  <w:tcW w:w="1843" w:type="dxa"/>
                  <w:noWrap/>
                  <w:hideMark/>
                </w:tcPr>
                <w:p w14:paraId="7C2F02E4" w14:textId="77777777" w:rsidR="00493D2D" w:rsidRPr="000E4461" w:rsidRDefault="00493D2D" w:rsidP="001601BC">
                  <w:pPr>
                    <w:tabs>
                      <w:tab w:val="left" w:pos="1201"/>
                    </w:tabs>
                    <w:ind w:right="499"/>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370</w:t>
                  </w:r>
                </w:p>
              </w:tc>
              <w:tc>
                <w:tcPr>
                  <w:tcW w:w="992" w:type="dxa"/>
                  <w:noWrap/>
                  <w:hideMark/>
                </w:tcPr>
                <w:p w14:paraId="328ED30C" w14:textId="77777777" w:rsidR="00493D2D" w:rsidRPr="000E4461" w:rsidRDefault="00493D2D" w:rsidP="001601BC">
                  <w:pPr>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5,40%</w:t>
                  </w:r>
                </w:p>
              </w:tc>
              <w:tc>
                <w:tcPr>
                  <w:tcW w:w="1843" w:type="dxa"/>
                  <w:noWrap/>
                  <w:hideMark/>
                </w:tcPr>
                <w:p w14:paraId="2C4354B1" w14:textId="77777777" w:rsidR="00493D2D" w:rsidRPr="000E4461" w:rsidRDefault="00493D2D" w:rsidP="001601BC">
                  <w:pPr>
                    <w:ind w:right="357"/>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23,68</w:t>
                  </w:r>
                </w:p>
              </w:tc>
              <w:tc>
                <w:tcPr>
                  <w:tcW w:w="1134" w:type="dxa"/>
                  <w:noWrap/>
                  <w:hideMark/>
                </w:tcPr>
                <w:p w14:paraId="2E14E245" w14:textId="77777777" w:rsidR="00493D2D" w:rsidRPr="000E4461" w:rsidRDefault="00493D2D" w:rsidP="001601BC">
                  <w:pPr>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4,17%</w:t>
                  </w:r>
                </w:p>
              </w:tc>
            </w:tr>
            <w:tr w:rsidR="009600DC" w:rsidRPr="000E4461" w14:paraId="1588FD28" w14:textId="77777777" w:rsidTr="009600DC">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6A5E9E0" w14:textId="77777777" w:rsidR="00493D2D" w:rsidRPr="000E4461" w:rsidRDefault="00493D2D" w:rsidP="001601BC">
                  <w:pPr>
                    <w:rPr>
                      <w:rFonts w:eastAsia="Times New Roman"/>
                      <w:color w:val="1F497D" w:themeColor="text2"/>
                      <w:lang w:eastAsia="hu-HU"/>
                    </w:rPr>
                  </w:pPr>
                  <w:r w:rsidRPr="000E4461">
                    <w:rPr>
                      <w:rFonts w:eastAsia="Times New Roman"/>
                      <w:color w:val="1F497D" w:themeColor="text2"/>
                      <w:lang w:eastAsia="hu-HU"/>
                    </w:rPr>
                    <w:t>Procedure based on Art. 122/A of the PPA of 2011</w:t>
                  </w:r>
                </w:p>
              </w:tc>
              <w:tc>
                <w:tcPr>
                  <w:tcW w:w="1843" w:type="dxa"/>
                  <w:noWrap/>
                  <w:hideMark/>
                </w:tcPr>
                <w:p w14:paraId="7609FB3B" w14:textId="77777777" w:rsidR="00493D2D" w:rsidRPr="000E4461" w:rsidRDefault="00493D2D" w:rsidP="001601BC">
                  <w:pPr>
                    <w:tabs>
                      <w:tab w:val="left" w:pos="1201"/>
                    </w:tabs>
                    <w:ind w:right="499"/>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13</w:t>
                  </w:r>
                </w:p>
              </w:tc>
              <w:tc>
                <w:tcPr>
                  <w:tcW w:w="992" w:type="dxa"/>
                  <w:noWrap/>
                  <w:hideMark/>
                </w:tcPr>
                <w:p w14:paraId="77F803DC"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0,19%</w:t>
                  </w:r>
                </w:p>
              </w:tc>
              <w:tc>
                <w:tcPr>
                  <w:tcW w:w="1843" w:type="dxa"/>
                  <w:noWrap/>
                  <w:hideMark/>
                </w:tcPr>
                <w:p w14:paraId="00B911AD" w14:textId="77777777" w:rsidR="00493D2D" w:rsidRPr="000E4461" w:rsidRDefault="00493D2D" w:rsidP="001601BC">
                  <w:pPr>
                    <w:ind w:right="357"/>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0,36</w:t>
                  </w:r>
                </w:p>
              </w:tc>
              <w:tc>
                <w:tcPr>
                  <w:tcW w:w="1134" w:type="dxa"/>
                  <w:noWrap/>
                  <w:hideMark/>
                </w:tcPr>
                <w:p w14:paraId="56E7CBF9"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0,06%</w:t>
                  </w:r>
                </w:p>
              </w:tc>
            </w:tr>
            <w:tr w:rsidR="009600DC" w:rsidRPr="000E4461" w14:paraId="75D47648" w14:textId="77777777" w:rsidTr="009600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364A379" w14:textId="77777777" w:rsidR="00493D2D" w:rsidRPr="000E4461" w:rsidRDefault="00493D2D" w:rsidP="001601BC">
                  <w:pPr>
                    <w:rPr>
                      <w:rFonts w:eastAsia="Times New Roman"/>
                      <w:color w:val="1F497D" w:themeColor="text2"/>
                      <w:lang w:eastAsia="hu-HU"/>
                    </w:rPr>
                  </w:pPr>
                  <w:r w:rsidRPr="000E4461">
                    <w:rPr>
                      <w:rFonts w:eastAsia="Times New Roman"/>
                      <w:color w:val="1F497D" w:themeColor="text2"/>
                      <w:lang w:eastAsia="hu-HU"/>
                    </w:rPr>
                    <w:t>Concession procurement procedures</w:t>
                  </w:r>
                </w:p>
              </w:tc>
              <w:tc>
                <w:tcPr>
                  <w:tcW w:w="1843" w:type="dxa"/>
                  <w:noWrap/>
                  <w:hideMark/>
                </w:tcPr>
                <w:p w14:paraId="06E03ECA" w14:textId="77777777" w:rsidR="00493D2D" w:rsidRPr="000E4461" w:rsidRDefault="00493D2D" w:rsidP="001601BC">
                  <w:pPr>
                    <w:tabs>
                      <w:tab w:val="left" w:pos="1201"/>
                    </w:tabs>
                    <w:ind w:right="499"/>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5</w:t>
                  </w:r>
                </w:p>
              </w:tc>
              <w:tc>
                <w:tcPr>
                  <w:tcW w:w="992" w:type="dxa"/>
                  <w:noWrap/>
                  <w:hideMark/>
                </w:tcPr>
                <w:p w14:paraId="63D57916" w14:textId="77777777" w:rsidR="00493D2D" w:rsidRPr="000E4461" w:rsidRDefault="00493D2D" w:rsidP="001601BC">
                  <w:pPr>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0,07%</w:t>
                  </w:r>
                </w:p>
              </w:tc>
              <w:tc>
                <w:tcPr>
                  <w:tcW w:w="1843" w:type="dxa"/>
                  <w:noWrap/>
                  <w:hideMark/>
                </w:tcPr>
                <w:p w14:paraId="0F93398E" w14:textId="77777777" w:rsidR="00493D2D" w:rsidRPr="000E4461" w:rsidRDefault="00493D2D" w:rsidP="001601BC">
                  <w:pPr>
                    <w:ind w:right="357"/>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0,16</w:t>
                  </w:r>
                </w:p>
              </w:tc>
              <w:tc>
                <w:tcPr>
                  <w:tcW w:w="1134" w:type="dxa"/>
                  <w:noWrap/>
                  <w:hideMark/>
                </w:tcPr>
                <w:p w14:paraId="1E13BA08" w14:textId="77777777" w:rsidR="00493D2D" w:rsidRPr="000E4461" w:rsidRDefault="00493D2D" w:rsidP="001601BC">
                  <w:pPr>
                    <w:jc w:val="right"/>
                    <w:cnfStyle w:val="000000100000" w:firstRow="0" w:lastRow="0" w:firstColumn="0" w:lastColumn="0" w:oddVBand="0" w:evenVBand="0" w:oddHBand="1"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0,03%</w:t>
                  </w:r>
                </w:p>
              </w:tc>
            </w:tr>
            <w:tr w:rsidR="009600DC" w:rsidRPr="000E4461" w14:paraId="7F53B5B1" w14:textId="77777777" w:rsidTr="009600DC">
              <w:trPr>
                <w:trHeight w:val="315"/>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2CA9CE4" w14:textId="77777777" w:rsidR="00493D2D" w:rsidRPr="000E4461" w:rsidRDefault="00493D2D" w:rsidP="001601BC">
                  <w:pPr>
                    <w:rPr>
                      <w:rFonts w:eastAsia="Times New Roman"/>
                      <w:b w:val="0"/>
                      <w:bCs w:val="0"/>
                      <w:color w:val="1F497D" w:themeColor="text2"/>
                      <w:lang w:eastAsia="hu-HU"/>
                    </w:rPr>
                  </w:pPr>
                  <w:r w:rsidRPr="000E4461">
                    <w:rPr>
                      <w:rFonts w:eastAsia="Times New Roman"/>
                      <w:color w:val="1F497D" w:themeColor="text2"/>
                      <w:lang w:eastAsia="hu-HU"/>
                    </w:rPr>
                    <w:t>Total</w:t>
                  </w:r>
                </w:p>
              </w:tc>
              <w:tc>
                <w:tcPr>
                  <w:tcW w:w="1843" w:type="dxa"/>
                  <w:noWrap/>
                  <w:hideMark/>
                </w:tcPr>
                <w:p w14:paraId="61F1D6E1" w14:textId="77777777" w:rsidR="00493D2D" w:rsidRPr="000E4461" w:rsidRDefault="00493D2D" w:rsidP="001601BC">
                  <w:pPr>
                    <w:ind w:right="499"/>
                    <w:jc w:val="right"/>
                    <w:cnfStyle w:val="000000000000" w:firstRow="0" w:lastRow="0" w:firstColumn="0" w:lastColumn="0" w:oddVBand="0" w:evenVBand="0" w:oddHBand="0" w:evenHBand="0" w:firstRowFirstColumn="0" w:firstRowLastColumn="0" w:lastRowFirstColumn="0" w:lastRowLastColumn="0"/>
                    <w:rPr>
                      <w:rFonts w:eastAsia="Times New Roman"/>
                      <w:color w:val="1F497D" w:themeColor="text2"/>
                      <w:lang w:eastAsia="hu-HU"/>
                    </w:rPr>
                  </w:pPr>
                  <w:r w:rsidRPr="000E4461">
                    <w:rPr>
                      <w:rFonts w:eastAsia="Times New Roman"/>
                      <w:color w:val="1F497D" w:themeColor="text2"/>
                      <w:lang w:eastAsia="hu-HU"/>
                    </w:rPr>
                    <w:t>6 846</w:t>
                  </w:r>
                </w:p>
              </w:tc>
              <w:tc>
                <w:tcPr>
                  <w:tcW w:w="992" w:type="dxa"/>
                  <w:noWrap/>
                  <w:hideMark/>
                </w:tcPr>
                <w:p w14:paraId="15CD5FEA"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1F497D" w:themeColor="text2"/>
                      <w:lang w:eastAsia="hu-HU"/>
                    </w:rPr>
                  </w:pPr>
                  <w:r w:rsidRPr="000E4461">
                    <w:rPr>
                      <w:rFonts w:eastAsia="Times New Roman"/>
                      <w:b/>
                      <w:bCs/>
                      <w:color w:val="1F497D" w:themeColor="text2"/>
                      <w:lang w:eastAsia="hu-HU"/>
                    </w:rPr>
                    <w:t>100,00%</w:t>
                  </w:r>
                </w:p>
              </w:tc>
              <w:tc>
                <w:tcPr>
                  <w:tcW w:w="1843" w:type="dxa"/>
                  <w:noWrap/>
                  <w:hideMark/>
                </w:tcPr>
                <w:p w14:paraId="02E55640" w14:textId="18FFF6A7" w:rsidR="00493D2D" w:rsidRPr="000E4461" w:rsidRDefault="00C4591E" w:rsidP="001601BC">
                  <w:pPr>
                    <w:ind w:right="357"/>
                    <w:jc w:val="right"/>
                    <w:cnfStyle w:val="000000000000" w:firstRow="0" w:lastRow="0" w:firstColumn="0" w:lastColumn="0" w:oddVBand="0" w:evenVBand="0" w:oddHBand="0" w:evenHBand="0" w:firstRowFirstColumn="0" w:firstRowLastColumn="0" w:lastRowFirstColumn="0" w:lastRowLastColumn="0"/>
                    <w:rPr>
                      <w:rFonts w:eastAsia="Times New Roman"/>
                      <w:b/>
                      <w:bCs/>
                      <w:color w:val="1F497D" w:themeColor="text2"/>
                      <w:u w:val="single"/>
                      <w:lang w:eastAsia="hu-HU"/>
                    </w:rPr>
                  </w:pPr>
                  <w:r w:rsidRPr="000E4461">
                    <w:rPr>
                      <w:rFonts w:eastAsia="Times New Roman"/>
                      <w:b/>
                      <w:bCs/>
                      <w:color w:val="1F497D" w:themeColor="text2"/>
                      <w:u w:val="single"/>
                      <w:lang w:eastAsia="hu-HU"/>
                    </w:rPr>
                    <w:t>568,33</w:t>
                  </w:r>
                </w:p>
              </w:tc>
              <w:tc>
                <w:tcPr>
                  <w:tcW w:w="1134" w:type="dxa"/>
                  <w:noWrap/>
                  <w:hideMark/>
                </w:tcPr>
                <w:p w14:paraId="332A783E" w14:textId="77777777" w:rsidR="00493D2D" w:rsidRPr="000E4461" w:rsidRDefault="00493D2D" w:rsidP="001601BC">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1F497D" w:themeColor="text2"/>
                      <w:lang w:eastAsia="hu-HU"/>
                    </w:rPr>
                  </w:pPr>
                  <w:r w:rsidRPr="000E4461">
                    <w:rPr>
                      <w:rFonts w:eastAsia="Times New Roman"/>
                      <w:b/>
                      <w:bCs/>
                      <w:color w:val="1F497D" w:themeColor="text2"/>
                      <w:lang w:eastAsia="hu-HU"/>
                    </w:rPr>
                    <w:t>100,00%</w:t>
                  </w:r>
                </w:p>
              </w:tc>
            </w:tr>
          </w:tbl>
          <w:p w14:paraId="1D2A3370" w14:textId="164A8A6A" w:rsidR="00493D2D" w:rsidRPr="000E4461" w:rsidRDefault="00493D2D" w:rsidP="00EF2B09">
            <w:pPr>
              <w:pStyle w:val="Nincstrkz"/>
              <w:jc w:val="both"/>
            </w:pPr>
          </w:p>
        </w:tc>
      </w:tr>
    </w:tbl>
    <w:p w14:paraId="52BB74F2" w14:textId="6FC70203" w:rsidR="009B40D2" w:rsidRDefault="009B40D2" w:rsidP="009B40D2">
      <w:pPr>
        <w:pStyle w:val="Nincstrkz"/>
        <w:rPr>
          <w:rFonts w:eastAsiaTheme="majorEastAsia" w:cstheme="majorBidi"/>
          <w:b/>
          <w:bCs/>
          <w:u w:val="single"/>
        </w:rPr>
      </w:pPr>
    </w:p>
    <w:p w14:paraId="3D8725E0" w14:textId="77777777" w:rsidR="007D56E0" w:rsidRPr="000E4461" w:rsidRDefault="007D56E0" w:rsidP="009B40D2">
      <w:pPr>
        <w:pStyle w:val="Nincstrkz"/>
        <w:rPr>
          <w:rFonts w:eastAsiaTheme="majorEastAsia" w:cstheme="majorBidi"/>
          <w:b/>
          <w:bCs/>
          <w:u w:val="single"/>
        </w:rPr>
      </w:pPr>
    </w:p>
    <w:p w14:paraId="34AB7EE8" w14:textId="6BA313F5" w:rsidR="0057733C" w:rsidRPr="000E4461" w:rsidRDefault="00A86F34" w:rsidP="00DC189A">
      <w:pPr>
        <w:pStyle w:val="Cmsor2"/>
      </w:pPr>
      <w:r w:rsidRPr="000E4461">
        <w:lastRenderedPageBreak/>
        <w:t xml:space="preserve">II. </w:t>
      </w:r>
      <w:r w:rsidR="00F122C4" w:rsidRPr="000E4461">
        <w:t>Most frequent sources of wrong application or of legal uncertainty, including possible structural or recurring problems in the application of the rules</w:t>
      </w:r>
    </w:p>
    <w:p w14:paraId="34AB7EE9" w14:textId="77777777" w:rsidR="00A051EB" w:rsidRPr="000E4461" w:rsidRDefault="00A051EB" w:rsidP="0057733C">
      <w:pPr>
        <w:pStyle w:val="Nincstrkz"/>
        <w:jc w:val="both"/>
      </w:pPr>
    </w:p>
    <w:tbl>
      <w:tblPr>
        <w:tblStyle w:val="Rcsostblzat"/>
        <w:tblW w:w="0" w:type="auto"/>
        <w:tblLook w:val="04A0" w:firstRow="1" w:lastRow="0" w:firstColumn="1" w:lastColumn="0" w:noHBand="0" w:noVBand="1"/>
      </w:tblPr>
      <w:tblGrid>
        <w:gridCol w:w="4606"/>
        <w:gridCol w:w="9509"/>
      </w:tblGrid>
      <w:tr w:rsidR="00253552" w:rsidRPr="000E4461" w14:paraId="3550B523" w14:textId="77777777" w:rsidTr="00095252">
        <w:tc>
          <w:tcPr>
            <w:tcW w:w="4606" w:type="dxa"/>
          </w:tcPr>
          <w:p w14:paraId="0C1AA974" w14:textId="25DBEC5D" w:rsidR="00253552" w:rsidRPr="000E4461" w:rsidRDefault="00620C02" w:rsidP="001D4DCD">
            <w:pPr>
              <w:pStyle w:val="Nincstrkz"/>
            </w:pPr>
            <w:r w:rsidRPr="000E4461">
              <w:rPr>
                <w:b/>
              </w:rPr>
              <w:t>II</w:t>
            </w:r>
            <w:r w:rsidR="00253552" w:rsidRPr="000E4461">
              <w:rPr>
                <w:b/>
              </w:rPr>
              <w:t>.1.</w:t>
            </w:r>
            <w:r w:rsidR="00253552" w:rsidRPr="000E4461">
              <w:t xml:space="preserve"> </w:t>
            </w:r>
            <w:r w:rsidR="00253552" w:rsidRPr="000E4461">
              <w:rPr>
                <w:b/>
              </w:rPr>
              <w:t xml:space="preserve">Qualitative reporting </w:t>
            </w:r>
            <w:r w:rsidR="001D4DCD" w:rsidRPr="000E4461">
              <w:rPr>
                <w:b/>
              </w:rPr>
              <w:t>on</w:t>
            </w:r>
            <w:r w:rsidR="00253552" w:rsidRPr="000E4461">
              <w:rPr>
                <w:b/>
              </w:rPr>
              <w:t xml:space="preserve"> application of public procurement rules</w:t>
            </w:r>
          </w:p>
        </w:tc>
        <w:tc>
          <w:tcPr>
            <w:tcW w:w="9509" w:type="dxa"/>
          </w:tcPr>
          <w:p w14:paraId="75E38ACC" w14:textId="77777777" w:rsidR="00253552" w:rsidRPr="000E4461" w:rsidRDefault="00253552" w:rsidP="005329C9">
            <w:pPr>
              <w:pStyle w:val="Nincstrkz"/>
              <w:jc w:val="both"/>
            </w:pPr>
          </w:p>
        </w:tc>
      </w:tr>
      <w:tr w:rsidR="00253552" w:rsidRPr="000E4461" w14:paraId="1AEF9F61" w14:textId="77777777" w:rsidTr="00095252">
        <w:tc>
          <w:tcPr>
            <w:tcW w:w="4606" w:type="dxa"/>
          </w:tcPr>
          <w:p w14:paraId="24EB57A5" w14:textId="169C6581" w:rsidR="00253552" w:rsidRPr="000E4461" w:rsidRDefault="00253552" w:rsidP="00253552">
            <w:pPr>
              <w:pStyle w:val="Nincstrkz"/>
            </w:pPr>
            <w:r w:rsidRPr="000E4461">
              <w:t>Main sources of wrong application or of legal uncertainty</w:t>
            </w:r>
          </w:p>
        </w:tc>
        <w:tc>
          <w:tcPr>
            <w:tcW w:w="9509" w:type="dxa"/>
          </w:tcPr>
          <w:p w14:paraId="39EF4D9D" w14:textId="77777777" w:rsidR="008203F4" w:rsidRPr="000E4461" w:rsidRDefault="008203F4" w:rsidP="008203F4">
            <w:pPr>
              <w:jc w:val="both"/>
            </w:pPr>
          </w:p>
          <w:p w14:paraId="1F773E1A" w14:textId="77777777" w:rsidR="00017462" w:rsidRPr="00A96E3C" w:rsidRDefault="008203F4" w:rsidP="00500037">
            <w:pPr>
              <w:pStyle w:val="Nincstrkz"/>
              <w:numPr>
                <w:ilvl w:val="0"/>
                <w:numId w:val="26"/>
              </w:numPr>
              <w:ind w:left="497" w:hanging="284"/>
              <w:jc w:val="both"/>
              <w:rPr>
                <w:u w:val="single"/>
              </w:rPr>
            </w:pPr>
            <w:r w:rsidRPr="00A96E3C">
              <w:rPr>
                <w:u w:val="single"/>
              </w:rPr>
              <w:t xml:space="preserve">ESPD: </w:t>
            </w:r>
          </w:p>
          <w:p w14:paraId="6791855E" w14:textId="77777777" w:rsidR="00017462" w:rsidRPr="000E4461" w:rsidRDefault="00017462" w:rsidP="00017462">
            <w:pPr>
              <w:pStyle w:val="Nincstrkz"/>
              <w:jc w:val="both"/>
            </w:pPr>
          </w:p>
          <w:p w14:paraId="10A8E98E" w14:textId="72421D58" w:rsidR="00F97D3F" w:rsidRPr="000E4461" w:rsidRDefault="00661FC0" w:rsidP="00017462">
            <w:pPr>
              <w:pStyle w:val="Nincstrkz"/>
              <w:jc w:val="both"/>
            </w:pPr>
            <w:r w:rsidRPr="000E4461">
              <w:t>Hungary has</w:t>
            </w:r>
            <w:r w:rsidR="00136158" w:rsidRPr="000E4461">
              <w:t xml:space="preserve"> transposed the new Directives and the </w:t>
            </w:r>
            <w:r w:rsidR="00454295" w:rsidRPr="000E4461">
              <w:t xml:space="preserve">Implementing Regulation </w:t>
            </w:r>
            <w:r w:rsidR="00684D24" w:rsidRPr="000E4461">
              <w:t>on</w:t>
            </w:r>
            <w:r w:rsidR="00454295" w:rsidRPr="000E4461">
              <w:t xml:space="preserve"> </w:t>
            </w:r>
            <w:r w:rsidR="00136158" w:rsidRPr="000E4461">
              <w:t>ESPD among the first Member States</w:t>
            </w:r>
            <w:r w:rsidR="0024181A" w:rsidRPr="000E4461">
              <w:t>, when the ESPD data module had</w:t>
            </w:r>
            <w:r w:rsidR="00136158" w:rsidRPr="000E4461">
              <w:t>n’t been developed by the Commission</w:t>
            </w:r>
            <w:r w:rsidR="005C2741" w:rsidRPr="000E4461">
              <w:t>,</w:t>
            </w:r>
            <w:r w:rsidR="00136158" w:rsidRPr="000E4461">
              <w:t xml:space="preserve"> </w:t>
            </w:r>
            <w:r w:rsidRPr="000E4461">
              <w:t xml:space="preserve">therefore </w:t>
            </w:r>
            <w:r w:rsidR="00136158" w:rsidRPr="000E4461">
              <w:t xml:space="preserve">the paper format of the ESPD </w:t>
            </w:r>
            <w:r w:rsidRPr="000E4461">
              <w:t xml:space="preserve">has become the primary application form in the Hungarian public procurement procedures. Besides that the ESPD document </w:t>
            </w:r>
            <w:r w:rsidR="0024181A" w:rsidRPr="000E4461">
              <w:t>meant</w:t>
            </w:r>
            <w:r w:rsidRPr="000E4461">
              <w:t xml:space="preserve"> a significant change </w:t>
            </w:r>
            <w:r w:rsidR="00F97D3F" w:rsidRPr="000E4461">
              <w:t>in the verification of exclusion and selection criteria</w:t>
            </w:r>
            <w:r w:rsidR="00684D24" w:rsidRPr="000E4461">
              <w:t xml:space="preserve">, </w:t>
            </w:r>
            <w:r w:rsidR="00F97D3F" w:rsidRPr="000E4461">
              <w:t xml:space="preserve">filling </w:t>
            </w:r>
            <w:r w:rsidR="00F3440B" w:rsidRPr="000E4461">
              <w:t xml:space="preserve">in </w:t>
            </w:r>
            <w:r w:rsidR="00F97D3F" w:rsidRPr="000E4461">
              <w:t>the document – especially</w:t>
            </w:r>
            <w:r w:rsidR="00A46A52" w:rsidRPr="000E4461">
              <w:t xml:space="preserve"> of the paper format – </w:t>
            </w:r>
            <w:r w:rsidR="00684D24" w:rsidRPr="000E4461">
              <w:t>was</w:t>
            </w:r>
            <w:r w:rsidR="00A46A52" w:rsidRPr="000E4461">
              <w:t xml:space="preserve"> </w:t>
            </w:r>
            <w:r w:rsidR="00F97D3F" w:rsidRPr="000E4461">
              <w:t xml:space="preserve">difficult for </w:t>
            </w:r>
            <w:r w:rsidR="0024181A" w:rsidRPr="000E4461">
              <w:t xml:space="preserve">the </w:t>
            </w:r>
            <w:r w:rsidR="00F97D3F" w:rsidRPr="000E4461">
              <w:t xml:space="preserve">contracting authorities and </w:t>
            </w:r>
            <w:r w:rsidR="0024181A" w:rsidRPr="000E4461">
              <w:t>al</w:t>
            </w:r>
            <w:r w:rsidR="00F97D3F" w:rsidRPr="000E4461">
              <w:t xml:space="preserve">so for </w:t>
            </w:r>
            <w:r w:rsidR="0024181A" w:rsidRPr="000E4461">
              <w:t xml:space="preserve">the </w:t>
            </w:r>
            <w:r w:rsidR="00F97D3F" w:rsidRPr="000E4461">
              <w:t>economic operators</w:t>
            </w:r>
            <w:r w:rsidR="0024181A" w:rsidRPr="000E4461">
              <w:t>.</w:t>
            </w:r>
          </w:p>
          <w:p w14:paraId="1F816C2E" w14:textId="77777777" w:rsidR="00F97D3F" w:rsidRPr="000E4461" w:rsidRDefault="00F97D3F" w:rsidP="00017462">
            <w:pPr>
              <w:pStyle w:val="Nincstrkz"/>
              <w:jc w:val="both"/>
            </w:pPr>
          </w:p>
          <w:p w14:paraId="72BF0F5A" w14:textId="6D6CAE74" w:rsidR="00017462" w:rsidRPr="000E4461" w:rsidRDefault="0058404E" w:rsidP="00017462">
            <w:pPr>
              <w:pStyle w:val="Nincstrkz"/>
              <w:jc w:val="both"/>
            </w:pPr>
            <w:r w:rsidRPr="000E4461">
              <w:t xml:space="preserve">The most frequent problems with the filling </w:t>
            </w:r>
            <w:r w:rsidR="00F3440B" w:rsidRPr="000E4461">
              <w:t xml:space="preserve">in </w:t>
            </w:r>
            <w:r w:rsidRPr="000E4461">
              <w:t>the ESPD:</w:t>
            </w:r>
          </w:p>
          <w:p w14:paraId="77F817D3" w14:textId="2D5D18EB" w:rsidR="00BD5F6B" w:rsidRPr="000E4461" w:rsidRDefault="00454295" w:rsidP="00500037">
            <w:pPr>
              <w:pStyle w:val="Nincstrkz"/>
              <w:numPr>
                <w:ilvl w:val="0"/>
                <w:numId w:val="3"/>
              </w:numPr>
              <w:ind w:left="639" w:hanging="279"/>
              <w:jc w:val="both"/>
            </w:pPr>
            <w:r w:rsidRPr="000E4461">
              <w:t>doesn’t contain the national exclusion grounds</w:t>
            </w:r>
          </w:p>
          <w:p w14:paraId="01A10099" w14:textId="2222F0D1" w:rsidR="0099647F" w:rsidRPr="000E4461" w:rsidRDefault="00454295" w:rsidP="00500037">
            <w:pPr>
              <w:pStyle w:val="Nincstrkz"/>
              <w:numPr>
                <w:ilvl w:val="0"/>
                <w:numId w:val="3"/>
              </w:numPr>
              <w:ind w:left="639" w:hanging="279"/>
              <w:jc w:val="both"/>
            </w:pPr>
            <w:r w:rsidRPr="000E4461">
              <w:t>contracting authorities and economic operators write extra information into the ESPD document beside the information required by the Implementing Regulation of ESPD: for instance the national exclusion grounds</w:t>
            </w:r>
          </w:p>
          <w:p w14:paraId="7170A620" w14:textId="77777777" w:rsidR="008B073C" w:rsidRPr="000E4461" w:rsidRDefault="008B073C" w:rsidP="0012679E">
            <w:pPr>
              <w:pStyle w:val="Nincstrkz"/>
              <w:jc w:val="both"/>
              <w:rPr>
                <w:highlight w:val="yellow"/>
              </w:rPr>
            </w:pPr>
          </w:p>
          <w:p w14:paraId="7B594632" w14:textId="1F57E29E" w:rsidR="001974CC" w:rsidRPr="00A96E3C" w:rsidRDefault="001974CC" w:rsidP="00500037">
            <w:pPr>
              <w:pStyle w:val="Nincstrkz"/>
              <w:numPr>
                <w:ilvl w:val="0"/>
                <w:numId w:val="26"/>
              </w:numPr>
              <w:ind w:left="497" w:hanging="283"/>
              <w:jc w:val="both"/>
              <w:rPr>
                <w:u w:val="single"/>
              </w:rPr>
            </w:pPr>
            <w:r w:rsidRPr="00A96E3C">
              <w:rPr>
                <w:u w:val="single"/>
              </w:rPr>
              <w:t>Negotiated procedure:</w:t>
            </w:r>
          </w:p>
          <w:p w14:paraId="2AE6EB18" w14:textId="77777777" w:rsidR="001974CC" w:rsidRPr="000E4461" w:rsidRDefault="001974CC" w:rsidP="001974CC">
            <w:pPr>
              <w:pStyle w:val="Nincstrkz"/>
            </w:pPr>
          </w:p>
          <w:p w14:paraId="77D5C604" w14:textId="77777777" w:rsidR="001974CC" w:rsidRPr="000E4461" w:rsidRDefault="001974CC" w:rsidP="00500037">
            <w:pPr>
              <w:pStyle w:val="Nincstrkz"/>
              <w:numPr>
                <w:ilvl w:val="0"/>
                <w:numId w:val="3"/>
              </w:numPr>
            </w:pPr>
            <w:r w:rsidRPr="000E4461">
              <w:t>Art. 26 (4) of the Directive only allows contracting authorities to choose competitive procedure with negotiation in certain cases listed therein. This does not allow for the additional flexibility and a more widespread use of this procedure – which would facilitate an increased cross-border trade – as paragraph (42) of the recital suggests, and the fact that the contracting authority negotiates in the procedure does not reduce competition.</w:t>
            </w:r>
          </w:p>
          <w:p w14:paraId="5F1A8089" w14:textId="77777777" w:rsidR="001974CC" w:rsidRPr="000E4461" w:rsidRDefault="001974CC" w:rsidP="00500037">
            <w:pPr>
              <w:pStyle w:val="Nincstrkz"/>
              <w:numPr>
                <w:ilvl w:val="0"/>
                <w:numId w:val="3"/>
              </w:numPr>
            </w:pPr>
            <w:r w:rsidRPr="000E4461">
              <w:t>We suggest an objective deadline for closing negotiations in negotiated procedures starting from the launch of the procedure or the expiration of the deadline for submitting a request to participate (for example 1 year), since without such regulations contracting authorities might carry on negotiations for an unreasonable length of time, which can lead to an infringement on basic principles.</w:t>
            </w:r>
          </w:p>
          <w:p w14:paraId="248F27E1" w14:textId="77777777" w:rsidR="0012679E" w:rsidRPr="000E4461" w:rsidRDefault="0012679E" w:rsidP="0012679E">
            <w:pPr>
              <w:pStyle w:val="Nincstrkz"/>
              <w:jc w:val="both"/>
              <w:rPr>
                <w:highlight w:val="yellow"/>
              </w:rPr>
            </w:pPr>
          </w:p>
          <w:p w14:paraId="25896217" w14:textId="1E21CAAF" w:rsidR="008203F4" w:rsidRPr="00A96E3C" w:rsidRDefault="008F46DD" w:rsidP="00500037">
            <w:pPr>
              <w:pStyle w:val="Nincstrkz"/>
              <w:numPr>
                <w:ilvl w:val="0"/>
                <w:numId w:val="26"/>
              </w:numPr>
              <w:ind w:left="497" w:hanging="283"/>
              <w:jc w:val="both"/>
              <w:rPr>
                <w:u w:val="single"/>
              </w:rPr>
            </w:pPr>
            <w:r w:rsidRPr="00A96E3C">
              <w:rPr>
                <w:u w:val="single"/>
              </w:rPr>
              <w:lastRenderedPageBreak/>
              <w:t>S</w:t>
            </w:r>
            <w:r w:rsidR="008203F4" w:rsidRPr="00A96E3C">
              <w:rPr>
                <w:u w:val="single"/>
              </w:rPr>
              <w:t>election criteria: references in particular</w:t>
            </w:r>
          </w:p>
          <w:p w14:paraId="161C4A1E" w14:textId="77777777" w:rsidR="008B073C" w:rsidRPr="000E4461" w:rsidRDefault="008B073C" w:rsidP="008B073C">
            <w:pPr>
              <w:pStyle w:val="Nincstrkz"/>
              <w:jc w:val="both"/>
            </w:pPr>
          </w:p>
          <w:p w14:paraId="4084C6C2" w14:textId="11695220" w:rsidR="008B073C" w:rsidRPr="000E4461" w:rsidRDefault="00350162" w:rsidP="008B073C">
            <w:pPr>
              <w:pStyle w:val="Nincstrkz"/>
              <w:jc w:val="both"/>
            </w:pPr>
            <w:r w:rsidRPr="000E4461">
              <w:t xml:space="preserve">It is not a direct issue in the sense that the related rules are </w:t>
            </w:r>
            <w:r w:rsidR="00671807" w:rsidRPr="000E4461">
              <w:t>applied wrongly however conceptually w</w:t>
            </w:r>
            <w:r w:rsidR="008B073C" w:rsidRPr="000E4461">
              <w:t>e th</w:t>
            </w:r>
            <w:r w:rsidR="001F44E3" w:rsidRPr="000E4461">
              <w:t>ink that requiring references (Art.</w:t>
            </w:r>
            <w:r w:rsidR="008B073C" w:rsidRPr="000E4461">
              <w:t xml:space="preserve"> 58 </w:t>
            </w:r>
            <w:r w:rsidR="001F44E3" w:rsidRPr="000E4461">
              <w:t>(</w:t>
            </w:r>
            <w:r w:rsidR="008B073C" w:rsidRPr="000E4461">
              <w:t>4</w:t>
            </w:r>
            <w:r w:rsidR="001F44E3" w:rsidRPr="000E4461">
              <w:t>)</w:t>
            </w:r>
            <w:r w:rsidR="008B073C" w:rsidRPr="000E4461">
              <w:t xml:space="preserve"> second subparagraph</w:t>
            </w:r>
            <w:r w:rsidR="001F44E3" w:rsidRPr="000E4461">
              <w:t xml:space="preserve"> of 2014/24/EU </w:t>
            </w:r>
            <w:r w:rsidR="00F15B73" w:rsidRPr="000E4461">
              <w:t>Directive</w:t>
            </w:r>
            <w:r w:rsidR="008B073C" w:rsidRPr="000E4461">
              <w:t>) as part of the selection criteria</w:t>
            </w:r>
            <w:r w:rsidR="00F15B73" w:rsidRPr="000E4461">
              <w:t xml:space="preserve"> is not suitable to assess the</w:t>
            </w:r>
            <w:r w:rsidR="008B073C" w:rsidRPr="000E4461">
              <w:t xml:space="preserve"> ability </w:t>
            </w:r>
            <w:r w:rsidR="00F15B73" w:rsidRPr="000E4461">
              <w:t xml:space="preserve">of economic operators </w:t>
            </w:r>
            <w:r w:rsidR="008B073C" w:rsidRPr="000E4461">
              <w:t xml:space="preserve">to perform the contract to be awarded, as references show only the past performance of an economic operator, </w:t>
            </w:r>
            <w:r w:rsidR="00F15B73" w:rsidRPr="000E4461">
              <w:t xml:space="preserve">but </w:t>
            </w:r>
            <w:r w:rsidR="008B073C" w:rsidRPr="000E4461">
              <w:t>not necessarily their future</w:t>
            </w:r>
            <w:r w:rsidR="00671807" w:rsidRPr="000E4461">
              <w:t xml:space="preserve"> or actual</w:t>
            </w:r>
            <w:r w:rsidR="008B073C" w:rsidRPr="000E4461">
              <w:t xml:space="preserve"> ability to perform.</w:t>
            </w:r>
            <w:r w:rsidR="00671807" w:rsidRPr="000E4461">
              <w:t xml:space="preserve"> The wide use – as in the case of Hungarian public procurement practice – of references as selection criteria may lead to restricted competition since it prevents newly – or relatively newly – established economic operators to bid in public procurements.</w:t>
            </w:r>
          </w:p>
          <w:p w14:paraId="1FF87D67" w14:textId="26BFC869" w:rsidR="00253552" w:rsidRPr="000E4461" w:rsidRDefault="00253552" w:rsidP="008203F4">
            <w:pPr>
              <w:jc w:val="both"/>
            </w:pPr>
          </w:p>
        </w:tc>
      </w:tr>
      <w:tr w:rsidR="00253552" w:rsidRPr="000E4461" w14:paraId="1F5C36BD" w14:textId="77777777" w:rsidTr="00095252">
        <w:tc>
          <w:tcPr>
            <w:tcW w:w="4606" w:type="dxa"/>
          </w:tcPr>
          <w:p w14:paraId="75C2003C" w14:textId="06DFCE73" w:rsidR="00253552" w:rsidRPr="000E4461" w:rsidRDefault="00253552" w:rsidP="00B36524">
            <w:pPr>
              <w:jc w:val="both"/>
            </w:pPr>
            <w:r w:rsidRPr="000E4461">
              <w:lastRenderedPageBreak/>
              <w:t>Specific legal provisions (from EU or national law) which appear to raise significant problems of application</w:t>
            </w:r>
          </w:p>
        </w:tc>
        <w:tc>
          <w:tcPr>
            <w:tcW w:w="9509" w:type="dxa"/>
          </w:tcPr>
          <w:p w14:paraId="5ED1A168" w14:textId="77777777" w:rsidR="001974CC" w:rsidRPr="000E4461" w:rsidRDefault="001974CC" w:rsidP="00272963">
            <w:pPr>
              <w:jc w:val="both"/>
            </w:pPr>
          </w:p>
          <w:p w14:paraId="7E3E7C12" w14:textId="3D89907D" w:rsidR="001974CC" w:rsidRPr="00A96E3C" w:rsidRDefault="001974CC" w:rsidP="00500037">
            <w:pPr>
              <w:pStyle w:val="Nincstrkz"/>
              <w:numPr>
                <w:ilvl w:val="0"/>
                <w:numId w:val="38"/>
              </w:numPr>
              <w:jc w:val="both"/>
              <w:rPr>
                <w:u w:val="single"/>
              </w:rPr>
            </w:pPr>
            <w:r w:rsidRPr="00A96E3C">
              <w:rPr>
                <w:u w:val="single"/>
              </w:rPr>
              <w:t>Artificial splitting of contracts, examination of single economic and technical function</w:t>
            </w:r>
            <w:r w:rsidR="00A96E3C">
              <w:rPr>
                <w:u w:val="single"/>
              </w:rPr>
              <w:t>:</w:t>
            </w:r>
          </w:p>
          <w:p w14:paraId="3E2AC629" w14:textId="77777777" w:rsidR="001974CC" w:rsidRPr="000E4461" w:rsidRDefault="001974CC" w:rsidP="001974CC">
            <w:pPr>
              <w:pStyle w:val="Nincstrkz"/>
              <w:ind w:left="497"/>
              <w:jc w:val="both"/>
            </w:pPr>
          </w:p>
          <w:p w14:paraId="0A00E3E5" w14:textId="77777777" w:rsidR="001974CC" w:rsidRPr="000E4461" w:rsidRDefault="001974CC" w:rsidP="001974CC">
            <w:pPr>
              <w:pStyle w:val="Nincstrkz"/>
              <w:jc w:val="both"/>
            </w:pPr>
            <w:r w:rsidRPr="000E4461">
              <w:t>In practice, the rules against the artificial splitting of contracts are difficult to implement properly for contracting authorities. The main reasons of these difficulties are on the one hand the lack of detailed rules on the prohibition of artificial splitting of contracts in the Directives and consequently, in national legislation. On the other hand, contracting authorities cannot be expected to keep themselves updated with the complex case law of the Court of Justice of the European Union.</w:t>
            </w:r>
          </w:p>
          <w:p w14:paraId="5F33893A" w14:textId="77777777" w:rsidR="001974CC" w:rsidRPr="000E4461" w:rsidRDefault="001974CC" w:rsidP="001974CC">
            <w:pPr>
              <w:pStyle w:val="Nincstrkz"/>
              <w:jc w:val="both"/>
            </w:pPr>
          </w:p>
          <w:p w14:paraId="11FFF9D5" w14:textId="317D3B9F" w:rsidR="000257D2" w:rsidRPr="000E4461" w:rsidRDefault="001974CC" w:rsidP="00491663">
            <w:pPr>
              <w:pStyle w:val="Nincstrkz"/>
              <w:jc w:val="both"/>
            </w:pPr>
            <w:r w:rsidRPr="000E4461">
              <w:t>The Public Procurement Authority and the Prime Minister’s Office provide guidance on the rules on artificial splitting of contracts and examination of single economic and technical function in the form of regularly updated guidelines and other supporting documents, but these guidance documents are not (and by definition, cannot be) detailed enough to fully summarise the elaborate and complex case law of the Court of Justice of the European Union on the issue to be fully and exclusively relied upon by contracting authorities.</w:t>
            </w:r>
            <w:r w:rsidR="00B22D8B" w:rsidRPr="000E4461">
              <w:t xml:space="preserve"> </w:t>
            </w:r>
            <w:r w:rsidR="000257D2" w:rsidRPr="000E4461">
              <w:t>We think that based on the above there is a need to issue an interpretative guidance from the European Commission on this subject matter.</w:t>
            </w:r>
          </w:p>
          <w:p w14:paraId="0527A1C1" w14:textId="77777777" w:rsidR="001974CC" w:rsidRPr="000E4461" w:rsidRDefault="001974CC" w:rsidP="00272963">
            <w:pPr>
              <w:jc w:val="both"/>
            </w:pPr>
          </w:p>
          <w:p w14:paraId="3CB8FC3D" w14:textId="724FD023" w:rsidR="002369CA" w:rsidRPr="00A96E3C" w:rsidRDefault="00D51004" w:rsidP="00500037">
            <w:pPr>
              <w:pStyle w:val="Listaszerbekezds"/>
              <w:numPr>
                <w:ilvl w:val="0"/>
                <w:numId w:val="38"/>
              </w:numPr>
              <w:jc w:val="both"/>
              <w:rPr>
                <w:u w:val="single"/>
              </w:rPr>
            </w:pPr>
            <w:r w:rsidRPr="00A96E3C">
              <w:rPr>
                <w:u w:val="single"/>
              </w:rPr>
              <w:t>Submission of request to participate:</w:t>
            </w:r>
          </w:p>
          <w:p w14:paraId="721D89C0" w14:textId="77777777" w:rsidR="00D51004" w:rsidRPr="000E4461" w:rsidRDefault="00D51004" w:rsidP="00272963">
            <w:pPr>
              <w:jc w:val="both"/>
            </w:pPr>
          </w:p>
          <w:p w14:paraId="7C70E42B" w14:textId="60233F3E" w:rsidR="00D51004" w:rsidRPr="000E4461" w:rsidRDefault="00D51004" w:rsidP="00500037">
            <w:pPr>
              <w:pStyle w:val="Listaszerbekezds"/>
              <w:numPr>
                <w:ilvl w:val="0"/>
                <w:numId w:val="3"/>
              </w:numPr>
              <w:ind w:left="497" w:hanging="283"/>
              <w:jc w:val="both"/>
            </w:pPr>
            <w:r w:rsidRPr="000E4461">
              <w:t>The general 30-day deadline to submit a request to participate is unreasonably long since the time required to prepare the necessary documents and to submit them (electronically) doesn’t justify such a long time period, and contracting authorities can ask for clarifications or the supplementation</w:t>
            </w:r>
            <w:r w:rsidR="00551DA8" w:rsidRPr="000E4461">
              <w:t xml:space="preserve"> of the documents as per Art.</w:t>
            </w:r>
            <w:r w:rsidRPr="000E4461">
              <w:t xml:space="preserve"> 56 </w:t>
            </w:r>
            <w:r w:rsidR="00551DA8" w:rsidRPr="000E4461">
              <w:t>(</w:t>
            </w:r>
            <w:r w:rsidRPr="000E4461">
              <w:t>3</w:t>
            </w:r>
            <w:r w:rsidR="00551DA8" w:rsidRPr="000E4461">
              <w:t>)</w:t>
            </w:r>
            <w:r w:rsidR="00B205FD" w:rsidRPr="000E4461">
              <w:t xml:space="preserve"> of the D</w:t>
            </w:r>
            <w:r w:rsidRPr="000E4461">
              <w:t xml:space="preserve">irective if necessary. The </w:t>
            </w:r>
            <w:r w:rsidRPr="000E4461">
              <w:lastRenderedPageBreak/>
              <w:t xml:space="preserve">unreasonably long submission deadline may </w:t>
            </w:r>
            <w:r w:rsidR="00551DA8" w:rsidRPr="000E4461">
              <w:t>deter contracting authorities from using</w:t>
            </w:r>
            <w:r w:rsidRPr="000E4461">
              <w:t xml:space="preserve"> restricted procedu</w:t>
            </w:r>
            <w:r w:rsidR="00B205FD" w:rsidRPr="000E4461">
              <w:t xml:space="preserve">res or may incite the use </w:t>
            </w:r>
            <w:r w:rsidR="003F51CF" w:rsidRPr="000E4461">
              <w:t xml:space="preserve">(even </w:t>
            </w:r>
            <w:r w:rsidR="00137A05" w:rsidRPr="000E4461">
              <w:t xml:space="preserve">unlawful </w:t>
            </w:r>
            <w:r w:rsidR="003F51CF" w:rsidRPr="000E4461">
              <w:t xml:space="preserve">use) </w:t>
            </w:r>
            <w:r w:rsidR="00B205FD" w:rsidRPr="000E4461">
              <w:t>of accelerated procedures.</w:t>
            </w:r>
          </w:p>
          <w:p w14:paraId="5FAB5916" w14:textId="77777777" w:rsidR="006B7E67" w:rsidRPr="000E4461" w:rsidRDefault="006B7E67" w:rsidP="006B7E67">
            <w:pPr>
              <w:jc w:val="both"/>
            </w:pPr>
          </w:p>
          <w:p w14:paraId="4547D4D4" w14:textId="6857EA41" w:rsidR="006B7E67" w:rsidRDefault="006B7E67" w:rsidP="00500037">
            <w:pPr>
              <w:pStyle w:val="Listaszerbekezds"/>
              <w:numPr>
                <w:ilvl w:val="0"/>
                <w:numId w:val="38"/>
              </w:numPr>
              <w:jc w:val="both"/>
              <w:rPr>
                <w:u w:val="single"/>
              </w:rPr>
            </w:pPr>
            <w:r w:rsidRPr="00A96E3C">
              <w:rPr>
                <w:u w:val="single"/>
              </w:rPr>
              <w:t xml:space="preserve">The directive does not contain clear and detailed (or detailed enough) provisions regarding some </w:t>
            </w:r>
            <w:r w:rsidR="00810DA3" w:rsidRPr="00A96E3C">
              <w:rPr>
                <w:u w:val="single"/>
              </w:rPr>
              <w:t xml:space="preserve">undermentioned </w:t>
            </w:r>
            <w:r w:rsidRPr="00A96E3C">
              <w:rPr>
                <w:u w:val="single"/>
              </w:rPr>
              <w:t>instruments that are new, or not frequently used</w:t>
            </w:r>
            <w:r w:rsidR="00137A05" w:rsidRPr="00A96E3C">
              <w:rPr>
                <w:u w:val="single"/>
              </w:rPr>
              <w:t xml:space="preserve">. Thus these instruments are not or rarely used by contracting authorities because there are no clear boundaries on lawful use and </w:t>
            </w:r>
            <w:r w:rsidR="0071734B">
              <w:rPr>
                <w:u w:val="single"/>
              </w:rPr>
              <w:t>guidance</w:t>
            </w:r>
            <w:r w:rsidR="00137A05" w:rsidRPr="00A96E3C">
              <w:rPr>
                <w:u w:val="single"/>
              </w:rPr>
              <w:t xml:space="preserve"> on when and how to use them</w:t>
            </w:r>
            <w:r w:rsidRPr="00A96E3C">
              <w:rPr>
                <w:u w:val="single"/>
              </w:rPr>
              <w:t>:</w:t>
            </w:r>
          </w:p>
          <w:p w14:paraId="23AFF83C" w14:textId="77777777" w:rsidR="00A96E3C" w:rsidRPr="00A96E3C" w:rsidRDefault="00A96E3C" w:rsidP="00A96E3C">
            <w:pPr>
              <w:pStyle w:val="Listaszerbekezds"/>
              <w:ind w:left="360"/>
              <w:jc w:val="both"/>
              <w:rPr>
                <w:u w:val="single"/>
              </w:rPr>
            </w:pPr>
          </w:p>
          <w:p w14:paraId="6FBC9C1C" w14:textId="77777777" w:rsidR="006B7E67" w:rsidRPr="000E4461" w:rsidRDefault="006B7E67" w:rsidP="00500037">
            <w:pPr>
              <w:pStyle w:val="Listaszerbekezds"/>
              <w:numPr>
                <w:ilvl w:val="0"/>
                <w:numId w:val="36"/>
              </w:numPr>
              <w:ind w:left="1064" w:hanging="283"/>
              <w:jc w:val="both"/>
            </w:pPr>
            <w:r w:rsidRPr="000E4461">
              <w:t>Article 40 allows for the use of prior market consultations, but there aren’t any guides or examples as to when the consultations are appropriate and don’t lead to the distortion of competition and don’t result in a violation of the principles of non-discrimination and transparency;</w:t>
            </w:r>
          </w:p>
          <w:p w14:paraId="616ADFF8" w14:textId="77777777" w:rsidR="006B7E67" w:rsidRPr="000E4461" w:rsidRDefault="006B7E67" w:rsidP="00500037">
            <w:pPr>
              <w:pStyle w:val="Listaszerbekezds"/>
              <w:numPr>
                <w:ilvl w:val="0"/>
                <w:numId w:val="36"/>
              </w:numPr>
              <w:ind w:left="1064" w:hanging="283"/>
              <w:jc w:val="both"/>
            </w:pPr>
            <w:r w:rsidRPr="000E4461">
              <w:t>Paragraph (93) of the recital only has a very limited number of examples regarding environmental award criteria, and it does not specify a common approach towards life-cycle costing.</w:t>
            </w:r>
          </w:p>
          <w:p w14:paraId="4BF61473" w14:textId="77777777" w:rsidR="00810DA3" w:rsidRPr="000E4461" w:rsidRDefault="00810DA3" w:rsidP="00810DA3">
            <w:pPr>
              <w:jc w:val="both"/>
            </w:pPr>
          </w:p>
          <w:p w14:paraId="23A45C1E" w14:textId="7300A6B2" w:rsidR="00810DA3" w:rsidRPr="000E4461" w:rsidRDefault="00BD46F3" w:rsidP="00500037">
            <w:pPr>
              <w:pStyle w:val="Listaszerbekezds"/>
              <w:numPr>
                <w:ilvl w:val="0"/>
                <w:numId w:val="38"/>
              </w:numPr>
              <w:jc w:val="both"/>
            </w:pPr>
            <w:r w:rsidRPr="00A96E3C">
              <w:rPr>
                <w:u w:val="single"/>
              </w:rPr>
              <w:t>Art.</w:t>
            </w:r>
            <w:r w:rsidR="00F301BB" w:rsidRPr="00A96E3C">
              <w:rPr>
                <w:u w:val="single"/>
              </w:rPr>
              <w:t xml:space="preserve"> 47 </w:t>
            </w:r>
            <w:r w:rsidRPr="00A96E3C">
              <w:rPr>
                <w:u w:val="single"/>
              </w:rPr>
              <w:t>(</w:t>
            </w:r>
            <w:r w:rsidR="00F301BB" w:rsidRPr="00A96E3C">
              <w:rPr>
                <w:u w:val="single"/>
              </w:rPr>
              <w:t>3</w:t>
            </w:r>
            <w:r w:rsidRPr="00A96E3C">
              <w:rPr>
                <w:u w:val="single"/>
              </w:rPr>
              <w:t>)</w:t>
            </w:r>
            <w:r w:rsidR="00F301BB" w:rsidRPr="00A96E3C">
              <w:rPr>
                <w:u w:val="single"/>
              </w:rPr>
              <w:t xml:space="preserve"> of the D</w:t>
            </w:r>
            <w:r w:rsidR="00810DA3" w:rsidRPr="00A96E3C">
              <w:rPr>
                <w:u w:val="single"/>
              </w:rPr>
              <w:t xml:space="preserve">irective states the following regarding the extension of the time limits for the </w:t>
            </w:r>
            <w:r w:rsidR="008B073C" w:rsidRPr="00A96E3C">
              <w:rPr>
                <w:u w:val="single"/>
              </w:rPr>
              <w:t>submission</w:t>
            </w:r>
            <w:r w:rsidR="00810DA3" w:rsidRPr="00A96E3C">
              <w:rPr>
                <w:u w:val="single"/>
              </w:rPr>
              <w:t xml:space="preserve"> of tenders:</w:t>
            </w:r>
            <w:r w:rsidR="00810DA3" w:rsidRPr="000E4461">
              <w:t xml:space="preserve"> „the length of the extension shall be proportionate to the importance of the information or change”. In practice, it can be </w:t>
            </w:r>
            <w:r w:rsidR="00137A05" w:rsidRPr="000E4461">
              <w:t xml:space="preserve">difficult </w:t>
            </w:r>
            <w:r w:rsidR="00810DA3" w:rsidRPr="000E4461">
              <w:t xml:space="preserve">to define whether the extension is appropriate or not, </w:t>
            </w:r>
            <w:r w:rsidR="00137A05" w:rsidRPr="000E4461">
              <w:t xml:space="preserve">which may lead to unlawful practice, </w:t>
            </w:r>
            <w:r w:rsidR="00810DA3" w:rsidRPr="000E4461">
              <w:t xml:space="preserve">therefore we suggest </w:t>
            </w:r>
            <w:r w:rsidRPr="000E4461">
              <w:t>specifying</w:t>
            </w:r>
            <w:r w:rsidR="00810DA3" w:rsidRPr="000E4461">
              <w:t xml:space="preserve"> an objective minimum deadline.</w:t>
            </w:r>
          </w:p>
          <w:p w14:paraId="736EC170" w14:textId="77777777" w:rsidR="008B073C" w:rsidRPr="000E4461" w:rsidRDefault="008B073C" w:rsidP="008B073C">
            <w:pPr>
              <w:jc w:val="both"/>
            </w:pPr>
          </w:p>
          <w:p w14:paraId="0DA7BA99" w14:textId="7EB49978" w:rsidR="008B073C" w:rsidRPr="000E4461" w:rsidRDefault="008B073C" w:rsidP="00500037">
            <w:pPr>
              <w:pStyle w:val="Listaszerbekezds"/>
              <w:numPr>
                <w:ilvl w:val="0"/>
                <w:numId w:val="38"/>
              </w:numPr>
              <w:jc w:val="both"/>
            </w:pPr>
            <w:r w:rsidRPr="00A96E3C">
              <w:rPr>
                <w:u w:val="single"/>
              </w:rPr>
              <w:t>The mandatory contents of the prior information notice</w:t>
            </w:r>
            <w:r w:rsidRPr="000E4461">
              <w:t xml:space="preserve"> </w:t>
            </w:r>
            <w:r w:rsidR="00BD46F3" w:rsidRPr="000E4461">
              <w:t>are not defined clearly in the D</w:t>
            </w:r>
            <w:r w:rsidRPr="000E4461">
              <w:t>irective which can lead to substantial legal uncertainty.</w:t>
            </w:r>
          </w:p>
          <w:p w14:paraId="28DC1D49" w14:textId="23B5AC15" w:rsidR="00FA168E" w:rsidRPr="000E4461" w:rsidRDefault="00FA168E" w:rsidP="008B073C">
            <w:pPr>
              <w:jc w:val="both"/>
            </w:pPr>
          </w:p>
        </w:tc>
      </w:tr>
      <w:tr w:rsidR="00253552" w:rsidRPr="000E4461" w14:paraId="28261C74" w14:textId="77777777" w:rsidTr="00095252">
        <w:tc>
          <w:tcPr>
            <w:tcW w:w="4606" w:type="dxa"/>
          </w:tcPr>
          <w:p w14:paraId="0F6EE9E1" w14:textId="1FB192FE" w:rsidR="00253552" w:rsidRPr="000E4461" w:rsidRDefault="0037143F" w:rsidP="0037143F">
            <w:pPr>
              <w:jc w:val="both"/>
            </w:pPr>
            <w:r w:rsidRPr="000E4461">
              <w:lastRenderedPageBreak/>
              <w:t>An assessment on whether a wrong application of rules might exist, by observing p</w:t>
            </w:r>
            <w:r w:rsidR="00253552" w:rsidRPr="000E4461">
              <w:t>atterns of application of the rules which</w:t>
            </w:r>
            <w:r w:rsidR="00CC72D1" w:rsidRPr="000E4461">
              <w:t xml:space="preserve"> do not by themselves</w:t>
            </w:r>
            <w:r w:rsidR="00253552" w:rsidRPr="000E4461">
              <w:t xml:space="preserve"> constitut</w:t>
            </w:r>
            <w:r w:rsidR="00CC72D1" w:rsidRPr="000E4461">
              <w:t>e</w:t>
            </w:r>
            <w:r w:rsidR="00253552" w:rsidRPr="000E4461">
              <w:t xml:space="preserve"> cases of wrong application of the rules,</w:t>
            </w:r>
            <w:r w:rsidR="00CC72D1" w:rsidRPr="000E4461">
              <w:t xml:space="preserve"> but</w:t>
            </w:r>
            <w:r w:rsidR="00253552" w:rsidRPr="000E4461">
              <w:t xml:space="preserve"> nonetheless</w:t>
            </w:r>
            <w:r w:rsidR="00CC72D1" w:rsidRPr="000E4461">
              <w:t xml:space="preserve"> point at structural or recurring problems yielding a sub-optimal outcome</w:t>
            </w:r>
            <w:r w:rsidRPr="000E4461">
              <w:t>.</w:t>
            </w:r>
          </w:p>
        </w:tc>
        <w:tc>
          <w:tcPr>
            <w:tcW w:w="9509" w:type="dxa"/>
          </w:tcPr>
          <w:p w14:paraId="0E6D2DEA" w14:textId="77777777" w:rsidR="001974CC" w:rsidRPr="000E4461" w:rsidRDefault="001974CC" w:rsidP="001974CC">
            <w:pPr>
              <w:jc w:val="both"/>
              <w:rPr>
                <w:b/>
                <w:u w:val="single"/>
              </w:rPr>
            </w:pPr>
          </w:p>
          <w:p w14:paraId="0D87140C" w14:textId="77777777" w:rsidR="001974CC" w:rsidRPr="000E4461" w:rsidRDefault="001974CC" w:rsidP="001974CC">
            <w:pPr>
              <w:pStyle w:val="Nincstrkz"/>
              <w:ind w:left="214"/>
              <w:jc w:val="both"/>
            </w:pPr>
            <w:r w:rsidRPr="000E4461">
              <w:rPr>
                <w:b/>
                <w:u w:val="single"/>
              </w:rPr>
              <w:t>Award of contract, specification of qualitative award criteria</w:t>
            </w:r>
            <w:r w:rsidRPr="000E4461">
              <w:t>:</w:t>
            </w:r>
          </w:p>
          <w:p w14:paraId="1218C004" w14:textId="77777777" w:rsidR="001974CC" w:rsidRPr="000E4461" w:rsidRDefault="001974CC" w:rsidP="001974CC">
            <w:pPr>
              <w:pStyle w:val="Nincstrkz"/>
              <w:jc w:val="both"/>
            </w:pPr>
          </w:p>
          <w:p w14:paraId="5A8B2102" w14:textId="14DBCF56" w:rsidR="001974CC" w:rsidRPr="000E4461" w:rsidRDefault="001974CC" w:rsidP="001974CC">
            <w:pPr>
              <w:pStyle w:val="Nincstrkz"/>
              <w:jc w:val="both"/>
            </w:pPr>
            <w:r w:rsidRPr="000E4461">
              <w:t>Contracting authorities are uncertain in choosing and elaborating qualitative award criteria because of audit risks. Even with the best intention of contracting authorities qualitative award criteria may lead to infringement of the principle of equal opportunities. The new public procurement Directives place great emphasis on the quality-based awarding as they make the application of the criteria of most economically advantageous tender compulsory.</w:t>
            </w:r>
          </w:p>
          <w:p w14:paraId="267E357A" w14:textId="77777777" w:rsidR="001974CC" w:rsidRPr="000E4461" w:rsidRDefault="001974CC" w:rsidP="001974CC">
            <w:pPr>
              <w:pStyle w:val="Nincstrkz"/>
              <w:jc w:val="both"/>
            </w:pPr>
          </w:p>
          <w:p w14:paraId="52D64470" w14:textId="77777777" w:rsidR="001974CC" w:rsidRPr="000E4461" w:rsidRDefault="001974CC" w:rsidP="001974CC">
            <w:pPr>
              <w:pStyle w:val="Nincstrkz"/>
              <w:jc w:val="both"/>
            </w:pPr>
            <w:r w:rsidRPr="000E4461">
              <w:t>The Directives say that the most economically advantageous tender from the point of view of the contracting authority shall be identified on the basis of the price or cost, using a cost-effectiveness approach, such as life-cycle costing, and may include the best price-quality ratio, which shall be assessed on the basis of criteria, including qualitative, environmental and/or social aspects, linked to the subject of the public contract in question. Such criteria may comprise, for instance the quality, including technical merit, aesthetic and functional characteristics, accessibility, design for all users, social, environmental and innovative characteristics and trading and its conditions [Article 67 (2) of the 2014/24/EU Directive].</w:t>
            </w:r>
          </w:p>
          <w:p w14:paraId="010C6298" w14:textId="77777777" w:rsidR="001974CC" w:rsidRPr="000E4461" w:rsidRDefault="001974CC" w:rsidP="001974CC">
            <w:pPr>
              <w:pStyle w:val="Nincstrkz"/>
              <w:jc w:val="both"/>
            </w:pPr>
          </w:p>
          <w:p w14:paraId="532F15E4" w14:textId="77777777" w:rsidR="001974CC" w:rsidRPr="000E4461" w:rsidRDefault="001974CC" w:rsidP="001974CC">
            <w:pPr>
              <w:pStyle w:val="Nincstrkz"/>
              <w:jc w:val="both"/>
            </w:pPr>
            <w:r w:rsidRPr="000E4461">
              <w:t>As regards the criteria of quality the Directives do not give the definition of quality and concrete example how should contracting authorities evaluate it during the award process.</w:t>
            </w:r>
          </w:p>
          <w:p w14:paraId="5067C044" w14:textId="77777777" w:rsidR="001974CC" w:rsidRPr="000E4461" w:rsidRDefault="001974CC" w:rsidP="001974CC">
            <w:pPr>
              <w:pStyle w:val="Nincstrkz"/>
              <w:jc w:val="both"/>
            </w:pPr>
          </w:p>
          <w:p w14:paraId="3747E059" w14:textId="77777777" w:rsidR="001974CC" w:rsidRPr="000E4461" w:rsidRDefault="001974CC" w:rsidP="001974CC">
            <w:pPr>
              <w:pStyle w:val="Nincstrkz"/>
              <w:jc w:val="both"/>
            </w:pPr>
            <w:r w:rsidRPr="000E4461">
              <w:t xml:space="preserve">In addition the question is the same when price is used as award criteria, since it is often difficult to decide what weight should be given to the price besides the other quality based criteria during the award process. </w:t>
            </w:r>
          </w:p>
          <w:p w14:paraId="5B768288" w14:textId="77777777" w:rsidR="001974CC" w:rsidRPr="000E4461" w:rsidRDefault="001974CC" w:rsidP="001974CC">
            <w:pPr>
              <w:pStyle w:val="Nincstrkz"/>
              <w:jc w:val="both"/>
            </w:pPr>
          </w:p>
          <w:p w14:paraId="6C7A9131" w14:textId="77777777" w:rsidR="001974CC" w:rsidRPr="000E4461" w:rsidRDefault="001974CC" w:rsidP="001974CC">
            <w:pPr>
              <w:pStyle w:val="Nincstrkz"/>
              <w:jc w:val="both"/>
            </w:pPr>
            <w:r w:rsidRPr="000E4461">
              <w:t>Following from the above, currently it is difficult to decide what criteria and weighting is in line with the Directives and the audits.</w:t>
            </w:r>
          </w:p>
          <w:p w14:paraId="3520F352" w14:textId="77777777" w:rsidR="001974CC" w:rsidRPr="000E4461" w:rsidRDefault="001974CC" w:rsidP="001974CC">
            <w:pPr>
              <w:pStyle w:val="Nincstrkz"/>
              <w:jc w:val="both"/>
            </w:pPr>
          </w:p>
          <w:p w14:paraId="20A2FF3A" w14:textId="4C2367A1" w:rsidR="00253552" w:rsidRPr="000E4461" w:rsidDel="00B943DE" w:rsidRDefault="001974CC" w:rsidP="00491663">
            <w:pPr>
              <w:jc w:val="both"/>
              <w:rPr>
                <w:b/>
                <w:u w:val="single"/>
              </w:rPr>
            </w:pPr>
            <w:r w:rsidRPr="000E4461">
              <w:t xml:space="preserve">In our opinion it is not sufficient that the Member States share their best practices since in every case the recommendations of the audits are decisive. Therefore either more detailed rules shall be set out in the Directives or we recommend </w:t>
            </w:r>
            <w:proofErr w:type="gramStart"/>
            <w:r w:rsidRPr="000E4461">
              <w:t>to have</w:t>
            </w:r>
            <w:proofErr w:type="gramEnd"/>
            <w:r w:rsidRPr="000E4461">
              <w:t xml:space="preserve"> more specific guides on qualitative award criteria which shall be endorsed by auditors also.</w:t>
            </w:r>
          </w:p>
        </w:tc>
      </w:tr>
      <w:tr w:rsidR="00253552" w:rsidRPr="000E4461" w14:paraId="356029E8" w14:textId="77777777" w:rsidTr="00095252">
        <w:tc>
          <w:tcPr>
            <w:tcW w:w="4606" w:type="dxa"/>
          </w:tcPr>
          <w:p w14:paraId="591E5373" w14:textId="2AC83518" w:rsidR="00253552" w:rsidRPr="000E4461" w:rsidDel="00BC09FC" w:rsidRDefault="00620C02" w:rsidP="0037143F">
            <w:pPr>
              <w:jc w:val="both"/>
              <w:rPr>
                <w:b/>
              </w:rPr>
            </w:pPr>
            <w:r w:rsidRPr="000E4461">
              <w:rPr>
                <w:b/>
              </w:rPr>
              <w:lastRenderedPageBreak/>
              <w:t>II</w:t>
            </w:r>
            <w:r w:rsidR="00253552" w:rsidRPr="000E4461">
              <w:rPr>
                <w:b/>
              </w:rPr>
              <w:t xml:space="preserve">.2 </w:t>
            </w:r>
            <w:r w:rsidR="0037143F" w:rsidRPr="000E4461">
              <w:rPr>
                <w:b/>
              </w:rPr>
              <w:t>Supporting documents</w:t>
            </w:r>
          </w:p>
        </w:tc>
        <w:tc>
          <w:tcPr>
            <w:tcW w:w="9509" w:type="dxa"/>
          </w:tcPr>
          <w:p w14:paraId="7B743D4A" w14:textId="77777777" w:rsidR="00253552" w:rsidRPr="000E4461" w:rsidRDefault="00253552" w:rsidP="00CE4EFC">
            <w:pPr>
              <w:jc w:val="both"/>
              <w:rPr>
                <w:highlight w:val="yellow"/>
              </w:rPr>
            </w:pPr>
          </w:p>
        </w:tc>
      </w:tr>
      <w:tr w:rsidR="00253552" w:rsidRPr="000E4461" w14:paraId="30910821" w14:textId="77777777" w:rsidTr="00095252">
        <w:tc>
          <w:tcPr>
            <w:tcW w:w="4606" w:type="dxa"/>
          </w:tcPr>
          <w:p w14:paraId="45348405" w14:textId="65903456" w:rsidR="00253552" w:rsidRPr="000E4461" w:rsidRDefault="00AC7614" w:rsidP="0037143F">
            <w:pPr>
              <w:jc w:val="both"/>
            </w:pPr>
            <w:r w:rsidRPr="000E4461">
              <w:t xml:space="preserve">Please </w:t>
            </w:r>
            <w:r w:rsidR="00B72720" w:rsidRPr="000E4461">
              <w:t>provide</w:t>
            </w:r>
            <w:r w:rsidRPr="000E4461">
              <w:t xml:space="preserve"> any available evidence of the issues identified under section </w:t>
            </w:r>
            <w:r w:rsidR="00464D72" w:rsidRPr="000E4461">
              <w:t>II</w:t>
            </w:r>
            <w:r w:rsidRPr="000E4461">
              <w:t>.1.</w:t>
            </w:r>
          </w:p>
        </w:tc>
        <w:tc>
          <w:tcPr>
            <w:tcW w:w="9509" w:type="dxa"/>
          </w:tcPr>
          <w:p w14:paraId="0491A61B" w14:textId="77777777" w:rsidR="00C94EEA" w:rsidRPr="000E4461" w:rsidRDefault="00C94EEA" w:rsidP="00C94EEA">
            <w:pPr>
              <w:jc w:val="both"/>
              <w:rPr>
                <w:highlight w:val="yellow"/>
              </w:rPr>
            </w:pPr>
          </w:p>
          <w:p w14:paraId="02730754" w14:textId="3A74B83C" w:rsidR="00534217" w:rsidRPr="000E4461" w:rsidRDefault="00534217" w:rsidP="0067769D">
            <w:pPr>
              <w:spacing w:after="200"/>
              <w:jc w:val="both"/>
              <w:rPr>
                <w:b/>
                <w:u w:val="single"/>
              </w:rPr>
            </w:pPr>
            <w:r w:rsidRPr="000E4461">
              <w:rPr>
                <w:b/>
                <w:u w:val="single"/>
              </w:rPr>
              <w:t>Additional interpretative guidance documents published in order to clarify legal issues:</w:t>
            </w:r>
          </w:p>
          <w:p w14:paraId="12BA59E4" w14:textId="1473F7B5" w:rsidR="0014386B" w:rsidRPr="000E4461" w:rsidRDefault="00FB3536" w:rsidP="00500037">
            <w:pPr>
              <w:pStyle w:val="Listaszerbekezds"/>
              <w:numPr>
                <w:ilvl w:val="0"/>
                <w:numId w:val="45"/>
              </w:numPr>
              <w:spacing w:before="200"/>
              <w:ind w:left="639" w:hanging="279"/>
              <w:contextualSpacing w:val="0"/>
              <w:jc w:val="both"/>
            </w:pPr>
            <w:r w:rsidRPr="000E4461">
              <w:t>The PPA is available in English on the website of the Public Procurement Authority:</w:t>
            </w:r>
            <w:r w:rsidR="0067769D" w:rsidRPr="000E4461">
              <w:t xml:space="preserve"> </w:t>
            </w:r>
            <w:hyperlink r:id="rId12" w:history="1">
              <w:r w:rsidRPr="000E4461">
                <w:rPr>
                  <w:rStyle w:val="Hiperhivatkozs"/>
                </w:rPr>
                <w:t>http://www.kozbeszerzes.hu/torveny/act-cxliii-of-2015-on-public-procurement/</w:t>
              </w:r>
            </w:hyperlink>
          </w:p>
          <w:p w14:paraId="78DD12C5" w14:textId="77916838" w:rsidR="0067769D" w:rsidRPr="000E4461" w:rsidRDefault="0014386B" w:rsidP="00500037">
            <w:pPr>
              <w:pStyle w:val="Listaszerbekezds"/>
              <w:numPr>
                <w:ilvl w:val="0"/>
                <w:numId w:val="45"/>
              </w:numPr>
              <w:spacing w:before="200"/>
              <w:ind w:left="639" w:hanging="279"/>
              <w:contextualSpacing w:val="0"/>
              <w:jc w:val="both"/>
            </w:pPr>
            <w:r w:rsidRPr="000E4461">
              <w:t>The Prime Minister’s Office’s guidelines on the control of public procurements (see III.1.)</w:t>
            </w:r>
            <w:r w:rsidR="0067769D" w:rsidRPr="000E4461">
              <w:t>are available in the following link</w:t>
            </w:r>
            <w:r w:rsidRPr="000E4461">
              <w:t>:</w:t>
            </w:r>
            <w:r w:rsidR="0067769D" w:rsidRPr="000E4461">
              <w:t xml:space="preserve"> </w:t>
            </w:r>
            <w:hyperlink r:id="rId13" w:history="1">
              <w:r w:rsidRPr="000E4461">
                <w:rPr>
                  <w:rStyle w:val="Hiperhivatkozs"/>
                </w:rPr>
                <w:t>https://www.palyazat.gov.hu/tmutat-a-2014-2020-programozsi-idszakban-az-egyes-eurpai-unis-alapokbl-szrmaz-tmogatsok-felhasznlsnak-rendjrl-szl-272-2014-</w:t>
              </w:r>
              <w:r w:rsidRPr="000E4461">
                <w:rPr>
                  <w:rStyle w:val="Hiperhivatkozs"/>
                </w:rPr>
                <w:lastRenderedPageBreak/>
                <w:t>xi-5-korm-rendelet-szerinti-ellenrzshez</w:t>
              </w:r>
            </w:hyperlink>
          </w:p>
          <w:p w14:paraId="579F1254" w14:textId="11B18B83" w:rsidR="00146D24" w:rsidRPr="00BF0BAA" w:rsidRDefault="00C47691" w:rsidP="00500037">
            <w:pPr>
              <w:pStyle w:val="Listaszerbekezds"/>
              <w:numPr>
                <w:ilvl w:val="0"/>
                <w:numId w:val="45"/>
              </w:numPr>
              <w:spacing w:before="200"/>
              <w:ind w:left="639" w:hanging="279"/>
              <w:contextualSpacing w:val="0"/>
              <w:jc w:val="both"/>
            </w:pPr>
            <w:r w:rsidRPr="000E4461">
              <w:t xml:space="preserve">The Public Procurement Authority’s guideline on </w:t>
            </w:r>
            <w:r w:rsidR="00D0138D" w:rsidRPr="000E4461">
              <w:t xml:space="preserve">the </w:t>
            </w:r>
            <w:r w:rsidR="00146D24" w:rsidRPr="000E4461">
              <w:t xml:space="preserve">preliminary verification </w:t>
            </w:r>
            <w:r w:rsidR="00D0138D" w:rsidRPr="000E4461">
              <w:t xml:space="preserve">of exclusion grounds </w:t>
            </w:r>
            <w:r w:rsidR="00146D24" w:rsidRPr="000E4461">
              <w:t>and the filling of part III of the ESPD</w:t>
            </w:r>
            <w:r w:rsidR="00D0138D" w:rsidRPr="000E4461">
              <w:t xml:space="preserve">: </w:t>
            </w:r>
            <w:hyperlink r:id="rId14" w:history="1">
              <w:r w:rsidR="00146D24" w:rsidRPr="000E4461">
                <w:rPr>
                  <w:rStyle w:val="Hiperhivatkozs"/>
                </w:rPr>
                <w:t>http://www.kozbeszerzes.hu/kozbeszerzes-z/magyar-jogi-hatter/kozbeszerzesi-hatosag-utmutatoi/kozbeszerzesek-tanacsanak-utmutatoja-kizaro-okok-tekinteteben-benyujtando-igazolasokrol-nyilatkozatokrol-nyilvantartasokrol-es-adatokrol-magyarorszagon-letelepedett-gazdasagi-szereplok-vonatkozasaban</w:t>
              </w:r>
            </w:hyperlink>
          </w:p>
          <w:p w14:paraId="24EE96EF" w14:textId="1B90249A" w:rsidR="00C47691" w:rsidRPr="00BF0BAA" w:rsidRDefault="00C47691" w:rsidP="00500037">
            <w:pPr>
              <w:pStyle w:val="Listaszerbekezds"/>
              <w:numPr>
                <w:ilvl w:val="0"/>
                <w:numId w:val="45"/>
              </w:numPr>
              <w:spacing w:before="200"/>
              <w:ind w:left="639" w:hanging="279"/>
              <w:contextualSpacing w:val="0"/>
              <w:jc w:val="both"/>
            </w:pPr>
            <w:r w:rsidRPr="000E4461">
              <w:t>The Public Procurement Authority’s guideline on lifecycle costing methods:</w:t>
            </w:r>
            <w:r w:rsidR="0067769D" w:rsidRPr="000E4461">
              <w:t xml:space="preserve"> </w:t>
            </w:r>
            <w:hyperlink r:id="rId15" w:history="1">
              <w:r w:rsidRPr="000E4461">
                <w:rPr>
                  <w:rStyle w:val="Hiperhivatkozs"/>
                </w:rPr>
                <w:t>http://www.kozbeszerzes.hu/kozbeszerzes-z/magyar-jogi-hatter/kozbeszerzesi-hatosag-utmutatoi/kozbeszerzesi-hatosag-utmutatoja-az-eletcikluskoltseg-szamitasi-modszertanokrol</w:t>
              </w:r>
            </w:hyperlink>
          </w:p>
          <w:p w14:paraId="4436D228" w14:textId="4AE6E542" w:rsidR="00C47691" w:rsidRPr="000E4461" w:rsidRDefault="00C47691" w:rsidP="00500037">
            <w:pPr>
              <w:pStyle w:val="Listaszerbekezds"/>
              <w:numPr>
                <w:ilvl w:val="0"/>
                <w:numId w:val="45"/>
              </w:numPr>
              <w:spacing w:before="200"/>
              <w:ind w:left="639" w:hanging="279"/>
              <w:contextualSpacing w:val="0"/>
              <w:jc w:val="both"/>
            </w:pPr>
            <w:r w:rsidRPr="000E4461">
              <w:t>The Public Procurement Authority’s guideline on artificial splitting of contracts and calculating the estimated value of procurements:</w:t>
            </w:r>
            <w:r w:rsidR="0067769D" w:rsidRPr="000E4461">
              <w:t xml:space="preserve"> </w:t>
            </w:r>
            <w:hyperlink r:id="rId16" w:history="1">
              <w:r w:rsidRPr="000E4461">
                <w:rPr>
                  <w:rStyle w:val="Hiperhivatkozs"/>
                </w:rPr>
                <w:t>http://www.kozbeszerzes.hu/kozbeszerzes-z/magyar-jogi-hatter/kozbeszerzesi-hatosag-utmutatoi/kozbeszerzesek-tanacsanak-utmutatoja-becsult-ertek-szamitasa-reszekre-bontas-tilalma-es-beszerzesi-igenyek-mesterseges-egyesitese-targyaban</w:t>
              </w:r>
            </w:hyperlink>
          </w:p>
          <w:p w14:paraId="33415215" w14:textId="637FC5B4" w:rsidR="00CF4AFB" w:rsidRPr="00BF0BAA" w:rsidRDefault="00C47691" w:rsidP="00500037">
            <w:pPr>
              <w:pStyle w:val="Listaszerbekezds"/>
              <w:numPr>
                <w:ilvl w:val="0"/>
                <w:numId w:val="45"/>
              </w:numPr>
              <w:spacing w:before="200"/>
              <w:ind w:left="639" w:hanging="279"/>
              <w:contextualSpacing w:val="0"/>
              <w:jc w:val="both"/>
            </w:pPr>
            <w:r w:rsidRPr="000E4461">
              <w:t>The Public Procurement Authority’s guideline on amendment of public procurement contracts and  contract performance:</w:t>
            </w:r>
            <w:r w:rsidR="0067769D" w:rsidRPr="000E4461">
              <w:t xml:space="preserve"> </w:t>
            </w:r>
            <w:hyperlink r:id="rId17" w:history="1">
              <w:r w:rsidR="00CF4AFB" w:rsidRPr="000E4461">
                <w:rPr>
                  <w:rStyle w:val="Hiperhivatkozs"/>
                </w:rPr>
                <w:t>http://www.kozbeszerzes.hu/kozbeszerzes-z/magyar-jogi-hatter/kozbeszerzesi-hatosag-utmutatoi/kozbeszerzesek-tanacsanak-utmutatoja-kozbeszerzesi-eljarasok-eredmenyekent-megkotott-szerzodesek-kbt-szerinti-modositasaval-valamint-teljesitesevel-kapcsolatos-egyes-kerdesekrol-2017-05</w:t>
              </w:r>
            </w:hyperlink>
          </w:p>
          <w:p w14:paraId="6CBE714E" w14:textId="26148590" w:rsidR="00CF4AFB" w:rsidRPr="000E4461" w:rsidRDefault="00CF4AFB" w:rsidP="00500037">
            <w:pPr>
              <w:pStyle w:val="Listaszerbekezds"/>
              <w:numPr>
                <w:ilvl w:val="0"/>
                <w:numId w:val="45"/>
              </w:numPr>
              <w:spacing w:before="200"/>
              <w:ind w:left="639" w:hanging="279"/>
              <w:contextualSpacing w:val="0"/>
              <w:jc w:val="both"/>
            </w:pPr>
            <w:r w:rsidRPr="000E4461">
              <w:t xml:space="preserve">The Public Procurement Authority’s guideline on certificates, declarations, registers and data to be submitted by </w:t>
            </w:r>
            <w:r w:rsidR="003A3576" w:rsidRPr="000E4461">
              <w:t>e</w:t>
            </w:r>
            <w:r w:rsidRPr="000E4461">
              <w:t xml:space="preserve">conomic </w:t>
            </w:r>
            <w:r w:rsidR="003A3576" w:rsidRPr="000E4461">
              <w:t>o</w:t>
            </w:r>
            <w:r w:rsidRPr="000E4461">
              <w:t>perators established in the European Union and the European Economic Area:</w:t>
            </w:r>
            <w:r w:rsidR="0067769D" w:rsidRPr="000E4461">
              <w:t xml:space="preserve"> </w:t>
            </w:r>
            <w:hyperlink r:id="rId18" w:history="1">
              <w:r w:rsidRPr="000E4461">
                <w:rPr>
                  <w:rStyle w:val="Hiperhivatkozs"/>
                </w:rPr>
                <w:t>http://www.kozbeszerzes.hu/kozbeszerzes-z/magyar-jogi-hatter/kozbeszerzesi-hatosag-utmutatoi/kozbeszerzesek-tanacsanak-utmutatoja-az-europai-unioban-es-az-europai-gazdasagi-tersegben-letelepedett-gazdasagi-szereplok-altal-benyujtando-igazolasokrol-nyilatkozatokrol-nyilvantartasokrol-es-adatokrol</w:t>
              </w:r>
            </w:hyperlink>
          </w:p>
          <w:p w14:paraId="5D2E5718" w14:textId="2D50C48B" w:rsidR="0014386B" w:rsidRPr="000E4461" w:rsidRDefault="0014386B" w:rsidP="00500037">
            <w:pPr>
              <w:pStyle w:val="Listaszerbekezds"/>
              <w:numPr>
                <w:ilvl w:val="0"/>
                <w:numId w:val="45"/>
              </w:numPr>
              <w:spacing w:before="200"/>
              <w:ind w:left="639" w:hanging="279"/>
              <w:contextualSpacing w:val="0"/>
              <w:jc w:val="both"/>
            </w:pPr>
            <w:r w:rsidRPr="000E4461">
              <w:t>The Public Procurement Authority’s guideline on the application of award criteria:</w:t>
            </w:r>
            <w:r w:rsidR="0067769D" w:rsidRPr="000E4461">
              <w:t xml:space="preserve"> </w:t>
            </w:r>
            <w:hyperlink r:id="rId19" w:history="1">
              <w:r w:rsidRPr="000E4461">
                <w:rPr>
                  <w:rStyle w:val="Hiperhivatkozs"/>
                </w:rPr>
                <w:t>http://www.kozbeszerzes.hu/kozbeszerzes-z/magyar-jogi-hatter/kozbeszerzesi-hatosag-utmutatoi/kozbeszerzesi-hatosag-utmutatoja-nyertes-ajanlattevo-kivalasztasara-szolgalo-ertekelesi-szempontrendszer-alkalmazasarol</w:t>
              </w:r>
            </w:hyperlink>
          </w:p>
          <w:p w14:paraId="2F2A58C5" w14:textId="7A9526BC" w:rsidR="0014386B" w:rsidRPr="000E4461" w:rsidRDefault="0014386B" w:rsidP="00500037">
            <w:pPr>
              <w:pStyle w:val="Listaszerbekezds"/>
              <w:numPr>
                <w:ilvl w:val="0"/>
                <w:numId w:val="45"/>
              </w:numPr>
              <w:spacing w:before="200"/>
              <w:ind w:left="639" w:hanging="279"/>
              <w:contextualSpacing w:val="0"/>
              <w:jc w:val="both"/>
            </w:pPr>
            <w:r w:rsidRPr="000E4461">
              <w:lastRenderedPageBreak/>
              <w:t>The Public Procurement Authority’s guideline on the rules of procurement of public works:</w:t>
            </w:r>
            <w:r w:rsidR="0067769D" w:rsidRPr="000E4461">
              <w:t xml:space="preserve"> </w:t>
            </w:r>
            <w:hyperlink r:id="rId20" w:history="1">
              <w:r w:rsidRPr="000E4461">
                <w:rPr>
                  <w:rStyle w:val="Hiperhivatkozs"/>
                </w:rPr>
                <w:t>http://www.kozbeszerzes.hu/kozbeszerzes-z/magyar-jogi-hatter/kozbeszerzesi-hatosag-utmutatoi/kozbeszerzesi-hatosag-utmutatoja-az-epitesi-beruhazas-targyu-kozbeszerzesi-eljarasok-szabalyairol</w:t>
              </w:r>
            </w:hyperlink>
          </w:p>
          <w:p w14:paraId="67FC7633" w14:textId="2810FE0F" w:rsidR="0014386B" w:rsidRPr="000E4461" w:rsidRDefault="0014386B" w:rsidP="00500037">
            <w:pPr>
              <w:pStyle w:val="Listaszerbekezds"/>
              <w:numPr>
                <w:ilvl w:val="0"/>
                <w:numId w:val="45"/>
              </w:numPr>
              <w:ind w:left="639" w:hanging="279"/>
              <w:jc w:val="both"/>
            </w:pPr>
            <w:r w:rsidRPr="000E4461">
              <w:t>The Public Procurement Authority’s guideline on the conditions of using negotiated procedures:</w:t>
            </w:r>
            <w:r w:rsidR="0067769D" w:rsidRPr="000E4461">
              <w:t xml:space="preserve"> </w:t>
            </w:r>
            <w:hyperlink r:id="rId21" w:history="1">
              <w:r w:rsidRPr="000E4461">
                <w:rPr>
                  <w:rStyle w:val="Hiperhivatkozs"/>
                </w:rPr>
                <w:t>http://www.kozbeszerzes.hu/kozbeszerzes-z/magyar-jogi-hatter/kozbeszerzesi-hatosag-utmutatoi/kozbeszerzesi-hatosag-utmutatoja-targyalasos-eljaras-alkalmazasanak-felteteleirol</w:t>
              </w:r>
            </w:hyperlink>
          </w:p>
          <w:p w14:paraId="62213F94" w14:textId="265BAD9E" w:rsidR="00C47691" w:rsidRPr="000E4461" w:rsidRDefault="00C47691" w:rsidP="00D0138D">
            <w:pPr>
              <w:jc w:val="both"/>
              <w:rPr>
                <w:highlight w:val="yellow"/>
              </w:rPr>
            </w:pPr>
          </w:p>
        </w:tc>
      </w:tr>
      <w:tr w:rsidR="00C91FDC" w:rsidRPr="000E4461" w14:paraId="1B195211" w14:textId="77777777" w:rsidTr="00095252">
        <w:tc>
          <w:tcPr>
            <w:tcW w:w="4606" w:type="dxa"/>
          </w:tcPr>
          <w:p w14:paraId="0EFDD4F3" w14:textId="470E22D2" w:rsidR="00C91FDC" w:rsidRPr="000E4461" w:rsidRDefault="00464D72" w:rsidP="004D44AE">
            <w:pPr>
              <w:pStyle w:val="Cmsor3"/>
              <w:outlineLvl w:val="2"/>
            </w:pPr>
            <w:r w:rsidRPr="000E4461">
              <w:lastRenderedPageBreak/>
              <w:t>II</w:t>
            </w:r>
            <w:r w:rsidR="00C91FDC" w:rsidRPr="000E4461">
              <w:t>.3</w:t>
            </w:r>
            <w:r w:rsidR="00B72720" w:rsidRPr="000E4461">
              <w:t xml:space="preserve">. </w:t>
            </w:r>
            <w:r w:rsidR="004D44AE">
              <w:t xml:space="preserve">Quantitative indicators </w:t>
            </w:r>
          </w:p>
        </w:tc>
        <w:tc>
          <w:tcPr>
            <w:tcW w:w="9509" w:type="dxa"/>
          </w:tcPr>
          <w:p w14:paraId="3ADF1444" w14:textId="2F751E69" w:rsidR="00C91FDC" w:rsidRPr="000E4461" w:rsidRDefault="00C91FDC" w:rsidP="0086391B">
            <w:pPr>
              <w:jc w:val="both"/>
              <w:rPr>
                <w:i/>
              </w:rPr>
            </w:pPr>
          </w:p>
        </w:tc>
      </w:tr>
      <w:tr w:rsidR="00095252" w:rsidRPr="000E4461" w14:paraId="69EC1028" w14:textId="77777777" w:rsidTr="00095252">
        <w:tc>
          <w:tcPr>
            <w:tcW w:w="4606" w:type="dxa"/>
          </w:tcPr>
          <w:p w14:paraId="29E065ED" w14:textId="77777777" w:rsidR="00095252" w:rsidRPr="000E4461" w:rsidRDefault="00095252">
            <w:pPr>
              <w:pStyle w:val="Cmsor3"/>
              <w:outlineLvl w:val="2"/>
              <w:rPr>
                <w:rFonts w:eastAsia="Times New Roman"/>
                <w:b w:val="0"/>
                <w:lang w:val="en-US"/>
              </w:rPr>
            </w:pPr>
            <w:r w:rsidRPr="000E4461">
              <w:rPr>
                <w:rFonts w:eastAsia="Times New Roman"/>
                <w:b w:val="0"/>
                <w:bCs/>
              </w:rPr>
              <w:t xml:space="preserve">Indicators about the national review system </w:t>
            </w:r>
          </w:p>
          <w:p w14:paraId="20B30B6B" w14:textId="77777777" w:rsidR="00095252" w:rsidRPr="000E4461" w:rsidRDefault="00095252"/>
          <w:p w14:paraId="5F0023A7" w14:textId="6056C412" w:rsidR="00095252" w:rsidRPr="000E4461" w:rsidRDefault="00095252" w:rsidP="00A61403"/>
        </w:tc>
        <w:tc>
          <w:tcPr>
            <w:tcW w:w="9509" w:type="dxa"/>
          </w:tcPr>
          <w:p w14:paraId="45F9AA98" w14:textId="77777777" w:rsidR="00AE265C" w:rsidRPr="000E4461" w:rsidRDefault="00AE265C" w:rsidP="00AF3A52">
            <w:pPr>
              <w:jc w:val="both"/>
              <w:rPr>
                <w:lang w:val="en-US"/>
              </w:rPr>
            </w:pPr>
          </w:p>
          <w:p w14:paraId="35AEC189" w14:textId="2FAC4C4C" w:rsidR="00D86613" w:rsidRPr="000E4461" w:rsidRDefault="006A2454" w:rsidP="00AF3A52">
            <w:pPr>
              <w:jc w:val="both"/>
              <w:rPr>
                <w:lang w:val="en-US"/>
              </w:rPr>
            </w:pPr>
            <w:r w:rsidRPr="000E4461">
              <w:rPr>
                <w:lang w:val="en-US"/>
              </w:rPr>
              <w:t>P</w:t>
            </w:r>
            <w:r w:rsidR="00920309" w:rsidRPr="000E4461">
              <w:rPr>
                <w:lang w:val="en-US"/>
              </w:rPr>
              <w:t>roceedings initiated against any infringement of the legislative provisions applicable to public procurements</w:t>
            </w:r>
            <w:r w:rsidR="00E34A0A" w:rsidRPr="000E4461">
              <w:rPr>
                <w:lang w:val="en-US"/>
              </w:rPr>
              <w:t>, concessions</w:t>
            </w:r>
            <w:r w:rsidR="00920309" w:rsidRPr="000E4461">
              <w:rPr>
                <w:lang w:val="en-US"/>
              </w:rPr>
              <w:t xml:space="preserve"> and design contests </w:t>
            </w:r>
            <w:r w:rsidR="00E34A0A" w:rsidRPr="000E4461">
              <w:rPr>
                <w:lang w:val="en-US"/>
              </w:rPr>
              <w:t>are</w:t>
            </w:r>
            <w:r w:rsidR="00920309" w:rsidRPr="000E4461">
              <w:rPr>
                <w:lang w:val="en-US"/>
              </w:rPr>
              <w:t xml:space="preserve"> within the competence of the Public Procurement Arbitration Board, </w:t>
            </w:r>
            <w:r w:rsidR="008D4E39" w:rsidRPr="000E4461">
              <w:rPr>
                <w:lang w:val="en-US"/>
              </w:rPr>
              <w:t>an independent</w:t>
            </w:r>
            <w:r w:rsidR="0078296D" w:rsidRPr="000E4461">
              <w:rPr>
                <w:lang w:val="en-US"/>
              </w:rPr>
              <w:t>, first instance</w:t>
            </w:r>
            <w:r w:rsidR="008D4E39" w:rsidRPr="000E4461">
              <w:rPr>
                <w:lang w:val="en-US"/>
              </w:rPr>
              <w:t xml:space="preserve"> review body with national jurisdiction</w:t>
            </w:r>
            <w:r w:rsidR="00920309" w:rsidRPr="000E4461">
              <w:rPr>
                <w:lang w:val="en-US"/>
              </w:rPr>
              <w:t>.</w:t>
            </w:r>
          </w:p>
          <w:p w14:paraId="44D2DFA5" w14:textId="77777777" w:rsidR="00824A23" w:rsidRPr="000E4461" w:rsidRDefault="00824A23" w:rsidP="00AF3A52">
            <w:pPr>
              <w:jc w:val="both"/>
              <w:rPr>
                <w:lang w:val="en-US"/>
              </w:rPr>
            </w:pPr>
          </w:p>
          <w:p w14:paraId="1286535F" w14:textId="77777777" w:rsidR="00B143D9" w:rsidRPr="000E4461" w:rsidRDefault="00B143D9" w:rsidP="00DC189A">
            <w:pPr>
              <w:pStyle w:val="Cmsor2"/>
              <w:outlineLvl w:val="1"/>
            </w:pPr>
            <w:r w:rsidRPr="000E4461">
              <w:t>Statistics of the review system:</w:t>
            </w:r>
          </w:p>
          <w:p w14:paraId="19D17B74" w14:textId="77777777" w:rsidR="00B143D9" w:rsidRPr="000E4461" w:rsidRDefault="00B143D9" w:rsidP="00B143D9">
            <w:pPr>
              <w:pStyle w:val="Nincstrkz"/>
            </w:pPr>
          </w:p>
          <w:p w14:paraId="1E3C55CA" w14:textId="21BDAAE1" w:rsidR="00B143D9" w:rsidRPr="000E4461" w:rsidRDefault="00B143D9" w:rsidP="00500037">
            <w:pPr>
              <w:pStyle w:val="Nincstrkz"/>
              <w:numPr>
                <w:ilvl w:val="0"/>
                <w:numId w:val="3"/>
              </w:numPr>
            </w:pPr>
            <w:r w:rsidRPr="000E4461">
              <w:t>number of complaints: 684</w:t>
            </w:r>
          </w:p>
          <w:p w14:paraId="0F7B863F" w14:textId="167AD60D" w:rsidR="00B143D9" w:rsidRPr="000E4461" w:rsidRDefault="00736EF2" w:rsidP="00500037">
            <w:pPr>
              <w:pStyle w:val="Nincstrkz"/>
              <w:numPr>
                <w:ilvl w:val="0"/>
                <w:numId w:val="34"/>
              </w:numPr>
            </w:pPr>
            <w:r w:rsidRPr="000E4461">
              <w:t>number of procedures initiated ex officio: 447</w:t>
            </w:r>
          </w:p>
          <w:p w14:paraId="19EA6547" w14:textId="6EF27500" w:rsidR="00736EF2" w:rsidRPr="000E4461" w:rsidRDefault="00736EF2" w:rsidP="00500037">
            <w:pPr>
              <w:pStyle w:val="Nincstrkz"/>
              <w:numPr>
                <w:ilvl w:val="0"/>
                <w:numId w:val="34"/>
              </w:numPr>
            </w:pPr>
            <w:r w:rsidRPr="000E4461">
              <w:t xml:space="preserve">number of procedures initiated on </w:t>
            </w:r>
            <w:r w:rsidR="00B11BD2" w:rsidRPr="000E4461">
              <w:t>application</w:t>
            </w:r>
            <w:r w:rsidRPr="000E4461">
              <w:t>: 237</w:t>
            </w:r>
          </w:p>
          <w:p w14:paraId="01727F07" w14:textId="688290C4" w:rsidR="00736EF2" w:rsidRPr="000E4461" w:rsidRDefault="00172016" w:rsidP="00500037">
            <w:pPr>
              <w:pStyle w:val="Nincstrkz"/>
              <w:numPr>
                <w:ilvl w:val="0"/>
                <w:numId w:val="32"/>
              </w:numPr>
            </w:pPr>
            <w:r w:rsidRPr="000E4461">
              <w:t>number of submitted complaints in case of awarded contracts: 571</w:t>
            </w:r>
          </w:p>
          <w:p w14:paraId="2E1B0EA3" w14:textId="1E4C0771" w:rsidR="00172016" w:rsidRPr="000E4461" w:rsidRDefault="00172016" w:rsidP="00500037">
            <w:pPr>
              <w:pStyle w:val="Nincstrkz"/>
              <w:numPr>
                <w:ilvl w:val="0"/>
                <w:numId w:val="32"/>
              </w:numPr>
            </w:pPr>
            <w:r w:rsidRPr="000E4461">
              <w:t xml:space="preserve">number of </w:t>
            </w:r>
            <w:r w:rsidR="00383F4D" w:rsidRPr="000E4461">
              <w:t xml:space="preserve">review procedures </w:t>
            </w:r>
            <w:r w:rsidRPr="000E4461">
              <w:t xml:space="preserve">closed </w:t>
            </w:r>
            <w:r w:rsidR="00383F4D" w:rsidRPr="000E4461">
              <w:t>by the substantial decision of the Public Procurement Arbitration Board: 424</w:t>
            </w:r>
          </w:p>
          <w:p w14:paraId="65C62B34" w14:textId="2290E1A9" w:rsidR="00383F4D" w:rsidRPr="000E4461" w:rsidRDefault="00383F4D" w:rsidP="00500037">
            <w:pPr>
              <w:pStyle w:val="Nincstrkz"/>
              <w:numPr>
                <w:ilvl w:val="0"/>
                <w:numId w:val="32"/>
              </w:numPr>
            </w:pPr>
            <w:r w:rsidRPr="000E4461">
              <w:t xml:space="preserve">infringement </w:t>
            </w:r>
            <w:r w:rsidR="00D001AE" w:rsidRPr="000E4461">
              <w:t xml:space="preserve">was </w:t>
            </w:r>
            <w:r w:rsidR="00112EC2" w:rsidRPr="000E4461">
              <w:t>found in 309 cases</w:t>
            </w:r>
          </w:p>
          <w:p w14:paraId="4CBB4E1B" w14:textId="77777777" w:rsidR="002C4C19" w:rsidRPr="000E4461" w:rsidRDefault="00383F4D" w:rsidP="00500037">
            <w:pPr>
              <w:pStyle w:val="Nincstrkz"/>
              <w:numPr>
                <w:ilvl w:val="0"/>
                <w:numId w:val="32"/>
              </w:numPr>
            </w:pPr>
            <w:r w:rsidRPr="000E4461">
              <w:t>the average length of review procedures: 28 day</w:t>
            </w:r>
          </w:p>
          <w:p w14:paraId="2364B7CE" w14:textId="783CBA12" w:rsidR="00112EC2" w:rsidRPr="000E4461" w:rsidRDefault="00112EC2" w:rsidP="00112EC2">
            <w:pPr>
              <w:pStyle w:val="Nincstrkz"/>
              <w:ind w:left="720"/>
            </w:pPr>
          </w:p>
        </w:tc>
      </w:tr>
      <w:tr w:rsidR="00BE60E9" w:rsidRPr="000E4461" w14:paraId="5F3F355B" w14:textId="4FE8F1F8" w:rsidTr="00F1572C">
        <w:tblPrEx>
          <w:tblCellMar>
            <w:left w:w="70" w:type="dxa"/>
            <w:right w:w="70" w:type="dxa"/>
          </w:tblCellMar>
        </w:tblPrEx>
        <w:tc>
          <w:tcPr>
            <w:tcW w:w="4606" w:type="dxa"/>
          </w:tcPr>
          <w:p w14:paraId="2F9ACFF2" w14:textId="2CA7E676" w:rsidR="00BE60E9" w:rsidRPr="000E4461" w:rsidRDefault="00AD5A2B" w:rsidP="00F707A7">
            <w:pPr>
              <w:pStyle w:val="Cmsor3"/>
              <w:outlineLvl w:val="2"/>
              <w:rPr>
                <w:b w:val="0"/>
              </w:rPr>
            </w:pPr>
            <w:r w:rsidRPr="000E4461">
              <w:rPr>
                <w:b w:val="0"/>
              </w:rPr>
              <w:t>Histogram of values</w:t>
            </w:r>
            <w:r w:rsidR="00F707A7" w:rsidRPr="000E4461">
              <w:rPr>
                <w:b w:val="0"/>
              </w:rPr>
              <w:t xml:space="preserve"> of procedures</w:t>
            </w:r>
            <w:r w:rsidRPr="000E4461">
              <w:rPr>
                <w:b w:val="0"/>
              </w:rPr>
              <w:t xml:space="preserve">, </w:t>
            </w:r>
            <w:r w:rsidR="006D4823" w:rsidRPr="000E4461">
              <w:rPr>
                <w:b w:val="0"/>
              </w:rPr>
              <w:t xml:space="preserve">covering </w:t>
            </w:r>
            <w:r w:rsidR="00933EC9" w:rsidRPr="000E4461">
              <w:rPr>
                <w:b w:val="0"/>
              </w:rPr>
              <w:t xml:space="preserve">also procedures below </w:t>
            </w:r>
            <w:r w:rsidR="000A0653" w:rsidRPr="000E4461">
              <w:rPr>
                <w:b w:val="0"/>
              </w:rPr>
              <w:t>the thresholds</w:t>
            </w:r>
          </w:p>
        </w:tc>
        <w:tc>
          <w:tcPr>
            <w:tcW w:w="9509" w:type="dxa"/>
          </w:tcPr>
          <w:p w14:paraId="6E6036F4" w14:textId="77777777" w:rsidR="007820EC" w:rsidRPr="000E4461" w:rsidRDefault="007820EC" w:rsidP="004E45FE">
            <w:pPr>
              <w:rPr>
                <w:i/>
              </w:rPr>
            </w:pPr>
          </w:p>
          <w:p w14:paraId="7218E420" w14:textId="26F93202" w:rsidR="007820EC" w:rsidRPr="000E4461" w:rsidRDefault="00F1572C" w:rsidP="004E45FE">
            <w:r w:rsidRPr="000E4461">
              <w:rPr>
                <w:noProof/>
                <w:lang w:val="hu-HU" w:eastAsia="hu-HU"/>
              </w:rPr>
              <w:lastRenderedPageBreak/>
              <w:drawing>
                <wp:inline distT="0" distB="0" distL="0" distR="0" wp14:anchorId="41003FDB" wp14:editId="419E9930">
                  <wp:extent cx="4846026" cy="3543300"/>
                  <wp:effectExtent l="0" t="0" r="0" b="0"/>
                  <wp:docPr id="1" name="Diagram 1">
                    <a:extLst xmlns:a="http://schemas.openxmlformats.org/drawingml/2006/main">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F4A3E0" w14:textId="77777777" w:rsidR="007820EC" w:rsidRPr="000E4461" w:rsidRDefault="007820EC" w:rsidP="004E45FE"/>
          <w:p w14:paraId="3620105F" w14:textId="77777777" w:rsidR="007820EC" w:rsidRPr="000E4461" w:rsidRDefault="007820EC" w:rsidP="004E45FE">
            <w:r w:rsidRPr="000E4461">
              <w:rPr>
                <w:noProof/>
                <w:lang w:val="hu-HU" w:eastAsia="hu-HU"/>
              </w:rPr>
              <w:lastRenderedPageBreak/>
              <w:drawing>
                <wp:inline distT="0" distB="0" distL="0" distR="0" wp14:anchorId="21288D64" wp14:editId="2BC4F013">
                  <wp:extent cx="4857749" cy="3550920"/>
                  <wp:effectExtent l="0" t="0" r="635" b="0"/>
                  <wp:docPr id="2" name="Diagram 2">
                    <a:extLst xmlns:a="http://schemas.openxmlformats.org/drawingml/2006/main">
                      <a:ext uri="{FF2B5EF4-FFF2-40B4-BE49-F238E27FC236}">
                        <a16:creationId xmlns:arto="http://schemas.microsoft.com/office/word/2006/arto"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BA9504" w14:textId="472E3B51" w:rsidR="007820EC" w:rsidRPr="000E4461" w:rsidRDefault="007820EC" w:rsidP="008908AD">
            <w:pPr>
              <w:spacing w:after="120"/>
              <w:jc w:val="both"/>
              <w:rPr>
                <w:i/>
                <w:sz w:val="18"/>
                <w:szCs w:val="18"/>
              </w:rPr>
            </w:pPr>
            <w:r w:rsidRPr="000E4461">
              <w:t xml:space="preserve">* </w:t>
            </w:r>
            <w:r w:rsidRPr="000E4461">
              <w:rPr>
                <w:i/>
                <w:sz w:val="18"/>
                <w:szCs w:val="18"/>
              </w:rPr>
              <w:t xml:space="preserve">Due to the distribution of the values of public procurements (too many histogram bins), analysis of all data is not suitable for the detection of possible ‘spikes’ in the distribution of values, indicating a bunching of procedures below the EU threshold. To overcome this problem, we have taken into account a set of data relatively close to the EU thresholds for the creation of histograms. </w:t>
            </w:r>
          </w:p>
          <w:p w14:paraId="04CBE491" w14:textId="39B18FA6" w:rsidR="007820EC" w:rsidRPr="000E4461" w:rsidRDefault="007820EC" w:rsidP="008908AD">
            <w:pPr>
              <w:spacing w:after="120"/>
              <w:jc w:val="both"/>
              <w:rPr>
                <w:i/>
                <w:sz w:val="18"/>
                <w:szCs w:val="18"/>
              </w:rPr>
            </w:pPr>
            <w:r w:rsidRPr="000E4461">
              <w:rPr>
                <w:i/>
                <w:sz w:val="18"/>
                <w:szCs w:val="18"/>
              </w:rPr>
              <w:t xml:space="preserve">Concerning supplies and service contracts, in case of contracts concluded by central contracting authorities and other contracting authorities, the median 50% </w:t>
            </w:r>
            <w:r w:rsidR="00F743EC" w:rsidRPr="000E4461">
              <w:rPr>
                <w:i/>
                <w:sz w:val="18"/>
                <w:szCs w:val="18"/>
              </w:rPr>
              <w:t>of the procurement values</w:t>
            </w:r>
            <w:r w:rsidRPr="000E4461">
              <w:rPr>
                <w:i/>
                <w:sz w:val="18"/>
                <w:szCs w:val="18"/>
              </w:rPr>
              <w:t xml:space="preserve"> was taken into ac</w:t>
            </w:r>
            <w:r w:rsidR="008908AD" w:rsidRPr="000E4461">
              <w:rPr>
                <w:i/>
                <w:sz w:val="18"/>
                <w:szCs w:val="18"/>
              </w:rPr>
              <w:t>count, with bins of 10 000 EUR.</w:t>
            </w:r>
          </w:p>
          <w:p w14:paraId="7AB17F92" w14:textId="6922CBDE" w:rsidR="007820EC" w:rsidRPr="000E4461" w:rsidRDefault="007820EC" w:rsidP="008908AD">
            <w:pPr>
              <w:spacing w:after="120"/>
              <w:jc w:val="both"/>
              <w:rPr>
                <w:i/>
                <w:sz w:val="18"/>
                <w:szCs w:val="18"/>
              </w:rPr>
            </w:pPr>
            <w:r w:rsidRPr="000E4461">
              <w:rPr>
                <w:i/>
                <w:sz w:val="18"/>
                <w:szCs w:val="18"/>
              </w:rPr>
              <w:t xml:space="preserve">In case of works contracts, only the last 95% of values were suitable for creating </w:t>
            </w:r>
            <w:r w:rsidR="00463A75" w:rsidRPr="000E4461">
              <w:rPr>
                <w:i/>
                <w:sz w:val="18"/>
                <w:szCs w:val="18"/>
              </w:rPr>
              <w:t xml:space="preserve">a </w:t>
            </w:r>
            <w:r w:rsidRPr="000E4461">
              <w:rPr>
                <w:i/>
                <w:sz w:val="18"/>
                <w:szCs w:val="18"/>
              </w:rPr>
              <w:t>histogram and considering the low number and high value of contracts an adequate overview could only be achieved by using bins of 1 000 000 EUR and taking into accou</w:t>
            </w:r>
            <w:r w:rsidR="008908AD" w:rsidRPr="000E4461">
              <w:rPr>
                <w:i/>
                <w:sz w:val="18"/>
                <w:szCs w:val="18"/>
              </w:rPr>
              <w:t>nt all contracting authorities.</w:t>
            </w:r>
          </w:p>
          <w:p w14:paraId="612839D3" w14:textId="0677EEE4" w:rsidR="007820EC" w:rsidRPr="000E4461" w:rsidRDefault="007820EC" w:rsidP="007820EC">
            <w:pPr>
              <w:jc w:val="both"/>
            </w:pPr>
            <w:r w:rsidRPr="000E4461">
              <w:rPr>
                <w:i/>
                <w:sz w:val="18"/>
                <w:szCs w:val="18"/>
              </w:rPr>
              <w:t>On all histograms, the bins including the relevant thresholds were highlighted with red.</w:t>
            </w:r>
          </w:p>
        </w:tc>
      </w:tr>
    </w:tbl>
    <w:p w14:paraId="561FA522" w14:textId="77777777" w:rsidR="00082B68" w:rsidRPr="000E4461" w:rsidRDefault="00082B68" w:rsidP="004932A2">
      <w:pPr>
        <w:pStyle w:val="Nincstrkz"/>
      </w:pPr>
    </w:p>
    <w:p w14:paraId="34AB7F16" w14:textId="244E0DE3" w:rsidR="005F4733" w:rsidRDefault="00A86F34" w:rsidP="004D44AE">
      <w:pPr>
        <w:pStyle w:val="Cmsor2"/>
      </w:pPr>
      <w:r w:rsidRPr="000E4461">
        <w:lastRenderedPageBreak/>
        <w:t xml:space="preserve">III. </w:t>
      </w:r>
      <w:r w:rsidR="00CF260D" w:rsidRPr="000E4461">
        <w:t>P</w:t>
      </w:r>
      <w:r w:rsidR="005F4733" w:rsidRPr="000E4461">
        <w:t>revention, detection and adequate reporting of cases of procurement fraud, corruption, conflict of interests and other serious irregularities</w:t>
      </w:r>
    </w:p>
    <w:p w14:paraId="61778FCF" w14:textId="77777777" w:rsidR="004D44AE" w:rsidRPr="004D44AE" w:rsidRDefault="004D44AE" w:rsidP="004D44AE">
      <w:pPr>
        <w:pStyle w:val="Nincstrkz"/>
      </w:pPr>
    </w:p>
    <w:tbl>
      <w:tblPr>
        <w:tblStyle w:val="Rcsostblzat"/>
        <w:tblW w:w="5000" w:type="pct"/>
        <w:tblLook w:val="04A0" w:firstRow="1" w:lastRow="0" w:firstColumn="1" w:lastColumn="0" w:noHBand="0" w:noVBand="1"/>
      </w:tblPr>
      <w:tblGrid>
        <w:gridCol w:w="1848"/>
        <w:gridCol w:w="12372"/>
      </w:tblGrid>
      <w:tr w:rsidR="00253552" w:rsidRPr="000E4461" w14:paraId="732EAE05" w14:textId="77777777" w:rsidTr="00A47B20">
        <w:tc>
          <w:tcPr>
            <w:tcW w:w="1648" w:type="pct"/>
          </w:tcPr>
          <w:p w14:paraId="0DA192FE" w14:textId="3D616F19" w:rsidR="00253552" w:rsidRPr="000E4461" w:rsidRDefault="002B6572" w:rsidP="001D4DCD">
            <w:pPr>
              <w:pStyle w:val="Cmsor3"/>
              <w:outlineLvl w:val="2"/>
            </w:pPr>
            <w:r w:rsidRPr="000E4461">
              <w:t>III</w:t>
            </w:r>
            <w:r w:rsidR="00253552" w:rsidRPr="000E4461">
              <w:t xml:space="preserve">.1. Qualitative reporting </w:t>
            </w:r>
            <w:r w:rsidR="001D4DCD" w:rsidRPr="000E4461">
              <w:t>on</w:t>
            </w:r>
            <w:r w:rsidR="00253552" w:rsidRPr="000E4461">
              <w:t xml:space="preserve"> fraud, corruption, conflict of interests etc</w:t>
            </w:r>
            <w:r w:rsidR="00AC7614" w:rsidRPr="000E4461">
              <w:t>.</w:t>
            </w:r>
          </w:p>
        </w:tc>
        <w:tc>
          <w:tcPr>
            <w:tcW w:w="3352" w:type="pct"/>
          </w:tcPr>
          <w:p w14:paraId="0A90E1AF" w14:textId="77777777" w:rsidR="00253552" w:rsidRPr="000E4461" w:rsidRDefault="00253552" w:rsidP="005329C9">
            <w:pPr>
              <w:jc w:val="both"/>
            </w:pPr>
          </w:p>
        </w:tc>
      </w:tr>
      <w:tr w:rsidR="00253552" w:rsidRPr="000E4461" w14:paraId="7514108B" w14:textId="77777777" w:rsidTr="00A47B20">
        <w:tc>
          <w:tcPr>
            <w:tcW w:w="1648" w:type="pct"/>
          </w:tcPr>
          <w:p w14:paraId="60D6DF8A" w14:textId="43F6AA94" w:rsidR="00253552" w:rsidRPr="000E4461" w:rsidRDefault="00253552" w:rsidP="007217FF">
            <w:pPr>
              <w:jc w:val="both"/>
            </w:pPr>
            <w:r w:rsidRPr="000E4461">
              <w:t>Describe the actions undertaken and/or mechanisms put in place to ensure compliance with the new provisions on the prevention, detection and adequate reporting of public procurement irregularities</w:t>
            </w:r>
            <w:r w:rsidR="007217FF" w:rsidRPr="000E4461">
              <w:t xml:space="preserve"> including fraud and corruption</w:t>
            </w:r>
          </w:p>
        </w:tc>
        <w:tc>
          <w:tcPr>
            <w:tcW w:w="3352" w:type="pct"/>
          </w:tcPr>
          <w:p w14:paraId="6D98C9FE" w14:textId="77777777" w:rsidR="00733150" w:rsidRPr="000E4461" w:rsidRDefault="00733150" w:rsidP="00733150">
            <w:pPr>
              <w:jc w:val="both"/>
            </w:pPr>
          </w:p>
          <w:p w14:paraId="5B202EB4" w14:textId="77777777" w:rsidR="008B4506" w:rsidRPr="000E4461" w:rsidRDefault="008B4506" w:rsidP="00500037">
            <w:pPr>
              <w:pStyle w:val="Listaszerbekezds"/>
              <w:numPr>
                <w:ilvl w:val="0"/>
                <w:numId w:val="25"/>
              </w:numPr>
              <w:spacing w:after="240" w:line="276" w:lineRule="auto"/>
              <w:ind w:left="319" w:hanging="284"/>
              <w:jc w:val="both"/>
              <w:rPr>
                <w:b/>
              </w:rPr>
            </w:pPr>
            <w:r w:rsidRPr="000E4461">
              <w:rPr>
                <w:b/>
              </w:rPr>
              <w:t>Legal Framework:</w:t>
            </w:r>
          </w:p>
          <w:p w14:paraId="03611F5E" w14:textId="77777777" w:rsidR="008B4506" w:rsidRPr="000E4461" w:rsidRDefault="008B4506" w:rsidP="008B4506">
            <w:pPr>
              <w:spacing w:after="240" w:line="276" w:lineRule="auto"/>
              <w:jc w:val="both"/>
            </w:pPr>
            <w:r w:rsidRPr="000E4461">
              <w:t>Act CXLIII of 2015 on Public Procurement (hereinafter: PPA) which entered into force on 1 November 2015 includes numerous measures on the prevention of corruption and increasing transparency. Some of these measures were further tightened with the amendment of the PPA applicable as of 1 January 2017.</w:t>
            </w:r>
          </w:p>
          <w:p w14:paraId="7AB916EB" w14:textId="2137A62A" w:rsidR="00435D61" w:rsidRPr="000E4461" w:rsidRDefault="00435D61" w:rsidP="00500037">
            <w:pPr>
              <w:numPr>
                <w:ilvl w:val="0"/>
                <w:numId w:val="15"/>
              </w:numPr>
              <w:spacing w:after="240"/>
              <w:ind w:left="279" w:hanging="279"/>
              <w:jc w:val="both"/>
            </w:pPr>
            <w:r w:rsidRPr="000E4461">
              <w:t>In case of public procurement procedures with the lowest value below EU threshold, the new PPA determines a narrower scope of application of the so-called “low-value tenders”:</w:t>
            </w:r>
          </w:p>
          <w:p w14:paraId="0A64B780" w14:textId="74691EA6" w:rsidR="00973E63" w:rsidRPr="000E4461" w:rsidRDefault="008B4506" w:rsidP="00500037">
            <w:pPr>
              <w:pStyle w:val="Listaszerbekezds"/>
              <w:numPr>
                <w:ilvl w:val="0"/>
                <w:numId w:val="29"/>
              </w:numPr>
              <w:spacing w:after="120"/>
              <w:ind w:left="986" w:hanging="266"/>
              <w:contextualSpacing w:val="0"/>
              <w:jc w:val="both"/>
            </w:pPr>
            <w:r w:rsidRPr="000E4461">
              <w:t>In case of supply and services procurements the threshold above which tenders have to be published was 1</w:t>
            </w:r>
            <w:r w:rsidR="008E56B9" w:rsidRPr="000E4461">
              <w:t>8</w:t>
            </w:r>
            <w:r w:rsidRPr="000E4461">
              <w:t xml:space="preserve"> million HUF</w:t>
            </w:r>
            <w:r w:rsidR="008E56B9" w:rsidRPr="000E4461">
              <w:t xml:space="preserve"> before the amendment of 1th January 2017 of the PPA</w:t>
            </w:r>
            <w:r w:rsidRPr="000E4461">
              <w:t xml:space="preserve">. </w:t>
            </w:r>
            <w:r w:rsidR="008E56B9" w:rsidRPr="000E4461">
              <w:t xml:space="preserve">After the mentioned amendment this rule </w:t>
            </w:r>
            <w:r w:rsidRPr="000E4461">
              <w:t>cannot be used in case of supply and services procurements.</w:t>
            </w:r>
          </w:p>
          <w:p w14:paraId="17CE5089" w14:textId="2BC31927" w:rsidR="00973E63" w:rsidRPr="000E4461" w:rsidRDefault="008B4506" w:rsidP="00500037">
            <w:pPr>
              <w:pStyle w:val="Listaszerbekezds"/>
              <w:numPr>
                <w:ilvl w:val="0"/>
                <w:numId w:val="29"/>
              </w:numPr>
              <w:spacing w:after="120"/>
              <w:ind w:left="986" w:hanging="266"/>
              <w:contextualSpacing w:val="0"/>
              <w:jc w:val="both"/>
            </w:pPr>
            <w:r w:rsidRPr="000E4461">
              <w:t xml:space="preserve">In case of public works below the threshold of 300 million HUF (approx. 1 000 000 EUR) a so-called “low-value procedure” can be applied where only those economic operators may submit a </w:t>
            </w:r>
            <w:r w:rsidR="002976ED" w:rsidRPr="000E4461">
              <w:t>bid</w:t>
            </w:r>
            <w:r w:rsidRPr="000E4461">
              <w:t xml:space="preserve"> who were called to do so. In these procedures every procurement doc</w:t>
            </w:r>
            <w:r w:rsidR="007C3806" w:rsidRPr="000E4461">
              <w:t>ument must be published on the I</w:t>
            </w:r>
            <w:r w:rsidRPr="000E4461">
              <w:t xml:space="preserve">nternet, at least five economic operators shall be called for tender and </w:t>
            </w:r>
            <w:r w:rsidR="00494AD7" w:rsidRPr="000E4461">
              <w:t>if it is possible the con</w:t>
            </w:r>
            <w:r w:rsidR="00A00128" w:rsidRPr="000E4461">
              <w:t>tracting authority shall change</w:t>
            </w:r>
            <w:r w:rsidR="00494AD7" w:rsidRPr="000E4461">
              <w:t xml:space="preserve"> </w:t>
            </w:r>
            <w:r w:rsidRPr="000E4461">
              <w:t xml:space="preserve">the economic operators called for tender in </w:t>
            </w:r>
            <w:r w:rsidR="00A00128" w:rsidRPr="000E4461">
              <w:t xml:space="preserve">those </w:t>
            </w:r>
            <w:r w:rsidR="001235F0">
              <w:t xml:space="preserve">procedures </w:t>
            </w:r>
            <w:r w:rsidRPr="000E4461">
              <w:t>w</w:t>
            </w:r>
            <w:r w:rsidR="00E9415D" w:rsidRPr="000E4461">
              <w:t>h</w:t>
            </w:r>
            <w:r w:rsidRPr="000E4461">
              <w:t>i</w:t>
            </w:r>
            <w:r w:rsidR="00A00128" w:rsidRPr="000E4461">
              <w:t>c</w:t>
            </w:r>
            <w:r w:rsidRPr="000E4461">
              <w:t>h</w:t>
            </w:r>
            <w:r w:rsidR="00A00128" w:rsidRPr="000E4461">
              <w:t xml:space="preserve"> have</w:t>
            </w:r>
            <w:r w:rsidRPr="000E4461">
              <w:t xml:space="preserve"> the same or similar subject in order to enhance access of suppliers to public procurement procedures.</w:t>
            </w:r>
          </w:p>
          <w:p w14:paraId="14E6FCEF" w14:textId="71182E2C" w:rsidR="008B4506" w:rsidRPr="000E4461" w:rsidRDefault="008B4506" w:rsidP="00500037">
            <w:pPr>
              <w:pStyle w:val="Listaszerbekezds"/>
              <w:numPr>
                <w:ilvl w:val="0"/>
                <w:numId w:val="29"/>
              </w:numPr>
              <w:spacing w:after="240"/>
              <w:ind w:left="987" w:hanging="267"/>
              <w:jc w:val="both"/>
            </w:pPr>
            <w:r w:rsidRPr="000E4461">
              <w:t>In addition this type of procedure may not be applied if the public procurement is related to any cross-border project supported by any EU</w:t>
            </w:r>
            <w:r w:rsidR="001235F0">
              <w:t xml:space="preserve"> fund.</w:t>
            </w:r>
          </w:p>
          <w:p w14:paraId="7C821FF5" w14:textId="7B5EABE2" w:rsidR="008B4506" w:rsidRPr="000E4461" w:rsidRDefault="008B4506" w:rsidP="00500037">
            <w:pPr>
              <w:numPr>
                <w:ilvl w:val="0"/>
                <w:numId w:val="15"/>
              </w:numPr>
              <w:spacing w:after="240"/>
              <w:ind w:left="279" w:hanging="279"/>
              <w:jc w:val="both"/>
            </w:pPr>
            <w:r w:rsidRPr="000E4461">
              <w:t>Contracting authorities shall publish more information in the Public Procurement Database than under the previous PPA</w:t>
            </w:r>
            <w:r w:rsidR="006E74A5" w:rsidRPr="000E4461">
              <w:t>,</w:t>
            </w:r>
            <w:r w:rsidRPr="000E4461">
              <w:t xml:space="preserve"> </w:t>
            </w:r>
            <w:r w:rsidR="006E74A5" w:rsidRPr="000E4461">
              <w:t>f</w:t>
            </w:r>
            <w:r w:rsidRPr="000E4461">
              <w:t xml:space="preserve">or instance, the </w:t>
            </w:r>
            <w:r w:rsidR="008A49D4" w:rsidRPr="000E4461">
              <w:t xml:space="preserve">individual report </w:t>
            </w:r>
            <w:r w:rsidR="006E74A5" w:rsidRPr="000E4461">
              <w:t>about the criteria, process and result of the evaluation.</w:t>
            </w:r>
            <w:r w:rsidR="00F40285" w:rsidRPr="000E4461">
              <w:t xml:space="preserve"> </w:t>
            </w:r>
            <w:r w:rsidRPr="000E4461">
              <w:t xml:space="preserve">According to the PPA, in the case of </w:t>
            </w:r>
            <w:r w:rsidR="00F40285" w:rsidRPr="000E4461">
              <w:t xml:space="preserve">the </w:t>
            </w:r>
            <w:r w:rsidRPr="000E4461">
              <w:t xml:space="preserve">failure </w:t>
            </w:r>
            <w:r w:rsidR="00F40285" w:rsidRPr="000E4461">
              <w:t>of</w:t>
            </w:r>
            <w:r w:rsidRPr="000E4461">
              <w:t xml:space="preserve"> publish</w:t>
            </w:r>
            <w:r w:rsidR="00F40285" w:rsidRPr="000E4461">
              <w:t>ing</w:t>
            </w:r>
            <w:r w:rsidRPr="000E4461">
              <w:t xml:space="preserve"> data required by the PPA, the remedy procedure of the Public Procurement Arbitration Board can be initiated against </w:t>
            </w:r>
            <w:r w:rsidRPr="000E4461">
              <w:lastRenderedPageBreak/>
              <w:t>the contracting authority.</w:t>
            </w:r>
          </w:p>
          <w:p w14:paraId="2710F09E" w14:textId="386571F4" w:rsidR="008B4506" w:rsidRPr="000E4461" w:rsidRDefault="008B4506" w:rsidP="00500037">
            <w:pPr>
              <w:numPr>
                <w:ilvl w:val="0"/>
                <w:numId w:val="15"/>
              </w:numPr>
              <w:spacing w:after="240"/>
              <w:ind w:left="279" w:hanging="279"/>
              <w:jc w:val="both"/>
            </w:pPr>
            <w:r w:rsidRPr="000E4461">
              <w:t>The list of exclusion grounds was extended by the new PPA, to ensure fair competition and to make public procurement more efficient; for instance</w:t>
            </w:r>
            <w:r w:rsidR="00363D71" w:rsidRPr="000E4461">
              <w:t xml:space="preserve"> with the case</w:t>
            </w:r>
            <w:r w:rsidRPr="000E4461">
              <w:t xml:space="preserve"> if the </w:t>
            </w:r>
            <w:r w:rsidR="007A1710" w:rsidRPr="000E4461">
              <w:t>economic operator has entered into agreements with other economic operators aimed at distorting competition</w:t>
            </w:r>
            <w:r w:rsidRPr="000E4461">
              <w:t xml:space="preserve"> (took part in a cartel). Furthermore, a new exclusion ground was </w:t>
            </w:r>
            <w:proofErr w:type="gramStart"/>
            <w:r w:rsidRPr="000E4461">
              <w:t>introduced</w:t>
            </w:r>
            <w:r w:rsidR="007A1710" w:rsidRPr="000E4461">
              <w:t>,</w:t>
            </w:r>
            <w:proofErr w:type="gramEnd"/>
            <w:r w:rsidR="007A1710" w:rsidRPr="000E4461">
              <w:t xml:space="preserve"> it is </w:t>
            </w:r>
            <w:r w:rsidRPr="000E4461">
              <w:t xml:space="preserve">applicable as of 1 January 2017: if an infringement of the public procurement rules on the performance of the contract is </w:t>
            </w:r>
            <w:r w:rsidR="00E9415D" w:rsidRPr="000E4461">
              <w:t xml:space="preserve">determined </w:t>
            </w:r>
            <w:r w:rsidRPr="000E4461">
              <w:t>by the Public Procurement Authority, the economic operator concerned shall be excluded from public procurements for 90 days.</w:t>
            </w:r>
          </w:p>
          <w:p w14:paraId="4FEBA58E" w14:textId="6638DE30" w:rsidR="008B4506" w:rsidRPr="000E4461" w:rsidRDefault="008B4506" w:rsidP="00500037">
            <w:pPr>
              <w:numPr>
                <w:ilvl w:val="0"/>
                <w:numId w:val="15"/>
              </w:numPr>
              <w:spacing w:after="240" w:line="276" w:lineRule="auto"/>
              <w:ind w:left="279" w:hanging="279"/>
              <w:jc w:val="both"/>
            </w:pPr>
            <w:r w:rsidRPr="000E4461">
              <w:t xml:space="preserve">Transparency and compliance with the principles of the PPA in the stage of contract performance is supported by the measure that the Public Procurement Authority controls the performance and amendment of contracts and in case of any violation of law the Authority initiates the proceedings of the Public Procurement Arbitration Board. Information on the practice and results of this control may be found on the website of the Authority: </w:t>
            </w:r>
            <w:hyperlink r:id="rId24" w:history="1">
              <w:r w:rsidRPr="000E4461">
                <w:rPr>
                  <w:rStyle w:val="Hiperhivatkozs"/>
                </w:rPr>
                <w:t>http://www.kozbeszerzes.hu/cikkek/szerzodes-ellenorzes</w:t>
              </w:r>
            </w:hyperlink>
            <w:r w:rsidRPr="000E4461">
              <w:t>. In the case of non-public procurement infringements, the Public Procurement Authority may also apply to court.</w:t>
            </w:r>
          </w:p>
          <w:p w14:paraId="1E3B0F5B" w14:textId="4BE102BB" w:rsidR="008B4506" w:rsidRPr="000E4461" w:rsidRDefault="008B4506" w:rsidP="00500037">
            <w:pPr>
              <w:numPr>
                <w:ilvl w:val="0"/>
                <w:numId w:val="15"/>
              </w:numPr>
              <w:spacing w:after="240" w:line="276" w:lineRule="auto"/>
              <w:ind w:left="279" w:hanging="279"/>
              <w:jc w:val="both"/>
            </w:pPr>
            <w:r w:rsidRPr="000E4461">
              <w:t>Strict rules were introduced on negotiated procedures without prior publication</w:t>
            </w:r>
            <w:r w:rsidR="00D66EBB" w:rsidRPr="000E4461">
              <w:t xml:space="preserve"> of a contract notice</w:t>
            </w:r>
            <w:r w:rsidRPr="000E4461">
              <w:t>, applicable as of 1 January 2017:</w:t>
            </w:r>
          </w:p>
          <w:p w14:paraId="5AC8D692" w14:textId="77777777" w:rsidR="008B4506" w:rsidRPr="000E4461" w:rsidRDefault="008B4506" w:rsidP="00500037">
            <w:pPr>
              <w:numPr>
                <w:ilvl w:val="0"/>
                <w:numId w:val="16"/>
              </w:numPr>
              <w:spacing w:after="120" w:line="276" w:lineRule="auto"/>
              <w:ind w:left="987" w:hanging="284"/>
              <w:jc w:val="both"/>
            </w:pPr>
            <w:r w:rsidRPr="000E4461">
              <w:t xml:space="preserve">In each procedure, the Public Procurement Authority passes a reasoned decision concerning the legal grounds, which shall be published on the Authority’s website: </w:t>
            </w:r>
            <w:hyperlink r:id="rId25" w:history="1">
              <w:r w:rsidRPr="000E4461">
                <w:rPr>
                  <w:rStyle w:val="Hiperhivatkozs"/>
                </w:rPr>
                <w:t>http://www.kozbeszerzes.hu/adatbazisok/tajekoztatok-hnt-dontesekrol</w:t>
              </w:r>
            </w:hyperlink>
            <w:r w:rsidRPr="000E4461">
              <w:t>.</w:t>
            </w:r>
          </w:p>
          <w:p w14:paraId="65DC87F0" w14:textId="26D15F80" w:rsidR="008B4506" w:rsidRPr="000E4461" w:rsidRDefault="008B4506" w:rsidP="00500037">
            <w:pPr>
              <w:numPr>
                <w:ilvl w:val="0"/>
                <w:numId w:val="16"/>
              </w:numPr>
              <w:spacing w:after="120" w:line="276" w:lineRule="auto"/>
              <w:ind w:left="987" w:hanging="284"/>
              <w:jc w:val="both"/>
            </w:pPr>
            <w:r w:rsidRPr="000E4461">
              <w:t xml:space="preserve">If the Authority is unable to </w:t>
            </w:r>
            <w:r w:rsidR="00E35BE2" w:rsidRPr="000E4461">
              <w:t xml:space="preserve">determine </w:t>
            </w:r>
            <w:r w:rsidRPr="000E4461">
              <w:t>that the legal ground exists beyond doubt, it shall initiate a remedy procedure before the Public Procurement Arbitration Board, proposing a fine.</w:t>
            </w:r>
          </w:p>
          <w:p w14:paraId="5857E76A" w14:textId="4E11A57F" w:rsidR="008B4506" w:rsidRPr="000E4461" w:rsidRDefault="008B4506" w:rsidP="00500037">
            <w:pPr>
              <w:numPr>
                <w:ilvl w:val="0"/>
                <w:numId w:val="16"/>
              </w:numPr>
              <w:spacing w:after="120" w:line="276" w:lineRule="auto"/>
              <w:ind w:left="987" w:hanging="284"/>
              <w:jc w:val="both"/>
            </w:pPr>
            <w:r w:rsidRPr="000E4461">
              <w:t xml:space="preserve">All documents of the procedures – including the data of the economic operators </w:t>
            </w:r>
            <w:r w:rsidR="00500175" w:rsidRPr="000E4461">
              <w:t>called for tender</w:t>
            </w:r>
            <w:r w:rsidRPr="000E4461">
              <w:t xml:space="preserve"> – shall be published on the internet, which makes procedures more transparent (information on what legal basis and in which subject the procedure was launched, and to which economic operator was the contract awarded).</w:t>
            </w:r>
          </w:p>
          <w:p w14:paraId="3F55B68F" w14:textId="77777777" w:rsidR="008B4506" w:rsidRPr="000E4461" w:rsidRDefault="008B4506" w:rsidP="00500037">
            <w:pPr>
              <w:numPr>
                <w:ilvl w:val="0"/>
                <w:numId w:val="16"/>
              </w:numPr>
              <w:spacing w:after="240" w:line="276" w:lineRule="auto"/>
              <w:ind w:left="987" w:hanging="283"/>
              <w:jc w:val="both"/>
            </w:pPr>
            <w:r w:rsidRPr="000E4461">
              <w:t>If the contracting authority fails to perform its publication duties it is instructed to provide the missing details. If the contracting authority still fails to publish the required documents, the President of the Public Procurement Authority initiates a remedy procedure before the Public Procurement Arbitration Board.</w:t>
            </w:r>
          </w:p>
          <w:p w14:paraId="2F37B8DE" w14:textId="1F946A3C" w:rsidR="00733150" w:rsidRPr="000E4461" w:rsidRDefault="008B4506" w:rsidP="00500037">
            <w:pPr>
              <w:numPr>
                <w:ilvl w:val="0"/>
                <w:numId w:val="15"/>
              </w:numPr>
              <w:spacing w:after="240" w:line="276" w:lineRule="auto"/>
              <w:ind w:left="279" w:hanging="279"/>
              <w:jc w:val="both"/>
            </w:pPr>
            <w:r w:rsidRPr="000E4461">
              <w:t xml:space="preserve">Introduction of electronic communication in public procurement is considered to be an effective tool to increase transparency and reduce the risk of fraud and irregularities. Hungary fulfilled its obligation to introduce e-procurement by developing and launching a </w:t>
            </w:r>
            <w:r w:rsidRPr="000E4461">
              <w:lastRenderedPageBreak/>
              <w:t xml:space="preserve">central electronic public procurement system. The system can be used on a voluntary basis from 1 January 2018 and its use will be compulsory from 15 April 2018. In case of central purchasing bodies, electronic public procurement </w:t>
            </w:r>
            <w:r w:rsidR="008D67B7" w:rsidRPr="000E4461">
              <w:t>has been</w:t>
            </w:r>
            <w:r w:rsidRPr="000E4461">
              <w:t xml:space="preserve"> compulsory since 1 February 2017.</w:t>
            </w:r>
          </w:p>
          <w:p w14:paraId="6FEFAE17" w14:textId="77777777" w:rsidR="00733150" w:rsidRPr="000E4461" w:rsidRDefault="00733150" w:rsidP="00500037">
            <w:pPr>
              <w:pStyle w:val="Listaszerbekezds"/>
              <w:numPr>
                <w:ilvl w:val="0"/>
                <w:numId w:val="25"/>
              </w:numPr>
              <w:ind w:left="319" w:hanging="319"/>
              <w:jc w:val="both"/>
              <w:rPr>
                <w:b/>
              </w:rPr>
            </w:pPr>
            <w:r w:rsidRPr="000E4461">
              <w:rPr>
                <w:b/>
              </w:rPr>
              <w:t>Public Procurement Control Mechanisms</w:t>
            </w:r>
          </w:p>
          <w:p w14:paraId="58F693F4" w14:textId="77777777" w:rsidR="00733150" w:rsidRPr="000E4461" w:rsidRDefault="00733150" w:rsidP="00733150">
            <w:pPr>
              <w:jc w:val="both"/>
            </w:pPr>
          </w:p>
          <w:p w14:paraId="0696CB31" w14:textId="5CC28063" w:rsidR="00733150" w:rsidRPr="000E4461" w:rsidRDefault="00733150" w:rsidP="00733150">
            <w:pPr>
              <w:jc w:val="both"/>
              <w:rPr>
                <w:b/>
                <w:bCs/>
                <w:i/>
                <w:u w:val="single"/>
              </w:rPr>
            </w:pPr>
            <w:r w:rsidRPr="000E4461">
              <w:rPr>
                <w:bCs/>
              </w:rPr>
              <w:t>As regards the public procurement control mechanisms, two distinct regimes exist</w:t>
            </w:r>
            <w:r w:rsidR="0028155E" w:rsidRPr="000E4461">
              <w:rPr>
                <w:bCs/>
              </w:rPr>
              <w:t xml:space="preserve"> in Hungary</w:t>
            </w:r>
            <w:r w:rsidRPr="000E4461">
              <w:rPr>
                <w:bCs/>
              </w:rPr>
              <w:t>. The first regime applies to all public procurement procedures which are financed from European Union funds.</w:t>
            </w:r>
            <w:r w:rsidRPr="000E4461">
              <w:rPr>
                <w:bCs/>
                <w:vertAlign w:val="superscript"/>
              </w:rPr>
              <w:footnoteReference w:id="3"/>
            </w:r>
            <w:r w:rsidRPr="000E4461">
              <w:rPr>
                <w:bCs/>
              </w:rPr>
              <w:t xml:space="preserve"> The second regime is applicable to other procurements – mainly those of the central budgetary bodies – where no </w:t>
            </w:r>
            <w:r w:rsidR="0028155E" w:rsidRPr="000E4461">
              <w:rPr>
                <w:bCs/>
              </w:rPr>
              <w:t>EU</w:t>
            </w:r>
            <w:r w:rsidRPr="000E4461">
              <w:rPr>
                <w:bCs/>
              </w:rPr>
              <w:t xml:space="preserve"> funding is involved.</w:t>
            </w:r>
            <w:r w:rsidRPr="000E4461">
              <w:rPr>
                <w:bCs/>
                <w:vertAlign w:val="superscript"/>
              </w:rPr>
              <w:footnoteReference w:id="4"/>
            </w:r>
            <w:r w:rsidRPr="000E4461">
              <w:rPr>
                <w:bCs/>
              </w:rPr>
              <w:t xml:space="preserve"> </w:t>
            </w:r>
          </w:p>
          <w:p w14:paraId="61FDB838" w14:textId="77777777" w:rsidR="00733150" w:rsidRPr="000E4461" w:rsidRDefault="00733150" w:rsidP="00733150">
            <w:pPr>
              <w:jc w:val="both"/>
              <w:rPr>
                <w:b/>
                <w:bCs/>
                <w:i/>
                <w:u w:val="single"/>
              </w:rPr>
            </w:pPr>
          </w:p>
          <w:p w14:paraId="5D9116A2" w14:textId="6AF15260" w:rsidR="00733150" w:rsidRPr="000E4461" w:rsidRDefault="00733150" w:rsidP="00733150">
            <w:pPr>
              <w:jc w:val="both"/>
              <w:rPr>
                <w:i/>
                <w:u w:val="single"/>
              </w:rPr>
            </w:pPr>
            <w:r w:rsidRPr="000E4461">
              <w:rPr>
                <w:b/>
                <w:bCs/>
                <w:i/>
                <w:u w:val="single"/>
              </w:rPr>
              <w:t xml:space="preserve">A. Control of public procurements to be realised using </w:t>
            </w:r>
            <w:r w:rsidR="0028155E" w:rsidRPr="000E4461">
              <w:rPr>
                <w:b/>
                <w:bCs/>
                <w:i/>
                <w:u w:val="single"/>
              </w:rPr>
              <w:t>EU</w:t>
            </w:r>
            <w:r w:rsidRPr="000E4461">
              <w:rPr>
                <w:b/>
                <w:bCs/>
                <w:i/>
                <w:u w:val="single"/>
              </w:rPr>
              <w:t xml:space="preserve"> funds</w:t>
            </w:r>
          </w:p>
          <w:p w14:paraId="221E19F9" w14:textId="77777777" w:rsidR="00733150" w:rsidRPr="000E4461" w:rsidRDefault="00733150" w:rsidP="00733150">
            <w:pPr>
              <w:jc w:val="both"/>
              <w:rPr>
                <w:b/>
                <w:bCs/>
              </w:rPr>
            </w:pPr>
          </w:p>
          <w:p w14:paraId="77D7261E" w14:textId="2CC44C34" w:rsidR="00733150" w:rsidRPr="000E4461" w:rsidRDefault="00733150" w:rsidP="00733150">
            <w:pPr>
              <w:jc w:val="both"/>
            </w:pPr>
            <w:r w:rsidRPr="000E4461">
              <w:rPr>
                <w:b/>
                <w:bCs/>
              </w:rPr>
              <w:t xml:space="preserve">Government Decree No. 272/2014 on the procedure for using certain </w:t>
            </w:r>
            <w:r w:rsidR="00C64A42" w:rsidRPr="000E4461">
              <w:rPr>
                <w:b/>
                <w:bCs/>
              </w:rPr>
              <w:t>EU</w:t>
            </w:r>
            <w:r w:rsidRPr="000E4461">
              <w:rPr>
                <w:b/>
                <w:bCs/>
              </w:rPr>
              <w:t xml:space="preserve"> funds in the programming period 2014-2020 (</w:t>
            </w:r>
            <w:r w:rsidR="00C341C2" w:rsidRPr="000E4461">
              <w:rPr>
                <w:b/>
                <w:bCs/>
              </w:rPr>
              <w:t>Decree</w:t>
            </w:r>
            <w:r w:rsidRPr="000E4461">
              <w:rPr>
                <w:b/>
                <w:bCs/>
              </w:rPr>
              <w:t xml:space="preserve"> I)</w:t>
            </w:r>
          </w:p>
          <w:p w14:paraId="13DE43BD" w14:textId="77777777" w:rsidR="00733150" w:rsidRPr="000E4461" w:rsidRDefault="00733150" w:rsidP="00733150">
            <w:pPr>
              <w:jc w:val="both"/>
            </w:pPr>
          </w:p>
          <w:p w14:paraId="50D9606F" w14:textId="1E92A182" w:rsidR="00733150" w:rsidRPr="000E4461" w:rsidRDefault="00733150" w:rsidP="00733150">
            <w:pPr>
              <w:jc w:val="both"/>
              <w:rPr>
                <w:bCs/>
              </w:rPr>
            </w:pPr>
            <w:r w:rsidRPr="000E4461">
              <w:t xml:space="preserve">When </w:t>
            </w:r>
            <w:r w:rsidR="0028155E" w:rsidRPr="000E4461">
              <w:t>EU</w:t>
            </w:r>
            <w:r w:rsidRPr="000E4461">
              <w:t xml:space="preserve"> funds are used for a project for which a public procurement procedure is conducted, a compulsory control mechanism automatically becomes applicable. Control is carried out mandatorily for the procurement of any type of contracting authority (central government, local government, utilities, </w:t>
            </w:r>
            <w:proofErr w:type="gramStart"/>
            <w:r w:rsidRPr="000E4461">
              <w:t>economic</w:t>
            </w:r>
            <w:proofErr w:type="gramEnd"/>
            <w:r w:rsidRPr="000E4461">
              <w:t xml:space="preserve"> operators receiving subsidies). According to </w:t>
            </w:r>
            <w:r w:rsidR="00C341C2" w:rsidRPr="000E4461">
              <w:t>Decree</w:t>
            </w:r>
            <w:r w:rsidRPr="000E4461">
              <w:t xml:space="preserve"> I t</w:t>
            </w:r>
            <w:r w:rsidRPr="000E4461">
              <w:rPr>
                <w:bCs/>
              </w:rPr>
              <w:t>he Beneficiary is responsible for conducting the public procurement procedure and also for the appropriate documenting.</w:t>
            </w:r>
          </w:p>
          <w:p w14:paraId="3E5553B2" w14:textId="77777777" w:rsidR="00733150" w:rsidRDefault="00733150" w:rsidP="00733150">
            <w:pPr>
              <w:jc w:val="both"/>
            </w:pPr>
            <w:r w:rsidRPr="000E4461">
              <w:t xml:space="preserve">The </w:t>
            </w:r>
            <w:r w:rsidRPr="000E4461">
              <w:rPr>
                <w:b/>
              </w:rPr>
              <w:t xml:space="preserve">type of control is divided into two categories </w:t>
            </w:r>
            <w:r w:rsidRPr="000E4461">
              <w:t>(either in case of public contracts and the modification of the contracts), depending on the estimated value of the procurement in question.</w:t>
            </w:r>
          </w:p>
          <w:p w14:paraId="064178AC" w14:textId="77777777" w:rsidR="005C68E6" w:rsidRPr="000E4461" w:rsidRDefault="005C68E6" w:rsidP="00733150">
            <w:pPr>
              <w:jc w:val="both"/>
            </w:pPr>
          </w:p>
          <w:p w14:paraId="6A78B78B" w14:textId="77777777" w:rsidR="00733150" w:rsidRPr="000E4461" w:rsidRDefault="00733150" w:rsidP="00500037">
            <w:pPr>
              <w:numPr>
                <w:ilvl w:val="0"/>
                <w:numId w:val="17"/>
              </w:numPr>
              <w:jc w:val="both"/>
            </w:pPr>
            <w:r w:rsidRPr="000E4461">
              <w:rPr>
                <w:b/>
                <w:bCs/>
              </w:rPr>
              <w:t>Follow-up review or subsequent inspection (ex post control) for:</w:t>
            </w:r>
          </w:p>
          <w:p w14:paraId="34262E35" w14:textId="543520BF" w:rsidR="00733150" w:rsidRPr="000E4461" w:rsidRDefault="00733150" w:rsidP="00500037">
            <w:pPr>
              <w:numPr>
                <w:ilvl w:val="0"/>
                <w:numId w:val="18"/>
              </w:numPr>
              <w:jc w:val="both"/>
            </w:pPr>
            <w:r w:rsidRPr="000E4461">
              <w:t>supply contracts, service contracts and service concessions below the EU thresholds,</w:t>
            </w:r>
          </w:p>
          <w:p w14:paraId="37C77182" w14:textId="5713BC02" w:rsidR="00733150" w:rsidRPr="000E4461" w:rsidRDefault="00733150" w:rsidP="00500037">
            <w:pPr>
              <w:numPr>
                <w:ilvl w:val="0"/>
                <w:numId w:val="18"/>
              </w:numPr>
              <w:jc w:val="both"/>
            </w:pPr>
            <w:proofErr w:type="gramStart"/>
            <w:r w:rsidRPr="000E4461">
              <w:t>works</w:t>
            </w:r>
            <w:proofErr w:type="gramEnd"/>
            <w:r w:rsidRPr="000E4461">
              <w:t xml:space="preserve"> contracts and works concessions below HUF 300 million.</w:t>
            </w:r>
          </w:p>
          <w:p w14:paraId="795A624A" w14:textId="77777777" w:rsidR="00733150" w:rsidRPr="000E4461" w:rsidRDefault="00733150" w:rsidP="00500037">
            <w:pPr>
              <w:numPr>
                <w:ilvl w:val="0"/>
                <w:numId w:val="17"/>
              </w:numPr>
              <w:jc w:val="both"/>
            </w:pPr>
            <w:r w:rsidRPr="000E4461">
              <w:rPr>
                <w:b/>
                <w:bCs/>
              </w:rPr>
              <w:t>Monitoring integrated in a process (</w:t>
            </w:r>
            <w:proofErr w:type="spellStart"/>
            <w:r w:rsidRPr="000E4461">
              <w:rPr>
                <w:b/>
                <w:bCs/>
              </w:rPr>
              <w:t>ex ante</w:t>
            </w:r>
            <w:proofErr w:type="spellEnd"/>
            <w:r w:rsidRPr="000E4461">
              <w:rPr>
                <w:b/>
                <w:bCs/>
              </w:rPr>
              <w:t xml:space="preserve"> control) for:</w:t>
            </w:r>
          </w:p>
          <w:p w14:paraId="1B799776" w14:textId="0F2979E0" w:rsidR="00733150" w:rsidRPr="000E4461" w:rsidRDefault="00733150" w:rsidP="00500037">
            <w:pPr>
              <w:numPr>
                <w:ilvl w:val="0"/>
                <w:numId w:val="19"/>
              </w:numPr>
              <w:jc w:val="both"/>
            </w:pPr>
            <w:r w:rsidRPr="000E4461">
              <w:t>supply contracts, service contracts and service concessions reaching or exceeding the EU thresholds,</w:t>
            </w:r>
          </w:p>
          <w:p w14:paraId="22B456F8" w14:textId="280FD9D0" w:rsidR="00733150" w:rsidRPr="000E4461" w:rsidRDefault="00733150" w:rsidP="00500037">
            <w:pPr>
              <w:numPr>
                <w:ilvl w:val="0"/>
                <w:numId w:val="19"/>
              </w:numPr>
              <w:jc w:val="both"/>
            </w:pPr>
            <w:proofErr w:type="gramStart"/>
            <w:r w:rsidRPr="000E4461">
              <w:t>works</w:t>
            </w:r>
            <w:proofErr w:type="gramEnd"/>
            <w:r w:rsidRPr="000E4461">
              <w:t xml:space="preserve"> contracts and works concessions reaching or exceeding HUF 300 million.</w:t>
            </w:r>
          </w:p>
          <w:p w14:paraId="7B793E68" w14:textId="77777777" w:rsidR="00733150" w:rsidRDefault="00733150" w:rsidP="00733150">
            <w:pPr>
              <w:jc w:val="both"/>
            </w:pPr>
          </w:p>
          <w:p w14:paraId="18BF157C" w14:textId="77777777" w:rsidR="005C68E6" w:rsidRPr="000E4461" w:rsidRDefault="005C68E6" w:rsidP="00733150">
            <w:pPr>
              <w:jc w:val="both"/>
            </w:pPr>
          </w:p>
          <w:p w14:paraId="755C2592" w14:textId="77777777" w:rsidR="00733150" w:rsidRDefault="00733150" w:rsidP="00733150">
            <w:pPr>
              <w:jc w:val="both"/>
              <w:rPr>
                <w:b/>
              </w:rPr>
            </w:pPr>
            <w:r w:rsidRPr="000E4461">
              <w:rPr>
                <w:b/>
              </w:rPr>
              <w:lastRenderedPageBreak/>
              <w:t>The above mentioned control mechanisms fall under the responsibility of the following institutions:</w:t>
            </w:r>
          </w:p>
          <w:p w14:paraId="75A7F5F5" w14:textId="77777777" w:rsidR="005C68E6" w:rsidRPr="000E4461" w:rsidRDefault="005C68E6" w:rsidP="00733150">
            <w:pPr>
              <w:jc w:val="both"/>
              <w:rPr>
                <w:b/>
              </w:rPr>
            </w:pPr>
          </w:p>
          <w:p w14:paraId="6B1A53BD" w14:textId="77777777" w:rsidR="00733150" w:rsidRPr="000E4461" w:rsidRDefault="00733150" w:rsidP="00500037">
            <w:pPr>
              <w:numPr>
                <w:ilvl w:val="0"/>
                <w:numId w:val="20"/>
              </w:numPr>
              <w:jc w:val="both"/>
              <w:rPr>
                <w:u w:val="single"/>
              </w:rPr>
            </w:pPr>
            <w:r w:rsidRPr="000E4461">
              <w:rPr>
                <w:u w:val="single"/>
              </w:rPr>
              <w:t xml:space="preserve"> </w:t>
            </w:r>
            <w:r w:rsidRPr="000E4461">
              <w:rPr>
                <w:bCs/>
                <w:u w:val="single"/>
              </w:rPr>
              <w:t xml:space="preserve">the competent department of Managing Authorities </w:t>
            </w:r>
          </w:p>
          <w:p w14:paraId="7E79768B" w14:textId="0323DAB5" w:rsidR="000773FB" w:rsidRPr="000E4461" w:rsidRDefault="00733150" w:rsidP="00500037">
            <w:pPr>
              <w:pStyle w:val="Listaszerbekezds"/>
              <w:numPr>
                <w:ilvl w:val="0"/>
                <w:numId w:val="49"/>
              </w:numPr>
              <w:ind w:left="1838" w:hanging="284"/>
              <w:jc w:val="both"/>
            </w:pPr>
            <w:r w:rsidRPr="000E4461">
              <w:t>control of eligibility, accountability and technical aspects, public procurement law aspects (for ex post only)</w:t>
            </w:r>
          </w:p>
          <w:p w14:paraId="5F4AD4B3" w14:textId="77777777" w:rsidR="00733150" w:rsidRPr="000E4461" w:rsidRDefault="00733150" w:rsidP="00500037">
            <w:pPr>
              <w:numPr>
                <w:ilvl w:val="0"/>
                <w:numId w:val="20"/>
              </w:numPr>
              <w:jc w:val="both"/>
              <w:rPr>
                <w:u w:val="single"/>
              </w:rPr>
            </w:pPr>
            <w:r w:rsidRPr="000E4461">
              <w:rPr>
                <w:u w:val="single"/>
              </w:rPr>
              <w:t>the Department of Public Procurement Control (DPPC) of the Prime Minister’s Office</w:t>
            </w:r>
          </w:p>
          <w:p w14:paraId="54CED2A8" w14:textId="77777777" w:rsidR="00733150" w:rsidRPr="000E4461" w:rsidRDefault="00733150" w:rsidP="00500037">
            <w:pPr>
              <w:numPr>
                <w:ilvl w:val="0"/>
                <w:numId w:val="21"/>
              </w:numPr>
              <w:ind w:left="1838" w:hanging="284"/>
              <w:jc w:val="both"/>
            </w:pPr>
            <w:r w:rsidRPr="000E4461">
              <w:t>control of public procurement law aspects</w:t>
            </w:r>
          </w:p>
          <w:p w14:paraId="1D746BFF" w14:textId="77777777" w:rsidR="00733150" w:rsidRPr="000E4461" w:rsidRDefault="00733150" w:rsidP="00733150">
            <w:pPr>
              <w:jc w:val="both"/>
              <w:rPr>
                <w:b/>
                <w:bCs/>
                <w:i/>
                <w:u w:val="single"/>
              </w:rPr>
            </w:pPr>
          </w:p>
          <w:p w14:paraId="165FDDDF" w14:textId="77777777" w:rsidR="00733150" w:rsidRPr="000E4461" w:rsidRDefault="00733150" w:rsidP="00733150">
            <w:pPr>
              <w:jc w:val="both"/>
              <w:rPr>
                <w:b/>
                <w:bCs/>
                <w:i/>
                <w:u w:val="single"/>
              </w:rPr>
            </w:pPr>
            <w:r w:rsidRPr="000E4461">
              <w:rPr>
                <w:b/>
                <w:bCs/>
                <w:i/>
                <w:u w:val="single"/>
              </w:rPr>
              <w:t xml:space="preserve">B. Control of ‘other’ public procurements </w:t>
            </w:r>
          </w:p>
          <w:p w14:paraId="76CF6B61" w14:textId="77777777" w:rsidR="00733150" w:rsidRPr="000E4461" w:rsidRDefault="00733150" w:rsidP="00733150">
            <w:pPr>
              <w:jc w:val="both"/>
              <w:rPr>
                <w:b/>
                <w:bCs/>
              </w:rPr>
            </w:pPr>
          </w:p>
          <w:p w14:paraId="0E57715C" w14:textId="6357B026" w:rsidR="00733150" w:rsidRPr="000E4461" w:rsidRDefault="00733150" w:rsidP="00733150">
            <w:pPr>
              <w:jc w:val="both"/>
              <w:rPr>
                <w:b/>
              </w:rPr>
            </w:pPr>
            <w:r w:rsidRPr="000E4461">
              <w:rPr>
                <w:b/>
                <w:bCs/>
              </w:rPr>
              <w:t xml:space="preserve">In accordance with </w:t>
            </w:r>
            <w:r w:rsidRPr="000E4461">
              <w:rPr>
                <w:b/>
              </w:rPr>
              <w:t>Government Decree No. 320/2015 on the Central Control and Approval of Public Procurements (“</w:t>
            </w:r>
            <w:r w:rsidR="00C341C2" w:rsidRPr="000E4461">
              <w:rPr>
                <w:b/>
              </w:rPr>
              <w:t xml:space="preserve">Decree </w:t>
            </w:r>
            <w:r w:rsidRPr="000E4461">
              <w:rPr>
                <w:b/>
              </w:rPr>
              <w:t>II”)</w:t>
            </w:r>
          </w:p>
          <w:p w14:paraId="4BA4997B" w14:textId="77777777" w:rsidR="00733150" w:rsidRPr="000E4461" w:rsidRDefault="00733150" w:rsidP="00733150">
            <w:pPr>
              <w:jc w:val="both"/>
              <w:rPr>
                <w:u w:val="single"/>
              </w:rPr>
            </w:pPr>
          </w:p>
          <w:p w14:paraId="04A0F355" w14:textId="12FFB24B" w:rsidR="00733150" w:rsidRPr="000E4461" w:rsidRDefault="00733150" w:rsidP="00733150">
            <w:pPr>
              <w:jc w:val="both"/>
            </w:pPr>
            <w:r w:rsidRPr="000E4461">
              <w:t xml:space="preserve">As mentioned above, </w:t>
            </w:r>
            <w:r w:rsidR="00C341C2" w:rsidRPr="000E4461">
              <w:t>Decree</w:t>
            </w:r>
            <w:r w:rsidRPr="000E4461">
              <w:t xml:space="preserve"> II is applicable for public procurement procedures where no EU funds are used. </w:t>
            </w:r>
            <w:r w:rsidR="004A00A9" w:rsidRPr="000E4461">
              <w:t>I</w:t>
            </w:r>
            <w:r w:rsidRPr="000E4461">
              <w:t xml:space="preserve">t is important to clarify both the personal and the material scope of </w:t>
            </w:r>
            <w:r w:rsidR="00C341C2" w:rsidRPr="000E4461">
              <w:t>Decree</w:t>
            </w:r>
            <w:r w:rsidR="005D7DFF" w:rsidRPr="000E4461">
              <w:t xml:space="preserve"> II</w:t>
            </w:r>
            <w:r w:rsidRPr="000E4461">
              <w:t xml:space="preserve"> to see when these control mechanisms are applicable.</w:t>
            </w:r>
          </w:p>
          <w:p w14:paraId="2DA3A9B8" w14:textId="77777777" w:rsidR="00733150" w:rsidRPr="000E4461" w:rsidRDefault="00733150" w:rsidP="00733150">
            <w:pPr>
              <w:jc w:val="both"/>
              <w:rPr>
                <w:u w:val="single"/>
              </w:rPr>
            </w:pPr>
          </w:p>
          <w:p w14:paraId="7AB2C744" w14:textId="77777777" w:rsidR="00733150" w:rsidRPr="000E4461" w:rsidRDefault="00733150" w:rsidP="00733150">
            <w:pPr>
              <w:jc w:val="both"/>
              <w:rPr>
                <w:u w:val="single"/>
              </w:rPr>
            </w:pPr>
            <w:r w:rsidRPr="000E4461">
              <w:rPr>
                <w:u w:val="single"/>
              </w:rPr>
              <w:t>Personal scope</w:t>
            </w:r>
            <w:r w:rsidRPr="000E4461">
              <w:t>:</w:t>
            </w:r>
          </w:p>
          <w:p w14:paraId="37936A39" w14:textId="77777777" w:rsidR="00733150" w:rsidRPr="000E4461" w:rsidRDefault="00733150" w:rsidP="00733150">
            <w:pPr>
              <w:jc w:val="both"/>
              <w:rPr>
                <w:bCs/>
              </w:rPr>
            </w:pPr>
          </w:p>
          <w:p w14:paraId="2D5EE38D" w14:textId="3D9B99DD" w:rsidR="00733150" w:rsidRPr="000E4461" w:rsidRDefault="00733150" w:rsidP="00500037">
            <w:pPr>
              <w:pStyle w:val="Listaszerbekezds"/>
              <w:numPr>
                <w:ilvl w:val="0"/>
                <w:numId w:val="46"/>
              </w:numPr>
              <w:ind w:left="704" w:hanging="284"/>
              <w:jc w:val="both"/>
              <w:rPr>
                <w:bCs/>
              </w:rPr>
            </w:pPr>
            <w:r w:rsidRPr="000E4461">
              <w:rPr>
                <w:bCs/>
                <w:u w:val="single"/>
              </w:rPr>
              <w:t>budgetary bodies</w:t>
            </w:r>
            <w:r w:rsidRPr="000E4461">
              <w:rPr>
                <w:bCs/>
              </w:rPr>
              <w:t xml:space="preserve"> and their organisations under the control or supervision of the Government,</w:t>
            </w:r>
          </w:p>
          <w:p w14:paraId="2C4C5FB5" w14:textId="4C5E8FE3" w:rsidR="00733150" w:rsidRPr="000E4461" w:rsidRDefault="00733150" w:rsidP="00500037">
            <w:pPr>
              <w:pStyle w:val="Listaszerbekezds"/>
              <w:numPr>
                <w:ilvl w:val="0"/>
                <w:numId w:val="46"/>
              </w:numPr>
              <w:ind w:left="704" w:hanging="284"/>
              <w:jc w:val="both"/>
            </w:pPr>
            <w:r w:rsidRPr="000E4461">
              <w:rPr>
                <w:u w:val="single"/>
              </w:rPr>
              <w:t>economic operators</w:t>
            </w:r>
            <w:r w:rsidRPr="000E4461">
              <w:t xml:space="preserve"> with majority state ownership where the ownership (shareholders</w:t>
            </w:r>
            <w:r w:rsidR="007353B3" w:rsidRPr="000E4461">
              <w:t>’</w:t>
            </w:r>
            <w:r w:rsidRPr="000E4461">
              <w:t xml:space="preserve">) rights are exercised in the name of the State by a central budgetary body or its organisation on the basis of: </w:t>
            </w:r>
          </w:p>
          <w:p w14:paraId="0900612C" w14:textId="77777777" w:rsidR="00733150" w:rsidRPr="000E4461" w:rsidRDefault="00733150" w:rsidP="00500037">
            <w:pPr>
              <w:numPr>
                <w:ilvl w:val="1"/>
                <w:numId w:val="22"/>
              </w:numPr>
              <w:ind w:left="1554" w:hanging="283"/>
              <w:jc w:val="both"/>
            </w:pPr>
            <w:r w:rsidRPr="000E4461">
              <w:t xml:space="preserve">a ministerial decree based on the Act on State Assets </w:t>
            </w:r>
            <w:r w:rsidRPr="000E4461">
              <w:rPr>
                <w:i/>
              </w:rPr>
              <w:t>or</w:t>
            </w:r>
            <w:r w:rsidRPr="000E4461">
              <w:t xml:space="preserve"> </w:t>
            </w:r>
          </w:p>
          <w:p w14:paraId="6E9C9439" w14:textId="77777777" w:rsidR="00733150" w:rsidRPr="000E4461" w:rsidRDefault="00733150" w:rsidP="00500037">
            <w:pPr>
              <w:numPr>
                <w:ilvl w:val="1"/>
                <w:numId w:val="22"/>
              </w:numPr>
              <w:ind w:left="1554" w:hanging="283"/>
              <w:jc w:val="both"/>
            </w:pPr>
            <w:proofErr w:type="gramStart"/>
            <w:r w:rsidRPr="000E4461">
              <w:t>a</w:t>
            </w:r>
            <w:proofErr w:type="gramEnd"/>
            <w:r w:rsidRPr="000E4461">
              <w:t xml:space="preserve"> contract concluded with Hungarian National Asset Management Inc.</w:t>
            </w:r>
          </w:p>
          <w:p w14:paraId="07EF343D" w14:textId="77777777" w:rsidR="00733150" w:rsidRPr="000E4461" w:rsidRDefault="00733150" w:rsidP="00500037">
            <w:pPr>
              <w:numPr>
                <w:ilvl w:val="0"/>
                <w:numId w:val="23"/>
              </w:numPr>
              <w:ind w:left="704" w:hanging="284"/>
              <w:jc w:val="both"/>
            </w:pPr>
            <w:proofErr w:type="gramStart"/>
            <w:r w:rsidRPr="000E4461">
              <w:rPr>
                <w:bCs/>
                <w:u w:val="single"/>
              </w:rPr>
              <w:t>public</w:t>
            </w:r>
            <w:proofErr w:type="gramEnd"/>
            <w:r w:rsidRPr="000E4461">
              <w:rPr>
                <w:bCs/>
                <w:u w:val="single"/>
              </w:rPr>
              <w:t xml:space="preserve"> </w:t>
            </w:r>
            <w:r w:rsidRPr="000E4461">
              <w:rPr>
                <w:u w:val="single"/>
              </w:rPr>
              <w:t>foundations</w:t>
            </w:r>
            <w:r w:rsidRPr="000E4461">
              <w:t xml:space="preserve"> of the Government.</w:t>
            </w:r>
          </w:p>
          <w:p w14:paraId="7EB3C06E" w14:textId="77777777" w:rsidR="00733150" w:rsidRPr="000E4461" w:rsidRDefault="00733150" w:rsidP="00733150">
            <w:pPr>
              <w:jc w:val="both"/>
            </w:pPr>
          </w:p>
          <w:p w14:paraId="50EA259C" w14:textId="77777777" w:rsidR="00733150" w:rsidRPr="000E4461" w:rsidRDefault="00733150" w:rsidP="00733150">
            <w:pPr>
              <w:jc w:val="both"/>
            </w:pPr>
            <w:r w:rsidRPr="000E4461">
              <w:rPr>
                <w:u w:val="single"/>
              </w:rPr>
              <w:t>Material scope</w:t>
            </w:r>
            <w:r w:rsidRPr="000E4461">
              <w:t>:</w:t>
            </w:r>
          </w:p>
          <w:p w14:paraId="41B1B002" w14:textId="77777777" w:rsidR="00733150" w:rsidRPr="000E4461" w:rsidRDefault="00733150" w:rsidP="00733150">
            <w:pPr>
              <w:jc w:val="both"/>
            </w:pPr>
          </w:p>
          <w:p w14:paraId="58BA0A80" w14:textId="01342B09" w:rsidR="00733150" w:rsidRPr="000E4461" w:rsidRDefault="00733150" w:rsidP="00500037">
            <w:pPr>
              <w:numPr>
                <w:ilvl w:val="0"/>
                <w:numId w:val="24"/>
              </w:numPr>
              <w:ind w:hanging="300"/>
              <w:jc w:val="both"/>
            </w:pPr>
            <w:r w:rsidRPr="000E4461">
              <w:t>public procurements and concessions under the PPA,</w:t>
            </w:r>
          </w:p>
          <w:p w14:paraId="7431BF2B" w14:textId="4963B20A" w:rsidR="00733150" w:rsidRPr="000E4461" w:rsidRDefault="00C341C2" w:rsidP="00500037">
            <w:pPr>
              <w:numPr>
                <w:ilvl w:val="0"/>
                <w:numId w:val="24"/>
              </w:numPr>
              <w:ind w:hanging="300"/>
              <w:jc w:val="both"/>
            </w:pPr>
            <w:r w:rsidRPr="000E4461">
              <w:t>Decree</w:t>
            </w:r>
            <w:r w:rsidR="00733150" w:rsidRPr="000E4461">
              <w:t xml:space="preserve"> II also provides for exceptions (for example procurements related to State protocol task).</w:t>
            </w:r>
          </w:p>
          <w:p w14:paraId="337FB953" w14:textId="77777777" w:rsidR="00733150" w:rsidRPr="000E4461" w:rsidRDefault="00733150" w:rsidP="00733150">
            <w:pPr>
              <w:jc w:val="both"/>
              <w:rPr>
                <w:i/>
              </w:rPr>
            </w:pPr>
          </w:p>
          <w:p w14:paraId="45F583C9" w14:textId="77777777" w:rsidR="00733150" w:rsidRPr="000E4461" w:rsidRDefault="00733150" w:rsidP="00733150">
            <w:pPr>
              <w:jc w:val="both"/>
              <w:rPr>
                <w:u w:val="single"/>
              </w:rPr>
            </w:pPr>
            <w:r w:rsidRPr="000E4461">
              <w:rPr>
                <w:u w:val="single"/>
              </w:rPr>
              <w:t>Types of control:</w:t>
            </w:r>
          </w:p>
          <w:p w14:paraId="76CD9FAA" w14:textId="77777777" w:rsidR="00733150" w:rsidRPr="000E4461" w:rsidRDefault="00733150" w:rsidP="00733150">
            <w:pPr>
              <w:jc w:val="both"/>
              <w:rPr>
                <w:u w:val="single"/>
              </w:rPr>
            </w:pPr>
          </w:p>
          <w:p w14:paraId="4973414E" w14:textId="4B5D04D8" w:rsidR="00733150" w:rsidRPr="000E4461" w:rsidRDefault="00733150" w:rsidP="000F26CF">
            <w:pPr>
              <w:ind w:left="420"/>
              <w:jc w:val="both"/>
            </w:pPr>
            <w:r w:rsidRPr="000E4461">
              <w:t>(a) Monitoring integrated in a process (</w:t>
            </w:r>
            <w:proofErr w:type="spellStart"/>
            <w:r w:rsidRPr="000E4461">
              <w:t>ex ante</w:t>
            </w:r>
            <w:proofErr w:type="spellEnd"/>
            <w:r w:rsidRPr="000E4461">
              <w:t xml:space="preserve"> control; </w:t>
            </w:r>
            <w:r w:rsidR="007353B3" w:rsidRPr="000E4461">
              <w:t>most</w:t>
            </w:r>
            <w:r w:rsidRPr="000E4461">
              <w:t xml:space="preserve"> of the procedures belong to this category)</w:t>
            </w:r>
          </w:p>
          <w:p w14:paraId="659D339C" w14:textId="77777777" w:rsidR="00733150" w:rsidRPr="000E4461" w:rsidRDefault="00733150" w:rsidP="000F26CF">
            <w:pPr>
              <w:ind w:left="420"/>
              <w:jc w:val="both"/>
            </w:pPr>
            <w:r w:rsidRPr="000E4461">
              <w:t>(b) Follow-up review or subsequent inspection (ex post control).</w:t>
            </w:r>
          </w:p>
          <w:p w14:paraId="3CC4F6DD" w14:textId="77777777" w:rsidR="0011726A" w:rsidRPr="000E4461" w:rsidRDefault="0011726A" w:rsidP="00733150">
            <w:pPr>
              <w:jc w:val="both"/>
            </w:pPr>
          </w:p>
          <w:p w14:paraId="63C98B25" w14:textId="77777777" w:rsidR="0011726A" w:rsidRPr="000E4461" w:rsidRDefault="0011726A" w:rsidP="0011726A">
            <w:pPr>
              <w:jc w:val="both"/>
            </w:pPr>
            <w:r w:rsidRPr="000E4461">
              <w:lastRenderedPageBreak/>
              <w:t>The institution responsible for conducting supervision under Regulation II is the Prime Minister’s Office through its Public Procurement Supervision Department (PPSD)</w:t>
            </w:r>
            <w:r w:rsidRPr="000E4461">
              <w:rPr>
                <w:vertAlign w:val="superscript"/>
              </w:rPr>
              <w:footnoteReference w:id="5"/>
            </w:r>
            <w:r w:rsidRPr="000E4461">
              <w:t xml:space="preserve">. The main tasks of the PPSD are: the central control and approval of the public procurement procedures, the control of the public contracts [modification of public contracts and the control and approval of other contracts above 50 million HUF (aggregated estimated value) and contract modification], and the management of the databases related to the above tasks. </w:t>
            </w:r>
          </w:p>
          <w:p w14:paraId="45EBFAC2" w14:textId="77777777" w:rsidR="0011726A" w:rsidRPr="000E4461" w:rsidRDefault="0011726A" w:rsidP="0011726A">
            <w:pPr>
              <w:jc w:val="both"/>
            </w:pPr>
          </w:p>
          <w:p w14:paraId="6B3F5B4B" w14:textId="53F4C020" w:rsidR="0011726A" w:rsidRPr="000E4461" w:rsidRDefault="0011726A" w:rsidP="00733150">
            <w:pPr>
              <w:jc w:val="both"/>
            </w:pPr>
            <w:r w:rsidRPr="000E4461">
              <w:t>It’s important to mention Government Decree No. 459/2016 on the Implementation and Control of Procurements under the National Public Procurement Thresholds. According to this Government Decree contracting authorities controlled by the Government – in case of procurements below national public procurement thresholds and above 1 million HUF – shall call for at least three bids. The fulfilment of this obligation is controlled by the PPSD based on annual control plan but it also has the right to control procurements on an ad hoc basis.</w:t>
            </w:r>
          </w:p>
          <w:p w14:paraId="5AD1E58D" w14:textId="77777777" w:rsidR="00733150" w:rsidRPr="000E4461" w:rsidRDefault="00733150" w:rsidP="00733150">
            <w:pPr>
              <w:jc w:val="both"/>
            </w:pPr>
          </w:p>
          <w:p w14:paraId="4160320E" w14:textId="77777777" w:rsidR="00733150" w:rsidRPr="000E4461" w:rsidRDefault="00733150" w:rsidP="00500037">
            <w:pPr>
              <w:pStyle w:val="Listaszerbekezds"/>
              <w:numPr>
                <w:ilvl w:val="0"/>
                <w:numId w:val="25"/>
              </w:numPr>
              <w:ind w:left="319" w:hanging="284"/>
              <w:jc w:val="both"/>
              <w:rPr>
                <w:b/>
              </w:rPr>
            </w:pPr>
            <w:r w:rsidRPr="000E4461">
              <w:rPr>
                <w:b/>
              </w:rPr>
              <w:t>Further mechanisms on the prevention of irregularities, corruption and fraud</w:t>
            </w:r>
          </w:p>
          <w:p w14:paraId="226D2924" w14:textId="77777777" w:rsidR="00733150" w:rsidRPr="000E4461" w:rsidRDefault="00733150" w:rsidP="00733150">
            <w:pPr>
              <w:jc w:val="both"/>
            </w:pPr>
          </w:p>
          <w:p w14:paraId="50D00CB0" w14:textId="6EE735C2" w:rsidR="00733150" w:rsidRPr="000E4461" w:rsidRDefault="00842860" w:rsidP="00733150">
            <w:pPr>
              <w:jc w:val="both"/>
            </w:pPr>
            <w:r w:rsidRPr="000E4461">
              <w:t xml:space="preserve">1. </w:t>
            </w:r>
            <w:r w:rsidR="003D69E5" w:rsidRPr="000E4461">
              <w:t>According to</w:t>
            </w:r>
            <w:r w:rsidR="00733150" w:rsidRPr="000E4461">
              <w:t xml:space="preserve"> a cooperation agreement between the Prime Minister’s Office and the Hungarian Competition Authority</w:t>
            </w:r>
            <w:r w:rsidR="0011726A" w:rsidRPr="000E4461">
              <w:t xml:space="preserve"> (HCA)</w:t>
            </w:r>
            <w:r w:rsidR="00733150" w:rsidRPr="000E4461">
              <w:t xml:space="preserve">, data on the controlled public procurement procedures are handed over by the DPPC of the Prime Minister’s Office to the Competition Authority by sending market signals in case of suspected cartels. Besides the case by case signals the cooperation and information provided by DPPC about the market significantly </w:t>
            </w:r>
            <w:r w:rsidR="00ED46FF" w:rsidRPr="000E4461">
              <w:t xml:space="preserve">also </w:t>
            </w:r>
            <w:r w:rsidR="00733150" w:rsidRPr="000E4461">
              <w:t xml:space="preserve">contribute to the work of the Competition Authority. There is a continuous flow of information between </w:t>
            </w:r>
            <w:r w:rsidR="00ED46FF" w:rsidRPr="000E4461">
              <w:t>DPPC</w:t>
            </w:r>
            <w:r w:rsidR="00733150" w:rsidRPr="000E4461">
              <w:t xml:space="preserve"> and HCA; in addition to pointing to specific cartels, the transfer of market-related information promotes HCA’s investigation work in general. </w:t>
            </w:r>
            <w:r w:rsidR="00160E0B" w:rsidRPr="000E4461">
              <w:t>The DPPC</w:t>
            </w:r>
            <w:r w:rsidR="00733150" w:rsidRPr="000E4461">
              <w:t xml:space="preserve"> </w:t>
            </w:r>
            <w:r w:rsidR="00160E0B" w:rsidRPr="000E4461">
              <w:t xml:space="preserve">has already </w:t>
            </w:r>
            <w:r w:rsidR="00733150" w:rsidRPr="000E4461">
              <w:t>indicated 3</w:t>
            </w:r>
            <w:r w:rsidR="005E7288" w:rsidRPr="000E4461">
              <w:t>4</w:t>
            </w:r>
            <w:r w:rsidR="00733150" w:rsidRPr="000E4461">
              <w:t xml:space="preserve"> specific cases</w:t>
            </w:r>
            <w:r w:rsidR="004722F6" w:rsidRPr="000E4461">
              <w:rPr>
                <w:rStyle w:val="Lbjegyzet-hivatkozs"/>
              </w:rPr>
              <w:footnoteReference w:id="6"/>
            </w:r>
            <w:r w:rsidR="00733150" w:rsidRPr="000E4461">
              <w:t>, and HCA initiated proceedings in connection with</w:t>
            </w:r>
            <w:r w:rsidR="00CF165F" w:rsidRPr="000E4461">
              <w:t xml:space="preserve"> two projects</w:t>
            </w:r>
            <w:r w:rsidR="00733150" w:rsidRPr="000E4461">
              <w:t xml:space="preserve"> (for comparison: HCA detects a total of around 8 cartels a year).</w:t>
            </w:r>
          </w:p>
          <w:p w14:paraId="5883A822" w14:textId="77777777" w:rsidR="00733150" w:rsidRPr="000E4461" w:rsidRDefault="00733150" w:rsidP="00733150">
            <w:pPr>
              <w:jc w:val="both"/>
            </w:pPr>
          </w:p>
          <w:p w14:paraId="4DD60548" w14:textId="626C0C2A" w:rsidR="00733150" w:rsidRPr="000E4461" w:rsidRDefault="00842860" w:rsidP="00733150">
            <w:pPr>
              <w:jc w:val="both"/>
            </w:pPr>
            <w:r w:rsidRPr="000E4461">
              <w:t xml:space="preserve">2. </w:t>
            </w:r>
            <w:r w:rsidR="00733150" w:rsidRPr="000E4461">
              <w:t xml:space="preserve">Under the new PPA, the Public Procurement Authority controls the performance of contracts and in case of any infringement the Authority initiates </w:t>
            </w:r>
            <w:r w:rsidR="007353B3" w:rsidRPr="000E4461">
              <w:t>a remedy procedure before the</w:t>
            </w:r>
            <w:r w:rsidR="00733150" w:rsidRPr="000E4461">
              <w:t xml:space="preserve"> Public Procurement Arbitration Board, which can impose a fine. In the case of non-public procurement infringements, the Public Procurement Authority may also apply to a </w:t>
            </w:r>
            <w:r w:rsidR="004A7CC8" w:rsidRPr="000E4461">
              <w:t xml:space="preserve">civil </w:t>
            </w:r>
            <w:r w:rsidR="00733150" w:rsidRPr="000E4461">
              <w:t>court or initiate a criminal procedure.</w:t>
            </w:r>
          </w:p>
          <w:p w14:paraId="26956856" w14:textId="77777777" w:rsidR="00733150" w:rsidRPr="000E4461" w:rsidRDefault="00733150" w:rsidP="00733150">
            <w:pPr>
              <w:jc w:val="both"/>
            </w:pPr>
          </w:p>
          <w:p w14:paraId="4CD0622A" w14:textId="013577F6" w:rsidR="00733150" w:rsidRPr="000E4461" w:rsidRDefault="00733150" w:rsidP="00733150">
            <w:pPr>
              <w:jc w:val="both"/>
            </w:pPr>
            <w:r w:rsidRPr="000E4461">
              <w:t>These measures enable the detection of not only public procurement or competition law infringements, but of criminal offenses too. The Hungari</w:t>
            </w:r>
            <w:r w:rsidR="007353B3" w:rsidRPr="000E4461">
              <w:t>an Criminal Code (Act C</w:t>
            </w:r>
            <w:r w:rsidRPr="000E4461">
              <w:t xml:space="preserve"> of 2012 on the Criminal Code) </w:t>
            </w:r>
            <w:r w:rsidR="005D7DFF" w:rsidRPr="000E4461">
              <w:t>defines</w:t>
            </w:r>
            <w:r w:rsidRPr="000E4461">
              <w:t xml:space="preserve"> “restricting competition in public procurement or concession procedures” as a</w:t>
            </w:r>
            <w:r w:rsidR="007353B3" w:rsidRPr="000E4461">
              <w:t xml:space="preserve"> criminal</w:t>
            </w:r>
            <w:r w:rsidRPr="000E4461">
              <w:t xml:space="preserve"> offense. This offense also constitutes an exclusion ground under the PPA.</w:t>
            </w:r>
          </w:p>
          <w:p w14:paraId="1815BBBA" w14:textId="77777777" w:rsidR="00733150" w:rsidRPr="000E4461" w:rsidRDefault="00733150" w:rsidP="009437A7">
            <w:pPr>
              <w:jc w:val="both"/>
            </w:pPr>
          </w:p>
          <w:p w14:paraId="0EEBB0AC" w14:textId="71AB31BB" w:rsidR="00001F8C" w:rsidRPr="008F708C" w:rsidRDefault="00001F8C" w:rsidP="00001F8C">
            <w:pPr>
              <w:jc w:val="both"/>
            </w:pPr>
            <w:r w:rsidRPr="008F708C">
              <w:t xml:space="preserve">In 2017, the Public Procurement Authority </w:t>
            </w:r>
            <w:r w:rsidR="008F708C">
              <w:t>indicated</w:t>
            </w:r>
            <w:r w:rsidRPr="008F708C">
              <w:t xml:space="preserve"> 5 reports on suspected crimes </w:t>
            </w:r>
            <w:r w:rsidR="008F708C">
              <w:t>to the competent investigating authorities.</w:t>
            </w:r>
          </w:p>
          <w:p w14:paraId="02E56911" w14:textId="77777777" w:rsidR="00001F8C" w:rsidRPr="008F708C" w:rsidRDefault="00001F8C" w:rsidP="00001F8C">
            <w:pPr>
              <w:jc w:val="both"/>
            </w:pPr>
          </w:p>
          <w:p w14:paraId="35FC5598" w14:textId="77777777" w:rsidR="00001F8C" w:rsidRPr="008F708C" w:rsidRDefault="00001F8C" w:rsidP="00001F8C">
            <w:pPr>
              <w:jc w:val="both"/>
            </w:pPr>
            <w:r w:rsidRPr="008F708C">
              <w:t>The reports made by the Public Procurement Authority covered the following suspected crimes:</w:t>
            </w:r>
          </w:p>
          <w:p w14:paraId="2C6C6657" w14:textId="299AF9E2" w:rsidR="00001F8C" w:rsidRPr="008F708C" w:rsidRDefault="00001F8C" w:rsidP="008F708C">
            <w:pPr>
              <w:jc w:val="both"/>
            </w:pPr>
          </w:p>
          <w:p w14:paraId="559ED1F9" w14:textId="5CA96D59" w:rsidR="00001F8C" w:rsidRPr="008F708C" w:rsidRDefault="00B87209" w:rsidP="00001F8C">
            <w:pPr>
              <w:pStyle w:val="Listaszerbekezds"/>
              <w:numPr>
                <w:ilvl w:val="0"/>
                <w:numId w:val="24"/>
              </w:numPr>
              <w:ind w:hanging="300"/>
              <w:jc w:val="both"/>
            </w:pPr>
            <w:r>
              <w:t>b</w:t>
            </w:r>
            <w:r w:rsidR="00001F8C" w:rsidRPr="008F708C">
              <w:t xml:space="preserve">udget fraud (Art. </w:t>
            </w:r>
            <w:r w:rsidR="008F708C" w:rsidRPr="008F708C">
              <w:t>396 (4) point a)</w:t>
            </w:r>
            <w:r w:rsidR="00001F8C" w:rsidRPr="008F708C">
              <w:t xml:space="preserve"> of Act C of 2012 on the Criminal Code)</w:t>
            </w:r>
            <w:r w:rsidR="008F708C" w:rsidRPr="008F708C">
              <w:t xml:space="preserve">: 4 </w:t>
            </w:r>
            <w:r w:rsidR="008F708C">
              <w:t>reports</w:t>
            </w:r>
          </w:p>
          <w:p w14:paraId="7A477565" w14:textId="46563A80" w:rsidR="00001F8C" w:rsidRPr="008F708C" w:rsidRDefault="00B87209" w:rsidP="00B87209">
            <w:pPr>
              <w:pStyle w:val="Listaszerbekezds"/>
              <w:numPr>
                <w:ilvl w:val="0"/>
                <w:numId w:val="24"/>
              </w:numPr>
              <w:ind w:hanging="300"/>
              <w:jc w:val="both"/>
            </w:pPr>
            <w:r>
              <w:t>wilful cause of imminent danger</w:t>
            </w:r>
            <w:r w:rsidR="00FE2367" w:rsidRPr="00FE2367">
              <w:t xml:space="preserve"> </w:t>
            </w:r>
            <w:r w:rsidR="00001F8C" w:rsidRPr="008F708C">
              <w:t xml:space="preserve">(Art. </w:t>
            </w:r>
            <w:r w:rsidR="008F708C" w:rsidRPr="008F708C">
              <w:t>165 (3)</w:t>
            </w:r>
            <w:r w:rsidR="00001F8C" w:rsidRPr="008F708C">
              <w:t xml:space="preserve"> of Act C of 2012 on the Criminal Code)</w:t>
            </w:r>
            <w:r w:rsidR="008F708C">
              <w:t>: 1 report</w:t>
            </w:r>
          </w:p>
          <w:p w14:paraId="274DF746" w14:textId="11B47CCC" w:rsidR="00162DAE" w:rsidRPr="000E4461" w:rsidRDefault="00162DAE" w:rsidP="00B87209">
            <w:pPr>
              <w:jc w:val="both"/>
            </w:pPr>
          </w:p>
        </w:tc>
      </w:tr>
      <w:tr w:rsidR="007217FF" w:rsidRPr="000E4461" w14:paraId="21F995DE" w14:textId="77777777" w:rsidTr="00A47B20">
        <w:tc>
          <w:tcPr>
            <w:tcW w:w="1648" w:type="pct"/>
          </w:tcPr>
          <w:p w14:paraId="7C193813" w14:textId="15B5A0CF" w:rsidR="007217FF" w:rsidRPr="000E4461" w:rsidRDefault="007217FF" w:rsidP="007217FF">
            <w:pPr>
              <w:jc w:val="both"/>
            </w:pPr>
            <w:r w:rsidRPr="000E4461">
              <w:lastRenderedPageBreak/>
              <w:t>Describe the actions undertaken and/or mechanisms put in place to ensure compliance with the new provisions on the prevention, detection and adequate reporting of conflicts of interests</w:t>
            </w:r>
          </w:p>
        </w:tc>
        <w:tc>
          <w:tcPr>
            <w:tcW w:w="3352" w:type="pct"/>
          </w:tcPr>
          <w:p w14:paraId="5B003D6E" w14:textId="77777777" w:rsidR="00733150" w:rsidRPr="000E4461" w:rsidRDefault="00733150" w:rsidP="00733150">
            <w:pPr>
              <w:jc w:val="both"/>
            </w:pPr>
          </w:p>
          <w:p w14:paraId="6C2EFF5F" w14:textId="77777777" w:rsidR="00D76619" w:rsidRPr="000E4461" w:rsidRDefault="00D76619" w:rsidP="00D76619">
            <w:pPr>
              <w:jc w:val="both"/>
            </w:pPr>
            <w:r w:rsidRPr="000E4461">
              <w:t xml:space="preserve">The definition of conflict of interest set out in the Directives is supplemented with some cases, where the risk of conflict of interest is the highest and it shall be examined carefully: for example an economical operator shall be excluded from the public procurement if one of its owners, executive officers or members of its supervisory board or one of the relatives living in the same household with these persons was involved in the public procurement procedure – including preparatory stages. </w:t>
            </w:r>
          </w:p>
          <w:p w14:paraId="6207C869" w14:textId="77777777" w:rsidR="00D76619" w:rsidRPr="000E4461" w:rsidRDefault="00D76619" w:rsidP="00D76619">
            <w:pPr>
              <w:jc w:val="both"/>
            </w:pPr>
          </w:p>
          <w:p w14:paraId="5FA0495F" w14:textId="0B447C14" w:rsidR="00D76619" w:rsidRPr="000E4461" w:rsidRDefault="00D76619" w:rsidP="00D76619">
            <w:pPr>
              <w:jc w:val="both"/>
            </w:pPr>
            <w:r w:rsidRPr="000E4461">
              <w:t>Business entities owned by leaders of state and the heads of certain national agencies or authorities and their relatives living in the same household with them shall not participate as a tenderer in public procurement procedures.</w:t>
            </w:r>
          </w:p>
          <w:p w14:paraId="73036C22" w14:textId="77777777" w:rsidR="00733150" w:rsidRPr="000E4461" w:rsidRDefault="00733150" w:rsidP="00733150">
            <w:pPr>
              <w:jc w:val="both"/>
            </w:pPr>
          </w:p>
          <w:p w14:paraId="65584771" w14:textId="514C688E" w:rsidR="00733150" w:rsidRPr="000E4461" w:rsidRDefault="00F96635" w:rsidP="00733150">
            <w:pPr>
              <w:jc w:val="both"/>
            </w:pPr>
            <w:r w:rsidRPr="000E4461">
              <w:t>According to the above the rules of the PPA concerning conflict of interest</w:t>
            </w:r>
            <w:r w:rsidR="00733150" w:rsidRPr="000E4461">
              <w:t xml:space="preserve"> </w:t>
            </w:r>
            <w:r w:rsidRPr="000E4461">
              <w:t>are</w:t>
            </w:r>
            <w:r w:rsidR="00733150" w:rsidRPr="000E4461">
              <w:t xml:space="preserve"> one of the strictest rules in Europe in this regard</w:t>
            </w:r>
            <w:r w:rsidR="008D562D" w:rsidRPr="000E4461">
              <w:t>,</w:t>
            </w:r>
            <w:r w:rsidR="00733150" w:rsidRPr="000E4461">
              <w:t xml:space="preserve"> it </w:t>
            </w:r>
            <w:r w:rsidRPr="000E4461">
              <w:t xml:space="preserve">also </w:t>
            </w:r>
            <w:r w:rsidR="00733150" w:rsidRPr="000E4461">
              <w:t>provides stricter rules than the new EU directives.</w:t>
            </w:r>
          </w:p>
          <w:p w14:paraId="0520E03D" w14:textId="77777777" w:rsidR="0084463F" w:rsidRPr="000E4461" w:rsidRDefault="0084463F" w:rsidP="0084463F">
            <w:pPr>
              <w:jc w:val="both"/>
            </w:pPr>
          </w:p>
          <w:p w14:paraId="551461A3" w14:textId="4A8440AC" w:rsidR="00852992" w:rsidRPr="000E4461" w:rsidRDefault="00852992" w:rsidP="0084463F">
            <w:pPr>
              <w:jc w:val="both"/>
            </w:pPr>
            <w:r w:rsidRPr="000E4461">
              <w:t xml:space="preserve">On the basis of the Art. 25 (5)-(6) and (8) of the PPA contracting authorities </w:t>
            </w:r>
            <w:r w:rsidR="00E5741C" w:rsidRPr="000E4461">
              <w:t xml:space="preserve">shall pay a special attention </w:t>
            </w:r>
            <w:r w:rsidR="009974E2" w:rsidRPr="000E4461">
              <w:t xml:space="preserve">to </w:t>
            </w:r>
            <w:r w:rsidR="00F96896" w:rsidRPr="000E4461">
              <w:t>the existence of conflict of interest and shall indicate to the affected person if such a situation comes up on its side:</w:t>
            </w:r>
          </w:p>
          <w:p w14:paraId="2A0E48B6" w14:textId="77777777" w:rsidR="008966F8" w:rsidRPr="000E4461" w:rsidRDefault="008966F8" w:rsidP="0084463F">
            <w:pPr>
              <w:jc w:val="both"/>
            </w:pPr>
          </w:p>
          <w:p w14:paraId="594728A6" w14:textId="346B0CFB" w:rsidR="0084463F" w:rsidRPr="000E4461" w:rsidRDefault="0084463F" w:rsidP="00500037">
            <w:pPr>
              <w:pStyle w:val="Listaszerbekezds"/>
              <w:numPr>
                <w:ilvl w:val="0"/>
                <w:numId w:val="47"/>
              </w:numPr>
              <w:ind w:hanging="300"/>
              <w:jc w:val="both"/>
            </w:pPr>
            <w:r w:rsidRPr="000E4461">
              <w:t xml:space="preserve"> </w:t>
            </w:r>
            <w:r w:rsidR="00CD3759" w:rsidRPr="000E4461">
              <w:t>I</w:t>
            </w:r>
            <w:r w:rsidR="00361007" w:rsidRPr="000E4461">
              <w:t xml:space="preserve">f </w:t>
            </w:r>
            <w:r w:rsidR="000C0359" w:rsidRPr="000E4461">
              <w:t xml:space="preserve">the participation of </w:t>
            </w:r>
            <w:r w:rsidRPr="000E4461">
              <w:t xml:space="preserve">a person or organization involved in the preparatory work of the procedure have the effect of creating a conflict of interest, the contracting authority </w:t>
            </w:r>
            <w:r w:rsidR="000C0359" w:rsidRPr="000E4461">
              <w:t xml:space="preserve">– considering in particular the extra information gathered by it – </w:t>
            </w:r>
            <w:r w:rsidRPr="000E4461">
              <w:t xml:space="preserve">shall notify such a person or organization </w:t>
            </w:r>
            <w:r w:rsidR="000C0359" w:rsidRPr="000E4461">
              <w:t>of the conflict of interest</w:t>
            </w:r>
            <w:r w:rsidR="00F96896" w:rsidRPr="000E4461">
              <w:t xml:space="preserve"> [Art. 25 (5) of the PPA]</w:t>
            </w:r>
            <w:r w:rsidR="000C0359" w:rsidRPr="000E4461">
              <w:t>.</w:t>
            </w:r>
          </w:p>
          <w:p w14:paraId="543D4A9B" w14:textId="77777777" w:rsidR="008966F8" w:rsidRPr="000E4461" w:rsidRDefault="008966F8" w:rsidP="00F96896">
            <w:pPr>
              <w:ind w:hanging="300"/>
              <w:jc w:val="both"/>
              <w:rPr>
                <w:highlight w:val="yellow"/>
              </w:rPr>
            </w:pPr>
          </w:p>
          <w:p w14:paraId="19EF53C1" w14:textId="27320525" w:rsidR="0084463F" w:rsidRPr="000E4461" w:rsidRDefault="00CD3759" w:rsidP="00500037">
            <w:pPr>
              <w:pStyle w:val="Listaszerbekezds"/>
              <w:numPr>
                <w:ilvl w:val="0"/>
                <w:numId w:val="47"/>
              </w:numPr>
              <w:jc w:val="both"/>
            </w:pPr>
            <w:r w:rsidRPr="000E4461">
              <w:t>P</w:t>
            </w:r>
            <w:r w:rsidR="0084463F" w:rsidRPr="000E4461">
              <w:t xml:space="preserve">ersons or organisations acting on behalf of the contracting authority or </w:t>
            </w:r>
            <w:r w:rsidR="0056644C" w:rsidRPr="000E4461">
              <w:t xml:space="preserve">are </w:t>
            </w:r>
            <w:r w:rsidR="0084463F" w:rsidRPr="000E4461">
              <w:t xml:space="preserve">involved </w:t>
            </w:r>
            <w:r w:rsidRPr="000E4461">
              <w:t xml:space="preserve">in the procedural processes or in the preparatory works </w:t>
            </w:r>
            <w:r w:rsidR="0084463F" w:rsidRPr="000E4461">
              <w:t>by the contracting authority shall declare in writing whether t</w:t>
            </w:r>
            <w:r w:rsidR="0056644C" w:rsidRPr="000E4461">
              <w:t>hey are subject to a conflict</w:t>
            </w:r>
            <w:r w:rsidR="0084463F" w:rsidRPr="000E4461">
              <w:t xml:space="preserve"> of interest</w:t>
            </w:r>
            <w:r w:rsidR="00F96896" w:rsidRPr="000E4461">
              <w:t xml:space="preserve"> [Art. 25 (6) of the PPA]</w:t>
            </w:r>
            <w:r w:rsidR="0084463F" w:rsidRPr="000E4461">
              <w:t>.</w:t>
            </w:r>
          </w:p>
          <w:p w14:paraId="4E6410F9" w14:textId="77777777" w:rsidR="008966F8" w:rsidRPr="000E4461" w:rsidRDefault="008966F8" w:rsidP="00F96896">
            <w:pPr>
              <w:ind w:hanging="300"/>
              <w:jc w:val="both"/>
              <w:rPr>
                <w:highlight w:val="yellow"/>
              </w:rPr>
            </w:pPr>
          </w:p>
          <w:p w14:paraId="0D6CD8BA" w14:textId="27CA5A6E" w:rsidR="0084463F" w:rsidRPr="000E4461" w:rsidRDefault="0084463F" w:rsidP="00500037">
            <w:pPr>
              <w:pStyle w:val="Listaszerbekezds"/>
              <w:numPr>
                <w:ilvl w:val="0"/>
                <w:numId w:val="47"/>
              </w:numPr>
              <w:ind w:hanging="300"/>
              <w:jc w:val="both"/>
            </w:pPr>
            <w:r w:rsidRPr="000E4461">
              <w:t xml:space="preserve">Tenderers or candidates may be excluded from the procedure if equal opportunities may not be guaranteed in any other way for economic operators participating in the procurement procedure. Prior to the exclusion, the contracting authority shall, by a </w:t>
            </w:r>
            <w:r w:rsidRPr="000E4461">
              <w:lastRenderedPageBreak/>
              <w:t xml:space="preserve">request for supply of missing information or provision of information, ensure that the economic operator concerned is given an opportunity to prove that its participation in the preparation of the procurement procedure does not violate the principles of equal opportunity and fair competition or to </w:t>
            </w:r>
            <w:r w:rsidR="00EB0C8A" w:rsidRPr="000E4461">
              <w:t>parry</w:t>
            </w:r>
            <w:r w:rsidRPr="000E4461">
              <w:t xml:space="preserve"> the conflict of interest in any other way. The measures taken by the economic operator in order to </w:t>
            </w:r>
            <w:r w:rsidR="00EB0C8A" w:rsidRPr="000E4461">
              <w:t>parry</w:t>
            </w:r>
            <w:r w:rsidRPr="000E4461">
              <w:t xml:space="preserve"> the conflict of interest shall be indicated by the contracting authority in the summary concerning the evaluation of tenders (requests to participate)</w:t>
            </w:r>
            <w:r w:rsidR="00F96896" w:rsidRPr="000E4461">
              <w:t xml:space="preserve"> [Art. 25 (8) of the PPA]</w:t>
            </w:r>
            <w:r w:rsidRPr="000E4461">
              <w:t>.</w:t>
            </w:r>
          </w:p>
          <w:p w14:paraId="06B993E5" w14:textId="77777777" w:rsidR="00733150" w:rsidRPr="000E4461" w:rsidRDefault="00733150" w:rsidP="00733150">
            <w:pPr>
              <w:jc w:val="both"/>
            </w:pPr>
          </w:p>
          <w:p w14:paraId="186B6381" w14:textId="5B48825C" w:rsidR="00733150" w:rsidRPr="000E4461" w:rsidRDefault="00733150" w:rsidP="00733150">
            <w:pPr>
              <w:jc w:val="both"/>
            </w:pPr>
            <w:r w:rsidRPr="000E4461">
              <w:t xml:space="preserve">The practical implementation of the conflict of interest rules are also supported by the </w:t>
            </w:r>
            <w:proofErr w:type="spellStart"/>
            <w:r w:rsidRPr="000E4461">
              <w:t>ex ante</w:t>
            </w:r>
            <w:proofErr w:type="spellEnd"/>
            <w:r w:rsidRPr="000E4461">
              <w:t xml:space="preserve"> legal control of public procurements </w:t>
            </w:r>
            <w:r w:rsidR="00DA74AC" w:rsidRPr="000E4461">
              <w:t>covering every</w:t>
            </w:r>
            <w:r w:rsidRPr="000E4461">
              <w:t xml:space="preserve"> EU-funded procedure in case of public supplies and public services above the EU threshold</w:t>
            </w:r>
            <w:r w:rsidR="00D044D5" w:rsidRPr="000E4461">
              <w:t>s</w:t>
            </w:r>
            <w:r w:rsidRPr="000E4461">
              <w:t xml:space="preserve"> and in case of public works above 300 million HUF (</w:t>
            </w:r>
            <w:r w:rsidR="00DA74AC" w:rsidRPr="000E4461">
              <w:t>approx.</w:t>
            </w:r>
            <w:r w:rsidRPr="000E4461">
              <w:t xml:space="preserve"> 1 000 000 </w:t>
            </w:r>
            <w:r w:rsidR="00DA74AC" w:rsidRPr="000E4461">
              <w:t>EUR</w:t>
            </w:r>
            <w:r w:rsidRPr="000E4461">
              <w:t>).</w:t>
            </w:r>
          </w:p>
          <w:p w14:paraId="6AD4FEE3" w14:textId="77777777" w:rsidR="00733150" w:rsidRPr="000E4461" w:rsidRDefault="00733150" w:rsidP="00733150">
            <w:pPr>
              <w:jc w:val="both"/>
            </w:pPr>
          </w:p>
          <w:p w14:paraId="08433F0F" w14:textId="4FD3AA41" w:rsidR="00733150" w:rsidRPr="000E4461" w:rsidRDefault="00733150" w:rsidP="00733150">
            <w:pPr>
              <w:jc w:val="both"/>
            </w:pPr>
            <w:r w:rsidRPr="000E4461">
              <w:t xml:space="preserve">Several measures support the prevention of corruption with regard to the staff of the departments for public procurement control within the Prime Minister’s Office. All members of the staff of the relevant departments shall submit a declaration of assets annually regarding themselves and their closest relatives who live in the same household with them. They are also subject to a national security screening, and they must be in </w:t>
            </w:r>
            <w:r w:rsidR="00DA74AC" w:rsidRPr="000E4461">
              <w:t>a</w:t>
            </w:r>
            <w:r w:rsidRPr="000E4461">
              <w:t xml:space="preserve"> so-called “protected status”</w:t>
            </w:r>
            <w:r w:rsidR="00DA74AC" w:rsidRPr="000E4461">
              <w:t>, which means</w:t>
            </w:r>
            <w:r w:rsidRPr="000E4461">
              <w:t xml:space="preserve"> they can be subject to integrity test</w:t>
            </w:r>
            <w:r w:rsidR="00DA74AC" w:rsidRPr="000E4461">
              <w:t>s conducted</w:t>
            </w:r>
            <w:r w:rsidRPr="000E4461">
              <w:t xml:space="preserve"> by the National Protective Service, done under prosecutor’s supervision. If the declaration of assets is not submitted, or the examination from the perspective of national security or protected status is </w:t>
            </w:r>
            <w:r w:rsidR="00DA74AC" w:rsidRPr="000E4461">
              <w:t>refused</w:t>
            </w:r>
            <w:r w:rsidRPr="000E4461">
              <w:t xml:space="preserve"> by the colleagues, their employment contract must be terminated.</w:t>
            </w:r>
          </w:p>
          <w:p w14:paraId="6E893D17" w14:textId="013D2BF9" w:rsidR="00733150" w:rsidRPr="000E4461" w:rsidRDefault="00733150" w:rsidP="00733150">
            <w:pPr>
              <w:jc w:val="both"/>
            </w:pPr>
          </w:p>
        </w:tc>
      </w:tr>
      <w:tr w:rsidR="00253552" w:rsidRPr="000E4461" w14:paraId="4CDE2A28" w14:textId="77777777" w:rsidTr="00A47B20">
        <w:tc>
          <w:tcPr>
            <w:tcW w:w="1648" w:type="pct"/>
          </w:tcPr>
          <w:p w14:paraId="1DCB95B7" w14:textId="123EA8CA" w:rsidR="00253552" w:rsidRPr="000E4461" w:rsidRDefault="00524104" w:rsidP="005329C9">
            <w:pPr>
              <w:pStyle w:val="Cmsor3"/>
              <w:outlineLvl w:val="2"/>
            </w:pPr>
            <w:r w:rsidRPr="000E4461">
              <w:lastRenderedPageBreak/>
              <w:t>III</w:t>
            </w:r>
            <w:r w:rsidR="00253552" w:rsidRPr="000E4461">
              <w:t xml:space="preserve">.2. </w:t>
            </w:r>
            <w:r w:rsidR="0037143F" w:rsidRPr="000E4461">
              <w:t>Supporting documents</w:t>
            </w:r>
          </w:p>
        </w:tc>
        <w:tc>
          <w:tcPr>
            <w:tcW w:w="3352" w:type="pct"/>
          </w:tcPr>
          <w:p w14:paraId="263B52A4" w14:textId="77777777" w:rsidR="00253552" w:rsidRPr="000E4461" w:rsidRDefault="00253552" w:rsidP="005329C9">
            <w:pPr>
              <w:rPr>
                <w:i/>
              </w:rPr>
            </w:pPr>
          </w:p>
        </w:tc>
      </w:tr>
      <w:tr w:rsidR="00253552" w:rsidRPr="000E4461" w14:paraId="02400CED" w14:textId="77777777" w:rsidTr="00A47B20">
        <w:tc>
          <w:tcPr>
            <w:tcW w:w="1648" w:type="pct"/>
          </w:tcPr>
          <w:p w14:paraId="02040C70" w14:textId="08DE06DB" w:rsidR="00253552" w:rsidRPr="000E4461" w:rsidRDefault="00253552" w:rsidP="0037143F">
            <w:pPr>
              <w:pStyle w:val="Cmsor3"/>
              <w:outlineLvl w:val="2"/>
              <w:rPr>
                <w:b w:val="0"/>
              </w:rPr>
            </w:pPr>
            <w:r w:rsidRPr="000E4461">
              <w:rPr>
                <w:b w:val="0"/>
              </w:rPr>
              <w:t xml:space="preserve">Please provide any available </w:t>
            </w:r>
            <w:r w:rsidR="0037143F" w:rsidRPr="000E4461">
              <w:rPr>
                <w:b w:val="0"/>
              </w:rPr>
              <w:t>evidence</w:t>
            </w:r>
            <w:r w:rsidRPr="000E4461">
              <w:rPr>
                <w:b w:val="0"/>
              </w:rPr>
              <w:t xml:space="preserve"> on the actions/mechanisms and measures described under section </w:t>
            </w:r>
            <w:r w:rsidR="00046AD1" w:rsidRPr="000E4461">
              <w:rPr>
                <w:b w:val="0"/>
              </w:rPr>
              <w:t>III</w:t>
            </w:r>
            <w:r w:rsidRPr="000E4461">
              <w:rPr>
                <w:b w:val="0"/>
              </w:rPr>
              <w:t xml:space="preserve">.1. </w:t>
            </w:r>
            <w:proofErr w:type="gramStart"/>
            <w:r w:rsidRPr="000E4461">
              <w:rPr>
                <w:b w:val="0"/>
              </w:rPr>
              <w:t>above</w:t>
            </w:r>
            <w:proofErr w:type="gramEnd"/>
            <w:r w:rsidRPr="000E4461">
              <w:rPr>
                <w:b w:val="0"/>
              </w:rPr>
              <w:t xml:space="preserve"> </w:t>
            </w:r>
            <w:r w:rsidR="00B72720" w:rsidRPr="000E4461">
              <w:rPr>
                <w:b w:val="0"/>
              </w:rPr>
              <w:t>demonstrating</w:t>
            </w:r>
            <w:r w:rsidRPr="000E4461">
              <w:rPr>
                <w:b w:val="0"/>
              </w:rPr>
              <w:t xml:space="preserve"> compliance with the new provisions on the prevention, detection and </w:t>
            </w:r>
            <w:r w:rsidRPr="000E4461">
              <w:rPr>
                <w:b w:val="0"/>
              </w:rPr>
              <w:lastRenderedPageBreak/>
              <w:t xml:space="preserve">adequate reporting of public procurement irregularities and conflicts of interests  </w:t>
            </w:r>
          </w:p>
        </w:tc>
        <w:tc>
          <w:tcPr>
            <w:tcW w:w="3352" w:type="pct"/>
          </w:tcPr>
          <w:p w14:paraId="5C393EE8" w14:textId="77777777" w:rsidR="00F2313E" w:rsidRPr="000E4461" w:rsidRDefault="00F2313E" w:rsidP="005329C9"/>
          <w:p w14:paraId="16A9EBBB" w14:textId="384674B2" w:rsidR="00475290" w:rsidRPr="000E4461" w:rsidRDefault="00F2313E" w:rsidP="005329C9">
            <w:r w:rsidRPr="000E4461">
              <w:t xml:space="preserve">The guideline on regulatory controls conducted by the Public Procurement Control Department of the Prime Minister’s Office </w:t>
            </w:r>
            <w:r w:rsidR="00FB0FFD" w:rsidRPr="000E4461">
              <w:t xml:space="preserve">available on </w:t>
            </w:r>
            <w:hyperlink r:id="rId26" w:history="1">
              <w:r w:rsidR="00FB0FFD" w:rsidRPr="000E4461">
                <w:rPr>
                  <w:rStyle w:val="Hiperhivatkozs"/>
                </w:rPr>
                <w:t>www.palyazat.gov.hu</w:t>
              </w:r>
            </w:hyperlink>
            <w:r w:rsidRPr="000E4461">
              <w:t xml:space="preserve"> provides guidance on submitting declarations on conflicts of interests</w:t>
            </w:r>
            <w:r w:rsidR="00C30A76" w:rsidRPr="000E4461">
              <w:t xml:space="preserve"> helping not only officials conducting controls, but also public procurement professionals:</w:t>
            </w:r>
            <w:r w:rsidR="0030410C" w:rsidRPr="000E4461">
              <w:t xml:space="preserve"> </w:t>
            </w:r>
            <w:hyperlink r:id="rId27" w:history="1">
              <w:r w:rsidR="002975B5" w:rsidRPr="000E4461">
                <w:rPr>
                  <w:rStyle w:val="Hiperhivatkozs"/>
                </w:rPr>
                <w:t>https://www.palyazat.gov.hu/tmutat-a-2014-2020-programozsi-idszakban-az-egyes-eurpai-unis-alapokbl-szrmaz-tmogatsok-felhasznlsnak-rendjrl-szl-272-2014-xi-5-korm-rendelet-szerinti-ellenrzshez</w:t>
              </w:r>
            </w:hyperlink>
            <w:r w:rsidR="002975B5" w:rsidRPr="000E4461">
              <w:t xml:space="preserve"> </w:t>
            </w:r>
          </w:p>
          <w:p w14:paraId="01F7B0A7" w14:textId="2EE4B18F" w:rsidR="0030410C" w:rsidRPr="000E4461" w:rsidRDefault="002975B5" w:rsidP="005329C9">
            <w:r w:rsidRPr="000E4461">
              <w:t>https://www.palyazat.gov.hu/download.php?objectId=72651</w:t>
            </w:r>
          </w:p>
          <w:p w14:paraId="7F6678BA" w14:textId="77777777" w:rsidR="002975B5" w:rsidRPr="000E4461" w:rsidRDefault="002975B5" w:rsidP="005329C9"/>
          <w:p w14:paraId="5DF701C6" w14:textId="07F2C74F" w:rsidR="00282AD6" w:rsidRPr="000E4461" w:rsidRDefault="0021670D" w:rsidP="005329C9">
            <w:r w:rsidRPr="000E4461">
              <w:t xml:space="preserve">To support </w:t>
            </w:r>
            <w:r w:rsidR="00475290" w:rsidRPr="000E4461">
              <w:t>economic operators</w:t>
            </w:r>
            <w:r w:rsidRPr="000E4461">
              <w:t>, the template documents published by the Prime Minister’</w:t>
            </w:r>
            <w:r w:rsidR="00282AD6" w:rsidRPr="000E4461">
              <w:t xml:space="preserve">s Office include </w:t>
            </w:r>
            <w:r w:rsidR="0057609A" w:rsidRPr="000E4461">
              <w:t xml:space="preserve">a guideline and </w:t>
            </w:r>
            <w:r w:rsidR="00282AD6" w:rsidRPr="000E4461">
              <w:t xml:space="preserve">a sample declaration on conflicts of interest, available on </w:t>
            </w:r>
            <w:hyperlink r:id="rId28" w:history="1">
              <w:r w:rsidR="00CC7CA5" w:rsidRPr="000E4461">
                <w:rPr>
                  <w:rStyle w:val="Hiperhivatkozs"/>
                </w:rPr>
                <w:t>www.palyazat.gov.hu</w:t>
              </w:r>
            </w:hyperlink>
            <w:r w:rsidR="00282AD6" w:rsidRPr="000E4461">
              <w:t>:</w:t>
            </w:r>
            <w:r w:rsidR="00CC7CA5" w:rsidRPr="000E4461">
              <w:t xml:space="preserve"> </w:t>
            </w:r>
            <w:hyperlink r:id="rId29" w:history="1">
              <w:r w:rsidR="00282AD6" w:rsidRPr="000E4461">
                <w:rPr>
                  <w:rStyle w:val="Hiperhivatkozs"/>
                </w:rPr>
                <w:t>https://www.palyazat.gov.hu/iratmintk-1</w:t>
              </w:r>
            </w:hyperlink>
            <w:r w:rsidR="00282AD6" w:rsidRPr="000E4461">
              <w:t xml:space="preserve"> </w:t>
            </w:r>
          </w:p>
          <w:p w14:paraId="7B8E1E1B" w14:textId="53631008" w:rsidR="0057609A" w:rsidRPr="000E4461" w:rsidRDefault="008E074D" w:rsidP="0057609A">
            <w:hyperlink r:id="rId30" w:history="1">
              <w:r w:rsidR="00282AD6" w:rsidRPr="000E4461">
                <w:rPr>
                  <w:rStyle w:val="Hiperhivatkozs"/>
                </w:rPr>
                <w:t>https://www.palyazat.gov.hu/download.php?objectId=64523</w:t>
              </w:r>
            </w:hyperlink>
            <w:r w:rsidR="007A18B7">
              <w:t xml:space="preserve"> </w:t>
            </w:r>
          </w:p>
          <w:p w14:paraId="3F096665" w14:textId="77777777" w:rsidR="00CB2693" w:rsidRPr="000E4461" w:rsidRDefault="00CB2693" w:rsidP="0057609A"/>
          <w:p w14:paraId="5FB6C8BE" w14:textId="5F153876" w:rsidR="00282AD6" w:rsidRPr="007A18B7" w:rsidRDefault="00282AD6" w:rsidP="005329C9">
            <w:r w:rsidRPr="00F86AB5">
              <w:t>The EKR system</w:t>
            </w:r>
            <w:r w:rsidR="00C30A76" w:rsidRPr="00F86AB5">
              <w:t>, the Hungarian electronic public procurement platform</w:t>
            </w:r>
            <w:r w:rsidRPr="00F86AB5">
              <w:t xml:space="preserve"> also incorporates a declaration</w:t>
            </w:r>
            <w:r w:rsidR="00CB2693" w:rsidRPr="00F86AB5">
              <w:t xml:space="preserve"> template</w:t>
            </w:r>
            <w:r w:rsidR="00DE300D">
              <w:t xml:space="preserve"> on conflicts of interest, which can be reached after a registration.</w:t>
            </w:r>
          </w:p>
        </w:tc>
      </w:tr>
      <w:tr w:rsidR="009C6F87" w:rsidRPr="000E4461" w14:paraId="2F7CD515" w14:textId="77777777" w:rsidTr="00A47B20">
        <w:tc>
          <w:tcPr>
            <w:tcW w:w="1648" w:type="pct"/>
          </w:tcPr>
          <w:p w14:paraId="7F372948" w14:textId="7F57D394" w:rsidR="009C6F87" w:rsidRPr="000E4461" w:rsidRDefault="00A0326A" w:rsidP="00253552">
            <w:pPr>
              <w:pStyle w:val="Cmsor3"/>
              <w:outlineLvl w:val="2"/>
            </w:pPr>
            <w:r w:rsidRPr="000E4461">
              <w:lastRenderedPageBreak/>
              <w:t>III</w:t>
            </w:r>
            <w:r w:rsidR="009C6F87" w:rsidRPr="000E4461">
              <w:t>.3. Quantitative indicators</w:t>
            </w:r>
          </w:p>
        </w:tc>
        <w:tc>
          <w:tcPr>
            <w:tcW w:w="3352" w:type="pct"/>
          </w:tcPr>
          <w:p w14:paraId="0237BDE6" w14:textId="55860F49" w:rsidR="009C6F87" w:rsidRPr="000E4461" w:rsidRDefault="009C6F87" w:rsidP="0086391B">
            <w:pPr>
              <w:jc w:val="both"/>
              <w:rPr>
                <w:i/>
              </w:rPr>
            </w:pPr>
          </w:p>
        </w:tc>
      </w:tr>
      <w:tr w:rsidR="009C6F87" w:rsidRPr="000E4461" w14:paraId="7E1C9B21" w14:textId="77777777" w:rsidTr="00A47B20">
        <w:tc>
          <w:tcPr>
            <w:tcW w:w="1648" w:type="pct"/>
          </w:tcPr>
          <w:p w14:paraId="0F2DF75B" w14:textId="68701BF9" w:rsidR="009C6F87" w:rsidRPr="000E4461" w:rsidRDefault="00567DA6" w:rsidP="003236CE">
            <w:pPr>
              <w:pStyle w:val="Cmsor3"/>
              <w:outlineLvl w:val="2"/>
              <w:rPr>
                <w:b w:val="0"/>
              </w:rPr>
            </w:pPr>
            <w:r w:rsidRPr="000E4461">
              <w:rPr>
                <w:b w:val="0"/>
              </w:rPr>
              <w:t>Statistical d</w:t>
            </w:r>
            <w:r w:rsidR="00D50216" w:rsidRPr="000E4461">
              <w:rPr>
                <w:b w:val="0"/>
              </w:rPr>
              <w:t xml:space="preserve">istribution of </w:t>
            </w:r>
            <w:r w:rsidR="00AA74C1" w:rsidRPr="000E4461">
              <w:rPr>
                <w:b w:val="0"/>
              </w:rPr>
              <w:t xml:space="preserve">buyers by frequency of </w:t>
            </w:r>
            <w:r w:rsidR="00477293" w:rsidRPr="000E4461">
              <w:rPr>
                <w:b w:val="0"/>
              </w:rPr>
              <w:t>actual</w:t>
            </w:r>
            <w:r w:rsidR="00AA74C1" w:rsidRPr="000E4461">
              <w:rPr>
                <w:b w:val="0"/>
              </w:rPr>
              <w:t xml:space="preserve"> </w:t>
            </w:r>
            <w:r w:rsidR="00D50216" w:rsidRPr="000E4461">
              <w:rPr>
                <w:b w:val="0"/>
              </w:rPr>
              <w:t xml:space="preserve">competition </w:t>
            </w:r>
          </w:p>
        </w:tc>
        <w:tc>
          <w:tcPr>
            <w:tcW w:w="3352" w:type="pct"/>
          </w:tcPr>
          <w:p w14:paraId="2734D4EE" w14:textId="77777777" w:rsidR="006E04BE" w:rsidRPr="000E4461" w:rsidRDefault="006E04BE" w:rsidP="00035954">
            <w:pPr>
              <w:jc w:val="both"/>
            </w:pPr>
          </w:p>
          <w:p w14:paraId="2CAEE034" w14:textId="6DFAAE60" w:rsidR="006E04BE" w:rsidRPr="000E4461" w:rsidRDefault="001A6E66" w:rsidP="00DC189A">
            <w:pPr>
              <w:pStyle w:val="Cmsor2"/>
              <w:outlineLvl w:val="1"/>
            </w:pPr>
            <w:r w:rsidRPr="000E4461">
              <w:t>The proportion of single-bid procedures according to the type of contracting authorities</w:t>
            </w:r>
          </w:p>
          <w:p w14:paraId="4BDBF093" w14:textId="77777777" w:rsidR="006E04BE" w:rsidRPr="000E4461" w:rsidRDefault="006E04BE" w:rsidP="006E04BE"/>
          <w:tbl>
            <w:tblPr>
              <w:tblW w:w="8642" w:type="dxa"/>
              <w:jc w:val="center"/>
              <w:tblCellMar>
                <w:left w:w="70" w:type="dxa"/>
                <w:right w:w="70" w:type="dxa"/>
              </w:tblCellMar>
              <w:tblLook w:val="04A0" w:firstRow="1" w:lastRow="0" w:firstColumn="1" w:lastColumn="0" w:noHBand="0" w:noVBand="1"/>
            </w:tblPr>
            <w:tblGrid>
              <w:gridCol w:w="2405"/>
              <w:gridCol w:w="2126"/>
              <w:gridCol w:w="1985"/>
              <w:gridCol w:w="2126"/>
            </w:tblGrid>
            <w:tr w:rsidR="006E04BE" w:rsidRPr="000E4461" w14:paraId="4A2B5C4B" w14:textId="77777777" w:rsidTr="00792976">
              <w:trPr>
                <w:trHeight w:val="615"/>
                <w:jc w:val="center"/>
              </w:trPr>
              <w:tc>
                <w:tcPr>
                  <w:tcW w:w="2405" w:type="dxa"/>
                  <w:tcBorders>
                    <w:top w:val="single" w:sz="4" w:space="0" w:color="auto"/>
                    <w:left w:val="single" w:sz="4" w:space="0" w:color="auto"/>
                    <w:bottom w:val="double" w:sz="6" w:space="0" w:color="auto"/>
                    <w:right w:val="single" w:sz="4" w:space="0" w:color="auto"/>
                  </w:tcBorders>
                  <w:shd w:val="clear" w:color="auto" w:fill="548DD4" w:themeFill="text2" w:themeFillTint="99"/>
                  <w:noWrap/>
                  <w:vAlign w:val="center"/>
                  <w:hideMark/>
                </w:tcPr>
                <w:p w14:paraId="4FA90E65" w14:textId="396207CA" w:rsidR="006E04BE" w:rsidRPr="000E4461" w:rsidRDefault="00C7696A" w:rsidP="006E04BE">
                  <w:pPr>
                    <w:rPr>
                      <w:b/>
                    </w:rPr>
                  </w:pPr>
                  <w:r w:rsidRPr="000E4461">
                    <w:rPr>
                      <w:b/>
                    </w:rPr>
                    <w:t>Type of contracting authorities</w:t>
                  </w:r>
                </w:p>
              </w:tc>
              <w:tc>
                <w:tcPr>
                  <w:tcW w:w="2126"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239A0E1D" w14:textId="3EAB74C2" w:rsidR="006E04BE" w:rsidRPr="000E4461" w:rsidRDefault="00C7696A" w:rsidP="006E04BE">
                  <w:pPr>
                    <w:jc w:val="center"/>
                    <w:rPr>
                      <w:b/>
                    </w:rPr>
                  </w:pPr>
                  <w:r w:rsidRPr="000E4461">
                    <w:rPr>
                      <w:b/>
                    </w:rPr>
                    <w:t>Total number of awarded contracts</w:t>
                  </w:r>
                </w:p>
              </w:tc>
              <w:tc>
                <w:tcPr>
                  <w:tcW w:w="1985"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681C24B5" w14:textId="5119B78B" w:rsidR="006E04BE" w:rsidRPr="000E4461" w:rsidRDefault="001A6E66" w:rsidP="006E04BE">
                  <w:pPr>
                    <w:jc w:val="center"/>
                    <w:rPr>
                      <w:b/>
                    </w:rPr>
                  </w:pPr>
                  <w:r w:rsidRPr="000E4461">
                    <w:rPr>
                      <w:b/>
                    </w:rPr>
                    <w:t>Number of single-bid procedures</w:t>
                  </w:r>
                </w:p>
              </w:tc>
              <w:tc>
                <w:tcPr>
                  <w:tcW w:w="2126"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1AB91A1C" w14:textId="1B1F50D7" w:rsidR="006E04BE" w:rsidRPr="000E4461" w:rsidRDefault="001A6E66" w:rsidP="006E04BE">
                  <w:pPr>
                    <w:jc w:val="center"/>
                    <w:rPr>
                      <w:b/>
                    </w:rPr>
                  </w:pPr>
                  <w:r w:rsidRPr="000E4461">
                    <w:rPr>
                      <w:b/>
                    </w:rPr>
                    <w:t>Proportion of single-bid procedures (%)</w:t>
                  </w:r>
                </w:p>
              </w:tc>
            </w:tr>
            <w:tr w:rsidR="006E04BE" w:rsidRPr="000E4461" w14:paraId="0BB89FC7" w14:textId="77777777" w:rsidTr="00792976">
              <w:trPr>
                <w:trHeight w:val="285"/>
                <w:jc w:val="center"/>
              </w:trPr>
              <w:tc>
                <w:tcPr>
                  <w:tcW w:w="2405" w:type="dxa"/>
                  <w:tcBorders>
                    <w:top w:val="double" w:sz="6"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C8084F4" w14:textId="1E5ECC28" w:rsidR="006E04BE" w:rsidRPr="000E4461" w:rsidRDefault="00C7696A" w:rsidP="006E04BE">
                  <w:r w:rsidRPr="000E4461">
                    <w:t>Other entities</w:t>
                  </w:r>
                </w:p>
              </w:tc>
              <w:tc>
                <w:tcPr>
                  <w:tcW w:w="2126" w:type="dxa"/>
                  <w:tcBorders>
                    <w:top w:val="nil"/>
                    <w:left w:val="nil"/>
                    <w:bottom w:val="single" w:sz="4" w:space="0" w:color="auto"/>
                    <w:right w:val="single" w:sz="4" w:space="0" w:color="auto"/>
                  </w:tcBorders>
                  <w:shd w:val="clear" w:color="auto" w:fill="auto"/>
                  <w:noWrap/>
                  <w:vAlign w:val="center"/>
                  <w:hideMark/>
                </w:tcPr>
                <w:p w14:paraId="6979916E" w14:textId="77777777" w:rsidR="006E04BE" w:rsidRPr="000E4461" w:rsidRDefault="006E04BE" w:rsidP="006E04BE">
                  <w:pPr>
                    <w:jc w:val="center"/>
                  </w:pPr>
                  <w:r w:rsidRPr="000E4461">
                    <w:t>1 616</w:t>
                  </w:r>
                </w:p>
              </w:tc>
              <w:tc>
                <w:tcPr>
                  <w:tcW w:w="1985" w:type="dxa"/>
                  <w:tcBorders>
                    <w:top w:val="nil"/>
                    <w:left w:val="nil"/>
                    <w:bottom w:val="single" w:sz="4" w:space="0" w:color="auto"/>
                    <w:right w:val="single" w:sz="4" w:space="0" w:color="auto"/>
                  </w:tcBorders>
                  <w:shd w:val="clear" w:color="auto" w:fill="auto"/>
                  <w:noWrap/>
                  <w:vAlign w:val="center"/>
                  <w:hideMark/>
                </w:tcPr>
                <w:p w14:paraId="77CD0E7C" w14:textId="77777777" w:rsidR="006E04BE" w:rsidRPr="000E4461" w:rsidRDefault="006E04BE" w:rsidP="006E04BE">
                  <w:pPr>
                    <w:jc w:val="center"/>
                  </w:pPr>
                  <w:r w:rsidRPr="000E4461">
                    <w:t>277</w:t>
                  </w:r>
                </w:p>
              </w:tc>
              <w:tc>
                <w:tcPr>
                  <w:tcW w:w="2126" w:type="dxa"/>
                  <w:tcBorders>
                    <w:top w:val="nil"/>
                    <w:left w:val="nil"/>
                    <w:bottom w:val="single" w:sz="4" w:space="0" w:color="auto"/>
                    <w:right w:val="single" w:sz="4" w:space="0" w:color="auto"/>
                  </w:tcBorders>
                  <w:shd w:val="clear" w:color="auto" w:fill="auto"/>
                  <w:noWrap/>
                  <w:vAlign w:val="center"/>
                  <w:hideMark/>
                </w:tcPr>
                <w:p w14:paraId="10B1AFF9" w14:textId="77777777" w:rsidR="006E04BE" w:rsidRPr="000E4461" w:rsidRDefault="006E04BE" w:rsidP="006E04BE">
                  <w:pPr>
                    <w:jc w:val="center"/>
                  </w:pPr>
                  <w:r w:rsidRPr="000E4461">
                    <w:t>17,14%</w:t>
                  </w:r>
                </w:p>
              </w:tc>
            </w:tr>
            <w:tr w:rsidR="006E04BE" w:rsidRPr="000E4461" w14:paraId="6AAC0B39" w14:textId="77777777" w:rsidTr="00792976">
              <w:trPr>
                <w:trHeight w:val="270"/>
                <w:jc w:val="center"/>
              </w:trPr>
              <w:tc>
                <w:tcPr>
                  <w:tcW w:w="2405"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44D6513C" w14:textId="20342F62" w:rsidR="006E04BE" w:rsidRPr="000E4461" w:rsidRDefault="001A6E66" w:rsidP="006E04BE">
                  <w:r w:rsidRPr="000E4461">
                    <w:t>Public bodies</w:t>
                  </w:r>
                </w:p>
              </w:tc>
              <w:tc>
                <w:tcPr>
                  <w:tcW w:w="2126" w:type="dxa"/>
                  <w:tcBorders>
                    <w:top w:val="nil"/>
                    <w:left w:val="nil"/>
                    <w:bottom w:val="single" w:sz="4" w:space="0" w:color="auto"/>
                    <w:right w:val="single" w:sz="4" w:space="0" w:color="auto"/>
                  </w:tcBorders>
                  <w:shd w:val="clear" w:color="auto" w:fill="auto"/>
                  <w:noWrap/>
                  <w:vAlign w:val="center"/>
                  <w:hideMark/>
                </w:tcPr>
                <w:p w14:paraId="6CF7509F" w14:textId="77777777" w:rsidR="006E04BE" w:rsidRPr="000E4461" w:rsidRDefault="006E04BE" w:rsidP="006E04BE">
                  <w:pPr>
                    <w:jc w:val="center"/>
                  </w:pPr>
                  <w:r w:rsidRPr="000E4461">
                    <w:t>1 764</w:t>
                  </w:r>
                </w:p>
              </w:tc>
              <w:tc>
                <w:tcPr>
                  <w:tcW w:w="1985" w:type="dxa"/>
                  <w:tcBorders>
                    <w:top w:val="nil"/>
                    <w:left w:val="nil"/>
                    <w:bottom w:val="single" w:sz="4" w:space="0" w:color="auto"/>
                    <w:right w:val="single" w:sz="4" w:space="0" w:color="auto"/>
                  </w:tcBorders>
                  <w:shd w:val="clear" w:color="auto" w:fill="auto"/>
                  <w:vAlign w:val="center"/>
                  <w:hideMark/>
                </w:tcPr>
                <w:p w14:paraId="66DCDE31" w14:textId="77777777" w:rsidR="006E04BE" w:rsidRPr="000E4461" w:rsidRDefault="006E04BE" w:rsidP="006E04BE">
                  <w:pPr>
                    <w:jc w:val="center"/>
                  </w:pPr>
                  <w:r w:rsidRPr="000E4461">
                    <w:t>418</w:t>
                  </w:r>
                </w:p>
              </w:tc>
              <w:tc>
                <w:tcPr>
                  <w:tcW w:w="2126" w:type="dxa"/>
                  <w:tcBorders>
                    <w:top w:val="nil"/>
                    <w:left w:val="nil"/>
                    <w:bottom w:val="single" w:sz="4" w:space="0" w:color="auto"/>
                    <w:right w:val="single" w:sz="4" w:space="0" w:color="auto"/>
                  </w:tcBorders>
                  <w:shd w:val="clear" w:color="auto" w:fill="auto"/>
                  <w:noWrap/>
                  <w:vAlign w:val="center"/>
                  <w:hideMark/>
                </w:tcPr>
                <w:p w14:paraId="4244F65C" w14:textId="77777777" w:rsidR="006E04BE" w:rsidRPr="000E4461" w:rsidRDefault="006E04BE" w:rsidP="006E04BE">
                  <w:pPr>
                    <w:jc w:val="center"/>
                  </w:pPr>
                  <w:r w:rsidRPr="000E4461">
                    <w:t>23,70%</w:t>
                  </w:r>
                </w:p>
              </w:tc>
            </w:tr>
            <w:tr w:rsidR="006E04BE" w:rsidRPr="000E4461" w14:paraId="6B311696" w14:textId="77777777" w:rsidTr="00792976">
              <w:trPr>
                <w:trHeight w:val="270"/>
                <w:jc w:val="center"/>
              </w:trPr>
              <w:tc>
                <w:tcPr>
                  <w:tcW w:w="2405"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53787CF" w14:textId="4E861DB6" w:rsidR="006E04BE" w:rsidRPr="000E4461" w:rsidRDefault="00C7696A" w:rsidP="006E04BE">
                  <w:r w:rsidRPr="000E4461">
                    <w:t>Central bodies</w:t>
                  </w:r>
                </w:p>
              </w:tc>
              <w:tc>
                <w:tcPr>
                  <w:tcW w:w="2126" w:type="dxa"/>
                  <w:tcBorders>
                    <w:top w:val="nil"/>
                    <w:left w:val="nil"/>
                    <w:bottom w:val="single" w:sz="4" w:space="0" w:color="auto"/>
                    <w:right w:val="single" w:sz="4" w:space="0" w:color="auto"/>
                  </w:tcBorders>
                  <w:shd w:val="clear" w:color="auto" w:fill="auto"/>
                  <w:noWrap/>
                  <w:vAlign w:val="center"/>
                  <w:hideMark/>
                </w:tcPr>
                <w:p w14:paraId="1E6204F1" w14:textId="77777777" w:rsidR="006E04BE" w:rsidRPr="000E4461" w:rsidRDefault="006E04BE" w:rsidP="006E04BE">
                  <w:pPr>
                    <w:jc w:val="center"/>
                  </w:pPr>
                  <w:r w:rsidRPr="000E4461">
                    <w:t>906</w:t>
                  </w:r>
                </w:p>
              </w:tc>
              <w:tc>
                <w:tcPr>
                  <w:tcW w:w="1985" w:type="dxa"/>
                  <w:tcBorders>
                    <w:top w:val="nil"/>
                    <w:left w:val="nil"/>
                    <w:bottom w:val="single" w:sz="4" w:space="0" w:color="auto"/>
                    <w:right w:val="single" w:sz="4" w:space="0" w:color="auto"/>
                  </w:tcBorders>
                  <w:shd w:val="clear" w:color="auto" w:fill="auto"/>
                  <w:noWrap/>
                  <w:vAlign w:val="center"/>
                  <w:hideMark/>
                </w:tcPr>
                <w:p w14:paraId="316444E1" w14:textId="77777777" w:rsidR="006E04BE" w:rsidRPr="000E4461" w:rsidRDefault="006E04BE" w:rsidP="006E04BE">
                  <w:pPr>
                    <w:jc w:val="center"/>
                  </w:pPr>
                  <w:r w:rsidRPr="000E4461">
                    <w:t>187</w:t>
                  </w:r>
                </w:p>
              </w:tc>
              <w:tc>
                <w:tcPr>
                  <w:tcW w:w="2126" w:type="dxa"/>
                  <w:tcBorders>
                    <w:top w:val="nil"/>
                    <w:left w:val="nil"/>
                    <w:bottom w:val="single" w:sz="4" w:space="0" w:color="auto"/>
                    <w:right w:val="single" w:sz="4" w:space="0" w:color="auto"/>
                  </w:tcBorders>
                  <w:shd w:val="clear" w:color="auto" w:fill="auto"/>
                  <w:noWrap/>
                  <w:vAlign w:val="center"/>
                  <w:hideMark/>
                </w:tcPr>
                <w:p w14:paraId="6EB32F79" w14:textId="77777777" w:rsidR="006E04BE" w:rsidRPr="000E4461" w:rsidRDefault="006E04BE" w:rsidP="006E04BE">
                  <w:pPr>
                    <w:jc w:val="center"/>
                  </w:pPr>
                  <w:r w:rsidRPr="000E4461">
                    <w:t>20,64%</w:t>
                  </w:r>
                </w:p>
              </w:tc>
            </w:tr>
            <w:tr w:rsidR="006E04BE" w:rsidRPr="000E4461" w14:paraId="6EC4CDB4" w14:textId="77777777" w:rsidTr="00792976">
              <w:trPr>
                <w:trHeight w:val="270"/>
                <w:jc w:val="center"/>
              </w:trPr>
              <w:tc>
                <w:tcPr>
                  <w:tcW w:w="2405"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53C6C68" w14:textId="7045DDD0" w:rsidR="006E04BE" w:rsidRPr="000E4461" w:rsidRDefault="001A6E66" w:rsidP="006E04BE">
                  <w:r w:rsidRPr="000E4461">
                    <w:t>Utility companies</w:t>
                  </w:r>
                </w:p>
              </w:tc>
              <w:tc>
                <w:tcPr>
                  <w:tcW w:w="2126" w:type="dxa"/>
                  <w:tcBorders>
                    <w:top w:val="nil"/>
                    <w:left w:val="nil"/>
                    <w:bottom w:val="single" w:sz="4" w:space="0" w:color="auto"/>
                    <w:right w:val="single" w:sz="4" w:space="0" w:color="auto"/>
                  </w:tcBorders>
                  <w:shd w:val="clear" w:color="auto" w:fill="auto"/>
                  <w:noWrap/>
                  <w:vAlign w:val="center"/>
                  <w:hideMark/>
                </w:tcPr>
                <w:p w14:paraId="0A17ABA0" w14:textId="77777777" w:rsidR="006E04BE" w:rsidRPr="000E4461" w:rsidRDefault="006E04BE" w:rsidP="006E04BE">
                  <w:pPr>
                    <w:jc w:val="center"/>
                  </w:pPr>
                  <w:r w:rsidRPr="000E4461">
                    <w:t>523</w:t>
                  </w:r>
                </w:p>
              </w:tc>
              <w:tc>
                <w:tcPr>
                  <w:tcW w:w="1985" w:type="dxa"/>
                  <w:tcBorders>
                    <w:top w:val="nil"/>
                    <w:left w:val="nil"/>
                    <w:bottom w:val="single" w:sz="4" w:space="0" w:color="auto"/>
                    <w:right w:val="single" w:sz="4" w:space="0" w:color="auto"/>
                  </w:tcBorders>
                  <w:shd w:val="clear" w:color="auto" w:fill="auto"/>
                  <w:noWrap/>
                  <w:vAlign w:val="center"/>
                  <w:hideMark/>
                </w:tcPr>
                <w:p w14:paraId="491FC46F" w14:textId="77777777" w:rsidR="006E04BE" w:rsidRPr="000E4461" w:rsidRDefault="006E04BE" w:rsidP="006E04BE">
                  <w:pPr>
                    <w:jc w:val="center"/>
                  </w:pPr>
                  <w:r w:rsidRPr="000E4461">
                    <w:t>146</w:t>
                  </w:r>
                </w:p>
              </w:tc>
              <w:tc>
                <w:tcPr>
                  <w:tcW w:w="2126" w:type="dxa"/>
                  <w:tcBorders>
                    <w:top w:val="nil"/>
                    <w:left w:val="nil"/>
                    <w:bottom w:val="single" w:sz="4" w:space="0" w:color="auto"/>
                    <w:right w:val="single" w:sz="4" w:space="0" w:color="auto"/>
                  </w:tcBorders>
                  <w:shd w:val="clear" w:color="auto" w:fill="auto"/>
                  <w:noWrap/>
                  <w:vAlign w:val="center"/>
                  <w:hideMark/>
                </w:tcPr>
                <w:p w14:paraId="62BFAFB6" w14:textId="77777777" w:rsidR="006E04BE" w:rsidRPr="000E4461" w:rsidRDefault="006E04BE" w:rsidP="006E04BE">
                  <w:pPr>
                    <w:jc w:val="center"/>
                  </w:pPr>
                  <w:r w:rsidRPr="000E4461">
                    <w:t>27,92%</w:t>
                  </w:r>
                </w:p>
              </w:tc>
            </w:tr>
            <w:tr w:rsidR="006E04BE" w:rsidRPr="000E4461" w14:paraId="2E4F2BA0" w14:textId="77777777" w:rsidTr="00792976">
              <w:trPr>
                <w:trHeight w:val="270"/>
                <w:jc w:val="center"/>
              </w:trPr>
              <w:tc>
                <w:tcPr>
                  <w:tcW w:w="2405"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0F146482" w14:textId="654AEDC4" w:rsidR="006E04BE" w:rsidRPr="000E4461" w:rsidRDefault="001A6E66" w:rsidP="006E04BE">
                  <w:r w:rsidRPr="000E4461">
                    <w:t>Regional/local</w:t>
                  </w:r>
                  <w:r w:rsidR="00DE47C6" w:rsidRPr="000E4461">
                    <w:t xml:space="preserve"> bodies</w:t>
                  </w:r>
                </w:p>
              </w:tc>
              <w:tc>
                <w:tcPr>
                  <w:tcW w:w="2126" w:type="dxa"/>
                  <w:tcBorders>
                    <w:top w:val="nil"/>
                    <w:left w:val="nil"/>
                    <w:bottom w:val="single" w:sz="4" w:space="0" w:color="auto"/>
                    <w:right w:val="single" w:sz="4" w:space="0" w:color="auto"/>
                  </w:tcBorders>
                  <w:shd w:val="clear" w:color="auto" w:fill="auto"/>
                  <w:noWrap/>
                  <w:vAlign w:val="center"/>
                  <w:hideMark/>
                </w:tcPr>
                <w:p w14:paraId="1C609B48" w14:textId="77777777" w:rsidR="006E04BE" w:rsidRPr="000E4461" w:rsidRDefault="006E04BE" w:rsidP="006E04BE">
                  <w:pPr>
                    <w:jc w:val="center"/>
                  </w:pPr>
                  <w:r w:rsidRPr="000E4461">
                    <w:t>3 315</w:t>
                  </w:r>
                </w:p>
              </w:tc>
              <w:tc>
                <w:tcPr>
                  <w:tcW w:w="1985" w:type="dxa"/>
                  <w:tcBorders>
                    <w:top w:val="nil"/>
                    <w:left w:val="nil"/>
                    <w:bottom w:val="single" w:sz="4" w:space="0" w:color="auto"/>
                    <w:right w:val="single" w:sz="4" w:space="0" w:color="auto"/>
                  </w:tcBorders>
                  <w:shd w:val="clear" w:color="auto" w:fill="auto"/>
                  <w:noWrap/>
                  <w:vAlign w:val="center"/>
                  <w:hideMark/>
                </w:tcPr>
                <w:p w14:paraId="4131DAA5" w14:textId="77777777" w:rsidR="006E04BE" w:rsidRPr="000E4461" w:rsidRDefault="006E04BE" w:rsidP="006E04BE">
                  <w:pPr>
                    <w:jc w:val="center"/>
                  </w:pPr>
                  <w:r w:rsidRPr="000E4461">
                    <w:t>343</w:t>
                  </w:r>
                </w:p>
              </w:tc>
              <w:tc>
                <w:tcPr>
                  <w:tcW w:w="2126" w:type="dxa"/>
                  <w:tcBorders>
                    <w:top w:val="nil"/>
                    <w:left w:val="nil"/>
                    <w:bottom w:val="single" w:sz="4" w:space="0" w:color="auto"/>
                    <w:right w:val="single" w:sz="4" w:space="0" w:color="auto"/>
                  </w:tcBorders>
                  <w:shd w:val="clear" w:color="auto" w:fill="auto"/>
                  <w:noWrap/>
                  <w:vAlign w:val="center"/>
                  <w:hideMark/>
                </w:tcPr>
                <w:p w14:paraId="309DBC57" w14:textId="77777777" w:rsidR="006E04BE" w:rsidRPr="000E4461" w:rsidRDefault="006E04BE" w:rsidP="006E04BE">
                  <w:pPr>
                    <w:jc w:val="center"/>
                  </w:pPr>
                  <w:r w:rsidRPr="000E4461">
                    <w:t>10,35%</w:t>
                  </w:r>
                </w:p>
              </w:tc>
            </w:tr>
            <w:tr w:rsidR="006E04BE" w:rsidRPr="000E4461" w14:paraId="289F4551" w14:textId="77777777" w:rsidTr="00792976">
              <w:trPr>
                <w:trHeight w:val="285"/>
                <w:jc w:val="center"/>
              </w:trPr>
              <w:tc>
                <w:tcPr>
                  <w:tcW w:w="2405" w:type="dxa"/>
                  <w:tcBorders>
                    <w:top w:val="nil"/>
                    <w:left w:val="single" w:sz="4" w:space="0" w:color="auto"/>
                    <w:bottom w:val="double" w:sz="6" w:space="0" w:color="auto"/>
                    <w:right w:val="single" w:sz="4" w:space="0" w:color="auto"/>
                  </w:tcBorders>
                  <w:shd w:val="clear" w:color="auto" w:fill="C6D9F1" w:themeFill="text2" w:themeFillTint="33"/>
                  <w:noWrap/>
                  <w:vAlign w:val="center"/>
                  <w:hideMark/>
                </w:tcPr>
                <w:p w14:paraId="2E4960AF" w14:textId="224A1DC3" w:rsidR="006E04BE" w:rsidRPr="000E4461" w:rsidRDefault="001A6E66" w:rsidP="006E04BE">
                  <w:r w:rsidRPr="000E4461">
                    <w:t>Supported entities</w:t>
                  </w:r>
                </w:p>
              </w:tc>
              <w:tc>
                <w:tcPr>
                  <w:tcW w:w="2126" w:type="dxa"/>
                  <w:tcBorders>
                    <w:top w:val="nil"/>
                    <w:left w:val="nil"/>
                    <w:bottom w:val="double" w:sz="6" w:space="0" w:color="auto"/>
                    <w:right w:val="single" w:sz="4" w:space="0" w:color="auto"/>
                  </w:tcBorders>
                  <w:shd w:val="clear" w:color="auto" w:fill="auto"/>
                  <w:noWrap/>
                  <w:vAlign w:val="center"/>
                  <w:hideMark/>
                </w:tcPr>
                <w:p w14:paraId="500EDEF5" w14:textId="77777777" w:rsidR="006E04BE" w:rsidRPr="000E4461" w:rsidRDefault="006E04BE" w:rsidP="006E04BE">
                  <w:pPr>
                    <w:jc w:val="center"/>
                  </w:pPr>
                  <w:r w:rsidRPr="000E4461">
                    <w:t>687</w:t>
                  </w:r>
                </w:p>
              </w:tc>
              <w:tc>
                <w:tcPr>
                  <w:tcW w:w="1985" w:type="dxa"/>
                  <w:tcBorders>
                    <w:top w:val="nil"/>
                    <w:left w:val="nil"/>
                    <w:bottom w:val="double" w:sz="6" w:space="0" w:color="auto"/>
                    <w:right w:val="single" w:sz="4" w:space="0" w:color="auto"/>
                  </w:tcBorders>
                  <w:shd w:val="clear" w:color="auto" w:fill="auto"/>
                  <w:noWrap/>
                  <w:vAlign w:val="center"/>
                  <w:hideMark/>
                </w:tcPr>
                <w:p w14:paraId="658C3E7C" w14:textId="77777777" w:rsidR="006E04BE" w:rsidRPr="000E4461" w:rsidRDefault="006E04BE" w:rsidP="006E04BE">
                  <w:pPr>
                    <w:jc w:val="center"/>
                  </w:pPr>
                  <w:r w:rsidRPr="000E4461">
                    <w:t>94</w:t>
                  </w:r>
                </w:p>
              </w:tc>
              <w:tc>
                <w:tcPr>
                  <w:tcW w:w="2126" w:type="dxa"/>
                  <w:tcBorders>
                    <w:top w:val="nil"/>
                    <w:left w:val="nil"/>
                    <w:bottom w:val="double" w:sz="6" w:space="0" w:color="auto"/>
                    <w:right w:val="single" w:sz="4" w:space="0" w:color="auto"/>
                  </w:tcBorders>
                  <w:shd w:val="clear" w:color="auto" w:fill="auto"/>
                  <w:noWrap/>
                  <w:vAlign w:val="center"/>
                  <w:hideMark/>
                </w:tcPr>
                <w:p w14:paraId="504600F3" w14:textId="77777777" w:rsidR="006E04BE" w:rsidRPr="000E4461" w:rsidRDefault="006E04BE" w:rsidP="006E04BE">
                  <w:pPr>
                    <w:jc w:val="center"/>
                  </w:pPr>
                  <w:r w:rsidRPr="000E4461">
                    <w:t>13,68%</w:t>
                  </w:r>
                </w:p>
              </w:tc>
            </w:tr>
            <w:tr w:rsidR="006E04BE" w:rsidRPr="000E4461" w14:paraId="61557777" w14:textId="77777777" w:rsidTr="00792976">
              <w:trPr>
                <w:trHeight w:val="345"/>
                <w:jc w:val="center"/>
              </w:trPr>
              <w:tc>
                <w:tcPr>
                  <w:tcW w:w="2405"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1330281" w14:textId="46F3463D" w:rsidR="006E04BE" w:rsidRPr="000E4461" w:rsidRDefault="00C7696A" w:rsidP="006E04BE">
                  <w:pPr>
                    <w:rPr>
                      <w:b/>
                    </w:rPr>
                  </w:pPr>
                  <w:r w:rsidRPr="000E4461">
                    <w:rPr>
                      <w:b/>
                    </w:rPr>
                    <w:t>Total</w:t>
                  </w:r>
                </w:p>
              </w:tc>
              <w:tc>
                <w:tcPr>
                  <w:tcW w:w="2126" w:type="dxa"/>
                  <w:tcBorders>
                    <w:top w:val="nil"/>
                    <w:left w:val="nil"/>
                    <w:bottom w:val="single" w:sz="4" w:space="0" w:color="auto"/>
                    <w:right w:val="single" w:sz="4" w:space="0" w:color="auto"/>
                  </w:tcBorders>
                  <w:shd w:val="clear" w:color="auto" w:fill="auto"/>
                  <w:noWrap/>
                  <w:vAlign w:val="center"/>
                  <w:hideMark/>
                </w:tcPr>
                <w:p w14:paraId="1CF3CCAE" w14:textId="77777777" w:rsidR="006E04BE" w:rsidRPr="000E4461" w:rsidRDefault="006E04BE" w:rsidP="006E04BE">
                  <w:pPr>
                    <w:jc w:val="center"/>
                  </w:pPr>
                  <w:r w:rsidRPr="000E4461">
                    <w:t>8 811</w:t>
                  </w:r>
                </w:p>
              </w:tc>
              <w:tc>
                <w:tcPr>
                  <w:tcW w:w="1985" w:type="dxa"/>
                  <w:tcBorders>
                    <w:top w:val="nil"/>
                    <w:left w:val="nil"/>
                    <w:bottom w:val="single" w:sz="4" w:space="0" w:color="auto"/>
                    <w:right w:val="single" w:sz="4" w:space="0" w:color="auto"/>
                  </w:tcBorders>
                  <w:shd w:val="clear" w:color="auto" w:fill="auto"/>
                  <w:noWrap/>
                  <w:vAlign w:val="center"/>
                  <w:hideMark/>
                </w:tcPr>
                <w:p w14:paraId="5000036E" w14:textId="77777777" w:rsidR="006E04BE" w:rsidRPr="000E4461" w:rsidRDefault="006E04BE" w:rsidP="006E04BE">
                  <w:pPr>
                    <w:jc w:val="center"/>
                  </w:pPr>
                  <w:r w:rsidRPr="000E4461">
                    <w:t>1 465</w:t>
                  </w:r>
                </w:p>
              </w:tc>
              <w:tc>
                <w:tcPr>
                  <w:tcW w:w="2126" w:type="dxa"/>
                  <w:tcBorders>
                    <w:top w:val="nil"/>
                    <w:left w:val="nil"/>
                    <w:bottom w:val="single" w:sz="4" w:space="0" w:color="auto"/>
                    <w:right w:val="single" w:sz="4" w:space="0" w:color="auto"/>
                  </w:tcBorders>
                  <w:shd w:val="clear" w:color="auto" w:fill="auto"/>
                  <w:noWrap/>
                  <w:vAlign w:val="center"/>
                  <w:hideMark/>
                </w:tcPr>
                <w:p w14:paraId="2B907E99" w14:textId="77777777" w:rsidR="006E04BE" w:rsidRPr="000E4461" w:rsidRDefault="006E04BE" w:rsidP="006E04BE">
                  <w:pPr>
                    <w:jc w:val="center"/>
                  </w:pPr>
                  <w:r w:rsidRPr="000E4461">
                    <w:t>16,63%</w:t>
                  </w:r>
                </w:p>
              </w:tc>
            </w:tr>
          </w:tbl>
          <w:p w14:paraId="7E7D0C24" w14:textId="77777777" w:rsidR="006E04BE" w:rsidRDefault="006E04BE" w:rsidP="00035954">
            <w:pPr>
              <w:jc w:val="both"/>
            </w:pPr>
          </w:p>
          <w:p w14:paraId="66D95432" w14:textId="77777777" w:rsidR="00A02DAF" w:rsidRDefault="00A02DAF" w:rsidP="00A02DAF">
            <w:pPr>
              <w:jc w:val="center"/>
              <w:rPr>
                <w:b/>
                <w:u w:val="single"/>
                <w:lang w:val="hu-HU"/>
              </w:rPr>
            </w:pPr>
          </w:p>
          <w:p w14:paraId="3A7FEC30" w14:textId="77777777" w:rsidR="00A02DAF" w:rsidRDefault="00A02DAF" w:rsidP="00A02DAF">
            <w:pPr>
              <w:jc w:val="center"/>
              <w:rPr>
                <w:b/>
                <w:u w:val="single"/>
                <w:lang w:val="hu-HU"/>
              </w:rPr>
            </w:pPr>
          </w:p>
          <w:p w14:paraId="5894C819" w14:textId="77777777" w:rsidR="00A02DAF" w:rsidRDefault="00A02DAF" w:rsidP="00A02DAF">
            <w:pPr>
              <w:jc w:val="center"/>
              <w:rPr>
                <w:b/>
                <w:u w:val="single"/>
                <w:lang w:val="hu-HU"/>
              </w:rPr>
            </w:pPr>
          </w:p>
          <w:p w14:paraId="5ECD5F0A" w14:textId="77777777" w:rsidR="00A02DAF" w:rsidRDefault="00A02DAF" w:rsidP="00A02DAF">
            <w:pPr>
              <w:jc w:val="center"/>
              <w:rPr>
                <w:b/>
                <w:u w:val="single"/>
                <w:lang w:val="hu-HU"/>
              </w:rPr>
            </w:pPr>
          </w:p>
          <w:p w14:paraId="6F98FC6F" w14:textId="678E1A00" w:rsidR="00A02DAF" w:rsidRPr="00A02DAF" w:rsidRDefault="00A02DAF" w:rsidP="00A02DAF">
            <w:pPr>
              <w:jc w:val="center"/>
              <w:rPr>
                <w:b/>
                <w:u w:val="single"/>
              </w:rPr>
            </w:pPr>
            <w:r w:rsidRPr="00A02DAF">
              <w:rPr>
                <w:b/>
                <w:u w:val="single"/>
              </w:rPr>
              <w:t xml:space="preserve">Statistical distribution of buyers by frequency of </w:t>
            </w:r>
            <w:r>
              <w:rPr>
                <w:b/>
                <w:u w:val="single"/>
              </w:rPr>
              <w:t>single bid procedures</w:t>
            </w:r>
            <w:r w:rsidR="00EF2681">
              <w:rPr>
                <w:b/>
                <w:u w:val="single"/>
              </w:rPr>
              <w:t>*</w:t>
            </w:r>
          </w:p>
          <w:p w14:paraId="5B1927A2" w14:textId="77777777" w:rsidR="00A02DAF" w:rsidRPr="00A02DAF" w:rsidRDefault="00A02DAF" w:rsidP="00A02DAF">
            <w:pPr>
              <w:jc w:val="both"/>
              <w:rPr>
                <w:lang w:val="hu-HU"/>
              </w:rPr>
            </w:pPr>
          </w:p>
          <w:tbl>
            <w:tblPr>
              <w:tblW w:w="3969" w:type="dxa"/>
              <w:jc w:val="center"/>
              <w:tblCellMar>
                <w:left w:w="70" w:type="dxa"/>
                <w:right w:w="70" w:type="dxa"/>
              </w:tblCellMar>
              <w:tblLook w:val="04A0" w:firstRow="1" w:lastRow="0" w:firstColumn="1" w:lastColumn="0" w:noHBand="0" w:noVBand="1"/>
            </w:tblPr>
            <w:tblGrid>
              <w:gridCol w:w="1843"/>
              <w:gridCol w:w="2126"/>
            </w:tblGrid>
            <w:tr w:rsidR="00A02DAF" w:rsidRPr="00A02DAF" w14:paraId="36233379" w14:textId="77777777" w:rsidTr="00B8128A">
              <w:trPr>
                <w:trHeight w:val="615"/>
                <w:jc w:val="center"/>
              </w:trPr>
              <w:tc>
                <w:tcPr>
                  <w:tcW w:w="1843" w:type="dxa"/>
                  <w:tcBorders>
                    <w:top w:val="single" w:sz="4" w:space="0" w:color="auto"/>
                    <w:left w:val="single" w:sz="4" w:space="0" w:color="auto"/>
                    <w:bottom w:val="double" w:sz="6" w:space="0" w:color="auto"/>
                    <w:right w:val="single" w:sz="4" w:space="0" w:color="auto"/>
                  </w:tcBorders>
                  <w:shd w:val="clear" w:color="auto" w:fill="548DD4" w:themeFill="text2" w:themeFillTint="99"/>
                  <w:noWrap/>
                  <w:vAlign w:val="center"/>
                  <w:hideMark/>
                </w:tcPr>
                <w:p w14:paraId="6F124EAF" w14:textId="0073B6D9" w:rsidR="00A02DAF" w:rsidRPr="00A02DAF" w:rsidRDefault="00A02DAF" w:rsidP="00A02DAF">
                  <w:pPr>
                    <w:spacing w:after="0" w:line="240" w:lineRule="auto"/>
                    <w:jc w:val="center"/>
                    <w:rPr>
                      <w:b/>
                      <w:bCs/>
                    </w:rPr>
                  </w:pPr>
                  <w:r>
                    <w:rPr>
                      <w:b/>
                      <w:bCs/>
                    </w:rPr>
                    <w:t>Interval</w:t>
                  </w:r>
                  <w:r w:rsidRPr="00A02DAF">
                    <w:rPr>
                      <w:b/>
                      <w:bCs/>
                    </w:rPr>
                    <w:t>s</w:t>
                  </w:r>
                </w:p>
              </w:tc>
              <w:tc>
                <w:tcPr>
                  <w:tcW w:w="2126"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2C6191CD" w14:textId="43CFDD62" w:rsidR="00A02DAF" w:rsidRPr="00A02DAF" w:rsidRDefault="00A02DAF" w:rsidP="00A02DAF">
                  <w:pPr>
                    <w:spacing w:after="0" w:line="240" w:lineRule="auto"/>
                    <w:jc w:val="center"/>
                    <w:rPr>
                      <w:b/>
                      <w:bCs/>
                    </w:rPr>
                  </w:pPr>
                  <w:r w:rsidRPr="00A02DAF">
                    <w:rPr>
                      <w:b/>
                      <w:bCs/>
                    </w:rPr>
                    <w:t>Number of contracting authorities</w:t>
                  </w:r>
                </w:p>
              </w:tc>
            </w:tr>
            <w:tr w:rsidR="00A02DAF" w:rsidRPr="00A02DAF" w14:paraId="542A7833" w14:textId="77777777" w:rsidTr="008E074D">
              <w:trPr>
                <w:trHeight w:val="285"/>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7F7A862A" w14:textId="77777777" w:rsidR="00A02DAF" w:rsidRPr="00A02DAF" w:rsidRDefault="00A02DAF" w:rsidP="00A02DAF">
                  <w:pPr>
                    <w:spacing w:after="0" w:line="240" w:lineRule="auto"/>
                    <w:jc w:val="center"/>
                    <w:rPr>
                      <w:lang w:val="hu-HU"/>
                    </w:rPr>
                  </w:pPr>
                  <w:r w:rsidRPr="00A02DAF">
                    <w:rPr>
                      <w:lang w:val="hu-HU"/>
                    </w:rPr>
                    <w:t>&lt;0%, 10%&gt;</w:t>
                  </w:r>
                </w:p>
              </w:tc>
              <w:tc>
                <w:tcPr>
                  <w:tcW w:w="2126" w:type="dxa"/>
                  <w:tcBorders>
                    <w:top w:val="nil"/>
                    <w:left w:val="nil"/>
                    <w:bottom w:val="single" w:sz="4" w:space="0" w:color="auto"/>
                    <w:right w:val="single" w:sz="4" w:space="0" w:color="auto"/>
                  </w:tcBorders>
                  <w:shd w:val="clear" w:color="auto" w:fill="auto"/>
                  <w:noWrap/>
                  <w:vAlign w:val="center"/>
                </w:tcPr>
                <w:p w14:paraId="1A79F7F7" w14:textId="77777777" w:rsidR="00A02DAF" w:rsidRPr="00A02DAF" w:rsidRDefault="00A02DAF" w:rsidP="00A02DAF">
                  <w:pPr>
                    <w:spacing w:after="0" w:line="240" w:lineRule="auto"/>
                    <w:jc w:val="center"/>
                    <w:rPr>
                      <w:lang w:val="hu-HU"/>
                    </w:rPr>
                  </w:pPr>
                  <w:r w:rsidRPr="00A02DAF">
                    <w:rPr>
                      <w:lang w:val="hu-HU"/>
                    </w:rPr>
                    <w:t>562</w:t>
                  </w:r>
                </w:p>
              </w:tc>
            </w:tr>
            <w:tr w:rsidR="00A02DAF" w:rsidRPr="00A02DAF" w14:paraId="49C2EEEE"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7C522294" w14:textId="23D49393" w:rsidR="00A02DAF" w:rsidRPr="00A02DAF" w:rsidRDefault="00A02DAF" w:rsidP="00A02DAF">
                  <w:pPr>
                    <w:spacing w:after="0" w:line="240" w:lineRule="auto"/>
                    <w:jc w:val="center"/>
                    <w:rPr>
                      <w:lang w:val="hu-HU"/>
                    </w:rPr>
                  </w:pPr>
                  <w:r>
                    <w:rPr>
                      <w:lang w:val="hu-HU"/>
                    </w:rPr>
                    <w:t>&lt;</w:t>
                  </w:r>
                  <w:r w:rsidRPr="00A02DAF">
                    <w:rPr>
                      <w:lang w:val="hu-HU"/>
                    </w:rPr>
                    <w:t>10%, 20%&gt;</w:t>
                  </w:r>
                </w:p>
              </w:tc>
              <w:tc>
                <w:tcPr>
                  <w:tcW w:w="2126" w:type="dxa"/>
                  <w:tcBorders>
                    <w:top w:val="nil"/>
                    <w:left w:val="nil"/>
                    <w:bottom w:val="single" w:sz="4" w:space="0" w:color="auto"/>
                    <w:right w:val="single" w:sz="4" w:space="0" w:color="auto"/>
                  </w:tcBorders>
                  <w:shd w:val="clear" w:color="auto" w:fill="auto"/>
                  <w:noWrap/>
                  <w:vAlign w:val="center"/>
                </w:tcPr>
                <w:p w14:paraId="760570BD" w14:textId="77777777" w:rsidR="00A02DAF" w:rsidRPr="00A02DAF" w:rsidRDefault="00A02DAF" w:rsidP="00A02DAF">
                  <w:pPr>
                    <w:spacing w:after="0" w:line="240" w:lineRule="auto"/>
                    <w:jc w:val="center"/>
                    <w:rPr>
                      <w:lang w:val="hu-HU"/>
                    </w:rPr>
                  </w:pPr>
                  <w:r w:rsidRPr="00A02DAF">
                    <w:rPr>
                      <w:lang w:val="hu-HU"/>
                    </w:rPr>
                    <w:t>19</w:t>
                  </w:r>
                </w:p>
              </w:tc>
            </w:tr>
            <w:tr w:rsidR="00A02DAF" w:rsidRPr="00A02DAF" w14:paraId="5A5B05DF"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56550C6E" w14:textId="6234B41A" w:rsidR="00A02DAF" w:rsidRPr="00A02DAF" w:rsidRDefault="00A02DAF" w:rsidP="00A02DAF">
                  <w:pPr>
                    <w:spacing w:after="0" w:line="240" w:lineRule="auto"/>
                    <w:jc w:val="center"/>
                    <w:rPr>
                      <w:lang w:val="hu-HU"/>
                    </w:rPr>
                  </w:pPr>
                  <w:r>
                    <w:rPr>
                      <w:lang w:val="hu-HU"/>
                    </w:rPr>
                    <w:t>&lt;</w:t>
                  </w:r>
                  <w:r w:rsidRPr="00A02DAF">
                    <w:rPr>
                      <w:lang w:val="hu-HU"/>
                    </w:rPr>
                    <w:t>20%, 30%&gt;</w:t>
                  </w:r>
                </w:p>
              </w:tc>
              <w:tc>
                <w:tcPr>
                  <w:tcW w:w="2126" w:type="dxa"/>
                  <w:tcBorders>
                    <w:top w:val="nil"/>
                    <w:left w:val="nil"/>
                    <w:bottom w:val="single" w:sz="4" w:space="0" w:color="auto"/>
                    <w:right w:val="single" w:sz="4" w:space="0" w:color="auto"/>
                  </w:tcBorders>
                  <w:shd w:val="clear" w:color="auto" w:fill="auto"/>
                  <w:noWrap/>
                  <w:vAlign w:val="center"/>
                </w:tcPr>
                <w:p w14:paraId="17CACE5A" w14:textId="77777777" w:rsidR="00A02DAF" w:rsidRPr="00A02DAF" w:rsidRDefault="00A02DAF" w:rsidP="00A02DAF">
                  <w:pPr>
                    <w:spacing w:after="0" w:line="240" w:lineRule="auto"/>
                    <w:jc w:val="center"/>
                    <w:rPr>
                      <w:lang w:val="hu-HU"/>
                    </w:rPr>
                  </w:pPr>
                  <w:r w:rsidRPr="00A02DAF">
                    <w:rPr>
                      <w:lang w:val="hu-HU"/>
                    </w:rPr>
                    <w:t>26</w:t>
                  </w:r>
                </w:p>
              </w:tc>
            </w:tr>
            <w:tr w:rsidR="00A02DAF" w:rsidRPr="00A02DAF" w14:paraId="4FD979B9"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70FD182C" w14:textId="3DF48BDF" w:rsidR="00A02DAF" w:rsidRPr="00A02DAF" w:rsidRDefault="00A02DAF" w:rsidP="00A02DAF">
                  <w:pPr>
                    <w:spacing w:after="0" w:line="240" w:lineRule="auto"/>
                    <w:jc w:val="center"/>
                    <w:rPr>
                      <w:lang w:val="hu-HU"/>
                    </w:rPr>
                  </w:pPr>
                  <w:r>
                    <w:rPr>
                      <w:lang w:val="hu-HU"/>
                    </w:rPr>
                    <w:t>&lt;</w:t>
                  </w:r>
                  <w:r w:rsidRPr="00A02DAF">
                    <w:rPr>
                      <w:lang w:val="hu-HU"/>
                    </w:rPr>
                    <w:t>30%, 40%&gt;</w:t>
                  </w:r>
                </w:p>
              </w:tc>
              <w:tc>
                <w:tcPr>
                  <w:tcW w:w="2126" w:type="dxa"/>
                  <w:tcBorders>
                    <w:top w:val="nil"/>
                    <w:left w:val="nil"/>
                    <w:bottom w:val="single" w:sz="4" w:space="0" w:color="auto"/>
                    <w:right w:val="single" w:sz="4" w:space="0" w:color="auto"/>
                  </w:tcBorders>
                  <w:shd w:val="clear" w:color="auto" w:fill="auto"/>
                  <w:noWrap/>
                  <w:vAlign w:val="center"/>
                </w:tcPr>
                <w:p w14:paraId="389539DC" w14:textId="77777777" w:rsidR="00A02DAF" w:rsidRPr="00A02DAF" w:rsidRDefault="00A02DAF" w:rsidP="00A02DAF">
                  <w:pPr>
                    <w:spacing w:after="0" w:line="240" w:lineRule="auto"/>
                    <w:jc w:val="center"/>
                    <w:rPr>
                      <w:lang w:val="hu-HU"/>
                    </w:rPr>
                  </w:pPr>
                  <w:r w:rsidRPr="00A02DAF">
                    <w:rPr>
                      <w:lang w:val="hu-HU"/>
                    </w:rPr>
                    <w:t>25</w:t>
                  </w:r>
                </w:p>
              </w:tc>
            </w:tr>
            <w:tr w:rsidR="00A02DAF" w:rsidRPr="00A02DAF" w14:paraId="4F8FB220"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651F8F03" w14:textId="3D4438E9" w:rsidR="00A02DAF" w:rsidRPr="00A02DAF" w:rsidRDefault="00A02DAF" w:rsidP="00A02DAF">
                  <w:pPr>
                    <w:spacing w:after="0" w:line="240" w:lineRule="auto"/>
                    <w:jc w:val="center"/>
                    <w:rPr>
                      <w:lang w:val="hu-HU"/>
                    </w:rPr>
                  </w:pPr>
                  <w:r>
                    <w:rPr>
                      <w:lang w:val="hu-HU"/>
                    </w:rPr>
                    <w:t>&lt;</w:t>
                  </w:r>
                  <w:r w:rsidRPr="00A02DAF">
                    <w:rPr>
                      <w:lang w:val="hu-HU"/>
                    </w:rPr>
                    <w:t>40%, 50%&gt;</w:t>
                  </w:r>
                </w:p>
              </w:tc>
              <w:tc>
                <w:tcPr>
                  <w:tcW w:w="2126" w:type="dxa"/>
                  <w:tcBorders>
                    <w:top w:val="nil"/>
                    <w:left w:val="nil"/>
                    <w:bottom w:val="single" w:sz="4" w:space="0" w:color="auto"/>
                    <w:right w:val="single" w:sz="4" w:space="0" w:color="auto"/>
                  </w:tcBorders>
                  <w:shd w:val="clear" w:color="auto" w:fill="auto"/>
                  <w:noWrap/>
                  <w:vAlign w:val="center"/>
                </w:tcPr>
                <w:p w14:paraId="06BE5A02" w14:textId="77777777" w:rsidR="00A02DAF" w:rsidRPr="00A02DAF" w:rsidRDefault="00A02DAF" w:rsidP="00A02DAF">
                  <w:pPr>
                    <w:spacing w:after="0" w:line="240" w:lineRule="auto"/>
                    <w:jc w:val="center"/>
                    <w:rPr>
                      <w:lang w:val="hu-HU"/>
                    </w:rPr>
                  </w:pPr>
                  <w:r w:rsidRPr="00A02DAF">
                    <w:rPr>
                      <w:lang w:val="hu-HU"/>
                    </w:rPr>
                    <w:t>18</w:t>
                  </w:r>
                </w:p>
              </w:tc>
            </w:tr>
            <w:tr w:rsidR="00A02DAF" w:rsidRPr="00A02DAF" w14:paraId="74C40669"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56B166B1" w14:textId="537F26F3" w:rsidR="00A02DAF" w:rsidRPr="00A02DAF" w:rsidRDefault="00A02DAF" w:rsidP="00A02DAF">
                  <w:pPr>
                    <w:spacing w:after="0" w:line="240" w:lineRule="auto"/>
                    <w:jc w:val="center"/>
                    <w:rPr>
                      <w:lang w:val="hu-HU"/>
                    </w:rPr>
                  </w:pPr>
                  <w:r>
                    <w:rPr>
                      <w:lang w:val="hu-HU"/>
                    </w:rPr>
                    <w:t>&lt;</w:t>
                  </w:r>
                  <w:r w:rsidRPr="00A02DAF">
                    <w:rPr>
                      <w:lang w:val="hu-HU"/>
                    </w:rPr>
                    <w:t>50%, 60%&gt;</w:t>
                  </w:r>
                </w:p>
              </w:tc>
              <w:tc>
                <w:tcPr>
                  <w:tcW w:w="2126" w:type="dxa"/>
                  <w:tcBorders>
                    <w:top w:val="nil"/>
                    <w:left w:val="nil"/>
                    <w:bottom w:val="single" w:sz="4" w:space="0" w:color="auto"/>
                    <w:right w:val="single" w:sz="4" w:space="0" w:color="auto"/>
                  </w:tcBorders>
                  <w:shd w:val="clear" w:color="auto" w:fill="auto"/>
                  <w:noWrap/>
                  <w:vAlign w:val="center"/>
                </w:tcPr>
                <w:p w14:paraId="6EBD71CF" w14:textId="77777777" w:rsidR="00A02DAF" w:rsidRPr="00A02DAF" w:rsidRDefault="00A02DAF" w:rsidP="00A02DAF">
                  <w:pPr>
                    <w:spacing w:after="0" w:line="240" w:lineRule="auto"/>
                    <w:jc w:val="center"/>
                    <w:rPr>
                      <w:lang w:val="hu-HU"/>
                    </w:rPr>
                  </w:pPr>
                  <w:r w:rsidRPr="00A02DAF">
                    <w:rPr>
                      <w:lang w:val="hu-HU"/>
                    </w:rPr>
                    <w:t>13</w:t>
                  </w:r>
                </w:p>
              </w:tc>
            </w:tr>
            <w:tr w:rsidR="00A02DAF" w:rsidRPr="00A02DAF" w14:paraId="29DE38EF"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1F36DFDC" w14:textId="152E0C59" w:rsidR="00A02DAF" w:rsidRPr="00A02DAF" w:rsidRDefault="00A02DAF" w:rsidP="00A02DAF">
                  <w:pPr>
                    <w:spacing w:after="0" w:line="240" w:lineRule="auto"/>
                    <w:jc w:val="center"/>
                    <w:rPr>
                      <w:lang w:val="hu-HU"/>
                    </w:rPr>
                  </w:pPr>
                  <w:r>
                    <w:rPr>
                      <w:lang w:val="hu-HU"/>
                    </w:rPr>
                    <w:t>&lt;</w:t>
                  </w:r>
                  <w:r w:rsidRPr="00A02DAF">
                    <w:rPr>
                      <w:lang w:val="hu-HU"/>
                    </w:rPr>
                    <w:t>60%, 70%&gt;</w:t>
                  </w:r>
                </w:p>
              </w:tc>
              <w:tc>
                <w:tcPr>
                  <w:tcW w:w="2126" w:type="dxa"/>
                  <w:tcBorders>
                    <w:top w:val="nil"/>
                    <w:left w:val="nil"/>
                    <w:bottom w:val="single" w:sz="4" w:space="0" w:color="auto"/>
                    <w:right w:val="single" w:sz="4" w:space="0" w:color="auto"/>
                  </w:tcBorders>
                  <w:shd w:val="clear" w:color="auto" w:fill="auto"/>
                  <w:noWrap/>
                  <w:vAlign w:val="center"/>
                </w:tcPr>
                <w:p w14:paraId="1736BC30" w14:textId="77777777" w:rsidR="00A02DAF" w:rsidRPr="00A02DAF" w:rsidRDefault="00A02DAF" w:rsidP="00A02DAF">
                  <w:pPr>
                    <w:spacing w:after="0" w:line="240" w:lineRule="auto"/>
                    <w:jc w:val="center"/>
                    <w:rPr>
                      <w:lang w:val="hu-HU"/>
                    </w:rPr>
                  </w:pPr>
                  <w:r w:rsidRPr="00A02DAF">
                    <w:rPr>
                      <w:lang w:val="hu-HU"/>
                    </w:rPr>
                    <w:t>8</w:t>
                  </w:r>
                </w:p>
              </w:tc>
            </w:tr>
            <w:tr w:rsidR="00A02DAF" w:rsidRPr="00A02DAF" w14:paraId="677E85DD"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D3AE4D7" w14:textId="65F77C7D" w:rsidR="00A02DAF" w:rsidRPr="00A02DAF" w:rsidRDefault="00A02DAF" w:rsidP="00A02DAF">
                  <w:pPr>
                    <w:spacing w:after="0" w:line="240" w:lineRule="auto"/>
                    <w:jc w:val="center"/>
                    <w:rPr>
                      <w:lang w:val="hu-HU"/>
                    </w:rPr>
                  </w:pPr>
                  <w:r>
                    <w:rPr>
                      <w:lang w:val="hu-HU"/>
                    </w:rPr>
                    <w:t>&lt;</w:t>
                  </w:r>
                  <w:r w:rsidRPr="00A02DAF">
                    <w:rPr>
                      <w:lang w:val="hu-HU"/>
                    </w:rPr>
                    <w:t>70%, 80%&gt;</w:t>
                  </w:r>
                </w:p>
              </w:tc>
              <w:tc>
                <w:tcPr>
                  <w:tcW w:w="2126" w:type="dxa"/>
                  <w:tcBorders>
                    <w:top w:val="nil"/>
                    <w:left w:val="nil"/>
                    <w:bottom w:val="single" w:sz="4" w:space="0" w:color="auto"/>
                    <w:right w:val="single" w:sz="4" w:space="0" w:color="auto"/>
                  </w:tcBorders>
                  <w:shd w:val="clear" w:color="auto" w:fill="auto"/>
                  <w:noWrap/>
                  <w:vAlign w:val="center"/>
                </w:tcPr>
                <w:p w14:paraId="6769F8E6" w14:textId="77777777" w:rsidR="00A02DAF" w:rsidRPr="00A02DAF" w:rsidRDefault="00A02DAF" w:rsidP="00A02DAF">
                  <w:pPr>
                    <w:spacing w:after="0" w:line="240" w:lineRule="auto"/>
                    <w:jc w:val="center"/>
                    <w:rPr>
                      <w:lang w:val="hu-HU"/>
                    </w:rPr>
                  </w:pPr>
                  <w:r w:rsidRPr="00A02DAF">
                    <w:rPr>
                      <w:lang w:val="hu-HU"/>
                    </w:rPr>
                    <w:t>6</w:t>
                  </w:r>
                </w:p>
              </w:tc>
            </w:tr>
            <w:tr w:rsidR="00A02DAF" w:rsidRPr="00A02DAF" w14:paraId="1D823FB4"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7BE26837" w14:textId="729D827C" w:rsidR="00A02DAF" w:rsidRPr="00A02DAF" w:rsidRDefault="00A02DAF" w:rsidP="00A02DAF">
                  <w:pPr>
                    <w:spacing w:after="0" w:line="240" w:lineRule="auto"/>
                    <w:jc w:val="center"/>
                    <w:rPr>
                      <w:lang w:val="hu-HU"/>
                    </w:rPr>
                  </w:pPr>
                  <w:r>
                    <w:rPr>
                      <w:lang w:val="hu-HU"/>
                    </w:rPr>
                    <w:t>&lt;</w:t>
                  </w:r>
                  <w:r w:rsidRPr="00A02DAF">
                    <w:rPr>
                      <w:lang w:val="hu-HU"/>
                    </w:rPr>
                    <w:t>80%, 90%&gt;</w:t>
                  </w:r>
                </w:p>
              </w:tc>
              <w:tc>
                <w:tcPr>
                  <w:tcW w:w="2126" w:type="dxa"/>
                  <w:tcBorders>
                    <w:top w:val="nil"/>
                    <w:left w:val="nil"/>
                    <w:bottom w:val="single" w:sz="4" w:space="0" w:color="auto"/>
                    <w:right w:val="single" w:sz="4" w:space="0" w:color="auto"/>
                  </w:tcBorders>
                  <w:shd w:val="clear" w:color="auto" w:fill="auto"/>
                  <w:noWrap/>
                  <w:vAlign w:val="center"/>
                </w:tcPr>
                <w:p w14:paraId="37C50CA1" w14:textId="77777777" w:rsidR="00A02DAF" w:rsidRPr="00A02DAF" w:rsidRDefault="00A02DAF" w:rsidP="00A02DAF">
                  <w:pPr>
                    <w:spacing w:after="0" w:line="240" w:lineRule="auto"/>
                    <w:jc w:val="center"/>
                    <w:rPr>
                      <w:lang w:val="hu-HU"/>
                    </w:rPr>
                  </w:pPr>
                  <w:r w:rsidRPr="00A02DAF">
                    <w:rPr>
                      <w:lang w:val="hu-HU"/>
                    </w:rPr>
                    <w:t>1</w:t>
                  </w:r>
                </w:p>
              </w:tc>
            </w:tr>
            <w:tr w:rsidR="00A02DAF" w:rsidRPr="00A02DAF" w14:paraId="705FEE01" w14:textId="77777777" w:rsidTr="00B8128A">
              <w:trPr>
                <w:trHeight w:val="285"/>
                <w:jc w:val="center"/>
              </w:trPr>
              <w:tc>
                <w:tcPr>
                  <w:tcW w:w="1843" w:type="dxa"/>
                  <w:tcBorders>
                    <w:top w:val="nil"/>
                    <w:left w:val="single" w:sz="4" w:space="0" w:color="auto"/>
                    <w:bottom w:val="double" w:sz="6" w:space="0" w:color="auto"/>
                    <w:right w:val="single" w:sz="4" w:space="0" w:color="auto"/>
                  </w:tcBorders>
                  <w:shd w:val="clear" w:color="auto" w:fill="auto"/>
                  <w:noWrap/>
                  <w:vAlign w:val="center"/>
                </w:tcPr>
                <w:p w14:paraId="28D28D3F" w14:textId="67C3397B" w:rsidR="00A02DAF" w:rsidRPr="00A02DAF" w:rsidRDefault="00A02DAF" w:rsidP="00A02DAF">
                  <w:pPr>
                    <w:spacing w:after="0" w:line="240" w:lineRule="auto"/>
                    <w:jc w:val="center"/>
                    <w:rPr>
                      <w:lang w:val="hu-HU"/>
                    </w:rPr>
                  </w:pPr>
                  <w:r>
                    <w:rPr>
                      <w:lang w:val="hu-HU"/>
                    </w:rPr>
                    <w:t>&lt;</w:t>
                  </w:r>
                  <w:r w:rsidRPr="00A02DAF">
                    <w:rPr>
                      <w:lang w:val="hu-HU"/>
                    </w:rPr>
                    <w:t>90%, 100%&gt;</w:t>
                  </w:r>
                </w:p>
              </w:tc>
              <w:tc>
                <w:tcPr>
                  <w:tcW w:w="2126" w:type="dxa"/>
                  <w:tcBorders>
                    <w:top w:val="nil"/>
                    <w:left w:val="nil"/>
                    <w:bottom w:val="double" w:sz="6" w:space="0" w:color="auto"/>
                    <w:right w:val="single" w:sz="4" w:space="0" w:color="auto"/>
                  </w:tcBorders>
                  <w:shd w:val="clear" w:color="auto" w:fill="auto"/>
                  <w:noWrap/>
                  <w:vAlign w:val="center"/>
                </w:tcPr>
                <w:p w14:paraId="30816DD9" w14:textId="77777777" w:rsidR="00A02DAF" w:rsidRPr="00A02DAF" w:rsidRDefault="00A02DAF" w:rsidP="00A02DAF">
                  <w:pPr>
                    <w:spacing w:after="0" w:line="240" w:lineRule="auto"/>
                    <w:jc w:val="center"/>
                    <w:rPr>
                      <w:lang w:val="hu-HU"/>
                    </w:rPr>
                  </w:pPr>
                  <w:r w:rsidRPr="00A02DAF">
                    <w:rPr>
                      <w:lang w:val="hu-HU"/>
                    </w:rPr>
                    <w:t>9</w:t>
                  </w:r>
                </w:p>
              </w:tc>
            </w:tr>
            <w:tr w:rsidR="00A02DAF" w:rsidRPr="00A02DAF" w14:paraId="0ADDE7AD" w14:textId="77777777" w:rsidTr="00B8128A">
              <w:trPr>
                <w:trHeight w:val="345"/>
                <w:jc w:val="center"/>
              </w:trPr>
              <w:tc>
                <w:tcPr>
                  <w:tcW w:w="1843" w:type="dxa"/>
                  <w:tcBorders>
                    <w:top w:val="double" w:sz="6"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B3A83D7" w14:textId="4B41D1B9" w:rsidR="00A02DAF" w:rsidRPr="00A02DAF" w:rsidRDefault="00A02DAF" w:rsidP="00EB7690">
                  <w:pPr>
                    <w:spacing w:after="0" w:line="240" w:lineRule="auto"/>
                    <w:jc w:val="center"/>
                    <w:rPr>
                      <w:b/>
                      <w:bCs/>
                      <w:lang w:val="hu-HU"/>
                    </w:rPr>
                  </w:pPr>
                  <w:r>
                    <w:rPr>
                      <w:b/>
                      <w:bCs/>
                      <w:lang w:val="hu-HU"/>
                    </w:rPr>
                    <w:t>Total</w:t>
                  </w:r>
                </w:p>
              </w:tc>
              <w:tc>
                <w:tcPr>
                  <w:tcW w:w="2126" w:type="dxa"/>
                  <w:tcBorders>
                    <w:top w:val="double" w:sz="6" w:space="0" w:color="auto"/>
                    <w:left w:val="nil"/>
                    <w:bottom w:val="single" w:sz="4" w:space="0" w:color="auto"/>
                    <w:right w:val="single" w:sz="4" w:space="0" w:color="auto"/>
                  </w:tcBorders>
                  <w:shd w:val="clear" w:color="auto" w:fill="C6D9F1" w:themeFill="text2" w:themeFillTint="33"/>
                  <w:noWrap/>
                  <w:vAlign w:val="center"/>
                  <w:hideMark/>
                </w:tcPr>
                <w:p w14:paraId="7EE0A319" w14:textId="77777777" w:rsidR="00A02DAF" w:rsidRPr="00A02DAF" w:rsidRDefault="00A02DAF" w:rsidP="00EB7690">
                  <w:pPr>
                    <w:spacing w:after="0" w:line="240" w:lineRule="auto"/>
                    <w:jc w:val="center"/>
                    <w:rPr>
                      <w:b/>
                      <w:bCs/>
                      <w:lang w:val="hu-HU"/>
                    </w:rPr>
                  </w:pPr>
                  <w:r w:rsidRPr="00A02DAF">
                    <w:rPr>
                      <w:b/>
                      <w:bCs/>
                      <w:lang w:val="hu-HU"/>
                    </w:rPr>
                    <w:t>687</w:t>
                  </w:r>
                </w:p>
              </w:tc>
            </w:tr>
          </w:tbl>
          <w:p w14:paraId="518853DB" w14:textId="77777777" w:rsidR="00A02DAF" w:rsidRDefault="00A02DAF" w:rsidP="00035954">
            <w:pPr>
              <w:jc w:val="both"/>
            </w:pPr>
          </w:p>
          <w:p w14:paraId="7177058B" w14:textId="00C89E5F" w:rsidR="00EF2681" w:rsidRPr="00B21728" w:rsidRDefault="00EF2681" w:rsidP="00180C2B">
            <w:pPr>
              <w:jc w:val="both"/>
              <w:rPr>
                <w:i/>
                <w:sz w:val="20"/>
                <w:szCs w:val="20"/>
              </w:rPr>
            </w:pPr>
            <w:r w:rsidRPr="00B21728">
              <w:rPr>
                <w:i/>
                <w:sz w:val="20"/>
                <w:szCs w:val="20"/>
              </w:rPr>
              <w:t>*The table contains all procedures above and below EU thresholds, including buyers with at least three contract awards in 2017 (</w:t>
            </w:r>
            <w:r w:rsidR="00180C2B" w:rsidRPr="00B21728">
              <w:rPr>
                <w:i/>
                <w:sz w:val="20"/>
                <w:szCs w:val="20"/>
              </w:rPr>
              <w:t>except</w:t>
            </w:r>
            <w:r w:rsidRPr="00B21728">
              <w:rPr>
                <w:i/>
                <w:sz w:val="20"/>
                <w:szCs w:val="20"/>
              </w:rPr>
              <w:t xml:space="preserve"> framework agreements).</w:t>
            </w:r>
          </w:p>
        </w:tc>
      </w:tr>
      <w:tr w:rsidR="00D50216" w:rsidRPr="000E4461" w14:paraId="656FB1F8" w14:textId="77777777" w:rsidTr="00A47B20">
        <w:tc>
          <w:tcPr>
            <w:tcW w:w="1648" w:type="pct"/>
          </w:tcPr>
          <w:p w14:paraId="6A4A1A16" w14:textId="51980DF5" w:rsidR="00D50216" w:rsidRPr="000E4461" w:rsidRDefault="007C1F4F" w:rsidP="003236CE">
            <w:pPr>
              <w:pStyle w:val="Cmsor3"/>
              <w:outlineLvl w:val="2"/>
              <w:rPr>
                <w:b w:val="0"/>
              </w:rPr>
            </w:pPr>
            <w:r w:rsidRPr="000E4461">
              <w:rPr>
                <w:b w:val="0"/>
              </w:rPr>
              <w:lastRenderedPageBreak/>
              <w:t>Statistical distribution of buyers by frequency of using a negotiated procedure without the prior publication of a call of competition</w:t>
            </w:r>
          </w:p>
        </w:tc>
        <w:tc>
          <w:tcPr>
            <w:tcW w:w="3352" w:type="pct"/>
          </w:tcPr>
          <w:p w14:paraId="1F94B117" w14:textId="77777777" w:rsidR="001601BC" w:rsidRPr="000E4461" w:rsidRDefault="001601BC" w:rsidP="008A2537">
            <w:pPr>
              <w:jc w:val="both"/>
            </w:pPr>
          </w:p>
          <w:p w14:paraId="33007823" w14:textId="77777777" w:rsidR="00CB2693" w:rsidRPr="000E4461" w:rsidRDefault="00CB2693" w:rsidP="00CB2693">
            <w:pPr>
              <w:jc w:val="center"/>
              <w:rPr>
                <w:b/>
                <w:u w:val="single"/>
              </w:rPr>
            </w:pPr>
            <w:r w:rsidRPr="000E4461">
              <w:rPr>
                <w:b/>
                <w:u w:val="single"/>
              </w:rPr>
              <w:t>Proportion of negotiated procedures without prior publication of a contract notice according to the type of contracting authorities</w:t>
            </w:r>
          </w:p>
          <w:p w14:paraId="340DB56D" w14:textId="77777777" w:rsidR="00CB2693" w:rsidRPr="000E4461" w:rsidRDefault="00CB2693" w:rsidP="00CB2693"/>
          <w:tbl>
            <w:tblPr>
              <w:tblW w:w="8647" w:type="dxa"/>
              <w:jc w:val="center"/>
              <w:tblCellMar>
                <w:left w:w="70" w:type="dxa"/>
                <w:right w:w="70" w:type="dxa"/>
              </w:tblCellMar>
              <w:tblLook w:val="04A0" w:firstRow="1" w:lastRow="0" w:firstColumn="1" w:lastColumn="0" w:noHBand="0" w:noVBand="1"/>
            </w:tblPr>
            <w:tblGrid>
              <w:gridCol w:w="2405"/>
              <w:gridCol w:w="2126"/>
              <w:gridCol w:w="1985"/>
              <w:gridCol w:w="2131"/>
            </w:tblGrid>
            <w:tr w:rsidR="00CB2693" w:rsidRPr="000E4461" w14:paraId="0C2BAD63" w14:textId="77777777" w:rsidTr="00CB2693">
              <w:trPr>
                <w:trHeight w:val="615"/>
                <w:jc w:val="center"/>
              </w:trPr>
              <w:tc>
                <w:tcPr>
                  <w:tcW w:w="2405" w:type="dxa"/>
                  <w:tcBorders>
                    <w:top w:val="single" w:sz="4" w:space="0" w:color="auto"/>
                    <w:left w:val="single" w:sz="4" w:space="0" w:color="auto"/>
                    <w:bottom w:val="double" w:sz="6" w:space="0" w:color="auto"/>
                    <w:right w:val="single" w:sz="4" w:space="0" w:color="auto"/>
                  </w:tcBorders>
                  <w:shd w:val="clear" w:color="auto" w:fill="548DD4" w:themeFill="text2" w:themeFillTint="99"/>
                  <w:noWrap/>
                  <w:vAlign w:val="center"/>
                  <w:hideMark/>
                </w:tcPr>
                <w:p w14:paraId="0CF5E0DB" w14:textId="77777777" w:rsidR="00CB2693" w:rsidRPr="000E4461" w:rsidRDefault="00CB2693" w:rsidP="00CB2693">
                  <w:pPr>
                    <w:rPr>
                      <w:b/>
                    </w:rPr>
                  </w:pPr>
                  <w:r w:rsidRPr="000E4461">
                    <w:rPr>
                      <w:b/>
                    </w:rPr>
                    <w:t>Type of contracting authorities</w:t>
                  </w:r>
                </w:p>
              </w:tc>
              <w:tc>
                <w:tcPr>
                  <w:tcW w:w="2126"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4FBFE542" w14:textId="77777777" w:rsidR="00CB2693" w:rsidRPr="000E4461" w:rsidRDefault="00CB2693" w:rsidP="00CB2693">
                  <w:pPr>
                    <w:jc w:val="center"/>
                    <w:rPr>
                      <w:b/>
                    </w:rPr>
                  </w:pPr>
                  <w:r w:rsidRPr="000E4461">
                    <w:rPr>
                      <w:b/>
                    </w:rPr>
                    <w:t>Total number of awarded contracts</w:t>
                  </w:r>
                </w:p>
              </w:tc>
              <w:tc>
                <w:tcPr>
                  <w:tcW w:w="1985"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0FCAFB8F" w14:textId="77777777" w:rsidR="00CB2693" w:rsidRPr="000E4461" w:rsidRDefault="00CB2693" w:rsidP="00CB2693">
                  <w:pPr>
                    <w:jc w:val="center"/>
                    <w:rPr>
                      <w:b/>
                    </w:rPr>
                  </w:pPr>
                  <w:r w:rsidRPr="000E4461">
                    <w:rPr>
                      <w:b/>
                    </w:rPr>
                    <w:t>Number of negotiated procedures without prior publication of a contract notice</w:t>
                  </w:r>
                </w:p>
              </w:tc>
              <w:tc>
                <w:tcPr>
                  <w:tcW w:w="2131"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7921439C" w14:textId="77777777" w:rsidR="00CB2693" w:rsidRPr="000E4461" w:rsidRDefault="00CB2693" w:rsidP="00CB2693">
                  <w:pPr>
                    <w:jc w:val="center"/>
                    <w:rPr>
                      <w:b/>
                    </w:rPr>
                  </w:pPr>
                  <w:r w:rsidRPr="000E4461">
                    <w:rPr>
                      <w:b/>
                    </w:rPr>
                    <w:t>Proportion of negotiated procedures without prior publication of a contract notice (%)</w:t>
                  </w:r>
                </w:p>
              </w:tc>
            </w:tr>
            <w:tr w:rsidR="00CB2693" w:rsidRPr="000E4461" w14:paraId="09446826" w14:textId="77777777" w:rsidTr="00CB2693">
              <w:trPr>
                <w:trHeight w:val="285"/>
                <w:jc w:val="center"/>
              </w:trPr>
              <w:tc>
                <w:tcPr>
                  <w:tcW w:w="2405" w:type="dxa"/>
                  <w:tcBorders>
                    <w:top w:val="double" w:sz="6"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2A7703B" w14:textId="77777777" w:rsidR="00CB2693" w:rsidRPr="000E4461" w:rsidRDefault="00CB2693" w:rsidP="00CB2693">
                  <w:r w:rsidRPr="000E4461">
                    <w:t>Other entities</w:t>
                  </w:r>
                </w:p>
              </w:tc>
              <w:tc>
                <w:tcPr>
                  <w:tcW w:w="2126" w:type="dxa"/>
                  <w:tcBorders>
                    <w:top w:val="nil"/>
                    <w:left w:val="nil"/>
                    <w:bottom w:val="single" w:sz="4" w:space="0" w:color="auto"/>
                    <w:right w:val="single" w:sz="4" w:space="0" w:color="auto"/>
                  </w:tcBorders>
                  <w:shd w:val="clear" w:color="auto" w:fill="auto"/>
                  <w:noWrap/>
                  <w:vAlign w:val="center"/>
                  <w:hideMark/>
                </w:tcPr>
                <w:p w14:paraId="6C8942ED" w14:textId="77777777" w:rsidR="00CB2693" w:rsidRPr="000E4461" w:rsidRDefault="00CB2693" w:rsidP="00CB2693">
                  <w:pPr>
                    <w:jc w:val="center"/>
                  </w:pPr>
                  <w:r w:rsidRPr="000E4461">
                    <w:t>1 616</w:t>
                  </w:r>
                </w:p>
              </w:tc>
              <w:tc>
                <w:tcPr>
                  <w:tcW w:w="1985" w:type="dxa"/>
                  <w:tcBorders>
                    <w:top w:val="nil"/>
                    <w:left w:val="nil"/>
                    <w:bottom w:val="single" w:sz="4" w:space="0" w:color="auto"/>
                    <w:right w:val="single" w:sz="4" w:space="0" w:color="auto"/>
                  </w:tcBorders>
                  <w:shd w:val="clear" w:color="auto" w:fill="auto"/>
                  <w:noWrap/>
                  <w:vAlign w:val="center"/>
                  <w:hideMark/>
                </w:tcPr>
                <w:p w14:paraId="68D9607B" w14:textId="77777777" w:rsidR="00CB2693" w:rsidRPr="000E4461" w:rsidRDefault="00CB2693" w:rsidP="00CB2693">
                  <w:pPr>
                    <w:jc w:val="center"/>
                  </w:pPr>
                  <w:r w:rsidRPr="000E4461">
                    <w:t>116</w:t>
                  </w:r>
                </w:p>
              </w:tc>
              <w:tc>
                <w:tcPr>
                  <w:tcW w:w="2131" w:type="dxa"/>
                  <w:tcBorders>
                    <w:top w:val="nil"/>
                    <w:left w:val="nil"/>
                    <w:bottom w:val="single" w:sz="4" w:space="0" w:color="auto"/>
                    <w:right w:val="single" w:sz="4" w:space="0" w:color="auto"/>
                  </w:tcBorders>
                  <w:shd w:val="clear" w:color="auto" w:fill="auto"/>
                  <w:noWrap/>
                  <w:vAlign w:val="center"/>
                  <w:hideMark/>
                </w:tcPr>
                <w:p w14:paraId="76572C1E" w14:textId="77777777" w:rsidR="00CB2693" w:rsidRPr="000E4461" w:rsidRDefault="00CB2693" w:rsidP="00CB2693">
                  <w:pPr>
                    <w:jc w:val="center"/>
                  </w:pPr>
                  <w:r w:rsidRPr="000E4461">
                    <w:t>7,18%</w:t>
                  </w:r>
                </w:p>
              </w:tc>
            </w:tr>
            <w:tr w:rsidR="00CB2693" w:rsidRPr="000E4461" w14:paraId="74C4E4BE" w14:textId="77777777" w:rsidTr="00CB2693">
              <w:trPr>
                <w:trHeight w:val="270"/>
                <w:jc w:val="center"/>
              </w:trPr>
              <w:tc>
                <w:tcPr>
                  <w:tcW w:w="2405"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205C26D7" w14:textId="77777777" w:rsidR="00CB2693" w:rsidRPr="000E4461" w:rsidRDefault="00CB2693" w:rsidP="00CB2693">
                  <w:r w:rsidRPr="000E4461">
                    <w:lastRenderedPageBreak/>
                    <w:t>Public bodies</w:t>
                  </w:r>
                </w:p>
              </w:tc>
              <w:tc>
                <w:tcPr>
                  <w:tcW w:w="2126" w:type="dxa"/>
                  <w:tcBorders>
                    <w:top w:val="nil"/>
                    <w:left w:val="nil"/>
                    <w:bottom w:val="single" w:sz="4" w:space="0" w:color="auto"/>
                    <w:right w:val="single" w:sz="4" w:space="0" w:color="auto"/>
                  </w:tcBorders>
                  <w:shd w:val="clear" w:color="auto" w:fill="auto"/>
                  <w:noWrap/>
                  <w:vAlign w:val="center"/>
                  <w:hideMark/>
                </w:tcPr>
                <w:p w14:paraId="0A4ABFF4" w14:textId="77777777" w:rsidR="00CB2693" w:rsidRPr="000E4461" w:rsidRDefault="00CB2693" w:rsidP="00CB2693">
                  <w:pPr>
                    <w:jc w:val="center"/>
                  </w:pPr>
                  <w:r w:rsidRPr="000E4461">
                    <w:t>1 764</w:t>
                  </w:r>
                </w:p>
              </w:tc>
              <w:tc>
                <w:tcPr>
                  <w:tcW w:w="1985" w:type="dxa"/>
                  <w:tcBorders>
                    <w:top w:val="nil"/>
                    <w:left w:val="nil"/>
                    <w:bottom w:val="single" w:sz="4" w:space="0" w:color="auto"/>
                    <w:right w:val="single" w:sz="4" w:space="0" w:color="auto"/>
                  </w:tcBorders>
                  <w:shd w:val="clear" w:color="auto" w:fill="auto"/>
                  <w:vAlign w:val="center"/>
                  <w:hideMark/>
                </w:tcPr>
                <w:p w14:paraId="70B2AFCE" w14:textId="77777777" w:rsidR="00CB2693" w:rsidRPr="000E4461" w:rsidRDefault="00CB2693" w:rsidP="00CB2693">
                  <w:pPr>
                    <w:jc w:val="center"/>
                  </w:pPr>
                  <w:r w:rsidRPr="000E4461">
                    <w:t>76</w:t>
                  </w:r>
                </w:p>
              </w:tc>
              <w:tc>
                <w:tcPr>
                  <w:tcW w:w="2131" w:type="dxa"/>
                  <w:tcBorders>
                    <w:top w:val="nil"/>
                    <w:left w:val="nil"/>
                    <w:bottom w:val="single" w:sz="4" w:space="0" w:color="auto"/>
                    <w:right w:val="single" w:sz="4" w:space="0" w:color="auto"/>
                  </w:tcBorders>
                  <w:shd w:val="clear" w:color="auto" w:fill="auto"/>
                  <w:noWrap/>
                  <w:vAlign w:val="center"/>
                  <w:hideMark/>
                </w:tcPr>
                <w:p w14:paraId="120F6C92" w14:textId="77777777" w:rsidR="00CB2693" w:rsidRPr="000E4461" w:rsidRDefault="00CB2693" w:rsidP="00CB2693">
                  <w:pPr>
                    <w:jc w:val="center"/>
                  </w:pPr>
                  <w:r w:rsidRPr="000E4461">
                    <w:t>4,31%</w:t>
                  </w:r>
                </w:p>
              </w:tc>
            </w:tr>
            <w:tr w:rsidR="00CB2693" w:rsidRPr="000E4461" w14:paraId="1A447FF3" w14:textId="77777777" w:rsidTr="00CB2693">
              <w:trPr>
                <w:trHeight w:val="270"/>
                <w:jc w:val="center"/>
              </w:trPr>
              <w:tc>
                <w:tcPr>
                  <w:tcW w:w="2405"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408846B5" w14:textId="77777777" w:rsidR="00CB2693" w:rsidRPr="000E4461" w:rsidRDefault="00CB2693" w:rsidP="00CB2693">
                  <w:r w:rsidRPr="000E4461">
                    <w:t>Central bodies</w:t>
                  </w:r>
                </w:p>
              </w:tc>
              <w:tc>
                <w:tcPr>
                  <w:tcW w:w="2126" w:type="dxa"/>
                  <w:tcBorders>
                    <w:top w:val="nil"/>
                    <w:left w:val="nil"/>
                    <w:bottom w:val="single" w:sz="4" w:space="0" w:color="auto"/>
                    <w:right w:val="single" w:sz="4" w:space="0" w:color="auto"/>
                  </w:tcBorders>
                  <w:shd w:val="clear" w:color="auto" w:fill="auto"/>
                  <w:noWrap/>
                  <w:vAlign w:val="center"/>
                  <w:hideMark/>
                </w:tcPr>
                <w:p w14:paraId="470D66FE" w14:textId="77777777" w:rsidR="00CB2693" w:rsidRPr="000E4461" w:rsidRDefault="00CB2693" w:rsidP="00CB2693">
                  <w:pPr>
                    <w:jc w:val="center"/>
                  </w:pPr>
                  <w:r w:rsidRPr="000E4461">
                    <w:t>906</w:t>
                  </w:r>
                </w:p>
              </w:tc>
              <w:tc>
                <w:tcPr>
                  <w:tcW w:w="1985" w:type="dxa"/>
                  <w:tcBorders>
                    <w:top w:val="nil"/>
                    <w:left w:val="nil"/>
                    <w:bottom w:val="single" w:sz="4" w:space="0" w:color="auto"/>
                    <w:right w:val="single" w:sz="4" w:space="0" w:color="auto"/>
                  </w:tcBorders>
                  <w:shd w:val="clear" w:color="auto" w:fill="auto"/>
                  <w:noWrap/>
                  <w:vAlign w:val="center"/>
                  <w:hideMark/>
                </w:tcPr>
                <w:p w14:paraId="683504EC" w14:textId="77777777" w:rsidR="00CB2693" w:rsidRPr="000E4461" w:rsidRDefault="00CB2693" w:rsidP="00CB2693">
                  <w:pPr>
                    <w:jc w:val="center"/>
                  </w:pPr>
                  <w:r w:rsidRPr="000E4461">
                    <w:t>53</w:t>
                  </w:r>
                </w:p>
              </w:tc>
              <w:tc>
                <w:tcPr>
                  <w:tcW w:w="2131" w:type="dxa"/>
                  <w:tcBorders>
                    <w:top w:val="nil"/>
                    <w:left w:val="nil"/>
                    <w:bottom w:val="single" w:sz="4" w:space="0" w:color="auto"/>
                    <w:right w:val="single" w:sz="4" w:space="0" w:color="auto"/>
                  </w:tcBorders>
                  <w:shd w:val="clear" w:color="auto" w:fill="auto"/>
                  <w:noWrap/>
                  <w:vAlign w:val="center"/>
                  <w:hideMark/>
                </w:tcPr>
                <w:p w14:paraId="550ACC17" w14:textId="77777777" w:rsidR="00CB2693" w:rsidRPr="000E4461" w:rsidRDefault="00CB2693" w:rsidP="00CB2693">
                  <w:pPr>
                    <w:jc w:val="center"/>
                  </w:pPr>
                  <w:r w:rsidRPr="000E4461">
                    <w:t>5,85%</w:t>
                  </w:r>
                </w:p>
              </w:tc>
            </w:tr>
            <w:tr w:rsidR="00CB2693" w:rsidRPr="000E4461" w14:paraId="15D1FCA3" w14:textId="77777777" w:rsidTr="00CB2693">
              <w:trPr>
                <w:trHeight w:val="270"/>
                <w:jc w:val="center"/>
              </w:trPr>
              <w:tc>
                <w:tcPr>
                  <w:tcW w:w="2405"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0ED4ED7" w14:textId="77777777" w:rsidR="00CB2693" w:rsidRPr="000E4461" w:rsidRDefault="00CB2693" w:rsidP="00CB2693">
                  <w:r w:rsidRPr="000E4461">
                    <w:t>Utility companies</w:t>
                  </w:r>
                </w:p>
              </w:tc>
              <w:tc>
                <w:tcPr>
                  <w:tcW w:w="2126" w:type="dxa"/>
                  <w:tcBorders>
                    <w:top w:val="nil"/>
                    <w:left w:val="nil"/>
                    <w:bottom w:val="single" w:sz="4" w:space="0" w:color="auto"/>
                    <w:right w:val="single" w:sz="4" w:space="0" w:color="auto"/>
                  </w:tcBorders>
                  <w:shd w:val="clear" w:color="auto" w:fill="auto"/>
                  <w:noWrap/>
                  <w:vAlign w:val="center"/>
                  <w:hideMark/>
                </w:tcPr>
                <w:p w14:paraId="3AF66579" w14:textId="77777777" w:rsidR="00CB2693" w:rsidRPr="000E4461" w:rsidRDefault="00CB2693" w:rsidP="00CB2693">
                  <w:pPr>
                    <w:jc w:val="center"/>
                  </w:pPr>
                  <w:r w:rsidRPr="000E4461">
                    <w:t>523</w:t>
                  </w:r>
                </w:p>
              </w:tc>
              <w:tc>
                <w:tcPr>
                  <w:tcW w:w="1985" w:type="dxa"/>
                  <w:tcBorders>
                    <w:top w:val="nil"/>
                    <w:left w:val="nil"/>
                    <w:bottom w:val="single" w:sz="4" w:space="0" w:color="auto"/>
                    <w:right w:val="single" w:sz="4" w:space="0" w:color="auto"/>
                  </w:tcBorders>
                  <w:shd w:val="clear" w:color="auto" w:fill="auto"/>
                  <w:noWrap/>
                  <w:vAlign w:val="center"/>
                  <w:hideMark/>
                </w:tcPr>
                <w:p w14:paraId="199FA4DB" w14:textId="77777777" w:rsidR="00CB2693" w:rsidRPr="000E4461" w:rsidRDefault="00CB2693" w:rsidP="00CB2693">
                  <w:pPr>
                    <w:jc w:val="center"/>
                  </w:pPr>
                  <w:r w:rsidRPr="000E4461">
                    <w:t>31</w:t>
                  </w:r>
                </w:p>
              </w:tc>
              <w:tc>
                <w:tcPr>
                  <w:tcW w:w="2131" w:type="dxa"/>
                  <w:tcBorders>
                    <w:top w:val="nil"/>
                    <w:left w:val="nil"/>
                    <w:bottom w:val="single" w:sz="4" w:space="0" w:color="auto"/>
                    <w:right w:val="single" w:sz="4" w:space="0" w:color="auto"/>
                  </w:tcBorders>
                  <w:shd w:val="clear" w:color="auto" w:fill="auto"/>
                  <w:noWrap/>
                  <w:vAlign w:val="center"/>
                  <w:hideMark/>
                </w:tcPr>
                <w:p w14:paraId="1C842D7E" w14:textId="77777777" w:rsidR="00CB2693" w:rsidRPr="000E4461" w:rsidRDefault="00CB2693" w:rsidP="00CB2693">
                  <w:pPr>
                    <w:jc w:val="center"/>
                  </w:pPr>
                  <w:r w:rsidRPr="000E4461">
                    <w:t>5,93%</w:t>
                  </w:r>
                </w:p>
              </w:tc>
            </w:tr>
            <w:tr w:rsidR="00CB2693" w:rsidRPr="000E4461" w14:paraId="37DEB44B" w14:textId="77777777" w:rsidTr="00CB2693">
              <w:trPr>
                <w:trHeight w:val="270"/>
                <w:jc w:val="center"/>
              </w:trPr>
              <w:tc>
                <w:tcPr>
                  <w:tcW w:w="2405"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33D5C618" w14:textId="77777777" w:rsidR="00CB2693" w:rsidRPr="000E4461" w:rsidRDefault="00CB2693" w:rsidP="00CB2693">
                  <w:r w:rsidRPr="000E4461">
                    <w:t>Regional/local bodies</w:t>
                  </w:r>
                </w:p>
              </w:tc>
              <w:tc>
                <w:tcPr>
                  <w:tcW w:w="2126" w:type="dxa"/>
                  <w:tcBorders>
                    <w:top w:val="nil"/>
                    <w:left w:val="nil"/>
                    <w:bottom w:val="single" w:sz="4" w:space="0" w:color="auto"/>
                    <w:right w:val="single" w:sz="4" w:space="0" w:color="auto"/>
                  </w:tcBorders>
                  <w:shd w:val="clear" w:color="auto" w:fill="auto"/>
                  <w:noWrap/>
                  <w:vAlign w:val="center"/>
                  <w:hideMark/>
                </w:tcPr>
                <w:p w14:paraId="2B1D4822" w14:textId="77777777" w:rsidR="00CB2693" w:rsidRPr="000E4461" w:rsidRDefault="00CB2693" w:rsidP="00CB2693">
                  <w:pPr>
                    <w:jc w:val="center"/>
                  </w:pPr>
                  <w:r w:rsidRPr="000E4461">
                    <w:t>3 315</w:t>
                  </w:r>
                </w:p>
              </w:tc>
              <w:tc>
                <w:tcPr>
                  <w:tcW w:w="1985" w:type="dxa"/>
                  <w:tcBorders>
                    <w:top w:val="nil"/>
                    <w:left w:val="nil"/>
                    <w:bottom w:val="single" w:sz="4" w:space="0" w:color="auto"/>
                    <w:right w:val="single" w:sz="4" w:space="0" w:color="auto"/>
                  </w:tcBorders>
                  <w:shd w:val="clear" w:color="auto" w:fill="auto"/>
                  <w:noWrap/>
                  <w:vAlign w:val="center"/>
                  <w:hideMark/>
                </w:tcPr>
                <w:p w14:paraId="1D6509C9" w14:textId="77777777" w:rsidR="00CB2693" w:rsidRPr="000E4461" w:rsidRDefault="00CB2693" w:rsidP="00CB2693">
                  <w:pPr>
                    <w:jc w:val="center"/>
                  </w:pPr>
                  <w:r w:rsidRPr="000E4461">
                    <w:t>50</w:t>
                  </w:r>
                </w:p>
              </w:tc>
              <w:tc>
                <w:tcPr>
                  <w:tcW w:w="2131" w:type="dxa"/>
                  <w:tcBorders>
                    <w:top w:val="nil"/>
                    <w:left w:val="nil"/>
                    <w:bottom w:val="single" w:sz="4" w:space="0" w:color="auto"/>
                    <w:right w:val="single" w:sz="4" w:space="0" w:color="auto"/>
                  </w:tcBorders>
                  <w:shd w:val="clear" w:color="auto" w:fill="auto"/>
                  <w:noWrap/>
                  <w:vAlign w:val="center"/>
                  <w:hideMark/>
                </w:tcPr>
                <w:p w14:paraId="483517CB" w14:textId="77777777" w:rsidR="00CB2693" w:rsidRPr="000E4461" w:rsidRDefault="00CB2693" w:rsidP="00CB2693">
                  <w:pPr>
                    <w:jc w:val="center"/>
                  </w:pPr>
                  <w:r w:rsidRPr="000E4461">
                    <w:t>1,51%</w:t>
                  </w:r>
                </w:p>
              </w:tc>
            </w:tr>
            <w:tr w:rsidR="00CB2693" w:rsidRPr="000E4461" w14:paraId="31678444" w14:textId="77777777" w:rsidTr="00CB2693">
              <w:trPr>
                <w:trHeight w:val="285"/>
                <w:jc w:val="center"/>
              </w:trPr>
              <w:tc>
                <w:tcPr>
                  <w:tcW w:w="2405" w:type="dxa"/>
                  <w:tcBorders>
                    <w:top w:val="nil"/>
                    <w:left w:val="single" w:sz="4" w:space="0" w:color="auto"/>
                    <w:bottom w:val="double" w:sz="6" w:space="0" w:color="auto"/>
                    <w:right w:val="single" w:sz="4" w:space="0" w:color="auto"/>
                  </w:tcBorders>
                  <w:shd w:val="clear" w:color="auto" w:fill="C6D9F1" w:themeFill="text2" w:themeFillTint="33"/>
                  <w:noWrap/>
                  <w:vAlign w:val="center"/>
                  <w:hideMark/>
                </w:tcPr>
                <w:p w14:paraId="75B76A26" w14:textId="77777777" w:rsidR="00CB2693" w:rsidRPr="000E4461" w:rsidRDefault="00CB2693" w:rsidP="00CB2693">
                  <w:r w:rsidRPr="000E4461">
                    <w:t>Supported entities</w:t>
                  </w:r>
                </w:p>
              </w:tc>
              <w:tc>
                <w:tcPr>
                  <w:tcW w:w="2126" w:type="dxa"/>
                  <w:tcBorders>
                    <w:top w:val="nil"/>
                    <w:left w:val="nil"/>
                    <w:bottom w:val="double" w:sz="6" w:space="0" w:color="auto"/>
                    <w:right w:val="single" w:sz="4" w:space="0" w:color="auto"/>
                  </w:tcBorders>
                  <w:shd w:val="clear" w:color="auto" w:fill="auto"/>
                  <w:noWrap/>
                  <w:vAlign w:val="center"/>
                  <w:hideMark/>
                </w:tcPr>
                <w:p w14:paraId="187029E5" w14:textId="77777777" w:rsidR="00CB2693" w:rsidRPr="000E4461" w:rsidRDefault="00CB2693" w:rsidP="00CB2693">
                  <w:pPr>
                    <w:jc w:val="center"/>
                  </w:pPr>
                  <w:r w:rsidRPr="000E4461">
                    <w:t>687</w:t>
                  </w:r>
                </w:p>
              </w:tc>
              <w:tc>
                <w:tcPr>
                  <w:tcW w:w="1985" w:type="dxa"/>
                  <w:tcBorders>
                    <w:top w:val="nil"/>
                    <w:left w:val="nil"/>
                    <w:bottom w:val="double" w:sz="6" w:space="0" w:color="auto"/>
                    <w:right w:val="single" w:sz="4" w:space="0" w:color="auto"/>
                  </w:tcBorders>
                  <w:shd w:val="clear" w:color="auto" w:fill="auto"/>
                  <w:noWrap/>
                  <w:vAlign w:val="center"/>
                  <w:hideMark/>
                </w:tcPr>
                <w:p w14:paraId="2203F3DC" w14:textId="77777777" w:rsidR="00CB2693" w:rsidRPr="000E4461" w:rsidRDefault="00CB2693" w:rsidP="00CB2693">
                  <w:pPr>
                    <w:jc w:val="center"/>
                  </w:pPr>
                  <w:r w:rsidRPr="000E4461">
                    <w:t>10</w:t>
                  </w:r>
                </w:p>
              </w:tc>
              <w:tc>
                <w:tcPr>
                  <w:tcW w:w="2131" w:type="dxa"/>
                  <w:tcBorders>
                    <w:top w:val="nil"/>
                    <w:left w:val="nil"/>
                    <w:bottom w:val="double" w:sz="6" w:space="0" w:color="auto"/>
                    <w:right w:val="single" w:sz="4" w:space="0" w:color="auto"/>
                  </w:tcBorders>
                  <w:shd w:val="clear" w:color="auto" w:fill="auto"/>
                  <w:noWrap/>
                  <w:vAlign w:val="center"/>
                  <w:hideMark/>
                </w:tcPr>
                <w:p w14:paraId="0CAF0535" w14:textId="77777777" w:rsidR="00CB2693" w:rsidRPr="000E4461" w:rsidRDefault="00CB2693" w:rsidP="00CB2693">
                  <w:pPr>
                    <w:jc w:val="center"/>
                  </w:pPr>
                  <w:r w:rsidRPr="000E4461">
                    <w:t>1,46%</w:t>
                  </w:r>
                </w:p>
              </w:tc>
            </w:tr>
            <w:tr w:rsidR="00CB2693" w:rsidRPr="000E4461" w14:paraId="607864DD" w14:textId="77777777" w:rsidTr="00CB2693">
              <w:trPr>
                <w:trHeight w:val="345"/>
                <w:jc w:val="center"/>
              </w:trPr>
              <w:tc>
                <w:tcPr>
                  <w:tcW w:w="2405"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B49FF84" w14:textId="77777777" w:rsidR="00CB2693" w:rsidRPr="000E4461" w:rsidRDefault="00CB2693" w:rsidP="00CB2693">
                  <w:pPr>
                    <w:rPr>
                      <w:b/>
                    </w:rPr>
                  </w:pPr>
                  <w:r w:rsidRPr="000E4461">
                    <w:rPr>
                      <w:b/>
                    </w:rPr>
                    <w:t>Total</w:t>
                  </w:r>
                </w:p>
              </w:tc>
              <w:tc>
                <w:tcPr>
                  <w:tcW w:w="2126" w:type="dxa"/>
                  <w:tcBorders>
                    <w:top w:val="nil"/>
                    <w:left w:val="nil"/>
                    <w:bottom w:val="single" w:sz="4" w:space="0" w:color="auto"/>
                    <w:right w:val="single" w:sz="4" w:space="0" w:color="auto"/>
                  </w:tcBorders>
                  <w:shd w:val="clear" w:color="auto" w:fill="auto"/>
                  <w:noWrap/>
                  <w:vAlign w:val="center"/>
                  <w:hideMark/>
                </w:tcPr>
                <w:p w14:paraId="10DC4A7D" w14:textId="77777777" w:rsidR="00CB2693" w:rsidRPr="000E4461" w:rsidRDefault="00CB2693" w:rsidP="00CB2693">
                  <w:pPr>
                    <w:jc w:val="center"/>
                  </w:pPr>
                  <w:r w:rsidRPr="000E4461">
                    <w:t>8 811</w:t>
                  </w:r>
                </w:p>
              </w:tc>
              <w:tc>
                <w:tcPr>
                  <w:tcW w:w="1985" w:type="dxa"/>
                  <w:tcBorders>
                    <w:top w:val="nil"/>
                    <w:left w:val="nil"/>
                    <w:bottom w:val="single" w:sz="4" w:space="0" w:color="auto"/>
                    <w:right w:val="single" w:sz="4" w:space="0" w:color="auto"/>
                  </w:tcBorders>
                  <w:shd w:val="clear" w:color="auto" w:fill="auto"/>
                  <w:noWrap/>
                  <w:vAlign w:val="center"/>
                  <w:hideMark/>
                </w:tcPr>
                <w:p w14:paraId="6E2267A9" w14:textId="77777777" w:rsidR="00CB2693" w:rsidRPr="000E4461" w:rsidRDefault="00CB2693" w:rsidP="00CB2693">
                  <w:pPr>
                    <w:jc w:val="center"/>
                  </w:pPr>
                  <w:r w:rsidRPr="000E4461">
                    <w:t>336</w:t>
                  </w:r>
                </w:p>
              </w:tc>
              <w:tc>
                <w:tcPr>
                  <w:tcW w:w="2131" w:type="dxa"/>
                  <w:tcBorders>
                    <w:top w:val="nil"/>
                    <w:left w:val="nil"/>
                    <w:bottom w:val="single" w:sz="4" w:space="0" w:color="auto"/>
                    <w:right w:val="single" w:sz="4" w:space="0" w:color="auto"/>
                  </w:tcBorders>
                  <w:shd w:val="clear" w:color="auto" w:fill="auto"/>
                  <w:noWrap/>
                  <w:vAlign w:val="center"/>
                  <w:hideMark/>
                </w:tcPr>
                <w:p w14:paraId="38EFBED3" w14:textId="77777777" w:rsidR="00CB2693" w:rsidRPr="000E4461" w:rsidRDefault="00CB2693" w:rsidP="00CB2693">
                  <w:pPr>
                    <w:jc w:val="center"/>
                  </w:pPr>
                  <w:r w:rsidRPr="000E4461">
                    <w:t>3,81%</w:t>
                  </w:r>
                </w:p>
              </w:tc>
            </w:tr>
          </w:tbl>
          <w:p w14:paraId="05C265AE" w14:textId="77777777" w:rsidR="00CB2693" w:rsidRPr="000E4461" w:rsidRDefault="00CB2693" w:rsidP="00CB2693">
            <w:pPr>
              <w:jc w:val="both"/>
            </w:pPr>
          </w:p>
          <w:p w14:paraId="11E95797" w14:textId="77777777" w:rsidR="00CB2693" w:rsidRDefault="00CB2693" w:rsidP="005329C9">
            <w:pPr>
              <w:jc w:val="both"/>
            </w:pPr>
          </w:p>
          <w:p w14:paraId="1E59FC21" w14:textId="11CE7160" w:rsidR="00925D11" w:rsidRDefault="00925D11" w:rsidP="00925D11">
            <w:pPr>
              <w:jc w:val="center"/>
              <w:rPr>
                <w:b/>
                <w:u w:val="single"/>
              </w:rPr>
            </w:pPr>
            <w:r w:rsidRPr="00925D11">
              <w:rPr>
                <w:b/>
                <w:u w:val="single"/>
              </w:rPr>
              <w:t>Statistical distribution of buyers by frequency of negotiated procedures without prior publication of a contract notice</w:t>
            </w:r>
            <w:r w:rsidR="00180C2B">
              <w:rPr>
                <w:b/>
                <w:u w:val="single"/>
              </w:rPr>
              <w:t>*</w:t>
            </w:r>
          </w:p>
          <w:p w14:paraId="53139C7D" w14:textId="77777777" w:rsidR="00EB7690" w:rsidRPr="00EB7690" w:rsidRDefault="00EB7690" w:rsidP="00B21728">
            <w:pPr>
              <w:rPr>
                <w:b/>
                <w:u w:val="single"/>
                <w:lang w:val="hu-HU"/>
              </w:rPr>
            </w:pPr>
          </w:p>
          <w:tbl>
            <w:tblPr>
              <w:tblW w:w="3969" w:type="dxa"/>
              <w:jc w:val="center"/>
              <w:tblCellMar>
                <w:left w:w="70" w:type="dxa"/>
                <w:right w:w="70" w:type="dxa"/>
              </w:tblCellMar>
              <w:tblLook w:val="04A0" w:firstRow="1" w:lastRow="0" w:firstColumn="1" w:lastColumn="0" w:noHBand="0" w:noVBand="1"/>
            </w:tblPr>
            <w:tblGrid>
              <w:gridCol w:w="1843"/>
              <w:gridCol w:w="2126"/>
            </w:tblGrid>
            <w:tr w:rsidR="00EB7690" w:rsidRPr="00EB7690" w14:paraId="45F9C948" w14:textId="77777777" w:rsidTr="00B8128A">
              <w:trPr>
                <w:trHeight w:val="615"/>
                <w:jc w:val="center"/>
              </w:trPr>
              <w:tc>
                <w:tcPr>
                  <w:tcW w:w="1843" w:type="dxa"/>
                  <w:tcBorders>
                    <w:top w:val="single" w:sz="4" w:space="0" w:color="auto"/>
                    <w:left w:val="single" w:sz="4" w:space="0" w:color="auto"/>
                    <w:bottom w:val="double" w:sz="6" w:space="0" w:color="auto"/>
                    <w:right w:val="single" w:sz="4" w:space="0" w:color="auto"/>
                  </w:tcBorders>
                  <w:shd w:val="clear" w:color="auto" w:fill="548DD4" w:themeFill="text2" w:themeFillTint="99"/>
                  <w:noWrap/>
                  <w:vAlign w:val="center"/>
                  <w:hideMark/>
                </w:tcPr>
                <w:p w14:paraId="32674333" w14:textId="241FFD0B" w:rsidR="00EB7690" w:rsidRPr="00EB7690" w:rsidRDefault="00EB7690" w:rsidP="00EB7690">
                  <w:pPr>
                    <w:spacing w:after="0" w:line="240" w:lineRule="auto"/>
                    <w:jc w:val="center"/>
                    <w:rPr>
                      <w:b/>
                      <w:bCs/>
                    </w:rPr>
                  </w:pPr>
                  <w:r w:rsidRPr="00EB7690">
                    <w:rPr>
                      <w:b/>
                      <w:bCs/>
                    </w:rPr>
                    <w:t>Intervals</w:t>
                  </w:r>
                </w:p>
              </w:tc>
              <w:tc>
                <w:tcPr>
                  <w:tcW w:w="2126"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3E89C28F" w14:textId="2F0DA134" w:rsidR="00EB7690" w:rsidRPr="00EB7690" w:rsidRDefault="00EB7690" w:rsidP="00EB7690">
                  <w:pPr>
                    <w:spacing w:after="0" w:line="240" w:lineRule="auto"/>
                    <w:jc w:val="center"/>
                    <w:rPr>
                      <w:b/>
                      <w:bCs/>
                    </w:rPr>
                  </w:pPr>
                  <w:r w:rsidRPr="00EB7690">
                    <w:rPr>
                      <w:b/>
                      <w:bCs/>
                    </w:rPr>
                    <w:t>Number of contracting authorities</w:t>
                  </w:r>
                </w:p>
              </w:tc>
            </w:tr>
            <w:tr w:rsidR="00EB7690" w:rsidRPr="00EB7690" w14:paraId="4EC128D2" w14:textId="77777777" w:rsidTr="008E074D">
              <w:trPr>
                <w:trHeight w:val="285"/>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1AABA720" w14:textId="77777777" w:rsidR="00EB7690" w:rsidRPr="00EB7690" w:rsidRDefault="00EB7690" w:rsidP="00EB7690">
                  <w:pPr>
                    <w:spacing w:after="0" w:line="240" w:lineRule="auto"/>
                    <w:jc w:val="center"/>
                    <w:rPr>
                      <w:lang w:val="hu-HU"/>
                    </w:rPr>
                  </w:pPr>
                  <w:r w:rsidRPr="00EB7690">
                    <w:rPr>
                      <w:lang w:val="hu-HU"/>
                    </w:rPr>
                    <w:t>&lt;0%, 10%&gt;</w:t>
                  </w:r>
                </w:p>
              </w:tc>
              <w:tc>
                <w:tcPr>
                  <w:tcW w:w="2126" w:type="dxa"/>
                  <w:tcBorders>
                    <w:top w:val="nil"/>
                    <w:left w:val="nil"/>
                    <w:bottom w:val="single" w:sz="4" w:space="0" w:color="auto"/>
                    <w:right w:val="single" w:sz="4" w:space="0" w:color="auto"/>
                  </w:tcBorders>
                  <w:shd w:val="clear" w:color="auto" w:fill="auto"/>
                  <w:noWrap/>
                  <w:vAlign w:val="center"/>
                </w:tcPr>
                <w:p w14:paraId="4637338B" w14:textId="77777777" w:rsidR="00EB7690" w:rsidRPr="00EB7690" w:rsidRDefault="00EB7690" w:rsidP="00EB7690">
                  <w:pPr>
                    <w:spacing w:after="0" w:line="240" w:lineRule="auto"/>
                    <w:jc w:val="center"/>
                    <w:rPr>
                      <w:lang w:val="hu-HU"/>
                    </w:rPr>
                  </w:pPr>
                  <w:r w:rsidRPr="00EB7690">
                    <w:rPr>
                      <w:lang w:val="hu-HU"/>
                    </w:rPr>
                    <w:t>660</w:t>
                  </w:r>
                </w:p>
              </w:tc>
            </w:tr>
            <w:tr w:rsidR="00EB7690" w:rsidRPr="00EB7690" w14:paraId="28B8246B"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6347EB82" w14:textId="77777777" w:rsidR="00EB7690" w:rsidRPr="00EB7690" w:rsidRDefault="00EB7690" w:rsidP="00EB7690">
                  <w:pPr>
                    <w:spacing w:after="0" w:line="240" w:lineRule="auto"/>
                    <w:jc w:val="center"/>
                    <w:rPr>
                      <w:lang w:val="hu-HU"/>
                    </w:rPr>
                  </w:pPr>
                  <w:r w:rsidRPr="00EB7690">
                    <w:rPr>
                      <w:lang w:val="hu-HU"/>
                    </w:rPr>
                    <w:t>(10%, 20%&gt;</w:t>
                  </w:r>
                </w:p>
              </w:tc>
              <w:tc>
                <w:tcPr>
                  <w:tcW w:w="2126" w:type="dxa"/>
                  <w:tcBorders>
                    <w:top w:val="nil"/>
                    <w:left w:val="nil"/>
                    <w:bottom w:val="single" w:sz="4" w:space="0" w:color="auto"/>
                    <w:right w:val="single" w:sz="4" w:space="0" w:color="auto"/>
                  </w:tcBorders>
                  <w:shd w:val="clear" w:color="auto" w:fill="auto"/>
                  <w:noWrap/>
                  <w:vAlign w:val="center"/>
                </w:tcPr>
                <w:p w14:paraId="5922D7A8" w14:textId="77777777" w:rsidR="00EB7690" w:rsidRPr="00EB7690" w:rsidRDefault="00EB7690" w:rsidP="00EB7690">
                  <w:pPr>
                    <w:spacing w:after="0" w:line="240" w:lineRule="auto"/>
                    <w:jc w:val="center"/>
                    <w:rPr>
                      <w:lang w:val="hu-HU"/>
                    </w:rPr>
                  </w:pPr>
                  <w:r w:rsidRPr="00EB7690">
                    <w:rPr>
                      <w:lang w:val="hu-HU"/>
                    </w:rPr>
                    <w:t>13</w:t>
                  </w:r>
                </w:p>
              </w:tc>
            </w:tr>
            <w:tr w:rsidR="00EB7690" w:rsidRPr="00EB7690" w14:paraId="4B2BC3D9"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3B59F549" w14:textId="77777777" w:rsidR="00EB7690" w:rsidRPr="00EB7690" w:rsidRDefault="00EB7690" w:rsidP="00EB7690">
                  <w:pPr>
                    <w:spacing w:after="0" w:line="240" w:lineRule="auto"/>
                    <w:jc w:val="center"/>
                    <w:rPr>
                      <w:lang w:val="hu-HU"/>
                    </w:rPr>
                  </w:pPr>
                  <w:r w:rsidRPr="00EB7690">
                    <w:rPr>
                      <w:lang w:val="hu-HU"/>
                    </w:rPr>
                    <w:t>(20%, 30%&gt;</w:t>
                  </w:r>
                </w:p>
              </w:tc>
              <w:tc>
                <w:tcPr>
                  <w:tcW w:w="2126" w:type="dxa"/>
                  <w:tcBorders>
                    <w:top w:val="nil"/>
                    <w:left w:val="nil"/>
                    <w:bottom w:val="single" w:sz="4" w:space="0" w:color="auto"/>
                    <w:right w:val="single" w:sz="4" w:space="0" w:color="auto"/>
                  </w:tcBorders>
                  <w:shd w:val="clear" w:color="auto" w:fill="auto"/>
                  <w:noWrap/>
                  <w:vAlign w:val="center"/>
                </w:tcPr>
                <w:p w14:paraId="0523D840" w14:textId="77777777" w:rsidR="00EB7690" w:rsidRPr="00EB7690" w:rsidRDefault="00EB7690" w:rsidP="00EB7690">
                  <w:pPr>
                    <w:spacing w:after="0" w:line="240" w:lineRule="auto"/>
                    <w:jc w:val="center"/>
                    <w:rPr>
                      <w:lang w:val="hu-HU"/>
                    </w:rPr>
                  </w:pPr>
                  <w:r w:rsidRPr="00EB7690">
                    <w:rPr>
                      <w:lang w:val="hu-HU"/>
                    </w:rPr>
                    <w:t>5</w:t>
                  </w:r>
                </w:p>
              </w:tc>
            </w:tr>
            <w:tr w:rsidR="00EB7690" w:rsidRPr="00EB7690" w14:paraId="66F00C46"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6905494D" w14:textId="77777777" w:rsidR="00EB7690" w:rsidRPr="00EB7690" w:rsidRDefault="00EB7690" w:rsidP="00EB7690">
                  <w:pPr>
                    <w:spacing w:after="0" w:line="240" w:lineRule="auto"/>
                    <w:jc w:val="center"/>
                    <w:rPr>
                      <w:lang w:val="hu-HU"/>
                    </w:rPr>
                  </w:pPr>
                  <w:r w:rsidRPr="00EB7690">
                    <w:rPr>
                      <w:lang w:val="hu-HU"/>
                    </w:rPr>
                    <w:t>(30%, 40%&gt;</w:t>
                  </w:r>
                </w:p>
              </w:tc>
              <w:tc>
                <w:tcPr>
                  <w:tcW w:w="2126" w:type="dxa"/>
                  <w:tcBorders>
                    <w:top w:val="nil"/>
                    <w:left w:val="nil"/>
                    <w:bottom w:val="single" w:sz="4" w:space="0" w:color="auto"/>
                    <w:right w:val="single" w:sz="4" w:space="0" w:color="auto"/>
                  </w:tcBorders>
                  <w:shd w:val="clear" w:color="auto" w:fill="auto"/>
                  <w:noWrap/>
                  <w:vAlign w:val="center"/>
                </w:tcPr>
                <w:p w14:paraId="0AD9F747" w14:textId="77777777" w:rsidR="00EB7690" w:rsidRPr="00EB7690" w:rsidRDefault="00EB7690" w:rsidP="00EB7690">
                  <w:pPr>
                    <w:spacing w:after="0" w:line="240" w:lineRule="auto"/>
                    <w:jc w:val="center"/>
                    <w:rPr>
                      <w:lang w:val="hu-HU"/>
                    </w:rPr>
                  </w:pPr>
                  <w:r w:rsidRPr="00EB7690">
                    <w:rPr>
                      <w:lang w:val="hu-HU"/>
                    </w:rPr>
                    <w:t>3</w:t>
                  </w:r>
                </w:p>
              </w:tc>
            </w:tr>
            <w:tr w:rsidR="00EB7690" w:rsidRPr="00EB7690" w14:paraId="2A296EBA"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2213BD16" w14:textId="77777777" w:rsidR="00EB7690" w:rsidRPr="00EB7690" w:rsidRDefault="00EB7690" w:rsidP="00EB7690">
                  <w:pPr>
                    <w:spacing w:after="0" w:line="240" w:lineRule="auto"/>
                    <w:jc w:val="center"/>
                    <w:rPr>
                      <w:lang w:val="hu-HU"/>
                    </w:rPr>
                  </w:pPr>
                  <w:r w:rsidRPr="00EB7690">
                    <w:rPr>
                      <w:lang w:val="hu-HU"/>
                    </w:rPr>
                    <w:t>(40%, 50%&gt;</w:t>
                  </w:r>
                </w:p>
              </w:tc>
              <w:tc>
                <w:tcPr>
                  <w:tcW w:w="2126" w:type="dxa"/>
                  <w:tcBorders>
                    <w:top w:val="nil"/>
                    <w:left w:val="nil"/>
                    <w:bottom w:val="single" w:sz="4" w:space="0" w:color="auto"/>
                    <w:right w:val="single" w:sz="4" w:space="0" w:color="auto"/>
                  </w:tcBorders>
                  <w:shd w:val="clear" w:color="auto" w:fill="auto"/>
                  <w:noWrap/>
                  <w:vAlign w:val="center"/>
                </w:tcPr>
                <w:p w14:paraId="6A49BECB" w14:textId="77777777" w:rsidR="00EB7690" w:rsidRPr="00EB7690" w:rsidRDefault="00EB7690" w:rsidP="00EB7690">
                  <w:pPr>
                    <w:spacing w:after="0" w:line="240" w:lineRule="auto"/>
                    <w:jc w:val="center"/>
                    <w:rPr>
                      <w:lang w:val="hu-HU"/>
                    </w:rPr>
                  </w:pPr>
                  <w:r w:rsidRPr="00EB7690">
                    <w:rPr>
                      <w:lang w:val="hu-HU"/>
                    </w:rPr>
                    <w:t>0</w:t>
                  </w:r>
                </w:p>
              </w:tc>
            </w:tr>
            <w:tr w:rsidR="00EB7690" w:rsidRPr="00EB7690" w14:paraId="4B79D4A0"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1289AE83" w14:textId="77777777" w:rsidR="00EB7690" w:rsidRPr="00EB7690" w:rsidRDefault="00EB7690" w:rsidP="00EB7690">
                  <w:pPr>
                    <w:spacing w:after="0" w:line="240" w:lineRule="auto"/>
                    <w:jc w:val="center"/>
                    <w:rPr>
                      <w:lang w:val="hu-HU"/>
                    </w:rPr>
                  </w:pPr>
                  <w:r w:rsidRPr="00EB7690">
                    <w:rPr>
                      <w:lang w:val="hu-HU"/>
                    </w:rPr>
                    <w:t>(50%, 60%&gt;</w:t>
                  </w:r>
                </w:p>
              </w:tc>
              <w:tc>
                <w:tcPr>
                  <w:tcW w:w="2126" w:type="dxa"/>
                  <w:tcBorders>
                    <w:top w:val="nil"/>
                    <w:left w:val="nil"/>
                    <w:bottom w:val="single" w:sz="4" w:space="0" w:color="auto"/>
                    <w:right w:val="single" w:sz="4" w:space="0" w:color="auto"/>
                  </w:tcBorders>
                  <w:shd w:val="clear" w:color="auto" w:fill="auto"/>
                  <w:noWrap/>
                  <w:vAlign w:val="center"/>
                </w:tcPr>
                <w:p w14:paraId="46F8A25E" w14:textId="77777777" w:rsidR="00EB7690" w:rsidRPr="00EB7690" w:rsidRDefault="00EB7690" w:rsidP="00EB7690">
                  <w:pPr>
                    <w:spacing w:after="0" w:line="240" w:lineRule="auto"/>
                    <w:jc w:val="center"/>
                    <w:rPr>
                      <w:lang w:val="hu-HU"/>
                    </w:rPr>
                  </w:pPr>
                  <w:r w:rsidRPr="00EB7690">
                    <w:rPr>
                      <w:lang w:val="hu-HU"/>
                    </w:rPr>
                    <w:t>2</w:t>
                  </w:r>
                </w:p>
              </w:tc>
            </w:tr>
            <w:tr w:rsidR="00EB7690" w:rsidRPr="00EB7690" w14:paraId="21375256"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1BDEEE38" w14:textId="77777777" w:rsidR="00EB7690" w:rsidRPr="00EB7690" w:rsidRDefault="00EB7690" w:rsidP="00EB7690">
                  <w:pPr>
                    <w:spacing w:after="0" w:line="240" w:lineRule="auto"/>
                    <w:jc w:val="center"/>
                    <w:rPr>
                      <w:lang w:val="hu-HU"/>
                    </w:rPr>
                  </w:pPr>
                  <w:r w:rsidRPr="00EB7690">
                    <w:rPr>
                      <w:lang w:val="hu-HU"/>
                    </w:rPr>
                    <w:t>(60%, 70%&gt;</w:t>
                  </w:r>
                </w:p>
              </w:tc>
              <w:tc>
                <w:tcPr>
                  <w:tcW w:w="2126" w:type="dxa"/>
                  <w:tcBorders>
                    <w:top w:val="nil"/>
                    <w:left w:val="nil"/>
                    <w:bottom w:val="single" w:sz="4" w:space="0" w:color="auto"/>
                    <w:right w:val="single" w:sz="4" w:space="0" w:color="auto"/>
                  </w:tcBorders>
                  <w:shd w:val="clear" w:color="auto" w:fill="auto"/>
                  <w:noWrap/>
                  <w:vAlign w:val="center"/>
                </w:tcPr>
                <w:p w14:paraId="5265A9FE" w14:textId="77777777" w:rsidR="00EB7690" w:rsidRPr="00EB7690" w:rsidRDefault="00EB7690" w:rsidP="00EB7690">
                  <w:pPr>
                    <w:spacing w:after="0" w:line="240" w:lineRule="auto"/>
                    <w:jc w:val="center"/>
                    <w:rPr>
                      <w:lang w:val="hu-HU"/>
                    </w:rPr>
                  </w:pPr>
                  <w:r w:rsidRPr="00EB7690">
                    <w:rPr>
                      <w:lang w:val="hu-HU"/>
                    </w:rPr>
                    <w:t>1</w:t>
                  </w:r>
                </w:p>
              </w:tc>
            </w:tr>
            <w:tr w:rsidR="00EB7690" w:rsidRPr="00EB7690" w14:paraId="50C8E7E3"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625E77A5" w14:textId="77777777" w:rsidR="00EB7690" w:rsidRPr="00EB7690" w:rsidRDefault="00EB7690" w:rsidP="00EB7690">
                  <w:pPr>
                    <w:spacing w:after="0" w:line="240" w:lineRule="auto"/>
                    <w:jc w:val="center"/>
                    <w:rPr>
                      <w:lang w:val="hu-HU"/>
                    </w:rPr>
                  </w:pPr>
                  <w:r w:rsidRPr="00EB7690">
                    <w:rPr>
                      <w:lang w:val="hu-HU"/>
                    </w:rPr>
                    <w:t>(70%, 80%&gt;</w:t>
                  </w:r>
                </w:p>
              </w:tc>
              <w:tc>
                <w:tcPr>
                  <w:tcW w:w="2126" w:type="dxa"/>
                  <w:tcBorders>
                    <w:top w:val="nil"/>
                    <w:left w:val="nil"/>
                    <w:bottom w:val="single" w:sz="4" w:space="0" w:color="auto"/>
                    <w:right w:val="single" w:sz="4" w:space="0" w:color="auto"/>
                  </w:tcBorders>
                  <w:shd w:val="clear" w:color="auto" w:fill="auto"/>
                  <w:noWrap/>
                  <w:vAlign w:val="center"/>
                </w:tcPr>
                <w:p w14:paraId="5D20DCF1" w14:textId="77777777" w:rsidR="00EB7690" w:rsidRPr="00EB7690" w:rsidRDefault="00EB7690" w:rsidP="00EB7690">
                  <w:pPr>
                    <w:spacing w:after="0" w:line="240" w:lineRule="auto"/>
                    <w:jc w:val="center"/>
                    <w:rPr>
                      <w:lang w:val="hu-HU"/>
                    </w:rPr>
                  </w:pPr>
                  <w:r w:rsidRPr="00EB7690">
                    <w:rPr>
                      <w:lang w:val="hu-HU"/>
                    </w:rPr>
                    <w:t>0</w:t>
                  </w:r>
                </w:p>
              </w:tc>
            </w:tr>
            <w:tr w:rsidR="00EB7690" w:rsidRPr="00EB7690" w14:paraId="3D0E98B8" w14:textId="77777777" w:rsidTr="008E074D">
              <w:trPr>
                <w:trHeight w:val="27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674BD3E" w14:textId="77777777" w:rsidR="00EB7690" w:rsidRPr="00EB7690" w:rsidRDefault="00EB7690" w:rsidP="00EB7690">
                  <w:pPr>
                    <w:spacing w:after="0" w:line="240" w:lineRule="auto"/>
                    <w:jc w:val="center"/>
                    <w:rPr>
                      <w:lang w:val="hu-HU"/>
                    </w:rPr>
                  </w:pPr>
                  <w:r w:rsidRPr="00EB7690">
                    <w:rPr>
                      <w:lang w:val="hu-HU"/>
                    </w:rPr>
                    <w:t>(80%, 90%&gt;</w:t>
                  </w:r>
                </w:p>
              </w:tc>
              <w:tc>
                <w:tcPr>
                  <w:tcW w:w="2126" w:type="dxa"/>
                  <w:tcBorders>
                    <w:top w:val="nil"/>
                    <w:left w:val="nil"/>
                    <w:bottom w:val="single" w:sz="4" w:space="0" w:color="auto"/>
                    <w:right w:val="single" w:sz="4" w:space="0" w:color="auto"/>
                  </w:tcBorders>
                  <w:shd w:val="clear" w:color="auto" w:fill="auto"/>
                  <w:noWrap/>
                  <w:vAlign w:val="center"/>
                </w:tcPr>
                <w:p w14:paraId="078CBBD5" w14:textId="77777777" w:rsidR="00EB7690" w:rsidRPr="00EB7690" w:rsidRDefault="00EB7690" w:rsidP="00EB7690">
                  <w:pPr>
                    <w:spacing w:after="0" w:line="240" w:lineRule="auto"/>
                    <w:jc w:val="center"/>
                    <w:rPr>
                      <w:lang w:val="hu-HU"/>
                    </w:rPr>
                  </w:pPr>
                  <w:r w:rsidRPr="00EB7690">
                    <w:rPr>
                      <w:lang w:val="hu-HU"/>
                    </w:rPr>
                    <w:t>0</w:t>
                  </w:r>
                </w:p>
              </w:tc>
            </w:tr>
            <w:tr w:rsidR="00EB7690" w:rsidRPr="00EB7690" w14:paraId="74038647" w14:textId="77777777" w:rsidTr="00B8128A">
              <w:trPr>
                <w:trHeight w:val="285"/>
                <w:jc w:val="center"/>
              </w:trPr>
              <w:tc>
                <w:tcPr>
                  <w:tcW w:w="1843" w:type="dxa"/>
                  <w:tcBorders>
                    <w:top w:val="nil"/>
                    <w:left w:val="single" w:sz="4" w:space="0" w:color="auto"/>
                    <w:bottom w:val="double" w:sz="6" w:space="0" w:color="auto"/>
                    <w:right w:val="single" w:sz="4" w:space="0" w:color="auto"/>
                  </w:tcBorders>
                  <w:shd w:val="clear" w:color="auto" w:fill="auto"/>
                  <w:noWrap/>
                  <w:vAlign w:val="center"/>
                </w:tcPr>
                <w:p w14:paraId="7405A97A" w14:textId="77777777" w:rsidR="00EB7690" w:rsidRPr="00EB7690" w:rsidRDefault="00EB7690" w:rsidP="00EB7690">
                  <w:pPr>
                    <w:spacing w:after="0" w:line="240" w:lineRule="auto"/>
                    <w:jc w:val="center"/>
                    <w:rPr>
                      <w:lang w:val="hu-HU"/>
                    </w:rPr>
                  </w:pPr>
                  <w:r w:rsidRPr="00EB7690">
                    <w:rPr>
                      <w:lang w:val="hu-HU"/>
                    </w:rPr>
                    <w:t>(90%, 100%&gt;</w:t>
                  </w:r>
                </w:p>
              </w:tc>
              <w:tc>
                <w:tcPr>
                  <w:tcW w:w="2126" w:type="dxa"/>
                  <w:tcBorders>
                    <w:top w:val="nil"/>
                    <w:left w:val="nil"/>
                    <w:bottom w:val="double" w:sz="6" w:space="0" w:color="auto"/>
                    <w:right w:val="single" w:sz="4" w:space="0" w:color="auto"/>
                  </w:tcBorders>
                  <w:shd w:val="clear" w:color="auto" w:fill="auto"/>
                  <w:noWrap/>
                  <w:vAlign w:val="center"/>
                </w:tcPr>
                <w:p w14:paraId="184396F9" w14:textId="77777777" w:rsidR="00EB7690" w:rsidRPr="00EB7690" w:rsidRDefault="00EB7690" w:rsidP="00EB7690">
                  <w:pPr>
                    <w:spacing w:after="0" w:line="240" w:lineRule="auto"/>
                    <w:jc w:val="center"/>
                    <w:rPr>
                      <w:lang w:val="hu-HU"/>
                    </w:rPr>
                  </w:pPr>
                  <w:r w:rsidRPr="00EB7690">
                    <w:rPr>
                      <w:lang w:val="hu-HU"/>
                    </w:rPr>
                    <w:t>3</w:t>
                  </w:r>
                </w:p>
              </w:tc>
            </w:tr>
            <w:tr w:rsidR="00EB7690" w:rsidRPr="00EB7690" w14:paraId="6308A907" w14:textId="77777777" w:rsidTr="00B8128A">
              <w:trPr>
                <w:trHeight w:val="345"/>
                <w:jc w:val="center"/>
              </w:trPr>
              <w:tc>
                <w:tcPr>
                  <w:tcW w:w="1843" w:type="dxa"/>
                  <w:tcBorders>
                    <w:top w:val="double" w:sz="6"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64337FF" w14:textId="18AFCBA6" w:rsidR="00EB7690" w:rsidRPr="00EB7690" w:rsidRDefault="00EB7690" w:rsidP="00EB7690">
                  <w:pPr>
                    <w:spacing w:after="0" w:line="240" w:lineRule="auto"/>
                    <w:jc w:val="center"/>
                    <w:rPr>
                      <w:b/>
                      <w:bCs/>
                      <w:lang w:val="hu-HU"/>
                    </w:rPr>
                  </w:pPr>
                  <w:r>
                    <w:rPr>
                      <w:b/>
                      <w:bCs/>
                      <w:lang w:val="hu-HU"/>
                    </w:rPr>
                    <w:t>Total</w:t>
                  </w:r>
                </w:p>
              </w:tc>
              <w:tc>
                <w:tcPr>
                  <w:tcW w:w="2126" w:type="dxa"/>
                  <w:tcBorders>
                    <w:top w:val="double" w:sz="6" w:space="0" w:color="auto"/>
                    <w:left w:val="nil"/>
                    <w:bottom w:val="single" w:sz="4" w:space="0" w:color="auto"/>
                    <w:right w:val="single" w:sz="4" w:space="0" w:color="auto"/>
                  </w:tcBorders>
                  <w:shd w:val="clear" w:color="auto" w:fill="C6D9F1" w:themeFill="text2" w:themeFillTint="33"/>
                  <w:noWrap/>
                  <w:vAlign w:val="center"/>
                  <w:hideMark/>
                </w:tcPr>
                <w:p w14:paraId="1BC80230" w14:textId="77777777" w:rsidR="00EB7690" w:rsidRPr="00EB7690" w:rsidRDefault="00EB7690" w:rsidP="00EB7690">
                  <w:pPr>
                    <w:spacing w:after="0" w:line="240" w:lineRule="auto"/>
                    <w:jc w:val="center"/>
                    <w:rPr>
                      <w:b/>
                      <w:bCs/>
                      <w:lang w:val="hu-HU"/>
                    </w:rPr>
                  </w:pPr>
                  <w:r w:rsidRPr="00EB7690">
                    <w:rPr>
                      <w:b/>
                      <w:bCs/>
                      <w:lang w:val="hu-HU"/>
                    </w:rPr>
                    <w:t>687</w:t>
                  </w:r>
                </w:p>
              </w:tc>
            </w:tr>
          </w:tbl>
          <w:p w14:paraId="37E01E2E" w14:textId="77777777" w:rsidR="00925D11" w:rsidRDefault="00925D11" w:rsidP="00925D11">
            <w:pPr>
              <w:jc w:val="center"/>
              <w:rPr>
                <w:b/>
                <w:u w:val="single"/>
              </w:rPr>
            </w:pPr>
          </w:p>
          <w:p w14:paraId="2699DCE1" w14:textId="77BB7A3D" w:rsidR="00180C2B" w:rsidRPr="00B21728" w:rsidRDefault="00180C2B" w:rsidP="00180C2B">
            <w:pPr>
              <w:jc w:val="both"/>
              <w:rPr>
                <w:i/>
              </w:rPr>
            </w:pPr>
            <w:r w:rsidRPr="00B21728">
              <w:rPr>
                <w:i/>
                <w:sz w:val="20"/>
                <w:szCs w:val="20"/>
              </w:rPr>
              <w:t xml:space="preserve">*The table contains all procedures above and below EU thresholds, including buyers with at least three contract awards in 2017 (except framework </w:t>
            </w:r>
            <w:r w:rsidRPr="00B21728">
              <w:rPr>
                <w:i/>
                <w:sz w:val="20"/>
                <w:szCs w:val="20"/>
              </w:rPr>
              <w:lastRenderedPageBreak/>
              <w:t>agreements).</w:t>
            </w:r>
          </w:p>
          <w:p w14:paraId="37D79B5B" w14:textId="6EED3D6A" w:rsidR="00180C2B" w:rsidRPr="00180C2B" w:rsidRDefault="00180C2B" w:rsidP="00180C2B">
            <w:pPr>
              <w:jc w:val="both"/>
            </w:pPr>
          </w:p>
        </w:tc>
      </w:tr>
      <w:tr w:rsidR="00D50216" w:rsidRPr="000E4461" w14:paraId="01D829E3" w14:textId="77777777" w:rsidTr="00A47B20">
        <w:tc>
          <w:tcPr>
            <w:tcW w:w="1648" w:type="pct"/>
          </w:tcPr>
          <w:p w14:paraId="01B6334F" w14:textId="11E88604" w:rsidR="00D50216" w:rsidRPr="000E4461" w:rsidRDefault="00517206" w:rsidP="00253552">
            <w:pPr>
              <w:pStyle w:val="Cmsor3"/>
              <w:outlineLvl w:val="2"/>
              <w:rPr>
                <w:b w:val="0"/>
              </w:rPr>
            </w:pPr>
            <w:r w:rsidRPr="000E4461">
              <w:rPr>
                <w:b w:val="0"/>
              </w:rPr>
              <w:lastRenderedPageBreak/>
              <w:t>Quantitative assessment of collusion risks</w:t>
            </w:r>
          </w:p>
        </w:tc>
        <w:tc>
          <w:tcPr>
            <w:tcW w:w="3352" w:type="pct"/>
          </w:tcPr>
          <w:p w14:paraId="30ED7537" w14:textId="4D438C40" w:rsidR="00D1227F" w:rsidRPr="000E4461" w:rsidRDefault="00D1227F" w:rsidP="009804B7">
            <w:pPr>
              <w:jc w:val="both"/>
            </w:pPr>
          </w:p>
          <w:p w14:paraId="4F33E586" w14:textId="03FA722D" w:rsidR="00EB577F" w:rsidRPr="000E4461" w:rsidRDefault="00681AA6" w:rsidP="00681AA6">
            <w:pPr>
              <w:jc w:val="both"/>
            </w:pPr>
            <w:r w:rsidRPr="000E4461">
              <w:t xml:space="preserve">In Hungary the Competition Authority (hereinafter: </w:t>
            </w:r>
            <w:r w:rsidR="00316D86" w:rsidRPr="000E4461">
              <w:t>HCA</w:t>
            </w:r>
            <w:r w:rsidRPr="000E4461">
              <w:t>)</w:t>
            </w:r>
            <w:r w:rsidR="00A17166" w:rsidRPr="000E4461">
              <w:t xml:space="preserve"> </w:t>
            </w:r>
            <w:r w:rsidRPr="000E4461">
              <w:t>is responsible for the competition supervision in order to ensure fairness and freedom of competition.</w:t>
            </w:r>
          </w:p>
          <w:p w14:paraId="37DE5916" w14:textId="77777777" w:rsidR="00681AA6" w:rsidRPr="000E4461" w:rsidRDefault="00681AA6" w:rsidP="00681AA6">
            <w:pPr>
              <w:jc w:val="both"/>
            </w:pPr>
          </w:p>
          <w:p w14:paraId="02C0E773" w14:textId="2F0803AA" w:rsidR="00681AA6" w:rsidRPr="000E4461" w:rsidRDefault="00681AA6" w:rsidP="00DB6D7A">
            <w:pPr>
              <w:jc w:val="both"/>
            </w:pPr>
            <w:r w:rsidRPr="000E4461">
              <w:t xml:space="preserve">The </w:t>
            </w:r>
            <w:r w:rsidR="00316D86" w:rsidRPr="000E4461">
              <w:t>HCA</w:t>
            </w:r>
            <w:r w:rsidRPr="000E4461">
              <w:t xml:space="preserve"> </w:t>
            </w:r>
            <w:r w:rsidR="0070371F" w:rsidRPr="000E4461">
              <w:t>puts a great emphasis on the revealing of public procurement cartels and on the actions against anticompetitive behaviours</w:t>
            </w:r>
            <w:r w:rsidR="00A17166" w:rsidRPr="000E4461">
              <w:t>.</w:t>
            </w:r>
            <w:r w:rsidR="0070371F" w:rsidRPr="000E4461">
              <w:t xml:space="preserve"> The </w:t>
            </w:r>
            <w:r w:rsidR="00316D86" w:rsidRPr="000E4461">
              <w:t>HCA</w:t>
            </w:r>
            <w:r w:rsidR="0070371F" w:rsidRPr="000E4461">
              <w:t xml:space="preserve"> has several tool </w:t>
            </w:r>
            <w:r w:rsidR="00A17166" w:rsidRPr="000E4461">
              <w:t>with the help of w</w:t>
            </w:r>
            <w:r w:rsidR="00316D86" w:rsidRPr="000E4461">
              <w:t>hi</w:t>
            </w:r>
            <w:r w:rsidR="00A17166" w:rsidRPr="000E4461">
              <w:t>ch pu</w:t>
            </w:r>
            <w:r w:rsidR="00DB6D7A" w:rsidRPr="000E4461">
              <w:t>blic procurement cartels can be discovered efficiently</w:t>
            </w:r>
            <w:r w:rsidR="00D115DE" w:rsidRPr="000E4461">
              <w:t xml:space="preserve"> for example</w:t>
            </w:r>
            <w:r w:rsidR="00DB6D7A" w:rsidRPr="000E4461">
              <w:t>:</w:t>
            </w:r>
          </w:p>
          <w:p w14:paraId="709A76B2" w14:textId="77777777" w:rsidR="002C4AC0" w:rsidRPr="000E4461" w:rsidRDefault="002C4AC0" w:rsidP="00DB6D7A">
            <w:pPr>
              <w:jc w:val="both"/>
            </w:pPr>
          </w:p>
          <w:p w14:paraId="1A0242A7" w14:textId="1347EE3F" w:rsidR="00DB6D7A" w:rsidRPr="000E4461" w:rsidRDefault="00563A86" w:rsidP="00500037">
            <w:pPr>
              <w:pStyle w:val="Listaszerbekezds"/>
              <w:numPr>
                <w:ilvl w:val="0"/>
                <w:numId w:val="24"/>
              </w:numPr>
              <w:jc w:val="both"/>
            </w:pPr>
            <w:r w:rsidRPr="000E4461">
              <w:t xml:space="preserve">complaint and </w:t>
            </w:r>
            <w:r w:rsidR="007510DD" w:rsidRPr="000E4461">
              <w:t xml:space="preserve">report: the </w:t>
            </w:r>
            <w:r w:rsidR="00316D86" w:rsidRPr="000E4461">
              <w:t>HCA</w:t>
            </w:r>
            <w:r w:rsidR="007510DD" w:rsidRPr="000E4461">
              <w:t xml:space="preserve"> receives numerous signals regarding public procurement cartels</w:t>
            </w:r>
          </w:p>
          <w:p w14:paraId="4C677E38" w14:textId="6AA24963" w:rsidR="00563A86" w:rsidRPr="000E4461" w:rsidRDefault="00563A86" w:rsidP="00500037">
            <w:pPr>
              <w:pStyle w:val="Listaszerbekezds"/>
              <w:numPr>
                <w:ilvl w:val="0"/>
                <w:numId w:val="24"/>
              </w:numPr>
              <w:jc w:val="both"/>
            </w:pPr>
            <w:r w:rsidRPr="000E4461">
              <w:t>Cartel Chat</w:t>
            </w:r>
            <w:r w:rsidR="007510DD" w:rsidRPr="000E4461">
              <w:t xml:space="preserve">: </w:t>
            </w:r>
            <w:r w:rsidR="00D77287" w:rsidRPr="000E4461">
              <w:t>the Cartel Chat is an anonym</w:t>
            </w:r>
            <w:r w:rsidR="00316D86" w:rsidRPr="000E4461">
              <w:t>ous</w:t>
            </w:r>
            <w:r w:rsidR="00D77287" w:rsidRPr="000E4461">
              <w:t xml:space="preserve"> communication form freely accessible on the website of the </w:t>
            </w:r>
            <w:r w:rsidR="00316D86" w:rsidRPr="000E4461">
              <w:t>HCA</w:t>
            </w:r>
            <w:r w:rsidR="00D77287" w:rsidRPr="000E4461">
              <w:t xml:space="preserve"> where anybody can share information </w:t>
            </w:r>
            <w:r w:rsidR="00316D86" w:rsidRPr="000E4461">
              <w:t xml:space="preserve">directly </w:t>
            </w:r>
            <w:r w:rsidR="00D77287" w:rsidRPr="000E4461">
              <w:t xml:space="preserve">with the </w:t>
            </w:r>
            <w:r w:rsidR="00316D86" w:rsidRPr="000E4461">
              <w:t>HCA</w:t>
            </w:r>
            <w:r w:rsidR="00D77287" w:rsidRPr="000E4461">
              <w:t xml:space="preserve">. This is a really </w:t>
            </w:r>
            <w:r w:rsidR="00554541" w:rsidRPr="000E4461">
              <w:t xml:space="preserve">important </w:t>
            </w:r>
            <w:r w:rsidR="00D77287" w:rsidRPr="000E4461">
              <w:t xml:space="preserve">tool since </w:t>
            </w:r>
            <w:r w:rsidR="00554541" w:rsidRPr="000E4461">
              <w:t xml:space="preserve">several useful information and signals can be received through the system on the basis of which the </w:t>
            </w:r>
            <w:r w:rsidR="00316D86" w:rsidRPr="000E4461">
              <w:t>HCA</w:t>
            </w:r>
            <w:r w:rsidR="00554541" w:rsidRPr="000E4461">
              <w:t xml:space="preserve"> has launched a competition supervision procedure</w:t>
            </w:r>
            <w:r w:rsidR="00316D86" w:rsidRPr="000E4461">
              <w:t>s</w:t>
            </w:r>
            <w:r w:rsidR="00554541" w:rsidRPr="000E4461">
              <w:t xml:space="preserve"> </w:t>
            </w:r>
            <w:r w:rsidR="00EA4D11" w:rsidRPr="000E4461">
              <w:t xml:space="preserve">concerning procurements </w:t>
            </w:r>
            <w:r w:rsidR="00EE5E60" w:rsidRPr="000E4461">
              <w:t>in several cases</w:t>
            </w:r>
            <w:r w:rsidR="00554541" w:rsidRPr="000E4461">
              <w:t>.</w:t>
            </w:r>
          </w:p>
          <w:p w14:paraId="27D0A7EE" w14:textId="4C51E425" w:rsidR="00563A86" w:rsidRPr="000E4461" w:rsidRDefault="00563A86" w:rsidP="00500037">
            <w:pPr>
              <w:pStyle w:val="Listaszerbekezds"/>
              <w:numPr>
                <w:ilvl w:val="0"/>
                <w:numId w:val="24"/>
              </w:numPr>
              <w:jc w:val="both"/>
            </w:pPr>
            <w:r w:rsidRPr="000E4461">
              <w:t>leniency policy and cartel informant reward</w:t>
            </w:r>
          </w:p>
          <w:p w14:paraId="63690F2C" w14:textId="6401AEB1" w:rsidR="00563A86" w:rsidRPr="000E4461" w:rsidRDefault="00563A86" w:rsidP="00500037">
            <w:pPr>
              <w:pStyle w:val="Listaszerbekezds"/>
              <w:numPr>
                <w:ilvl w:val="0"/>
                <w:numId w:val="24"/>
              </w:numPr>
              <w:jc w:val="both"/>
            </w:pPr>
            <w:r w:rsidRPr="000E4461">
              <w:t>methodology</w:t>
            </w:r>
            <w:r w:rsidR="00DD165B" w:rsidRPr="000E4461">
              <w:t xml:space="preserve"> about the promotion of the identification of signals concerning public procurement cartels</w:t>
            </w:r>
            <w:r w:rsidR="00782E3F" w:rsidRPr="000E4461">
              <w:t xml:space="preserve">: on the basis of the methodology the </w:t>
            </w:r>
            <w:r w:rsidR="00316D86" w:rsidRPr="000E4461">
              <w:t>HCA</w:t>
            </w:r>
            <w:r w:rsidR="00782E3F" w:rsidRPr="000E4461">
              <w:t xml:space="preserve"> also creates publications and learning materials for contracting authorities and economic operators</w:t>
            </w:r>
            <w:r w:rsidR="00806737" w:rsidRPr="000E4461">
              <w:t>, available under the following links:</w:t>
            </w:r>
          </w:p>
          <w:p w14:paraId="4206CCE5" w14:textId="6D0D1297" w:rsidR="00806737" w:rsidRPr="000E4461" w:rsidRDefault="008E074D" w:rsidP="00500037">
            <w:pPr>
              <w:pStyle w:val="Listaszerbekezds"/>
              <w:numPr>
                <w:ilvl w:val="1"/>
                <w:numId w:val="39"/>
              </w:numPr>
              <w:jc w:val="both"/>
              <w:rPr>
                <w:rStyle w:val="Hiperhivatkozs"/>
                <w:color w:val="auto"/>
                <w:u w:val="none"/>
              </w:rPr>
            </w:pPr>
            <w:hyperlink r:id="rId31" w:history="1">
              <w:r w:rsidR="00806737" w:rsidRPr="000E4461">
                <w:rPr>
                  <w:rStyle w:val="Hiperhivatkozs"/>
                </w:rPr>
                <w:t>http://gvh.hu/sajtoszoba/sajtokozlemenyek/2017_es_sajtokozlemenyek/ujabb_lepes_a_kozbeszerzesi_kartellek_ellen.html</w:t>
              </w:r>
            </w:hyperlink>
          </w:p>
          <w:p w14:paraId="298F0A17" w14:textId="74165B90" w:rsidR="00806737" w:rsidRPr="000E4461" w:rsidRDefault="008E074D" w:rsidP="00500037">
            <w:pPr>
              <w:pStyle w:val="Listaszerbekezds"/>
              <w:numPr>
                <w:ilvl w:val="1"/>
                <w:numId w:val="39"/>
              </w:numPr>
              <w:jc w:val="both"/>
              <w:rPr>
                <w:rStyle w:val="Hiperhivatkozs"/>
                <w:color w:val="auto"/>
                <w:u w:val="none"/>
              </w:rPr>
            </w:pPr>
            <w:hyperlink r:id="rId32" w:history="1">
              <w:r w:rsidR="00806737" w:rsidRPr="000E4461">
                <w:rPr>
                  <w:rStyle w:val="Hiperhivatkozs"/>
                </w:rPr>
                <w:t>http://www.gvh.hu/data/cms1036313/KARTELL_ajanlatkeroknek_2017_05_24.pdf</w:t>
              </w:r>
            </w:hyperlink>
          </w:p>
          <w:p w14:paraId="18C3A4CB" w14:textId="579BE0A0" w:rsidR="00806737" w:rsidRPr="000E4461" w:rsidRDefault="008E074D" w:rsidP="00500037">
            <w:pPr>
              <w:pStyle w:val="Listaszerbekezds"/>
              <w:numPr>
                <w:ilvl w:val="1"/>
                <w:numId w:val="39"/>
              </w:numPr>
              <w:jc w:val="both"/>
            </w:pPr>
            <w:hyperlink r:id="rId33" w:history="1">
              <w:r w:rsidR="00806737" w:rsidRPr="000E4461">
                <w:rPr>
                  <w:rStyle w:val="Hiperhivatkozs"/>
                </w:rPr>
                <w:t>http://www.gvh.hu/data/cms1036296/GVH_VKK_kiadvanyok_oktatasi_anyag_kozbesz_kartell_2017.pdf</w:t>
              </w:r>
            </w:hyperlink>
          </w:p>
          <w:p w14:paraId="786D91F8" w14:textId="65205E1E" w:rsidR="00267FBC" w:rsidRPr="000E4461" w:rsidRDefault="00563A86" w:rsidP="00500037">
            <w:pPr>
              <w:pStyle w:val="Listaszerbekezds"/>
              <w:numPr>
                <w:ilvl w:val="0"/>
                <w:numId w:val="24"/>
              </w:numPr>
              <w:jc w:val="both"/>
            </w:pPr>
            <w:r w:rsidRPr="000E4461">
              <w:t>Daily Tips</w:t>
            </w:r>
            <w:r w:rsidR="00884973" w:rsidRPr="000E4461">
              <w:t xml:space="preserve">: The </w:t>
            </w:r>
            <w:r w:rsidR="00316D86" w:rsidRPr="000E4461">
              <w:t>HCA</w:t>
            </w:r>
            <w:r w:rsidR="00884973" w:rsidRPr="000E4461">
              <w:t xml:space="preserve"> regularly publishes so called “Daily Tips” on t</w:t>
            </w:r>
            <w:r w:rsidR="00CF4EAA">
              <w:t>he Public Procurement Authority’</w:t>
            </w:r>
            <w:r w:rsidR="00884973" w:rsidRPr="000E4461">
              <w:t>s mobile application.</w:t>
            </w:r>
          </w:p>
          <w:p w14:paraId="5C277403" w14:textId="77777777" w:rsidR="002C4AC0" w:rsidRPr="000E4461" w:rsidRDefault="002C4AC0" w:rsidP="002C4AC0">
            <w:pPr>
              <w:jc w:val="both"/>
            </w:pPr>
          </w:p>
          <w:p w14:paraId="35CB7FCF" w14:textId="1D7E7556" w:rsidR="002C4AC0" w:rsidRPr="000E4461" w:rsidRDefault="005D097A" w:rsidP="002C4AC0">
            <w:pPr>
              <w:jc w:val="both"/>
            </w:pPr>
            <w:r w:rsidRPr="000E4461">
              <w:t>Statistics</w:t>
            </w:r>
            <w:r w:rsidR="009205BA" w:rsidRPr="000E4461">
              <w:t xml:space="preserve"> about cartel suspicious cases and the competition supervision procedure of the </w:t>
            </w:r>
            <w:r w:rsidR="0062787B" w:rsidRPr="000E4461">
              <w:t>HCA</w:t>
            </w:r>
            <w:r w:rsidR="009205BA" w:rsidRPr="000E4461">
              <w:t xml:space="preserve"> in 2017:</w:t>
            </w:r>
          </w:p>
          <w:p w14:paraId="3790CC15" w14:textId="77777777" w:rsidR="009205BA" w:rsidRPr="000E4461" w:rsidRDefault="009205BA" w:rsidP="002C4AC0">
            <w:pPr>
              <w:jc w:val="both"/>
            </w:pPr>
          </w:p>
          <w:p w14:paraId="6295EB7B" w14:textId="19082736" w:rsidR="009205BA" w:rsidRPr="000E4461" w:rsidRDefault="00372BD8" w:rsidP="00500037">
            <w:pPr>
              <w:pStyle w:val="Listaszerbekezds"/>
              <w:numPr>
                <w:ilvl w:val="0"/>
                <w:numId w:val="24"/>
              </w:numPr>
              <w:jc w:val="both"/>
            </w:pPr>
            <w:r w:rsidRPr="000E4461">
              <w:t>number of signals connected to public procurement cartel suspicion: around 20 signals</w:t>
            </w:r>
          </w:p>
          <w:p w14:paraId="45DB1C44" w14:textId="5E6606AF" w:rsidR="00372BD8" w:rsidRPr="000E4461" w:rsidRDefault="00883308" w:rsidP="00500037">
            <w:pPr>
              <w:pStyle w:val="Listaszerbekezds"/>
              <w:numPr>
                <w:ilvl w:val="0"/>
                <w:numId w:val="24"/>
              </w:numPr>
              <w:jc w:val="both"/>
            </w:pPr>
            <w:r w:rsidRPr="000E4461">
              <w:t xml:space="preserve">competition supervision procedures launched by the </w:t>
            </w:r>
            <w:r w:rsidR="0062787B" w:rsidRPr="000E4461">
              <w:t>HCA</w:t>
            </w:r>
            <w:r w:rsidRPr="000E4461">
              <w:t xml:space="preserve"> on the basis of the signals connected to public procurement cartel: 4 procedures (currently they are in progress)</w:t>
            </w:r>
          </w:p>
        </w:tc>
      </w:tr>
      <w:tr w:rsidR="00BD57A1" w:rsidRPr="000E4461" w14:paraId="1B9F93D1" w14:textId="77777777" w:rsidTr="00A47B20">
        <w:tc>
          <w:tcPr>
            <w:tcW w:w="1648" w:type="pct"/>
          </w:tcPr>
          <w:p w14:paraId="0D055B74" w14:textId="19EF428A" w:rsidR="009114CB" w:rsidRPr="000E4461" w:rsidRDefault="009114CB" w:rsidP="009114CB">
            <w:r w:rsidRPr="000E4461">
              <w:t xml:space="preserve">Risk of undiscovered conflict of interest </w:t>
            </w:r>
          </w:p>
          <w:p w14:paraId="01D24DB3" w14:textId="77777777" w:rsidR="009114CB" w:rsidRPr="000E4461" w:rsidRDefault="009114CB" w:rsidP="009114CB"/>
          <w:p w14:paraId="5601A529" w14:textId="77777777" w:rsidR="00BD57A1" w:rsidRPr="000E4461" w:rsidRDefault="00BD57A1" w:rsidP="006373E7"/>
        </w:tc>
        <w:tc>
          <w:tcPr>
            <w:tcW w:w="3352" w:type="pct"/>
          </w:tcPr>
          <w:p w14:paraId="08A90F41" w14:textId="2E99A8E6" w:rsidR="00BD57A1" w:rsidRPr="000E4461" w:rsidRDefault="009114CB" w:rsidP="009114CB">
            <w:pPr>
              <w:jc w:val="both"/>
            </w:pPr>
            <w:r w:rsidRPr="000E4461">
              <w:lastRenderedPageBreak/>
              <w:t xml:space="preserve">Percent of contracts awarded to companies with concealed ownership structure (i.e. whose ultimate beneficiary owner </w:t>
            </w:r>
            <w:r w:rsidR="00956FDA" w:rsidRPr="000E4461">
              <w:t>can</w:t>
            </w:r>
            <w:r w:rsidRPr="000E4461">
              <w:t xml:space="preserve">not </w:t>
            </w:r>
            <w:r w:rsidR="00956FDA" w:rsidRPr="000E4461">
              <w:t>be verified</w:t>
            </w:r>
            <w:r w:rsidRPr="000E4461">
              <w:t xml:space="preserve">). </w:t>
            </w:r>
          </w:p>
          <w:p w14:paraId="486EC5E8" w14:textId="4423C94A" w:rsidR="00D63EAA" w:rsidRPr="000E4461" w:rsidRDefault="00D63EAA" w:rsidP="009114CB">
            <w:pPr>
              <w:jc w:val="both"/>
            </w:pPr>
          </w:p>
          <w:p w14:paraId="2FB815A9" w14:textId="30990EBB" w:rsidR="00D63EAA" w:rsidRPr="000E4461" w:rsidRDefault="00D63EAA" w:rsidP="009114CB">
            <w:pPr>
              <w:jc w:val="both"/>
            </w:pPr>
            <w:r w:rsidRPr="000E4461">
              <w:t xml:space="preserve">Information for this indicator </w:t>
            </w:r>
            <w:r w:rsidR="002754A5" w:rsidRPr="000E4461">
              <w:t>should</w:t>
            </w:r>
            <w:r w:rsidRPr="000E4461">
              <w:t xml:space="preserve"> be available</w:t>
            </w:r>
            <w:r w:rsidR="002754A5" w:rsidRPr="000E4461">
              <w:t xml:space="preserve"> in central registers of beneficial ownership, which are to be established by all Member </w:t>
            </w:r>
            <w:r w:rsidR="002754A5" w:rsidRPr="000E4461">
              <w:lastRenderedPageBreak/>
              <w:t>States under the 4th Anti-Money Laundering Directive (2015/84</w:t>
            </w:r>
            <w:r w:rsidR="004772FC" w:rsidRPr="000E4461">
              <w:t>9</w:t>
            </w:r>
            <w:r w:rsidR="002754A5" w:rsidRPr="000E4461">
              <w:t xml:space="preserve"> Art. 30) by June 2017. </w:t>
            </w:r>
          </w:p>
          <w:p w14:paraId="58BAD4BA" w14:textId="77777777" w:rsidR="009114CB" w:rsidRPr="000E4461" w:rsidRDefault="009114CB" w:rsidP="009114CB">
            <w:pPr>
              <w:jc w:val="both"/>
            </w:pPr>
          </w:p>
          <w:p w14:paraId="7768CC68" w14:textId="77777777" w:rsidR="004229F7" w:rsidRPr="000E4461" w:rsidRDefault="009114CB" w:rsidP="003675EB">
            <w:pPr>
              <w:jc w:val="both"/>
            </w:pPr>
            <w:r w:rsidRPr="000E4461">
              <w:t xml:space="preserve">For more </w:t>
            </w:r>
            <w:r w:rsidR="003675EB" w:rsidRPr="000E4461">
              <w:t xml:space="preserve">context for this indicator, please see the Commission's Anticorruption Report available at </w:t>
            </w:r>
            <w:hyperlink r:id="rId34" w:history="1">
              <w:r w:rsidR="003675EB" w:rsidRPr="000E4461">
                <w:t>http://ec.europa.eu/dgs/home-affairs/what-we-do/policies/organized-crime-and-human-trafficking/corruption/anti-corruption-report/index_en.htm</w:t>
              </w:r>
            </w:hyperlink>
            <w:r w:rsidR="003675EB" w:rsidRPr="000E4461">
              <w:t xml:space="preserve"> </w:t>
            </w:r>
          </w:p>
          <w:p w14:paraId="0A769FEE" w14:textId="77777777" w:rsidR="00733150" w:rsidRPr="000E4461" w:rsidRDefault="00733150" w:rsidP="003675EB">
            <w:pPr>
              <w:jc w:val="both"/>
            </w:pPr>
          </w:p>
          <w:p w14:paraId="09F4E871" w14:textId="44DF3FA6" w:rsidR="00733150" w:rsidRPr="000E4461" w:rsidRDefault="00306865" w:rsidP="00500037">
            <w:pPr>
              <w:pStyle w:val="Listaszerbekezds"/>
              <w:numPr>
                <w:ilvl w:val="0"/>
                <w:numId w:val="50"/>
              </w:numPr>
              <w:ind w:left="420" w:hanging="283"/>
              <w:jc w:val="both"/>
            </w:pPr>
            <w:r w:rsidRPr="000E4461">
              <w:t>The ownership structure of economic operators shall be examined in every procedure, because having a concealed ownership structure constitutes a compulsory exclusion ground under the Hungarian PPA</w:t>
            </w:r>
            <w:r w:rsidR="00923D6F" w:rsidRPr="000E4461">
              <w:t xml:space="preserve"> [Art. 62 point kb)-kc)]</w:t>
            </w:r>
            <w:r w:rsidRPr="000E4461">
              <w:t>.</w:t>
            </w:r>
            <w:r w:rsidR="00733150" w:rsidRPr="000E4461">
              <w:t xml:space="preserve">According to Art. 62 (1) point kb)-kc), “Any economic operator </w:t>
            </w:r>
            <w:r w:rsidR="005D3CFC" w:rsidRPr="000E4461">
              <w:t>shall</w:t>
            </w:r>
            <w:r w:rsidR="00733150" w:rsidRPr="000E4461">
              <w:t xml:space="preserve"> be excluded from participation in a </w:t>
            </w:r>
            <w:r w:rsidR="00875543" w:rsidRPr="000E4461">
              <w:t>public procurement procedure</w:t>
            </w:r>
            <w:r w:rsidR="00733150" w:rsidRPr="000E4461">
              <w:t xml:space="preserve"> as a tenderer, candidate , subcontractor, or </w:t>
            </w:r>
            <w:r w:rsidR="00AB67B5" w:rsidRPr="000E4461">
              <w:t xml:space="preserve">on </w:t>
            </w:r>
            <w:r w:rsidR="005D3CFC" w:rsidRPr="000E4461">
              <w:t>whose capacity the economic operator intends to rely</w:t>
            </w:r>
            <w:r w:rsidR="00D818A3" w:rsidRPr="000E4461">
              <w:t xml:space="preserve"> regarding w</w:t>
            </w:r>
            <w:r w:rsidR="000575B4" w:rsidRPr="000E4461">
              <w:t>h</w:t>
            </w:r>
            <w:r w:rsidR="00D818A3" w:rsidRPr="000E4461">
              <w:t>ich any of the following conditions exist:</w:t>
            </w:r>
          </w:p>
          <w:p w14:paraId="1C36CA72" w14:textId="4DB38FC9" w:rsidR="00733150" w:rsidRPr="000E4461" w:rsidRDefault="00733150" w:rsidP="00733150">
            <w:pPr>
              <w:jc w:val="both"/>
            </w:pPr>
          </w:p>
          <w:p w14:paraId="6D7609B2" w14:textId="76600048" w:rsidR="007070FA" w:rsidRPr="000E4461" w:rsidRDefault="00733150" w:rsidP="007A18B7">
            <w:pPr>
              <w:spacing w:after="120"/>
              <w:ind w:left="704"/>
              <w:jc w:val="both"/>
            </w:pPr>
            <w:proofErr w:type="gramStart"/>
            <w:r w:rsidRPr="000E4461">
              <w:t>kb</w:t>
            </w:r>
            <w:proofErr w:type="gramEnd"/>
            <w:r w:rsidRPr="000E4461">
              <w:t>) compan</w:t>
            </w:r>
            <w:r w:rsidR="00F54821" w:rsidRPr="000E4461">
              <w:t>ies</w:t>
            </w:r>
            <w:r w:rsidRPr="000E4461">
              <w:t xml:space="preserve"> </w:t>
            </w:r>
            <w:r w:rsidR="00F54821" w:rsidRPr="000E4461">
              <w:t>which can’t identify their beneficial owner</w:t>
            </w:r>
            <w:r w:rsidR="003F5F3E" w:rsidRPr="000E4461">
              <w:t xml:space="preserve"> pursuant to Art. 3 point 38. a</w:t>
            </w:r>
            <w:r w:rsidR="002F29C9" w:rsidRPr="000E4461">
              <w:t>)</w:t>
            </w:r>
            <w:r w:rsidR="003F5F3E" w:rsidRPr="000E4461">
              <w:t xml:space="preserve">-b) or d) of the </w:t>
            </w:r>
            <w:r w:rsidRPr="000E4461">
              <w:t>Act CXXXVI of 2007 on the Prevention and Combating of Money Laundering and Terrorist Financing, or</w:t>
            </w:r>
          </w:p>
          <w:p w14:paraId="570E5267" w14:textId="26867978" w:rsidR="007070FA" w:rsidRPr="000E4461" w:rsidRDefault="002F29C9" w:rsidP="00500037">
            <w:pPr>
              <w:pStyle w:val="Listaszerbekezds"/>
              <w:numPr>
                <w:ilvl w:val="0"/>
                <w:numId w:val="21"/>
              </w:numPr>
              <w:spacing w:after="120"/>
              <w:ind w:left="1169" w:hanging="283"/>
              <w:jc w:val="both"/>
            </w:pPr>
            <w:r w:rsidRPr="000E4461">
              <w:t xml:space="preserve">Art. 3 point </w:t>
            </w:r>
            <w:r w:rsidR="007070FA" w:rsidRPr="000E4461">
              <w:t xml:space="preserve">38. </w:t>
            </w:r>
            <w:r w:rsidRPr="000E4461">
              <w:t xml:space="preserve">a)-b) and d) - </w:t>
            </w:r>
            <w:r w:rsidR="00753594" w:rsidRPr="000E4461">
              <w:t>beneficial owner:</w:t>
            </w:r>
          </w:p>
          <w:p w14:paraId="18F562C3" w14:textId="5998D76A" w:rsidR="00753594" w:rsidRPr="000E4461" w:rsidRDefault="007070FA" w:rsidP="002F29C9">
            <w:pPr>
              <w:spacing w:after="120"/>
              <w:ind w:left="1169"/>
              <w:jc w:val="both"/>
            </w:pPr>
            <w:r w:rsidRPr="000E4461">
              <w:t xml:space="preserve">a) </w:t>
            </w:r>
            <w:r w:rsidR="00753594" w:rsidRPr="000E4461">
              <w:t xml:space="preserve">the natural person who owns </w:t>
            </w:r>
            <w:r w:rsidR="00B2091E" w:rsidRPr="000E4461">
              <w:t xml:space="preserve">minimum 25% of the voting rights or ownership interest through direct or indirect ownership in a legal entity or in an entity without a legal personality, or controls these entities via other means, if these entities are not listed on a regulated market </w:t>
            </w:r>
            <w:r w:rsidR="00753594" w:rsidRPr="000E4461">
              <w:t>that is subject to disclosure requirements consistent with Union law or subject to equivalent international standards which ensure adequate transp</w:t>
            </w:r>
            <w:r w:rsidR="00B2091E" w:rsidRPr="000E4461">
              <w:t>arency of ownership information,</w:t>
            </w:r>
          </w:p>
          <w:p w14:paraId="34D7C6A3" w14:textId="2C8673C1" w:rsidR="007070FA" w:rsidRPr="000E4461" w:rsidRDefault="007070FA" w:rsidP="002F29C9">
            <w:pPr>
              <w:spacing w:after="120"/>
              <w:ind w:left="1169"/>
              <w:jc w:val="both"/>
            </w:pPr>
            <w:r w:rsidRPr="000E4461">
              <w:t xml:space="preserve">b) </w:t>
            </w:r>
            <w:r w:rsidR="00B2091E" w:rsidRPr="000E4461">
              <w:t xml:space="preserve">the natural person who owns </w:t>
            </w:r>
            <w:r w:rsidR="005F6C5B" w:rsidRPr="000E4461">
              <w:t>dominant influence in a legal entity or in an entity without a legal personality,</w:t>
            </w:r>
          </w:p>
          <w:p w14:paraId="6407ADB3" w14:textId="22215D0D" w:rsidR="007070FA" w:rsidRPr="000E4461" w:rsidRDefault="007070FA" w:rsidP="002F29C9">
            <w:pPr>
              <w:spacing w:after="120"/>
              <w:ind w:left="1169"/>
              <w:jc w:val="both"/>
            </w:pPr>
            <w:r w:rsidRPr="000E4461">
              <w:t xml:space="preserve">d) </w:t>
            </w:r>
            <w:r w:rsidR="005F6C5B" w:rsidRPr="000E4461">
              <w:t xml:space="preserve">in case of foundations </w:t>
            </w:r>
            <w:r w:rsidR="005B1315" w:rsidRPr="000E4461">
              <w:t>that</w:t>
            </w:r>
            <w:r w:rsidR="005F6C5B" w:rsidRPr="000E4461">
              <w:t xml:space="preserve"> natural person</w:t>
            </w:r>
          </w:p>
          <w:p w14:paraId="23BFC8BF" w14:textId="3D2A9B43" w:rsidR="007070FA" w:rsidRPr="000E4461" w:rsidRDefault="007070FA" w:rsidP="002F29C9">
            <w:pPr>
              <w:spacing w:after="120"/>
              <w:ind w:left="1169"/>
              <w:jc w:val="both"/>
            </w:pPr>
            <w:r w:rsidRPr="000E4461">
              <w:t xml:space="preserve">da) </w:t>
            </w:r>
            <w:r w:rsidR="005B1315" w:rsidRPr="000E4461">
              <w:t>who is the beneficiary of minimum 25% of the assets of the foundation, if prospective beneficiaries are defined,</w:t>
            </w:r>
          </w:p>
          <w:p w14:paraId="26931DAD" w14:textId="07DC3670" w:rsidR="005B1315" w:rsidRPr="000E4461" w:rsidRDefault="007070FA" w:rsidP="002F29C9">
            <w:pPr>
              <w:spacing w:after="120"/>
              <w:ind w:left="1169"/>
              <w:jc w:val="both"/>
            </w:pPr>
            <w:proofErr w:type="spellStart"/>
            <w:r w:rsidRPr="000E4461">
              <w:t>db</w:t>
            </w:r>
            <w:proofErr w:type="spellEnd"/>
            <w:r w:rsidRPr="000E4461">
              <w:t xml:space="preserve">) </w:t>
            </w:r>
            <w:r w:rsidR="00DA75FF" w:rsidRPr="000E4461">
              <w:t>in behalf of the foundation was created and managed, if beneficiaries are not defined, or</w:t>
            </w:r>
          </w:p>
          <w:p w14:paraId="1739C863" w14:textId="5B0C3749" w:rsidR="00DA75FF" w:rsidRPr="000E4461" w:rsidRDefault="007070FA" w:rsidP="002F29C9">
            <w:pPr>
              <w:spacing w:after="120"/>
              <w:ind w:left="1169"/>
              <w:jc w:val="both"/>
            </w:pPr>
            <w:r w:rsidRPr="000E4461">
              <w:t xml:space="preserve">dc) </w:t>
            </w:r>
            <w:r w:rsidR="001353DC" w:rsidRPr="000E4461">
              <w:t xml:space="preserve">who is member of the foundation management or owns dominant influence more than 25% of the assets of the foundation or  </w:t>
            </w:r>
            <w:r w:rsidR="00BC0A97" w:rsidRPr="000E4461">
              <w:t>acting on the behalf of the foundation</w:t>
            </w:r>
          </w:p>
          <w:p w14:paraId="3424587B" w14:textId="3336300C" w:rsidR="00733150" w:rsidRPr="000E4461" w:rsidRDefault="00733150" w:rsidP="007A18B7">
            <w:pPr>
              <w:ind w:left="704"/>
              <w:jc w:val="both"/>
            </w:pPr>
            <w:r w:rsidRPr="000E4461">
              <w:t xml:space="preserve">kc) an economic operator in which a legal person or any entity with legal capacity </w:t>
            </w:r>
            <w:r w:rsidR="0067771A" w:rsidRPr="000E4461">
              <w:t>according to</w:t>
            </w:r>
            <w:r w:rsidRPr="000E4461">
              <w:t xml:space="preserve"> </w:t>
            </w:r>
            <w:r w:rsidR="0067771A" w:rsidRPr="000E4461">
              <w:t xml:space="preserve">its </w:t>
            </w:r>
            <w:r w:rsidRPr="000E4461">
              <w:t xml:space="preserve">national law </w:t>
            </w:r>
            <w:r w:rsidR="0067771A" w:rsidRPr="000E4461">
              <w:t xml:space="preserve">under point kb) </w:t>
            </w:r>
            <w:r w:rsidRPr="000E4461">
              <w:t>controls directly or indirectly more than 25</w:t>
            </w:r>
            <w:r w:rsidR="00BC0A97" w:rsidRPr="000E4461">
              <w:t>%</w:t>
            </w:r>
            <w:r w:rsidRPr="000E4461">
              <w:t xml:space="preserve"> of the </w:t>
            </w:r>
            <w:r w:rsidR="0067771A" w:rsidRPr="000E4461">
              <w:t>ownership interest</w:t>
            </w:r>
            <w:r w:rsidRPr="000E4461">
              <w:t xml:space="preserve"> or voting rights;”</w:t>
            </w:r>
          </w:p>
          <w:p w14:paraId="716329BE" w14:textId="77777777" w:rsidR="00733150" w:rsidRPr="000E4461" w:rsidRDefault="00733150" w:rsidP="00733150">
            <w:pPr>
              <w:jc w:val="both"/>
            </w:pPr>
          </w:p>
          <w:p w14:paraId="04454DAC" w14:textId="315BA75D" w:rsidR="00733150" w:rsidRPr="000E4461" w:rsidRDefault="004B1CC5" w:rsidP="00500037">
            <w:pPr>
              <w:pStyle w:val="Listaszerbekezds"/>
              <w:numPr>
                <w:ilvl w:val="0"/>
                <w:numId w:val="50"/>
              </w:numPr>
              <w:ind w:left="420" w:hanging="283"/>
              <w:jc w:val="both"/>
            </w:pPr>
            <w:r w:rsidRPr="000E4461">
              <w:t xml:space="preserve">According to </w:t>
            </w:r>
            <w:r w:rsidR="00733150" w:rsidRPr="000E4461">
              <w:t>Act LIII of 2017 on the Prevention and Combating of Money Laundering and Financing of Terrorism a beneficial ownership database</w:t>
            </w:r>
            <w:r w:rsidRPr="000E4461">
              <w:t xml:space="preserve"> shall be established</w:t>
            </w:r>
            <w:r w:rsidR="00733150" w:rsidRPr="000E4461">
              <w:t>.</w:t>
            </w:r>
            <w:r w:rsidR="00F431F0" w:rsidRPr="000E4461">
              <w:t xml:space="preserve"> Currently t</w:t>
            </w:r>
            <w:r w:rsidR="008A126E" w:rsidRPr="000E4461">
              <w:t xml:space="preserve">he database </w:t>
            </w:r>
            <w:r w:rsidR="00F431F0" w:rsidRPr="000E4461">
              <w:t>is under development.</w:t>
            </w:r>
          </w:p>
          <w:p w14:paraId="71C16578" w14:textId="77777777" w:rsidR="00733150" w:rsidRPr="000E4461" w:rsidRDefault="00733150" w:rsidP="00733150">
            <w:pPr>
              <w:jc w:val="both"/>
            </w:pPr>
            <w:r w:rsidRPr="000E4461">
              <w:t xml:space="preserve">   </w:t>
            </w:r>
          </w:p>
          <w:p w14:paraId="1829EE16" w14:textId="3124EEEE" w:rsidR="00733150" w:rsidRPr="000E4461" w:rsidRDefault="00733150" w:rsidP="00500037">
            <w:pPr>
              <w:pStyle w:val="Listaszerbekezds"/>
              <w:numPr>
                <w:ilvl w:val="0"/>
                <w:numId w:val="50"/>
              </w:numPr>
              <w:ind w:left="420" w:hanging="283"/>
              <w:jc w:val="both"/>
            </w:pPr>
            <w:r w:rsidRPr="000E4461">
              <w:t xml:space="preserve">Furthermore, it should be pointed out that the ARACHNE </w:t>
            </w:r>
            <w:r w:rsidR="00996D63" w:rsidRPr="000E4461">
              <w:t xml:space="preserve">system, a </w:t>
            </w:r>
            <w:r w:rsidRPr="000E4461">
              <w:t xml:space="preserve">risk scoring, data mining and data enrichment tool is used by </w:t>
            </w:r>
            <w:r w:rsidRPr="000E4461">
              <w:lastRenderedPageBreak/>
              <w:t xml:space="preserve">managing authorities in the management of operating programs, which includes the control of public procurements financed by ESI funds. ARACHNE’s objective is to support managing authorities in their administrative controls and management checks in the area of ESI funds by establishing a comprehensive database of projects implemented under the ESI funds and provided by the managing authorities and enriching data with publicly available information in order to identify </w:t>
            </w:r>
            <w:r w:rsidR="008919DC" w:rsidRPr="000E4461">
              <w:t xml:space="preserve">- </w:t>
            </w:r>
            <w:r w:rsidRPr="000E4461">
              <w:t xml:space="preserve">based on a set of risk indicators </w:t>
            </w:r>
            <w:r w:rsidR="008919DC" w:rsidRPr="000E4461">
              <w:t xml:space="preserve">- </w:t>
            </w:r>
            <w:r w:rsidRPr="000E4461">
              <w:t>projects, beneficiaries, contracts and contractors which might be susceptible to risks of fraud, conflict of interest and irregularities.</w:t>
            </w:r>
          </w:p>
        </w:tc>
      </w:tr>
    </w:tbl>
    <w:p w14:paraId="193B20EA" w14:textId="77777777" w:rsidR="00B21728" w:rsidRDefault="00B21728" w:rsidP="00DC189A">
      <w:pPr>
        <w:pStyle w:val="Cmsor2"/>
      </w:pPr>
    </w:p>
    <w:p w14:paraId="34AB7F32" w14:textId="5B6C8523" w:rsidR="002222BD" w:rsidRPr="000E4461" w:rsidRDefault="001F44D7" w:rsidP="00DC189A">
      <w:pPr>
        <w:pStyle w:val="Cmsor2"/>
      </w:pPr>
      <w:r w:rsidRPr="000E4461">
        <w:t xml:space="preserve">IV. </w:t>
      </w:r>
      <w:r w:rsidR="00C25098" w:rsidRPr="000E4461">
        <w:t>L</w:t>
      </w:r>
      <w:r w:rsidR="00FB6E7C" w:rsidRPr="000E4461">
        <w:t>evel of SME</w:t>
      </w:r>
      <w:r w:rsidR="00B46F31" w:rsidRPr="000E4461">
        <w:t>s</w:t>
      </w:r>
      <w:r w:rsidR="00B66F46" w:rsidRPr="000E4461">
        <w:t>'</w:t>
      </w:r>
      <w:r w:rsidR="00FB6E7C" w:rsidRPr="000E4461">
        <w:t xml:space="preserve"> participation in public procurement</w:t>
      </w:r>
    </w:p>
    <w:p w14:paraId="269D9606" w14:textId="77777777" w:rsidR="000D31E8" w:rsidRPr="000E4461" w:rsidRDefault="000D31E8" w:rsidP="00924198">
      <w:pPr>
        <w:spacing w:after="0"/>
        <w:rPr>
          <w:color w:val="1F497D"/>
        </w:rPr>
      </w:pPr>
    </w:p>
    <w:tbl>
      <w:tblPr>
        <w:tblStyle w:val="Rcsostblzat"/>
        <w:tblW w:w="5000" w:type="pct"/>
        <w:tblLook w:val="04A0" w:firstRow="1" w:lastRow="0" w:firstColumn="1" w:lastColumn="0" w:noHBand="0" w:noVBand="1"/>
      </w:tblPr>
      <w:tblGrid>
        <w:gridCol w:w="4687"/>
        <w:gridCol w:w="9533"/>
      </w:tblGrid>
      <w:tr w:rsidR="00B54D84" w:rsidRPr="000E4461" w14:paraId="48222DAF" w14:textId="77777777" w:rsidTr="00B54D84">
        <w:tc>
          <w:tcPr>
            <w:tcW w:w="1648" w:type="pct"/>
          </w:tcPr>
          <w:p w14:paraId="5A956443" w14:textId="18F76D96" w:rsidR="00B54D84" w:rsidRPr="000E4461" w:rsidRDefault="00A0723C" w:rsidP="001D4DCD">
            <w:r w:rsidRPr="000E4461">
              <w:rPr>
                <w:b/>
              </w:rPr>
              <w:t>IV</w:t>
            </w:r>
            <w:r w:rsidR="00B54D84" w:rsidRPr="000E4461">
              <w:rPr>
                <w:b/>
              </w:rPr>
              <w:t>.1</w:t>
            </w:r>
            <w:r w:rsidR="00B72720" w:rsidRPr="000E4461">
              <w:rPr>
                <w:b/>
              </w:rPr>
              <w:t>.</w:t>
            </w:r>
            <w:r w:rsidR="00B54D84" w:rsidRPr="000E4461">
              <w:rPr>
                <w:b/>
              </w:rPr>
              <w:t xml:space="preserve"> </w:t>
            </w:r>
            <w:r w:rsidR="001D4DCD" w:rsidRPr="000E4461">
              <w:rPr>
                <w:b/>
              </w:rPr>
              <w:t>Qualitative reporting on SME participation</w:t>
            </w:r>
          </w:p>
        </w:tc>
        <w:tc>
          <w:tcPr>
            <w:tcW w:w="3352" w:type="pct"/>
          </w:tcPr>
          <w:p w14:paraId="511FB2FB" w14:textId="2C532248" w:rsidR="00B54D84" w:rsidRPr="000E4461" w:rsidRDefault="00B54D84" w:rsidP="00B54D84">
            <w:pPr>
              <w:jc w:val="both"/>
            </w:pPr>
          </w:p>
        </w:tc>
      </w:tr>
      <w:tr w:rsidR="00B54D84" w:rsidRPr="000E4461" w14:paraId="15F782FD" w14:textId="77777777" w:rsidTr="00B54D84">
        <w:tc>
          <w:tcPr>
            <w:tcW w:w="1648" w:type="pct"/>
          </w:tcPr>
          <w:p w14:paraId="623F7EFE" w14:textId="47492F5E" w:rsidR="00B54D84" w:rsidRPr="000E4461" w:rsidRDefault="00092C5B" w:rsidP="00E04DAF">
            <w:pPr>
              <w:pStyle w:val="Cmsor3"/>
              <w:outlineLvl w:val="2"/>
            </w:pPr>
            <w:r w:rsidRPr="000E4461">
              <w:t>IV</w:t>
            </w:r>
            <w:r w:rsidR="00E04DAF" w:rsidRPr="000E4461">
              <w:t xml:space="preserve">.2. </w:t>
            </w:r>
            <w:r w:rsidR="0037143F" w:rsidRPr="000E4461">
              <w:t>Supporting documents</w:t>
            </w:r>
          </w:p>
        </w:tc>
        <w:tc>
          <w:tcPr>
            <w:tcW w:w="3352" w:type="pct"/>
          </w:tcPr>
          <w:p w14:paraId="38F7D01C" w14:textId="77777777" w:rsidR="00B54D84" w:rsidRPr="000E4461" w:rsidRDefault="00B54D84" w:rsidP="00B54D84">
            <w:pPr>
              <w:rPr>
                <w:i/>
              </w:rPr>
            </w:pPr>
          </w:p>
        </w:tc>
      </w:tr>
      <w:tr w:rsidR="00B54D84" w:rsidRPr="000E4461" w14:paraId="161AD0D2" w14:textId="77777777" w:rsidTr="00B54D84">
        <w:tc>
          <w:tcPr>
            <w:tcW w:w="1648" w:type="pct"/>
          </w:tcPr>
          <w:p w14:paraId="5368DBF5" w14:textId="5DAB0D7A" w:rsidR="00B54D84" w:rsidRPr="000E4461" w:rsidRDefault="00E04DAF" w:rsidP="0037143F">
            <w:pPr>
              <w:pStyle w:val="Cmsor3"/>
              <w:outlineLvl w:val="2"/>
              <w:rPr>
                <w:b w:val="0"/>
              </w:rPr>
            </w:pPr>
            <w:r w:rsidRPr="000E4461">
              <w:rPr>
                <w:b w:val="0"/>
              </w:rPr>
              <w:t xml:space="preserve">Please report any available evidence or supporting document </w:t>
            </w:r>
            <w:r w:rsidR="00B72720" w:rsidRPr="000E4461">
              <w:rPr>
                <w:b w:val="0"/>
              </w:rPr>
              <w:t xml:space="preserve">for point </w:t>
            </w:r>
            <w:r w:rsidR="00426F49" w:rsidRPr="000E4461">
              <w:rPr>
                <w:b w:val="0"/>
              </w:rPr>
              <w:t>IV</w:t>
            </w:r>
            <w:r w:rsidR="00B72720" w:rsidRPr="000E4461">
              <w:rPr>
                <w:b w:val="0"/>
              </w:rPr>
              <w:t xml:space="preserve">.1, </w:t>
            </w:r>
            <w:r w:rsidRPr="000E4461">
              <w:rPr>
                <w:b w:val="0"/>
              </w:rPr>
              <w:t>illustrating the measures, achievements or challenges faced, relating to the facilitation of the participatio</w:t>
            </w:r>
            <w:r w:rsidR="006753EC" w:rsidRPr="000E4461">
              <w:rPr>
                <w:b w:val="0"/>
              </w:rPr>
              <w:t>n of SMEs in public procurement</w:t>
            </w:r>
          </w:p>
        </w:tc>
        <w:tc>
          <w:tcPr>
            <w:tcW w:w="3352" w:type="pct"/>
          </w:tcPr>
          <w:p w14:paraId="26A59A1B" w14:textId="77777777" w:rsidR="00493D2D" w:rsidRPr="000E4461" w:rsidRDefault="00493D2D" w:rsidP="00493D2D"/>
          <w:p w14:paraId="1EC8E28B" w14:textId="77777777" w:rsidR="00DE4074" w:rsidRPr="000E4461" w:rsidRDefault="00DE4074" w:rsidP="00500037">
            <w:pPr>
              <w:pStyle w:val="Listaszerbekezds"/>
              <w:numPr>
                <w:ilvl w:val="0"/>
                <w:numId w:val="31"/>
              </w:numPr>
              <w:ind w:left="416" w:hanging="283"/>
              <w:jc w:val="both"/>
            </w:pPr>
            <w:r w:rsidRPr="000E4461">
              <w:t>To help SMEs gain access to public procurements, so called normative requirements of selection criteria are specified in the Public Procurement Act.</w:t>
            </w:r>
          </w:p>
          <w:p w14:paraId="1BA79F6D" w14:textId="36C6F5B7" w:rsidR="00DE4074" w:rsidRPr="000E4461" w:rsidRDefault="00DE4074" w:rsidP="00F8007E">
            <w:pPr>
              <w:ind w:left="416"/>
              <w:jc w:val="both"/>
            </w:pPr>
            <w:r w:rsidRPr="000E4461">
              <w:t xml:space="preserve">Since its entry </w:t>
            </w:r>
            <w:r w:rsidR="00220076" w:rsidRPr="000E4461">
              <w:t>into force on 1 November 2015, Art.</w:t>
            </w:r>
            <w:r w:rsidRPr="000E4461">
              <w:t xml:space="preserve"> 65 of the PPA limited the use of selection criteria with a general effect to</w:t>
            </w:r>
          </w:p>
          <w:p w14:paraId="089BE388" w14:textId="3416BBC9" w:rsidR="00DE4074" w:rsidRPr="000E4461" w:rsidRDefault="00DE4074" w:rsidP="00500037">
            <w:pPr>
              <w:pStyle w:val="Listaszerbekezds"/>
              <w:numPr>
                <w:ilvl w:val="1"/>
                <w:numId w:val="35"/>
              </w:numPr>
              <w:ind w:left="1267" w:hanging="284"/>
              <w:jc w:val="both"/>
            </w:pPr>
            <w:r w:rsidRPr="000E4461">
              <w:t>technically equivalent references representing no more than 75% of the value/volume of the particular contract in relation to references</w:t>
            </w:r>
          </w:p>
          <w:p w14:paraId="5F747E18" w14:textId="72078611" w:rsidR="00DE4074" w:rsidRPr="000E4461" w:rsidRDefault="00DE4074" w:rsidP="00500037">
            <w:pPr>
              <w:pStyle w:val="Listaszerbekezds"/>
              <w:numPr>
                <w:ilvl w:val="1"/>
                <w:numId w:val="35"/>
              </w:numPr>
              <w:ind w:left="1267" w:hanging="284"/>
              <w:jc w:val="both"/>
            </w:pPr>
            <w:r w:rsidRPr="000E4461">
              <w:t>no more than the value of the particular contract in terms of turnover</w:t>
            </w:r>
          </w:p>
          <w:p w14:paraId="13164693" w14:textId="2C921216" w:rsidR="00DE4074" w:rsidRPr="000E4461" w:rsidRDefault="00DE4074" w:rsidP="00500037">
            <w:pPr>
              <w:pStyle w:val="Listaszerbekezds"/>
              <w:numPr>
                <w:ilvl w:val="1"/>
                <w:numId w:val="35"/>
              </w:numPr>
              <w:ind w:left="1267" w:hanging="284"/>
              <w:jc w:val="both"/>
            </w:pPr>
            <w:r w:rsidRPr="000E4461">
              <w:t>a requirement consistent with the audit practice of the Commission in terms of experts and technical equipment</w:t>
            </w:r>
          </w:p>
          <w:p w14:paraId="589E1F70" w14:textId="77777777" w:rsidR="00DE4074" w:rsidRPr="000E4461" w:rsidRDefault="00DE4074" w:rsidP="00DE4074">
            <w:pPr>
              <w:ind w:left="720"/>
              <w:jc w:val="both"/>
            </w:pPr>
          </w:p>
          <w:p w14:paraId="4528E1B5" w14:textId="77777777" w:rsidR="00DE4074" w:rsidRPr="000E4461" w:rsidRDefault="00DE4074" w:rsidP="00F8007E">
            <w:pPr>
              <w:ind w:left="416"/>
              <w:jc w:val="both"/>
            </w:pPr>
            <w:r w:rsidRPr="000E4461">
              <w:t xml:space="preserve">With the amendment of the PPA on </w:t>
            </w:r>
            <w:r w:rsidRPr="000E4461">
              <w:rPr>
                <w:b/>
              </w:rPr>
              <w:t>1 January 2017</w:t>
            </w:r>
            <w:r w:rsidRPr="000E4461">
              <w:t>, the economic and financial selection criteria were made stricter with the provision that when the contracting authority examines only the turnover from the subject matter of the procurement and not the total turnover of the tenderer, 75 % of turnover may be required regarding the value of the procurement at the most. Since – by definition – SMEs have a smaller turnover, the provision maximizing the value of turnover from the subject matter of the procurement that can be required by the contracting authority aims to further their participation in public procurement procedures.</w:t>
            </w:r>
          </w:p>
          <w:p w14:paraId="4C67A44F" w14:textId="77777777" w:rsidR="00DE4074" w:rsidRPr="000E4461" w:rsidRDefault="00DE4074" w:rsidP="00DE4074">
            <w:pPr>
              <w:jc w:val="both"/>
            </w:pPr>
          </w:p>
          <w:p w14:paraId="3F175672" w14:textId="77777777" w:rsidR="00DE4074" w:rsidRPr="000E4461" w:rsidRDefault="00DE4074" w:rsidP="00F8007E">
            <w:pPr>
              <w:ind w:left="416"/>
              <w:jc w:val="both"/>
            </w:pPr>
            <w:r w:rsidRPr="000E4461">
              <w:t xml:space="preserve">These measures were introduced to limit the use of excessive selection criteria by contracting authorities, therefore making participation in public procurement procedures easier for SMEs. </w:t>
            </w:r>
          </w:p>
          <w:p w14:paraId="7D5C34E4" w14:textId="77777777" w:rsidR="00DE4074" w:rsidRPr="000E4461" w:rsidRDefault="00DE4074" w:rsidP="00DE4074">
            <w:pPr>
              <w:jc w:val="both"/>
            </w:pPr>
          </w:p>
          <w:p w14:paraId="55661B18" w14:textId="16120C92" w:rsidR="00DE4074" w:rsidRPr="000E4461" w:rsidRDefault="00DE4074" w:rsidP="00500037">
            <w:pPr>
              <w:pStyle w:val="Listaszerbekezds"/>
              <w:numPr>
                <w:ilvl w:val="0"/>
                <w:numId w:val="31"/>
              </w:numPr>
              <w:ind w:left="416" w:hanging="283"/>
              <w:jc w:val="both"/>
            </w:pPr>
            <w:r w:rsidRPr="000E4461">
              <w:lastRenderedPageBreak/>
              <w:t>According to the 1 January 2017 amendment of the PPA, no procedures may be launched without any public notice in the case of supply and service contracts above the national threshold. When the estimated value of a public works project is lower than HUF 300 million, the rules of Section 115 of the PPA on low value procedures may be applied, according to which the contracting authority does not need to launch the public procurement procedure with a prior publication of a contract notice or to publish summary information before launching the procedure</w:t>
            </w:r>
            <w:r w:rsidR="00F47300" w:rsidRPr="000E4461">
              <w:t>;</w:t>
            </w:r>
            <w:r w:rsidRPr="000E4461">
              <w:t xml:space="preserve"> </w:t>
            </w:r>
            <w:r w:rsidR="00F47300" w:rsidRPr="000E4461">
              <w:t>i</w:t>
            </w:r>
            <w:r w:rsidRPr="000E4461">
              <w:t xml:space="preserve">n such cases the contracting authority may launch the public procurement procedure with an invitation to tender, directly sent to </w:t>
            </w:r>
            <w:r w:rsidR="00F47300" w:rsidRPr="000E4461">
              <w:t xml:space="preserve">at least five </w:t>
            </w:r>
            <w:r w:rsidRPr="000E4461">
              <w:t>selected economic operators.</w:t>
            </w:r>
          </w:p>
          <w:p w14:paraId="492A42C2" w14:textId="77777777" w:rsidR="00DE4074" w:rsidRPr="000E4461" w:rsidRDefault="00DE4074" w:rsidP="00F8007E">
            <w:pPr>
              <w:ind w:left="416"/>
              <w:jc w:val="both"/>
            </w:pPr>
            <w:r w:rsidRPr="000E4461">
              <w:t>The selection of invited economic operators must ensure competition and be in full compliance with the requirement of equal treatment and – to the extent possible – the participation of SMEs should be ensured.</w:t>
            </w:r>
          </w:p>
          <w:p w14:paraId="754FDA8D" w14:textId="372521CB" w:rsidR="00DE4074" w:rsidRPr="000E4461" w:rsidRDefault="00DE4074" w:rsidP="00F8007E">
            <w:pPr>
              <w:ind w:left="416"/>
              <w:jc w:val="both"/>
            </w:pPr>
            <w:r w:rsidRPr="000E4461">
              <w:t xml:space="preserve">The five tenderers </w:t>
            </w:r>
            <w:r w:rsidR="00F47300" w:rsidRPr="000E4461">
              <w:t xml:space="preserve">in such procedures of the given contracting authority </w:t>
            </w:r>
            <w:r w:rsidRPr="000E4461">
              <w:t>must vary in order to allow a larger pool of enterprises to have access to public procurement.</w:t>
            </w:r>
          </w:p>
          <w:p w14:paraId="13803768" w14:textId="77777777" w:rsidR="00DE4074" w:rsidRPr="000E4461" w:rsidRDefault="00DE4074" w:rsidP="00DE4074">
            <w:pPr>
              <w:jc w:val="both"/>
            </w:pPr>
          </w:p>
          <w:p w14:paraId="38DA3EB7" w14:textId="268E3ED7" w:rsidR="00DE4074" w:rsidRPr="000E4461" w:rsidRDefault="00DE4074" w:rsidP="00500037">
            <w:pPr>
              <w:pStyle w:val="Listaszerbekezds"/>
              <w:numPr>
                <w:ilvl w:val="0"/>
                <w:numId w:val="31"/>
              </w:numPr>
              <w:ind w:left="416" w:hanging="283"/>
              <w:jc w:val="both"/>
            </w:pPr>
            <w:r w:rsidRPr="000E4461">
              <w:t>Under the national regime (in case of procedures launched with a summary notice, Section 113 of the PPA), when preparing the procurement procedure, the contracting authority shall assess the market and identify at least three economic operators capable of delivering under the contract, who may be potentially interested in acquiring the contract. The contracting authority has to distribute the detailed request for bid notice to the economic operators specified, and in addition, to all other economic operators who indicated their interest based on the summary notice. Economic operators may express their interest by a simple e-mail without adding an electronic signature.</w:t>
            </w:r>
          </w:p>
          <w:p w14:paraId="27A4B338" w14:textId="77777777" w:rsidR="00DE4074" w:rsidRPr="000E4461" w:rsidRDefault="00DE4074" w:rsidP="00DE4074">
            <w:pPr>
              <w:jc w:val="both"/>
            </w:pPr>
          </w:p>
          <w:p w14:paraId="747C42C8" w14:textId="77777777" w:rsidR="00DE4074" w:rsidRPr="000E4461" w:rsidRDefault="00DE4074" w:rsidP="00500037">
            <w:pPr>
              <w:pStyle w:val="Listaszerbekezds"/>
              <w:numPr>
                <w:ilvl w:val="0"/>
                <w:numId w:val="31"/>
              </w:numPr>
              <w:ind w:left="416" w:hanging="283"/>
              <w:jc w:val="both"/>
            </w:pPr>
            <w:r w:rsidRPr="000E4461">
              <w:t>The Department of Public Procurement Control advises contracting authorities to only require economic operators to fill in the “α: GLOBAL INDICATION OF ALL SELECTION CRITERIA” section of “</w:t>
            </w:r>
            <w:r w:rsidRPr="000E4461">
              <w:rPr>
                <w:rStyle w:val="bold"/>
              </w:rPr>
              <w:t>Part IV: Selection criteria” of the ESPD when submitting their bids. This is supposed to lessen the administrative burden of all businesses – and is especially favourable for SMEs, where there might be a smaller capacity for filing documentation.</w:t>
            </w:r>
          </w:p>
          <w:p w14:paraId="0A130105" w14:textId="62137052" w:rsidR="00493D2D" w:rsidRPr="000E4461" w:rsidRDefault="00493D2D" w:rsidP="00493D2D"/>
        </w:tc>
      </w:tr>
      <w:tr w:rsidR="00B54D84" w:rsidRPr="000E4461" w14:paraId="0055167D" w14:textId="77777777" w:rsidTr="00B54D84">
        <w:tc>
          <w:tcPr>
            <w:tcW w:w="1648" w:type="pct"/>
          </w:tcPr>
          <w:p w14:paraId="1DC9BE04" w14:textId="0C6A7A5E" w:rsidR="00B54D84" w:rsidRPr="00B21728" w:rsidRDefault="000A2192" w:rsidP="00B54D84">
            <w:pPr>
              <w:pStyle w:val="Cmsor3"/>
              <w:outlineLvl w:val="2"/>
            </w:pPr>
            <w:r w:rsidRPr="000E4461">
              <w:lastRenderedPageBreak/>
              <w:t>IV</w:t>
            </w:r>
            <w:r w:rsidR="00E04DAF" w:rsidRPr="000E4461">
              <w:t xml:space="preserve">.3. Quantitative indicators </w:t>
            </w:r>
          </w:p>
        </w:tc>
        <w:tc>
          <w:tcPr>
            <w:tcW w:w="3352" w:type="pct"/>
          </w:tcPr>
          <w:p w14:paraId="5F8B5BFE" w14:textId="5F23C46A" w:rsidR="00B54D84" w:rsidRPr="000E4461" w:rsidRDefault="00B54D84" w:rsidP="00247E16">
            <w:pPr>
              <w:jc w:val="both"/>
              <w:rPr>
                <w:i/>
              </w:rPr>
            </w:pPr>
          </w:p>
        </w:tc>
      </w:tr>
      <w:tr w:rsidR="00B54D84" w:rsidRPr="000E4461" w14:paraId="379D2F6D" w14:textId="77777777" w:rsidTr="00B54D84">
        <w:tc>
          <w:tcPr>
            <w:tcW w:w="1648" w:type="pct"/>
          </w:tcPr>
          <w:p w14:paraId="1DEBB2CA" w14:textId="03321ED0" w:rsidR="00B54D84" w:rsidRPr="000E4461" w:rsidRDefault="00E04DAF" w:rsidP="00C96DD0">
            <w:pPr>
              <w:jc w:val="both"/>
              <w:rPr>
                <w:b/>
              </w:rPr>
            </w:pPr>
            <w:r w:rsidRPr="000E4461">
              <w:t>Please provide, when available, any quantitative data (statistics, etc.) illustrating the achievements and challenges ident</w:t>
            </w:r>
            <w:r w:rsidR="006753EC" w:rsidRPr="000E4461">
              <w:t xml:space="preserve">ified under section </w:t>
            </w:r>
            <w:r w:rsidR="00426F49" w:rsidRPr="000E4461">
              <w:t>IV</w:t>
            </w:r>
            <w:r w:rsidR="006753EC" w:rsidRPr="000E4461">
              <w:t xml:space="preserve">.1. </w:t>
            </w:r>
            <w:r w:rsidR="006753EC" w:rsidRPr="000E4461">
              <w:lastRenderedPageBreak/>
              <w:t>above</w:t>
            </w:r>
          </w:p>
        </w:tc>
        <w:tc>
          <w:tcPr>
            <w:tcW w:w="3352" w:type="pct"/>
          </w:tcPr>
          <w:p w14:paraId="07B71BF8" w14:textId="77777777" w:rsidR="00493D2D" w:rsidRPr="000E4461" w:rsidRDefault="00493D2D" w:rsidP="00493D2D">
            <w:pPr>
              <w:jc w:val="both"/>
            </w:pPr>
          </w:p>
          <w:p w14:paraId="48D8C65F" w14:textId="77777777" w:rsidR="00010E96" w:rsidRDefault="00010E96" w:rsidP="00DC189A">
            <w:pPr>
              <w:pStyle w:val="Cmsor2"/>
              <w:outlineLvl w:val="1"/>
            </w:pPr>
          </w:p>
          <w:p w14:paraId="3F3F15A9" w14:textId="77777777" w:rsidR="00010E96" w:rsidRDefault="00010E96" w:rsidP="00DC189A">
            <w:pPr>
              <w:pStyle w:val="Cmsor2"/>
              <w:outlineLvl w:val="1"/>
            </w:pPr>
          </w:p>
          <w:p w14:paraId="521F07E9" w14:textId="64BD9902" w:rsidR="006916D5" w:rsidRPr="000E4461" w:rsidRDefault="007F531A" w:rsidP="00DC189A">
            <w:pPr>
              <w:pStyle w:val="Cmsor2"/>
              <w:outlineLvl w:val="1"/>
            </w:pPr>
            <w:r w:rsidRPr="000E4461">
              <w:lastRenderedPageBreak/>
              <w:t>Participation of SMEs in public procurement procedures</w:t>
            </w:r>
          </w:p>
          <w:p w14:paraId="0B7F5CD3" w14:textId="77777777" w:rsidR="00493D2D" w:rsidRPr="000E4461" w:rsidRDefault="00493D2D" w:rsidP="00493D2D">
            <w:pPr>
              <w:jc w:val="both"/>
            </w:pPr>
          </w:p>
          <w:tbl>
            <w:tblPr>
              <w:tblW w:w="4900" w:type="dxa"/>
              <w:jc w:val="center"/>
              <w:tblCellMar>
                <w:left w:w="70" w:type="dxa"/>
                <w:right w:w="70" w:type="dxa"/>
              </w:tblCellMar>
              <w:tblLook w:val="04A0" w:firstRow="1" w:lastRow="0" w:firstColumn="1" w:lastColumn="0" w:noHBand="0" w:noVBand="1"/>
            </w:tblPr>
            <w:tblGrid>
              <w:gridCol w:w="1340"/>
              <w:gridCol w:w="1780"/>
              <w:gridCol w:w="1780"/>
            </w:tblGrid>
            <w:tr w:rsidR="00815E26" w:rsidRPr="000E4461" w14:paraId="4A321D0B" w14:textId="77777777" w:rsidTr="00792976">
              <w:trPr>
                <w:trHeight w:val="928"/>
                <w:jc w:val="center"/>
              </w:trPr>
              <w:tc>
                <w:tcPr>
                  <w:tcW w:w="1340" w:type="dxa"/>
                  <w:tcBorders>
                    <w:top w:val="single" w:sz="4" w:space="0" w:color="auto"/>
                    <w:left w:val="single" w:sz="4" w:space="0" w:color="auto"/>
                    <w:bottom w:val="double" w:sz="6" w:space="0" w:color="000000"/>
                    <w:right w:val="single" w:sz="4" w:space="0" w:color="auto"/>
                  </w:tcBorders>
                  <w:shd w:val="clear" w:color="auto" w:fill="548DD4" w:themeFill="text2" w:themeFillTint="99"/>
                  <w:noWrap/>
                  <w:vAlign w:val="center"/>
                  <w:hideMark/>
                </w:tcPr>
                <w:p w14:paraId="250BC362" w14:textId="2AD7F189" w:rsidR="00815E26" w:rsidRPr="000E4461" w:rsidRDefault="00815E26" w:rsidP="004025B9">
                  <w:pPr>
                    <w:spacing w:after="0" w:line="240" w:lineRule="auto"/>
                    <w:rPr>
                      <w:b/>
                    </w:rPr>
                  </w:pPr>
                  <w:r w:rsidRPr="000E4461">
                    <w:rPr>
                      <w:b/>
                    </w:rPr>
                    <w:t>Regime</w:t>
                  </w:r>
                </w:p>
              </w:tc>
              <w:tc>
                <w:tcPr>
                  <w:tcW w:w="1780" w:type="dxa"/>
                  <w:tcBorders>
                    <w:top w:val="single" w:sz="4" w:space="0" w:color="auto"/>
                    <w:left w:val="single" w:sz="4" w:space="0" w:color="auto"/>
                    <w:bottom w:val="double" w:sz="6" w:space="0" w:color="auto"/>
                    <w:right w:val="single" w:sz="4" w:space="0" w:color="auto"/>
                  </w:tcBorders>
                  <w:shd w:val="clear" w:color="auto" w:fill="548DD4" w:themeFill="text2" w:themeFillTint="99"/>
                  <w:noWrap/>
                  <w:vAlign w:val="center"/>
                  <w:hideMark/>
                </w:tcPr>
                <w:p w14:paraId="2BA1955D" w14:textId="77777777" w:rsidR="00815E26" w:rsidRPr="000E4461" w:rsidRDefault="00815E26" w:rsidP="004025B9">
                  <w:pPr>
                    <w:spacing w:after="0" w:line="240" w:lineRule="auto"/>
                    <w:jc w:val="center"/>
                    <w:rPr>
                      <w:b/>
                    </w:rPr>
                  </w:pPr>
                  <w:r w:rsidRPr="000E4461">
                    <w:rPr>
                      <w:b/>
                    </w:rPr>
                    <w:t>Average number of bids in all procedures</w:t>
                  </w:r>
                </w:p>
              </w:tc>
              <w:tc>
                <w:tcPr>
                  <w:tcW w:w="1780" w:type="dxa"/>
                  <w:tcBorders>
                    <w:top w:val="single" w:sz="4" w:space="0" w:color="auto"/>
                    <w:left w:val="single" w:sz="4" w:space="0" w:color="auto"/>
                    <w:bottom w:val="double" w:sz="6" w:space="0" w:color="auto"/>
                    <w:right w:val="single" w:sz="4" w:space="0" w:color="auto"/>
                  </w:tcBorders>
                  <w:shd w:val="clear" w:color="auto" w:fill="548DD4" w:themeFill="text2" w:themeFillTint="99"/>
                  <w:vAlign w:val="center"/>
                </w:tcPr>
                <w:p w14:paraId="4F535008" w14:textId="01AB81DC" w:rsidR="00815E26" w:rsidRPr="000E4461" w:rsidRDefault="00815E26" w:rsidP="004025B9">
                  <w:pPr>
                    <w:spacing w:after="0" w:line="240" w:lineRule="auto"/>
                    <w:jc w:val="center"/>
                    <w:rPr>
                      <w:b/>
                    </w:rPr>
                  </w:pPr>
                  <w:r w:rsidRPr="000E4461">
                    <w:rPr>
                      <w:b/>
                    </w:rPr>
                    <w:t>Average number of SME bids in all procedures</w:t>
                  </w:r>
                </w:p>
              </w:tc>
            </w:tr>
            <w:tr w:rsidR="004025B9" w:rsidRPr="000E4461" w14:paraId="2FB491E2" w14:textId="77777777" w:rsidTr="00792976">
              <w:trPr>
                <w:trHeight w:val="285"/>
                <w:jc w:val="center"/>
              </w:trPr>
              <w:tc>
                <w:tcPr>
                  <w:tcW w:w="1340" w:type="dxa"/>
                  <w:tcBorders>
                    <w:top w:val="double" w:sz="6" w:space="0" w:color="000000"/>
                    <w:left w:val="single" w:sz="4" w:space="0" w:color="auto"/>
                    <w:bottom w:val="single" w:sz="4" w:space="0" w:color="auto"/>
                    <w:right w:val="single" w:sz="4" w:space="0" w:color="auto"/>
                  </w:tcBorders>
                  <w:shd w:val="clear" w:color="auto" w:fill="C6D9F1" w:themeFill="text2" w:themeFillTint="33"/>
                  <w:noWrap/>
                  <w:vAlign w:val="center"/>
                  <w:hideMark/>
                </w:tcPr>
                <w:p w14:paraId="73912B37" w14:textId="4549E036" w:rsidR="004025B9" w:rsidRPr="000E4461" w:rsidRDefault="007F531A" w:rsidP="007F531A">
                  <w:pPr>
                    <w:spacing w:after="0" w:line="240" w:lineRule="auto"/>
                  </w:pPr>
                  <w:r w:rsidRPr="000E4461">
                    <w:t>E</w:t>
                  </w:r>
                  <w:r w:rsidR="004025B9" w:rsidRPr="000E4461">
                    <w:t>U</w:t>
                  </w:r>
                </w:p>
              </w:tc>
              <w:tc>
                <w:tcPr>
                  <w:tcW w:w="1780" w:type="dxa"/>
                  <w:tcBorders>
                    <w:top w:val="double" w:sz="6" w:space="0" w:color="auto"/>
                    <w:left w:val="nil"/>
                    <w:bottom w:val="single" w:sz="4" w:space="0" w:color="auto"/>
                    <w:right w:val="single" w:sz="4" w:space="0" w:color="auto"/>
                  </w:tcBorders>
                  <w:shd w:val="clear" w:color="auto" w:fill="auto"/>
                  <w:noWrap/>
                  <w:vAlign w:val="center"/>
                  <w:hideMark/>
                </w:tcPr>
                <w:p w14:paraId="2333C19C" w14:textId="77777777" w:rsidR="004025B9" w:rsidRPr="000E4461" w:rsidRDefault="004025B9" w:rsidP="004025B9">
                  <w:pPr>
                    <w:spacing w:after="0" w:line="240" w:lineRule="auto"/>
                    <w:jc w:val="center"/>
                  </w:pPr>
                  <w:r w:rsidRPr="000E4461">
                    <w:t>11,13</w:t>
                  </w:r>
                </w:p>
              </w:tc>
              <w:tc>
                <w:tcPr>
                  <w:tcW w:w="1780" w:type="dxa"/>
                  <w:tcBorders>
                    <w:top w:val="double" w:sz="6" w:space="0" w:color="auto"/>
                    <w:left w:val="nil"/>
                    <w:bottom w:val="single" w:sz="4" w:space="0" w:color="auto"/>
                    <w:right w:val="single" w:sz="4" w:space="0" w:color="auto"/>
                  </w:tcBorders>
                  <w:shd w:val="clear" w:color="auto" w:fill="auto"/>
                  <w:noWrap/>
                  <w:vAlign w:val="center"/>
                  <w:hideMark/>
                </w:tcPr>
                <w:p w14:paraId="1397556A" w14:textId="77777777" w:rsidR="004025B9" w:rsidRPr="000E4461" w:rsidRDefault="004025B9" w:rsidP="004025B9">
                  <w:pPr>
                    <w:spacing w:after="0" w:line="240" w:lineRule="auto"/>
                    <w:jc w:val="center"/>
                  </w:pPr>
                  <w:r w:rsidRPr="000E4461">
                    <w:t>7,40</w:t>
                  </w:r>
                </w:p>
              </w:tc>
            </w:tr>
            <w:tr w:rsidR="004025B9" w:rsidRPr="000E4461" w14:paraId="7796DBE6" w14:textId="77777777" w:rsidTr="00792976">
              <w:trPr>
                <w:trHeight w:val="285"/>
                <w:jc w:val="center"/>
              </w:trPr>
              <w:tc>
                <w:tcPr>
                  <w:tcW w:w="1340" w:type="dxa"/>
                  <w:tcBorders>
                    <w:top w:val="nil"/>
                    <w:left w:val="single" w:sz="4" w:space="0" w:color="auto"/>
                    <w:bottom w:val="double" w:sz="6" w:space="0" w:color="auto"/>
                    <w:right w:val="single" w:sz="4" w:space="0" w:color="auto"/>
                  </w:tcBorders>
                  <w:shd w:val="clear" w:color="auto" w:fill="C6D9F1" w:themeFill="text2" w:themeFillTint="33"/>
                  <w:noWrap/>
                  <w:vAlign w:val="center"/>
                  <w:hideMark/>
                </w:tcPr>
                <w:p w14:paraId="3D4D64CB" w14:textId="33D570A7" w:rsidR="004025B9" w:rsidRPr="000E4461" w:rsidRDefault="007F531A" w:rsidP="004025B9">
                  <w:pPr>
                    <w:spacing w:after="0" w:line="240" w:lineRule="auto"/>
                  </w:pPr>
                  <w:r w:rsidRPr="000E4461">
                    <w:t>National</w:t>
                  </w:r>
                </w:p>
              </w:tc>
              <w:tc>
                <w:tcPr>
                  <w:tcW w:w="1780" w:type="dxa"/>
                  <w:tcBorders>
                    <w:top w:val="nil"/>
                    <w:left w:val="nil"/>
                    <w:bottom w:val="double" w:sz="6" w:space="0" w:color="auto"/>
                    <w:right w:val="single" w:sz="4" w:space="0" w:color="auto"/>
                  </w:tcBorders>
                  <w:shd w:val="clear" w:color="auto" w:fill="auto"/>
                  <w:noWrap/>
                  <w:vAlign w:val="center"/>
                  <w:hideMark/>
                </w:tcPr>
                <w:p w14:paraId="5D20837B" w14:textId="77777777" w:rsidR="004025B9" w:rsidRPr="000E4461" w:rsidRDefault="004025B9" w:rsidP="004025B9">
                  <w:pPr>
                    <w:spacing w:after="0" w:line="240" w:lineRule="auto"/>
                    <w:jc w:val="center"/>
                  </w:pPr>
                  <w:r w:rsidRPr="000E4461">
                    <w:t>7,02</w:t>
                  </w:r>
                </w:p>
              </w:tc>
              <w:tc>
                <w:tcPr>
                  <w:tcW w:w="1780" w:type="dxa"/>
                  <w:tcBorders>
                    <w:top w:val="nil"/>
                    <w:left w:val="nil"/>
                    <w:bottom w:val="double" w:sz="6" w:space="0" w:color="auto"/>
                    <w:right w:val="single" w:sz="4" w:space="0" w:color="auto"/>
                  </w:tcBorders>
                  <w:shd w:val="clear" w:color="auto" w:fill="auto"/>
                  <w:noWrap/>
                  <w:vAlign w:val="center"/>
                  <w:hideMark/>
                </w:tcPr>
                <w:p w14:paraId="4360E751" w14:textId="77777777" w:rsidR="004025B9" w:rsidRPr="000E4461" w:rsidRDefault="004025B9" w:rsidP="004025B9">
                  <w:pPr>
                    <w:spacing w:after="0" w:line="240" w:lineRule="auto"/>
                    <w:jc w:val="center"/>
                  </w:pPr>
                  <w:r w:rsidRPr="000E4461">
                    <w:t>6,47</w:t>
                  </w:r>
                </w:p>
              </w:tc>
            </w:tr>
            <w:tr w:rsidR="004025B9" w:rsidRPr="000E4461" w14:paraId="2D19C418" w14:textId="77777777" w:rsidTr="00792976">
              <w:trPr>
                <w:trHeight w:val="315"/>
                <w:jc w:val="center"/>
              </w:trPr>
              <w:tc>
                <w:tcPr>
                  <w:tcW w:w="134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717EFFB6" w14:textId="6E7F156B" w:rsidR="004025B9" w:rsidRPr="000E4461" w:rsidRDefault="007F531A" w:rsidP="004025B9">
                  <w:pPr>
                    <w:spacing w:after="0" w:line="240" w:lineRule="auto"/>
                    <w:rPr>
                      <w:b/>
                    </w:rPr>
                  </w:pPr>
                  <w:r w:rsidRPr="000E4461">
                    <w:rPr>
                      <w:b/>
                    </w:rPr>
                    <w:t>Total</w:t>
                  </w:r>
                </w:p>
              </w:tc>
              <w:tc>
                <w:tcPr>
                  <w:tcW w:w="1780" w:type="dxa"/>
                  <w:tcBorders>
                    <w:top w:val="nil"/>
                    <w:left w:val="nil"/>
                    <w:bottom w:val="single" w:sz="4" w:space="0" w:color="auto"/>
                    <w:right w:val="single" w:sz="4" w:space="0" w:color="auto"/>
                  </w:tcBorders>
                  <w:shd w:val="clear" w:color="auto" w:fill="auto"/>
                  <w:noWrap/>
                  <w:vAlign w:val="center"/>
                  <w:hideMark/>
                </w:tcPr>
                <w:p w14:paraId="3024DE62" w14:textId="77777777" w:rsidR="004025B9" w:rsidRPr="000E4461" w:rsidRDefault="004025B9" w:rsidP="004025B9">
                  <w:pPr>
                    <w:spacing w:after="0" w:line="240" w:lineRule="auto"/>
                    <w:jc w:val="center"/>
                  </w:pPr>
                  <w:r w:rsidRPr="000E4461">
                    <w:t>7,94</w:t>
                  </w:r>
                </w:p>
              </w:tc>
              <w:tc>
                <w:tcPr>
                  <w:tcW w:w="1780" w:type="dxa"/>
                  <w:tcBorders>
                    <w:top w:val="nil"/>
                    <w:left w:val="nil"/>
                    <w:bottom w:val="single" w:sz="4" w:space="0" w:color="auto"/>
                    <w:right w:val="single" w:sz="4" w:space="0" w:color="auto"/>
                  </w:tcBorders>
                  <w:shd w:val="clear" w:color="auto" w:fill="auto"/>
                  <w:noWrap/>
                  <w:vAlign w:val="center"/>
                  <w:hideMark/>
                </w:tcPr>
                <w:p w14:paraId="1174136C" w14:textId="77777777" w:rsidR="004025B9" w:rsidRPr="000E4461" w:rsidRDefault="004025B9" w:rsidP="004025B9">
                  <w:pPr>
                    <w:spacing w:after="0" w:line="240" w:lineRule="auto"/>
                    <w:jc w:val="center"/>
                  </w:pPr>
                  <w:r w:rsidRPr="000E4461">
                    <w:t>6,68</w:t>
                  </w:r>
                </w:p>
              </w:tc>
            </w:tr>
          </w:tbl>
          <w:p w14:paraId="5084867D" w14:textId="77777777" w:rsidR="004025B9" w:rsidRPr="000E4461" w:rsidRDefault="004025B9" w:rsidP="004025B9"/>
          <w:tbl>
            <w:tblPr>
              <w:tblW w:w="6232" w:type="dxa"/>
              <w:jc w:val="center"/>
              <w:tblCellMar>
                <w:left w:w="70" w:type="dxa"/>
                <w:right w:w="70" w:type="dxa"/>
              </w:tblCellMar>
              <w:tblLook w:val="04A0" w:firstRow="1" w:lastRow="0" w:firstColumn="1" w:lastColumn="0" w:noHBand="0" w:noVBand="1"/>
            </w:tblPr>
            <w:tblGrid>
              <w:gridCol w:w="1413"/>
              <w:gridCol w:w="1848"/>
              <w:gridCol w:w="2971"/>
            </w:tblGrid>
            <w:tr w:rsidR="004025B9" w:rsidRPr="000E4461" w14:paraId="281BC084" w14:textId="77777777" w:rsidTr="00792976">
              <w:trPr>
                <w:trHeight w:val="666"/>
                <w:jc w:val="center"/>
              </w:trPr>
              <w:tc>
                <w:tcPr>
                  <w:tcW w:w="1413" w:type="dxa"/>
                  <w:tcBorders>
                    <w:top w:val="single" w:sz="4" w:space="0" w:color="auto"/>
                    <w:left w:val="single" w:sz="4" w:space="0" w:color="auto"/>
                    <w:bottom w:val="double" w:sz="6" w:space="0" w:color="auto"/>
                    <w:right w:val="single" w:sz="4" w:space="0" w:color="auto"/>
                  </w:tcBorders>
                  <w:shd w:val="clear" w:color="auto" w:fill="548DD4" w:themeFill="text2" w:themeFillTint="99"/>
                  <w:noWrap/>
                  <w:vAlign w:val="center"/>
                  <w:hideMark/>
                </w:tcPr>
                <w:p w14:paraId="072844FA" w14:textId="0B535C03" w:rsidR="004025B9" w:rsidRPr="000E4461" w:rsidRDefault="00815E26" w:rsidP="004025B9">
                  <w:pPr>
                    <w:spacing w:after="0" w:line="240" w:lineRule="auto"/>
                    <w:rPr>
                      <w:b/>
                    </w:rPr>
                  </w:pPr>
                  <w:r w:rsidRPr="000E4461">
                    <w:rPr>
                      <w:b/>
                    </w:rPr>
                    <w:t>Regime</w:t>
                  </w:r>
                </w:p>
              </w:tc>
              <w:tc>
                <w:tcPr>
                  <w:tcW w:w="1848"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2EEADCF3" w14:textId="6CD5CB59" w:rsidR="004025B9" w:rsidRPr="000E4461" w:rsidRDefault="00815E26" w:rsidP="004025B9">
                  <w:pPr>
                    <w:spacing w:after="0" w:line="240" w:lineRule="auto"/>
                    <w:jc w:val="center"/>
                    <w:rPr>
                      <w:b/>
                    </w:rPr>
                  </w:pPr>
                  <w:r w:rsidRPr="000E4461">
                    <w:rPr>
                      <w:b/>
                    </w:rPr>
                    <w:t>Number of all procedures</w:t>
                  </w:r>
                </w:p>
              </w:tc>
              <w:tc>
                <w:tcPr>
                  <w:tcW w:w="2971"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032B1D9D" w14:textId="73D9B093" w:rsidR="004025B9" w:rsidRPr="000E4461" w:rsidRDefault="00815E26" w:rsidP="004025B9">
                  <w:pPr>
                    <w:spacing w:after="0" w:line="240" w:lineRule="auto"/>
                    <w:jc w:val="center"/>
                    <w:rPr>
                      <w:b/>
                    </w:rPr>
                  </w:pPr>
                  <w:r w:rsidRPr="000E4461">
                    <w:rPr>
                      <w:b/>
                    </w:rPr>
                    <w:t>Number of bids</w:t>
                  </w:r>
                </w:p>
              </w:tc>
            </w:tr>
            <w:tr w:rsidR="00815E26" w:rsidRPr="000E4461" w14:paraId="39D7F752" w14:textId="77777777" w:rsidTr="00792976">
              <w:trPr>
                <w:trHeight w:val="285"/>
                <w:jc w:val="center"/>
              </w:trPr>
              <w:tc>
                <w:tcPr>
                  <w:tcW w:w="1413" w:type="dxa"/>
                  <w:tcBorders>
                    <w:top w:val="double" w:sz="6"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BB54F70" w14:textId="3BCB9460" w:rsidR="00815E26" w:rsidRPr="000E4461" w:rsidRDefault="00815E26" w:rsidP="004025B9">
                  <w:pPr>
                    <w:spacing w:after="0" w:line="240" w:lineRule="auto"/>
                  </w:pPr>
                  <w:r w:rsidRPr="000E4461">
                    <w:t>EU</w:t>
                  </w:r>
                </w:p>
              </w:tc>
              <w:tc>
                <w:tcPr>
                  <w:tcW w:w="1848" w:type="dxa"/>
                  <w:tcBorders>
                    <w:top w:val="nil"/>
                    <w:left w:val="nil"/>
                    <w:bottom w:val="single" w:sz="4" w:space="0" w:color="auto"/>
                    <w:right w:val="single" w:sz="4" w:space="0" w:color="auto"/>
                  </w:tcBorders>
                  <w:shd w:val="clear" w:color="auto" w:fill="auto"/>
                  <w:noWrap/>
                  <w:vAlign w:val="center"/>
                  <w:hideMark/>
                </w:tcPr>
                <w:p w14:paraId="05B5511C" w14:textId="77777777" w:rsidR="00815E26" w:rsidRPr="000E4461" w:rsidRDefault="00815E26" w:rsidP="004025B9">
                  <w:pPr>
                    <w:spacing w:after="0" w:line="240" w:lineRule="auto"/>
                    <w:jc w:val="center"/>
                  </w:pPr>
                  <w:r w:rsidRPr="000E4461">
                    <w:t>1 965</w:t>
                  </w:r>
                </w:p>
              </w:tc>
              <w:tc>
                <w:tcPr>
                  <w:tcW w:w="2971" w:type="dxa"/>
                  <w:tcBorders>
                    <w:top w:val="nil"/>
                    <w:left w:val="nil"/>
                    <w:bottom w:val="single" w:sz="4" w:space="0" w:color="auto"/>
                    <w:right w:val="single" w:sz="4" w:space="0" w:color="auto"/>
                  </w:tcBorders>
                  <w:shd w:val="clear" w:color="auto" w:fill="auto"/>
                  <w:noWrap/>
                  <w:vAlign w:val="center"/>
                  <w:hideMark/>
                </w:tcPr>
                <w:p w14:paraId="17F55559" w14:textId="77777777" w:rsidR="00815E26" w:rsidRPr="000E4461" w:rsidRDefault="00815E26" w:rsidP="004025B9">
                  <w:pPr>
                    <w:spacing w:after="0" w:line="240" w:lineRule="auto"/>
                    <w:jc w:val="center"/>
                  </w:pPr>
                  <w:r w:rsidRPr="000E4461">
                    <w:t>21 872</w:t>
                  </w:r>
                </w:p>
              </w:tc>
            </w:tr>
            <w:tr w:rsidR="00815E26" w:rsidRPr="000E4461" w14:paraId="3560C951" w14:textId="77777777" w:rsidTr="00792976">
              <w:trPr>
                <w:trHeight w:val="285"/>
                <w:jc w:val="center"/>
              </w:trPr>
              <w:tc>
                <w:tcPr>
                  <w:tcW w:w="1413" w:type="dxa"/>
                  <w:tcBorders>
                    <w:top w:val="nil"/>
                    <w:left w:val="single" w:sz="4" w:space="0" w:color="auto"/>
                    <w:bottom w:val="double" w:sz="6" w:space="0" w:color="auto"/>
                    <w:right w:val="single" w:sz="4" w:space="0" w:color="auto"/>
                  </w:tcBorders>
                  <w:shd w:val="clear" w:color="auto" w:fill="C6D9F1" w:themeFill="text2" w:themeFillTint="33"/>
                  <w:noWrap/>
                  <w:vAlign w:val="center"/>
                  <w:hideMark/>
                </w:tcPr>
                <w:p w14:paraId="2D37E346" w14:textId="2BCDCA1C" w:rsidR="00815E26" w:rsidRPr="000E4461" w:rsidRDefault="00815E26" w:rsidP="004025B9">
                  <w:pPr>
                    <w:spacing w:after="0" w:line="240" w:lineRule="auto"/>
                  </w:pPr>
                  <w:r w:rsidRPr="000E4461">
                    <w:t>National</w:t>
                  </w:r>
                </w:p>
              </w:tc>
              <w:tc>
                <w:tcPr>
                  <w:tcW w:w="1848" w:type="dxa"/>
                  <w:tcBorders>
                    <w:top w:val="nil"/>
                    <w:left w:val="nil"/>
                    <w:bottom w:val="double" w:sz="6" w:space="0" w:color="auto"/>
                    <w:right w:val="single" w:sz="4" w:space="0" w:color="auto"/>
                  </w:tcBorders>
                  <w:shd w:val="clear" w:color="auto" w:fill="auto"/>
                  <w:noWrap/>
                  <w:vAlign w:val="center"/>
                  <w:hideMark/>
                </w:tcPr>
                <w:p w14:paraId="5416D024" w14:textId="77777777" w:rsidR="00815E26" w:rsidRPr="000E4461" w:rsidRDefault="00815E26" w:rsidP="004025B9">
                  <w:pPr>
                    <w:spacing w:after="0" w:line="240" w:lineRule="auto"/>
                    <w:jc w:val="center"/>
                  </w:pPr>
                  <w:r w:rsidRPr="000E4461">
                    <w:t>6 846</w:t>
                  </w:r>
                </w:p>
              </w:tc>
              <w:tc>
                <w:tcPr>
                  <w:tcW w:w="2971" w:type="dxa"/>
                  <w:tcBorders>
                    <w:top w:val="nil"/>
                    <w:left w:val="nil"/>
                    <w:bottom w:val="double" w:sz="6" w:space="0" w:color="auto"/>
                    <w:right w:val="single" w:sz="4" w:space="0" w:color="auto"/>
                  </w:tcBorders>
                  <w:shd w:val="clear" w:color="auto" w:fill="auto"/>
                  <w:noWrap/>
                  <w:vAlign w:val="center"/>
                  <w:hideMark/>
                </w:tcPr>
                <w:p w14:paraId="0A3BDB82" w14:textId="77777777" w:rsidR="00815E26" w:rsidRPr="000E4461" w:rsidRDefault="00815E26" w:rsidP="004025B9">
                  <w:pPr>
                    <w:spacing w:after="0" w:line="240" w:lineRule="auto"/>
                    <w:jc w:val="center"/>
                  </w:pPr>
                  <w:r w:rsidRPr="000E4461">
                    <w:t>48 052</w:t>
                  </w:r>
                </w:p>
              </w:tc>
            </w:tr>
            <w:tr w:rsidR="004025B9" w:rsidRPr="000E4461" w14:paraId="148500EC" w14:textId="77777777" w:rsidTr="00792976">
              <w:trPr>
                <w:trHeight w:val="315"/>
                <w:jc w:val="center"/>
              </w:trPr>
              <w:tc>
                <w:tcPr>
                  <w:tcW w:w="141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D180004" w14:textId="5C4E077D" w:rsidR="004025B9" w:rsidRPr="000E4461" w:rsidRDefault="00815E26" w:rsidP="004025B9">
                  <w:pPr>
                    <w:spacing w:after="0" w:line="240" w:lineRule="auto"/>
                    <w:rPr>
                      <w:b/>
                    </w:rPr>
                  </w:pPr>
                  <w:r w:rsidRPr="000E4461">
                    <w:rPr>
                      <w:b/>
                    </w:rPr>
                    <w:t>Total</w:t>
                  </w:r>
                </w:p>
              </w:tc>
              <w:tc>
                <w:tcPr>
                  <w:tcW w:w="1848" w:type="dxa"/>
                  <w:tcBorders>
                    <w:top w:val="nil"/>
                    <w:left w:val="nil"/>
                    <w:bottom w:val="single" w:sz="4" w:space="0" w:color="auto"/>
                    <w:right w:val="single" w:sz="4" w:space="0" w:color="auto"/>
                  </w:tcBorders>
                  <w:shd w:val="clear" w:color="auto" w:fill="auto"/>
                  <w:noWrap/>
                  <w:vAlign w:val="center"/>
                  <w:hideMark/>
                </w:tcPr>
                <w:p w14:paraId="7CC58040" w14:textId="77777777" w:rsidR="004025B9" w:rsidRPr="000E4461" w:rsidRDefault="004025B9" w:rsidP="004025B9">
                  <w:pPr>
                    <w:spacing w:after="0" w:line="240" w:lineRule="auto"/>
                    <w:jc w:val="center"/>
                  </w:pPr>
                  <w:r w:rsidRPr="000E4461">
                    <w:t>8 811</w:t>
                  </w:r>
                </w:p>
              </w:tc>
              <w:tc>
                <w:tcPr>
                  <w:tcW w:w="2971" w:type="dxa"/>
                  <w:tcBorders>
                    <w:top w:val="nil"/>
                    <w:left w:val="nil"/>
                    <w:bottom w:val="single" w:sz="4" w:space="0" w:color="auto"/>
                    <w:right w:val="single" w:sz="4" w:space="0" w:color="auto"/>
                  </w:tcBorders>
                  <w:shd w:val="clear" w:color="auto" w:fill="auto"/>
                  <w:noWrap/>
                  <w:vAlign w:val="center"/>
                  <w:hideMark/>
                </w:tcPr>
                <w:p w14:paraId="3FD61F8B" w14:textId="77777777" w:rsidR="004025B9" w:rsidRPr="000E4461" w:rsidRDefault="004025B9" w:rsidP="004025B9">
                  <w:pPr>
                    <w:spacing w:after="0" w:line="240" w:lineRule="auto"/>
                    <w:jc w:val="center"/>
                  </w:pPr>
                  <w:r w:rsidRPr="000E4461">
                    <w:t>69 924</w:t>
                  </w:r>
                </w:p>
              </w:tc>
            </w:tr>
          </w:tbl>
          <w:p w14:paraId="4D812704" w14:textId="77777777" w:rsidR="004025B9" w:rsidRPr="000E4461" w:rsidRDefault="004025B9" w:rsidP="004025B9"/>
          <w:tbl>
            <w:tblPr>
              <w:tblW w:w="6232" w:type="dxa"/>
              <w:jc w:val="center"/>
              <w:tblCellMar>
                <w:left w:w="70" w:type="dxa"/>
                <w:right w:w="70" w:type="dxa"/>
              </w:tblCellMar>
              <w:tblLook w:val="04A0" w:firstRow="1" w:lastRow="0" w:firstColumn="1" w:lastColumn="0" w:noHBand="0" w:noVBand="1"/>
            </w:tblPr>
            <w:tblGrid>
              <w:gridCol w:w="1413"/>
              <w:gridCol w:w="1843"/>
              <w:gridCol w:w="2976"/>
            </w:tblGrid>
            <w:tr w:rsidR="004025B9" w:rsidRPr="000E4461" w14:paraId="2F34E62A" w14:textId="77777777" w:rsidTr="00792976">
              <w:trPr>
                <w:trHeight w:val="680"/>
                <w:jc w:val="center"/>
              </w:trPr>
              <w:tc>
                <w:tcPr>
                  <w:tcW w:w="1413" w:type="dxa"/>
                  <w:tcBorders>
                    <w:top w:val="single" w:sz="4" w:space="0" w:color="auto"/>
                    <w:left w:val="single" w:sz="4" w:space="0" w:color="auto"/>
                    <w:bottom w:val="double" w:sz="6" w:space="0" w:color="auto"/>
                    <w:right w:val="single" w:sz="4" w:space="0" w:color="auto"/>
                  </w:tcBorders>
                  <w:shd w:val="clear" w:color="auto" w:fill="548DD4" w:themeFill="text2" w:themeFillTint="99"/>
                  <w:noWrap/>
                  <w:vAlign w:val="center"/>
                  <w:hideMark/>
                </w:tcPr>
                <w:p w14:paraId="6EC290A7" w14:textId="1C2E5DA4" w:rsidR="004025B9" w:rsidRPr="000E4461" w:rsidRDefault="00815E26" w:rsidP="004025B9">
                  <w:pPr>
                    <w:spacing w:after="0" w:line="240" w:lineRule="auto"/>
                    <w:rPr>
                      <w:b/>
                    </w:rPr>
                  </w:pPr>
                  <w:r w:rsidRPr="000E4461">
                    <w:rPr>
                      <w:b/>
                    </w:rPr>
                    <w:t>Regime</w:t>
                  </w:r>
                </w:p>
              </w:tc>
              <w:tc>
                <w:tcPr>
                  <w:tcW w:w="1843"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39344C75" w14:textId="5C8DBCC3" w:rsidR="004025B9" w:rsidRPr="000E4461" w:rsidRDefault="00815E26" w:rsidP="004025B9">
                  <w:pPr>
                    <w:spacing w:after="0" w:line="240" w:lineRule="auto"/>
                    <w:jc w:val="center"/>
                    <w:rPr>
                      <w:b/>
                    </w:rPr>
                  </w:pPr>
                  <w:r w:rsidRPr="000E4461">
                    <w:rPr>
                      <w:b/>
                    </w:rPr>
                    <w:t>Number of procedures where SME</w:t>
                  </w:r>
                  <w:r w:rsidR="00E425F5" w:rsidRPr="000E4461">
                    <w:rPr>
                      <w:b/>
                    </w:rPr>
                    <w:t>s</w:t>
                  </w:r>
                  <w:r w:rsidRPr="000E4461">
                    <w:rPr>
                      <w:b/>
                    </w:rPr>
                    <w:t xml:space="preserve"> submitted a bid</w:t>
                  </w:r>
                </w:p>
              </w:tc>
              <w:tc>
                <w:tcPr>
                  <w:tcW w:w="2976"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2665ECA9" w14:textId="6E73309D" w:rsidR="004025B9" w:rsidRPr="000E4461" w:rsidRDefault="00815E26" w:rsidP="004025B9">
                  <w:pPr>
                    <w:spacing w:after="0" w:line="240" w:lineRule="auto"/>
                    <w:jc w:val="center"/>
                    <w:rPr>
                      <w:b/>
                    </w:rPr>
                  </w:pPr>
                  <w:r w:rsidRPr="000E4461">
                    <w:rPr>
                      <w:b/>
                    </w:rPr>
                    <w:t>Number of SME bids</w:t>
                  </w:r>
                </w:p>
              </w:tc>
            </w:tr>
            <w:tr w:rsidR="00815E26" w:rsidRPr="000E4461" w14:paraId="4A1B5EA1" w14:textId="77777777" w:rsidTr="00792976">
              <w:trPr>
                <w:trHeight w:val="285"/>
                <w:jc w:val="center"/>
              </w:trPr>
              <w:tc>
                <w:tcPr>
                  <w:tcW w:w="1413" w:type="dxa"/>
                  <w:tcBorders>
                    <w:top w:val="double" w:sz="6"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B6E99C6" w14:textId="61B688EB" w:rsidR="00815E26" w:rsidRPr="000E4461" w:rsidRDefault="00815E26" w:rsidP="004025B9">
                  <w:pPr>
                    <w:spacing w:after="0" w:line="240" w:lineRule="auto"/>
                  </w:pPr>
                  <w:r w:rsidRPr="000E4461">
                    <w:t>EU</w:t>
                  </w:r>
                </w:p>
              </w:tc>
              <w:tc>
                <w:tcPr>
                  <w:tcW w:w="1843" w:type="dxa"/>
                  <w:tcBorders>
                    <w:top w:val="nil"/>
                    <w:left w:val="nil"/>
                    <w:bottom w:val="single" w:sz="4" w:space="0" w:color="auto"/>
                    <w:right w:val="single" w:sz="4" w:space="0" w:color="auto"/>
                  </w:tcBorders>
                  <w:shd w:val="clear" w:color="auto" w:fill="auto"/>
                  <w:noWrap/>
                  <w:vAlign w:val="center"/>
                  <w:hideMark/>
                </w:tcPr>
                <w:p w14:paraId="7D0E0376" w14:textId="77777777" w:rsidR="00815E26" w:rsidRPr="000E4461" w:rsidRDefault="00815E26" w:rsidP="004025B9">
                  <w:pPr>
                    <w:spacing w:after="0" w:line="240" w:lineRule="auto"/>
                    <w:jc w:val="center"/>
                  </w:pPr>
                  <w:r w:rsidRPr="000E4461">
                    <w:t>1 295</w:t>
                  </w:r>
                </w:p>
              </w:tc>
              <w:tc>
                <w:tcPr>
                  <w:tcW w:w="2976" w:type="dxa"/>
                  <w:tcBorders>
                    <w:top w:val="nil"/>
                    <w:left w:val="nil"/>
                    <w:bottom w:val="single" w:sz="4" w:space="0" w:color="auto"/>
                    <w:right w:val="single" w:sz="4" w:space="0" w:color="auto"/>
                  </w:tcBorders>
                  <w:shd w:val="clear" w:color="auto" w:fill="auto"/>
                  <w:noWrap/>
                  <w:vAlign w:val="center"/>
                  <w:hideMark/>
                </w:tcPr>
                <w:p w14:paraId="1DA7D176" w14:textId="77777777" w:rsidR="00815E26" w:rsidRPr="000E4461" w:rsidRDefault="00815E26" w:rsidP="004025B9">
                  <w:pPr>
                    <w:spacing w:after="0" w:line="240" w:lineRule="auto"/>
                    <w:jc w:val="center"/>
                  </w:pPr>
                  <w:r w:rsidRPr="000E4461">
                    <w:t>14 540</w:t>
                  </w:r>
                </w:p>
              </w:tc>
            </w:tr>
            <w:tr w:rsidR="00815E26" w:rsidRPr="000E4461" w14:paraId="3CB81CD1" w14:textId="77777777" w:rsidTr="00792976">
              <w:trPr>
                <w:trHeight w:val="285"/>
                <w:jc w:val="center"/>
              </w:trPr>
              <w:tc>
                <w:tcPr>
                  <w:tcW w:w="1413" w:type="dxa"/>
                  <w:tcBorders>
                    <w:top w:val="nil"/>
                    <w:left w:val="single" w:sz="4" w:space="0" w:color="auto"/>
                    <w:bottom w:val="double" w:sz="6" w:space="0" w:color="auto"/>
                    <w:right w:val="single" w:sz="4" w:space="0" w:color="auto"/>
                  </w:tcBorders>
                  <w:shd w:val="clear" w:color="auto" w:fill="C6D9F1" w:themeFill="text2" w:themeFillTint="33"/>
                  <w:noWrap/>
                  <w:vAlign w:val="center"/>
                  <w:hideMark/>
                </w:tcPr>
                <w:p w14:paraId="170A1A43" w14:textId="15504A2C" w:rsidR="00815E26" w:rsidRPr="000E4461" w:rsidRDefault="00815E26" w:rsidP="004025B9">
                  <w:pPr>
                    <w:spacing w:after="0" w:line="240" w:lineRule="auto"/>
                  </w:pPr>
                  <w:r w:rsidRPr="000E4461">
                    <w:t>National</w:t>
                  </w:r>
                </w:p>
              </w:tc>
              <w:tc>
                <w:tcPr>
                  <w:tcW w:w="1843" w:type="dxa"/>
                  <w:tcBorders>
                    <w:top w:val="nil"/>
                    <w:left w:val="nil"/>
                    <w:bottom w:val="double" w:sz="6" w:space="0" w:color="auto"/>
                    <w:right w:val="single" w:sz="4" w:space="0" w:color="auto"/>
                  </w:tcBorders>
                  <w:shd w:val="clear" w:color="auto" w:fill="auto"/>
                  <w:noWrap/>
                  <w:vAlign w:val="center"/>
                  <w:hideMark/>
                </w:tcPr>
                <w:p w14:paraId="799E32A9" w14:textId="77777777" w:rsidR="00815E26" w:rsidRPr="000E4461" w:rsidRDefault="00815E26" w:rsidP="004025B9">
                  <w:pPr>
                    <w:spacing w:after="0" w:line="240" w:lineRule="auto"/>
                    <w:jc w:val="center"/>
                  </w:pPr>
                  <w:r w:rsidRPr="000E4461">
                    <w:t>5 981</w:t>
                  </w:r>
                </w:p>
              </w:tc>
              <w:tc>
                <w:tcPr>
                  <w:tcW w:w="2976" w:type="dxa"/>
                  <w:tcBorders>
                    <w:top w:val="nil"/>
                    <w:left w:val="nil"/>
                    <w:bottom w:val="double" w:sz="6" w:space="0" w:color="auto"/>
                    <w:right w:val="single" w:sz="4" w:space="0" w:color="auto"/>
                  </w:tcBorders>
                  <w:shd w:val="clear" w:color="auto" w:fill="auto"/>
                  <w:noWrap/>
                  <w:vAlign w:val="center"/>
                  <w:hideMark/>
                </w:tcPr>
                <w:p w14:paraId="450A71AF" w14:textId="77777777" w:rsidR="00815E26" w:rsidRPr="000E4461" w:rsidRDefault="00815E26" w:rsidP="004025B9">
                  <w:pPr>
                    <w:spacing w:after="0" w:line="240" w:lineRule="auto"/>
                    <w:jc w:val="center"/>
                  </w:pPr>
                  <w:r w:rsidRPr="000E4461">
                    <w:t>44 322</w:t>
                  </w:r>
                </w:p>
              </w:tc>
            </w:tr>
            <w:tr w:rsidR="004025B9" w:rsidRPr="000E4461" w14:paraId="3BCBE965" w14:textId="77777777" w:rsidTr="00792976">
              <w:trPr>
                <w:trHeight w:val="315"/>
                <w:jc w:val="center"/>
              </w:trPr>
              <w:tc>
                <w:tcPr>
                  <w:tcW w:w="141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7E365A62" w14:textId="136A00D9" w:rsidR="004025B9" w:rsidRPr="000E4461" w:rsidRDefault="00815E26" w:rsidP="004025B9">
                  <w:pPr>
                    <w:spacing w:after="0" w:line="240" w:lineRule="auto"/>
                    <w:rPr>
                      <w:b/>
                    </w:rPr>
                  </w:pPr>
                  <w:r w:rsidRPr="000E4461">
                    <w:rPr>
                      <w:b/>
                    </w:rPr>
                    <w:t>Total</w:t>
                  </w:r>
                </w:p>
              </w:tc>
              <w:tc>
                <w:tcPr>
                  <w:tcW w:w="1843" w:type="dxa"/>
                  <w:tcBorders>
                    <w:top w:val="nil"/>
                    <w:left w:val="nil"/>
                    <w:bottom w:val="single" w:sz="4" w:space="0" w:color="auto"/>
                    <w:right w:val="single" w:sz="4" w:space="0" w:color="auto"/>
                  </w:tcBorders>
                  <w:shd w:val="clear" w:color="auto" w:fill="auto"/>
                  <w:noWrap/>
                  <w:vAlign w:val="center"/>
                  <w:hideMark/>
                </w:tcPr>
                <w:p w14:paraId="0636675A" w14:textId="77777777" w:rsidR="004025B9" w:rsidRPr="000E4461" w:rsidRDefault="004025B9" w:rsidP="004025B9">
                  <w:pPr>
                    <w:spacing w:after="0" w:line="240" w:lineRule="auto"/>
                    <w:jc w:val="center"/>
                  </w:pPr>
                  <w:r w:rsidRPr="000E4461">
                    <w:t>7 276</w:t>
                  </w:r>
                </w:p>
              </w:tc>
              <w:tc>
                <w:tcPr>
                  <w:tcW w:w="2976" w:type="dxa"/>
                  <w:tcBorders>
                    <w:top w:val="nil"/>
                    <w:left w:val="nil"/>
                    <w:bottom w:val="single" w:sz="4" w:space="0" w:color="auto"/>
                    <w:right w:val="single" w:sz="4" w:space="0" w:color="auto"/>
                  </w:tcBorders>
                  <w:shd w:val="clear" w:color="auto" w:fill="auto"/>
                  <w:noWrap/>
                  <w:vAlign w:val="center"/>
                  <w:hideMark/>
                </w:tcPr>
                <w:p w14:paraId="7027A403" w14:textId="77777777" w:rsidR="004025B9" w:rsidRPr="000E4461" w:rsidRDefault="004025B9" w:rsidP="004025B9">
                  <w:pPr>
                    <w:spacing w:after="0" w:line="240" w:lineRule="auto"/>
                    <w:jc w:val="center"/>
                  </w:pPr>
                  <w:r w:rsidRPr="000E4461">
                    <w:t>58 862</w:t>
                  </w:r>
                </w:p>
              </w:tc>
            </w:tr>
          </w:tbl>
          <w:p w14:paraId="3018C2B3" w14:textId="77777777" w:rsidR="006916D5" w:rsidRPr="000E4461" w:rsidRDefault="006916D5" w:rsidP="00493D2D">
            <w:pPr>
              <w:jc w:val="both"/>
            </w:pPr>
          </w:p>
          <w:tbl>
            <w:tblPr>
              <w:tblW w:w="9040" w:type="dxa"/>
              <w:jc w:val="center"/>
              <w:tblCellMar>
                <w:left w:w="70" w:type="dxa"/>
                <w:right w:w="70" w:type="dxa"/>
              </w:tblCellMar>
              <w:tblLook w:val="04A0" w:firstRow="1" w:lastRow="0" w:firstColumn="1" w:lastColumn="0" w:noHBand="0" w:noVBand="1"/>
            </w:tblPr>
            <w:tblGrid>
              <w:gridCol w:w="5480"/>
              <w:gridCol w:w="1780"/>
              <w:gridCol w:w="1780"/>
            </w:tblGrid>
            <w:tr w:rsidR="00580279" w:rsidRPr="000E4461" w14:paraId="17326143" w14:textId="77777777" w:rsidTr="00792976">
              <w:trPr>
                <w:trHeight w:val="925"/>
                <w:jc w:val="center"/>
              </w:trPr>
              <w:tc>
                <w:tcPr>
                  <w:tcW w:w="5480" w:type="dxa"/>
                  <w:tcBorders>
                    <w:top w:val="single" w:sz="4" w:space="0" w:color="auto"/>
                    <w:left w:val="single" w:sz="4" w:space="0" w:color="auto"/>
                    <w:bottom w:val="double" w:sz="6" w:space="0" w:color="000000"/>
                    <w:right w:val="single" w:sz="4" w:space="0" w:color="auto"/>
                  </w:tcBorders>
                  <w:shd w:val="clear" w:color="auto" w:fill="548DD4" w:themeFill="text2" w:themeFillTint="99"/>
                  <w:noWrap/>
                  <w:vAlign w:val="center"/>
                  <w:hideMark/>
                </w:tcPr>
                <w:p w14:paraId="595D85EC" w14:textId="12940462" w:rsidR="00580279" w:rsidRPr="000E4461" w:rsidRDefault="00580279" w:rsidP="004025B9">
                  <w:pPr>
                    <w:spacing w:after="0" w:line="240" w:lineRule="auto"/>
                    <w:rPr>
                      <w:b/>
                    </w:rPr>
                  </w:pPr>
                  <w:r w:rsidRPr="000E4461">
                    <w:rPr>
                      <w:b/>
                    </w:rPr>
                    <w:t>Type of procedures</w:t>
                  </w:r>
                </w:p>
              </w:tc>
              <w:tc>
                <w:tcPr>
                  <w:tcW w:w="1780" w:type="dxa"/>
                  <w:tcBorders>
                    <w:top w:val="single" w:sz="4" w:space="0" w:color="auto"/>
                    <w:left w:val="nil"/>
                    <w:bottom w:val="double" w:sz="6" w:space="0" w:color="auto"/>
                    <w:right w:val="single" w:sz="4" w:space="0" w:color="auto"/>
                  </w:tcBorders>
                  <w:shd w:val="clear" w:color="auto" w:fill="548DD4" w:themeFill="text2" w:themeFillTint="99"/>
                  <w:noWrap/>
                  <w:vAlign w:val="center"/>
                  <w:hideMark/>
                </w:tcPr>
                <w:p w14:paraId="792AFFD2" w14:textId="574DFFB5" w:rsidR="00580279" w:rsidRPr="000E4461" w:rsidRDefault="00580279" w:rsidP="004025B9">
                  <w:pPr>
                    <w:spacing w:after="0" w:line="240" w:lineRule="auto"/>
                    <w:jc w:val="center"/>
                    <w:rPr>
                      <w:b/>
                    </w:rPr>
                  </w:pPr>
                  <w:r w:rsidRPr="000E4461">
                    <w:rPr>
                      <w:b/>
                    </w:rPr>
                    <w:t>Average number of bids in all procedures</w:t>
                  </w:r>
                </w:p>
              </w:tc>
              <w:tc>
                <w:tcPr>
                  <w:tcW w:w="1780" w:type="dxa"/>
                  <w:tcBorders>
                    <w:top w:val="single" w:sz="4" w:space="0" w:color="auto"/>
                    <w:left w:val="nil"/>
                    <w:bottom w:val="double" w:sz="6" w:space="0" w:color="auto"/>
                    <w:right w:val="single" w:sz="4" w:space="0" w:color="auto"/>
                  </w:tcBorders>
                  <w:shd w:val="clear" w:color="auto" w:fill="548DD4" w:themeFill="text2" w:themeFillTint="99"/>
                  <w:vAlign w:val="center"/>
                </w:tcPr>
                <w:p w14:paraId="73E79B01" w14:textId="4E731C07" w:rsidR="00580279" w:rsidRPr="000E4461" w:rsidRDefault="00580279" w:rsidP="004025B9">
                  <w:pPr>
                    <w:spacing w:after="0" w:line="240" w:lineRule="auto"/>
                    <w:jc w:val="center"/>
                    <w:rPr>
                      <w:b/>
                    </w:rPr>
                  </w:pPr>
                  <w:r w:rsidRPr="000E4461">
                    <w:rPr>
                      <w:b/>
                    </w:rPr>
                    <w:t>Average number of SME bids in all procedures</w:t>
                  </w:r>
                </w:p>
              </w:tc>
            </w:tr>
            <w:tr w:rsidR="004025B9" w:rsidRPr="000E4461" w14:paraId="2EEFEF8F" w14:textId="77777777" w:rsidTr="00792976">
              <w:trPr>
                <w:trHeight w:val="285"/>
                <w:jc w:val="center"/>
              </w:trPr>
              <w:tc>
                <w:tcPr>
                  <w:tcW w:w="5480" w:type="dxa"/>
                  <w:tcBorders>
                    <w:top w:val="double" w:sz="6" w:space="0" w:color="000000"/>
                    <w:left w:val="single" w:sz="4" w:space="0" w:color="auto"/>
                    <w:bottom w:val="single" w:sz="4" w:space="0" w:color="auto"/>
                    <w:right w:val="single" w:sz="4" w:space="0" w:color="auto"/>
                  </w:tcBorders>
                  <w:shd w:val="clear" w:color="auto" w:fill="C6D9F1" w:themeFill="text2" w:themeFillTint="33"/>
                  <w:noWrap/>
                  <w:vAlign w:val="center"/>
                  <w:hideMark/>
                </w:tcPr>
                <w:p w14:paraId="7E28ECE4" w14:textId="2155731C" w:rsidR="004025B9" w:rsidRPr="000E4461" w:rsidRDefault="00580279" w:rsidP="004025B9">
                  <w:pPr>
                    <w:spacing w:after="0" w:line="240" w:lineRule="auto"/>
                  </w:pPr>
                  <w:r w:rsidRPr="000E4461">
                    <w:t>Open procedure</w:t>
                  </w:r>
                  <w:r w:rsidR="004025B9" w:rsidRPr="000E4461">
                    <w:t xml:space="preserve"> </w:t>
                  </w:r>
                </w:p>
              </w:tc>
              <w:tc>
                <w:tcPr>
                  <w:tcW w:w="1780" w:type="dxa"/>
                  <w:tcBorders>
                    <w:top w:val="double" w:sz="6" w:space="0" w:color="auto"/>
                    <w:left w:val="nil"/>
                    <w:bottom w:val="single" w:sz="4" w:space="0" w:color="auto"/>
                    <w:right w:val="single" w:sz="4" w:space="0" w:color="auto"/>
                  </w:tcBorders>
                  <w:shd w:val="clear" w:color="auto" w:fill="auto"/>
                  <w:noWrap/>
                  <w:vAlign w:val="center"/>
                  <w:hideMark/>
                </w:tcPr>
                <w:p w14:paraId="0314E5FC" w14:textId="77777777" w:rsidR="004025B9" w:rsidRPr="000E4461" w:rsidRDefault="004025B9" w:rsidP="004025B9">
                  <w:pPr>
                    <w:spacing w:after="0" w:line="240" w:lineRule="auto"/>
                    <w:jc w:val="center"/>
                  </w:pPr>
                  <w:r w:rsidRPr="000E4461">
                    <w:t>13,11</w:t>
                  </w:r>
                </w:p>
              </w:tc>
              <w:tc>
                <w:tcPr>
                  <w:tcW w:w="1780" w:type="dxa"/>
                  <w:tcBorders>
                    <w:top w:val="double" w:sz="6" w:space="0" w:color="auto"/>
                    <w:left w:val="nil"/>
                    <w:bottom w:val="single" w:sz="4" w:space="0" w:color="auto"/>
                    <w:right w:val="single" w:sz="4" w:space="0" w:color="auto"/>
                  </w:tcBorders>
                  <w:shd w:val="clear" w:color="auto" w:fill="auto"/>
                  <w:noWrap/>
                  <w:vAlign w:val="center"/>
                  <w:hideMark/>
                </w:tcPr>
                <w:p w14:paraId="53C7B176" w14:textId="77777777" w:rsidR="004025B9" w:rsidRPr="000E4461" w:rsidRDefault="004025B9" w:rsidP="004025B9">
                  <w:pPr>
                    <w:spacing w:after="0" w:line="240" w:lineRule="auto"/>
                    <w:jc w:val="center"/>
                  </w:pPr>
                  <w:r w:rsidRPr="000E4461">
                    <w:t>8,98</w:t>
                  </w:r>
                </w:p>
              </w:tc>
            </w:tr>
            <w:tr w:rsidR="004025B9" w:rsidRPr="000E4461" w14:paraId="5D840705"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45C61CD0" w14:textId="28707724" w:rsidR="004025B9" w:rsidRPr="000E4461" w:rsidRDefault="00580279" w:rsidP="004025B9">
                  <w:pPr>
                    <w:spacing w:after="0" w:line="240" w:lineRule="auto"/>
                  </w:pPr>
                  <w:r w:rsidRPr="000E4461">
                    <w:t>Restricted procedure</w:t>
                  </w:r>
                </w:p>
              </w:tc>
              <w:tc>
                <w:tcPr>
                  <w:tcW w:w="1780" w:type="dxa"/>
                  <w:tcBorders>
                    <w:top w:val="nil"/>
                    <w:left w:val="nil"/>
                    <w:bottom w:val="single" w:sz="4" w:space="0" w:color="auto"/>
                    <w:right w:val="single" w:sz="4" w:space="0" w:color="auto"/>
                  </w:tcBorders>
                  <w:shd w:val="clear" w:color="auto" w:fill="auto"/>
                  <w:noWrap/>
                  <w:vAlign w:val="center"/>
                  <w:hideMark/>
                </w:tcPr>
                <w:p w14:paraId="5C4C2590" w14:textId="77777777" w:rsidR="004025B9" w:rsidRPr="000E4461" w:rsidRDefault="004025B9" w:rsidP="004025B9">
                  <w:pPr>
                    <w:spacing w:after="0" w:line="240" w:lineRule="auto"/>
                    <w:jc w:val="center"/>
                  </w:pPr>
                  <w:r w:rsidRPr="000E4461">
                    <w:t>8,52</w:t>
                  </w:r>
                </w:p>
              </w:tc>
              <w:tc>
                <w:tcPr>
                  <w:tcW w:w="1780" w:type="dxa"/>
                  <w:tcBorders>
                    <w:top w:val="nil"/>
                    <w:left w:val="nil"/>
                    <w:bottom w:val="single" w:sz="4" w:space="0" w:color="auto"/>
                    <w:right w:val="single" w:sz="4" w:space="0" w:color="auto"/>
                  </w:tcBorders>
                  <w:shd w:val="clear" w:color="auto" w:fill="auto"/>
                  <w:noWrap/>
                  <w:vAlign w:val="center"/>
                </w:tcPr>
                <w:p w14:paraId="7049E285" w14:textId="77777777" w:rsidR="004025B9" w:rsidRPr="000E4461" w:rsidRDefault="004025B9" w:rsidP="004025B9">
                  <w:pPr>
                    <w:spacing w:after="0" w:line="240" w:lineRule="auto"/>
                    <w:jc w:val="center"/>
                  </w:pPr>
                  <w:r w:rsidRPr="000E4461">
                    <w:t>6,22</w:t>
                  </w:r>
                </w:p>
              </w:tc>
            </w:tr>
            <w:tr w:rsidR="004025B9" w:rsidRPr="000E4461" w14:paraId="6268431A"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2D0E2AA7" w14:textId="156D964E" w:rsidR="004025B9" w:rsidRPr="000E4461" w:rsidRDefault="00580279" w:rsidP="004025B9">
                  <w:pPr>
                    <w:spacing w:after="0" w:line="240" w:lineRule="auto"/>
                  </w:pPr>
                  <w:r w:rsidRPr="000E4461">
                    <w:t>Negotiated procedure</w:t>
                  </w:r>
                </w:p>
              </w:tc>
              <w:tc>
                <w:tcPr>
                  <w:tcW w:w="1780" w:type="dxa"/>
                  <w:tcBorders>
                    <w:top w:val="nil"/>
                    <w:left w:val="nil"/>
                    <w:bottom w:val="single" w:sz="4" w:space="0" w:color="auto"/>
                    <w:right w:val="single" w:sz="4" w:space="0" w:color="auto"/>
                  </w:tcBorders>
                  <w:shd w:val="clear" w:color="auto" w:fill="auto"/>
                  <w:noWrap/>
                  <w:vAlign w:val="center"/>
                  <w:hideMark/>
                </w:tcPr>
                <w:p w14:paraId="1387085C" w14:textId="77777777" w:rsidR="004025B9" w:rsidRPr="000E4461" w:rsidRDefault="004025B9" w:rsidP="004025B9">
                  <w:pPr>
                    <w:spacing w:after="0" w:line="240" w:lineRule="auto"/>
                    <w:jc w:val="center"/>
                  </w:pPr>
                  <w:r w:rsidRPr="000E4461">
                    <w:t>10,49</w:t>
                  </w:r>
                </w:p>
              </w:tc>
              <w:tc>
                <w:tcPr>
                  <w:tcW w:w="1780" w:type="dxa"/>
                  <w:tcBorders>
                    <w:top w:val="nil"/>
                    <w:left w:val="nil"/>
                    <w:bottom w:val="single" w:sz="4" w:space="0" w:color="auto"/>
                    <w:right w:val="single" w:sz="4" w:space="0" w:color="auto"/>
                  </w:tcBorders>
                  <w:shd w:val="clear" w:color="auto" w:fill="auto"/>
                  <w:noWrap/>
                  <w:vAlign w:val="center"/>
                </w:tcPr>
                <w:p w14:paraId="3E587409" w14:textId="77777777" w:rsidR="004025B9" w:rsidRPr="000E4461" w:rsidRDefault="004025B9" w:rsidP="004025B9">
                  <w:pPr>
                    <w:spacing w:after="0" w:line="240" w:lineRule="auto"/>
                    <w:jc w:val="center"/>
                  </w:pPr>
                  <w:r w:rsidRPr="000E4461">
                    <w:t>8,90</w:t>
                  </w:r>
                </w:p>
              </w:tc>
            </w:tr>
            <w:tr w:rsidR="004025B9" w:rsidRPr="000E4461" w14:paraId="1A4F110A"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4E3215F" w14:textId="45D31BA4" w:rsidR="004025B9" w:rsidRPr="000E4461" w:rsidRDefault="00580279" w:rsidP="004025B9">
                  <w:pPr>
                    <w:spacing w:after="0" w:line="240" w:lineRule="auto"/>
                  </w:pPr>
                  <w:r w:rsidRPr="000E4461">
                    <w:lastRenderedPageBreak/>
                    <w:t>Negotiated procedures without prior publication of a contract notice</w:t>
                  </w:r>
                </w:p>
              </w:tc>
              <w:tc>
                <w:tcPr>
                  <w:tcW w:w="1780" w:type="dxa"/>
                  <w:tcBorders>
                    <w:top w:val="nil"/>
                    <w:left w:val="nil"/>
                    <w:bottom w:val="single" w:sz="4" w:space="0" w:color="auto"/>
                    <w:right w:val="single" w:sz="4" w:space="0" w:color="auto"/>
                  </w:tcBorders>
                  <w:shd w:val="clear" w:color="auto" w:fill="auto"/>
                  <w:noWrap/>
                  <w:vAlign w:val="center"/>
                  <w:hideMark/>
                </w:tcPr>
                <w:p w14:paraId="28842D0E" w14:textId="77777777" w:rsidR="004025B9" w:rsidRPr="000E4461" w:rsidRDefault="004025B9" w:rsidP="004025B9">
                  <w:pPr>
                    <w:spacing w:after="0" w:line="240" w:lineRule="auto"/>
                    <w:jc w:val="center"/>
                  </w:pPr>
                  <w:r w:rsidRPr="000E4461">
                    <w:t>2,36</w:t>
                  </w:r>
                </w:p>
              </w:tc>
              <w:tc>
                <w:tcPr>
                  <w:tcW w:w="1780" w:type="dxa"/>
                  <w:tcBorders>
                    <w:top w:val="nil"/>
                    <w:left w:val="nil"/>
                    <w:bottom w:val="single" w:sz="4" w:space="0" w:color="auto"/>
                    <w:right w:val="single" w:sz="4" w:space="0" w:color="auto"/>
                  </w:tcBorders>
                  <w:shd w:val="clear" w:color="auto" w:fill="auto"/>
                  <w:noWrap/>
                  <w:vAlign w:val="center"/>
                </w:tcPr>
                <w:p w14:paraId="71C12901" w14:textId="77777777" w:rsidR="004025B9" w:rsidRPr="000E4461" w:rsidRDefault="004025B9" w:rsidP="004025B9">
                  <w:pPr>
                    <w:spacing w:after="0" w:line="240" w:lineRule="auto"/>
                    <w:jc w:val="center"/>
                  </w:pPr>
                  <w:r w:rsidRPr="000E4461">
                    <w:t>1,90</w:t>
                  </w:r>
                </w:p>
              </w:tc>
            </w:tr>
            <w:tr w:rsidR="004025B9" w:rsidRPr="000E4461" w14:paraId="1F018104"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64D61E8" w14:textId="2DC8A392" w:rsidR="004025B9" w:rsidRPr="000E4461" w:rsidRDefault="00580279" w:rsidP="004025B9">
                  <w:pPr>
                    <w:spacing w:after="0" w:line="240" w:lineRule="auto"/>
                  </w:pPr>
                  <w:r w:rsidRPr="000E4461">
                    <w:t>Accelerated open procedure</w:t>
                  </w:r>
                </w:p>
              </w:tc>
              <w:tc>
                <w:tcPr>
                  <w:tcW w:w="1780" w:type="dxa"/>
                  <w:tcBorders>
                    <w:top w:val="nil"/>
                    <w:left w:val="nil"/>
                    <w:bottom w:val="single" w:sz="4" w:space="0" w:color="auto"/>
                    <w:right w:val="single" w:sz="4" w:space="0" w:color="auto"/>
                  </w:tcBorders>
                  <w:shd w:val="clear" w:color="auto" w:fill="auto"/>
                  <w:noWrap/>
                  <w:vAlign w:val="center"/>
                  <w:hideMark/>
                </w:tcPr>
                <w:p w14:paraId="41B1E0BD" w14:textId="77777777" w:rsidR="004025B9" w:rsidRPr="000E4461" w:rsidRDefault="004025B9" w:rsidP="004025B9">
                  <w:pPr>
                    <w:spacing w:after="0" w:line="240" w:lineRule="auto"/>
                    <w:jc w:val="center"/>
                  </w:pPr>
                  <w:r w:rsidRPr="000E4461">
                    <w:t>6,11</w:t>
                  </w:r>
                </w:p>
              </w:tc>
              <w:tc>
                <w:tcPr>
                  <w:tcW w:w="1780" w:type="dxa"/>
                  <w:tcBorders>
                    <w:top w:val="nil"/>
                    <w:left w:val="nil"/>
                    <w:bottom w:val="single" w:sz="4" w:space="0" w:color="auto"/>
                    <w:right w:val="single" w:sz="4" w:space="0" w:color="auto"/>
                  </w:tcBorders>
                  <w:shd w:val="clear" w:color="auto" w:fill="auto"/>
                  <w:noWrap/>
                  <w:vAlign w:val="center"/>
                </w:tcPr>
                <w:p w14:paraId="60079C3C" w14:textId="77777777" w:rsidR="004025B9" w:rsidRPr="000E4461" w:rsidRDefault="004025B9" w:rsidP="004025B9">
                  <w:pPr>
                    <w:spacing w:after="0" w:line="240" w:lineRule="auto"/>
                    <w:jc w:val="center"/>
                  </w:pPr>
                  <w:r w:rsidRPr="000E4461">
                    <w:t>3,02</w:t>
                  </w:r>
                </w:p>
              </w:tc>
            </w:tr>
            <w:tr w:rsidR="004025B9" w:rsidRPr="000E4461" w14:paraId="3269E9DC"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17BF3A6A" w14:textId="4978CDC3" w:rsidR="004025B9" w:rsidRPr="000E4461" w:rsidRDefault="00580279" w:rsidP="004025B9">
                  <w:pPr>
                    <w:spacing w:after="0" w:line="240" w:lineRule="auto"/>
                  </w:pPr>
                  <w:r w:rsidRPr="000E4461">
                    <w:t>Accelerated restricted procedure</w:t>
                  </w:r>
                </w:p>
              </w:tc>
              <w:tc>
                <w:tcPr>
                  <w:tcW w:w="1780" w:type="dxa"/>
                  <w:tcBorders>
                    <w:top w:val="nil"/>
                    <w:left w:val="nil"/>
                    <w:bottom w:val="single" w:sz="4" w:space="0" w:color="auto"/>
                    <w:right w:val="single" w:sz="4" w:space="0" w:color="auto"/>
                  </w:tcBorders>
                  <w:shd w:val="clear" w:color="auto" w:fill="auto"/>
                  <w:noWrap/>
                  <w:vAlign w:val="center"/>
                  <w:hideMark/>
                </w:tcPr>
                <w:p w14:paraId="1E30C4AF" w14:textId="77777777" w:rsidR="004025B9" w:rsidRPr="000E4461" w:rsidRDefault="004025B9" w:rsidP="004025B9">
                  <w:pPr>
                    <w:spacing w:after="0" w:line="240" w:lineRule="auto"/>
                    <w:jc w:val="center"/>
                  </w:pPr>
                  <w:r w:rsidRPr="000E4461">
                    <w:t>3,50</w:t>
                  </w:r>
                </w:p>
              </w:tc>
              <w:tc>
                <w:tcPr>
                  <w:tcW w:w="1780" w:type="dxa"/>
                  <w:tcBorders>
                    <w:top w:val="nil"/>
                    <w:left w:val="nil"/>
                    <w:bottom w:val="single" w:sz="4" w:space="0" w:color="auto"/>
                    <w:right w:val="single" w:sz="4" w:space="0" w:color="auto"/>
                  </w:tcBorders>
                  <w:shd w:val="clear" w:color="auto" w:fill="auto"/>
                  <w:noWrap/>
                  <w:vAlign w:val="center"/>
                </w:tcPr>
                <w:p w14:paraId="4FF62EB0" w14:textId="77777777" w:rsidR="004025B9" w:rsidRPr="000E4461" w:rsidRDefault="004025B9" w:rsidP="004025B9">
                  <w:pPr>
                    <w:spacing w:after="0" w:line="240" w:lineRule="auto"/>
                    <w:jc w:val="center"/>
                  </w:pPr>
                  <w:r w:rsidRPr="000E4461">
                    <w:t>1,50</w:t>
                  </w:r>
                </w:p>
              </w:tc>
            </w:tr>
            <w:tr w:rsidR="004025B9" w:rsidRPr="000E4461" w14:paraId="6107AB03"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243D612F" w14:textId="3B307D18" w:rsidR="004025B9" w:rsidRPr="000E4461" w:rsidRDefault="00580279" w:rsidP="004025B9">
                  <w:pPr>
                    <w:spacing w:after="0" w:line="240" w:lineRule="auto"/>
                  </w:pPr>
                  <w:r w:rsidRPr="000E4461">
                    <w:t>Accelerated negotiated procedure</w:t>
                  </w:r>
                </w:p>
              </w:tc>
              <w:tc>
                <w:tcPr>
                  <w:tcW w:w="1780" w:type="dxa"/>
                  <w:tcBorders>
                    <w:top w:val="nil"/>
                    <w:left w:val="nil"/>
                    <w:bottom w:val="single" w:sz="4" w:space="0" w:color="auto"/>
                    <w:right w:val="single" w:sz="4" w:space="0" w:color="auto"/>
                  </w:tcBorders>
                  <w:shd w:val="clear" w:color="auto" w:fill="auto"/>
                  <w:noWrap/>
                  <w:vAlign w:val="center"/>
                  <w:hideMark/>
                </w:tcPr>
                <w:p w14:paraId="61C60DC1" w14:textId="77777777" w:rsidR="004025B9" w:rsidRPr="000E4461" w:rsidRDefault="004025B9" w:rsidP="004025B9">
                  <w:pPr>
                    <w:spacing w:after="0" w:line="240" w:lineRule="auto"/>
                    <w:jc w:val="center"/>
                  </w:pPr>
                  <w:r w:rsidRPr="000E4461">
                    <w:t>3,86</w:t>
                  </w:r>
                </w:p>
              </w:tc>
              <w:tc>
                <w:tcPr>
                  <w:tcW w:w="1780" w:type="dxa"/>
                  <w:tcBorders>
                    <w:top w:val="nil"/>
                    <w:left w:val="nil"/>
                    <w:bottom w:val="single" w:sz="4" w:space="0" w:color="auto"/>
                    <w:right w:val="single" w:sz="4" w:space="0" w:color="auto"/>
                  </w:tcBorders>
                  <w:shd w:val="clear" w:color="auto" w:fill="auto"/>
                  <w:noWrap/>
                  <w:vAlign w:val="center"/>
                </w:tcPr>
                <w:p w14:paraId="060AA279" w14:textId="77777777" w:rsidR="004025B9" w:rsidRPr="000E4461" w:rsidRDefault="004025B9" w:rsidP="004025B9">
                  <w:pPr>
                    <w:spacing w:after="0" w:line="240" w:lineRule="auto"/>
                    <w:jc w:val="center"/>
                  </w:pPr>
                  <w:r w:rsidRPr="000E4461">
                    <w:t>1,57</w:t>
                  </w:r>
                </w:p>
              </w:tc>
            </w:tr>
            <w:tr w:rsidR="004025B9" w:rsidRPr="000E4461" w14:paraId="757E8E8C"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7E386E9F" w14:textId="06FCC810" w:rsidR="004025B9" w:rsidRPr="000E4461" w:rsidRDefault="00580279" w:rsidP="004025B9">
                  <w:pPr>
                    <w:spacing w:after="0" w:line="240" w:lineRule="auto"/>
                  </w:pPr>
                  <w:r w:rsidRPr="000E4461">
                    <w:t>Concession</w:t>
                  </w:r>
                </w:p>
              </w:tc>
              <w:tc>
                <w:tcPr>
                  <w:tcW w:w="1780" w:type="dxa"/>
                  <w:tcBorders>
                    <w:top w:val="nil"/>
                    <w:left w:val="nil"/>
                    <w:bottom w:val="single" w:sz="4" w:space="0" w:color="auto"/>
                    <w:right w:val="single" w:sz="4" w:space="0" w:color="auto"/>
                  </w:tcBorders>
                  <w:shd w:val="clear" w:color="auto" w:fill="auto"/>
                  <w:noWrap/>
                  <w:vAlign w:val="center"/>
                  <w:hideMark/>
                </w:tcPr>
                <w:p w14:paraId="55F8D67A" w14:textId="77777777" w:rsidR="004025B9" w:rsidRPr="000E4461" w:rsidRDefault="004025B9" w:rsidP="004025B9">
                  <w:pPr>
                    <w:spacing w:after="0" w:line="240" w:lineRule="auto"/>
                    <w:jc w:val="center"/>
                  </w:pPr>
                  <w:r w:rsidRPr="000E4461">
                    <w:t>1,44</w:t>
                  </w:r>
                </w:p>
              </w:tc>
              <w:tc>
                <w:tcPr>
                  <w:tcW w:w="1780" w:type="dxa"/>
                  <w:tcBorders>
                    <w:top w:val="nil"/>
                    <w:left w:val="nil"/>
                    <w:bottom w:val="single" w:sz="4" w:space="0" w:color="auto"/>
                    <w:right w:val="single" w:sz="4" w:space="0" w:color="auto"/>
                  </w:tcBorders>
                  <w:shd w:val="clear" w:color="auto" w:fill="auto"/>
                  <w:noWrap/>
                  <w:vAlign w:val="center"/>
                </w:tcPr>
                <w:p w14:paraId="4648E4CE" w14:textId="77777777" w:rsidR="004025B9" w:rsidRPr="000E4461" w:rsidRDefault="004025B9" w:rsidP="004025B9">
                  <w:pPr>
                    <w:spacing w:after="0" w:line="240" w:lineRule="auto"/>
                    <w:jc w:val="center"/>
                  </w:pPr>
                  <w:r w:rsidRPr="000E4461">
                    <w:t>0,11</w:t>
                  </w:r>
                </w:p>
              </w:tc>
            </w:tr>
            <w:tr w:rsidR="004025B9" w:rsidRPr="000E4461" w14:paraId="2F5A350E"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132F774A" w14:textId="472F55DD" w:rsidR="004025B9" w:rsidRPr="000E4461" w:rsidRDefault="00580279" w:rsidP="004025B9">
                  <w:pPr>
                    <w:spacing w:after="0" w:line="240" w:lineRule="auto"/>
                  </w:pPr>
                  <w:r w:rsidRPr="000E4461">
                    <w:t>Open procedure according to Art. 113 of the PPA</w:t>
                  </w:r>
                </w:p>
              </w:tc>
              <w:tc>
                <w:tcPr>
                  <w:tcW w:w="1780" w:type="dxa"/>
                  <w:tcBorders>
                    <w:top w:val="nil"/>
                    <w:left w:val="nil"/>
                    <w:bottom w:val="single" w:sz="4" w:space="0" w:color="auto"/>
                    <w:right w:val="single" w:sz="4" w:space="0" w:color="auto"/>
                  </w:tcBorders>
                  <w:shd w:val="clear" w:color="auto" w:fill="auto"/>
                  <w:noWrap/>
                  <w:vAlign w:val="center"/>
                  <w:hideMark/>
                </w:tcPr>
                <w:p w14:paraId="1F00110D" w14:textId="77777777" w:rsidR="004025B9" w:rsidRPr="000E4461" w:rsidRDefault="004025B9" w:rsidP="004025B9">
                  <w:pPr>
                    <w:spacing w:after="0" w:line="240" w:lineRule="auto"/>
                    <w:jc w:val="center"/>
                  </w:pPr>
                  <w:r w:rsidRPr="000E4461">
                    <w:t>11,58</w:t>
                  </w:r>
                </w:p>
              </w:tc>
              <w:tc>
                <w:tcPr>
                  <w:tcW w:w="1780" w:type="dxa"/>
                  <w:tcBorders>
                    <w:top w:val="nil"/>
                    <w:left w:val="nil"/>
                    <w:bottom w:val="single" w:sz="4" w:space="0" w:color="auto"/>
                    <w:right w:val="single" w:sz="4" w:space="0" w:color="auto"/>
                  </w:tcBorders>
                  <w:shd w:val="clear" w:color="auto" w:fill="auto"/>
                  <w:noWrap/>
                  <w:vAlign w:val="center"/>
                </w:tcPr>
                <w:p w14:paraId="609AD7EB" w14:textId="77777777" w:rsidR="004025B9" w:rsidRPr="000E4461" w:rsidRDefault="004025B9" w:rsidP="004025B9">
                  <w:pPr>
                    <w:spacing w:after="0" w:line="240" w:lineRule="auto"/>
                    <w:jc w:val="center"/>
                  </w:pPr>
                  <w:r w:rsidRPr="000E4461">
                    <w:t>10,72</w:t>
                  </w:r>
                </w:p>
              </w:tc>
            </w:tr>
            <w:tr w:rsidR="004025B9" w:rsidRPr="000E4461" w14:paraId="509F6653"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32B21608" w14:textId="7B03C020" w:rsidR="004025B9" w:rsidRPr="000E4461" w:rsidRDefault="00580279" w:rsidP="004025B9">
                  <w:pPr>
                    <w:spacing w:after="0" w:line="240" w:lineRule="auto"/>
                  </w:pPr>
                  <w:r w:rsidRPr="000E4461">
                    <w:t>Restricted procedure according to Art. 113 of the PPA</w:t>
                  </w:r>
                </w:p>
              </w:tc>
              <w:tc>
                <w:tcPr>
                  <w:tcW w:w="1780" w:type="dxa"/>
                  <w:tcBorders>
                    <w:top w:val="nil"/>
                    <w:left w:val="nil"/>
                    <w:bottom w:val="single" w:sz="4" w:space="0" w:color="auto"/>
                    <w:right w:val="single" w:sz="4" w:space="0" w:color="auto"/>
                  </w:tcBorders>
                  <w:shd w:val="clear" w:color="auto" w:fill="auto"/>
                  <w:noWrap/>
                  <w:vAlign w:val="center"/>
                  <w:hideMark/>
                </w:tcPr>
                <w:p w14:paraId="7503F05E" w14:textId="77777777" w:rsidR="004025B9" w:rsidRPr="000E4461" w:rsidRDefault="004025B9" w:rsidP="004025B9">
                  <w:pPr>
                    <w:spacing w:after="0" w:line="240" w:lineRule="auto"/>
                    <w:jc w:val="center"/>
                  </w:pPr>
                  <w:r w:rsidRPr="000E4461">
                    <w:t>6,26</w:t>
                  </w:r>
                </w:p>
              </w:tc>
              <w:tc>
                <w:tcPr>
                  <w:tcW w:w="1780" w:type="dxa"/>
                  <w:tcBorders>
                    <w:top w:val="nil"/>
                    <w:left w:val="nil"/>
                    <w:bottom w:val="single" w:sz="4" w:space="0" w:color="auto"/>
                    <w:right w:val="single" w:sz="4" w:space="0" w:color="auto"/>
                  </w:tcBorders>
                  <w:shd w:val="clear" w:color="auto" w:fill="auto"/>
                  <w:noWrap/>
                  <w:vAlign w:val="center"/>
                </w:tcPr>
                <w:p w14:paraId="33294095" w14:textId="77777777" w:rsidR="004025B9" w:rsidRPr="000E4461" w:rsidRDefault="004025B9" w:rsidP="004025B9">
                  <w:pPr>
                    <w:spacing w:after="0" w:line="240" w:lineRule="auto"/>
                    <w:jc w:val="center"/>
                  </w:pPr>
                  <w:r w:rsidRPr="000E4461">
                    <w:t>6,04</w:t>
                  </w:r>
                </w:p>
              </w:tc>
            </w:tr>
            <w:tr w:rsidR="004025B9" w:rsidRPr="000E4461" w14:paraId="6EA60E87"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E2561F6" w14:textId="35435A80" w:rsidR="004025B9" w:rsidRPr="000E4461" w:rsidRDefault="00580279" w:rsidP="004025B9">
                  <w:pPr>
                    <w:spacing w:after="0" w:line="240" w:lineRule="auto"/>
                  </w:pPr>
                  <w:r w:rsidRPr="000E4461">
                    <w:t>Negotiated procedure according to Art. 113 of the PPA</w:t>
                  </w:r>
                </w:p>
              </w:tc>
              <w:tc>
                <w:tcPr>
                  <w:tcW w:w="1780" w:type="dxa"/>
                  <w:tcBorders>
                    <w:top w:val="nil"/>
                    <w:left w:val="nil"/>
                    <w:bottom w:val="single" w:sz="4" w:space="0" w:color="auto"/>
                    <w:right w:val="single" w:sz="4" w:space="0" w:color="auto"/>
                  </w:tcBorders>
                  <w:shd w:val="clear" w:color="auto" w:fill="auto"/>
                  <w:noWrap/>
                  <w:vAlign w:val="center"/>
                  <w:hideMark/>
                </w:tcPr>
                <w:p w14:paraId="4B2BCBBF" w14:textId="77777777" w:rsidR="004025B9" w:rsidRPr="000E4461" w:rsidRDefault="004025B9" w:rsidP="004025B9">
                  <w:pPr>
                    <w:spacing w:after="0" w:line="240" w:lineRule="auto"/>
                    <w:jc w:val="center"/>
                  </w:pPr>
                  <w:r w:rsidRPr="000E4461">
                    <w:t>3,30</w:t>
                  </w:r>
                </w:p>
              </w:tc>
              <w:tc>
                <w:tcPr>
                  <w:tcW w:w="1780" w:type="dxa"/>
                  <w:tcBorders>
                    <w:top w:val="nil"/>
                    <w:left w:val="nil"/>
                    <w:bottom w:val="single" w:sz="4" w:space="0" w:color="auto"/>
                    <w:right w:val="single" w:sz="4" w:space="0" w:color="auto"/>
                  </w:tcBorders>
                  <w:shd w:val="clear" w:color="auto" w:fill="auto"/>
                  <w:noWrap/>
                  <w:vAlign w:val="center"/>
                </w:tcPr>
                <w:p w14:paraId="6A342CC2" w14:textId="77777777" w:rsidR="004025B9" w:rsidRPr="000E4461" w:rsidRDefault="004025B9" w:rsidP="004025B9">
                  <w:pPr>
                    <w:spacing w:after="0" w:line="240" w:lineRule="auto"/>
                    <w:jc w:val="center"/>
                  </w:pPr>
                  <w:r w:rsidRPr="000E4461">
                    <w:t>2,18</w:t>
                  </w:r>
                </w:p>
              </w:tc>
            </w:tr>
            <w:tr w:rsidR="004025B9" w:rsidRPr="000E4461" w14:paraId="354F7DE3"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73883B23" w14:textId="1A0E2291" w:rsidR="004025B9" w:rsidRPr="000E4461" w:rsidRDefault="00580279" w:rsidP="004025B9">
                  <w:pPr>
                    <w:spacing w:after="0" w:line="240" w:lineRule="auto"/>
                  </w:pPr>
                  <w:r w:rsidRPr="000E4461">
                    <w:t>Open procedure according to Art. 115 of the PPA</w:t>
                  </w:r>
                </w:p>
              </w:tc>
              <w:tc>
                <w:tcPr>
                  <w:tcW w:w="1780" w:type="dxa"/>
                  <w:tcBorders>
                    <w:top w:val="nil"/>
                    <w:left w:val="nil"/>
                    <w:bottom w:val="single" w:sz="4" w:space="0" w:color="auto"/>
                    <w:right w:val="single" w:sz="4" w:space="0" w:color="auto"/>
                  </w:tcBorders>
                  <w:shd w:val="clear" w:color="auto" w:fill="auto"/>
                  <w:noWrap/>
                  <w:vAlign w:val="center"/>
                  <w:hideMark/>
                </w:tcPr>
                <w:p w14:paraId="4C51B5B6" w14:textId="77777777" w:rsidR="004025B9" w:rsidRPr="000E4461" w:rsidRDefault="004025B9" w:rsidP="004025B9">
                  <w:pPr>
                    <w:spacing w:after="0" w:line="240" w:lineRule="auto"/>
                    <w:jc w:val="center"/>
                  </w:pPr>
                  <w:r w:rsidRPr="000E4461">
                    <w:t>4,54</w:t>
                  </w:r>
                </w:p>
              </w:tc>
              <w:tc>
                <w:tcPr>
                  <w:tcW w:w="1780" w:type="dxa"/>
                  <w:tcBorders>
                    <w:top w:val="nil"/>
                    <w:left w:val="nil"/>
                    <w:bottom w:val="single" w:sz="4" w:space="0" w:color="auto"/>
                    <w:right w:val="single" w:sz="4" w:space="0" w:color="auto"/>
                  </w:tcBorders>
                  <w:shd w:val="clear" w:color="auto" w:fill="auto"/>
                  <w:noWrap/>
                  <w:vAlign w:val="center"/>
                </w:tcPr>
                <w:p w14:paraId="75B4D4AA" w14:textId="77777777" w:rsidR="004025B9" w:rsidRPr="000E4461" w:rsidRDefault="004025B9" w:rsidP="004025B9">
                  <w:pPr>
                    <w:spacing w:after="0" w:line="240" w:lineRule="auto"/>
                    <w:jc w:val="center"/>
                  </w:pPr>
                  <w:r w:rsidRPr="000E4461">
                    <w:t>4,20</w:t>
                  </w:r>
                </w:p>
              </w:tc>
            </w:tr>
            <w:tr w:rsidR="004025B9" w:rsidRPr="000E4461" w14:paraId="6507472A"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459D382B" w14:textId="435E3875" w:rsidR="004025B9" w:rsidRPr="000E4461" w:rsidRDefault="00580279" w:rsidP="004025B9">
                  <w:pPr>
                    <w:spacing w:after="0" w:line="240" w:lineRule="auto"/>
                  </w:pPr>
                  <w:r w:rsidRPr="000E4461">
                    <w:t>Negotiated procedures without prior publication of a contract notice according to Art. 115 of the PPA</w:t>
                  </w:r>
                </w:p>
              </w:tc>
              <w:tc>
                <w:tcPr>
                  <w:tcW w:w="1780" w:type="dxa"/>
                  <w:tcBorders>
                    <w:top w:val="nil"/>
                    <w:left w:val="nil"/>
                    <w:bottom w:val="single" w:sz="4" w:space="0" w:color="auto"/>
                    <w:right w:val="single" w:sz="4" w:space="0" w:color="auto"/>
                  </w:tcBorders>
                  <w:shd w:val="clear" w:color="auto" w:fill="auto"/>
                  <w:noWrap/>
                  <w:vAlign w:val="center"/>
                  <w:hideMark/>
                </w:tcPr>
                <w:p w14:paraId="3B80A722" w14:textId="77777777" w:rsidR="004025B9" w:rsidRPr="000E4461" w:rsidRDefault="004025B9" w:rsidP="004025B9">
                  <w:pPr>
                    <w:spacing w:after="0" w:line="240" w:lineRule="auto"/>
                    <w:jc w:val="center"/>
                  </w:pPr>
                  <w:r w:rsidRPr="000E4461">
                    <w:t>4,23</w:t>
                  </w:r>
                </w:p>
              </w:tc>
              <w:tc>
                <w:tcPr>
                  <w:tcW w:w="1780" w:type="dxa"/>
                  <w:tcBorders>
                    <w:top w:val="nil"/>
                    <w:left w:val="nil"/>
                    <w:bottom w:val="single" w:sz="4" w:space="0" w:color="auto"/>
                    <w:right w:val="single" w:sz="4" w:space="0" w:color="auto"/>
                  </w:tcBorders>
                  <w:shd w:val="clear" w:color="auto" w:fill="auto"/>
                  <w:noWrap/>
                  <w:vAlign w:val="center"/>
                </w:tcPr>
                <w:p w14:paraId="51989134" w14:textId="77777777" w:rsidR="004025B9" w:rsidRPr="000E4461" w:rsidRDefault="004025B9" w:rsidP="004025B9">
                  <w:pPr>
                    <w:spacing w:after="0" w:line="240" w:lineRule="auto"/>
                    <w:jc w:val="center"/>
                  </w:pPr>
                  <w:r w:rsidRPr="000E4461">
                    <w:t>3,92</w:t>
                  </w:r>
                </w:p>
              </w:tc>
            </w:tr>
            <w:tr w:rsidR="004025B9" w:rsidRPr="000E4461" w14:paraId="0379A66B" w14:textId="77777777" w:rsidTr="00792976">
              <w:trPr>
                <w:trHeight w:val="270"/>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341F6D7" w14:textId="6CADE10D" w:rsidR="004025B9" w:rsidRPr="000E4461" w:rsidRDefault="00580279" w:rsidP="004025B9">
                  <w:pPr>
                    <w:spacing w:after="0" w:line="240" w:lineRule="auto"/>
                  </w:pPr>
                  <w:r w:rsidRPr="000E4461">
                    <w:t>Procedure based on Art. 117 of the PPA</w:t>
                  </w:r>
                </w:p>
              </w:tc>
              <w:tc>
                <w:tcPr>
                  <w:tcW w:w="1780" w:type="dxa"/>
                  <w:tcBorders>
                    <w:top w:val="nil"/>
                    <w:left w:val="nil"/>
                    <w:bottom w:val="single" w:sz="4" w:space="0" w:color="auto"/>
                    <w:right w:val="single" w:sz="4" w:space="0" w:color="auto"/>
                  </w:tcBorders>
                  <w:shd w:val="clear" w:color="auto" w:fill="auto"/>
                  <w:noWrap/>
                  <w:vAlign w:val="center"/>
                  <w:hideMark/>
                </w:tcPr>
                <w:p w14:paraId="74A7751D" w14:textId="77777777" w:rsidR="004025B9" w:rsidRPr="000E4461" w:rsidRDefault="004025B9" w:rsidP="004025B9">
                  <w:pPr>
                    <w:spacing w:after="0" w:line="240" w:lineRule="auto"/>
                    <w:jc w:val="center"/>
                  </w:pPr>
                  <w:r w:rsidRPr="000E4461">
                    <w:t>5,11</w:t>
                  </w:r>
                </w:p>
              </w:tc>
              <w:tc>
                <w:tcPr>
                  <w:tcW w:w="1780" w:type="dxa"/>
                  <w:tcBorders>
                    <w:top w:val="nil"/>
                    <w:left w:val="nil"/>
                    <w:bottom w:val="single" w:sz="4" w:space="0" w:color="auto"/>
                    <w:right w:val="single" w:sz="4" w:space="0" w:color="auto"/>
                  </w:tcBorders>
                  <w:shd w:val="clear" w:color="auto" w:fill="auto"/>
                  <w:noWrap/>
                  <w:vAlign w:val="center"/>
                </w:tcPr>
                <w:p w14:paraId="5744BFA9" w14:textId="77777777" w:rsidR="004025B9" w:rsidRPr="000E4461" w:rsidRDefault="004025B9" w:rsidP="004025B9">
                  <w:pPr>
                    <w:spacing w:after="0" w:line="240" w:lineRule="auto"/>
                    <w:jc w:val="center"/>
                  </w:pPr>
                  <w:r w:rsidRPr="000E4461">
                    <w:t>4,36</w:t>
                  </w:r>
                </w:p>
              </w:tc>
            </w:tr>
            <w:tr w:rsidR="004025B9" w:rsidRPr="000E4461" w14:paraId="4F1718C6" w14:textId="77777777" w:rsidTr="00792976">
              <w:trPr>
                <w:trHeight w:val="285"/>
                <w:jc w:val="center"/>
              </w:trPr>
              <w:tc>
                <w:tcPr>
                  <w:tcW w:w="5480" w:type="dxa"/>
                  <w:tcBorders>
                    <w:top w:val="nil"/>
                    <w:left w:val="single" w:sz="4" w:space="0" w:color="auto"/>
                    <w:bottom w:val="double" w:sz="6" w:space="0" w:color="auto"/>
                    <w:right w:val="single" w:sz="4" w:space="0" w:color="auto"/>
                  </w:tcBorders>
                  <w:shd w:val="clear" w:color="auto" w:fill="C6D9F1" w:themeFill="text2" w:themeFillTint="33"/>
                  <w:noWrap/>
                  <w:vAlign w:val="center"/>
                  <w:hideMark/>
                </w:tcPr>
                <w:p w14:paraId="6CF1F930" w14:textId="72781D9D" w:rsidR="004025B9" w:rsidRPr="000E4461" w:rsidRDefault="00580279" w:rsidP="00580279">
                  <w:pPr>
                    <w:spacing w:after="0" w:line="240" w:lineRule="auto"/>
                  </w:pPr>
                  <w:r w:rsidRPr="000E4461">
                    <w:t>Procedure based on Art. 122/A  of the PPA</w:t>
                  </w:r>
                </w:p>
              </w:tc>
              <w:tc>
                <w:tcPr>
                  <w:tcW w:w="1780" w:type="dxa"/>
                  <w:tcBorders>
                    <w:top w:val="nil"/>
                    <w:left w:val="nil"/>
                    <w:bottom w:val="double" w:sz="6" w:space="0" w:color="auto"/>
                    <w:right w:val="single" w:sz="4" w:space="0" w:color="auto"/>
                  </w:tcBorders>
                  <w:shd w:val="clear" w:color="auto" w:fill="auto"/>
                  <w:noWrap/>
                  <w:vAlign w:val="center"/>
                  <w:hideMark/>
                </w:tcPr>
                <w:p w14:paraId="19F1879F" w14:textId="77777777" w:rsidR="004025B9" w:rsidRPr="000E4461" w:rsidRDefault="004025B9" w:rsidP="004025B9">
                  <w:pPr>
                    <w:spacing w:after="0" w:line="240" w:lineRule="auto"/>
                    <w:jc w:val="center"/>
                  </w:pPr>
                  <w:r w:rsidRPr="000E4461">
                    <w:t>2,08</w:t>
                  </w:r>
                </w:p>
              </w:tc>
              <w:tc>
                <w:tcPr>
                  <w:tcW w:w="1780" w:type="dxa"/>
                  <w:tcBorders>
                    <w:top w:val="nil"/>
                    <w:left w:val="nil"/>
                    <w:bottom w:val="double" w:sz="6" w:space="0" w:color="auto"/>
                    <w:right w:val="single" w:sz="4" w:space="0" w:color="auto"/>
                  </w:tcBorders>
                  <w:shd w:val="clear" w:color="auto" w:fill="auto"/>
                  <w:noWrap/>
                  <w:vAlign w:val="center"/>
                </w:tcPr>
                <w:p w14:paraId="61ECA8DD" w14:textId="77777777" w:rsidR="004025B9" w:rsidRPr="000E4461" w:rsidRDefault="004025B9" w:rsidP="004025B9">
                  <w:pPr>
                    <w:spacing w:after="0" w:line="240" w:lineRule="auto"/>
                    <w:jc w:val="center"/>
                  </w:pPr>
                  <w:r w:rsidRPr="000E4461">
                    <w:t>2,08</w:t>
                  </w:r>
                </w:p>
              </w:tc>
            </w:tr>
            <w:tr w:rsidR="004025B9" w:rsidRPr="000E4461" w14:paraId="0BDD113A" w14:textId="77777777" w:rsidTr="00792976">
              <w:trPr>
                <w:trHeight w:val="315"/>
                <w:jc w:val="center"/>
              </w:trPr>
              <w:tc>
                <w:tcPr>
                  <w:tcW w:w="54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441E52C0" w14:textId="38113E91" w:rsidR="004025B9" w:rsidRPr="000E4461" w:rsidRDefault="00580279" w:rsidP="004025B9">
                  <w:pPr>
                    <w:spacing w:after="0" w:line="240" w:lineRule="auto"/>
                    <w:rPr>
                      <w:b/>
                    </w:rPr>
                  </w:pPr>
                  <w:r w:rsidRPr="000E4461">
                    <w:rPr>
                      <w:b/>
                    </w:rPr>
                    <w:t>Total</w:t>
                  </w:r>
                </w:p>
              </w:tc>
              <w:tc>
                <w:tcPr>
                  <w:tcW w:w="1780" w:type="dxa"/>
                  <w:tcBorders>
                    <w:top w:val="nil"/>
                    <w:left w:val="nil"/>
                    <w:bottom w:val="single" w:sz="4" w:space="0" w:color="auto"/>
                    <w:right w:val="single" w:sz="4" w:space="0" w:color="auto"/>
                  </w:tcBorders>
                  <w:shd w:val="clear" w:color="auto" w:fill="auto"/>
                  <w:noWrap/>
                  <w:vAlign w:val="center"/>
                  <w:hideMark/>
                </w:tcPr>
                <w:p w14:paraId="5A595C07" w14:textId="77777777" w:rsidR="004025B9" w:rsidRPr="000E4461" w:rsidRDefault="004025B9" w:rsidP="004025B9">
                  <w:pPr>
                    <w:spacing w:after="0" w:line="240" w:lineRule="auto"/>
                    <w:jc w:val="center"/>
                  </w:pPr>
                  <w:r w:rsidRPr="000E4461">
                    <w:t>7,94</w:t>
                  </w:r>
                </w:p>
              </w:tc>
              <w:tc>
                <w:tcPr>
                  <w:tcW w:w="1780" w:type="dxa"/>
                  <w:tcBorders>
                    <w:top w:val="nil"/>
                    <w:left w:val="nil"/>
                    <w:bottom w:val="single" w:sz="4" w:space="0" w:color="auto"/>
                    <w:right w:val="single" w:sz="4" w:space="0" w:color="auto"/>
                  </w:tcBorders>
                  <w:shd w:val="clear" w:color="auto" w:fill="auto"/>
                  <w:noWrap/>
                  <w:vAlign w:val="center"/>
                </w:tcPr>
                <w:p w14:paraId="312C4EF0" w14:textId="77777777" w:rsidR="004025B9" w:rsidRPr="000E4461" w:rsidRDefault="004025B9" w:rsidP="004025B9">
                  <w:pPr>
                    <w:spacing w:after="0" w:line="240" w:lineRule="auto"/>
                    <w:jc w:val="center"/>
                  </w:pPr>
                  <w:r w:rsidRPr="000E4461">
                    <w:t>6,68</w:t>
                  </w:r>
                </w:p>
              </w:tc>
            </w:tr>
          </w:tbl>
          <w:p w14:paraId="5376FE30" w14:textId="77777777" w:rsidR="004025B9" w:rsidRPr="000E4461" w:rsidRDefault="004025B9" w:rsidP="004025B9"/>
          <w:p w14:paraId="17024BBC" w14:textId="77777777" w:rsidR="004025B9" w:rsidRPr="000E4461" w:rsidRDefault="004025B9" w:rsidP="004025B9"/>
          <w:tbl>
            <w:tblPr>
              <w:tblW w:w="9072" w:type="dxa"/>
              <w:jc w:val="center"/>
              <w:shd w:val="clear" w:color="auto" w:fill="C6D9F1" w:themeFill="text2" w:themeFillTint="33"/>
              <w:tblCellMar>
                <w:left w:w="70" w:type="dxa"/>
                <w:right w:w="70" w:type="dxa"/>
              </w:tblCellMar>
              <w:tblLook w:val="04A0" w:firstRow="1" w:lastRow="0" w:firstColumn="1" w:lastColumn="0" w:noHBand="0" w:noVBand="1"/>
            </w:tblPr>
            <w:tblGrid>
              <w:gridCol w:w="5528"/>
              <w:gridCol w:w="1595"/>
              <w:gridCol w:w="1949"/>
            </w:tblGrid>
            <w:tr w:rsidR="004025B9" w:rsidRPr="000E4461" w14:paraId="61CDF95B" w14:textId="77777777" w:rsidTr="00792976">
              <w:trPr>
                <w:trHeight w:val="615"/>
                <w:jc w:val="center"/>
              </w:trPr>
              <w:tc>
                <w:tcPr>
                  <w:tcW w:w="5528" w:type="dxa"/>
                  <w:tcBorders>
                    <w:top w:val="single" w:sz="4" w:space="0" w:color="auto"/>
                    <w:left w:val="single" w:sz="4" w:space="0" w:color="auto"/>
                    <w:bottom w:val="double" w:sz="6" w:space="0" w:color="auto"/>
                    <w:right w:val="single" w:sz="4" w:space="0" w:color="auto"/>
                  </w:tcBorders>
                  <w:shd w:val="clear" w:color="auto" w:fill="548DD4" w:themeFill="text2" w:themeFillTint="99"/>
                  <w:noWrap/>
                  <w:vAlign w:val="center"/>
                  <w:hideMark/>
                </w:tcPr>
                <w:p w14:paraId="4E202C09" w14:textId="30D6157E" w:rsidR="004025B9" w:rsidRPr="000E4461" w:rsidRDefault="005072AE" w:rsidP="004025B9">
                  <w:pPr>
                    <w:spacing w:after="0" w:line="240" w:lineRule="auto"/>
                    <w:rPr>
                      <w:b/>
                    </w:rPr>
                  </w:pPr>
                  <w:r w:rsidRPr="000E4461">
                    <w:rPr>
                      <w:b/>
                    </w:rPr>
                    <w:t>Type of procedure</w:t>
                  </w:r>
                </w:p>
              </w:tc>
              <w:tc>
                <w:tcPr>
                  <w:tcW w:w="1595"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43462CB6" w14:textId="60742DF2" w:rsidR="004025B9" w:rsidRPr="000E4461" w:rsidRDefault="00507A5D" w:rsidP="004025B9">
                  <w:pPr>
                    <w:spacing w:after="0" w:line="240" w:lineRule="auto"/>
                    <w:jc w:val="center"/>
                    <w:rPr>
                      <w:b/>
                    </w:rPr>
                  </w:pPr>
                  <w:r w:rsidRPr="000E4461">
                    <w:rPr>
                      <w:b/>
                    </w:rPr>
                    <w:t>Number of procedures</w:t>
                  </w:r>
                </w:p>
              </w:tc>
              <w:tc>
                <w:tcPr>
                  <w:tcW w:w="1949"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762E1AFB" w14:textId="38248633" w:rsidR="004025B9" w:rsidRPr="000E4461" w:rsidRDefault="00507A5D" w:rsidP="004025B9">
                  <w:pPr>
                    <w:spacing w:after="0" w:line="240" w:lineRule="auto"/>
                    <w:jc w:val="center"/>
                    <w:rPr>
                      <w:b/>
                    </w:rPr>
                  </w:pPr>
                  <w:r w:rsidRPr="000E4461">
                    <w:rPr>
                      <w:b/>
                    </w:rPr>
                    <w:t>Number of bids</w:t>
                  </w:r>
                </w:p>
              </w:tc>
            </w:tr>
            <w:tr w:rsidR="004025B9" w:rsidRPr="000E4461" w14:paraId="2E34AD3E" w14:textId="77777777" w:rsidTr="00792976">
              <w:trPr>
                <w:trHeight w:val="285"/>
                <w:jc w:val="center"/>
              </w:trPr>
              <w:tc>
                <w:tcPr>
                  <w:tcW w:w="5528" w:type="dxa"/>
                  <w:tcBorders>
                    <w:top w:val="double" w:sz="6"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5E400BC" w14:textId="22072F7D" w:rsidR="004025B9" w:rsidRPr="000E4461" w:rsidRDefault="005072AE" w:rsidP="004025B9">
                  <w:pPr>
                    <w:spacing w:after="0" w:line="240" w:lineRule="auto"/>
                  </w:pPr>
                  <w:r w:rsidRPr="000E4461">
                    <w:t>Open procedure</w:t>
                  </w:r>
                  <w:r w:rsidR="004025B9" w:rsidRPr="000E4461">
                    <w:t xml:space="preserve"> </w:t>
                  </w:r>
                </w:p>
              </w:tc>
              <w:tc>
                <w:tcPr>
                  <w:tcW w:w="1595" w:type="dxa"/>
                  <w:tcBorders>
                    <w:top w:val="double" w:sz="6" w:space="0" w:color="auto"/>
                    <w:left w:val="nil"/>
                    <w:bottom w:val="single" w:sz="4" w:space="0" w:color="auto"/>
                    <w:right w:val="single" w:sz="4" w:space="0" w:color="auto"/>
                  </w:tcBorders>
                  <w:shd w:val="clear" w:color="auto" w:fill="auto"/>
                  <w:noWrap/>
                  <w:vAlign w:val="center"/>
                  <w:hideMark/>
                </w:tcPr>
                <w:p w14:paraId="06FCFCA0" w14:textId="77777777" w:rsidR="004025B9" w:rsidRPr="000E4461" w:rsidRDefault="004025B9" w:rsidP="004025B9">
                  <w:pPr>
                    <w:spacing w:after="0" w:line="240" w:lineRule="auto"/>
                    <w:jc w:val="center"/>
                  </w:pPr>
                  <w:r w:rsidRPr="000E4461">
                    <w:t>1 636</w:t>
                  </w:r>
                </w:p>
              </w:tc>
              <w:tc>
                <w:tcPr>
                  <w:tcW w:w="1949" w:type="dxa"/>
                  <w:tcBorders>
                    <w:top w:val="double" w:sz="6" w:space="0" w:color="auto"/>
                    <w:left w:val="nil"/>
                    <w:bottom w:val="single" w:sz="4" w:space="0" w:color="auto"/>
                    <w:right w:val="single" w:sz="4" w:space="0" w:color="auto"/>
                  </w:tcBorders>
                  <w:shd w:val="clear" w:color="auto" w:fill="auto"/>
                  <w:noWrap/>
                  <w:vAlign w:val="center"/>
                  <w:hideMark/>
                </w:tcPr>
                <w:p w14:paraId="32742ED0" w14:textId="77777777" w:rsidR="004025B9" w:rsidRPr="000E4461" w:rsidRDefault="004025B9" w:rsidP="004025B9">
                  <w:pPr>
                    <w:spacing w:after="0" w:line="240" w:lineRule="auto"/>
                    <w:jc w:val="center"/>
                  </w:pPr>
                  <w:r w:rsidRPr="000E4461">
                    <w:t>21 442</w:t>
                  </w:r>
                </w:p>
              </w:tc>
            </w:tr>
            <w:tr w:rsidR="004025B9" w:rsidRPr="000E4461" w14:paraId="7468BE1F"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5E6E889" w14:textId="6106D5C7" w:rsidR="004025B9" w:rsidRPr="000E4461" w:rsidRDefault="005072AE" w:rsidP="004025B9">
                  <w:pPr>
                    <w:spacing w:after="0" w:line="240" w:lineRule="auto"/>
                  </w:pPr>
                  <w:r w:rsidRPr="000E4461">
                    <w:t>Restricted procedure</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76738E68" w14:textId="77777777" w:rsidR="004025B9" w:rsidRPr="000E4461" w:rsidRDefault="004025B9" w:rsidP="004025B9">
                  <w:pPr>
                    <w:spacing w:after="0" w:line="240" w:lineRule="auto"/>
                    <w:jc w:val="center"/>
                  </w:pPr>
                  <w:r w:rsidRPr="000E4461">
                    <w:t>23</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4A2B264A" w14:textId="77777777" w:rsidR="004025B9" w:rsidRPr="000E4461" w:rsidRDefault="004025B9" w:rsidP="004025B9">
                  <w:pPr>
                    <w:spacing w:after="0" w:line="240" w:lineRule="auto"/>
                    <w:jc w:val="center"/>
                  </w:pPr>
                  <w:r w:rsidRPr="000E4461">
                    <w:t>196</w:t>
                  </w:r>
                </w:p>
              </w:tc>
            </w:tr>
            <w:tr w:rsidR="004025B9" w:rsidRPr="000E4461" w14:paraId="253097A7"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15291E9" w14:textId="16D56AE4" w:rsidR="004025B9" w:rsidRPr="000E4461" w:rsidRDefault="005072AE" w:rsidP="004025B9">
                  <w:pPr>
                    <w:spacing w:after="0" w:line="240" w:lineRule="auto"/>
                  </w:pPr>
                  <w:r w:rsidRPr="000E4461">
                    <w:t>Negotiated procedure</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07B49202" w14:textId="77777777" w:rsidR="004025B9" w:rsidRPr="000E4461" w:rsidRDefault="004025B9" w:rsidP="004025B9">
                  <w:pPr>
                    <w:spacing w:after="0" w:line="240" w:lineRule="auto"/>
                    <w:jc w:val="center"/>
                  </w:pPr>
                  <w:r w:rsidRPr="000E4461">
                    <w:t>262</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3551FBAB" w14:textId="77777777" w:rsidR="004025B9" w:rsidRPr="000E4461" w:rsidRDefault="004025B9" w:rsidP="004025B9">
                  <w:pPr>
                    <w:spacing w:after="0" w:line="240" w:lineRule="auto"/>
                    <w:jc w:val="center"/>
                  </w:pPr>
                  <w:r w:rsidRPr="000E4461">
                    <w:t>2 749</w:t>
                  </w:r>
                </w:p>
              </w:tc>
            </w:tr>
            <w:tr w:rsidR="004025B9" w:rsidRPr="000E4461" w14:paraId="3FA6E34C"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436B4EA" w14:textId="1FC1A3F0" w:rsidR="004025B9" w:rsidRPr="000E4461" w:rsidRDefault="005072AE" w:rsidP="004025B9">
                  <w:pPr>
                    <w:spacing w:after="0" w:line="240" w:lineRule="auto"/>
                  </w:pPr>
                  <w:r w:rsidRPr="000E4461">
                    <w:t>Negotiated procedure without prior publication of a contract notice</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51C74747" w14:textId="77777777" w:rsidR="004025B9" w:rsidRPr="000E4461" w:rsidRDefault="004025B9" w:rsidP="004025B9">
                  <w:pPr>
                    <w:spacing w:after="0" w:line="240" w:lineRule="auto"/>
                    <w:jc w:val="center"/>
                  </w:pPr>
                  <w:r w:rsidRPr="000E4461">
                    <w:t>336</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65065990" w14:textId="77777777" w:rsidR="004025B9" w:rsidRPr="000E4461" w:rsidRDefault="004025B9" w:rsidP="004025B9">
                  <w:pPr>
                    <w:spacing w:after="0" w:line="240" w:lineRule="auto"/>
                    <w:jc w:val="center"/>
                  </w:pPr>
                  <w:r w:rsidRPr="000E4461">
                    <w:t>792</w:t>
                  </w:r>
                </w:p>
              </w:tc>
            </w:tr>
            <w:tr w:rsidR="004025B9" w:rsidRPr="000E4461" w14:paraId="6BE74756"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06AA95D" w14:textId="08EB1080" w:rsidR="004025B9" w:rsidRPr="000E4461" w:rsidRDefault="005072AE" w:rsidP="004025B9">
                  <w:pPr>
                    <w:spacing w:after="0" w:line="240" w:lineRule="auto"/>
                  </w:pPr>
                  <w:r w:rsidRPr="000E4461">
                    <w:t>Accelerated open procedure</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16F00498" w14:textId="77777777" w:rsidR="004025B9" w:rsidRPr="000E4461" w:rsidRDefault="004025B9" w:rsidP="004025B9">
                  <w:pPr>
                    <w:spacing w:after="0" w:line="240" w:lineRule="auto"/>
                    <w:jc w:val="center"/>
                  </w:pPr>
                  <w:r w:rsidRPr="000E4461">
                    <w:t>66</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10ECEA5A" w14:textId="77777777" w:rsidR="004025B9" w:rsidRPr="000E4461" w:rsidRDefault="004025B9" w:rsidP="004025B9">
                  <w:pPr>
                    <w:spacing w:after="0" w:line="240" w:lineRule="auto"/>
                    <w:jc w:val="center"/>
                  </w:pPr>
                  <w:r w:rsidRPr="000E4461">
                    <w:t>403</w:t>
                  </w:r>
                </w:p>
              </w:tc>
            </w:tr>
            <w:tr w:rsidR="004025B9" w:rsidRPr="000E4461" w14:paraId="521E6D6A"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2A89F20" w14:textId="7BFBA642" w:rsidR="004025B9" w:rsidRPr="000E4461" w:rsidRDefault="005072AE" w:rsidP="004025B9">
                  <w:pPr>
                    <w:spacing w:after="0" w:line="240" w:lineRule="auto"/>
                  </w:pPr>
                  <w:r w:rsidRPr="000E4461">
                    <w:t>Accelerated restricted procedure</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39ED477F" w14:textId="77777777" w:rsidR="004025B9" w:rsidRPr="000E4461" w:rsidRDefault="004025B9" w:rsidP="004025B9">
                  <w:pPr>
                    <w:spacing w:after="0" w:line="240" w:lineRule="auto"/>
                    <w:jc w:val="center"/>
                  </w:pPr>
                  <w:r w:rsidRPr="000E4461">
                    <w:t>2</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5EDCA7CE" w14:textId="77777777" w:rsidR="004025B9" w:rsidRPr="000E4461" w:rsidRDefault="004025B9" w:rsidP="004025B9">
                  <w:pPr>
                    <w:spacing w:after="0" w:line="240" w:lineRule="auto"/>
                    <w:jc w:val="center"/>
                  </w:pPr>
                  <w:r w:rsidRPr="000E4461">
                    <w:t>7</w:t>
                  </w:r>
                </w:p>
              </w:tc>
            </w:tr>
            <w:tr w:rsidR="004025B9" w:rsidRPr="000E4461" w14:paraId="470E87DA"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45864B4" w14:textId="3E129784" w:rsidR="004025B9" w:rsidRPr="000E4461" w:rsidRDefault="005072AE" w:rsidP="004025B9">
                  <w:pPr>
                    <w:spacing w:after="0" w:line="240" w:lineRule="auto"/>
                  </w:pPr>
                  <w:r w:rsidRPr="000E4461">
                    <w:t>Accelerated negotiated procedure</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7E1C4E7D" w14:textId="77777777" w:rsidR="004025B9" w:rsidRPr="000E4461" w:rsidRDefault="004025B9" w:rsidP="004025B9">
                  <w:pPr>
                    <w:spacing w:after="0" w:line="240" w:lineRule="auto"/>
                    <w:jc w:val="center"/>
                  </w:pPr>
                  <w:r w:rsidRPr="000E4461">
                    <w:t>7</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1EFC106A" w14:textId="77777777" w:rsidR="004025B9" w:rsidRPr="000E4461" w:rsidRDefault="004025B9" w:rsidP="004025B9">
                  <w:pPr>
                    <w:spacing w:after="0" w:line="240" w:lineRule="auto"/>
                    <w:jc w:val="center"/>
                  </w:pPr>
                  <w:r w:rsidRPr="000E4461">
                    <w:t>27</w:t>
                  </w:r>
                </w:p>
              </w:tc>
            </w:tr>
            <w:tr w:rsidR="004025B9" w:rsidRPr="000E4461" w14:paraId="7F9A3837"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37E8BC4" w14:textId="66CA7C1C" w:rsidR="004025B9" w:rsidRPr="000E4461" w:rsidRDefault="00507A5D" w:rsidP="004025B9">
                  <w:pPr>
                    <w:spacing w:after="0" w:line="240" w:lineRule="auto"/>
                  </w:pPr>
                  <w:r w:rsidRPr="000E4461">
                    <w:t>Concession</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78C4A24F" w14:textId="77777777" w:rsidR="004025B9" w:rsidRPr="000E4461" w:rsidRDefault="004025B9" w:rsidP="004025B9">
                  <w:pPr>
                    <w:spacing w:after="0" w:line="240" w:lineRule="auto"/>
                    <w:jc w:val="center"/>
                  </w:pPr>
                  <w:r w:rsidRPr="000E4461">
                    <w:t>9</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2A93B52D" w14:textId="77777777" w:rsidR="004025B9" w:rsidRPr="000E4461" w:rsidRDefault="004025B9" w:rsidP="004025B9">
                  <w:pPr>
                    <w:spacing w:after="0" w:line="240" w:lineRule="auto"/>
                    <w:jc w:val="center"/>
                  </w:pPr>
                  <w:r w:rsidRPr="000E4461">
                    <w:t>13</w:t>
                  </w:r>
                </w:p>
              </w:tc>
            </w:tr>
            <w:tr w:rsidR="004025B9" w:rsidRPr="000E4461" w14:paraId="40C74487"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A6B9103" w14:textId="512215D6" w:rsidR="004025B9" w:rsidRPr="000E4461" w:rsidRDefault="00507A5D" w:rsidP="004025B9">
                  <w:pPr>
                    <w:spacing w:after="0" w:line="240" w:lineRule="auto"/>
                  </w:pPr>
                  <w:r w:rsidRPr="000E4461">
                    <w:t>Open procedure according to Art. 113 of the PPA</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6BA703AB" w14:textId="77777777" w:rsidR="004025B9" w:rsidRPr="000E4461" w:rsidRDefault="004025B9" w:rsidP="004025B9">
                  <w:pPr>
                    <w:spacing w:after="0" w:line="240" w:lineRule="auto"/>
                    <w:jc w:val="center"/>
                  </w:pPr>
                  <w:r w:rsidRPr="000E4461">
                    <w:t>2 141</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0144A053" w14:textId="77777777" w:rsidR="004025B9" w:rsidRPr="000E4461" w:rsidRDefault="004025B9" w:rsidP="004025B9">
                  <w:pPr>
                    <w:spacing w:after="0" w:line="240" w:lineRule="auto"/>
                    <w:jc w:val="center"/>
                  </w:pPr>
                  <w:r w:rsidRPr="000E4461">
                    <w:t>24 797</w:t>
                  </w:r>
                </w:p>
              </w:tc>
            </w:tr>
            <w:tr w:rsidR="004025B9" w:rsidRPr="000E4461" w14:paraId="4377ADD7"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9CC79C" w14:textId="1634A7E9" w:rsidR="004025B9" w:rsidRPr="000E4461" w:rsidRDefault="00507A5D" w:rsidP="004025B9">
                  <w:pPr>
                    <w:spacing w:after="0" w:line="240" w:lineRule="auto"/>
                  </w:pPr>
                  <w:r w:rsidRPr="000E4461">
                    <w:t>Restricted procedure according to Art. 113 of the PPA</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14A28570" w14:textId="77777777" w:rsidR="004025B9" w:rsidRPr="000E4461" w:rsidRDefault="004025B9" w:rsidP="004025B9">
                  <w:pPr>
                    <w:spacing w:after="0" w:line="240" w:lineRule="auto"/>
                    <w:jc w:val="center"/>
                  </w:pPr>
                  <w:r w:rsidRPr="000E4461">
                    <w:t>27</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39E5E464" w14:textId="77777777" w:rsidR="004025B9" w:rsidRPr="000E4461" w:rsidRDefault="004025B9" w:rsidP="004025B9">
                  <w:pPr>
                    <w:spacing w:after="0" w:line="240" w:lineRule="auto"/>
                    <w:jc w:val="center"/>
                  </w:pPr>
                  <w:r w:rsidRPr="000E4461">
                    <w:t>169</w:t>
                  </w:r>
                </w:p>
              </w:tc>
            </w:tr>
            <w:tr w:rsidR="004025B9" w:rsidRPr="000E4461" w14:paraId="0226C1E3"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154DEF4" w14:textId="05CB3444" w:rsidR="004025B9" w:rsidRPr="000E4461" w:rsidRDefault="00507A5D" w:rsidP="004025B9">
                  <w:pPr>
                    <w:spacing w:after="0" w:line="240" w:lineRule="auto"/>
                  </w:pPr>
                  <w:r w:rsidRPr="000E4461">
                    <w:t>Negotiated procedure according to Art. 113 of the PPA</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0FFA2C48" w14:textId="77777777" w:rsidR="004025B9" w:rsidRPr="000E4461" w:rsidRDefault="004025B9" w:rsidP="004025B9">
                  <w:pPr>
                    <w:spacing w:after="0" w:line="240" w:lineRule="auto"/>
                    <w:jc w:val="center"/>
                  </w:pPr>
                  <w:r w:rsidRPr="000E4461">
                    <w:t>107</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0B818061" w14:textId="77777777" w:rsidR="004025B9" w:rsidRPr="000E4461" w:rsidRDefault="004025B9" w:rsidP="004025B9">
                  <w:pPr>
                    <w:spacing w:after="0" w:line="240" w:lineRule="auto"/>
                    <w:jc w:val="center"/>
                  </w:pPr>
                  <w:r w:rsidRPr="000E4461">
                    <w:t>353</w:t>
                  </w:r>
                </w:p>
              </w:tc>
            </w:tr>
            <w:tr w:rsidR="004025B9" w:rsidRPr="000E4461" w14:paraId="5F0E85DB"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3E8E13B" w14:textId="60E61B94" w:rsidR="004025B9" w:rsidRPr="000E4461" w:rsidRDefault="00507A5D" w:rsidP="004025B9">
                  <w:pPr>
                    <w:spacing w:after="0" w:line="240" w:lineRule="auto"/>
                  </w:pPr>
                  <w:r w:rsidRPr="000E4461">
                    <w:lastRenderedPageBreak/>
                    <w:t>Open procedure according to Art. 115 of the PPA</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38155E04" w14:textId="77777777" w:rsidR="004025B9" w:rsidRPr="000E4461" w:rsidRDefault="004025B9" w:rsidP="004025B9">
                  <w:pPr>
                    <w:spacing w:after="0" w:line="240" w:lineRule="auto"/>
                    <w:jc w:val="center"/>
                  </w:pPr>
                  <w:r w:rsidRPr="000E4461">
                    <w:t>3 650</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26C4982C" w14:textId="77777777" w:rsidR="004025B9" w:rsidRPr="000E4461" w:rsidRDefault="004025B9" w:rsidP="004025B9">
                  <w:pPr>
                    <w:spacing w:after="0" w:line="240" w:lineRule="auto"/>
                    <w:jc w:val="center"/>
                  </w:pPr>
                  <w:r w:rsidRPr="000E4461">
                    <w:t>16 556</w:t>
                  </w:r>
                </w:p>
              </w:tc>
            </w:tr>
            <w:tr w:rsidR="004025B9" w:rsidRPr="000E4461" w14:paraId="1FED07D8"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B321366" w14:textId="37A0F4B4" w:rsidR="004025B9" w:rsidRPr="000E4461" w:rsidRDefault="00507A5D" w:rsidP="004025B9">
                  <w:pPr>
                    <w:spacing w:after="0" w:line="240" w:lineRule="auto"/>
                  </w:pPr>
                  <w:r w:rsidRPr="000E4461">
                    <w:t>Negotiated procedures without prior publication of a contract notice according to Art. 115 of the PPA</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5B1F1F06" w14:textId="77777777" w:rsidR="004025B9" w:rsidRPr="000E4461" w:rsidRDefault="004025B9" w:rsidP="004025B9">
                  <w:pPr>
                    <w:spacing w:after="0" w:line="240" w:lineRule="auto"/>
                    <w:jc w:val="center"/>
                  </w:pPr>
                  <w:r w:rsidRPr="000E4461">
                    <w:t>370</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53F60364" w14:textId="77777777" w:rsidR="004025B9" w:rsidRPr="000E4461" w:rsidRDefault="004025B9" w:rsidP="004025B9">
                  <w:pPr>
                    <w:spacing w:after="0" w:line="240" w:lineRule="auto"/>
                    <w:jc w:val="center"/>
                  </w:pPr>
                  <w:r w:rsidRPr="000E4461">
                    <w:t>1 565</w:t>
                  </w:r>
                </w:p>
              </w:tc>
            </w:tr>
            <w:tr w:rsidR="004025B9" w:rsidRPr="000E4461" w14:paraId="7EB9BB2A" w14:textId="77777777" w:rsidTr="00792976">
              <w:trPr>
                <w:trHeight w:val="270"/>
                <w:jc w:val="center"/>
              </w:trPr>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352AE40" w14:textId="51AE2672" w:rsidR="004025B9" w:rsidRPr="000E4461" w:rsidRDefault="00507A5D" w:rsidP="004025B9">
                  <w:pPr>
                    <w:spacing w:after="0" w:line="240" w:lineRule="auto"/>
                  </w:pPr>
                  <w:r w:rsidRPr="000E4461">
                    <w:t>Procedure based on Art. 117 of the PPA</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75F3C3B5" w14:textId="77777777" w:rsidR="004025B9" w:rsidRPr="000E4461" w:rsidRDefault="004025B9" w:rsidP="004025B9">
                  <w:pPr>
                    <w:spacing w:after="0" w:line="240" w:lineRule="auto"/>
                    <w:jc w:val="center"/>
                  </w:pPr>
                  <w:r w:rsidRPr="000E4461">
                    <w:t>162</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23A7FDA0" w14:textId="77777777" w:rsidR="004025B9" w:rsidRPr="000E4461" w:rsidRDefault="004025B9" w:rsidP="004025B9">
                  <w:pPr>
                    <w:spacing w:after="0" w:line="240" w:lineRule="auto"/>
                    <w:jc w:val="center"/>
                  </w:pPr>
                  <w:r w:rsidRPr="000E4461">
                    <w:t>828</w:t>
                  </w:r>
                </w:p>
              </w:tc>
            </w:tr>
            <w:tr w:rsidR="004025B9" w:rsidRPr="000E4461" w14:paraId="744AC47E" w14:textId="77777777" w:rsidTr="00792976">
              <w:trPr>
                <w:trHeight w:val="285"/>
                <w:jc w:val="center"/>
              </w:trPr>
              <w:tc>
                <w:tcPr>
                  <w:tcW w:w="5528" w:type="dxa"/>
                  <w:tcBorders>
                    <w:top w:val="single" w:sz="4" w:space="0" w:color="auto"/>
                    <w:left w:val="single" w:sz="4" w:space="0" w:color="auto"/>
                    <w:bottom w:val="double" w:sz="6" w:space="0" w:color="auto"/>
                    <w:right w:val="single" w:sz="4" w:space="0" w:color="auto"/>
                  </w:tcBorders>
                  <w:shd w:val="clear" w:color="auto" w:fill="C6D9F1" w:themeFill="text2" w:themeFillTint="33"/>
                  <w:noWrap/>
                  <w:vAlign w:val="center"/>
                  <w:hideMark/>
                </w:tcPr>
                <w:p w14:paraId="364E2482" w14:textId="46787836" w:rsidR="004025B9" w:rsidRPr="000E4461" w:rsidRDefault="00507A5D" w:rsidP="004025B9">
                  <w:pPr>
                    <w:spacing w:after="0" w:line="240" w:lineRule="auto"/>
                  </w:pPr>
                  <w:r w:rsidRPr="000E4461">
                    <w:t>Procedure based on Art. 122/A  of the PPA</w:t>
                  </w:r>
                </w:p>
              </w:tc>
              <w:tc>
                <w:tcPr>
                  <w:tcW w:w="1595" w:type="dxa"/>
                  <w:tcBorders>
                    <w:top w:val="single" w:sz="4" w:space="0" w:color="auto"/>
                    <w:left w:val="nil"/>
                    <w:bottom w:val="double" w:sz="6" w:space="0" w:color="auto"/>
                    <w:right w:val="single" w:sz="4" w:space="0" w:color="auto"/>
                  </w:tcBorders>
                  <w:shd w:val="clear" w:color="auto" w:fill="auto"/>
                  <w:noWrap/>
                  <w:vAlign w:val="center"/>
                  <w:hideMark/>
                </w:tcPr>
                <w:p w14:paraId="6EDB586E" w14:textId="77777777" w:rsidR="004025B9" w:rsidRPr="000E4461" w:rsidRDefault="004025B9" w:rsidP="004025B9">
                  <w:pPr>
                    <w:spacing w:after="0" w:line="240" w:lineRule="auto"/>
                    <w:jc w:val="center"/>
                  </w:pPr>
                  <w:r w:rsidRPr="000E4461">
                    <w:t>13</w:t>
                  </w:r>
                </w:p>
              </w:tc>
              <w:tc>
                <w:tcPr>
                  <w:tcW w:w="1949" w:type="dxa"/>
                  <w:tcBorders>
                    <w:top w:val="single" w:sz="4" w:space="0" w:color="auto"/>
                    <w:left w:val="nil"/>
                    <w:bottom w:val="double" w:sz="6" w:space="0" w:color="auto"/>
                    <w:right w:val="single" w:sz="4" w:space="0" w:color="auto"/>
                  </w:tcBorders>
                  <w:shd w:val="clear" w:color="auto" w:fill="auto"/>
                  <w:noWrap/>
                  <w:vAlign w:val="center"/>
                  <w:hideMark/>
                </w:tcPr>
                <w:p w14:paraId="6FDC5F8E" w14:textId="77777777" w:rsidR="004025B9" w:rsidRPr="000E4461" w:rsidRDefault="004025B9" w:rsidP="004025B9">
                  <w:pPr>
                    <w:spacing w:after="0" w:line="240" w:lineRule="auto"/>
                    <w:jc w:val="center"/>
                  </w:pPr>
                  <w:r w:rsidRPr="000E4461">
                    <w:t>27</w:t>
                  </w:r>
                </w:p>
              </w:tc>
            </w:tr>
            <w:tr w:rsidR="004025B9" w:rsidRPr="000E4461" w14:paraId="1C0A12A8" w14:textId="77777777" w:rsidTr="00792976">
              <w:trPr>
                <w:trHeight w:val="315"/>
                <w:jc w:val="center"/>
              </w:trPr>
              <w:tc>
                <w:tcPr>
                  <w:tcW w:w="5528"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736103FD" w14:textId="1E08824D" w:rsidR="004025B9" w:rsidRPr="000E4461" w:rsidRDefault="00507A5D" w:rsidP="004025B9">
                  <w:pPr>
                    <w:spacing w:after="0" w:line="240" w:lineRule="auto"/>
                    <w:rPr>
                      <w:b/>
                    </w:rPr>
                  </w:pPr>
                  <w:r w:rsidRPr="000E4461">
                    <w:rPr>
                      <w:b/>
                    </w:rPr>
                    <w:t>Total</w:t>
                  </w:r>
                </w:p>
              </w:tc>
              <w:tc>
                <w:tcPr>
                  <w:tcW w:w="1595" w:type="dxa"/>
                  <w:tcBorders>
                    <w:top w:val="double" w:sz="6" w:space="0" w:color="auto"/>
                    <w:left w:val="nil"/>
                    <w:bottom w:val="single" w:sz="4" w:space="0" w:color="auto"/>
                    <w:right w:val="single" w:sz="4" w:space="0" w:color="auto"/>
                  </w:tcBorders>
                  <w:shd w:val="clear" w:color="auto" w:fill="auto"/>
                  <w:noWrap/>
                  <w:vAlign w:val="center"/>
                  <w:hideMark/>
                </w:tcPr>
                <w:p w14:paraId="6BE3089A" w14:textId="77777777" w:rsidR="004025B9" w:rsidRPr="000E4461" w:rsidRDefault="004025B9" w:rsidP="004025B9">
                  <w:pPr>
                    <w:spacing w:after="0" w:line="240" w:lineRule="auto"/>
                    <w:jc w:val="center"/>
                  </w:pPr>
                  <w:r w:rsidRPr="000E4461">
                    <w:t>8 811</w:t>
                  </w:r>
                </w:p>
              </w:tc>
              <w:tc>
                <w:tcPr>
                  <w:tcW w:w="1949" w:type="dxa"/>
                  <w:tcBorders>
                    <w:top w:val="double" w:sz="6" w:space="0" w:color="auto"/>
                    <w:left w:val="nil"/>
                    <w:bottom w:val="single" w:sz="4" w:space="0" w:color="auto"/>
                    <w:right w:val="single" w:sz="4" w:space="0" w:color="auto"/>
                  </w:tcBorders>
                  <w:shd w:val="clear" w:color="auto" w:fill="auto"/>
                  <w:noWrap/>
                  <w:vAlign w:val="center"/>
                  <w:hideMark/>
                </w:tcPr>
                <w:p w14:paraId="7FCDFA59" w14:textId="77777777" w:rsidR="004025B9" w:rsidRPr="000E4461" w:rsidRDefault="004025B9" w:rsidP="004025B9">
                  <w:pPr>
                    <w:spacing w:after="0" w:line="240" w:lineRule="auto"/>
                    <w:jc w:val="center"/>
                  </w:pPr>
                  <w:r w:rsidRPr="000E4461">
                    <w:t>69 924</w:t>
                  </w:r>
                </w:p>
              </w:tc>
            </w:tr>
          </w:tbl>
          <w:p w14:paraId="497A8747" w14:textId="77777777" w:rsidR="004025B9" w:rsidRPr="000E4461" w:rsidRDefault="004025B9" w:rsidP="004025B9"/>
          <w:tbl>
            <w:tblPr>
              <w:tblW w:w="9072" w:type="dxa"/>
              <w:jc w:val="center"/>
              <w:tblCellMar>
                <w:left w:w="70" w:type="dxa"/>
                <w:right w:w="70" w:type="dxa"/>
              </w:tblCellMar>
              <w:tblLook w:val="04A0" w:firstRow="1" w:lastRow="0" w:firstColumn="1" w:lastColumn="0" w:noHBand="0" w:noVBand="1"/>
            </w:tblPr>
            <w:tblGrid>
              <w:gridCol w:w="5524"/>
              <w:gridCol w:w="1559"/>
              <w:gridCol w:w="1989"/>
            </w:tblGrid>
            <w:tr w:rsidR="004025B9" w:rsidRPr="000E4461" w14:paraId="10A57E66" w14:textId="77777777" w:rsidTr="00792976">
              <w:trPr>
                <w:trHeight w:val="615"/>
                <w:jc w:val="center"/>
              </w:trPr>
              <w:tc>
                <w:tcPr>
                  <w:tcW w:w="5524" w:type="dxa"/>
                  <w:tcBorders>
                    <w:top w:val="single" w:sz="4" w:space="0" w:color="auto"/>
                    <w:left w:val="single" w:sz="4" w:space="0" w:color="auto"/>
                    <w:bottom w:val="double" w:sz="6" w:space="0" w:color="auto"/>
                    <w:right w:val="single" w:sz="4" w:space="0" w:color="auto"/>
                  </w:tcBorders>
                  <w:shd w:val="clear" w:color="auto" w:fill="548DD4" w:themeFill="text2" w:themeFillTint="99"/>
                  <w:noWrap/>
                  <w:vAlign w:val="center"/>
                  <w:hideMark/>
                </w:tcPr>
                <w:p w14:paraId="7CA49D3C" w14:textId="508C661F" w:rsidR="004025B9" w:rsidRPr="000E4461" w:rsidRDefault="00507A5D" w:rsidP="004025B9">
                  <w:pPr>
                    <w:spacing w:after="0" w:line="240" w:lineRule="auto"/>
                    <w:rPr>
                      <w:b/>
                    </w:rPr>
                  </w:pPr>
                  <w:r w:rsidRPr="000E4461">
                    <w:rPr>
                      <w:b/>
                    </w:rPr>
                    <w:t>Type of procedure</w:t>
                  </w:r>
                </w:p>
              </w:tc>
              <w:tc>
                <w:tcPr>
                  <w:tcW w:w="1559"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5230FCF5" w14:textId="01B3687D" w:rsidR="004025B9" w:rsidRPr="000E4461" w:rsidRDefault="00507A5D" w:rsidP="004025B9">
                  <w:pPr>
                    <w:spacing w:after="0" w:line="240" w:lineRule="auto"/>
                    <w:jc w:val="center"/>
                    <w:rPr>
                      <w:b/>
                    </w:rPr>
                  </w:pPr>
                  <w:r w:rsidRPr="000E4461">
                    <w:rPr>
                      <w:b/>
                    </w:rPr>
                    <w:t>Number of procedures where SMEs submitted a bid</w:t>
                  </w:r>
                </w:p>
              </w:tc>
              <w:tc>
                <w:tcPr>
                  <w:tcW w:w="1989"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3C652E14" w14:textId="677A4E20" w:rsidR="004025B9" w:rsidRPr="000E4461" w:rsidRDefault="00507A5D" w:rsidP="004025B9">
                  <w:pPr>
                    <w:spacing w:after="0" w:line="240" w:lineRule="auto"/>
                    <w:jc w:val="center"/>
                    <w:rPr>
                      <w:b/>
                    </w:rPr>
                  </w:pPr>
                  <w:r w:rsidRPr="000E4461">
                    <w:rPr>
                      <w:b/>
                    </w:rPr>
                    <w:t>Number of SME bids</w:t>
                  </w:r>
                </w:p>
              </w:tc>
            </w:tr>
            <w:tr w:rsidR="004025B9" w:rsidRPr="000E4461" w14:paraId="06D66575" w14:textId="77777777" w:rsidTr="00792976">
              <w:trPr>
                <w:trHeight w:val="285"/>
                <w:jc w:val="center"/>
              </w:trPr>
              <w:tc>
                <w:tcPr>
                  <w:tcW w:w="5524" w:type="dxa"/>
                  <w:tcBorders>
                    <w:top w:val="double" w:sz="6"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EECD52" w14:textId="6B64090F" w:rsidR="004025B9" w:rsidRPr="000E4461" w:rsidRDefault="00507A5D" w:rsidP="004025B9">
                  <w:pPr>
                    <w:spacing w:after="0" w:line="240" w:lineRule="auto"/>
                  </w:pPr>
                  <w:r w:rsidRPr="000E4461">
                    <w:t>Open procedure</w:t>
                  </w:r>
                </w:p>
              </w:tc>
              <w:tc>
                <w:tcPr>
                  <w:tcW w:w="1559" w:type="dxa"/>
                  <w:tcBorders>
                    <w:top w:val="nil"/>
                    <w:left w:val="nil"/>
                    <w:bottom w:val="single" w:sz="4" w:space="0" w:color="auto"/>
                    <w:right w:val="single" w:sz="4" w:space="0" w:color="auto"/>
                  </w:tcBorders>
                  <w:shd w:val="clear" w:color="auto" w:fill="auto"/>
                  <w:noWrap/>
                  <w:vAlign w:val="center"/>
                  <w:hideMark/>
                </w:tcPr>
                <w:p w14:paraId="5F479A74" w14:textId="77777777" w:rsidR="004025B9" w:rsidRPr="000E4461" w:rsidRDefault="004025B9" w:rsidP="004025B9">
                  <w:pPr>
                    <w:spacing w:after="0" w:line="240" w:lineRule="auto"/>
                    <w:jc w:val="center"/>
                  </w:pPr>
                  <w:r w:rsidRPr="000E4461">
                    <w:t>1 143</w:t>
                  </w:r>
                </w:p>
              </w:tc>
              <w:tc>
                <w:tcPr>
                  <w:tcW w:w="1989" w:type="dxa"/>
                  <w:tcBorders>
                    <w:top w:val="nil"/>
                    <w:left w:val="nil"/>
                    <w:bottom w:val="single" w:sz="4" w:space="0" w:color="auto"/>
                    <w:right w:val="single" w:sz="4" w:space="0" w:color="auto"/>
                  </w:tcBorders>
                  <w:shd w:val="clear" w:color="auto" w:fill="auto"/>
                  <w:noWrap/>
                  <w:vAlign w:val="center"/>
                  <w:hideMark/>
                </w:tcPr>
                <w:p w14:paraId="58FD41E9" w14:textId="77777777" w:rsidR="004025B9" w:rsidRPr="000E4461" w:rsidRDefault="004025B9" w:rsidP="004025B9">
                  <w:pPr>
                    <w:spacing w:after="0" w:line="240" w:lineRule="auto"/>
                    <w:jc w:val="center"/>
                  </w:pPr>
                  <w:r w:rsidRPr="000E4461">
                    <w:t>14 687</w:t>
                  </w:r>
                </w:p>
              </w:tc>
            </w:tr>
            <w:tr w:rsidR="004025B9" w:rsidRPr="000E4461" w14:paraId="635F5F90"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9FEFCDD" w14:textId="7E4F344D" w:rsidR="004025B9" w:rsidRPr="000E4461" w:rsidRDefault="00507A5D" w:rsidP="004025B9">
                  <w:pPr>
                    <w:spacing w:after="0" w:line="240" w:lineRule="auto"/>
                  </w:pPr>
                  <w:r w:rsidRPr="000E4461">
                    <w:t>Restricted procedure</w:t>
                  </w:r>
                </w:p>
              </w:tc>
              <w:tc>
                <w:tcPr>
                  <w:tcW w:w="1559" w:type="dxa"/>
                  <w:tcBorders>
                    <w:top w:val="nil"/>
                    <w:left w:val="nil"/>
                    <w:bottom w:val="single" w:sz="4" w:space="0" w:color="auto"/>
                    <w:right w:val="single" w:sz="4" w:space="0" w:color="auto"/>
                  </w:tcBorders>
                  <w:shd w:val="clear" w:color="auto" w:fill="auto"/>
                  <w:noWrap/>
                  <w:vAlign w:val="center"/>
                  <w:hideMark/>
                </w:tcPr>
                <w:p w14:paraId="76378F6F" w14:textId="77777777" w:rsidR="004025B9" w:rsidRPr="000E4461" w:rsidRDefault="004025B9" w:rsidP="004025B9">
                  <w:pPr>
                    <w:spacing w:after="0" w:line="240" w:lineRule="auto"/>
                    <w:jc w:val="center"/>
                  </w:pPr>
                  <w:r w:rsidRPr="000E4461">
                    <w:t>14</w:t>
                  </w:r>
                </w:p>
              </w:tc>
              <w:tc>
                <w:tcPr>
                  <w:tcW w:w="1989" w:type="dxa"/>
                  <w:tcBorders>
                    <w:top w:val="nil"/>
                    <w:left w:val="nil"/>
                    <w:bottom w:val="single" w:sz="4" w:space="0" w:color="auto"/>
                    <w:right w:val="single" w:sz="4" w:space="0" w:color="auto"/>
                  </w:tcBorders>
                  <w:shd w:val="clear" w:color="auto" w:fill="auto"/>
                  <w:noWrap/>
                  <w:vAlign w:val="center"/>
                  <w:hideMark/>
                </w:tcPr>
                <w:p w14:paraId="4C869DC5" w14:textId="77777777" w:rsidR="004025B9" w:rsidRPr="000E4461" w:rsidRDefault="004025B9" w:rsidP="004025B9">
                  <w:pPr>
                    <w:spacing w:after="0" w:line="240" w:lineRule="auto"/>
                    <w:jc w:val="center"/>
                  </w:pPr>
                  <w:r w:rsidRPr="000E4461">
                    <w:t>143</w:t>
                  </w:r>
                </w:p>
              </w:tc>
            </w:tr>
            <w:tr w:rsidR="004025B9" w:rsidRPr="000E4461" w14:paraId="17171E11"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CE1FEB6" w14:textId="670C7C43" w:rsidR="004025B9" w:rsidRPr="000E4461" w:rsidRDefault="00507A5D" w:rsidP="004025B9">
                  <w:pPr>
                    <w:spacing w:after="0" w:line="240" w:lineRule="auto"/>
                  </w:pPr>
                  <w:r w:rsidRPr="000E4461">
                    <w:t>Negotiated procedure</w:t>
                  </w:r>
                </w:p>
              </w:tc>
              <w:tc>
                <w:tcPr>
                  <w:tcW w:w="1559" w:type="dxa"/>
                  <w:tcBorders>
                    <w:top w:val="nil"/>
                    <w:left w:val="nil"/>
                    <w:bottom w:val="single" w:sz="4" w:space="0" w:color="auto"/>
                    <w:right w:val="single" w:sz="4" w:space="0" w:color="auto"/>
                  </w:tcBorders>
                  <w:shd w:val="clear" w:color="auto" w:fill="auto"/>
                  <w:noWrap/>
                  <w:vAlign w:val="center"/>
                  <w:hideMark/>
                </w:tcPr>
                <w:p w14:paraId="64F57F6E" w14:textId="77777777" w:rsidR="004025B9" w:rsidRPr="000E4461" w:rsidRDefault="004025B9" w:rsidP="004025B9">
                  <w:pPr>
                    <w:spacing w:after="0" w:line="240" w:lineRule="auto"/>
                    <w:jc w:val="center"/>
                  </w:pPr>
                  <w:r w:rsidRPr="000E4461">
                    <w:t>146</w:t>
                  </w:r>
                </w:p>
              </w:tc>
              <w:tc>
                <w:tcPr>
                  <w:tcW w:w="1989" w:type="dxa"/>
                  <w:tcBorders>
                    <w:top w:val="nil"/>
                    <w:left w:val="nil"/>
                    <w:bottom w:val="single" w:sz="4" w:space="0" w:color="auto"/>
                    <w:right w:val="single" w:sz="4" w:space="0" w:color="auto"/>
                  </w:tcBorders>
                  <w:shd w:val="clear" w:color="auto" w:fill="auto"/>
                  <w:noWrap/>
                  <w:vAlign w:val="center"/>
                  <w:hideMark/>
                </w:tcPr>
                <w:p w14:paraId="39268DB5" w14:textId="77777777" w:rsidR="004025B9" w:rsidRPr="000E4461" w:rsidRDefault="004025B9" w:rsidP="004025B9">
                  <w:pPr>
                    <w:spacing w:after="0" w:line="240" w:lineRule="auto"/>
                    <w:jc w:val="center"/>
                  </w:pPr>
                  <w:r w:rsidRPr="000E4461">
                    <w:t>2 331</w:t>
                  </w:r>
                </w:p>
              </w:tc>
            </w:tr>
            <w:tr w:rsidR="004025B9" w:rsidRPr="000E4461" w14:paraId="167C218F"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CE92653" w14:textId="55E1D570" w:rsidR="004025B9" w:rsidRPr="000E4461" w:rsidRDefault="00507A5D" w:rsidP="004025B9">
                  <w:pPr>
                    <w:spacing w:after="0" w:line="240" w:lineRule="auto"/>
                  </w:pPr>
                  <w:r w:rsidRPr="000E4461">
                    <w:t>Negotiated procedure without prior publication of a contract notice</w:t>
                  </w:r>
                </w:p>
              </w:tc>
              <w:tc>
                <w:tcPr>
                  <w:tcW w:w="1559" w:type="dxa"/>
                  <w:tcBorders>
                    <w:top w:val="nil"/>
                    <w:left w:val="nil"/>
                    <w:bottom w:val="single" w:sz="4" w:space="0" w:color="auto"/>
                    <w:right w:val="single" w:sz="4" w:space="0" w:color="auto"/>
                  </w:tcBorders>
                  <w:shd w:val="clear" w:color="auto" w:fill="auto"/>
                  <w:noWrap/>
                  <w:vAlign w:val="center"/>
                  <w:hideMark/>
                </w:tcPr>
                <w:p w14:paraId="4770282D" w14:textId="77777777" w:rsidR="004025B9" w:rsidRPr="000E4461" w:rsidRDefault="004025B9" w:rsidP="004025B9">
                  <w:pPr>
                    <w:spacing w:after="0" w:line="240" w:lineRule="auto"/>
                    <w:jc w:val="center"/>
                  </w:pPr>
                  <w:r w:rsidRPr="000E4461">
                    <w:t>246</w:t>
                  </w:r>
                </w:p>
              </w:tc>
              <w:tc>
                <w:tcPr>
                  <w:tcW w:w="1989" w:type="dxa"/>
                  <w:tcBorders>
                    <w:top w:val="nil"/>
                    <w:left w:val="nil"/>
                    <w:bottom w:val="single" w:sz="4" w:space="0" w:color="auto"/>
                    <w:right w:val="single" w:sz="4" w:space="0" w:color="auto"/>
                  </w:tcBorders>
                  <w:shd w:val="clear" w:color="auto" w:fill="auto"/>
                  <w:noWrap/>
                  <w:vAlign w:val="center"/>
                  <w:hideMark/>
                </w:tcPr>
                <w:p w14:paraId="34C22116" w14:textId="77777777" w:rsidR="004025B9" w:rsidRPr="000E4461" w:rsidRDefault="004025B9" w:rsidP="004025B9">
                  <w:pPr>
                    <w:spacing w:after="0" w:line="240" w:lineRule="auto"/>
                    <w:jc w:val="center"/>
                  </w:pPr>
                  <w:r w:rsidRPr="000E4461">
                    <w:t>638</w:t>
                  </w:r>
                </w:p>
              </w:tc>
            </w:tr>
            <w:tr w:rsidR="004025B9" w:rsidRPr="000E4461" w14:paraId="3A222465"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3203940" w14:textId="270BFFED" w:rsidR="004025B9" w:rsidRPr="000E4461" w:rsidRDefault="00507A5D" w:rsidP="004025B9">
                  <w:pPr>
                    <w:spacing w:after="0" w:line="240" w:lineRule="auto"/>
                  </w:pPr>
                  <w:r w:rsidRPr="000E4461">
                    <w:t>Accelerated open procedure</w:t>
                  </w:r>
                </w:p>
              </w:tc>
              <w:tc>
                <w:tcPr>
                  <w:tcW w:w="1559" w:type="dxa"/>
                  <w:tcBorders>
                    <w:top w:val="nil"/>
                    <w:left w:val="nil"/>
                    <w:bottom w:val="single" w:sz="4" w:space="0" w:color="auto"/>
                    <w:right w:val="single" w:sz="4" w:space="0" w:color="auto"/>
                  </w:tcBorders>
                  <w:shd w:val="clear" w:color="auto" w:fill="auto"/>
                  <w:noWrap/>
                  <w:vAlign w:val="center"/>
                  <w:hideMark/>
                </w:tcPr>
                <w:p w14:paraId="76411EF8" w14:textId="77777777" w:rsidR="004025B9" w:rsidRPr="000E4461" w:rsidRDefault="004025B9" w:rsidP="004025B9">
                  <w:pPr>
                    <w:spacing w:after="0" w:line="240" w:lineRule="auto"/>
                    <w:jc w:val="center"/>
                  </w:pPr>
                  <w:r w:rsidRPr="000E4461">
                    <w:t>43</w:t>
                  </w:r>
                </w:p>
              </w:tc>
              <w:tc>
                <w:tcPr>
                  <w:tcW w:w="1989" w:type="dxa"/>
                  <w:tcBorders>
                    <w:top w:val="nil"/>
                    <w:left w:val="nil"/>
                    <w:bottom w:val="single" w:sz="4" w:space="0" w:color="auto"/>
                    <w:right w:val="single" w:sz="4" w:space="0" w:color="auto"/>
                  </w:tcBorders>
                  <w:shd w:val="clear" w:color="auto" w:fill="auto"/>
                  <w:noWrap/>
                  <w:vAlign w:val="center"/>
                  <w:hideMark/>
                </w:tcPr>
                <w:p w14:paraId="3B4DFE50" w14:textId="77777777" w:rsidR="004025B9" w:rsidRPr="000E4461" w:rsidRDefault="004025B9" w:rsidP="004025B9">
                  <w:pPr>
                    <w:spacing w:after="0" w:line="240" w:lineRule="auto"/>
                    <w:jc w:val="center"/>
                  </w:pPr>
                  <w:r w:rsidRPr="000E4461">
                    <w:t>199</w:t>
                  </w:r>
                </w:p>
              </w:tc>
            </w:tr>
            <w:tr w:rsidR="004025B9" w:rsidRPr="000E4461" w14:paraId="1F02F931"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ADB0EA8" w14:textId="140E8EA3" w:rsidR="004025B9" w:rsidRPr="000E4461" w:rsidRDefault="00507A5D" w:rsidP="004025B9">
                  <w:pPr>
                    <w:spacing w:after="0" w:line="240" w:lineRule="auto"/>
                  </w:pPr>
                  <w:r w:rsidRPr="000E4461">
                    <w:t>Accelerated restricted procedure</w:t>
                  </w:r>
                </w:p>
              </w:tc>
              <w:tc>
                <w:tcPr>
                  <w:tcW w:w="1559" w:type="dxa"/>
                  <w:tcBorders>
                    <w:top w:val="nil"/>
                    <w:left w:val="nil"/>
                    <w:bottom w:val="single" w:sz="4" w:space="0" w:color="auto"/>
                    <w:right w:val="single" w:sz="4" w:space="0" w:color="auto"/>
                  </w:tcBorders>
                  <w:shd w:val="clear" w:color="auto" w:fill="auto"/>
                  <w:noWrap/>
                  <w:vAlign w:val="center"/>
                  <w:hideMark/>
                </w:tcPr>
                <w:p w14:paraId="50CE264F" w14:textId="77777777" w:rsidR="004025B9" w:rsidRPr="000E4461" w:rsidRDefault="004025B9" w:rsidP="004025B9">
                  <w:pPr>
                    <w:spacing w:after="0" w:line="240" w:lineRule="auto"/>
                    <w:jc w:val="center"/>
                  </w:pPr>
                  <w:r w:rsidRPr="000E4461">
                    <w:t>1</w:t>
                  </w:r>
                </w:p>
              </w:tc>
              <w:tc>
                <w:tcPr>
                  <w:tcW w:w="1989" w:type="dxa"/>
                  <w:tcBorders>
                    <w:top w:val="nil"/>
                    <w:left w:val="nil"/>
                    <w:bottom w:val="single" w:sz="4" w:space="0" w:color="auto"/>
                    <w:right w:val="single" w:sz="4" w:space="0" w:color="auto"/>
                  </w:tcBorders>
                  <w:shd w:val="clear" w:color="auto" w:fill="auto"/>
                  <w:noWrap/>
                  <w:vAlign w:val="center"/>
                  <w:hideMark/>
                </w:tcPr>
                <w:p w14:paraId="0FA09864" w14:textId="77777777" w:rsidR="004025B9" w:rsidRPr="000E4461" w:rsidRDefault="004025B9" w:rsidP="004025B9">
                  <w:pPr>
                    <w:spacing w:after="0" w:line="240" w:lineRule="auto"/>
                    <w:jc w:val="center"/>
                  </w:pPr>
                  <w:r w:rsidRPr="000E4461">
                    <w:t>3</w:t>
                  </w:r>
                </w:p>
              </w:tc>
            </w:tr>
            <w:tr w:rsidR="004025B9" w:rsidRPr="000E4461" w14:paraId="4F7A9D7C"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01E7D81" w14:textId="570920E0" w:rsidR="004025B9" w:rsidRPr="000E4461" w:rsidRDefault="00507A5D" w:rsidP="004025B9">
                  <w:pPr>
                    <w:spacing w:after="0" w:line="240" w:lineRule="auto"/>
                  </w:pPr>
                  <w:r w:rsidRPr="000E4461">
                    <w:t>Accelerated negotiated procedure</w:t>
                  </w:r>
                </w:p>
              </w:tc>
              <w:tc>
                <w:tcPr>
                  <w:tcW w:w="1559" w:type="dxa"/>
                  <w:tcBorders>
                    <w:top w:val="nil"/>
                    <w:left w:val="nil"/>
                    <w:bottom w:val="single" w:sz="4" w:space="0" w:color="auto"/>
                    <w:right w:val="single" w:sz="4" w:space="0" w:color="auto"/>
                  </w:tcBorders>
                  <w:shd w:val="clear" w:color="auto" w:fill="auto"/>
                  <w:noWrap/>
                  <w:vAlign w:val="center"/>
                  <w:hideMark/>
                </w:tcPr>
                <w:p w14:paraId="3CC19A40" w14:textId="77777777" w:rsidR="004025B9" w:rsidRPr="000E4461" w:rsidRDefault="004025B9" w:rsidP="004025B9">
                  <w:pPr>
                    <w:spacing w:after="0" w:line="240" w:lineRule="auto"/>
                    <w:jc w:val="center"/>
                  </w:pPr>
                  <w:r w:rsidRPr="000E4461">
                    <w:t>3</w:t>
                  </w:r>
                </w:p>
              </w:tc>
              <w:tc>
                <w:tcPr>
                  <w:tcW w:w="1989" w:type="dxa"/>
                  <w:tcBorders>
                    <w:top w:val="nil"/>
                    <w:left w:val="nil"/>
                    <w:bottom w:val="single" w:sz="4" w:space="0" w:color="auto"/>
                    <w:right w:val="single" w:sz="4" w:space="0" w:color="auto"/>
                  </w:tcBorders>
                  <w:shd w:val="clear" w:color="auto" w:fill="auto"/>
                  <w:noWrap/>
                  <w:vAlign w:val="center"/>
                  <w:hideMark/>
                </w:tcPr>
                <w:p w14:paraId="6A4761AA" w14:textId="77777777" w:rsidR="004025B9" w:rsidRPr="000E4461" w:rsidRDefault="004025B9" w:rsidP="004025B9">
                  <w:pPr>
                    <w:spacing w:after="0" w:line="240" w:lineRule="auto"/>
                    <w:jc w:val="center"/>
                  </w:pPr>
                  <w:r w:rsidRPr="000E4461">
                    <w:t>11</w:t>
                  </w:r>
                </w:p>
              </w:tc>
            </w:tr>
            <w:tr w:rsidR="004025B9" w:rsidRPr="000E4461" w14:paraId="7F429E12"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DF87903" w14:textId="3CCF68EE" w:rsidR="004025B9" w:rsidRPr="000E4461" w:rsidRDefault="00507A5D" w:rsidP="004025B9">
                  <w:pPr>
                    <w:spacing w:after="0" w:line="240" w:lineRule="auto"/>
                  </w:pPr>
                  <w:r w:rsidRPr="000E4461">
                    <w:t>Concession</w:t>
                  </w:r>
                </w:p>
              </w:tc>
              <w:tc>
                <w:tcPr>
                  <w:tcW w:w="1559" w:type="dxa"/>
                  <w:tcBorders>
                    <w:top w:val="nil"/>
                    <w:left w:val="nil"/>
                    <w:bottom w:val="single" w:sz="4" w:space="0" w:color="auto"/>
                    <w:right w:val="single" w:sz="4" w:space="0" w:color="auto"/>
                  </w:tcBorders>
                  <w:shd w:val="clear" w:color="auto" w:fill="auto"/>
                  <w:noWrap/>
                  <w:vAlign w:val="center"/>
                  <w:hideMark/>
                </w:tcPr>
                <w:p w14:paraId="30472F33" w14:textId="77777777" w:rsidR="004025B9" w:rsidRPr="000E4461" w:rsidRDefault="004025B9" w:rsidP="004025B9">
                  <w:pPr>
                    <w:spacing w:after="0" w:line="240" w:lineRule="auto"/>
                    <w:jc w:val="center"/>
                  </w:pPr>
                  <w:r w:rsidRPr="000E4461">
                    <w:t>1</w:t>
                  </w:r>
                </w:p>
              </w:tc>
              <w:tc>
                <w:tcPr>
                  <w:tcW w:w="1989" w:type="dxa"/>
                  <w:tcBorders>
                    <w:top w:val="nil"/>
                    <w:left w:val="nil"/>
                    <w:bottom w:val="single" w:sz="4" w:space="0" w:color="auto"/>
                    <w:right w:val="single" w:sz="4" w:space="0" w:color="auto"/>
                  </w:tcBorders>
                  <w:shd w:val="clear" w:color="auto" w:fill="auto"/>
                  <w:noWrap/>
                  <w:vAlign w:val="center"/>
                  <w:hideMark/>
                </w:tcPr>
                <w:p w14:paraId="35EA7977" w14:textId="77777777" w:rsidR="004025B9" w:rsidRPr="000E4461" w:rsidRDefault="004025B9" w:rsidP="004025B9">
                  <w:pPr>
                    <w:spacing w:after="0" w:line="240" w:lineRule="auto"/>
                    <w:jc w:val="center"/>
                  </w:pPr>
                  <w:r w:rsidRPr="000E4461">
                    <w:t>1</w:t>
                  </w:r>
                </w:p>
              </w:tc>
            </w:tr>
            <w:tr w:rsidR="004025B9" w:rsidRPr="000E4461" w14:paraId="7EBC31DF"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9B7228F" w14:textId="4D967684" w:rsidR="004025B9" w:rsidRPr="000E4461" w:rsidRDefault="00507A5D" w:rsidP="004025B9">
                  <w:pPr>
                    <w:spacing w:after="0" w:line="240" w:lineRule="auto"/>
                  </w:pPr>
                  <w:r w:rsidRPr="000E4461">
                    <w:t>Open procedure according to Art. 113 of the PPA</w:t>
                  </w:r>
                </w:p>
              </w:tc>
              <w:tc>
                <w:tcPr>
                  <w:tcW w:w="1559" w:type="dxa"/>
                  <w:tcBorders>
                    <w:top w:val="nil"/>
                    <w:left w:val="nil"/>
                    <w:bottom w:val="single" w:sz="4" w:space="0" w:color="auto"/>
                    <w:right w:val="single" w:sz="4" w:space="0" w:color="auto"/>
                  </w:tcBorders>
                  <w:shd w:val="clear" w:color="auto" w:fill="auto"/>
                  <w:noWrap/>
                  <w:vAlign w:val="center"/>
                  <w:hideMark/>
                </w:tcPr>
                <w:p w14:paraId="41B591C1" w14:textId="77777777" w:rsidR="004025B9" w:rsidRPr="000E4461" w:rsidRDefault="004025B9" w:rsidP="004025B9">
                  <w:pPr>
                    <w:spacing w:after="0" w:line="240" w:lineRule="auto"/>
                    <w:jc w:val="center"/>
                  </w:pPr>
                  <w:r w:rsidRPr="000E4461">
                    <w:t>1 727</w:t>
                  </w:r>
                </w:p>
              </w:tc>
              <w:tc>
                <w:tcPr>
                  <w:tcW w:w="1989" w:type="dxa"/>
                  <w:tcBorders>
                    <w:top w:val="nil"/>
                    <w:left w:val="nil"/>
                    <w:bottom w:val="single" w:sz="4" w:space="0" w:color="auto"/>
                    <w:right w:val="single" w:sz="4" w:space="0" w:color="auto"/>
                  </w:tcBorders>
                  <w:shd w:val="clear" w:color="auto" w:fill="auto"/>
                  <w:noWrap/>
                  <w:vAlign w:val="center"/>
                  <w:hideMark/>
                </w:tcPr>
                <w:p w14:paraId="6DA56FBA" w14:textId="77777777" w:rsidR="004025B9" w:rsidRPr="000E4461" w:rsidRDefault="004025B9" w:rsidP="004025B9">
                  <w:pPr>
                    <w:spacing w:after="0" w:line="240" w:lineRule="auto"/>
                    <w:jc w:val="center"/>
                  </w:pPr>
                  <w:r w:rsidRPr="000E4461">
                    <w:t>22 956</w:t>
                  </w:r>
                </w:p>
              </w:tc>
            </w:tr>
            <w:tr w:rsidR="004025B9" w:rsidRPr="000E4461" w14:paraId="3E300E03"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4D2293B" w14:textId="294FED72" w:rsidR="004025B9" w:rsidRPr="000E4461" w:rsidRDefault="00507A5D" w:rsidP="004025B9">
                  <w:pPr>
                    <w:spacing w:after="0" w:line="240" w:lineRule="auto"/>
                  </w:pPr>
                  <w:r w:rsidRPr="000E4461">
                    <w:t>Restricted procedure according to Art. 113 of the PPA</w:t>
                  </w:r>
                </w:p>
              </w:tc>
              <w:tc>
                <w:tcPr>
                  <w:tcW w:w="1559" w:type="dxa"/>
                  <w:tcBorders>
                    <w:top w:val="nil"/>
                    <w:left w:val="nil"/>
                    <w:bottom w:val="single" w:sz="4" w:space="0" w:color="auto"/>
                    <w:right w:val="single" w:sz="4" w:space="0" w:color="auto"/>
                  </w:tcBorders>
                  <w:shd w:val="clear" w:color="auto" w:fill="auto"/>
                  <w:noWrap/>
                  <w:vAlign w:val="center"/>
                  <w:hideMark/>
                </w:tcPr>
                <w:p w14:paraId="5D848197" w14:textId="77777777" w:rsidR="004025B9" w:rsidRPr="000E4461" w:rsidRDefault="004025B9" w:rsidP="004025B9">
                  <w:pPr>
                    <w:spacing w:after="0" w:line="240" w:lineRule="auto"/>
                    <w:jc w:val="center"/>
                  </w:pPr>
                  <w:r w:rsidRPr="000E4461">
                    <w:t>25</w:t>
                  </w:r>
                </w:p>
              </w:tc>
              <w:tc>
                <w:tcPr>
                  <w:tcW w:w="1989" w:type="dxa"/>
                  <w:tcBorders>
                    <w:top w:val="nil"/>
                    <w:left w:val="nil"/>
                    <w:bottom w:val="single" w:sz="4" w:space="0" w:color="auto"/>
                    <w:right w:val="single" w:sz="4" w:space="0" w:color="auto"/>
                  </w:tcBorders>
                  <w:shd w:val="clear" w:color="auto" w:fill="auto"/>
                  <w:noWrap/>
                  <w:vAlign w:val="center"/>
                  <w:hideMark/>
                </w:tcPr>
                <w:p w14:paraId="3F6C70CC" w14:textId="77777777" w:rsidR="004025B9" w:rsidRPr="000E4461" w:rsidRDefault="004025B9" w:rsidP="004025B9">
                  <w:pPr>
                    <w:spacing w:after="0" w:line="240" w:lineRule="auto"/>
                    <w:jc w:val="center"/>
                  </w:pPr>
                  <w:r w:rsidRPr="000E4461">
                    <w:t>163</w:t>
                  </w:r>
                </w:p>
              </w:tc>
            </w:tr>
            <w:tr w:rsidR="004025B9" w:rsidRPr="000E4461" w14:paraId="2FDD6A74"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4966301" w14:textId="44004525" w:rsidR="004025B9" w:rsidRPr="000E4461" w:rsidRDefault="00507A5D" w:rsidP="004025B9">
                  <w:pPr>
                    <w:spacing w:after="0" w:line="240" w:lineRule="auto"/>
                  </w:pPr>
                  <w:r w:rsidRPr="000E4461">
                    <w:t>Negotiated procedure according to Art. 113 of the PPA</w:t>
                  </w:r>
                </w:p>
              </w:tc>
              <w:tc>
                <w:tcPr>
                  <w:tcW w:w="1559" w:type="dxa"/>
                  <w:tcBorders>
                    <w:top w:val="nil"/>
                    <w:left w:val="nil"/>
                    <w:bottom w:val="single" w:sz="4" w:space="0" w:color="auto"/>
                    <w:right w:val="single" w:sz="4" w:space="0" w:color="auto"/>
                  </w:tcBorders>
                  <w:shd w:val="clear" w:color="auto" w:fill="auto"/>
                  <w:noWrap/>
                  <w:vAlign w:val="center"/>
                  <w:hideMark/>
                </w:tcPr>
                <w:p w14:paraId="2860F601" w14:textId="77777777" w:rsidR="004025B9" w:rsidRPr="000E4461" w:rsidRDefault="004025B9" w:rsidP="004025B9">
                  <w:pPr>
                    <w:spacing w:after="0" w:line="240" w:lineRule="auto"/>
                    <w:jc w:val="center"/>
                  </w:pPr>
                  <w:r w:rsidRPr="000E4461">
                    <w:t>69</w:t>
                  </w:r>
                </w:p>
              </w:tc>
              <w:tc>
                <w:tcPr>
                  <w:tcW w:w="1989" w:type="dxa"/>
                  <w:tcBorders>
                    <w:top w:val="nil"/>
                    <w:left w:val="nil"/>
                    <w:bottom w:val="single" w:sz="4" w:space="0" w:color="auto"/>
                    <w:right w:val="single" w:sz="4" w:space="0" w:color="auto"/>
                  </w:tcBorders>
                  <w:shd w:val="clear" w:color="auto" w:fill="auto"/>
                  <w:noWrap/>
                  <w:vAlign w:val="center"/>
                  <w:hideMark/>
                </w:tcPr>
                <w:p w14:paraId="2ACA59A2" w14:textId="77777777" w:rsidR="004025B9" w:rsidRPr="000E4461" w:rsidRDefault="004025B9" w:rsidP="004025B9">
                  <w:pPr>
                    <w:spacing w:after="0" w:line="240" w:lineRule="auto"/>
                    <w:jc w:val="center"/>
                  </w:pPr>
                  <w:r w:rsidRPr="000E4461">
                    <w:t>233</w:t>
                  </w:r>
                </w:p>
              </w:tc>
            </w:tr>
            <w:tr w:rsidR="004025B9" w:rsidRPr="000E4461" w14:paraId="12DD69DB"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C49AC5F" w14:textId="2BCB1A57" w:rsidR="004025B9" w:rsidRPr="000E4461" w:rsidRDefault="00507A5D" w:rsidP="004025B9">
                  <w:pPr>
                    <w:spacing w:after="0" w:line="240" w:lineRule="auto"/>
                  </w:pPr>
                  <w:r w:rsidRPr="000E4461">
                    <w:t>Open procedure according to Art. 115 of the PPA</w:t>
                  </w:r>
                </w:p>
              </w:tc>
              <w:tc>
                <w:tcPr>
                  <w:tcW w:w="1559" w:type="dxa"/>
                  <w:tcBorders>
                    <w:top w:val="nil"/>
                    <w:left w:val="nil"/>
                    <w:bottom w:val="single" w:sz="4" w:space="0" w:color="auto"/>
                    <w:right w:val="single" w:sz="4" w:space="0" w:color="auto"/>
                  </w:tcBorders>
                  <w:shd w:val="clear" w:color="auto" w:fill="auto"/>
                  <w:noWrap/>
                  <w:vAlign w:val="center"/>
                  <w:hideMark/>
                </w:tcPr>
                <w:p w14:paraId="11669640" w14:textId="77777777" w:rsidR="004025B9" w:rsidRPr="000E4461" w:rsidRDefault="004025B9" w:rsidP="004025B9">
                  <w:pPr>
                    <w:spacing w:after="0" w:line="240" w:lineRule="auto"/>
                    <w:jc w:val="center"/>
                  </w:pPr>
                  <w:r w:rsidRPr="000E4461">
                    <w:t>3 375</w:t>
                  </w:r>
                </w:p>
              </w:tc>
              <w:tc>
                <w:tcPr>
                  <w:tcW w:w="1989" w:type="dxa"/>
                  <w:tcBorders>
                    <w:top w:val="nil"/>
                    <w:left w:val="nil"/>
                    <w:bottom w:val="single" w:sz="4" w:space="0" w:color="auto"/>
                    <w:right w:val="single" w:sz="4" w:space="0" w:color="auto"/>
                  </w:tcBorders>
                  <w:shd w:val="clear" w:color="auto" w:fill="auto"/>
                  <w:noWrap/>
                  <w:vAlign w:val="center"/>
                  <w:hideMark/>
                </w:tcPr>
                <w:p w14:paraId="279ED1A5" w14:textId="77777777" w:rsidR="004025B9" w:rsidRPr="000E4461" w:rsidRDefault="004025B9" w:rsidP="004025B9">
                  <w:pPr>
                    <w:spacing w:after="0" w:line="240" w:lineRule="auto"/>
                    <w:jc w:val="center"/>
                  </w:pPr>
                  <w:r w:rsidRPr="000E4461">
                    <w:t>15 313</w:t>
                  </w:r>
                </w:p>
              </w:tc>
            </w:tr>
            <w:tr w:rsidR="004025B9" w:rsidRPr="000E4461" w14:paraId="76B97B10"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332B1E7" w14:textId="3974230A" w:rsidR="004025B9" w:rsidRPr="000E4461" w:rsidRDefault="00507A5D" w:rsidP="004025B9">
                  <w:pPr>
                    <w:spacing w:after="0" w:line="240" w:lineRule="auto"/>
                  </w:pPr>
                  <w:r w:rsidRPr="000E4461">
                    <w:t>Negotiated procedures without prior publication of a contract notice according to Art. 115 of the PPA</w:t>
                  </w:r>
                </w:p>
              </w:tc>
              <w:tc>
                <w:tcPr>
                  <w:tcW w:w="1559" w:type="dxa"/>
                  <w:tcBorders>
                    <w:top w:val="nil"/>
                    <w:left w:val="nil"/>
                    <w:bottom w:val="single" w:sz="4" w:space="0" w:color="auto"/>
                    <w:right w:val="single" w:sz="4" w:space="0" w:color="auto"/>
                  </w:tcBorders>
                  <w:shd w:val="clear" w:color="auto" w:fill="auto"/>
                  <w:noWrap/>
                  <w:vAlign w:val="center"/>
                  <w:hideMark/>
                </w:tcPr>
                <w:p w14:paraId="5ADFBF5C" w14:textId="77777777" w:rsidR="004025B9" w:rsidRPr="000E4461" w:rsidRDefault="004025B9" w:rsidP="004025B9">
                  <w:pPr>
                    <w:spacing w:after="0" w:line="240" w:lineRule="auto"/>
                    <w:jc w:val="center"/>
                  </w:pPr>
                  <w:r w:rsidRPr="000E4461">
                    <w:t>340</w:t>
                  </w:r>
                </w:p>
              </w:tc>
              <w:tc>
                <w:tcPr>
                  <w:tcW w:w="1989" w:type="dxa"/>
                  <w:tcBorders>
                    <w:top w:val="nil"/>
                    <w:left w:val="nil"/>
                    <w:bottom w:val="single" w:sz="4" w:space="0" w:color="auto"/>
                    <w:right w:val="single" w:sz="4" w:space="0" w:color="auto"/>
                  </w:tcBorders>
                  <w:shd w:val="clear" w:color="auto" w:fill="auto"/>
                  <w:noWrap/>
                  <w:vAlign w:val="center"/>
                  <w:hideMark/>
                </w:tcPr>
                <w:p w14:paraId="54BD2175" w14:textId="77777777" w:rsidR="004025B9" w:rsidRPr="000E4461" w:rsidRDefault="004025B9" w:rsidP="004025B9">
                  <w:pPr>
                    <w:spacing w:after="0" w:line="240" w:lineRule="auto"/>
                    <w:jc w:val="center"/>
                  </w:pPr>
                  <w:r w:rsidRPr="000E4461">
                    <w:t>1 450</w:t>
                  </w:r>
                </w:p>
              </w:tc>
            </w:tr>
            <w:tr w:rsidR="004025B9" w:rsidRPr="000E4461" w14:paraId="0E7ED413" w14:textId="77777777" w:rsidTr="00792976">
              <w:trPr>
                <w:trHeight w:val="270"/>
                <w:jc w:val="center"/>
              </w:trPr>
              <w:tc>
                <w:tcPr>
                  <w:tcW w:w="552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4B314CA" w14:textId="4ACD216F" w:rsidR="004025B9" w:rsidRPr="000E4461" w:rsidRDefault="00507A5D" w:rsidP="004025B9">
                  <w:pPr>
                    <w:spacing w:after="0" w:line="240" w:lineRule="auto"/>
                  </w:pPr>
                  <w:r w:rsidRPr="000E4461">
                    <w:t>Procedure based on Art. 117 of the PPA</w:t>
                  </w:r>
                </w:p>
              </w:tc>
              <w:tc>
                <w:tcPr>
                  <w:tcW w:w="1559" w:type="dxa"/>
                  <w:tcBorders>
                    <w:top w:val="nil"/>
                    <w:left w:val="nil"/>
                    <w:bottom w:val="single" w:sz="4" w:space="0" w:color="auto"/>
                    <w:right w:val="single" w:sz="4" w:space="0" w:color="auto"/>
                  </w:tcBorders>
                  <w:shd w:val="clear" w:color="auto" w:fill="auto"/>
                  <w:noWrap/>
                  <w:vAlign w:val="center"/>
                  <w:hideMark/>
                </w:tcPr>
                <w:p w14:paraId="25316C84" w14:textId="77777777" w:rsidR="004025B9" w:rsidRPr="000E4461" w:rsidRDefault="004025B9" w:rsidP="004025B9">
                  <w:pPr>
                    <w:spacing w:after="0" w:line="240" w:lineRule="auto"/>
                    <w:jc w:val="center"/>
                  </w:pPr>
                  <w:r w:rsidRPr="000E4461">
                    <w:t>130</w:t>
                  </w:r>
                </w:p>
              </w:tc>
              <w:tc>
                <w:tcPr>
                  <w:tcW w:w="1989" w:type="dxa"/>
                  <w:tcBorders>
                    <w:top w:val="nil"/>
                    <w:left w:val="nil"/>
                    <w:bottom w:val="single" w:sz="4" w:space="0" w:color="auto"/>
                    <w:right w:val="single" w:sz="4" w:space="0" w:color="auto"/>
                  </w:tcBorders>
                  <w:shd w:val="clear" w:color="auto" w:fill="auto"/>
                  <w:noWrap/>
                  <w:vAlign w:val="center"/>
                  <w:hideMark/>
                </w:tcPr>
                <w:p w14:paraId="741CC357" w14:textId="77777777" w:rsidR="004025B9" w:rsidRPr="000E4461" w:rsidRDefault="004025B9" w:rsidP="004025B9">
                  <w:pPr>
                    <w:spacing w:after="0" w:line="240" w:lineRule="auto"/>
                    <w:jc w:val="center"/>
                  </w:pPr>
                  <w:r w:rsidRPr="000E4461">
                    <w:t>707</w:t>
                  </w:r>
                </w:p>
              </w:tc>
            </w:tr>
            <w:tr w:rsidR="004025B9" w:rsidRPr="000E4461" w14:paraId="083A6C3F" w14:textId="77777777" w:rsidTr="00792976">
              <w:trPr>
                <w:trHeight w:val="285"/>
                <w:jc w:val="center"/>
              </w:trPr>
              <w:tc>
                <w:tcPr>
                  <w:tcW w:w="5524" w:type="dxa"/>
                  <w:tcBorders>
                    <w:top w:val="single" w:sz="4" w:space="0" w:color="auto"/>
                    <w:left w:val="single" w:sz="4" w:space="0" w:color="auto"/>
                    <w:bottom w:val="double" w:sz="6" w:space="0" w:color="auto"/>
                    <w:right w:val="single" w:sz="4" w:space="0" w:color="auto"/>
                  </w:tcBorders>
                  <w:shd w:val="clear" w:color="auto" w:fill="C6D9F1" w:themeFill="text2" w:themeFillTint="33"/>
                  <w:noWrap/>
                  <w:vAlign w:val="center"/>
                  <w:hideMark/>
                </w:tcPr>
                <w:p w14:paraId="329A8CEF" w14:textId="681413B7" w:rsidR="004025B9" w:rsidRPr="000E4461" w:rsidRDefault="00507A5D" w:rsidP="004025B9">
                  <w:pPr>
                    <w:spacing w:after="0" w:line="240" w:lineRule="auto"/>
                  </w:pPr>
                  <w:r w:rsidRPr="000E4461">
                    <w:t>Procedure based on Art. 122/A  of the PPA</w:t>
                  </w:r>
                </w:p>
              </w:tc>
              <w:tc>
                <w:tcPr>
                  <w:tcW w:w="1559" w:type="dxa"/>
                  <w:tcBorders>
                    <w:top w:val="nil"/>
                    <w:left w:val="nil"/>
                    <w:bottom w:val="double" w:sz="6" w:space="0" w:color="auto"/>
                    <w:right w:val="single" w:sz="4" w:space="0" w:color="auto"/>
                  </w:tcBorders>
                  <w:shd w:val="clear" w:color="auto" w:fill="auto"/>
                  <w:noWrap/>
                  <w:vAlign w:val="center"/>
                  <w:hideMark/>
                </w:tcPr>
                <w:p w14:paraId="6E1D70DB" w14:textId="77777777" w:rsidR="004025B9" w:rsidRPr="000E4461" w:rsidRDefault="004025B9" w:rsidP="004025B9">
                  <w:pPr>
                    <w:spacing w:after="0" w:line="240" w:lineRule="auto"/>
                    <w:jc w:val="center"/>
                  </w:pPr>
                  <w:r w:rsidRPr="000E4461">
                    <w:t>13</w:t>
                  </w:r>
                </w:p>
              </w:tc>
              <w:tc>
                <w:tcPr>
                  <w:tcW w:w="1989" w:type="dxa"/>
                  <w:tcBorders>
                    <w:top w:val="nil"/>
                    <w:left w:val="nil"/>
                    <w:bottom w:val="double" w:sz="6" w:space="0" w:color="auto"/>
                    <w:right w:val="single" w:sz="4" w:space="0" w:color="auto"/>
                  </w:tcBorders>
                  <w:shd w:val="clear" w:color="auto" w:fill="auto"/>
                  <w:noWrap/>
                  <w:vAlign w:val="center"/>
                  <w:hideMark/>
                </w:tcPr>
                <w:p w14:paraId="7A7F7F0F" w14:textId="77777777" w:rsidR="004025B9" w:rsidRPr="000E4461" w:rsidRDefault="004025B9" w:rsidP="004025B9">
                  <w:pPr>
                    <w:spacing w:after="0" w:line="240" w:lineRule="auto"/>
                    <w:jc w:val="center"/>
                  </w:pPr>
                  <w:r w:rsidRPr="000E4461">
                    <w:t>27</w:t>
                  </w:r>
                </w:p>
              </w:tc>
            </w:tr>
            <w:tr w:rsidR="004025B9" w:rsidRPr="000E4461" w14:paraId="79C80978" w14:textId="77777777" w:rsidTr="00792976">
              <w:trPr>
                <w:trHeight w:val="315"/>
                <w:jc w:val="center"/>
              </w:trPr>
              <w:tc>
                <w:tcPr>
                  <w:tcW w:w="5524" w:type="dxa"/>
                  <w:tcBorders>
                    <w:top w:val="double" w:sz="6"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45761DC" w14:textId="6443559A" w:rsidR="004025B9" w:rsidRPr="000E4461" w:rsidRDefault="00507A5D" w:rsidP="004025B9">
                  <w:pPr>
                    <w:spacing w:after="0" w:line="240" w:lineRule="auto"/>
                    <w:rPr>
                      <w:b/>
                    </w:rPr>
                  </w:pPr>
                  <w:r w:rsidRPr="000E4461">
                    <w:rPr>
                      <w:b/>
                    </w:rPr>
                    <w:t>Total</w:t>
                  </w:r>
                </w:p>
              </w:tc>
              <w:tc>
                <w:tcPr>
                  <w:tcW w:w="1559" w:type="dxa"/>
                  <w:tcBorders>
                    <w:top w:val="nil"/>
                    <w:left w:val="nil"/>
                    <w:bottom w:val="single" w:sz="4" w:space="0" w:color="auto"/>
                    <w:right w:val="single" w:sz="4" w:space="0" w:color="auto"/>
                  </w:tcBorders>
                  <w:shd w:val="clear" w:color="auto" w:fill="auto"/>
                  <w:noWrap/>
                  <w:vAlign w:val="center"/>
                  <w:hideMark/>
                </w:tcPr>
                <w:p w14:paraId="67521EDE" w14:textId="77777777" w:rsidR="004025B9" w:rsidRPr="000E4461" w:rsidRDefault="004025B9" w:rsidP="004025B9">
                  <w:pPr>
                    <w:spacing w:after="0" w:line="240" w:lineRule="auto"/>
                    <w:jc w:val="center"/>
                  </w:pPr>
                  <w:r w:rsidRPr="000E4461">
                    <w:t>7 276</w:t>
                  </w:r>
                </w:p>
              </w:tc>
              <w:tc>
                <w:tcPr>
                  <w:tcW w:w="1989" w:type="dxa"/>
                  <w:tcBorders>
                    <w:top w:val="nil"/>
                    <w:left w:val="nil"/>
                    <w:bottom w:val="single" w:sz="4" w:space="0" w:color="auto"/>
                    <w:right w:val="single" w:sz="4" w:space="0" w:color="auto"/>
                  </w:tcBorders>
                  <w:shd w:val="clear" w:color="auto" w:fill="auto"/>
                  <w:noWrap/>
                  <w:vAlign w:val="center"/>
                  <w:hideMark/>
                </w:tcPr>
                <w:p w14:paraId="547724B5" w14:textId="77777777" w:rsidR="004025B9" w:rsidRPr="000E4461" w:rsidRDefault="004025B9" w:rsidP="004025B9">
                  <w:pPr>
                    <w:spacing w:after="0" w:line="240" w:lineRule="auto"/>
                    <w:jc w:val="center"/>
                  </w:pPr>
                  <w:r w:rsidRPr="000E4461">
                    <w:t>58 862</w:t>
                  </w:r>
                </w:p>
              </w:tc>
            </w:tr>
          </w:tbl>
          <w:p w14:paraId="49BBF729" w14:textId="77777777" w:rsidR="004025B9" w:rsidRPr="000E4461" w:rsidRDefault="004025B9" w:rsidP="00493D2D">
            <w:pPr>
              <w:jc w:val="both"/>
            </w:pPr>
          </w:p>
          <w:p w14:paraId="4B4EA6EA" w14:textId="040DF6D8" w:rsidR="00721E6D" w:rsidRPr="000E4461" w:rsidRDefault="00144FBD" w:rsidP="00DC189A">
            <w:pPr>
              <w:pStyle w:val="Cmsor2"/>
              <w:outlineLvl w:val="1"/>
            </w:pPr>
            <w:r w:rsidRPr="000E4461">
              <w:lastRenderedPageBreak/>
              <w:t>The number and value of public procurement procedures</w:t>
            </w:r>
            <w:r w:rsidR="00721E6D" w:rsidRPr="000E4461">
              <w:t xml:space="preserve"> won by SMEs</w:t>
            </w:r>
          </w:p>
          <w:p w14:paraId="50C557DA" w14:textId="77777777" w:rsidR="006916D5" w:rsidRPr="000E4461" w:rsidRDefault="006916D5" w:rsidP="006916D5"/>
          <w:tbl>
            <w:tblPr>
              <w:tblW w:w="8752" w:type="dxa"/>
              <w:jc w:val="center"/>
              <w:tblCellMar>
                <w:left w:w="70" w:type="dxa"/>
                <w:right w:w="70" w:type="dxa"/>
              </w:tblCellMar>
              <w:tblLook w:val="04A0" w:firstRow="1" w:lastRow="0" w:firstColumn="1" w:lastColumn="0" w:noHBand="0" w:noVBand="1"/>
            </w:tblPr>
            <w:tblGrid>
              <w:gridCol w:w="985"/>
              <w:gridCol w:w="1417"/>
              <w:gridCol w:w="2694"/>
              <w:gridCol w:w="1322"/>
              <w:gridCol w:w="2334"/>
            </w:tblGrid>
            <w:tr w:rsidR="006916D5" w:rsidRPr="000E4461" w14:paraId="235658AB" w14:textId="77777777" w:rsidTr="00D0091F">
              <w:trPr>
                <w:trHeight w:val="1215"/>
                <w:jc w:val="center"/>
              </w:trPr>
              <w:tc>
                <w:tcPr>
                  <w:tcW w:w="985" w:type="dxa"/>
                  <w:tcBorders>
                    <w:top w:val="single" w:sz="4" w:space="0" w:color="auto"/>
                    <w:left w:val="single" w:sz="4" w:space="0" w:color="auto"/>
                    <w:bottom w:val="double" w:sz="6" w:space="0" w:color="auto"/>
                    <w:right w:val="single" w:sz="4" w:space="0" w:color="auto"/>
                  </w:tcBorders>
                  <w:shd w:val="clear" w:color="auto" w:fill="548DD4" w:themeFill="text2" w:themeFillTint="99"/>
                  <w:noWrap/>
                  <w:vAlign w:val="center"/>
                  <w:hideMark/>
                </w:tcPr>
                <w:p w14:paraId="3DC832FE" w14:textId="017E8737" w:rsidR="006916D5" w:rsidRPr="000E4461" w:rsidRDefault="002E69E4" w:rsidP="00B143D9">
                  <w:pPr>
                    <w:rPr>
                      <w:b/>
                    </w:rPr>
                  </w:pPr>
                  <w:r w:rsidRPr="000E4461">
                    <w:rPr>
                      <w:b/>
                    </w:rPr>
                    <w:t>Regime</w:t>
                  </w:r>
                </w:p>
              </w:tc>
              <w:tc>
                <w:tcPr>
                  <w:tcW w:w="1417"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44590A39" w14:textId="141A70EB" w:rsidR="006916D5" w:rsidRPr="000E4461" w:rsidRDefault="002E69E4" w:rsidP="00B143D9">
                  <w:pPr>
                    <w:jc w:val="center"/>
                    <w:rPr>
                      <w:b/>
                    </w:rPr>
                  </w:pPr>
                  <w:r w:rsidRPr="000E4461">
                    <w:rPr>
                      <w:b/>
                    </w:rPr>
                    <w:t>Number of procedures</w:t>
                  </w:r>
                  <w:r w:rsidR="00522A0F" w:rsidRPr="000E4461">
                    <w:rPr>
                      <w:b/>
                    </w:rPr>
                    <w:t xml:space="preserve"> won by SMEs in the given regime</w:t>
                  </w:r>
                </w:p>
              </w:tc>
              <w:tc>
                <w:tcPr>
                  <w:tcW w:w="2694"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26E9FF48" w14:textId="556AB033" w:rsidR="006916D5" w:rsidRPr="000E4461" w:rsidRDefault="0082096C" w:rsidP="0082096C">
                  <w:pPr>
                    <w:spacing w:after="0"/>
                    <w:jc w:val="center"/>
                    <w:rPr>
                      <w:b/>
                    </w:rPr>
                  </w:pPr>
                  <w:r w:rsidRPr="000E4461">
                    <w:rPr>
                      <w:b/>
                    </w:rPr>
                    <w:t>Proportion</w:t>
                  </w:r>
                  <w:r w:rsidR="00522D41" w:rsidRPr="000E4461">
                    <w:rPr>
                      <w:b/>
                    </w:rPr>
                    <w:t xml:space="preserve"> of procedures won by SMEs </w:t>
                  </w:r>
                  <w:r w:rsidR="006916D5" w:rsidRPr="000E4461">
                    <w:rPr>
                      <w:b/>
                    </w:rPr>
                    <w:br/>
                    <w:t>(%</w:t>
                  </w:r>
                  <w:r w:rsidR="00522A0F" w:rsidRPr="000E4461">
                    <w:rPr>
                      <w:b/>
                    </w:rPr>
                    <w:t xml:space="preserve"> - compared to the total number of procedures in the given regime</w:t>
                  </w:r>
                  <w:r w:rsidR="006916D5" w:rsidRPr="000E4461">
                    <w:rPr>
                      <w:b/>
                    </w:rPr>
                    <w:t>)</w:t>
                  </w:r>
                </w:p>
              </w:tc>
              <w:tc>
                <w:tcPr>
                  <w:tcW w:w="1322"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79F32713" w14:textId="209BABD0" w:rsidR="006916D5" w:rsidRPr="000E4461" w:rsidRDefault="00086D9A" w:rsidP="00B143D9">
                  <w:pPr>
                    <w:jc w:val="center"/>
                    <w:rPr>
                      <w:b/>
                    </w:rPr>
                  </w:pPr>
                  <w:r w:rsidRPr="000E4461">
                    <w:rPr>
                      <w:b/>
                    </w:rPr>
                    <w:t>Value of procedures</w:t>
                  </w:r>
                  <w:r w:rsidR="006916D5" w:rsidRPr="000E4461">
                    <w:rPr>
                      <w:b/>
                    </w:rPr>
                    <w:t xml:space="preserve"> </w:t>
                  </w:r>
                  <w:r w:rsidRPr="000E4461">
                    <w:rPr>
                      <w:b/>
                    </w:rPr>
                    <w:t xml:space="preserve">(HUF </w:t>
                  </w:r>
                  <w:proofErr w:type="spellStart"/>
                  <w:r w:rsidRPr="000E4461">
                    <w:rPr>
                      <w:b/>
                    </w:rPr>
                    <w:t>bn</w:t>
                  </w:r>
                  <w:proofErr w:type="spellEnd"/>
                  <w:r w:rsidRPr="000E4461">
                    <w:rPr>
                      <w:b/>
                    </w:rPr>
                    <w:t>)</w:t>
                  </w:r>
                </w:p>
              </w:tc>
              <w:tc>
                <w:tcPr>
                  <w:tcW w:w="2334"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002EED68" w14:textId="78F683A5" w:rsidR="006916D5" w:rsidRPr="000E4461" w:rsidRDefault="0082096C" w:rsidP="0082096C">
                  <w:pPr>
                    <w:spacing w:after="0"/>
                    <w:jc w:val="center"/>
                    <w:rPr>
                      <w:b/>
                    </w:rPr>
                  </w:pPr>
                  <w:r w:rsidRPr="000E4461">
                    <w:rPr>
                      <w:b/>
                    </w:rPr>
                    <w:t>Value of procedures won by SMEs</w:t>
                  </w:r>
                  <w:r w:rsidR="006916D5" w:rsidRPr="000E4461">
                    <w:rPr>
                      <w:b/>
                    </w:rPr>
                    <w:br/>
                    <w:t>(%</w:t>
                  </w:r>
                  <w:r w:rsidR="00522A0F" w:rsidRPr="000E4461">
                    <w:rPr>
                      <w:b/>
                    </w:rPr>
                    <w:t xml:space="preserve"> - compared to the total value of procedures in the given regime</w:t>
                  </w:r>
                  <w:r w:rsidR="006916D5" w:rsidRPr="000E4461">
                    <w:rPr>
                      <w:b/>
                    </w:rPr>
                    <w:t>)</w:t>
                  </w:r>
                </w:p>
              </w:tc>
            </w:tr>
            <w:tr w:rsidR="006916D5" w:rsidRPr="000E4461" w14:paraId="61A693A3" w14:textId="77777777" w:rsidTr="00D0091F">
              <w:trPr>
                <w:trHeight w:val="285"/>
                <w:jc w:val="center"/>
              </w:trPr>
              <w:tc>
                <w:tcPr>
                  <w:tcW w:w="985" w:type="dxa"/>
                  <w:tcBorders>
                    <w:top w:val="double" w:sz="6"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2946034" w14:textId="03772357" w:rsidR="006916D5" w:rsidRPr="000E4461" w:rsidRDefault="002E69E4" w:rsidP="00B143D9">
                  <w:r w:rsidRPr="000E4461">
                    <w:t>EU</w:t>
                  </w:r>
                </w:p>
              </w:tc>
              <w:tc>
                <w:tcPr>
                  <w:tcW w:w="1417" w:type="dxa"/>
                  <w:tcBorders>
                    <w:top w:val="nil"/>
                    <w:left w:val="nil"/>
                    <w:bottom w:val="single" w:sz="4" w:space="0" w:color="auto"/>
                    <w:right w:val="single" w:sz="4" w:space="0" w:color="auto"/>
                  </w:tcBorders>
                  <w:shd w:val="clear" w:color="auto" w:fill="auto"/>
                  <w:noWrap/>
                  <w:vAlign w:val="center"/>
                  <w:hideMark/>
                </w:tcPr>
                <w:p w14:paraId="513B8913" w14:textId="77777777" w:rsidR="006916D5" w:rsidRPr="000E4461" w:rsidRDefault="006916D5" w:rsidP="00B143D9">
                  <w:pPr>
                    <w:jc w:val="center"/>
                  </w:pPr>
                  <w:r w:rsidRPr="000E4461">
                    <w:t>1 295</w:t>
                  </w:r>
                </w:p>
              </w:tc>
              <w:tc>
                <w:tcPr>
                  <w:tcW w:w="2694" w:type="dxa"/>
                  <w:tcBorders>
                    <w:top w:val="nil"/>
                    <w:left w:val="nil"/>
                    <w:bottom w:val="single" w:sz="4" w:space="0" w:color="auto"/>
                    <w:right w:val="single" w:sz="4" w:space="0" w:color="auto"/>
                  </w:tcBorders>
                  <w:shd w:val="clear" w:color="auto" w:fill="auto"/>
                  <w:noWrap/>
                  <w:vAlign w:val="center"/>
                  <w:hideMark/>
                </w:tcPr>
                <w:p w14:paraId="7406841A" w14:textId="7F6B5B4A" w:rsidR="006916D5" w:rsidRPr="000E4461" w:rsidRDefault="00522A0F" w:rsidP="00B143D9">
                  <w:pPr>
                    <w:jc w:val="center"/>
                  </w:pPr>
                  <w:r w:rsidRPr="000E4461">
                    <w:t>65,9</w:t>
                  </w:r>
                  <w:r w:rsidR="006916D5" w:rsidRPr="000E4461">
                    <w:t>0%</w:t>
                  </w:r>
                </w:p>
              </w:tc>
              <w:tc>
                <w:tcPr>
                  <w:tcW w:w="1322" w:type="dxa"/>
                  <w:tcBorders>
                    <w:top w:val="nil"/>
                    <w:left w:val="nil"/>
                    <w:bottom w:val="single" w:sz="4" w:space="0" w:color="auto"/>
                    <w:right w:val="single" w:sz="4" w:space="0" w:color="auto"/>
                  </w:tcBorders>
                  <w:shd w:val="clear" w:color="auto" w:fill="auto"/>
                  <w:noWrap/>
                  <w:vAlign w:val="center"/>
                  <w:hideMark/>
                </w:tcPr>
                <w:p w14:paraId="3906D05B" w14:textId="77777777" w:rsidR="006916D5" w:rsidRPr="000E4461" w:rsidRDefault="006916D5" w:rsidP="00B143D9">
                  <w:pPr>
                    <w:jc w:val="center"/>
                  </w:pPr>
                  <w:r w:rsidRPr="000E4461">
                    <w:t>965,28</w:t>
                  </w:r>
                </w:p>
              </w:tc>
              <w:tc>
                <w:tcPr>
                  <w:tcW w:w="2334" w:type="dxa"/>
                  <w:tcBorders>
                    <w:top w:val="nil"/>
                    <w:left w:val="nil"/>
                    <w:bottom w:val="single" w:sz="4" w:space="0" w:color="auto"/>
                    <w:right w:val="single" w:sz="4" w:space="0" w:color="auto"/>
                  </w:tcBorders>
                  <w:shd w:val="clear" w:color="auto" w:fill="auto"/>
                  <w:noWrap/>
                  <w:vAlign w:val="center"/>
                  <w:hideMark/>
                </w:tcPr>
                <w:p w14:paraId="55741716" w14:textId="3B92087E" w:rsidR="006916D5" w:rsidRPr="000E4461" w:rsidRDefault="00522A0F" w:rsidP="00B143D9">
                  <w:pPr>
                    <w:jc w:val="center"/>
                  </w:pPr>
                  <w:r w:rsidRPr="000E4461">
                    <w:t>31,52</w:t>
                  </w:r>
                  <w:r w:rsidR="006916D5" w:rsidRPr="000E4461">
                    <w:t>%</w:t>
                  </w:r>
                </w:p>
              </w:tc>
            </w:tr>
            <w:tr w:rsidR="006916D5" w:rsidRPr="000E4461" w14:paraId="55C413D0" w14:textId="77777777" w:rsidTr="00D0091F">
              <w:trPr>
                <w:trHeight w:val="285"/>
                <w:jc w:val="center"/>
              </w:trPr>
              <w:tc>
                <w:tcPr>
                  <w:tcW w:w="985" w:type="dxa"/>
                  <w:tcBorders>
                    <w:top w:val="nil"/>
                    <w:left w:val="single" w:sz="4" w:space="0" w:color="auto"/>
                    <w:bottom w:val="double" w:sz="6" w:space="0" w:color="auto"/>
                    <w:right w:val="single" w:sz="4" w:space="0" w:color="auto"/>
                  </w:tcBorders>
                  <w:shd w:val="clear" w:color="auto" w:fill="C6D9F1" w:themeFill="text2" w:themeFillTint="33"/>
                  <w:noWrap/>
                  <w:vAlign w:val="center"/>
                  <w:hideMark/>
                </w:tcPr>
                <w:p w14:paraId="4E7ABC97" w14:textId="360818AC" w:rsidR="006916D5" w:rsidRPr="000E4461" w:rsidRDefault="002E69E4" w:rsidP="00B143D9">
                  <w:r w:rsidRPr="000E4461">
                    <w:t>National</w:t>
                  </w:r>
                </w:p>
              </w:tc>
              <w:tc>
                <w:tcPr>
                  <w:tcW w:w="1417" w:type="dxa"/>
                  <w:tcBorders>
                    <w:top w:val="nil"/>
                    <w:left w:val="nil"/>
                    <w:bottom w:val="double" w:sz="6" w:space="0" w:color="auto"/>
                    <w:right w:val="single" w:sz="4" w:space="0" w:color="auto"/>
                  </w:tcBorders>
                  <w:shd w:val="clear" w:color="auto" w:fill="auto"/>
                  <w:noWrap/>
                  <w:vAlign w:val="center"/>
                  <w:hideMark/>
                </w:tcPr>
                <w:p w14:paraId="55A1C7AB" w14:textId="77777777" w:rsidR="006916D5" w:rsidRPr="000E4461" w:rsidRDefault="006916D5" w:rsidP="00B143D9">
                  <w:pPr>
                    <w:jc w:val="center"/>
                  </w:pPr>
                  <w:r w:rsidRPr="000E4461">
                    <w:t>5 981</w:t>
                  </w:r>
                </w:p>
              </w:tc>
              <w:tc>
                <w:tcPr>
                  <w:tcW w:w="2694" w:type="dxa"/>
                  <w:tcBorders>
                    <w:top w:val="nil"/>
                    <w:left w:val="nil"/>
                    <w:bottom w:val="double" w:sz="6" w:space="0" w:color="auto"/>
                    <w:right w:val="single" w:sz="4" w:space="0" w:color="auto"/>
                  </w:tcBorders>
                  <w:shd w:val="clear" w:color="auto" w:fill="auto"/>
                  <w:noWrap/>
                  <w:vAlign w:val="center"/>
                  <w:hideMark/>
                </w:tcPr>
                <w:p w14:paraId="3A75CAA8" w14:textId="51E839A0" w:rsidR="006916D5" w:rsidRPr="000E4461" w:rsidRDefault="00522A0F" w:rsidP="00B143D9">
                  <w:pPr>
                    <w:jc w:val="center"/>
                  </w:pPr>
                  <w:r w:rsidRPr="000E4461">
                    <w:t>87,36</w:t>
                  </w:r>
                  <w:r w:rsidR="006916D5" w:rsidRPr="000E4461">
                    <w:t>%</w:t>
                  </w:r>
                </w:p>
              </w:tc>
              <w:tc>
                <w:tcPr>
                  <w:tcW w:w="1322" w:type="dxa"/>
                  <w:tcBorders>
                    <w:top w:val="nil"/>
                    <w:left w:val="nil"/>
                    <w:bottom w:val="double" w:sz="6" w:space="0" w:color="auto"/>
                    <w:right w:val="single" w:sz="4" w:space="0" w:color="auto"/>
                  </w:tcBorders>
                  <w:shd w:val="clear" w:color="auto" w:fill="auto"/>
                  <w:noWrap/>
                  <w:vAlign w:val="center"/>
                  <w:hideMark/>
                </w:tcPr>
                <w:p w14:paraId="53EC5936" w14:textId="77777777" w:rsidR="006916D5" w:rsidRPr="000E4461" w:rsidRDefault="006916D5" w:rsidP="00B143D9">
                  <w:pPr>
                    <w:jc w:val="center"/>
                  </w:pPr>
                  <w:r w:rsidRPr="000E4461">
                    <w:t>493,69</w:t>
                  </w:r>
                </w:p>
              </w:tc>
              <w:tc>
                <w:tcPr>
                  <w:tcW w:w="2334" w:type="dxa"/>
                  <w:tcBorders>
                    <w:top w:val="nil"/>
                    <w:left w:val="nil"/>
                    <w:bottom w:val="double" w:sz="6" w:space="0" w:color="auto"/>
                    <w:right w:val="single" w:sz="4" w:space="0" w:color="auto"/>
                  </w:tcBorders>
                  <w:shd w:val="clear" w:color="auto" w:fill="auto"/>
                  <w:noWrap/>
                  <w:vAlign w:val="center"/>
                  <w:hideMark/>
                </w:tcPr>
                <w:p w14:paraId="2D273FB7" w14:textId="2907D0D7" w:rsidR="006916D5" w:rsidRPr="000E4461" w:rsidRDefault="00522A0F" w:rsidP="00B143D9">
                  <w:pPr>
                    <w:jc w:val="center"/>
                  </w:pPr>
                  <w:r w:rsidRPr="000E4461">
                    <w:t>86,86</w:t>
                  </w:r>
                  <w:r w:rsidR="006916D5" w:rsidRPr="000E4461">
                    <w:t>%</w:t>
                  </w:r>
                </w:p>
              </w:tc>
            </w:tr>
            <w:tr w:rsidR="006916D5" w:rsidRPr="000E4461" w14:paraId="40E444ED" w14:textId="77777777" w:rsidTr="00D0091F">
              <w:trPr>
                <w:trHeight w:val="315"/>
                <w:jc w:val="center"/>
              </w:trPr>
              <w:tc>
                <w:tcPr>
                  <w:tcW w:w="985"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E390593" w14:textId="7C31261F" w:rsidR="006916D5" w:rsidRPr="000E4461" w:rsidRDefault="002E69E4" w:rsidP="00B143D9">
                  <w:pPr>
                    <w:rPr>
                      <w:b/>
                    </w:rPr>
                  </w:pPr>
                  <w:r w:rsidRPr="000E4461">
                    <w:rPr>
                      <w:b/>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4C97D1A3" w14:textId="77777777" w:rsidR="006916D5" w:rsidRPr="000E4461" w:rsidRDefault="006916D5" w:rsidP="00B143D9">
                  <w:pPr>
                    <w:jc w:val="center"/>
                  </w:pPr>
                  <w:r w:rsidRPr="000E4461">
                    <w:t>7 276</w:t>
                  </w:r>
                </w:p>
              </w:tc>
              <w:tc>
                <w:tcPr>
                  <w:tcW w:w="2694" w:type="dxa"/>
                  <w:tcBorders>
                    <w:top w:val="nil"/>
                    <w:left w:val="nil"/>
                    <w:bottom w:val="single" w:sz="4" w:space="0" w:color="auto"/>
                    <w:right w:val="single" w:sz="4" w:space="0" w:color="auto"/>
                  </w:tcBorders>
                  <w:shd w:val="clear" w:color="auto" w:fill="auto"/>
                  <w:noWrap/>
                  <w:vAlign w:val="center"/>
                  <w:hideMark/>
                </w:tcPr>
                <w:p w14:paraId="77523001" w14:textId="77777777" w:rsidR="006916D5" w:rsidRPr="000E4461" w:rsidRDefault="006916D5" w:rsidP="00B143D9">
                  <w:pPr>
                    <w:jc w:val="center"/>
                  </w:pPr>
                  <w:r w:rsidRPr="000E4461">
                    <w:t>82,58%</w:t>
                  </w:r>
                </w:p>
              </w:tc>
              <w:tc>
                <w:tcPr>
                  <w:tcW w:w="1322" w:type="dxa"/>
                  <w:tcBorders>
                    <w:top w:val="nil"/>
                    <w:left w:val="nil"/>
                    <w:bottom w:val="single" w:sz="4" w:space="0" w:color="auto"/>
                    <w:right w:val="single" w:sz="4" w:space="0" w:color="auto"/>
                  </w:tcBorders>
                  <w:shd w:val="clear" w:color="auto" w:fill="auto"/>
                  <w:noWrap/>
                  <w:vAlign w:val="center"/>
                  <w:hideMark/>
                </w:tcPr>
                <w:p w14:paraId="270895BE" w14:textId="77777777" w:rsidR="006916D5" w:rsidRPr="000E4461" w:rsidRDefault="006916D5" w:rsidP="00B143D9">
                  <w:pPr>
                    <w:jc w:val="center"/>
                  </w:pPr>
                  <w:r w:rsidRPr="000E4461">
                    <w:t>1 458,97</w:t>
                  </w:r>
                </w:p>
              </w:tc>
              <w:tc>
                <w:tcPr>
                  <w:tcW w:w="2334" w:type="dxa"/>
                  <w:tcBorders>
                    <w:top w:val="nil"/>
                    <w:left w:val="nil"/>
                    <w:bottom w:val="single" w:sz="4" w:space="0" w:color="auto"/>
                    <w:right w:val="single" w:sz="4" w:space="0" w:color="auto"/>
                  </w:tcBorders>
                  <w:shd w:val="clear" w:color="auto" w:fill="auto"/>
                  <w:noWrap/>
                  <w:vAlign w:val="center"/>
                  <w:hideMark/>
                </w:tcPr>
                <w:p w14:paraId="0F656BC6" w14:textId="77777777" w:rsidR="006916D5" w:rsidRPr="000E4461" w:rsidRDefault="006916D5" w:rsidP="00B143D9">
                  <w:pPr>
                    <w:jc w:val="center"/>
                  </w:pPr>
                  <w:r w:rsidRPr="000E4461">
                    <w:t>40,19%</w:t>
                  </w:r>
                </w:p>
              </w:tc>
            </w:tr>
          </w:tbl>
          <w:p w14:paraId="5313BF42" w14:textId="164562D4" w:rsidR="006916D5" w:rsidRPr="000E4461" w:rsidRDefault="006916D5" w:rsidP="00493D2D">
            <w:pPr>
              <w:jc w:val="both"/>
            </w:pPr>
          </w:p>
        </w:tc>
      </w:tr>
    </w:tbl>
    <w:p w14:paraId="6D3C66B4" w14:textId="77777777" w:rsidR="001F44D7" w:rsidRPr="000E4461" w:rsidRDefault="001F44D7" w:rsidP="00DC189A">
      <w:pPr>
        <w:pStyle w:val="Cmsor2"/>
      </w:pPr>
    </w:p>
    <w:p w14:paraId="34AB7F4C" w14:textId="0158810F" w:rsidR="00123723" w:rsidRDefault="001F44D7" w:rsidP="00DC189A">
      <w:pPr>
        <w:pStyle w:val="Cmsor2"/>
      </w:pPr>
      <w:r w:rsidRPr="000E4461">
        <w:t xml:space="preserve">V. </w:t>
      </w:r>
      <w:r w:rsidR="00C554EC" w:rsidRPr="000E4461">
        <w:t>Information on the practical implementation of national strategic procurement</w:t>
      </w:r>
    </w:p>
    <w:p w14:paraId="34C87A22" w14:textId="77777777" w:rsidR="00DC189A" w:rsidRPr="00DC189A" w:rsidRDefault="00DC189A" w:rsidP="00DC189A">
      <w:pPr>
        <w:pStyle w:val="Nincstrkz"/>
      </w:pPr>
    </w:p>
    <w:tbl>
      <w:tblPr>
        <w:tblStyle w:val="Rcsostblzat"/>
        <w:tblW w:w="5000" w:type="pct"/>
        <w:tblLook w:val="04A0" w:firstRow="1" w:lastRow="0" w:firstColumn="1" w:lastColumn="0" w:noHBand="0" w:noVBand="1"/>
      </w:tblPr>
      <w:tblGrid>
        <w:gridCol w:w="3906"/>
        <w:gridCol w:w="10314"/>
      </w:tblGrid>
      <w:tr w:rsidR="00994F58" w:rsidRPr="000E4461" w14:paraId="5B6BBFBA" w14:textId="77777777" w:rsidTr="005F0ADF">
        <w:tc>
          <w:tcPr>
            <w:tcW w:w="1648" w:type="pct"/>
          </w:tcPr>
          <w:p w14:paraId="5C6C3770" w14:textId="7B220A08" w:rsidR="00994F58" w:rsidRPr="000E4461" w:rsidRDefault="00994F58" w:rsidP="005F0ADF">
            <w:pPr>
              <w:pStyle w:val="Cmsor3"/>
              <w:outlineLvl w:val="2"/>
            </w:pPr>
            <w:r w:rsidRPr="000E4461">
              <w:t>V.1 Green procurement ('GPP')</w:t>
            </w:r>
          </w:p>
        </w:tc>
        <w:tc>
          <w:tcPr>
            <w:tcW w:w="3352" w:type="pct"/>
          </w:tcPr>
          <w:p w14:paraId="08912DD3" w14:textId="77777777" w:rsidR="00733150" w:rsidRPr="000E4461" w:rsidRDefault="00733150" w:rsidP="005F0ADF">
            <w:pPr>
              <w:jc w:val="both"/>
            </w:pPr>
          </w:p>
          <w:p w14:paraId="2C6FCCB7" w14:textId="19412F26" w:rsidR="00306865" w:rsidRPr="000E4461" w:rsidRDefault="00C216C7" w:rsidP="00306865">
            <w:pPr>
              <w:jc w:val="both"/>
            </w:pPr>
            <w:r w:rsidRPr="000E4461">
              <w:t xml:space="preserve">One of the main goals of the </w:t>
            </w:r>
            <w:r w:rsidR="00306865" w:rsidRPr="000E4461">
              <w:t xml:space="preserve">new </w:t>
            </w:r>
            <w:r w:rsidR="00E62B61" w:rsidRPr="000E4461">
              <w:t>p</w:t>
            </w:r>
            <w:r w:rsidR="00306865" w:rsidRPr="000E4461">
              <w:t xml:space="preserve">ublic </w:t>
            </w:r>
            <w:r w:rsidR="00E62B61" w:rsidRPr="000E4461">
              <w:t>p</w:t>
            </w:r>
            <w:r w:rsidR="00306865" w:rsidRPr="000E4461">
              <w:t xml:space="preserve">rocurement Directives </w:t>
            </w:r>
            <w:r w:rsidRPr="000E4461">
              <w:t xml:space="preserve">is to </w:t>
            </w:r>
            <w:r w:rsidR="00306865" w:rsidRPr="000E4461">
              <w:t xml:space="preserve">enhance and make the </w:t>
            </w:r>
            <w:r w:rsidRPr="000E4461">
              <w:t xml:space="preserve">application of </w:t>
            </w:r>
            <w:r w:rsidR="00306865" w:rsidRPr="000E4461">
              <w:t>green public procurement tools</w:t>
            </w:r>
            <w:r w:rsidR="00212FCE" w:rsidRPr="000E4461">
              <w:t xml:space="preserve"> more flexible</w:t>
            </w:r>
            <w:r w:rsidR="00306865" w:rsidRPr="000E4461">
              <w:t xml:space="preserve">. </w:t>
            </w:r>
            <w:r w:rsidR="00E45FCC" w:rsidRPr="000E4461">
              <w:t xml:space="preserve">In order to be in line with the Directives the PPA contains </w:t>
            </w:r>
            <w:r w:rsidR="00570AD2" w:rsidRPr="000E4461">
              <w:t>numerous</w:t>
            </w:r>
            <w:r w:rsidR="00E45FCC" w:rsidRPr="000E4461">
              <w:t xml:space="preserve"> provisions to enhance the use of green criteria in public procurement procedures. The PPA </w:t>
            </w:r>
            <w:r w:rsidR="00306865" w:rsidRPr="000E4461">
              <w:t xml:space="preserve">provides contracting authorities the opportunity to take environmental considerations into account in their public procurement procedures for example </w:t>
            </w:r>
            <w:r w:rsidR="000268CC" w:rsidRPr="000E4461">
              <w:t xml:space="preserve">as </w:t>
            </w:r>
            <w:r w:rsidR="00306865" w:rsidRPr="000E4461">
              <w:t xml:space="preserve">contractual terms, assessment criteria, </w:t>
            </w:r>
            <w:r w:rsidR="0043235F" w:rsidRPr="000E4461">
              <w:t>among</w:t>
            </w:r>
            <w:r w:rsidR="00306865" w:rsidRPr="000E4461">
              <w:t xml:space="preserve"> technical specifications or eligibility criteria and exclusion grounds.</w:t>
            </w:r>
          </w:p>
          <w:p w14:paraId="23732479" w14:textId="01CC74C5" w:rsidR="00C6781E" w:rsidRPr="000E4461" w:rsidRDefault="00C6781E" w:rsidP="00306865">
            <w:pPr>
              <w:jc w:val="both"/>
            </w:pPr>
          </w:p>
          <w:p w14:paraId="10C1A0A9" w14:textId="351D405B" w:rsidR="00306865" w:rsidRPr="000E4461" w:rsidRDefault="00306865" w:rsidP="00306865">
            <w:pPr>
              <w:jc w:val="both"/>
            </w:pPr>
            <w:r w:rsidRPr="000E4461">
              <w:t xml:space="preserve">Furthermore </w:t>
            </w:r>
            <w:r w:rsidR="00AB44EA" w:rsidRPr="000E4461">
              <w:t xml:space="preserve">the activity of </w:t>
            </w:r>
            <w:r w:rsidRPr="000E4461">
              <w:t xml:space="preserve">the Public Procurement Authority </w:t>
            </w:r>
            <w:r w:rsidR="00570AD2" w:rsidRPr="000E4461">
              <w:t xml:space="preserve">should be highlighted </w:t>
            </w:r>
            <w:r w:rsidR="00AB44EA" w:rsidRPr="000E4461">
              <w:t xml:space="preserve">which </w:t>
            </w:r>
            <w:r w:rsidRPr="000E4461">
              <w:t>has continuously followed the latest information connected to sustainable procurement in order to highlight the importance of green, social and innovative aspects and provide adequate information to all affected by public procurement. For these purpose</w:t>
            </w:r>
            <w:r w:rsidR="000268CC" w:rsidRPr="000E4461">
              <w:t>s</w:t>
            </w:r>
            <w:r w:rsidRPr="000E4461">
              <w:t xml:space="preserve"> the Public Procurement Authority actively takes part in </w:t>
            </w:r>
            <w:r w:rsidR="00102C18" w:rsidRPr="000E4461">
              <w:t>promoting</w:t>
            </w:r>
            <w:r w:rsidRPr="000E4461">
              <w:t xml:space="preserve"> of sustainability aspects by publishing relevant, up-to-date information on its website, making statistics, and guidelines in cooperation with the Prime Minister’s Office and by organising conferences.</w:t>
            </w:r>
          </w:p>
          <w:p w14:paraId="3E97AA44" w14:textId="12F3CDDA" w:rsidR="00733150" w:rsidRPr="000E4461" w:rsidRDefault="00733150" w:rsidP="000268CC">
            <w:pPr>
              <w:jc w:val="both"/>
            </w:pPr>
          </w:p>
        </w:tc>
      </w:tr>
      <w:tr w:rsidR="005F0ADF" w:rsidRPr="000E4461" w14:paraId="19FBB54C" w14:textId="77777777" w:rsidTr="00994F58">
        <w:trPr>
          <w:trHeight w:val="324"/>
        </w:trPr>
        <w:tc>
          <w:tcPr>
            <w:tcW w:w="1648" w:type="pct"/>
          </w:tcPr>
          <w:p w14:paraId="3DF76B1B" w14:textId="2DD2EA66" w:rsidR="005F0ADF" w:rsidRPr="000E4461" w:rsidRDefault="00F13DA8" w:rsidP="005F0ADF">
            <w:pPr>
              <w:pStyle w:val="Cmsor3"/>
              <w:outlineLvl w:val="2"/>
            </w:pPr>
            <w:r w:rsidRPr="000E4461">
              <w:lastRenderedPageBreak/>
              <w:t>V</w:t>
            </w:r>
            <w:r w:rsidR="005F0ADF" w:rsidRPr="000E4461">
              <w:t>.1.</w:t>
            </w:r>
            <w:r w:rsidR="00994F58" w:rsidRPr="000E4461">
              <w:t>1</w:t>
            </w:r>
            <w:r w:rsidR="005F0ADF" w:rsidRPr="000E4461">
              <w:t xml:space="preserve"> </w:t>
            </w:r>
            <w:r w:rsidR="00C96DD0" w:rsidRPr="000E4461">
              <w:t>Qualitative reporting</w:t>
            </w:r>
            <w:r w:rsidR="00C96DD0" w:rsidRPr="000E4461">
              <w:rPr>
                <w:b w:val="0"/>
              </w:rPr>
              <w:t xml:space="preserve"> </w:t>
            </w:r>
          </w:p>
        </w:tc>
        <w:tc>
          <w:tcPr>
            <w:tcW w:w="3352" w:type="pct"/>
          </w:tcPr>
          <w:p w14:paraId="57D4CE50" w14:textId="77777777" w:rsidR="005F0ADF" w:rsidRPr="000E4461" w:rsidRDefault="005F0ADF" w:rsidP="005F0ADF">
            <w:pPr>
              <w:jc w:val="both"/>
            </w:pPr>
          </w:p>
        </w:tc>
      </w:tr>
      <w:tr w:rsidR="005F0ADF" w:rsidRPr="000E4461" w14:paraId="05B5832A" w14:textId="77777777" w:rsidTr="005F0ADF">
        <w:tc>
          <w:tcPr>
            <w:tcW w:w="1648" w:type="pct"/>
          </w:tcPr>
          <w:p w14:paraId="6866DD1A" w14:textId="7E7A9B98" w:rsidR="005F0ADF" w:rsidRPr="000E4461" w:rsidRDefault="005F0ADF" w:rsidP="008E2CAD">
            <w:r w:rsidRPr="000E4461">
              <w:t>Key challenges encountered</w:t>
            </w:r>
          </w:p>
        </w:tc>
        <w:tc>
          <w:tcPr>
            <w:tcW w:w="3352" w:type="pct"/>
          </w:tcPr>
          <w:p w14:paraId="78CAED72" w14:textId="77777777" w:rsidR="00C12A14" w:rsidRPr="000E4461" w:rsidRDefault="00C12A14" w:rsidP="00C12A14">
            <w:pPr>
              <w:jc w:val="both"/>
            </w:pPr>
          </w:p>
          <w:p w14:paraId="5A9E4B24" w14:textId="16095BB8" w:rsidR="00C12A14" w:rsidRPr="000E4461" w:rsidRDefault="00C12A14" w:rsidP="000B7D1E">
            <w:pPr>
              <w:jc w:val="both"/>
            </w:pPr>
            <w:r w:rsidRPr="000E4461">
              <w:t xml:space="preserve">On measures to overcome </w:t>
            </w:r>
            <w:r w:rsidR="000B7D1E" w:rsidRPr="000E4461">
              <w:t>challenges in promoting</w:t>
            </w:r>
            <w:r w:rsidR="00202B87" w:rsidRPr="000E4461">
              <w:t xml:space="preserve"> all </w:t>
            </w:r>
            <w:r w:rsidR="00142D6B" w:rsidRPr="000E4461">
              <w:t xml:space="preserve">the </w:t>
            </w:r>
            <w:r w:rsidR="00202B87" w:rsidRPr="000E4461">
              <w:t xml:space="preserve">three fields of strategic procurement, </w:t>
            </w:r>
            <w:r w:rsidRPr="000E4461">
              <w:t xml:space="preserve">please see point V.3.1. </w:t>
            </w:r>
          </w:p>
        </w:tc>
      </w:tr>
      <w:tr w:rsidR="005F0ADF" w:rsidRPr="000E4461" w14:paraId="70A73762" w14:textId="77777777" w:rsidTr="005F0ADF">
        <w:tc>
          <w:tcPr>
            <w:tcW w:w="1648" w:type="pct"/>
          </w:tcPr>
          <w:p w14:paraId="1F75A8FE" w14:textId="756A27F1" w:rsidR="005F0ADF" w:rsidRPr="000E4461" w:rsidRDefault="00D5004D" w:rsidP="005F0ADF">
            <w:pPr>
              <w:pStyle w:val="Cmsor3"/>
              <w:outlineLvl w:val="2"/>
            </w:pPr>
            <w:r w:rsidRPr="000E4461">
              <w:t>V</w:t>
            </w:r>
            <w:r w:rsidR="005F0ADF" w:rsidRPr="000E4461">
              <w:t xml:space="preserve">.1.2. </w:t>
            </w:r>
            <w:r w:rsidR="0037143F" w:rsidRPr="000E4461">
              <w:t>Supporting documents</w:t>
            </w:r>
          </w:p>
        </w:tc>
        <w:tc>
          <w:tcPr>
            <w:tcW w:w="3352" w:type="pct"/>
          </w:tcPr>
          <w:p w14:paraId="7FE0DDBA" w14:textId="77777777" w:rsidR="005F0ADF" w:rsidRPr="000E4461" w:rsidRDefault="005F0ADF" w:rsidP="005F0ADF">
            <w:pPr>
              <w:rPr>
                <w:i/>
              </w:rPr>
            </w:pPr>
          </w:p>
        </w:tc>
      </w:tr>
      <w:tr w:rsidR="005F0ADF" w:rsidRPr="000E4461" w14:paraId="0FD36345" w14:textId="77777777" w:rsidTr="005F0ADF">
        <w:tc>
          <w:tcPr>
            <w:tcW w:w="1648" w:type="pct"/>
          </w:tcPr>
          <w:p w14:paraId="5A048C62" w14:textId="048B32BA" w:rsidR="005F0ADF" w:rsidRPr="000E4461" w:rsidRDefault="005F0ADF" w:rsidP="0037143F">
            <w:pPr>
              <w:pStyle w:val="Cmsor3"/>
              <w:outlineLvl w:val="2"/>
              <w:rPr>
                <w:b w:val="0"/>
              </w:rPr>
            </w:pPr>
            <w:r w:rsidRPr="000E4461">
              <w:rPr>
                <w:b w:val="0"/>
              </w:rPr>
              <w:t xml:space="preserve">Please report any available evidence or supporting document </w:t>
            </w:r>
            <w:r w:rsidR="006753EC" w:rsidRPr="000E4461">
              <w:rPr>
                <w:b w:val="0"/>
              </w:rPr>
              <w:t xml:space="preserve">for point </w:t>
            </w:r>
            <w:r w:rsidR="00426F49" w:rsidRPr="000E4461">
              <w:rPr>
                <w:b w:val="0"/>
              </w:rPr>
              <w:t>V</w:t>
            </w:r>
            <w:r w:rsidR="006753EC" w:rsidRPr="000E4461">
              <w:rPr>
                <w:b w:val="0"/>
              </w:rPr>
              <w:t xml:space="preserve">.1, </w:t>
            </w:r>
            <w:r w:rsidRPr="000E4461">
              <w:rPr>
                <w:b w:val="0"/>
              </w:rPr>
              <w:t xml:space="preserve">illustrating the measures, achievements or challenges faced, relating to the </w:t>
            </w:r>
            <w:r w:rsidR="00C96DD0" w:rsidRPr="000E4461">
              <w:rPr>
                <w:b w:val="0"/>
              </w:rPr>
              <w:t>promotion</w:t>
            </w:r>
            <w:r w:rsidRPr="000E4461">
              <w:rPr>
                <w:b w:val="0"/>
              </w:rPr>
              <w:t xml:space="preserve"> of </w:t>
            </w:r>
            <w:r w:rsidR="003236CE" w:rsidRPr="000E4461">
              <w:rPr>
                <w:b w:val="0"/>
              </w:rPr>
              <w:t>green public</w:t>
            </w:r>
            <w:r w:rsidRPr="000E4461">
              <w:rPr>
                <w:b w:val="0"/>
              </w:rPr>
              <w:t xml:space="preserve"> procurement. </w:t>
            </w:r>
          </w:p>
        </w:tc>
        <w:tc>
          <w:tcPr>
            <w:tcW w:w="3352" w:type="pct"/>
          </w:tcPr>
          <w:p w14:paraId="7B8A6716" w14:textId="4DCCD886" w:rsidR="005F0ADF" w:rsidRPr="000E4461" w:rsidRDefault="005F0ADF" w:rsidP="005F0ADF">
            <w:pPr>
              <w:jc w:val="both"/>
              <w:rPr>
                <w:i/>
              </w:rPr>
            </w:pPr>
            <w:r w:rsidRPr="000E4461">
              <w:rPr>
                <w:i/>
              </w:rPr>
              <w:t>Possible relevant (non-exhaustive) documents for consideration may be as follows</w:t>
            </w:r>
            <w:r w:rsidR="00CB736C" w:rsidRPr="000E4461">
              <w:rPr>
                <w:i/>
              </w:rPr>
              <w:t xml:space="preserve"> (please provide a link to the document, and if possible, a summary of the document in English, if the document is in another language)</w:t>
            </w:r>
            <w:r w:rsidRPr="000E4461">
              <w:rPr>
                <w:i/>
              </w:rPr>
              <w:t>:</w:t>
            </w:r>
          </w:p>
          <w:p w14:paraId="2113F7F6" w14:textId="77777777" w:rsidR="00306865" w:rsidRPr="000E4461" w:rsidRDefault="00306865" w:rsidP="00306865">
            <w:pPr>
              <w:jc w:val="both"/>
              <w:rPr>
                <w:i/>
              </w:rPr>
            </w:pPr>
          </w:p>
          <w:p w14:paraId="161C6A6B" w14:textId="7088B7BC" w:rsidR="00306865" w:rsidRPr="000E4461" w:rsidRDefault="00306865" w:rsidP="00306865">
            <w:pPr>
              <w:jc w:val="both"/>
              <w:rPr>
                <w:b/>
              </w:rPr>
            </w:pPr>
            <w:r w:rsidRPr="000E4461">
              <w:rPr>
                <w:b/>
              </w:rPr>
              <w:t>Legal background</w:t>
            </w:r>
            <w:r w:rsidR="000268CC" w:rsidRPr="000E4461">
              <w:rPr>
                <w:b/>
              </w:rPr>
              <w:t>:</w:t>
            </w:r>
          </w:p>
          <w:p w14:paraId="7B2D8A32" w14:textId="77777777" w:rsidR="00FB3536" w:rsidRPr="000E4461" w:rsidRDefault="00FB3536" w:rsidP="00306865">
            <w:pPr>
              <w:jc w:val="both"/>
              <w:rPr>
                <w:lang w:val="hu-HU"/>
              </w:rPr>
            </w:pPr>
          </w:p>
          <w:p w14:paraId="19483D12" w14:textId="799771EB" w:rsidR="000268CC" w:rsidRPr="000E4461" w:rsidRDefault="000268CC" w:rsidP="000268CC">
            <w:pPr>
              <w:jc w:val="both"/>
            </w:pPr>
            <w:r w:rsidRPr="000E4461">
              <w:t>The PPA states that as a primary rule, contracting authorities shall – where applicable, using social, environmental, or other aspects – choose the most economically advantageous tender, by using a cost-effectiveness approach, or best price-quality ratio as contract award criteria instead of the lowest price (Art. 76-78</w:t>
            </w:r>
            <w:r w:rsidR="00AB7C56" w:rsidRPr="000E4461">
              <w:t xml:space="preserve"> of the PPA</w:t>
            </w:r>
            <w:r w:rsidRPr="000E4461">
              <w:t>).</w:t>
            </w:r>
          </w:p>
          <w:p w14:paraId="47FD97FD" w14:textId="77777777" w:rsidR="000268CC" w:rsidRPr="000E4461" w:rsidRDefault="000268CC" w:rsidP="000268CC">
            <w:pPr>
              <w:jc w:val="both"/>
            </w:pPr>
          </w:p>
          <w:p w14:paraId="035BA8F2" w14:textId="7E11EF10" w:rsidR="000268CC" w:rsidRPr="000E4461" w:rsidRDefault="000268CC" w:rsidP="000268CC">
            <w:pPr>
              <w:jc w:val="both"/>
            </w:pPr>
            <w:r w:rsidRPr="000E4461">
              <w:t>Beside</w:t>
            </w:r>
            <w:r w:rsidR="001A6AA7" w:rsidRPr="000E4461">
              <w:t>s</w:t>
            </w:r>
            <w:r w:rsidRPr="000E4461">
              <w:t xml:space="preserve"> the requirement of the best price-quality ratio the PPA contains further rules connected to the application of green, social and quality aspects in public procurement procedures among </w:t>
            </w:r>
            <w:r w:rsidR="00F43E13" w:rsidRPr="000E4461">
              <w:t>which</w:t>
            </w:r>
            <w:r w:rsidRPr="000E4461">
              <w:t xml:space="preserve"> the following measures shall be highlighted:</w:t>
            </w:r>
          </w:p>
          <w:p w14:paraId="66BCA5F1" w14:textId="77777777" w:rsidR="000268CC" w:rsidRPr="000E4461" w:rsidRDefault="000268CC" w:rsidP="000268CC">
            <w:pPr>
              <w:jc w:val="both"/>
            </w:pPr>
          </w:p>
          <w:p w14:paraId="5E279343" w14:textId="2A31F13F" w:rsidR="00686B77" w:rsidRPr="000E4461" w:rsidRDefault="00686B77" w:rsidP="00500037">
            <w:pPr>
              <w:pStyle w:val="Listaszerbekezds"/>
              <w:numPr>
                <w:ilvl w:val="0"/>
                <w:numId w:val="21"/>
              </w:numPr>
              <w:ind w:left="416" w:hanging="283"/>
              <w:jc w:val="both"/>
              <w:rPr>
                <w:b/>
                <w:u w:val="single"/>
              </w:rPr>
            </w:pPr>
            <w:r w:rsidRPr="000E4461">
              <w:rPr>
                <w:b/>
                <w:u w:val="single"/>
              </w:rPr>
              <w:t>Application of green aspects:</w:t>
            </w:r>
          </w:p>
          <w:p w14:paraId="2F494D94" w14:textId="77777777" w:rsidR="00686B77" w:rsidRPr="000E4461" w:rsidRDefault="00686B77" w:rsidP="000268CC">
            <w:pPr>
              <w:jc w:val="both"/>
            </w:pPr>
          </w:p>
          <w:p w14:paraId="6E6CF160" w14:textId="39B266BD" w:rsidR="000268CC" w:rsidRPr="000E4461" w:rsidRDefault="000268CC" w:rsidP="00500037">
            <w:pPr>
              <w:numPr>
                <w:ilvl w:val="0"/>
                <w:numId w:val="27"/>
              </w:numPr>
              <w:jc w:val="both"/>
            </w:pPr>
            <w:r w:rsidRPr="000E4461">
              <w:rPr>
                <w:i/>
              </w:rPr>
              <w:t>The preparation of public procurement procedures:</w:t>
            </w:r>
            <w:r w:rsidRPr="000E4461">
              <w:t xml:space="preserve"> the contracting authority shall aim to high-quality execution during the preparation of the public procurement procedure with special attention to the subject of the procurement, the protection of the environment, sustainability and prevention of contractual amendments concerning the subject of the procurement [Art. 28 (1)</w:t>
            </w:r>
            <w:r w:rsidR="00FD5C60" w:rsidRPr="000E4461">
              <w:t xml:space="preserve"> of the PPA</w:t>
            </w:r>
            <w:r w:rsidRPr="000E4461">
              <w:t>].</w:t>
            </w:r>
          </w:p>
          <w:p w14:paraId="4BDAE0B9" w14:textId="77777777" w:rsidR="002729CD" w:rsidRPr="000E4461" w:rsidRDefault="002729CD" w:rsidP="002729CD">
            <w:pPr>
              <w:ind w:left="720"/>
              <w:jc w:val="both"/>
            </w:pPr>
          </w:p>
          <w:p w14:paraId="6474E92F" w14:textId="0C1C2FF0" w:rsidR="000268CC" w:rsidRPr="000E4461" w:rsidRDefault="000268CC" w:rsidP="00500037">
            <w:pPr>
              <w:numPr>
                <w:ilvl w:val="0"/>
                <w:numId w:val="27"/>
              </w:numPr>
              <w:jc w:val="both"/>
            </w:pPr>
            <w:r w:rsidRPr="000E4461">
              <w:rPr>
                <w:i/>
              </w:rPr>
              <w:t>Technical specifications &amp; labels</w:t>
            </w:r>
            <w:r w:rsidRPr="000E4461">
              <w:t>: [Art. 59 (1)</w:t>
            </w:r>
            <w:r w:rsidR="007443C1" w:rsidRPr="000E4461">
              <w:t xml:space="preserve"> of the PPA</w:t>
            </w:r>
            <w:r w:rsidRPr="000E4461">
              <w:t>] Where contracting authorities intend to purchase works, supplies or services with specific environmental, social or other characteristics or intend to take those characteristics into account during the evaluation, they may - in the technical specifications, the contract performance conditions or the award criteria - require a specific label, provided that all of the following conditions are fulfilled:</w:t>
            </w:r>
          </w:p>
          <w:p w14:paraId="74228CE8" w14:textId="77777777" w:rsidR="000268CC" w:rsidRPr="000E4461" w:rsidRDefault="000268CC" w:rsidP="00500037">
            <w:pPr>
              <w:numPr>
                <w:ilvl w:val="0"/>
                <w:numId w:val="9"/>
              </w:numPr>
              <w:jc w:val="both"/>
            </w:pPr>
            <w:r w:rsidRPr="000E4461">
              <w:t xml:space="preserve">the label requirements only concern criteria which are linked to the subject of the contract </w:t>
            </w:r>
            <w:r w:rsidRPr="000E4461">
              <w:lastRenderedPageBreak/>
              <w:t>and are appropriate to define characteristics of the subject of the contract;</w:t>
            </w:r>
          </w:p>
          <w:p w14:paraId="6C84A281" w14:textId="77777777" w:rsidR="000268CC" w:rsidRPr="000E4461" w:rsidRDefault="000268CC" w:rsidP="00500037">
            <w:pPr>
              <w:numPr>
                <w:ilvl w:val="0"/>
                <w:numId w:val="9"/>
              </w:numPr>
              <w:jc w:val="both"/>
            </w:pPr>
            <w:r w:rsidRPr="000E4461">
              <w:t>the label requirements are based on objectively verifiable and non-discriminatory criteria;</w:t>
            </w:r>
          </w:p>
          <w:p w14:paraId="375B233A" w14:textId="77777777" w:rsidR="000268CC" w:rsidRPr="000E4461" w:rsidRDefault="000268CC" w:rsidP="00500037">
            <w:pPr>
              <w:numPr>
                <w:ilvl w:val="0"/>
                <w:numId w:val="9"/>
              </w:numPr>
              <w:jc w:val="both"/>
            </w:pPr>
            <w:r w:rsidRPr="000E4461">
              <w:t>the labels are established in an open and transparent procedure in which all relevant parties, including government bodies, consumers, social partners, manufacturers, distributors and non-governmental organisations may participate;</w:t>
            </w:r>
          </w:p>
          <w:p w14:paraId="3E63455B" w14:textId="77777777" w:rsidR="000268CC" w:rsidRPr="000E4461" w:rsidRDefault="000268CC" w:rsidP="00500037">
            <w:pPr>
              <w:numPr>
                <w:ilvl w:val="0"/>
                <w:numId w:val="9"/>
              </w:numPr>
              <w:jc w:val="both"/>
            </w:pPr>
            <w:r w:rsidRPr="000E4461">
              <w:t>the labels are accessible to all interested parties;</w:t>
            </w:r>
          </w:p>
          <w:p w14:paraId="0168935F" w14:textId="77777777" w:rsidR="000268CC" w:rsidRPr="000E4461" w:rsidRDefault="000268CC" w:rsidP="00500037">
            <w:pPr>
              <w:numPr>
                <w:ilvl w:val="0"/>
                <w:numId w:val="9"/>
              </w:numPr>
              <w:jc w:val="both"/>
            </w:pPr>
            <w:proofErr w:type="gramStart"/>
            <w:r w:rsidRPr="000E4461">
              <w:t>the</w:t>
            </w:r>
            <w:proofErr w:type="gramEnd"/>
            <w:r w:rsidRPr="000E4461">
              <w:t xml:space="preserve"> label requirements are set by a third party over which the economic operator applying for the label cannot exercise a decisive influence.</w:t>
            </w:r>
          </w:p>
          <w:p w14:paraId="26EBFF7C" w14:textId="77777777" w:rsidR="002729CD" w:rsidRPr="000E4461" w:rsidRDefault="002729CD" w:rsidP="002729CD">
            <w:pPr>
              <w:ind w:left="700"/>
              <w:contextualSpacing/>
              <w:jc w:val="both"/>
              <w:rPr>
                <w:i/>
              </w:rPr>
            </w:pPr>
          </w:p>
          <w:p w14:paraId="10D15B66" w14:textId="4650F7BA" w:rsidR="00686B77" w:rsidRPr="000E4461" w:rsidRDefault="00686B77" w:rsidP="00500037">
            <w:pPr>
              <w:numPr>
                <w:ilvl w:val="0"/>
                <w:numId w:val="7"/>
              </w:numPr>
              <w:ind w:left="700" w:hanging="284"/>
              <w:contextualSpacing/>
              <w:jc w:val="both"/>
              <w:rPr>
                <w:i/>
              </w:rPr>
            </w:pPr>
            <w:r w:rsidRPr="000E4461">
              <w:rPr>
                <w:i/>
              </w:rPr>
              <w:t>Selection of economic operators:</w:t>
            </w:r>
          </w:p>
          <w:p w14:paraId="4AAC1845" w14:textId="3A0D8CA2" w:rsidR="00686B77" w:rsidRPr="000E4461" w:rsidRDefault="00686B77" w:rsidP="00500037">
            <w:pPr>
              <w:numPr>
                <w:ilvl w:val="0"/>
                <w:numId w:val="10"/>
              </w:numPr>
              <w:ind w:left="1267" w:hanging="284"/>
              <w:contextualSpacing/>
              <w:jc w:val="both"/>
            </w:pPr>
            <w:proofErr w:type="gramStart"/>
            <w:r w:rsidRPr="000E4461">
              <w:t>exclusion</w:t>
            </w:r>
            <w:proofErr w:type="gramEnd"/>
            <w:r w:rsidRPr="000E4461">
              <w:t xml:space="preserve"> grounds: Art. 63 (1) a) of the PPA, </w:t>
            </w:r>
            <w:r w:rsidR="00875967" w:rsidRPr="000E4461">
              <w:t>[transpose</w:t>
            </w:r>
            <w:r w:rsidR="004E4212" w:rsidRPr="000E4461">
              <w:t xml:space="preserve">s </w:t>
            </w:r>
            <w:r w:rsidRPr="000E4461">
              <w:t>Art. 57 (4) point a) of the 2014/24/EU Directive</w:t>
            </w:r>
            <w:r w:rsidR="00875967" w:rsidRPr="000E4461">
              <w:t>]</w:t>
            </w:r>
          </w:p>
          <w:p w14:paraId="673D8CDD" w14:textId="34D8E41D" w:rsidR="00686B77" w:rsidRPr="000E4461" w:rsidRDefault="00686B77" w:rsidP="00500037">
            <w:pPr>
              <w:numPr>
                <w:ilvl w:val="0"/>
                <w:numId w:val="10"/>
              </w:numPr>
              <w:ind w:left="1267" w:hanging="284"/>
              <w:contextualSpacing/>
              <w:jc w:val="both"/>
            </w:pPr>
            <w:proofErr w:type="gramStart"/>
            <w:r w:rsidRPr="000E4461">
              <w:t>award</w:t>
            </w:r>
            <w:proofErr w:type="gramEnd"/>
            <w:r w:rsidRPr="000E4461">
              <w:t xml:space="preserve"> criteria: Art. 76 (1) and (3) point a) of the PPA</w:t>
            </w:r>
            <w:r w:rsidR="00875967" w:rsidRPr="000E4461">
              <w:t xml:space="preserve"> [transpose</w:t>
            </w:r>
            <w:r w:rsidR="004E4212" w:rsidRPr="000E4461">
              <w:t>s</w:t>
            </w:r>
            <w:r w:rsidRPr="000E4461">
              <w:t xml:space="preserve"> Art. 67 (1) and (2) point a) of the 2014/24/EU Directive</w:t>
            </w:r>
            <w:r w:rsidR="00875967" w:rsidRPr="000E4461">
              <w:t>]</w:t>
            </w:r>
          </w:p>
          <w:p w14:paraId="4FE898F2" w14:textId="77777777" w:rsidR="002729CD" w:rsidRPr="000E4461" w:rsidRDefault="002729CD" w:rsidP="002729CD">
            <w:pPr>
              <w:pStyle w:val="Listaszerbekezds"/>
              <w:jc w:val="both"/>
            </w:pPr>
          </w:p>
          <w:p w14:paraId="03F034EE" w14:textId="7FB40E63" w:rsidR="00686B77" w:rsidRPr="000E4461" w:rsidRDefault="000268CC" w:rsidP="00500037">
            <w:pPr>
              <w:pStyle w:val="Listaszerbekezds"/>
              <w:numPr>
                <w:ilvl w:val="0"/>
                <w:numId w:val="7"/>
              </w:numPr>
              <w:ind w:left="700" w:hanging="284"/>
              <w:jc w:val="both"/>
            </w:pPr>
            <w:r w:rsidRPr="000E4461">
              <w:rPr>
                <w:i/>
              </w:rPr>
              <w:t>Invalidity</w:t>
            </w:r>
            <w:r w:rsidR="00686B77" w:rsidRPr="000E4461">
              <w:rPr>
                <w:i/>
              </w:rPr>
              <w:t xml:space="preserve"> of the tender</w:t>
            </w:r>
            <w:r w:rsidRPr="000E4461">
              <w:rPr>
                <w:i/>
              </w:rPr>
              <w:t>:</w:t>
            </w:r>
            <w:r w:rsidRPr="000E4461">
              <w:t xml:space="preserve"> </w:t>
            </w:r>
            <w:r w:rsidR="00686B77" w:rsidRPr="000E4461">
              <w:t xml:space="preserve">Art. 73 (4) of the PPA </w:t>
            </w:r>
            <w:r w:rsidR="00875967" w:rsidRPr="000E4461">
              <w:t>[transpose</w:t>
            </w:r>
            <w:r w:rsidR="004E4212" w:rsidRPr="000E4461">
              <w:t>s</w:t>
            </w:r>
            <w:r w:rsidR="00875967" w:rsidRPr="000E4461">
              <w:t xml:space="preserve"> </w:t>
            </w:r>
            <w:r w:rsidR="00686B77" w:rsidRPr="000E4461">
              <w:t>Art. 18 (2) of the 2014/24/EU Directive</w:t>
            </w:r>
            <w:r w:rsidR="00875967" w:rsidRPr="000E4461">
              <w:t>]</w:t>
            </w:r>
          </w:p>
          <w:p w14:paraId="312B3619" w14:textId="77777777" w:rsidR="00686B77" w:rsidRPr="000E4461" w:rsidRDefault="00686B77" w:rsidP="00500037">
            <w:pPr>
              <w:numPr>
                <w:ilvl w:val="0"/>
                <w:numId w:val="11"/>
              </w:numPr>
              <w:ind w:left="1267" w:hanging="284"/>
              <w:contextualSpacing/>
              <w:jc w:val="both"/>
            </w:pPr>
            <w:r w:rsidRPr="000E4461">
              <w:t>Art. 73 (1) point e): The tender or the request to participate shall be considered invalid, if it does not comply in any other way with the conditions stipulated in the contract notice, and in the public procurement documents and by law, with the exception of formal tender requirements set out by the contracting authority;</w:t>
            </w:r>
          </w:p>
          <w:p w14:paraId="705CF67A" w14:textId="3998F4B6" w:rsidR="000268CC" w:rsidRPr="000E4461" w:rsidRDefault="00686B77" w:rsidP="00500037">
            <w:pPr>
              <w:numPr>
                <w:ilvl w:val="0"/>
                <w:numId w:val="11"/>
              </w:numPr>
              <w:ind w:left="1267" w:hanging="284"/>
              <w:contextualSpacing/>
              <w:jc w:val="both"/>
            </w:pPr>
            <w:r w:rsidRPr="000E4461">
              <w:t>Art. 73 (4): According to paragraph 1(e), the tender shall be considered invalid, in particular, if it does not comply with the environmental, social and labour requirements laid down by legislation or mandatory collective agreement or the provisions on environmental, social and labour requirements listed in Annex 4</w:t>
            </w:r>
            <w:r w:rsidR="00875967" w:rsidRPr="000E4461">
              <w:t xml:space="preserve"> [transpose</w:t>
            </w:r>
            <w:r w:rsidR="004E4212" w:rsidRPr="000E4461">
              <w:t>s</w:t>
            </w:r>
            <w:r w:rsidR="00875967" w:rsidRPr="000E4461">
              <w:t xml:space="preserve"> Annex X of the 2014/24/EU Directive]</w:t>
            </w:r>
            <w:r w:rsidRPr="000E4461">
              <w:t>.</w:t>
            </w:r>
          </w:p>
          <w:p w14:paraId="29406723" w14:textId="77777777" w:rsidR="002729CD" w:rsidRPr="000E4461" w:rsidRDefault="002729CD" w:rsidP="002729CD">
            <w:pPr>
              <w:ind w:left="720"/>
              <w:jc w:val="both"/>
            </w:pPr>
          </w:p>
          <w:p w14:paraId="7D1E5784" w14:textId="423227A8" w:rsidR="000268CC" w:rsidRPr="000E4461" w:rsidRDefault="000268CC" w:rsidP="00500037">
            <w:pPr>
              <w:numPr>
                <w:ilvl w:val="0"/>
                <w:numId w:val="28"/>
              </w:numPr>
              <w:jc w:val="both"/>
            </w:pPr>
            <w:r w:rsidRPr="000E4461">
              <w:rPr>
                <w:i/>
              </w:rPr>
              <w:t>Contractual terms:</w:t>
            </w:r>
            <w:r w:rsidRPr="000E4461">
              <w:t xml:space="preserve"> As regard the performance of the contract, the contracting authority may determine special requirements especially environmental, social or innovative aspects [Art. 132. (1)</w:t>
            </w:r>
            <w:r w:rsidR="00A40360" w:rsidRPr="000E4461">
              <w:t xml:space="preserve"> of the PPA, </w:t>
            </w:r>
            <w:r w:rsidR="00875967" w:rsidRPr="000E4461">
              <w:t>transpose</w:t>
            </w:r>
            <w:r w:rsidR="004E4212" w:rsidRPr="000E4461">
              <w:t>s</w:t>
            </w:r>
            <w:r w:rsidR="00875967" w:rsidRPr="000E4461">
              <w:t xml:space="preserve"> </w:t>
            </w:r>
            <w:r w:rsidR="00A40360" w:rsidRPr="000E4461">
              <w:t>Art. 70 of the 2014/24/EU Directive</w:t>
            </w:r>
            <w:r w:rsidRPr="000E4461">
              <w:t>].</w:t>
            </w:r>
          </w:p>
          <w:p w14:paraId="0C3C1BE8" w14:textId="77777777" w:rsidR="00306865" w:rsidRPr="000E4461" w:rsidRDefault="00306865" w:rsidP="00306865">
            <w:pPr>
              <w:jc w:val="both"/>
            </w:pPr>
          </w:p>
          <w:p w14:paraId="79074C99" w14:textId="77777777" w:rsidR="00306865" w:rsidRPr="000E4461" w:rsidRDefault="00306865" w:rsidP="00306865">
            <w:pPr>
              <w:jc w:val="both"/>
              <w:rPr>
                <w:b/>
              </w:rPr>
            </w:pPr>
            <w:r w:rsidRPr="000E4461">
              <w:rPr>
                <w:b/>
              </w:rPr>
              <w:t>Other legal instruments and policy documents:</w:t>
            </w:r>
          </w:p>
          <w:p w14:paraId="28128810" w14:textId="77777777" w:rsidR="00306865" w:rsidRPr="000E4461" w:rsidRDefault="00306865" w:rsidP="00306865">
            <w:pPr>
              <w:jc w:val="both"/>
            </w:pPr>
          </w:p>
          <w:p w14:paraId="3852229C" w14:textId="7C4F98DD" w:rsidR="000268CC" w:rsidRPr="000E4461" w:rsidRDefault="000268CC" w:rsidP="00500037">
            <w:pPr>
              <w:pStyle w:val="Listaszerbekezds"/>
              <w:numPr>
                <w:ilvl w:val="0"/>
                <w:numId w:val="51"/>
              </w:numPr>
              <w:ind w:left="347" w:hanging="284"/>
              <w:jc w:val="both"/>
            </w:pPr>
            <w:r w:rsidRPr="000E4461">
              <w:t xml:space="preserve">According to Government Decree 321/2015 (X. 30.) environmental and social approaches may be required </w:t>
            </w:r>
            <w:r w:rsidR="004E4212" w:rsidRPr="000E4461">
              <w:t xml:space="preserve">by the contracting authority in the </w:t>
            </w:r>
            <w:r w:rsidRPr="000E4461">
              <w:t>technical specifications [Art. 48 (2)].</w:t>
            </w:r>
          </w:p>
          <w:p w14:paraId="4602BD12" w14:textId="77777777" w:rsidR="000268CC" w:rsidRPr="000E4461" w:rsidRDefault="000268CC" w:rsidP="00BB2468">
            <w:pPr>
              <w:ind w:left="347" w:hanging="284"/>
              <w:jc w:val="both"/>
            </w:pPr>
          </w:p>
          <w:p w14:paraId="42067B43" w14:textId="3C2103F9" w:rsidR="000268CC" w:rsidRPr="000E4461" w:rsidRDefault="000268CC" w:rsidP="00500037">
            <w:pPr>
              <w:pStyle w:val="Listaszerbekezds"/>
              <w:numPr>
                <w:ilvl w:val="0"/>
                <w:numId w:val="51"/>
              </w:numPr>
              <w:ind w:left="347" w:hanging="284"/>
              <w:jc w:val="both"/>
            </w:pPr>
            <w:r w:rsidRPr="000E4461">
              <w:t>The energy efficient procurements of public bodies are covered by Art. 10 of the Energy Efficiency Act. The Energy Efficiency Act states</w:t>
            </w:r>
            <w:r w:rsidR="0039602B" w:rsidRPr="000E4461">
              <w:t xml:space="preserve"> that</w:t>
            </w:r>
            <w:r w:rsidRPr="000E4461">
              <w:t xml:space="preserve"> if the estimated value of a procurement of a public body exceeds EU public procurement thresholds, only highly energy efficient services, products and works shall be purchased.</w:t>
            </w:r>
          </w:p>
          <w:p w14:paraId="49867351" w14:textId="77777777" w:rsidR="000268CC" w:rsidRPr="000E4461" w:rsidRDefault="000268CC" w:rsidP="00BB2468">
            <w:pPr>
              <w:ind w:left="347" w:hanging="284"/>
              <w:jc w:val="both"/>
            </w:pPr>
          </w:p>
          <w:p w14:paraId="3AAF7994" w14:textId="2B81359E" w:rsidR="000268CC" w:rsidRDefault="000268CC" w:rsidP="00500037">
            <w:pPr>
              <w:pStyle w:val="Listaszerbekezds"/>
              <w:numPr>
                <w:ilvl w:val="0"/>
                <w:numId w:val="51"/>
              </w:numPr>
              <w:ind w:left="347" w:hanging="284"/>
              <w:jc w:val="both"/>
            </w:pPr>
            <w:r w:rsidRPr="000E4461">
              <w:t xml:space="preserve">Government Resolution 1849/2014. (XII. 30.) </w:t>
            </w:r>
            <w:proofErr w:type="gramStart"/>
            <w:r w:rsidRPr="000E4461">
              <w:t>on</w:t>
            </w:r>
            <w:proofErr w:type="gramEnd"/>
            <w:r w:rsidRPr="000E4461">
              <w:t xml:space="preserve"> Energy Efficiency provides similarly to the Energy Efficiency Act, that governmental authorities shall purchase energy efficient services, products and works. Annex I. of the Government Resolution enumerates the relevant energy efficiency requirements, which shall be taken into consideration during </w:t>
            </w:r>
            <w:r w:rsidR="003E6666" w:rsidRPr="000E4461">
              <w:t>the</w:t>
            </w:r>
            <w:r w:rsidRPr="000E4461">
              <w:t xml:space="preserve"> procedures, and which further support the promotion of green public procurement. These requirements are supplemented by the guideline of the Ministry of National Development on energy effective procurements, which is available under the following link:</w:t>
            </w:r>
            <w:r w:rsidR="00BB2468">
              <w:t xml:space="preserve"> </w:t>
            </w:r>
            <w:hyperlink r:id="rId35" w:anchor="!DocumentBrowse" w:history="1">
              <w:r w:rsidR="0039602B" w:rsidRPr="000E4461">
                <w:rPr>
                  <w:rStyle w:val="Hiperhivatkozs"/>
                </w:rPr>
                <w:t>http://www.kormany.hu/hu/dok?source=9&amp;type=402&amp;year=2016#!DocumentBrowse</w:t>
              </w:r>
            </w:hyperlink>
          </w:p>
          <w:p w14:paraId="5B758C3C" w14:textId="77777777" w:rsidR="00BB2468" w:rsidRDefault="00BB2468" w:rsidP="00BB2468">
            <w:pPr>
              <w:pStyle w:val="Listaszerbekezds"/>
              <w:ind w:left="347"/>
              <w:jc w:val="both"/>
            </w:pPr>
          </w:p>
          <w:p w14:paraId="78D7E5D3" w14:textId="3FA6B878" w:rsidR="000268CC" w:rsidRDefault="000268CC" w:rsidP="00500037">
            <w:pPr>
              <w:pStyle w:val="Listaszerbekezds"/>
              <w:numPr>
                <w:ilvl w:val="0"/>
                <w:numId w:val="51"/>
              </w:numPr>
              <w:ind w:left="347" w:hanging="284"/>
              <w:jc w:val="both"/>
            </w:pPr>
            <w:r w:rsidRPr="000E4461">
              <w:t>Government Resolut</w:t>
            </w:r>
            <w:r w:rsidR="0003763D" w:rsidRPr="000E4461">
              <w:t xml:space="preserve">ion 48/2011. (III. 30.) </w:t>
            </w:r>
            <w:proofErr w:type="gramStart"/>
            <w:r w:rsidR="0003763D" w:rsidRPr="000E4461">
              <w:t>on</w:t>
            </w:r>
            <w:proofErr w:type="gramEnd"/>
            <w:r w:rsidR="0003763D" w:rsidRPr="000E4461">
              <w:t xml:space="preserve"> the P</w:t>
            </w:r>
            <w:r w:rsidRPr="000E4461">
              <w:t>romotion of Environmentally Friendly and Energy Efficient Vehicles stipulates, that contracting authorities and public service providers shall purchase environmentally friendly</w:t>
            </w:r>
            <w:r w:rsidR="00BB2468">
              <w:t xml:space="preserve"> and energy effective vehicles.</w:t>
            </w:r>
          </w:p>
          <w:p w14:paraId="4791B74F" w14:textId="77777777" w:rsidR="00BB2468" w:rsidRDefault="00BB2468" w:rsidP="00BB2468">
            <w:pPr>
              <w:pStyle w:val="Listaszerbekezds"/>
              <w:ind w:left="347"/>
              <w:jc w:val="both"/>
            </w:pPr>
          </w:p>
          <w:p w14:paraId="06689289" w14:textId="5B65105E" w:rsidR="00D67772" w:rsidRPr="000E4461" w:rsidRDefault="0039602B" w:rsidP="00500037">
            <w:pPr>
              <w:pStyle w:val="Listaszerbekezds"/>
              <w:numPr>
                <w:ilvl w:val="0"/>
                <w:numId w:val="51"/>
              </w:numPr>
              <w:ind w:left="347" w:hanging="284"/>
              <w:jc w:val="both"/>
            </w:pPr>
            <w:r w:rsidRPr="000E4461">
              <w:t>T</w:t>
            </w:r>
            <w:r w:rsidR="0003763D" w:rsidRPr="000E4461">
              <w:t>he activity of the Public P</w:t>
            </w:r>
            <w:r w:rsidR="00D67772" w:rsidRPr="000E4461">
              <w:t>rocurement Authority</w:t>
            </w:r>
            <w:r w:rsidRPr="000E4461">
              <w:t xml:space="preserve"> in the field of GPP</w:t>
            </w:r>
            <w:r w:rsidR="00D67772" w:rsidRPr="000E4461">
              <w:t>:</w:t>
            </w:r>
          </w:p>
          <w:p w14:paraId="1036A365" w14:textId="77777777" w:rsidR="00D67772" w:rsidRPr="000E4461" w:rsidRDefault="00D67772" w:rsidP="000268CC">
            <w:pPr>
              <w:jc w:val="both"/>
            </w:pPr>
          </w:p>
          <w:p w14:paraId="0D98BF4D" w14:textId="74CA4E9C" w:rsidR="000268CC" w:rsidRPr="000E4461" w:rsidRDefault="000268CC" w:rsidP="00500037">
            <w:pPr>
              <w:pStyle w:val="Listaszerbekezds"/>
              <w:numPr>
                <w:ilvl w:val="0"/>
                <w:numId w:val="30"/>
              </w:numPr>
              <w:jc w:val="both"/>
            </w:pPr>
            <w:r w:rsidRPr="000E4461">
              <w:t xml:space="preserve">To further help the implementation of sustainability criteria in public procurement practice the Public Procurement Authority published a guideline on life-cycle costing methods. The guideline also indicates whether </w:t>
            </w:r>
            <w:r w:rsidR="001A6AA7" w:rsidRPr="000E4461">
              <w:t xml:space="preserve">a </w:t>
            </w:r>
            <w:r w:rsidRPr="000E4461">
              <w:t xml:space="preserve">common methodology </w:t>
            </w:r>
            <w:r w:rsidR="001A6AA7" w:rsidRPr="000E4461">
              <w:t xml:space="preserve">for certain subjects to be used mandatorily under EU law </w:t>
            </w:r>
            <w:r w:rsidRPr="000E4461">
              <w:t>is available.</w:t>
            </w:r>
          </w:p>
          <w:p w14:paraId="1AD41512" w14:textId="02758402" w:rsidR="00220608" w:rsidRPr="000E4461" w:rsidRDefault="00220608" w:rsidP="00220608">
            <w:pPr>
              <w:pStyle w:val="Listaszerbekezds"/>
              <w:jc w:val="both"/>
            </w:pPr>
            <w:r w:rsidRPr="000E4461">
              <w:t>http://www.kozbeszerzes.hu/dokumentumok/megtekint/1490664920/826/</w:t>
            </w:r>
          </w:p>
          <w:p w14:paraId="58248AE7" w14:textId="77777777" w:rsidR="000268CC" w:rsidRPr="000E4461" w:rsidRDefault="000268CC" w:rsidP="000268CC">
            <w:pPr>
              <w:jc w:val="both"/>
            </w:pPr>
          </w:p>
          <w:p w14:paraId="37EF92D0" w14:textId="199FEB59" w:rsidR="000268CC" w:rsidRPr="000E4461" w:rsidRDefault="000268CC" w:rsidP="00500037">
            <w:pPr>
              <w:pStyle w:val="Listaszerbekezds"/>
              <w:numPr>
                <w:ilvl w:val="0"/>
                <w:numId w:val="30"/>
              </w:numPr>
              <w:jc w:val="both"/>
            </w:pPr>
            <w:r w:rsidRPr="000E4461">
              <w:t xml:space="preserve">In addition to the guideline mentioned above, the Public Procurement Authority publishes other various briefings and guides, information about both national and EU law and constantly publishes updates about changes in the field of public procurement. </w:t>
            </w:r>
          </w:p>
          <w:p w14:paraId="58258952" w14:textId="77777777" w:rsidR="00306865" w:rsidRPr="000E4461" w:rsidRDefault="00306865" w:rsidP="00306865">
            <w:pPr>
              <w:jc w:val="both"/>
              <w:rPr>
                <w:lang w:val="hu-HU"/>
              </w:rPr>
            </w:pPr>
          </w:p>
          <w:p w14:paraId="5DBD93FE" w14:textId="201FF66F" w:rsidR="00A87868" w:rsidRPr="000E4461" w:rsidRDefault="00A87868" w:rsidP="00500037">
            <w:pPr>
              <w:pStyle w:val="Listaszerbekezds"/>
              <w:numPr>
                <w:ilvl w:val="0"/>
                <w:numId w:val="30"/>
              </w:numPr>
              <w:jc w:val="both"/>
            </w:pPr>
            <w:r w:rsidRPr="000E4461">
              <w:t>Information on sustainable procurements can be accessed via several channels. As regard to green public procurement, an important tool is the subpage on green procurement of the website of the Public Procurement Authority. In this page, good practices, the relevant communications of the European Commission, and academic publications are also available:</w:t>
            </w:r>
          </w:p>
          <w:p w14:paraId="4CE35AA1" w14:textId="27147A7E" w:rsidR="00A87868" w:rsidRPr="000E4461" w:rsidRDefault="00E366B0" w:rsidP="009372B5">
            <w:pPr>
              <w:pStyle w:val="Listaszerbekezds"/>
              <w:jc w:val="both"/>
            </w:pPr>
            <w:r w:rsidRPr="000E4461">
              <w:t>http://www.kozbeszerzes.hu/cikkek/zold-kozbeszerzes</w:t>
            </w:r>
          </w:p>
          <w:p w14:paraId="60BEB930" w14:textId="20E9950A" w:rsidR="00306865" w:rsidRPr="000E4461" w:rsidRDefault="00306865" w:rsidP="000268CC">
            <w:pPr>
              <w:jc w:val="both"/>
              <w:rPr>
                <w:i/>
              </w:rPr>
            </w:pPr>
          </w:p>
        </w:tc>
      </w:tr>
      <w:tr w:rsidR="005F0ADF" w:rsidRPr="000E4461" w14:paraId="024043AF" w14:textId="77777777" w:rsidTr="005F0ADF">
        <w:tc>
          <w:tcPr>
            <w:tcW w:w="1648" w:type="pct"/>
          </w:tcPr>
          <w:p w14:paraId="3B941912" w14:textId="19CB1C99" w:rsidR="005F0ADF" w:rsidRPr="000E4461" w:rsidRDefault="007C7271" w:rsidP="005F0ADF">
            <w:pPr>
              <w:pStyle w:val="Cmsor3"/>
              <w:outlineLvl w:val="2"/>
              <w:rPr>
                <w:b w:val="0"/>
              </w:rPr>
            </w:pPr>
            <w:r w:rsidRPr="000E4461">
              <w:lastRenderedPageBreak/>
              <w:t>V</w:t>
            </w:r>
            <w:r w:rsidR="005F0ADF" w:rsidRPr="000E4461">
              <w:t>.1.3. Quantitative indicators</w:t>
            </w:r>
          </w:p>
        </w:tc>
        <w:tc>
          <w:tcPr>
            <w:tcW w:w="3352" w:type="pct"/>
          </w:tcPr>
          <w:p w14:paraId="3B929A8F" w14:textId="123235DD" w:rsidR="005F0ADF" w:rsidRPr="000E4461" w:rsidRDefault="005F0ADF" w:rsidP="00247E16">
            <w:pPr>
              <w:jc w:val="both"/>
              <w:rPr>
                <w:i/>
              </w:rPr>
            </w:pPr>
          </w:p>
        </w:tc>
      </w:tr>
      <w:tr w:rsidR="005F0ADF" w:rsidRPr="000E4461" w14:paraId="24E93C97" w14:textId="77777777" w:rsidTr="005F0ADF">
        <w:tc>
          <w:tcPr>
            <w:tcW w:w="1648" w:type="pct"/>
          </w:tcPr>
          <w:p w14:paraId="76713AFB" w14:textId="0305C4A9" w:rsidR="005F0ADF" w:rsidRPr="000E4461" w:rsidRDefault="005F0ADF" w:rsidP="006753EC">
            <w:pPr>
              <w:jc w:val="both"/>
              <w:rPr>
                <w:b/>
              </w:rPr>
            </w:pPr>
            <w:r w:rsidRPr="000E4461">
              <w:t xml:space="preserve">Please provide, when available, any quantitative data (statistics, etc.) illustrating the achievements and challenges identified under section </w:t>
            </w:r>
            <w:r w:rsidR="00B34CD3" w:rsidRPr="000E4461">
              <w:t>V</w:t>
            </w:r>
            <w:r w:rsidRPr="000E4461">
              <w:t>.1.</w:t>
            </w:r>
            <w:r w:rsidR="002C131E" w:rsidRPr="000E4461">
              <w:t>1</w:t>
            </w:r>
            <w:r w:rsidRPr="000E4461">
              <w:t xml:space="preserve"> above. To the extent possible, these indicators should be further g</w:t>
            </w:r>
            <w:r w:rsidR="006753EC" w:rsidRPr="000E4461">
              <w:t>rouped by type of legal problem.</w:t>
            </w:r>
          </w:p>
        </w:tc>
        <w:tc>
          <w:tcPr>
            <w:tcW w:w="3352" w:type="pct"/>
          </w:tcPr>
          <w:p w14:paraId="463C8C9A" w14:textId="77777777" w:rsidR="00FB3536" w:rsidRPr="000E4461" w:rsidRDefault="00FB3536" w:rsidP="000A716F">
            <w:pPr>
              <w:jc w:val="both"/>
            </w:pPr>
          </w:p>
          <w:p w14:paraId="3BFAF0C6" w14:textId="1BEAD8B3" w:rsidR="000A716F" w:rsidRPr="000E4461" w:rsidRDefault="0090543D" w:rsidP="00DC189A">
            <w:pPr>
              <w:pStyle w:val="Cmsor2"/>
              <w:outlineLvl w:val="1"/>
            </w:pPr>
            <w:r w:rsidRPr="000E4461">
              <w:t>Number, value and proportion of green public procurement procedures in national regime according to the subject of the contract</w:t>
            </w:r>
            <w:r w:rsidR="00FB3536" w:rsidRPr="000E4461">
              <w:t>*</w:t>
            </w:r>
          </w:p>
          <w:p w14:paraId="24F3C176" w14:textId="77777777" w:rsidR="000A716F" w:rsidRPr="000E4461" w:rsidRDefault="000A716F" w:rsidP="000A716F"/>
          <w:tbl>
            <w:tblPr>
              <w:tblW w:w="9067" w:type="dxa"/>
              <w:jc w:val="center"/>
              <w:tblCellMar>
                <w:left w:w="70" w:type="dxa"/>
                <w:right w:w="70" w:type="dxa"/>
              </w:tblCellMar>
              <w:tblLook w:val="04A0" w:firstRow="1" w:lastRow="0" w:firstColumn="1" w:lastColumn="0" w:noHBand="0" w:noVBand="1"/>
            </w:tblPr>
            <w:tblGrid>
              <w:gridCol w:w="1567"/>
              <w:gridCol w:w="1418"/>
              <w:gridCol w:w="2409"/>
              <w:gridCol w:w="1560"/>
              <w:gridCol w:w="2113"/>
            </w:tblGrid>
            <w:tr w:rsidR="000A716F" w:rsidRPr="000E4461" w14:paraId="374DF094" w14:textId="77777777" w:rsidTr="00D0091F">
              <w:trPr>
                <w:trHeight w:val="649"/>
                <w:jc w:val="center"/>
              </w:trPr>
              <w:tc>
                <w:tcPr>
                  <w:tcW w:w="1567" w:type="dxa"/>
                  <w:tcBorders>
                    <w:top w:val="single" w:sz="4" w:space="0" w:color="auto"/>
                    <w:left w:val="single" w:sz="4" w:space="0" w:color="auto"/>
                    <w:bottom w:val="double" w:sz="6" w:space="0" w:color="auto"/>
                    <w:right w:val="single" w:sz="4" w:space="0" w:color="auto"/>
                  </w:tcBorders>
                  <w:shd w:val="clear" w:color="auto" w:fill="548DD4" w:themeFill="text2" w:themeFillTint="99"/>
                  <w:noWrap/>
                  <w:vAlign w:val="center"/>
                  <w:hideMark/>
                </w:tcPr>
                <w:p w14:paraId="36518410" w14:textId="4697EA48" w:rsidR="000A716F" w:rsidRPr="000E4461" w:rsidRDefault="00027A75" w:rsidP="00B143D9">
                  <w:pPr>
                    <w:rPr>
                      <w:rFonts w:cs="Calibri"/>
                      <w:b/>
                      <w:bCs/>
                      <w:color w:val="000000"/>
                      <w:sz w:val="20"/>
                      <w:szCs w:val="20"/>
                    </w:rPr>
                  </w:pPr>
                  <w:bookmarkStart w:id="0" w:name="_Hlk509817551"/>
                  <w:r w:rsidRPr="000E4461">
                    <w:rPr>
                      <w:rFonts w:cs="Calibri"/>
                      <w:b/>
                      <w:bCs/>
                      <w:color w:val="000000"/>
                      <w:sz w:val="20"/>
                      <w:szCs w:val="20"/>
                    </w:rPr>
                    <w:t>Subject of the contract</w:t>
                  </w:r>
                </w:p>
              </w:tc>
              <w:tc>
                <w:tcPr>
                  <w:tcW w:w="1418"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70443C7E" w14:textId="1D43B81F" w:rsidR="000A716F" w:rsidRPr="000E4461" w:rsidRDefault="00027A75" w:rsidP="00B143D9">
                  <w:pPr>
                    <w:jc w:val="center"/>
                    <w:rPr>
                      <w:rFonts w:cs="Calibri"/>
                      <w:b/>
                      <w:bCs/>
                      <w:color w:val="000000"/>
                      <w:sz w:val="20"/>
                      <w:szCs w:val="20"/>
                    </w:rPr>
                  </w:pPr>
                  <w:r w:rsidRPr="000E4461">
                    <w:rPr>
                      <w:rFonts w:cs="Calibri"/>
                      <w:b/>
                      <w:bCs/>
                      <w:color w:val="000000"/>
                      <w:sz w:val="20"/>
                      <w:szCs w:val="20"/>
                    </w:rPr>
                    <w:t>Number of procedures</w:t>
                  </w:r>
                </w:p>
              </w:tc>
              <w:tc>
                <w:tcPr>
                  <w:tcW w:w="2409"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04D19015" w14:textId="1AE6F3FD" w:rsidR="000A716F" w:rsidRPr="000E4461" w:rsidRDefault="00D0091F" w:rsidP="0082096C">
                  <w:pPr>
                    <w:spacing w:after="0"/>
                    <w:jc w:val="center"/>
                    <w:rPr>
                      <w:rFonts w:cs="Calibri"/>
                      <w:b/>
                      <w:bCs/>
                      <w:color w:val="000000"/>
                      <w:sz w:val="20"/>
                      <w:szCs w:val="20"/>
                    </w:rPr>
                  </w:pPr>
                  <w:r w:rsidRPr="000E4461">
                    <w:rPr>
                      <w:rFonts w:cs="Calibri"/>
                      <w:b/>
                      <w:bCs/>
                      <w:color w:val="000000"/>
                      <w:sz w:val="20"/>
                      <w:szCs w:val="20"/>
                    </w:rPr>
                    <w:t xml:space="preserve">Proportion of </w:t>
                  </w:r>
                  <w:r w:rsidR="0012364A" w:rsidRPr="000E4461">
                    <w:rPr>
                      <w:rFonts w:cs="Calibri"/>
                      <w:b/>
                      <w:bCs/>
                      <w:color w:val="000000"/>
                      <w:sz w:val="20"/>
                      <w:szCs w:val="20"/>
                    </w:rPr>
                    <w:t xml:space="preserve">green pp </w:t>
                  </w:r>
                  <w:proofErr w:type="gramStart"/>
                  <w:r w:rsidRPr="000E4461">
                    <w:rPr>
                      <w:rFonts w:cs="Calibri"/>
                      <w:b/>
                      <w:bCs/>
                      <w:color w:val="000000"/>
                      <w:sz w:val="20"/>
                      <w:szCs w:val="20"/>
                    </w:rPr>
                    <w:t>procedures</w:t>
                  </w:r>
                  <w:proofErr w:type="gramEnd"/>
                  <w:r w:rsidR="000A716F" w:rsidRPr="000E4461">
                    <w:rPr>
                      <w:rFonts w:cs="Calibri"/>
                      <w:b/>
                      <w:bCs/>
                      <w:color w:val="000000"/>
                      <w:sz w:val="20"/>
                      <w:szCs w:val="20"/>
                    </w:rPr>
                    <w:br/>
                    <w:t>(%)</w:t>
                  </w:r>
                </w:p>
              </w:tc>
              <w:tc>
                <w:tcPr>
                  <w:tcW w:w="1560"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03BD99EF" w14:textId="4108664C" w:rsidR="00027A75" w:rsidRPr="000E4461" w:rsidRDefault="00027A75" w:rsidP="00D0091F">
                  <w:pPr>
                    <w:spacing w:after="0"/>
                    <w:jc w:val="center"/>
                    <w:rPr>
                      <w:rFonts w:cs="Calibri"/>
                      <w:b/>
                      <w:bCs/>
                      <w:color w:val="000000"/>
                      <w:sz w:val="20"/>
                      <w:szCs w:val="20"/>
                    </w:rPr>
                  </w:pPr>
                  <w:r w:rsidRPr="000E4461">
                    <w:rPr>
                      <w:rFonts w:cs="Calibri"/>
                      <w:b/>
                      <w:bCs/>
                      <w:color w:val="000000"/>
                      <w:sz w:val="20"/>
                      <w:szCs w:val="20"/>
                    </w:rPr>
                    <w:t>Value of procedures</w:t>
                  </w:r>
                </w:p>
                <w:p w14:paraId="76913517" w14:textId="1BC71F4C" w:rsidR="000A716F" w:rsidRPr="000E4461" w:rsidRDefault="000A716F" w:rsidP="00027A75">
                  <w:pPr>
                    <w:jc w:val="center"/>
                    <w:rPr>
                      <w:rFonts w:cs="Calibri"/>
                      <w:b/>
                      <w:bCs/>
                      <w:color w:val="000000"/>
                      <w:sz w:val="20"/>
                      <w:szCs w:val="20"/>
                    </w:rPr>
                  </w:pPr>
                  <w:r w:rsidRPr="000E4461">
                    <w:rPr>
                      <w:rFonts w:cs="Calibri"/>
                      <w:b/>
                      <w:bCs/>
                      <w:color w:val="000000"/>
                      <w:sz w:val="20"/>
                      <w:szCs w:val="20"/>
                    </w:rPr>
                    <w:t>(</w:t>
                  </w:r>
                  <w:proofErr w:type="spellStart"/>
                  <w:r w:rsidR="00027A75" w:rsidRPr="000E4461">
                    <w:rPr>
                      <w:rFonts w:cs="Calibri"/>
                      <w:b/>
                      <w:bCs/>
                      <w:color w:val="000000"/>
                      <w:sz w:val="20"/>
                      <w:szCs w:val="20"/>
                    </w:rPr>
                    <w:t>Bn</w:t>
                  </w:r>
                  <w:proofErr w:type="spellEnd"/>
                  <w:r w:rsidR="00027A75" w:rsidRPr="000E4461">
                    <w:rPr>
                      <w:rFonts w:cs="Calibri"/>
                      <w:b/>
                      <w:bCs/>
                      <w:color w:val="000000"/>
                      <w:sz w:val="20"/>
                      <w:szCs w:val="20"/>
                    </w:rPr>
                    <w:t xml:space="preserve"> HUF</w:t>
                  </w:r>
                  <w:r w:rsidRPr="000E4461">
                    <w:rPr>
                      <w:rFonts w:cs="Calibri"/>
                      <w:b/>
                      <w:bCs/>
                      <w:color w:val="000000"/>
                      <w:sz w:val="20"/>
                      <w:szCs w:val="20"/>
                    </w:rPr>
                    <w:t>)</w:t>
                  </w:r>
                </w:p>
              </w:tc>
              <w:tc>
                <w:tcPr>
                  <w:tcW w:w="2113"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1C9C552B" w14:textId="27B16583" w:rsidR="00D0091F" w:rsidRPr="000E4461" w:rsidRDefault="00D0091F" w:rsidP="00D0091F">
                  <w:pPr>
                    <w:spacing w:after="0"/>
                    <w:jc w:val="center"/>
                    <w:rPr>
                      <w:rFonts w:cs="Calibri"/>
                      <w:b/>
                      <w:bCs/>
                      <w:color w:val="000000"/>
                      <w:sz w:val="20"/>
                      <w:szCs w:val="20"/>
                    </w:rPr>
                  </w:pPr>
                  <w:r w:rsidRPr="000E4461">
                    <w:rPr>
                      <w:rFonts w:cs="Calibri"/>
                      <w:b/>
                      <w:bCs/>
                      <w:color w:val="000000"/>
                      <w:sz w:val="20"/>
                      <w:szCs w:val="20"/>
                    </w:rPr>
                    <w:t>Proportio</w:t>
                  </w:r>
                  <w:r w:rsidR="0082096C" w:rsidRPr="000E4461">
                    <w:rPr>
                      <w:rFonts w:cs="Calibri"/>
                      <w:b/>
                      <w:bCs/>
                      <w:color w:val="000000"/>
                      <w:sz w:val="20"/>
                      <w:szCs w:val="20"/>
                    </w:rPr>
                    <w:t>n of value</w:t>
                  </w:r>
                </w:p>
                <w:p w14:paraId="3BAEADCA" w14:textId="44C0341F" w:rsidR="000A716F" w:rsidRPr="000E4461" w:rsidRDefault="000A716F" w:rsidP="00B143D9">
                  <w:pPr>
                    <w:jc w:val="center"/>
                    <w:rPr>
                      <w:rFonts w:cs="Calibri"/>
                      <w:b/>
                      <w:bCs/>
                      <w:color w:val="000000"/>
                      <w:sz w:val="20"/>
                      <w:szCs w:val="20"/>
                    </w:rPr>
                  </w:pPr>
                  <w:r w:rsidRPr="000E4461">
                    <w:rPr>
                      <w:rFonts w:cs="Calibri"/>
                      <w:b/>
                      <w:bCs/>
                      <w:color w:val="000000"/>
                      <w:sz w:val="20"/>
                      <w:szCs w:val="20"/>
                    </w:rPr>
                    <w:t xml:space="preserve"> (%)</w:t>
                  </w:r>
                </w:p>
              </w:tc>
            </w:tr>
            <w:tr w:rsidR="000A716F" w:rsidRPr="000E4461" w14:paraId="4377060F" w14:textId="77777777" w:rsidTr="00D0091F">
              <w:trPr>
                <w:trHeight w:val="285"/>
                <w:jc w:val="center"/>
              </w:trPr>
              <w:tc>
                <w:tcPr>
                  <w:tcW w:w="1567" w:type="dxa"/>
                  <w:tcBorders>
                    <w:top w:val="double" w:sz="6"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4134192" w14:textId="347C062C" w:rsidR="000A716F" w:rsidRPr="000E4461" w:rsidRDefault="00027A75" w:rsidP="00B143D9">
                  <w:pPr>
                    <w:rPr>
                      <w:rFonts w:cs="Calibri"/>
                      <w:color w:val="000000"/>
                      <w:sz w:val="20"/>
                      <w:szCs w:val="20"/>
                    </w:rPr>
                  </w:pPr>
                  <w:r w:rsidRPr="000E4461">
                    <w:rPr>
                      <w:rFonts w:cs="Calibri"/>
                      <w:color w:val="000000"/>
                      <w:sz w:val="20"/>
                      <w:szCs w:val="20"/>
                    </w:rPr>
                    <w:t>Supplies</w:t>
                  </w:r>
                </w:p>
              </w:tc>
              <w:tc>
                <w:tcPr>
                  <w:tcW w:w="1418" w:type="dxa"/>
                  <w:tcBorders>
                    <w:top w:val="nil"/>
                    <w:left w:val="nil"/>
                    <w:bottom w:val="single" w:sz="4" w:space="0" w:color="auto"/>
                    <w:right w:val="single" w:sz="4" w:space="0" w:color="auto"/>
                  </w:tcBorders>
                  <w:shd w:val="clear" w:color="auto" w:fill="auto"/>
                  <w:noWrap/>
                  <w:vAlign w:val="center"/>
                  <w:hideMark/>
                </w:tcPr>
                <w:p w14:paraId="31C755C8" w14:textId="77777777" w:rsidR="000A716F" w:rsidRPr="000E4461" w:rsidRDefault="000A716F" w:rsidP="00B143D9">
                  <w:pPr>
                    <w:jc w:val="center"/>
                    <w:rPr>
                      <w:rFonts w:cs="Calibri"/>
                      <w:color w:val="000000"/>
                      <w:sz w:val="20"/>
                      <w:szCs w:val="20"/>
                    </w:rPr>
                  </w:pPr>
                  <w:r w:rsidRPr="000E4461">
                    <w:rPr>
                      <w:rFonts w:cs="Calibri"/>
                      <w:color w:val="000000"/>
                      <w:sz w:val="20"/>
                      <w:szCs w:val="20"/>
                    </w:rPr>
                    <w:t>116</w:t>
                  </w:r>
                </w:p>
              </w:tc>
              <w:tc>
                <w:tcPr>
                  <w:tcW w:w="2409" w:type="dxa"/>
                  <w:tcBorders>
                    <w:top w:val="nil"/>
                    <w:left w:val="nil"/>
                    <w:bottom w:val="single" w:sz="4" w:space="0" w:color="auto"/>
                    <w:right w:val="single" w:sz="4" w:space="0" w:color="auto"/>
                  </w:tcBorders>
                  <w:shd w:val="clear" w:color="auto" w:fill="auto"/>
                  <w:noWrap/>
                  <w:vAlign w:val="center"/>
                  <w:hideMark/>
                </w:tcPr>
                <w:p w14:paraId="4732A808" w14:textId="77777777" w:rsidR="000A716F" w:rsidRPr="000E4461" w:rsidRDefault="000A716F" w:rsidP="00B143D9">
                  <w:pPr>
                    <w:jc w:val="center"/>
                    <w:rPr>
                      <w:rFonts w:cs="Calibri"/>
                      <w:color w:val="000000"/>
                      <w:sz w:val="20"/>
                      <w:szCs w:val="20"/>
                    </w:rPr>
                  </w:pPr>
                  <w:r w:rsidRPr="000E4461">
                    <w:rPr>
                      <w:rFonts w:cs="Calibri"/>
                      <w:color w:val="000000"/>
                      <w:sz w:val="20"/>
                      <w:szCs w:val="20"/>
                    </w:rPr>
                    <w:t>6,96%</w:t>
                  </w:r>
                </w:p>
              </w:tc>
              <w:tc>
                <w:tcPr>
                  <w:tcW w:w="1560" w:type="dxa"/>
                  <w:tcBorders>
                    <w:top w:val="nil"/>
                    <w:left w:val="nil"/>
                    <w:bottom w:val="single" w:sz="4" w:space="0" w:color="auto"/>
                    <w:right w:val="single" w:sz="4" w:space="0" w:color="auto"/>
                  </w:tcBorders>
                  <w:shd w:val="clear" w:color="auto" w:fill="auto"/>
                  <w:noWrap/>
                  <w:vAlign w:val="center"/>
                  <w:hideMark/>
                </w:tcPr>
                <w:p w14:paraId="7D651498" w14:textId="77777777" w:rsidR="000A716F" w:rsidRPr="000E4461" w:rsidRDefault="000A716F" w:rsidP="00B143D9">
                  <w:pPr>
                    <w:jc w:val="center"/>
                    <w:rPr>
                      <w:rFonts w:cs="Calibri"/>
                      <w:color w:val="000000"/>
                      <w:sz w:val="20"/>
                      <w:szCs w:val="20"/>
                    </w:rPr>
                  </w:pPr>
                  <w:r w:rsidRPr="000E4461">
                    <w:rPr>
                      <w:rFonts w:cs="Calibri"/>
                      <w:color w:val="000000"/>
                      <w:sz w:val="20"/>
                      <w:szCs w:val="20"/>
                    </w:rPr>
                    <w:t>3,85</w:t>
                  </w:r>
                </w:p>
              </w:tc>
              <w:tc>
                <w:tcPr>
                  <w:tcW w:w="2113" w:type="dxa"/>
                  <w:tcBorders>
                    <w:top w:val="nil"/>
                    <w:left w:val="nil"/>
                    <w:bottom w:val="single" w:sz="4" w:space="0" w:color="auto"/>
                    <w:right w:val="single" w:sz="4" w:space="0" w:color="auto"/>
                  </w:tcBorders>
                  <w:shd w:val="clear" w:color="auto" w:fill="auto"/>
                  <w:noWrap/>
                  <w:vAlign w:val="center"/>
                  <w:hideMark/>
                </w:tcPr>
                <w:p w14:paraId="29D3F552" w14:textId="77777777" w:rsidR="000A716F" w:rsidRPr="000E4461" w:rsidRDefault="000A716F" w:rsidP="00B143D9">
                  <w:pPr>
                    <w:jc w:val="center"/>
                    <w:rPr>
                      <w:rFonts w:cs="Calibri"/>
                      <w:color w:val="000000"/>
                      <w:sz w:val="20"/>
                      <w:szCs w:val="20"/>
                    </w:rPr>
                  </w:pPr>
                  <w:r w:rsidRPr="000E4461">
                    <w:rPr>
                      <w:rFonts w:cs="Calibri"/>
                      <w:color w:val="000000"/>
                      <w:sz w:val="20"/>
                      <w:szCs w:val="20"/>
                    </w:rPr>
                    <w:t>6,56%</w:t>
                  </w:r>
                </w:p>
              </w:tc>
            </w:tr>
            <w:tr w:rsidR="000A716F" w:rsidRPr="000E4461" w14:paraId="3ACB2CF3" w14:textId="77777777" w:rsidTr="00D0091F">
              <w:trPr>
                <w:trHeight w:val="270"/>
                <w:jc w:val="center"/>
              </w:trPr>
              <w:tc>
                <w:tcPr>
                  <w:tcW w:w="1567" w:type="dxa"/>
                  <w:tcBorders>
                    <w:top w:val="nil"/>
                    <w:left w:val="single" w:sz="4" w:space="0" w:color="auto"/>
                    <w:bottom w:val="nil"/>
                    <w:right w:val="single" w:sz="4" w:space="0" w:color="auto"/>
                  </w:tcBorders>
                  <w:shd w:val="clear" w:color="auto" w:fill="C6D9F1" w:themeFill="text2" w:themeFillTint="33"/>
                  <w:noWrap/>
                  <w:vAlign w:val="center"/>
                  <w:hideMark/>
                </w:tcPr>
                <w:p w14:paraId="48303AED" w14:textId="03713F16" w:rsidR="000A716F" w:rsidRPr="000E4461" w:rsidRDefault="00027A75" w:rsidP="00B143D9">
                  <w:pPr>
                    <w:rPr>
                      <w:rFonts w:cs="Calibri"/>
                      <w:color w:val="000000"/>
                      <w:sz w:val="20"/>
                      <w:szCs w:val="20"/>
                    </w:rPr>
                  </w:pPr>
                  <w:r w:rsidRPr="000E4461">
                    <w:rPr>
                      <w:rFonts w:cs="Calibri"/>
                      <w:color w:val="000000"/>
                      <w:sz w:val="20"/>
                      <w:szCs w:val="20"/>
                    </w:rPr>
                    <w:t>Works</w:t>
                  </w:r>
                </w:p>
              </w:tc>
              <w:tc>
                <w:tcPr>
                  <w:tcW w:w="1418" w:type="dxa"/>
                  <w:tcBorders>
                    <w:top w:val="nil"/>
                    <w:left w:val="nil"/>
                    <w:bottom w:val="nil"/>
                    <w:right w:val="single" w:sz="4" w:space="0" w:color="auto"/>
                  </w:tcBorders>
                  <w:shd w:val="clear" w:color="auto" w:fill="auto"/>
                  <w:noWrap/>
                  <w:vAlign w:val="center"/>
                  <w:hideMark/>
                </w:tcPr>
                <w:p w14:paraId="7D5168E4" w14:textId="77777777" w:rsidR="000A716F" w:rsidRPr="000E4461" w:rsidRDefault="000A716F" w:rsidP="00B143D9">
                  <w:pPr>
                    <w:jc w:val="center"/>
                    <w:rPr>
                      <w:rFonts w:cs="Calibri"/>
                      <w:color w:val="000000"/>
                      <w:sz w:val="20"/>
                      <w:szCs w:val="20"/>
                    </w:rPr>
                  </w:pPr>
                  <w:r w:rsidRPr="000E4461">
                    <w:rPr>
                      <w:rFonts w:cs="Calibri"/>
                      <w:color w:val="000000"/>
                      <w:sz w:val="20"/>
                      <w:szCs w:val="20"/>
                    </w:rPr>
                    <w:t>635</w:t>
                  </w:r>
                </w:p>
              </w:tc>
              <w:tc>
                <w:tcPr>
                  <w:tcW w:w="2409" w:type="dxa"/>
                  <w:tcBorders>
                    <w:top w:val="nil"/>
                    <w:left w:val="nil"/>
                    <w:bottom w:val="nil"/>
                    <w:right w:val="single" w:sz="4" w:space="0" w:color="auto"/>
                  </w:tcBorders>
                  <w:shd w:val="clear" w:color="auto" w:fill="auto"/>
                  <w:noWrap/>
                  <w:vAlign w:val="center"/>
                  <w:hideMark/>
                </w:tcPr>
                <w:p w14:paraId="3731E804" w14:textId="77777777" w:rsidR="000A716F" w:rsidRPr="000E4461" w:rsidRDefault="000A716F" w:rsidP="00B143D9">
                  <w:pPr>
                    <w:jc w:val="center"/>
                    <w:rPr>
                      <w:rFonts w:cs="Calibri"/>
                      <w:color w:val="000000"/>
                      <w:sz w:val="20"/>
                      <w:szCs w:val="20"/>
                    </w:rPr>
                  </w:pPr>
                  <w:r w:rsidRPr="000E4461">
                    <w:rPr>
                      <w:rFonts w:cs="Calibri"/>
                      <w:color w:val="000000"/>
                      <w:sz w:val="20"/>
                      <w:szCs w:val="20"/>
                    </w:rPr>
                    <w:t>17,41%</w:t>
                  </w:r>
                </w:p>
              </w:tc>
              <w:tc>
                <w:tcPr>
                  <w:tcW w:w="1560" w:type="dxa"/>
                  <w:tcBorders>
                    <w:top w:val="nil"/>
                    <w:left w:val="nil"/>
                    <w:bottom w:val="nil"/>
                    <w:right w:val="single" w:sz="4" w:space="0" w:color="auto"/>
                  </w:tcBorders>
                  <w:shd w:val="clear" w:color="auto" w:fill="auto"/>
                  <w:noWrap/>
                  <w:vAlign w:val="center"/>
                  <w:hideMark/>
                </w:tcPr>
                <w:p w14:paraId="109EBE98" w14:textId="77777777" w:rsidR="000A716F" w:rsidRPr="000E4461" w:rsidRDefault="000A716F" w:rsidP="00B143D9">
                  <w:pPr>
                    <w:jc w:val="center"/>
                    <w:rPr>
                      <w:rFonts w:cs="Calibri"/>
                      <w:color w:val="000000"/>
                      <w:sz w:val="20"/>
                      <w:szCs w:val="20"/>
                    </w:rPr>
                  </w:pPr>
                  <w:r w:rsidRPr="000E4461">
                    <w:rPr>
                      <w:rFonts w:cs="Calibri"/>
                      <w:color w:val="000000"/>
                      <w:sz w:val="20"/>
                      <w:szCs w:val="20"/>
                    </w:rPr>
                    <w:t>96,58</w:t>
                  </w:r>
                </w:p>
              </w:tc>
              <w:tc>
                <w:tcPr>
                  <w:tcW w:w="2113" w:type="dxa"/>
                  <w:tcBorders>
                    <w:top w:val="nil"/>
                    <w:left w:val="nil"/>
                    <w:bottom w:val="single" w:sz="4" w:space="0" w:color="auto"/>
                    <w:right w:val="single" w:sz="4" w:space="0" w:color="auto"/>
                  </w:tcBorders>
                  <w:shd w:val="clear" w:color="auto" w:fill="auto"/>
                  <w:noWrap/>
                  <w:vAlign w:val="center"/>
                  <w:hideMark/>
                </w:tcPr>
                <w:p w14:paraId="3502783B" w14:textId="77777777" w:rsidR="000A716F" w:rsidRPr="000E4461" w:rsidRDefault="000A716F" w:rsidP="00B143D9">
                  <w:pPr>
                    <w:jc w:val="center"/>
                    <w:rPr>
                      <w:rFonts w:cs="Calibri"/>
                      <w:color w:val="000000"/>
                      <w:sz w:val="20"/>
                      <w:szCs w:val="20"/>
                    </w:rPr>
                  </w:pPr>
                  <w:r w:rsidRPr="000E4461">
                    <w:rPr>
                      <w:rFonts w:cs="Calibri"/>
                      <w:color w:val="000000"/>
                      <w:sz w:val="20"/>
                      <w:szCs w:val="20"/>
                    </w:rPr>
                    <w:t>21,47%</w:t>
                  </w:r>
                </w:p>
              </w:tc>
            </w:tr>
            <w:tr w:rsidR="000A716F" w:rsidRPr="000E4461" w14:paraId="31F055B3" w14:textId="77777777" w:rsidTr="00D0091F">
              <w:trPr>
                <w:trHeight w:val="285"/>
                <w:jc w:val="center"/>
              </w:trPr>
              <w:tc>
                <w:tcPr>
                  <w:tcW w:w="1567" w:type="dxa"/>
                  <w:tcBorders>
                    <w:top w:val="single" w:sz="4" w:space="0" w:color="auto"/>
                    <w:left w:val="single" w:sz="4" w:space="0" w:color="auto"/>
                    <w:bottom w:val="double" w:sz="6" w:space="0" w:color="auto"/>
                    <w:right w:val="single" w:sz="4" w:space="0" w:color="auto"/>
                  </w:tcBorders>
                  <w:shd w:val="clear" w:color="auto" w:fill="C6D9F1" w:themeFill="text2" w:themeFillTint="33"/>
                  <w:noWrap/>
                  <w:vAlign w:val="center"/>
                  <w:hideMark/>
                </w:tcPr>
                <w:p w14:paraId="1F8844FD" w14:textId="20A07B4E" w:rsidR="000A716F" w:rsidRPr="000E4461" w:rsidRDefault="00027A75" w:rsidP="00B143D9">
                  <w:pPr>
                    <w:rPr>
                      <w:rFonts w:cs="Calibri"/>
                      <w:color w:val="000000"/>
                      <w:sz w:val="20"/>
                      <w:szCs w:val="20"/>
                    </w:rPr>
                  </w:pPr>
                  <w:r w:rsidRPr="000E4461">
                    <w:rPr>
                      <w:rFonts w:cs="Calibri"/>
                      <w:color w:val="000000"/>
                      <w:sz w:val="20"/>
                      <w:szCs w:val="20"/>
                    </w:rPr>
                    <w:t>Services</w:t>
                  </w:r>
                </w:p>
              </w:tc>
              <w:tc>
                <w:tcPr>
                  <w:tcW w:w="1418" w:type="dxa"/>
                  <w:tcBorders>
                    <w:top w:val="single" w:sz="4" w:space="0" w:color="auto"/>
                    <w:left w:val="nil"/>
                    <w:bottom w:val="double" w:sz="6" w:space="0" w:color="auto"/>
                    <w:right w:val="single" w:sz="4" w:space="0" w:color="auto"/>
                  </w:tcBorders>
                  <w:shd w:val="clear" w:color="auto" w:fill="auto"/>
                  <w:noWrap/>
                  <w:vAlign w:val="center"/>
                  <w:hideMark/>
                </w:tcPr>
                <w:p w14:paraId="49CB682A" w14:textId="77777777" w:rsidR="000A716F" w:rsidRPr="000E4461" w:rsidRDefault="000A716F" w:rsidP="00B143D9">
                  <w:pPr>
                    <w:jc w:val="center"/>
                    <w:rPr>
                      <w:rFonts w:cs="Calibri"/>
                      <w:color w:val="000000"/>
                      <w:sz w:val="20"/>
                      <w:szCs w:val="20"/>
                    </w:rPr>
                  </w:pPr>
                  <w:r w:rsidRPr="000E4461">
                    <w:rPr>
                      <w:rFonts w:cs="Calibri"/>
                      <w:color w:val="000000"/>
                      <w:sz w:val="20"/>
                      <w:szCs w:val="20"/>
                    </w:rPr>
                    <w:t>80</w:t>
                  </w:r>
                </w:p>
              </w:tc>
              <w:tc>
                <w:tcPr>
                  <w:tcW w:w="2409" w:type="dxa"/>
                  <w:tcBorders>
                    <w:top w:val="single" w:sz="4" w:space="0" w:color="auto"/>
                    <w:left w:val="nil"/>
                    <w:bottom w:val="double" w:sz="6" w:space="0" w:color="auto"/>
                    <w:right w:val="single" w:sz="4" w:space="0" w:color="auto"/>
                  </w:tcBorders>
                  <w:shd w:val="clear" w:color="auto" w:fill="auto"/>
                  <w:noWrap/>
                  <w:vAlign w:val="center"/>
                  <w:hideMark/>
                </w:tcPr>
                <w:p w14:paraId="1B67ED53" w14:textId="77777777" w:rsidR="000A716F" w:rsidRPr="000E4461" w:rsidRDefault="000A716F" w:rsidP="00B143D9">
                  <w:pPr>
                    <w:jc w:val="center"/>
                    <w:rPr>
                      <w:rFonts w:cs="Calibri"/>
                      <w:color w:val="000000"/>
                      <w:sz w:val="20"/>
                      <w:szCs w:val="20"/>
                    </w:rPr>
                  </w:pPr>
                  <w:r w:rsidRPr="000E4461">
                    <w:rPr>
                      <w:rFonts w:cs="Calibri"/>
                      <w:color w:val="000000"/>
                      <w:sz w:val="20"/>
                      <w:szCs w:val="20"/>
                    </w:rPr>
                    <w:t>5,24%</w:t>
                  </w:r>
                </w:p>
              </w:tc>
              <w:tc>
                <w:tcPr>
                  <w:tcW w:w="1560" w:type="dxa"/>
                  <w:tcBorders>
                    <w:top w:val="single" w:sz="4" w:space="0" w:color="auto"/>
                    <w:left w:val="nil"/>
                    <w:bottom w:val="double" w:sz="6" w:space="0" w:color="auto"/>
                    <w:right w:val="single" w:sz="4" w:space="0" w:color="auto"/>
                  </w:tcBorders>
                  <w:shd w:val="clear" w:color="auto" w:fill="auto"/>
                  <w:noWrap/>
                  <w:vAlign w:val="center"/>
                  <w:hideMark/>
                </w:tcPr>
                <w:p w14:paraId="7D08495D" w14:textId="77777777" w:rsidR="000A716F" w:rsidRPr="000E4461" w:rsidRDefault="000A716F" w:rsidP="00B143D9">
                  <w:pPr>
                    <w:jc w:val="center"/>
                    <w:rPr>
                      <w:rFonts w:cs="Calibri"/>
                      <w:color w:val="000000"/>
                      <w:sz w:val="20"/>
                      <w:szCs w:val="20"/>
                    </w:rPr>
                  </w:pPr>
                  <w:r w:rsidRPr="000E4461">
                    <w:rPr>
                      <w:rFonts w:cs="Calibri"/>
                      <w:color w:val="000000"/>
                      <w:sz w:val="20"/>
                      <w:szCs w:val="20"/>
                    </w:rPr>
                    <w:t>2,44</w:t>
                  </w:r>
                </w:p>
              </w:tc>
              <w:tc>
                <w:tcPr>
                  <w:tcW w:w="2113" w:type="dxa"/>
                  <w:tcBorders>
                    <w:top w:val="nil"/>
                    <w:left w:val="nil"/>
                    <w:bottom w:val="double" w:sz="6" w:space="0" w:color="auto"/>
                    <w:right w:val="single" w:sz="4" w:space="0" w:color="auto"/>
                  </w:tcBorders>
                  <w:shd w:val="clear" w:color="auto" w:fill="auto"/>
                  <w:noWrap/>
                  <w:vAlign w:val="center"/>
                  <w:hideMark/>
                </w:tcPr>
                <w:p w14:paraId="41F3682D" w14:textId="77777777" w:rsidR="000A716F" w:rsidRPr="000E4461" w:rsidRDefault="000A716F" w:rsidP="00B143D9">
                  <w:pPr>
                    <w:jc w:val="center"/>
                    <w:rPr>
                      <w:rFonts w:cs="Calibri"/>
                      <w:color w:val="000000"/>
                      <w:sz w:val="20"/>
                      <w:szCs w:val="20"/>
                    </w:rPr>
                  </w:pPr>
                  <w:r w:rsidRPr="000E4461">
                    <w:rPr>
                      <w:rFonts w:cs="Calibri"/>
                      <w:color w:val="000000"/>
                      <w:sz w:val="20"/>
                      <w:szCs w:val="20"/>
                    </w:rPr>
                    <w:t>4,09%</w:t>
                  </w:r>
                </w:p>
              </w:tc>
            </w:tr>
            <w:tr w:rsidR="000A716F" w:rsidRPr="000E4461" w14:paraId="4756A783" w14:textId="77777777" w:rsidTr="00D0091F">
              <w:trPr>
                <w:trHeight w:val="315"/>
                <w:jc w:val="center"/>
              </w:trPr>
              <w:tc>
                <w:tcPr>
                  <w:tcW w:w="156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C147536" w14:textId="1EB0BA15" w:rsidR="000A716F" w:rsidRPr="000E4461" w:rsidRDefault="00027A75" w:rsidP="00B143D9">
                  <w:pPr>
                    <w:rPr>
                      <w:rFonts w:cs="Calibri"/>
                      <w:b/>
                      <w:bCs/>
                      <w:color w:val="000000"/>
                      <w:sz w:val="20"/>
                      <w:szCs w:val="20"/>
                    </w:rPr>
                  </w:pPr>
                  <w:r w:rsidRPr="000E4461">
                    <w:rPr>
                      <w:rFonts w:cs="Calibri"/>
                      <w:b/>
                      <w:bCs/>
                      <w:color w:val="000000"/>
                      <w:sz w:val="20"/>
                      <w:szCs w:val="20"/>
                    </w:rPr>
                    <w:t>Total</w:t>
                  </w:r>
                </w:p>
              </w:tc>
              <w:tc>
                <w:tcPr>
                  <w:tcW w:w="1418" w:type="dxa"/>
                  <w:tcBorders>
                    <w:top w:val="nil"/>
                    <w:left w:val="nil"/>
                    <w:bottom w:val="single" w:sz="4" w:space="0" w:color="auto"/>
                    <w:right w:val="single" w:sz="4" w:space="0" w:color="auto"/>
                  </w:tcBorders>
                  <w:shd w:val="clear" w:color="auto" w:fill="auto"/>
                  <w:noWrap/>
                  <w:vAlign w:val="center"/>
                  <w:hideMark/>
                </w:tcPr>
                <w:p w14:paraId="67E199DE" w14:textId="77777777" w:rsidR="000A716F" w:rsidRPr="000E4461" w:rsidRDefault="000A716F" w:rsidP="00B143D9">
                  <w:pPr>
                    <w:jc w:val="center"/>
                    <w:rPr>
                      <w:rFonts w:cs="Calibri"/>
                      <w:b/>
                      <w:bCs/>
                      <w:color w:val="000000"/>
                      <w:sz w:val="20"/>
                      <w:szCs w:val="20"/>
                    </w:rPr>
                  </w:pPr>
                  <w:r w:rsidRPr="000E4461">
                    <w:rPr>
                      <w:rFonts w:cs="Calibri"/>
                      <w:b/>
                      <w:bCs/>
                      <w:color w:val="000000"/>
                      <w:sz w:val="20"/>
                      <w:szCs w:val="20"/>
                    </w:rPr>
                    <w:t>831</w:t>
                  </w:r>
                </w:p>
              </w:tc>
              <w:tc>
                <w:tcPr>
                  <w:tcW w:w="2409" w:type="dxa"/>
                  <w:tcBorders>
                    <w:top w:val="nil"/>
                    <w:left w:val="nil"/>
                    <w:bottom w:val="single" w:sz="4" w:space="0" w:color="auto"/>
                    <w:right w:val="single" w:sz="4" w:space="0" w:color="auto"/>
                  </w:tcBorders>
                  <w:shd w:val="clear" w:color="auto" w:fill="auto"/>
                  <w:noWrap/>
                  <w:vAlign w:val="center"/>
                  <w:hideMark/>
                </w:tcPr>
                <w:p w14:paraId="54D8C039" w14:textId="77777777" w:rsidR="000A716F" w:rsidRPr="000E4461" w:rsidRDefault="000A716F" w:rsidP="00B143D9">
                  <w:pPr>
                    <w:jc w:val="center"/>
                    <w:rPr>
                      <w:rFonts w:cs="Calibri"/>
                      <w:b/>
                      <w:bCs/>
                      <w:color w:val="000000"/>
                      <w:sz w:val="20"/>
                      <w:szCs w:val="20"/>
                    </w:rPr>
                  </w:pPr>
                  <w:r w:rsidRPr="000E4461">
                    <w:rPr>
                      <w:rFonts w:cs="Calibri"/>
                      <w:b/>
                      <w:bCs/>
                      <w:color w:val="000000"/>
                      <w:sz w:val="20"/>
                      <w:szCs w:val="20"/>
                    </w:rPr>
                    <w:t>12,15%</w:t>
                  </w:r>
                </w:p>
              </w:tc>
              <w:tc>
                <w:tcPr>
                  <w:tcW w:w="1560" w:type="dxa"/>
                  <w:tcBorders>
                    <w:top w:val="nil"/>
                    <w:left w:val="nil"/>
                    <w:bottom w:val="single" w:sz="4" w:space="0" w:color="auto"/>
                    <w:right w:val="single" w:sz="4" w:space="0" w:color="auto"/>
                  </w:tcBorders>
                  <w:shd w:val="clear" w:color="auto" w:fill="auto"/>
                  <w:noWrap/>
                  <w:vAlign w:val="center"/>
                  <w:hideMark/>
                </w:tcPr>
                <w:p w14:paraId="1A533E19" w14:textId="77777777" w:rsidR="000A716F" w:rsidRPr="000E4461" w:rsidRDefault="000A716F" w:rsidP="00B143D9">
                  <w:pPr>
                    <w:jc w:val="center"/>
                    <w:rPr>
                      <w:rFonts w:cs="Calibri"/>
                      <w:b/>
                      <w:bCs/>
                      <w:color w:val="000000"/>
                      <w:sz w:val="20"/>
                      <w:szCs w:val="20"/>
                    </w:rPr>
                  </w:pPr>
                  <w:r w:rsidRPr="000E4461">
                    <w:rPr>
                      <w:rFonts w:cs="Calibri"/>
                      <w:b/>
                      <w:bCs/>
                      <w:color w:val="000000"/>
                      <w:sz w:val="20"/>
                      <w:szCs w:val="20"/>
                    </w:rPr>
                    <w:t>102,87</w:t>
                  </w:r>
                </w:p>
              </w:tc>
              <w:tc>
                <w:tcPr>
                  <w:tcW w:w="2113" w:type="dxa"/>
                  <w:tcBorders>
                    <w:top w:val="nil"/>
                    <w:left w:val="nil"/>
                    <w:bottom w:val="single" w:sz="4" w:space="0" w:color="auto"/>
                    <w:right w:val="single" w:sz="4" w:space="0" w:color="auto"/>
                  </w:tcBorders>
                  <w:shd w:val="clear" w:color="auto" w:fill="auto"/>
                  <w:noWrap/>
                  <w:vAlign w:val="center"/>
                  <w:hideMark/>
                </w:tcPr>
                <w:p w14:paraId="0682146F" w14:textId="77777777" w:rsidR="000A716F" w:rsidRPr="000E4461" w:rsidRDefault="000A716F" w:rsidP="00B143D9">
                  <w:pPr>
                    <w:jc w:val="center"/>
                    <w:rPr>
                      <w:rFonts w:cs="Calibri"/>
                      <w:b/>
                      <w:bCs/>
                      <w:color w:val="000000"/>
                      <w:sz w:val="20"/>
                      <w:szCs w:val="20"/>
                    </w:rPr>
                  </w:pPr>
                  <w:r w:rsidRPr="000E4461">
                    <w:rPr>
                      <w:rFonts w:cs="Calibri"/>
                      <w:b/>
                      <w:bCs/>
                      <w:color w:val="000000"/>
                      <w:sz w:val="20"/>
                      <w:szCs w:val="20"/>
                    </w:rPr>
                    <w:t>18,10%</w:t>
                  </w:r>
                </w:p>
              </w:tc>
            </w:tr>
          </w:tbl>
          <w:bookmarkEnd w:id="0"/>
          <w:p w14:paraId="09E1397E" w14:textId="57482F7C" w:rsidR="002A7927" w:rsidRPr="00010E96" w:rsidRDefault="00FB3536" w:rsidP="004C2686">
            <w:pPr>
              <w:jc w:val="both"/>
              <w:rPr>
                <w:i/>
                <w:sz w:val="20"/>
                <w:szCs w:val="20"/>
              </w:rPr>
            </w:pPr>
            <w:r w:rsidRPr="00010E96">
              <w:rPr>
                <w:i/>
                <w:sz w:val="20"/>
                <w:szCs w:val="20"/>
              </w:rPr>
              <w:t xml:space="preserve">* </w:t>
            </w:r>
            <w:r w:rsidR="004C2686" w:rsidRPr="00010E96">
              <w:rPr>
                <w:i/>
                <w:sz w:val="20"/>
                <w:szCs w:val="20"/>
              </w:rPr>
              <w:t>The table includes only statistical data concerning the national regime</w:t>
            </w:r>
            <w:r w:rsidR="002313BF" w:rsidRPr="00010E96">
              <w:rPr>
                <w:i/>
                <w:sz w:val="20"/>
                <w:szCs w:val="20"/>
              </w:rPr>
              <w:t xml:space="preserve">, </w:t>
            </w:r>
            <w:r w:rsidR="002A7927" w:rsidRPr="00010E96">
              <w:rPr>
                <w:i/>
                <w:sz w:val="20"/>
                <w:szCs w:val="20"/>
              </w:rPr>
              <w:t xml:space="preserve">since the EU standard forms don’t contain specific fields for this purpose unlike the Hungarian standard forms in national regime. The Public Procurement Authority collects statistical data from contract award notices nevertheless these statistics don’t </w:t>
            </w:r>
            <w:r w:rsidR="00CC0320" w:rsidRPr="00010E96">
              <w:rPr>
                <w:i/>
                <w:sz w:val="20"/>
                <w:szCs w:val="20"/>
              </w:rPr>
              <w:t xml:space="preserve">even </w:t>
            </w:r>
            <w:r w:rsidR="002A7927" w:rsidRPr="00010E96">
              <w:rPr>
                <w:i/>
                <w:sz w:val="20"/>
                <w:szCs w:val="20"/>
              </w:rPr>
              <w:t xml:space="preserve">show an accurate picture because </w:t>
            </w:r>
            <w:r w:rsidR="00CC0320" w:rsidRPr="00010E96">
              <w:rPr>
                <w:i/>
                <w:sz w:val="20"/>
                <w:szCs w:val="20"/>
              </w:rPr>
              <w:t>marking green, social or innovative criteria in the notice is not compulsory, it is always the decision of the contracting authority.</w:t>
            </w:r>
          </w:p>
          <w:p w14:paraId="6B877B45" w14:textId="77777777" w:rsidR="008847CB" w:rsidRPr="000E4461" w:rsidRDefault="008847CB" w:rsidP="004C2686">
            <w:pPr>
              <w:jc w:val="both"/>
            </w:pPr>
          </w:p>
          <w:p w14:paraId="79C39456" w14:textId="01FFC82A" w:rsidR="00845575" w:rsidRPr="000E4461" w:rsidRDefault="00845575" w:rsidP="004C2686">
            <w:pPr>
              <w:jc w:val="both"/>
            </w:pPr>
            <w:r w:rsidRPr="000E4461">
              <w:t xml:space="preserve">One of the challenges we see as regards to green public procurement is that contracting authorities are afraid to use the tools provided by the new directives – specifically lifecycle-costing tools. A primary reason for this is that there are not many good practices concerning its correct application. To help contracting authorities gain a better understanding of life-cycle costing, the Prime Minister’s office joined the „Public Procurement (PP) good practice sharing across the EU for improving the delivery of European Structural and Investment (ESI) Funds" initiative of the Commission. Within the framework of this programme, we received assistance from </w:t>
            </w:r>
            <w:proofErr w:type="spellStart"/>
            <w:r w:rsidRPr="000E4461">
              <w:t>PriceWaterhouse</w:t>
            </w:r>
            <w:proofErr w:type="spellEnd"/>
            <w:r w:rsidRPr="000E4461">
              <w:t xml:space="preserve"> Coopers Luxembourg, who presented the Swedish practice to us. After receiving the final feasibility study from them, we plan on disseminating what we learned and hope that contracting authorities will be more open to using this tool in practice.</w:t>
            </w:r>
          </w:p>
          <w:p w14:paraId="229ABA49" w14:textId="664C601A" w:rsidR="004C2686" w:rsidRPr="000E4461" w:rsidRDefault="004C2686" w:rsidP="004C2686">
            <w:pPr>
              <w:jc w:val="both"/>
            </w:pPr>
          </w:p>
        </w:tc>
      </w:tr>
      <w:tr w:rsidR="00994F58" w:rsidRPr="000E4461" w14:paraId="448ED29A" w14:textId="77777777" w:rsidTr="00DA0336">
        <w:trPr>
          <w:trHeight w:val="611"/>
        </w:trPr>
        <w:tc>
          <w:tcPr>
            <w:tcW w:w="1648" w:type="pct"/>
          </w:tcPr>
          <w:p w14:paraId="34A7A084" w14:textId="766D9FD6" w:rsidR="00994F58" w:rsidRPr="000E4461" w:rsidRDefault="00994F58" w:rsidP="00994F58">
            <w:pPr>
              <w:pStyle w:val="Cmsor3"/>
              <w:outlineLvl w:val="2"/>
            </w:pPr>
            <w:r w:rsidRPr="000E4461">
              <w:lastRenderedPageBreak/>
              <w:t>V.2 Socially responsible public procurement ('SRPP')</w:t>
            </w:r>
          </w:p>
        </w:tc>
        <w:tc>
          <w:tcPr>
            <w:tcW w:w="3352" w:type="pct"/>
          </w:tcPr>
          <w:p w14:paraId="1DC5B3C8" w14:textId="2B492AE4" w:rsidR="00994F58" w:rsidRPr="000E4461" w:rsidRDefault="00994F58" w:rsidP="006753EC">
            <w:pPr>
              <w:jc w:val="both"/>
            </w:pPr>
          </w:p>
        </w:tc>
      </w:tr>
      <w:tr w:rsidR="005F0ADF" w:rsidRPr="000E4461" w14:paraId="449FD48B" w14:textId="77777777" w:rsidTr="00994F58">
        <w:trPr>
          <w:trHeight w:val="415"/>
        </w:trPr>
        <w:tc>
          <w:tcPr>
            <w:tcW w:w="1648" w:type="pct"/>
          </w:tcPr>
          <w:p w14:paraId="22C63DEE" w14:textId="36B98714" w:rsidR="005F0ADF" w:rsidRPr="000E4461" w:rsidRDefault="007C7271" w:rsidP="005F0ADF">
            <w:pPr>
              <w:pStyle w:val="Cmsor3"/>
              <w:outlineLvl w:val="2"/>
              <w:rPr>
                <w:b w:val="0"/>
              </w:rPr>
            </w:pPr>
            <w:r w:rsidRPr="000E4461">
              <w:t>V</w:t>
            </w:r>
            <w:r w:rsidR="00DD5AB5" w:rsidRPr="000E4461">
              <w:t>.2.</w:t>
            </w:r>
            <w:r w:rsidR="00994F58" w:rsidRPr="000E4461">
              <w:t>1</w:t>
            </w:r>
            <w:r w:rsidR="00DD5AB5" w:rsidRPr="000E4461">
              <w:t xml:space="preserve"> </w:t>
            </w:r>
            <w:r w:rsidR="00C96DD0" w:rsidRPr="000E4461">
              <w:t>Qualitative reporting</w:t>
            </w:r>
          </w:p>
        </w:tc>
        <w:tc>
          <w:tcPr>
            <w:tcW w:w="3352" w:type="pct"/>
          </w:tcPr>
          <w:p w14:paraId="6D0A710C" w14:textId="45C84343" w:rsidR="005F0ADF" w:rsidRPr="000E4461" w:rsidRDefault="005F0ADF" w:rsidP="006753EC">
            <w:pPr>
              <w:jc w:val="both"/>
              <w:rPr>
                <w:i/>
              </w:rPr>
            </w:pPr>
          </w:p>
        </w:tc>
      </w:tr>
      <w:tr w:rsidR="005F0ADF" w:rsidRPr="000E4461" w14:paraId="463AA80D" w14:textId="77777777" w:rsidTr="005F0ADF">
        <w:tc>
          <w:tcPr>
            <w:tcW w:w="1648" w:type="pct"/>
          </w:tcPr>
          <w:p w14:paraId="42A9A3A6" w14:textId="76F59BD5" w:rsidR="005F0ADF" w:rsidRPr="000E4461" w:rsidRDefault="00DD5AB5" w:rsidP="007217FF">
            <w:pPr>
              <w:pStyle w:val="Cmsor3"/>
              <w:outlineLvl w:val="2"/>
              <w:rPr>
                <w:b w:val="0"/>
              </w:rPr>
            </w:pPr>
            <w:r w:rsidRPr="000E4461">
              <w:rPr>
                <w:b w:val="0"/>
              </w:rPr>
              <w:t>Key challenges encountered</w:t>
            </w:r>
          </w:p>
        </w:tc>
        <w:tc>
          <w:tcPr>
            <w:tcW w:w="3352" w:type="pct"/>
          </w:tcPr>
          <w:p w14:paraId="25ACC254" w14:textId="2593A2EF" w:rsidR="008E2F25" w:rsidRPr="000E4461" w:rsidRDefault="008E2F25" w:rsidP="006753EC">
            <w:pPr>
              <w:jc w:val="both"/>
            </w:pPr>
            <w:r w:rsidRPr="000E4461">
              <w:t>On the basis of Art. 187 (2) of the PPA the Public Procurement Authority keeps and publishes a list of sheltered places of employment in order to enhance the use of socially responsible public procurements (</w:t>
            </w:r>
            <w:hyperlink r:id="rId36" w:history="1">
              <w:r w:rsidRPr="000E4461">
                <w:rPr>
                  <w:rStyle w:val="Hiperhivatkozs"/>
                </w:rPr>
                <w:t>http://www.kozbeszerzes.hu/cikkek/vedett-munkahelyek</w:t>
              </w:r>
            </w:hyperlink>
            <w:r w:rsidRPr="000E4461">
              <w:t>).</w:t>
            </w:r>
          </w:p>
          <w:p w14:paraId="4E57C7BD" w14:textId="77777777" w:rsidR="008E2F25" w:rsidRPr="000E4461" w:rsidRDefault="008E2F25" w:rsidP="006753EC">
            <w:pPr>
              <w:jc w:val="both"/>
            </w:pPr>
          </w:p>
          <w:p w14:paraId="1D4BB760" w14:textId="7BA2DC65" w:rsidR="003D2F5E" w:rsidRPr="000E4461" w:rsidRDefault="00147F25" w:rsidP="00147F25">
            <w:pPr>
              <w:jc w:val="both"/>
            </w:pPr>
            <w:r w:rsidRPr="000E4461">
              <w:t xml:space="preserve">There is such a list on the webpage of the Hungarian National Asset Management Inc. which also includes </w:t>
            </w:r>
            <w:r w:rsidR="003D2F5E" w:rsidRPr="000E4461">
              <w:t>the products manufactured or distributed and the services provided</w:t>
            </w:r>
            <w:r w:rsidRPr="000E4461">
              <w:t xml:space="preserve"> by sheltered places of employment (</w:t>
            </w:r>
            <w:hyperlink r:id="rId37" w:history="1">
              <w:r w:rsidR="00C324B0" w:rsidRPr="000E4461">
                <w:rPr>
                  <w:rStyle w:val="Hiperhivatkozs"/>
                </w:rPr>
                <w:t>http://www.mnvzrt.hu/szocialisan_felelos_kozbeszerzes</w:t>
              </w:r>
            </w:hyperlink>
            <w:r w:rsidRPr="000E4461">
              <w:t>).</w:t>
            </w:r>
          </w:p>
          <w:p w14:paraId="7CC69A1D" w14:textId="77777777" w:rsidR="00C12A14" w:rsidRPr="000E4461" w:rsidRDefault="00C12A14" w:rsidP="00147F25">
            <w:pPr>
              <w:jc w:val="both"/>
            </w:pPr>
          </w:p>
          <w:p w14:paraId="35457F8A" w14:textId="4E671A1E" w:rsidR="00C12A14" w:rsidRPr="000E4461" w:rsidRDefault="00C12A14" w:rsidP="003D5152">
            <w:pPr>
              <w:jc w:val="both"/>
            </w:pPr>
            <w:r w:rsidRPr="000E4461">
              <w:t xml:space="preserve">For </w:t>
            </w:r>
            <w:r w:rsidR="003D5152" w:rsidRPr="000E4461">
              <w:t xml:space="preserve">further </w:t>
            </w:r>
            <w:r w:rsidRPr="000E4461">
              <w:t xml:space="preserve">challenges and measures to overcome them </w:t>
            </w:r>
            <w:r w:rsidR="00202B87" w:rsidRPr="000E4461">
              <w:t xml:space="preserve">applicable to all three fields of strategic procurement </w:t>
            </w:r>
            <w:r w:rsidRPr="000E4461">
              <w:t>please see point V.3.1.</w:t>
            </w:r>
          </w:p>
        </w:tc>
      </w:tr>
      <w:tr w:rsidR="005F0ADF" w:rsidRPr="000E4461" w14:paraId="259FB2D5" w14:textId="77777777" w:rsidTr="005F0ADF">
        <w:tc>
          <w:tcPr>
            <w:tcW w:w="1648" w:type="pct"/>
          </w:tcPr>
          <w:p w14:paraId="217FE28F" w14:textId="151E13DD" w:rsidR="005F0ADF" w:rsidRPr="000E4461" w:rsidRDefault="007C7271" w:rsidP="005F0ADF">
            <w:r w:rsidRPr="000E4461">
              <w:rPr>
                <w:b/>
              </w:rPr>
              <w:t>V</w:t>
            </w:r>
            <w:r w:rsidR="00DD5AB5" w:rsidRPr="000E4461">
              <w:rPr>
                <w:b/>
              </w:rPr>
              <w:t xml:space="preserve">.2.2. </w:t>
            </w:r>
            <w:r w:rsidR="0037143F" w:rsidRPr="000E4461">
              <w:rPr>
                <w:b/>
              </w:rPr>
              <w:t>Supporting documents</w:t>
            </w:r>
          </w:p>
        </w:tc>
        <w:tc>
          <w:tcPr>
            <w:tcW w:w="3352" w:type="pct"/>
          </w:tcPr>
          <w:p w14:paraId="31ABC48A" w14:textId="346099AB" w:rsidR="005F0ADF" w:rsidRPr="000E4461" w:rsidRDefault="005F0ADF" w:rsidP="005F0ADF">
            <w:pPr>
              <w:jc w:val="both"/>
            </w:pPr>
            <w:r w:rsidRPr="000E4461">
              <w:t xml:space="preserve"> </w:t>
            </w:r>
          </w:p>
        </w:tc>
      </w:tr>
      <w:tr w:rsidR="00DD5AB5" w:rsidRPr="000E4461" w14:paraId="4F3CF26A" w14:textId="77777777" w:rsidTr="005F0ADF">
        <w:tc>
          <w:tcPr>
            <w:tcW w:w="1648" w:type="pct"/>
          </w:tcPr>
          <w:p w14:paraId="2775CB89" w14:textId="415ED284" w:rsidR="00DD5AB5" w:rsidRPr="000E4461" w:rsidRDefault="00DD5AB5" w:rsidP="0037143F">
            <w:pPr>
              <w:rPr>
                <w:b/>
              </w:rPr>
            </w:pPr>
            <w:r w:rsidRPr="000E4461">
              <w:t>Please report any available evidence or supporting document</w:t>
            </w:r>
            <w:r w:rsidR="006753EC" w:rsidRPr="000E4461">
              <w:t xml:space="preserve"> for point </w:t>
            </w:r>
            <w:r w:rsidR="007C7271" w:rsidRPr="000E4461">
              <w:t>V</w:t>
            </w:r>
            <w:r w:rsidR="006753EC" w:rsidRPr="000E4461">
              <w:t>.2</w:t>
            </w:r>
            <w:r w:rsidR="002C131E" w:rsidRPr="000E4461">
              <w:t>.1</w:t>
            </w:r>
            <w:r w:rsidRPr="000E4461">
              <w:t xml:space="preserve"> illustrating the measures, achievements or challenges faced, relating to the promotion of SRPP. </w:t>
            </w:r>
          </w:p>
        </w:tc>
        <w:tc>
          <w:tcPr>
            <w:tcW w:w="3352" w:type="pct"/>
          </w:tcPr>
          <w:p w14:paraId="029E672A" w14:textId="77777777" w:rsidR="003E7FCE" w:rsidRPr="000E4461" w:rsidRDefault="003E7FCE" w:rsidP="003E7FCE">
            <w:pPr>
              <w:jc w:val="both"/>
            </w:pPr>
          </w:p>
          <w:p w14:paraId="4CB1EE59" w14:textId="77777777" w:rsidR="003E7FCE" w:rsidRPr="000E4461" w:rsidRDefault="003E7FCE" w:rsidP="003E7FCE">
            <w:pPr>
              <w:jc w:val="both"/>
            </w:pPr>
            <w:r w:rsidRPr="000E4461">
              <w:t>The PPA contains the following rules connected to SRPP:</w:t>
            </w:r>
          </w:p>
          <w:p w14:paraId="47146759" w14:textId="77777777" w:rsidR="0058688E" w:rsidRPr="000E4461" w:rsidRDefault="0058688E" w:rsidP="003E7FCE">
            <w:pPr>
              <w:jc w:val="both"/>
            </w:pPr>
          </w:p>
          <w:p w14:paraId="217FED01" w14:textId="08A38CC5" w:rsidR="003E7FCE" w:rsidRPr="000E4461" w:rsidRDefault="000E04A7" w:rsidP="003E7FCE">
            <w:pPr>
              <w:jc w:val="both"/>
              <w:rPr>
                <w:b/>
              </w:rPr>
            </w:pPr>
            <w:r w:rsidRPr="000E4461">
              <w:rPr>
                <w:b/>
              </w:rPr>
              <w:t>I</w:t>
            </w:r>
            <w:r w:rsidR="000825F4" w:rsidRPr="000E4461">
              <w:rPr>
                <w:b/>
              </w:rPr>
              <w:t>. Reserved contracts – Art. 33-34</w:t>
            </w:r>
          </w:p>
          <w:p w14:paraId="74CDAA3B" w14:textId="77777777" w:rsidR="0058688E" w:rsidRPr="000E4461" w:rsidRDefault="0058688E" w:rsidP="000825F4">
            <w:pPr>
              <w:jc w:val="both"/>
            </w:pPr>
          </w:p>
          <w:p w14:paraId="23AA2A82" w14:textId="7A483A1F" w:rsidR="000825F4" w:rsidRDefault="000825F4" w:rsidP="000825F4">
            <w:pPr>
              <w:jc w:val="both"/>
              <w:rPr>
                <w:u w:val="single"/>
              </w:rPr>
            </w:pPr>
            <w:r w:rsidRPr="00500037">
              <w:rPr>
                <w:u w:val="single"/>
              </w:rPr>
              <w:t>Art. 33</w:t>
            </w:r>
          </w:p>
          <w:p w14:paraId="51DBEE3E" w14:textId="77777777" w:rsidR="00500037" w:rsidRPr="00500037" w:rsidRDefault="00500037" w:rsidP="000825F4">
            <w:pPr>
              <w:jc w:val="both"/>
              <w:rPr>
                <w:u w:val="single"/>
              </w:rPr>
            </w:pPr>
          </w:p>
          <w:p w14:paraId="69322D22" w14:textId="720E6191" w:rsidR="000825F4" w:rsidRPr="000E4461" w:rsidRDefault="000825F4" w:rsidP="00500037">
            <w:pPr>
              <w:pStyle w:val="Listaszerbekezds"/>
              <w:numPr>
                <w:ilvl w:val="0"/>
                <w:numId w:val="52"/>
              </w:numPr>
              <w:ind w:left="347" w:hanging="284"/>
              <w:jc w:val="both"/>
            </w:pPr>
            <w:r w:rsidRPr="000E4461">
              <w:t xml:space="preserve">Contracting authorities may or, if the Government so provides, shall reserve the right to participate in a public procurement procedure for organizations qualifying as sheltered place of employment, employing </w:t>
            </w:r>
            <w:r w:rsidR="00D96670" w:rsidRPr="000E4461">
              <w:t>persons with reduced ability to work or disadvantaged workers more than 30 %</w:t>
            </w:r>
            <w:r w:rsidRPr="000E4461">
              <w:t xml:space="preserve">, furthermore, for developmental employers, provided more than 30% of their employees are involved in developmental employment. Contracting authorities may or, if the Government so provides, shall require that the public </w:t>
            </w:r>
            <w:r w:rsidR="00C96B72" w:rsidRPr="000E4461">
              <w:t xml:space="preserve">procurement </w:t>
            </w:r>
            <w:r w:rsidRPr="000E4461">
              <w:t xml:space="preserve">contract </w:t>
            </w:r>
            <w:r w:rsidR="00C96B72" w:rsidRPr="000E4461">
              <w:t xml:space="preserve">have to </w:t>
            </w:r>
            <w:r w:rsidRPr="000E4461">
              <w:t xml:space="preserve">be performed in the framework of a job creation programme, provided at least 30% of the people employed </w:t>
            </w:r>
            <w:r w:rsidR="003D2399" w:rsidRPr="000E4461">
              <w:t>during</w:t>
            </w:r>
            <w:r w:rsidRPr="000E4461">
              <w:t xml:space="preserve"> the performance of the contract are </w:t>
            </w:r>
            <w:r w:rsidR="003D2399" w:rsidRPr="000E4461">
              <w:t>persons with reduced ability to work, disabled or disadvantaged workers</w:t>
            </w:r>
            <w:r w:rsidRPr="000E4461">
              <w:t xml:space="preserve"> (sheltered employment programmes). Contracting authorities shall refer to this fact in the contract notice.</w:t>
            </w:r>
          </w:p>
          <w:p w14:paraId="44FA56CE" w14:textId="77777777" w:rsidR="000825F4" w:rsidRPr="000E4461" w:rsidRDefault="000825F4" w:rsidP="000825F4">
            <w:pPr>
              <w:jc w:val="both"/>
            </w:pPr>
          </w:p>
          <w:p w14:paraId="778FE66C" w14:textId="19A93AFC" w:rsidR="000825F4" w:rsidRPr="000E4461" w:rsidRDefault="000825F4" w:rsidP="00500037">
            <w:pPr>
              <w:pStyle w:val="Listaszerbekezds"/>
              <w:numPr>
                <w:ilvl w:val="0"/>
                <w:numId w:val="52"/>
              </w:numPr>
              <w:ind w:left="347" w:hanging="284"/>
              <w:jc w:val="both"/>
            </w:pPr>
            <w:r w:rsidRPr="000E4461">
              <w:t>In the case of contracts that are</w:t>
            </w:r>
            <w:r w:rsidR="0058688E" w:rsidRPr="000E4461">
              <w:t xml:space="preserve"> reserved according to point</w:t>
            </w:r>
            <w:r w:rsidRPr="000E4461">
              <w:t xml:space="preserve"> 1, contracting authorities shall ensure equal </w:t>
            </w:r>
            <w:r w:rsidRPr="000E4461">
              <w:lastRenderedPageBreak/>
              <w:t xml:space="preserve">rights, where more than 30% of the employees of an economic operator established within the European Union are </w:t>
            </w:r>
            <w:r w:rsidR="0058688E" w:rsidRPr="000E4461">
              <w:t>persons with reduced ability to work, disabled or disadvantaged workers</w:t>
            </w:r>
            <w:r w:rsidRPr="000E4461">
              <w:t>.</w:t>
            </w:r>
          </w:p>
          <w:p w14:paraId="41884B6E" w14:textId="77777777" w:rsidR="00C30E03" w:rsidRPr="000E4461" w:rsidRDefault="00C30E03" w:rsidP="000825F4">
            <w:pPr>
              <w:jc w:val="both"/>
            </w:pPr>
          </w:p>
          <w:p w14:paraId="24C29733" w14:textId="77777777" w:rsidR="00C30E03" w:rsidRDefault="00C30E03" w:rsidP="000825F4">
            <w:pPr>
              <w:jc w:val="both"/>
              <w:rPr>
                <w:u w:val="single"/>
              </w:rPr>
            </w:pPr>
            <w:r w:rsidRPr="00500037">
              <w:rPr>
                <w:u w:val="single"/>
              </w:rPr>
              <w:t>Art. 34</w:t>
            </w:r>
          </w:p>
          <w:p w14:paraId="3D758D97" w14:textId="77777777" w:rsidR="00500037" w:rsidRPr="00500037" w:rsidRDefault="00500037" w:rsidP="000825F4">
            <w:pPr>
              <w:jc w:val="both"/>
              <w:rPr>
                <w:u w:val="single"/>
              </w:rPr>
            </w:pPr>
          </w:p>
          <w:p w14:paraId="4AFEAAE8" w14:textId="20F08520" w:rsidR="002E0E14" w:rsidRPr="000E4461" w:rsidRDefault="002E0E14" w:rsidP="00500037">
            <w:pPr>
              <w:pStyle w:val="Listaszerbekezds"/>
              <w:numPr>
                <w:ilvl w:val="0"/>
                <w:numId w:val="53"/>
              </w:numPr>
              <w:ind w:left="347" w:hanging="284"/>
              <w:jc w:val="both"/>
            </w:pPr>
            <w:r w:rsidRPr="000E4461">
              <w:t xml:space="preserve">Contracting authorities may reserve the right </w:t>
            </w:r>
            <w:r w:rsidR="007012D0" w:rsidRPr="000E4461">
              <w:t>of participating</w:t>
            </w:r>
            <w:r w:rsidRPr="000E4461">
              <w:t xml:space="preserve"> in </w:t>
            </w:r>
            <w:r w:rsidR="007012D0" w:rsidRPr="000E4461">
              <w:t xml:space="preserve">public procurement </w:t>
            </w:r>
            <w:r w:rsidRPr="000E4461">
              <w:t xml:space="preserve">procedures </w:t>
            </w:r>
            <w:r w:rsidR="007012D0" w:rsidRPr="000E4461">
              <w:t>in case of</w:t>
            </w:r>
            <w:r w:rsidRPr="000E4461">
              <w:t xml:space="preserve"> health, social and cultural services referred to in Annex 3, which are covered by CPV codes 75121000-0, 75122000-7, 75123000-4, 79622000-0, 79624000-4, 79625000-1, 80110000-8, 80300000-7, 80420000-4, 80430000-7, 80511000-9, 80520000-5, 80590000-6, from 85000000-9 to 85323000-9, 92500000-6, 92600000-7, 98133000-4, 98133110-8, </w:t>
            </w:r>
            <w:r w:rsidR="007012D0" w:rsidRPr="000E4461">
              <w:t>for</w:t>
            </w:r>
            <w:r w:rsidRPr="000E4461">
              <w:t xml:space="preserve"> economic operators fulfil</w:t>
            </w:r>
            <w:r w:rsidR="007012D0" w:rsidRPr="000E4461">
              <w:t>ling</w:t>
            </w:r>
            <w:r w:rsidRPr="000E4461">
              <w:t xml:space="preserve"> the following conditions:</w:t>
            </w:r>
          </w:p>
          <w:p w14:paraId="26EF637E" w14:textId="77777777" w:rsidR="002E0E14" w:rsidRPr="000E4461" w:rsidRDefault="002E0E14" w:rsidP="002E0E14">
            <w:pPr>
              <w:jc w:val="both"/>
            </w:pPr>
          </w:p>
          <w:p w14:paraId="48C8B11D" w14:textId="72A0114C" w:rsidR="002E0E14" w:rsidRPr="000E4461" w:rsidRDefault="002E0E14" w:rsidP="00500037">
            <w:pPr>
              <w:pStyle w:val="Listaszerbekezds"/>
              <w:numPr>
                <w:ilvl w:val="0"/>
                <w:numId w:val="4"/>
              </w:numPr>
              <w:ind w:hanging="304"/>
              <w:jc w:val="both"/>
            </w:pPr>
            <w:r w:rsidRPr="000E4461">
              <w:t xml:space="preserve">their </w:t>
            </w:r>
            <w:r w:rsidR="008659E9" w:rsidRPr="000E4461">
              <w:t xml:space="preserve">task is to </w:t>
            </w:r>
            <w:r w:rsidR="00576B22" w:rsidRPr="000E4461">
              <w:t>provide</w:t>
            </w:r>
            <w:r w:rsidR="008659E9" w:rsidRPr="000E4461">
              <w:t xml:space="preserve"> public services connected to </w:t>
            </w:r>
            <w:r w:rsidRPr="000E4461">
              <w:t>health, social and cultural services referred to in this paragraph;</w:t>
            </w:r>
          </w:p>
          <w:p w14:paraId="563F854B" w14:textId="132A4E5E" w:rsidR="002E0E14" w:rsidRPr="000E4461" w:rsidRDefault="002E0E14" w:rsidP="00500037">
            <w:pPr>
              <w:pStyle w:val="Listaszerbekezds"/>
              <w:numPr>
                <w:ilvl w:val="0"/>
                <w:numId w:val="4"/>
              </w:numPr>
              <w:ind w:hanging="304"/>
              <w:jc w:val="both"/>
            </w:pPr>
            <w:r w:rsidRPr="000E4461">
              <w:t xml:space="preserve">they are non-profit-making organizations, in which profits are </w:t>
            </w:r>
            <w:r w:rsidR="00576B22" w:rsidRPr="000E4461">
              <w:t>spent</w:t>
            </w:r>
            <w:r w:rsidR="008659E9" w:rsidRPr="000E4461">
              <w:t xml:space="preserve"> on</w:t>
            </w:r>
            <w:r w:rsidRPr="000E4461">
              <w:t xml:space="preserve"> </w:t>
            </w:r>
            <w:r w:rsidR="008659E9" w:rsidRPr="000E4461">
              <w:t>the organisation’s public tasks</w:t>
            </w:r>
            <w:r w:rsidRPr="000E4461">
              <w:t xml:space="preserve"> or, where profits are distributed </w:t>
            </w:r>
            <w:r w:rsidR="008659E9" w:rsidRPr="000E4461">
              <w:t xml:space="preserve">in order to integrate employees into the </w:t>
            </w:r>
            <w:r w:rsidR="006D03AE" w:rsidRPr="000E4461">
              <w:t>management</w:t>
            </w:r>
            <w:r w:rsidR="008659E9" w:rsidRPr="000E4461">
              <w:t xml:space="preserve"> of the organisation</w:t>
            </w:r>
            <w:r w:rsidRPr="000E4461">
              <w:t>;</w:t>
            </w:r>
          </w:p>
          <w:p w14:paraId="5DE96D54" w14:textId="6CEB03D9" w:rsidR="002E0E14" w:rsidRPr="000E4461" w:rsidRDefault="002E0E14" w:rsidP="00500037">
            <w:pPr>
              <w:pStyle w:val="Listaszerbekezds"/>
              <w:numPr>
                <w:ilvl w:val="0"/>
                <w:numId w:val="4"/>
              </w:numPr>
              <w:ind w:hanging="304"/>
              <w:jc w:val="both"/>
            </w:pPr>
            <w:r w:rsidRPr="000E4461">
              <w:t xml:space="preserve">the management or ownership </w:t>
            </w:r>
            <w:r w:rsidR="00E86FC3" w:rsidRPr="000E4461">
              <w:t xml:space="preserve">structure </w:t>
            </w:r>
            <w:r w:rsidRPr="000E4461">
              <w:t>of the organisation ensure</w:t>
            </w:r>
            <w:r w:rsidR="00E86FC3" w:rsidRPr="000E4461">
              <w:t>s</w:t>
            </w:r>
            <w:r w:rsidRPr="000E4461">
              <w:t xml:space="preserve"> the active participation of employees in the management or require the active participation of employees or </w:t>
            </w:r>
            <w:r w:rsidR="006D03AE" w:rsidRPr="000E4461">
              <w:t>all affected by the public task of the organisation</w:t>
            </w:r>
            <w:r w:rsidRPr="000E4461">
              <w:t>; and</w:t>
            </w:r>
          </w:p>
          <w:p w14:paraId="5F141C9C" w14:textId="0367830E" w:rsidR="002E0E14" w:rsidRPr="000E4461" w:rsidRDefault="002E0E14" w:rsidP="00500037">
            <w:pPr>
              <w:pStyle w:val="Listaszerbekezds"/>
              <w:numPr>
                <w:ilvl w:val="0"/>
                <w:numId w:val="4"/>
              </w:numPr>
              <w:ind w:hanging="304"/>
              <w:jc w:val="both"/>
            </w:pPr>
            <w:proofErr w:type="gramStart"/>
            <w:r w:rsidRPr="000E4461">
              <w:t>on</w:t>
            </w:r>
            <w:proofErr w:type="gramEnd"/>
            <w:r w:rsidRPr="000E4461">
              <w:t xml:space="preserve"> the basis of this p</w:t>
            </w:r>
            <w:r w:rsidR="006D03AE" w:rsidRPr="000E4461">
              <w:t>oint</w:t>
            </w:r>
            <w:r w:rsidR="00E33154" w:rsidRPr="000E4461">
              <w:t xml:space="preserve">, they haven’ </w:t>
            </w:r>
            <w:r w:rsidRPr="000E4461">
              <w:t xml:space="preserve">t </w:t>
            </w:r>
            <w:r w:rsidR="00E33154" w:rsidRPr="000E4461">
              <w:t>concluded</w:t>
            </w:r>
            <w:r w:rsidRPr="000E4461">
              <w:t xml:space="preserve"> a contract</w:t>
            </w:r>
            <w:r w:rsidR="00E33154" w:rsidRPr="000E4461">
              <w:t xml:space="preserve"> </w:t>
            </w:r>
            <w:r w:rsidR="00A77439" w:rsidRPr="000E4461">
              <w:t>being subject of</w:t>
            </w:r>
            <w:r w:rsidR="00E33154" w:rsidRPr="000E4461">
              <w:t xml:space="preserve"> this point with the contracting authority within the past three years</w:t>
            </w:r>
            <w:r w:rsidRPr="000E4461">
              <w:t>.</w:t>
            </w:r>
          </w:p>
          <w:p w14:paraId="02B971CA" w14:textId="77777777" w:rsidR="00627A13" w:rsidRPr="000E4461" w:rsidRDefault="00627A13" w:rsidP="002E0E14">
            <w:pPr>
              <w:jc w:val="both"/>
            </w:pPr>
          </w:p>
          <w:p w14:paraId="013406E1" w14:textId="20B970B3" w:rsidR="00F139A0" w:rsidRPr="000E4461" w:rsidRDefault="002E0E14" w:rsidP="00500037">
            <w:pPr>
              <w:pStyle w:val="Listaszerbekezds"/>
              <w:numPr>
                <w:ilvl w:val="0"/>
                <w:numId w:val="53"/>
              </w:numPr>
              <w:ind w:left="347" w:hanging="284"/>
              <w:jc w:val="both"/>
            </w:pPr>
            <w:r w:rsidRPr="000E4461">
              <w:t>The contract</w:t>
            </w:r>
            <w:r w:rsidR="00F139A0" w:rsidRPr="000E4461">
              <w:t>s</w:t>
            </w:r>
            <w:r w:rsidRPr="000E4461">
              <w:t xml:space="preserve"> </w:t>
            </w:r>
            <w:r w:rsidR="00F139A0" w:rsidRPr="000E4461">
              <w:t>under point 1</w:t>
            </w:r>
            <w:r w:rsidRPr="000E4461">
              <w:t xml:space="preserve"> shall be </w:t>
            </w:r>
            <w:r w:rsidR="00F139A0" w:rsidRPr="000E4461">
              <w:t>concluded for a maximum of three years.</w:t>
            </w:r>
          </w:p>
          <w:p w14:paraId="3E0D6239" w14:textId="77777777" w:rsidR="002E0E14" w:rsidRPr="000E4461" w:rsidRDefault="002E0E14" w:rsidP="00500037">
            <w:pPr>
              <w:ind w:left="347" w:hanging="284"/>
              <w:jc w:val="both"/>
            </w:pPr>
          </w:p>
          <w:p w14:paraId="1ED22F59" w14:textId="1F79AB39" w:rsidR="000E04A7" w:rsidRPr="000E4461" w:rsidRDefault="00CB5170" w:rsidP="00500037">
            <w:pPr>
              <w:pStyle w:val="Listaszerbekezds"/>
              <w:numPr>
                <w:ilvl w:val="0"/>
                <w:numId w:val="53"/>
              </w:numPr>
              <w:ind w:left="347" w:hanging="284"/>
              <w:jc w:val="both"/>
            </w:pPr>
            <w:r w:rsidRPr="000E4461">
              <w:t>Contracting authorities shall refer to Art. 34 in the contract notice.</w:t>
            </w:r>
          </w:p>
          <w:p w14:paraId="45FDF157" w14:textId="77777777" w:rsidR="000E04A7" w:rsidRPr="000E4461" w:rsidRDefault="000E04A7" w:rsidP="00CB5170">
            <w:pPr>
              <w:jc w:val="both"/>
            </w:pPr>
          </w:p>
          <w:p w14:paraId="252951B3" w14:textId="77777777" w:rsidR="000D42F3" w:rsidRPr="000E4461" w:rsidRDefault="000E04A7" w:rsidP="00CB5170">
            <w:pPr>
              <w:jc w:val="both"/>
            </w:pPr>
            <w:r w:rsidRPr="000E4461">
              <w:t xml:space="preserve">Definitions connected to the above mentioned </w:t>
            </w:r>
            <w:r w:rsidR="000D42F3" w:rsidRPr="000E4461">
              <w:t>rules:</w:t>
            </w:r>
          </w:p>
          <w:p w14:paraId="337514A8" w14:textId="386573CC" w:rsidR="000825F4" w:rsidRPr="000E4461" w:rsidRDefault="00427120" w:rsidP="00500037">
            <w:pPr>
              <w:pStyle w:val="Listaszerbekezds"/>
              <w:numPr>
                <w:ilvl w:val="0"/>
                <w:numId w:val="3"/>
              </w:numPr>
              <w:ind w:hanging="304"/>
              <w:jc w:val="both"/>
            </w:pPr>
            <w:r w:rsidRPr="000E4461">
              <w:rPr>
                <w:i/>
              </w:rPr>
              <w:t>persons with reduced ability to work</w:t>
            </w:r>
            <w:r w:rsidR="00481621" w:rsidRPr="000E4461">
              <w:rPr>
                <w:i/>
              </w:rPr>
              <w:t xml:space="preserve"> (Art. 2 (1) of Act CXCI of 2011 on the Benefits of Persons with Reduced Ability to Work and the Amendment of Certain Acts)</w:t>
            </w:r>
            <w:r w:rsidRPr="000E4461">
              <w:rPr>
                <w:i/>
              </w:rPr>
              <w:t>:</w:t>
            </w:r>
            <w:r w:rsidRPr="000E4461">
              <w:t xml:space="preserve"> person with reduced ability to work is any person aged over 15 years and whose state of health is of 60 % or less based on the complex rating of the authority for rehabilitation.</w:t>
            </w:r>
          </w:p>
          <w:p w14:paraId="1C97BA2B" w14:textId="37AC2029" w:rsidR="00427120" w:rsidRPr="000E4461" w:rsidRDefault="00F677FE" w:rsidP="00500037">
            <w:pPr>
              <w:pStyle w:val="Listaszerbekezds"/>
              <w:numPr>
                <w:ilvl w:val="0"/>
                <w:numId w:val="3"/>
              </w:numPr>
              <w:ind w:hanging="304"/>
              <w:jc w:val="both"/>
            </w:pPr>
            <w:r w:rsidRPr="000E4461">
              <w:rPr>
                <w:i/>
              </w:rPr>
              <w:t>disadvantaged worker</w:t>
            </w:r>
            <w:r w:rsidR="00481621" w:rsidRPr="000E4461">
              <w:rPr>
                <w:i/>
              </w:rPr>
              <w:t xml:space="preserve"> (Art. 3 point 11. of the PPA, Act IV of 1991 on Jobs Assistance and Unemployment Benefits [Art. 57/B (4) 1])</w:t>
            </w:r>
            <w:r w:rsidR="00427120" w:rsidRPr="000E4461">
              <w:t xml:space="preserve">: </w:t>
            </w:r>
            <w:r w:rsidRPr="000E4461">
              <w:t>any person, who</w:t>
            </w:r>
          </w:p>
          <w:p w14:paraId="298F0E42" w14:textId="77777777" w:rsidR="00FE7E64" w:rsidRPr="000E4461" w:rsidRDefault="00E62F6A" w:rsidP="00500037">
            <w:pPr>
              <w:pStyle w:val="Listaszerbekezds"/>
              <w:numPr>
                <w:ilvl w:val="0"/>
                <w:numId w:val="5"/>
              </w:numPr>
              <w:ind w:left="1267" w:hanging="284"/>
              <w:rPr>
                <w:lang w:val="hu-HU"/>
              </w:rPr>
            </w:pPr>
            <w:r w:rsidRPr="000E4461">
              <w:t>has not been in regular paid employment for the previous 6 months;</w:t>
            </w:r>
          </w:p>
          <w:p w14:paraId="7022C7C0" w14:textId="77F90AA2" w:rsidR="00FE7E64" w:rsidRPr="000E4461" w:rsidRDefault="00E62F6A" w:rsidP="00500037">
            <w:pPr>
              <w:pStyle w:val="Listaszerbekezds"/>
              <w:numPr>
                <w:ilvl w:val="0"/>
                <w:numId w:val="5"/>
              </w:numPr>
              <w:ind w:left="1267" w:hanging="284"/>
              <w:rPr>
                <w:lang w:val="hu-HU"/>
              </w:rPr>
            </w:pPr>
            <w:r w:rsidRPr="000E4461">
              <w:lastRenderedPageBreak/>
              <w:t>has not attained an upper secondary educational or voca</w:t>
            </w:r>
            <w:r w:rsidR="00F677FE" w:rsidRPr="000E4461">
              <w:t xml:space="preserve">tional qualification (ISCED 3); </w:t>
            </w:r>
            <w:r w:rsidRPr="000E4461">
              <w:t>or</w:t>
            </w:r>
          </w:p>
          <w:p w14:paraId="0155FF6C" w14:textId="77777777" w:rsidR="00FE7E64" w:rsidRPr="000E4461" w:rsidRDefault="00E62F6A" w:rsidP="00500037">
            <w:pPr>
              <w:pStyle w:val="Listaszerbekezds"/>
              <w:numPr>
                <w:ilvl w:val="0"/>
                <w:numId w:val="5"/>
              </w:numPr>
              <w:ind w:left="1267" w:hanging="284"/>
              <w:rPr>
                <w:lang w:val="hu-HU"/>
              </w:rPr>
            </w:pPr>
            <w:r w:rsidRPr="000E4461">
              <w:t>is over the age of 50 years; or</w:t>
            </w:r>
          </w:p>
          <w:p w14:paraId="5B3490A6" w14:textId="77777777" w:rsidR="00FE7E64" w:rsidRPr="000E4461" w:rsidRDefault="00E62F6A" w:rsidP="00500037">
            <w:pPr>
              <w:pStyle w:val="Listaszerbekezds"/>
              <w:numPr>
                <w:ilvl w:val="0"/>
                <w:numId w:val="5"/>
              </w:numPr>
              <w:ind w:left="1267" w:hanging="284"/>
              <w:rPr>
                <w:lang w:val="hu-HU"/>
              </w:rPr>
            </w:pPr>
            <w:r w:rsidRPr="000E4461">
              <w:t>lives as a single adult with one or more dependents; or</w:t>
            </w:r>
          </w:p>
          <w:p w14:paraId="0A9E15EA" w14:textId="77777777" w:rsidR="00FE7E64" w:rsidRPr="000E4461" w:rsidRDefault="00E62F6A" w:rsidP="00500037">
            <w:pPr>
              <w:pStyle w:val="Listaszerbekezds"/>
              <w:numPr>
                <w:ilvl w:val="0"/>
                <w:numId w:val="5"/>
              </w:numPr>
              <w:ind w:left="1267" w:hanging="284"/>
              <w:rPr>
                <w:lang w:val="hu-HU"/>
              </w:rPr>
            </w:pPr>
            <w:r w:rsidRPr="000E4461">
              <w:t>works in a sector or profession in a Member State where the gender imbalance is at least 25 % higher than the average gender imbalance across all economic sectors in that Member State, and belongs to that underrepresented gender group; or</w:t>
            </w:r>
          </w:p>
          <w:p w14:paraId="6DBB5645" w14:textId="191A00D8" w:rsidR="00FE7E64" w:rsidRPr="000E4461" w:rsidRDefault="00E62F6A" w:rsidP="00500037">
            <w:pPr>
              <w:pStyle w:val="Listaszerbekezds"/>
              <w:numPr>
                <w:ilvl w:val="0"/>
                <w:numId w:val="5"/>
              </w:numPr>
              <w:ind w:left="1267" w:hanging="284"/>
              <w:rPr>
                <w:lang w:val="hu-HU"/>
              </w:rPr>
            </w:pPr>
            <w:proofErr w:type="gramStart"/>
            <w:r w:rsidRPr="000E4461">
              <w:t>is</w:t>
            </w:r>
            <w:proofErr w:type="gramEnd"/>
            <w:r w:rsidRPr="000E4461">
              <w:t xml:space="preserve"> a member of an ethnic minority within a Member State and who requires development of his or her linguistic, vocational training or work experience profile to enhance prospects of gaining access to stable employment</w:t>
            </w:r>
            <w:r w:rsidR="00F677FE" w:rsidRPr="000E4461">
              <w:t>.</w:t>
            </w:r>
          </w:p>
          <w:p w14:paraId="7DAE505D" w14:textId="4CE0CD49" w:rsidR="00F677FE" w:rsidRPr="000E4461" w:rsidRDefault="003D2F5E" w:rsidP="00500037">
            <w:pPr>
              <w:pStyle w:val="Listaszerbekezds"/>
              <w:numPr>
                <w:ilvl w:val="0"/>
                <w:numId w:val="3"/>
              </w:numPr>
              <w:ind w:hanging="304"/>
              <w:jc w:val="both"/>
            </w:pPr>
            <w:r w:rsidRPr="000E4461">
              <w:rPr>
                <w:i/>
              </w:rPr>
              <w:t>developmental employer</w:t>
            </w:r>
            <w:r w:rsidR="00481621" w:rsidRPr="000E4461">
              <w:rPr>
                <w:i/>
              </w:rPr>
              <w:t xml:space="preserve"> (Art. 3 point 38. of the PPA, Art. 99/D (1) of the Act on Social Governance and Social Benefits)</w:t>
            </w:r>
            <w:r w:rsidRPr="000E4461">
              <w:t xml:space="preserve">: </w:t>
            </w:r>
            <w:r w:rsidR="00B24775" w:rsidRPr="000E4461">
              <w:t>an employment relationship aimed at developmental employment or developmental legal relationship can be established with an institution, service provider offering social service, provision or with an organisation registered in the service provider registry as offering developmental employment.</w:t>
            </w:r>
          </w:p>
          <w:p w14:paraId="0ED6B268" w14:textId="3E339AA7" w:rsidR="00B24775" w:rsidRPr="000E4461" w:rsidRDefault="00B24775" w:rsidP="00500037">
            <w:pPr>
              <w:pStyle w:val="Listaszerbekezds"/>
              <w:numPr>
                <w:ilvl w:val="0"/>
                <w:numId w:val="3"/>
              </w:numPr>
              <w:ind w:hanging="304"/>
              <w:jc w:val="both"/>
            </w:pPr>
            <w:r w:rsidRPr="000E4461">
              <w:rPr>
                <w:i/>
              </w:rPr>
              <w:t>sheltered place of employment</w:t>
            </w:r>
            <w:r w:rsidR="00481621" w:rsidRPr="000E4461">
              <w:rPr>
                <w:i/>
              </w:rPr>
              <w:t xml:space="preserve"> (Art. 3 point 41 of the PPA)</w:t>
            </w:r>
            <w:r w:rsidRPr="000E4461">
              <w:t>:</w:t>
            </w:r>
          </w:p>
          <w:p w14:paraId="5A7A0724" w14:textId="77777777" w:rsidR="00B24775" w:rsidRPr="000E4461" w:rsidRDefault="00B24775" w:rsidP="00500037">
            <w:pPr>
              <w:pStyle w:val="Listaszerbekezds"/>
              <w:numPr>
                <w:ilvl w:val="0"/>
                <w:numId w:val="6"/>
              </w:numPr>
              <w:ind w:left="1267" w:hanging="284"/>
              <w:jc w:val="both"/>
            </w:pPr>
            <w:r w:rsidRPr="000E4461">
              <w:t>employment by an accredited employer,</w:t>
            </w:r>
          </w:p>
          <w:p w14:paraId="1670C739" w14:textId="77777777" w:rsidR="00B24775" w:rsidRPr="000E4461" w:rsidRDefault="00B24775" w:rsidP="00500037">
            <w:pPr>
              <w:pStyle w:val="Listaszerbekezds"/>
              <w:numPr>
                <w:ilvl w:val="0"/>
                <w:numId w:val="6"/>
              </w:numPr>
              <w:ind w:left="1267" w:hanging="284"/>
              <w:jc w:val="both"/>
            </w:pPr>
            <w:r w:rsidRPr="000E4461">
              <w:t xml:space="preserve">the employer shall ensure a transit or permanent employment and </w:t>
            </w:r>
          </w:p>
          <w:p w14:paraId="74E3B152" w14:textId="2FF13DB0" w:rsidR="00B24775" w:rsidRPr="000E4461" w:rsidRDefault="00B24775" w:rsidP="00500037">
            <w:pPr>
              <w:pStyle w:val="Listaszerbekezds"/>
              <w:numPr>
                <w:ilvl w:val="0"/>
                <w:numId w:val="6"/>
              </w:numPr>
              <w:ind w:left="1267" w:hanging="284"/>
              <w:jc w:val="both"/>
            </w:pPr>
            <w:r w:rsidRPr="000E4461">
              <w:t>as a minimum 30% of its employees qualifies to be persons with reduced ability to work pursuant to Article 22 of Act CXCI of 2011; or</w:t>
            </w:r>
          </w:p>
          <w:p w14:paraId="0AA3B326" w14:textId="3D7D577B" w:rsidR="00B24775" w:rsidRPr="000E4461" w:rsidRDefault="00B24775" w:rsidP="00500037">
            <w:pPr>
              <w:pStyle w:val="Listaszerbekezds"/>
              <w:numPr>
                <w:ilvl w:val="0"/>
                <w:numId w:val="6"/>
              </w:numPr>
              <w:ind w:left="1267" w:hanging="284"/>
              <w:jc w:val="both"/>
            </w:pPr>
            <w:r w:rsidRPr="000E4461">
              <w:t>employer established with the aim of employing disadvantaged workers</w:t>
            </w:r>
            <w:r w:rsidR="00694636" w:rsidRPr="000E4461">
              <w:t xml:space="preserve"> </w:t>
            </w:r>
          </w:p>
          <w:p w14:paraId="4543E0D0" w14:textId="77777777" w:rsidR="00B24775" w:rsidRPr="000E4461" w:rsidRDefault="00B24775" w:rsidP="00B24775">
            <w:pPr>
              <w:jc w:val="both"/>
            </w:pPr>
          </w:p>
          <w:p w14:paraId="4D4AC125" w14:textId="73D46386" w:rsidR="00B24775" w:rsidRDefault="00532BED" w:rsidP="00B24775">
            <w:pPr>
              <w:jc w:val="both"/>
              <w:rPr>
                <w:b/>
                <w:u w:val="single"/>
              </w:rPr>
            </w:pPr>
            <w:r w:rsidRPr="000E4461">
              <w:rPr>
                <w:b/>
                <w:u w:val="single"/>
              </w:rPr>
              <w:t>II. Procedural rules concerning</w:t>
            </w:r>
            <w:r w:rsidR="00D04769" w:rsidRPr="000E4461">
              <w:rPr>
                <w:b/>
                <w:u w:val="single"/>
              </w:rPr>
              <w:t xml:space="preserve"> light regime procedures:</w:t>
            </w:r>
          </w:p>
          <w:p w14:paraId="10D5700F" w14:textId="77777777" w:rsidR="00500037" w:rsidRPr="000E4461" w:rsidRDefault="00500037" w:rsidP="00B24775">
            <w:pPr>
              <w:jc w:val="both"/>
              <w:rPr>
                <w:b/>
                <w:u w:val="single"/>
              </w:rPr>
            </w:pPr>
          </w:p>
          <w:p w14:paraId="32681A2B" w14:textId="77777777" w:rsidR="00D04769" w:rsidRPr="000E4461" w:rsidRDefault="00D04769" w:rsidP="00500037">
            <w:pPr>
              <w:pStyle w:val="Listaszerbekezds"/>
              <w:numPr>
                <w:ilvl w:val="0"/>
                <w:numId w:val="3"/>
              </w:numPr>
              <w:ind w:hanging="304"/>
              <w:jc w:val="both"/>
            </w:pPr>
            <w:r w:rsidRPr="000E4461">
              <w:t xml:space="preserve">Art. 21 (2) of the PPA: </w:t>
            </w:r>
            <w:r w:rsidR="00620EC4" w:rsidRPr="000E4461">
              <w:t>In case of public procurement procedures concerning social and other services specified in Annex 3</w:t>
            </w:r>
            <w:r w:rsidR="005E438B" w:rsidRPr="000E4461">
              <w:t xml:space="preserve"> (light regime)</w:t>
            </w:r>
            <w:r w:rsidR="000948E1" w:rsidRPr="000E4461">
              <w:t xml:space="preserve"> – except concessions – the Third Part of the PPA (rules for procedures below EU thresholds) shall be used.</w:t>
            </w:r>
          </w:p>
          <w:p w14:paraId="509E2A29" w14:textId="77777777" w:rsidR="00381C05" w:rsidRPr="000E4461" w:rsidRDefault="00381C05" w:rsidP="00381C05">
            <w:pPr>
              <w:jc w:val="both"/>
            </w:pPr>
          </w:p>
          <w:p w14:paraId="5EC43664" w14:textId="77777777" w:rsidR="00381C05" w:rsidRDefault="00381C05" w:rsidP="00381C05">
            <w:pPr>
              <w:jc w:val="both"/>
              <w:rPr>
                <w:b/>
                <w:u w:val="single"/>
              </w:rPr>
            </w:pPr>
            <w:r w:rsidRPr="000E4461">
              <w:rPr>
                <w:b/>
                <w:u w:val="single"/>
              </w:rPr>
              <w:t>III. Application of social aspects:</w:t>
            </w:r>
          </w:p>
          <w:p w14:paraId="6738AD6A" w14:textId="77777777" w:rsidR="00500037" w:rsidRPr="000E4461" w:rsidRDefault="00500037" w:rsidP="00381C05">
            <w:pPr>
              <w:jc w:val="both"/>
              <w:rPr>
                <w:b/>
                <w:u w:val="single"/>
              </w:rPr>
            </w:pPr>
          </w:p>
          <w:p w14:paraId="21C62CA6" w14:textId="77777777" w:rsidR="00381C05" w:rsidRPr="000E4461" w:rsidRDefault="0011338F" w:rsidP="00500037">
            <w:pPr>
              <w:pStyle w:val="Listaszerbekezds"/>
              <w:numPr>
                <w:ilvl w:val="0"/>
                <w:numId w:val="7"/>
              </w:numPr>
              <w:ind w:left="700" w:hanging="284"/>
              <w:jc w:val="both"/>
            </w:pPr>
            <w:r w:rsidRPr="000E4461">
              <w:t>requirements connected to the subject of the procedure:</w:t>
            </w:r>
          </w:p>
          <w:p w14:paraId="0A3BB9A1" w14:textId="170DE99D" w:rsidR="005148BC" w:rsidRPr="000E4461" w:rsidRDefault="005148BC" w:rsidP="00500037">
            <w:pPr>
              <w:pStyle w:val="Listaszerbekezds"/>
              <w:numPr>
                <w:ilvl w:val="0"/>
                <w:numId w:val="8"/>
              </w:numPr>
              <w:ind w:left="1267" w:hanging="283"/>
              <w:jc w:val="both"/>
            </w:pPr>
            <w:r w:rsidRPr="000E4461">
              <w:t>technical specification</w:t>
            </w:r>
          </w:p>
          <w:p w14:paraId="4E01F58D" w14:textId="0008DE78" w:rsidR="00160F5C" w:rsidRPr="000E4461" w:rsidRDefault="005148BC" w:rsidP="00500037">
            <w:pPr>
              <w:pStyle w:val="Listaszerbekezds"/>
              <w:numPr>
                <w:ilvl w:val="0"/>
                <w:numId w:val="8"/>
              </w:numPr>
              <w:ind w:left="1267" w:hanging="283"/>
              <w:jc w:val="both"/>
            </w:pPr>
            <w:proofErr w:type="gramStart"/>
            <w:r w:rsidRPr="000E4461">
              <w:t>labels</w:t>
            </w:r>
            <w:proofErr w:type="gramEnd"/>
            <w:r w:rsidRPr="000E4461">
              <w:t xml:space="preserve">: </w:t>
            </w:r>
            <w:r w:rsidR="006825F3" w:rsidRPr="000E4461">
              <w:t>Art. 59 (1) of the PPA</w:t>
            </w:r>
          </w:p>
          <w:p w14:paraId="441D780A" w14:textId="77777777" w:rsidR="000C5ADD" w:rsidRPr="000E4461" w:rsidRDefault="000C5ADD" w:rsidP="000C5ADD">
            <w:pPr>
              <w:pStyle w:val="Listaszerbekezds"/>
              <w:ind w:left="700"/>
              <w:jc w:val="both"/>
            </w:pPr>
          </w:p>
          <w:p w14:paraId="261E4729" w14:textId="6D9501B0" w:rsidR="000C5ADD" w:rsidRPr="000E4461" w:rsidRDefault="000C5ADD" w:rsidP="00500037">
            <w:pPr>
              <w:pStyle w:val="Listaszerbekezds"/>
              <w:numPr>
                <w:ilvl w:val="0"/>
                <w:numId w:val="7"/>
              </w:numPr>
              <w:ind w:left="700" w:hanging="284"/>
              <w:jc w:val="both"/>
            </w:pPr>
            <w:r w:rsidRPr="000E4461">
              <w:lastRenderedPageBreak/>
              <w:t>selection of economic operators:</w:t>
            </w:r>
          </w:p>
          <w:p w14:paraId="086E9D4D" w14:textId="498A4F3F" w:rsidR="000C5ADD" w:rsidRPr="000E4461" w:rsidRDefault="000C5ADD" w:rsidP="00500037">
            <w:pPr>
              <w:pStyle w:val="Listaszerbekezds"/>
              <w:numPr>
                <w:ilvl w:val="0"/>
                <w:numId w:val="10"/>
              </w:numPr>
              <w:ind w:left="1267" w:hanging="284"/>
              <w:jc w:val="both"/>
            </w:pPr>
            <w:proofErr w:type="gramStart"/>
            <w:r w:rsidRPr="000E4461">
              <w:t>exclusion</w:t>
            </w:r>
            <w:proofErr w:type="gramEnd"/>
            <w:r w:rsidRPr="000E4461">
              <w:t xml:space="preserve"> grounds: Art. 63 (1) a) of the PPA</w:t>
            </w:r>
            <w:r w:rsidR="004A1671" w:rsidRPr="000E4461">
              <w:t xml:space="preserve">, </w:t>
            </w:r>
            <w:r w:rsidR="000847FB" w:rsidRPr="000E4461">
              <w:t>Art. 57 (4) point a) of the 2014/24/EU Directive</w:t>
            </w:r>
          </w:p>
          <w:p w14:paraId="603D1C36" w14:textId="1589CA1D" w:rsidR="000C5ADD" w:rsidRPr="000E4461" w:rsidRDefault="000C5ADD" w:rsidP="00500037">
            <w:pPr>
              <w:pStyle w:val="Listaszerbekezds"/>
              <w:numPr>
                <w:ilvl w:val="0"/>
                <w:numId w:val="10"/>
              </w:numPr>
              <w:ind w:left="1267" w:hanging="284"/>
              <w:jc w:val="both"/>
            </w:pPr>
            <w:proofErr w:type="gramStart"/>
            <w:r w:rsidRPr="000E4461">
              <w:t>award</w:t>
            </w:r>
            <w:proofErr w:type="gramEnd"/>
            <w:r w:rsidRPr="000E4461">
              <w:t xml:space="preserve"> criteria</w:t>
            </w:r>
            <w:r w:rsidR="000847FB" w:rsidRPr="000E4461">
              <w:t xml:space="preserve">: Art. 76 (1) and </w:t>
            </w:r>
            <w:r w:rsidRPr="000E4461">
              <w:t xml:space="preserve">(3) </w:t>
            </w:r>
            <w:r w:rsidR="000847FB" w:rsidRPr="000E4461">
              <w:t xml:space="preserve">point a) </w:t>
            </w:r>
            <w:r w:rsidRPr="000E4461">
              <w:t>of the PPA</w:t>
            </w:r>
            <w:r w:rsidR="00236B11" w:rsidRPr="000E4461">
              <w:t>, Art. 67 (1) and (2) point a) of the 2014/24/EU Directive</w:t>
            </w:r>
          </w:p>
          <w:p w14:paraId="4E2D8A3F" w14:textId="77777777" w:rsidR="000C5ADD" w:rsidRPr="000E4461" w:rsidRDefault="000C5ADD" w:rsidP="000C5ADD">
            <w:pPr>
              <w:pStyle w:val="Listaszerbekezds"/>
              <w:ind w:left="700"/>
              <w:jc w:val="both"/>
            </w:pPr>
          </w:p>
          <w:p w14:paraId="3992F9B7" w14:textId="15076781" w:rsidR="000C5ADD" w:rsidRPr="000E4461" w:rsidRDefault="007E2BED" w:rsidP="00500037">
            <w:pPr>
              <w:pStyle w:val="Listaszerbekezds"/>
              <w:numPr>
                <w:ilvl w:val="0"/>
                <w:numId w:val="7"/>
              </w:numPr>
              <w:ind w:left="700" w:hanging="284"/>
              <w:jc w:val="both"/>
            </w:pPr>
            <w:proofErr w:type="gramStart"/>
            <w:r w:rsidRPr="000E4461">
              <w:t>invalidity</w:t>
            </w:r>
            <w:proofErr w:type="gramEnd"/>
            <w:r w:rsidRPr="000E4461">
              <w:t xml:space="preserve"> of the tender: Art. 73 (4) of the PPA</w:t>
            </w:r>
            <w:r w:rsidR="00D17E2A" w:rsidRPr="000E4461">
              <w:t>, Art. 18 (2) of the 2014/24/EU Directive</w:t>
            </w:r>
          </w:p>
          <w:p w14:paraId="1158E2D4" w14:textId="77777777" w:rsidR="00E7565A" w:rsidRPr="000E4461" w:rsidRDefault="00E7565A" w:rsidP="00E7565A">
            <w:pPr>
              <w:pStyle w:val="Listaszerbekezds"/>
              <w:ind w:left="1267"/>
              <w:jc w:val="both"/>
            </w:pPr>
          </w:p>
          <w:p w14:paraId="27486D3C" w14:textId="2A4D73A7" w:rsidR="000C5ADD" w:rsidRPr="000E4461" w:rsidRDefault="000C5ADD" w:rsidP="00500037">
            <w:pPr>
              <w:pStyle w:val="Listaszerbekezds"/>
              <w:numPr>
                <w:ilvl w:val="0"/>
                <w:numId w:val="7"/>
              </w:numPr>
              <w:ind w:left="700" w:hanging="284"/>
              <w:jc w:val="both"/>
            </w:pPr>
            <w:proofErr w:type="gramStart"/>
            <w:r w:rsidRPr="000E4461">
              <w:t>contract</w:t>
            </w:r>
            <w:proofErr w:type="gramEnd"/>
            <w:r w:rsidRPr="000E4461">
              <w:t xml:space="preserve"> performance: Art. 132 of the PPA</w:t>
            </w:r>
            <w:r w:rsidR="00901B00" w:rsidRPr="000E4461">
              <w:t>, Art. 70 of the 2014/24/EU Directive</w:t>
            </w:r>
          </w:p>
          <w:p w14:paraId="0FEB856D" w14:textId="69ABB29D" w:rsidR="00901B00" w:rsidRPr="000E4461" w:rsidRDefault="00901B00" w:rsidP="00500037">
            <w:pPr>
              <w:pStyle w:val="Listaszerbekezds"/>
              <w:numPr>
                <w:ilvl w:val="0"/>
                <w:numId w:val="12"/>
              </w:numPr>
              <w:ind w:left="1267" w:hanging="284"/>
              <w:jc w:val="both"/>
            </w:pPr>
            <w:r w:rsidRPr="000E4461">
              <w:t xml:space="preserve">Art. 132 (3): For the purposes of the application of paragraph 1 </w:t>
            </w:r>
            <w:r w:rsidR="00307CDF" w:rsidRPr="000E4461">
              <w:t xml:space="preserve">it shall be </w:t>
            </w:r>
            <w:r w:rsidRPr="000E4461">
              <w:t>a social cr</w:t>
            </w:r>
            <w:r w:rsidR="00307CDF" w:rsidRPr="000E4461">
              <w:t>iterion, in particular</w:t>
            </w:r>
          </w:p>
          <w:p w14:paraId="596A7186" w14:textId="77777777" w:rsidR="00901B00" w:rsidRPr="000E4461" w:rsidRDefault="00901B00" w:rsidP="00901B00">
            <w:pPr>
              <w:pStyle w:val="Listaszerbekezds"/>
              <w:ind w:left="1420"/>
              <w:jc w:val="both"/>
            </w:pPr>
          </w:p>
          <w:p w14:paraId="63921418" w14:textId="5B787403" w:rsidR="00901B00" w:rsidRPr="000E4461" w:rsidRDefault="00901B00" w:rsidP="00500037">
            <w:pPr>
              <w:pStyle w:val="Listaszerbekezds"/>
              <w:numPr>
                <w:ilvl w:val="0"/>
                <w:numId w:val="13"/>
              </w:numPr>
              <w:ind w:left="1834" w:hanging="284"/>
              <w:jc w:val="both"/>
            </w:pPr>
            <w:r w:rsidRPr="000E4461">
              <w:t xml:space="preserve">the fulfilment of the relevant contract </w:t>
            </w:r>
            <w:r w:rsidR="00BC4025" w:rsidRPr="000E4461">
              <w:t xml:space="preserve">by involving </w:t>
            </w:r>
            <w:r w:rsidRPr="000E4461">
              <w:t>an organisation specified in Article 33 or, according to the legal provisions of another Member State of the European Union</w:t>
            </w:r>
            <w:r w:rsidR="00BC4025" w:rsidRPr="000E4461">
              <w:t>,</w:t>
            </w:r>
            <w:r w:rsidRPr="000E4461">
              <w:t xml:space="preserve"> an organisation specified in Article 20 of Directive 2014/24/EU;</w:t>
            </w:r>
          </w:p>
          <w:p w14:paraId="7619C491" w14:textId="77ECFCE3" w:rsidR="00901B00" w:rsidRPr="000E4461" w:rsidRDefault="00901B00" w:rsidP="00500037">
            <w:pPr>
              <w:pStyle w:val="Listaszerbekezds"/>
              <w:numPr>
                <w:ilvl w:val="0"/>
                <w:numId w:val="13"/>
              </w:numPr>
              <w:ind w:left="1834" w:hanging="284"/>
              <w:jc w:val="both"/>
            </w:pPr>
            <w:r w:rsidRPr="000E4461">
              <w:t>employmen</w:t>
            </w:r>
            <w:r w:rsidR="00BC4025" w:rsidRPr="000E4461">
              <w:t>t of job-seekers, disadvantaged</w:t>
            </w:r>
            <w:r w:rsidRPr="000E4461">
              <w:t xml:space="preserve"> workers, unemployed people or prisoners;</w:t>
            </w:r>
          </w:p>
          <w:p w14:paraId="5596E570" w14:textId="2BA34875" w:rsidR="00901B00" w:rsidRPr="000E4461" w:rsidRDefault="00901B00" w:rsidP="00500037">
            <w:pPr>
              <w:pStyle w:val="Listaszerbekezds"/>
              <w:numPr>
                <w:ilvl w:val="0"/>
                <w:numId w:val="13"/>
              </w:numPr>
              <w:ind w:left="1834" w:hanging="284"/>
              <w:jc w:val="both"/>
            </w:pPr>
            <w:r w:rsidRPr="000E4461">
              <w:t xml:space="preserve">employment of persons, in part-time </w:t>
            </w:r>
            <w:r w:rsidR="00576B22" w:rsidRPr="000E4461">
              <w:t>employment</w:t>
            </w:r>
            <w:r w:rsidRPr="000E4461">
              <w:t xml:space="preserve">, who are </w:t>
            </w:r>
            <w:r w:rsidR="00425A85" w:rsidRPr="000E4461">
              <w:t>beneficiaries</w:t>
            </w:r>
            <w:r w:rsidRPr="000E4461">
              <w:t xml:space="preserve"> of any chi</w:t>
            </w:r>
            <w:r w:rsidR="00E7565A" w:rsidRPr="000E4461">
              <w:t>ld care benefit set out in the Act on F</w:t>
            </w:r>
            <w:r w:rsidRPr="000E4461">
              <w:t xml:space="preserve">amily </w:t>
            </w:r>
            <w:r w:rsidR="00E7565A" w:rsidRPr="000E4461">
              <w:t>B</w:t>
            </w:r>
            <w:r w:rsidRPr="000E4461">
              <w:t xml:space="preserve">enefits during </w:t>
            </w:r>
            <w:r w:rsidR="00425A85" w:rsidRPr="000E4461">
              <w:t>the payment of the benefit</w:t>
            </w:r>
            <w:r w:rsidRPr="000E4461">
              <w:t xml:space="preserve"> or </w:t>
            </w:r>
            <w:r w:rsidR="00425A85" w:rsidRPr="000E4461">
              <w:t>after the termination</w:t>
            </w:r>
            <w:r w:rsidRPr="000E4461">
              <w:t xml:space="preserve"> of such payments, and employment of persons who are </w:t>
            </w:r>
            <w:r w:rsidR="00425A85" w:rsidRPr="000E4461">
              <w:t>beneficiaries</w:t>
            </w:r>
            <w:r w:rsidRPr="000E4461">
              <w:t xml:space="preserve"> of maternity care benefit and child care fee </w:t>
            </w:r>
            <w:r w:rsidR="00E7565A" w:rsidRPr="000E4461">
              <w:t>after the end of such payment</w:t>
            </w:r>
            <w:r w:rsidRPr="000E4461">
              <w:t>;</w:t>
            </w:r>
          </w:p>
          <w:p w14:paraId="18ECCFC8" w14:textId="72CC8799" w:rsidR="00901B00" w:rsidRPr="000E4461" w:rsidRDefault="00901B00" w:rsidP="00500037">
            <w:pPr>
              <w:pStyle w:val="Listaszerbekezds"/>
              <w:numPr>
                <w:ilvl w:val="0"/>
                <w:numId w:val="13"/>
              </w:numPr>
              <w:ind w:left="1834" w:hanging="284"/>
              <w:jc w:val="both"/>
            </w:pPr>
            <w:r w:rsidRPr="000E4461">
              <w:t>stipulation of measures for ensuring the principle of equal treatment;</w:t>
            </w:r>
          </w:p>
          <w:p w14:paraId="785A9299" w14:textId="37E25DE0" w:rsidR="00901B00" w:rsidRPr="000E4461" w:rsidRDefault="00901B00" w:rsidP="00500037">
            <w:pPr>
              <w:pStyle w:val="Listaszerbekezds"/>
              <w:numPr>
                <w:ilvl w:val="0"/>
                <w:numId w:val="13"/>
              </w:numPr>
              <w:ind w:left="1834" w:hanging="284"/>
              <w:jc w:val="both"/>
            </w:pPr>
            <w:proofErr w:type="gramStart"/>
            <w:r w:rsidRPr="000E4461">
              <w:t>in</w:t>
            </w:r>
            <w:proofErr w:type="gramEnd"/>
            <w:r w:rsidRPr="000E4461">
              <w:t xml:space="preserve"> the framework of the performance of the given co</w:t>
            </w:r>
            <w:r w:rsidR="00CB514E" w:rsidRPr="000E4461">
              <w:t>ntract, provision of training helping acquire</w:t>
            </w:r>
            <w:r w:rsidRPr="000E4461">
              <w:t xml:space="preserve"> the skills needed for the performance for unemployed or young people participating in the performance.</w:t>
            </w:r>
          </w:p>
          <w:p w14:paraId="6D0E0E06" w14:textId="00472A24" w:rsidR="00160F5C" w:rsidRPr="000E4461" w:rsidDel="00DD5AB5" w:rsidRDefault="00160F5C" w:rsidP="00160F5C">
            <w:pPr>
              <w:pStyle w:val="Listaszerbekezds"/>
              <w:ind w:left="1834"/>
              <w:jc w:val="both"/>
            </w:pPr>
          </w:p>
        </w:tc>
      </w:tr>
      <w:tr w:rsidR="00DD5AB5" w:rsidRPr="000E4461" w14:paraId="51A7B11F" w14:textId="77777777" w:rsidTr="005F0ADF">
        <w:tc>
          <w:tcPr>
            <w:tcW w:w="1648" w:type="pct"/>
          </w:tcPr>
          <w:p w14:paraId="6DAB0E8B" w14:textId="16E3BAEA" w:rsidR="00DD5AB5" w:rsidRPr="000E4461" w:rsidRDefault="007C7271" w:rsidP="005F0ADF">
            <w:pPr>
              <w:rPr>
                <w:b/>
              </w:rPr>
            </w:pPr>
            <w:r w:rsidRPr="000E4461">
              <w:rPr>
                <w:b/>
              </w:rPr>
              <w:lastRenderedPageBreak/>
              <w:t>V</w:t>
            </w:r>
            <w:r w:rsidR="00DD5AB5" w:rsidRPr="000E4461">
              <w:rPr>
                <w:b/>
              </w:rPr>
              <w:t xml:space="preserve">.2.3. Quantitative indicators  </w:t>
            </w:r>
          </w:p>
        </w:tc>
        <w:tc>
          <w:tcPr>
            <w:tcW w:w="3352" w:type="pct"/>
          </w:tcPr>
          <w:p w14:paraId="5659E4B4" w14:textId="30FF2ADF" w:rsidR="00DD5AB5" w:rsidRPr="000E4461" w:rsidDel="00DD5AB5" w:rsidRDefault="00DD5AB5" w:rsidP="00C6144F">
            <w:pPr>
              <w:jc w:val="both"/>
            </w:pPr>
          </w:p>
        </w:tc>
      </w:tr>
      <w:tr w:rsidR="00DD5AB5" w:rsidRPr="000E4461" w14:paraId="0E35A5BE" w14:textId="77777777" w:rsidTr="005F0ADF">
        <w:tc>
          <w:tcPr>
            <w:tcW w:w="1648" w:type="pct"/>
          </w:tcPr>
          <w:p w14:paraId="3613F285" w14:textId="10216623" w:rsidR="00DD5AB5" w:rsidRPr="000E4461" w:rsidRDefault="00DD5AB5" w:rsidP="002C131E">
            <w:r w:rsidRPr="000E4461">
              <w:t xml:space="preserve">Please provide, when available, any quantitative data (statistics, etc.) illustrating the achievements and challenges identified under section </w:t>
            </w:r>
            <w:r w:rsidR="007C7271" w:rsidRPr="000E4461">
              <w:t>V</w:t>
            </w:r>
            <w:r w:rsidRPr="000E4461">
              <w:t>.2.</w:t>
            </w:r>
            <w:r w:rsidR="002C131E" w:rsidRPr="000E4461">
              <w:t xml:space="preserve">1 </w:t>
            </w:r>
            <w:r w:rsidRPr="000E4461">
              <w:t xml:space="preserve">above. </w:t>
            </w:r>
          </w:p>
        </w:tc>
        <w:tc>
          <w:tcPr>
            <w:tcW w:w="3352" w:type="pct"/>
          </w:tcPr>
          <w:p w14:paraId="14A61D9D" w14:textId="77777777" w:rsidR="003D5152" w:rsidRPr="000E4461" w:rsidRDefault="003D5152" w:rsidP="00AB2F76">
            <w:pPr>
              <w:jc w:val="both"/>
            </w:pPr>
          </w:p>
          <w:p w14:paraId="09BC4A95" w14:textId="363308FB" w:rsidR="00AB2F76" w:rsidRPr="000E4461" w:rsidRDefault="0082096C" w:rsidP="00DC189A">
            <w:pPr>
              <w:pStyle w:val="Cmsor2"/>
              <w:outlineLvl w:val="1"/>
            </w:pPr>
            <w:r w:rsidRPr="000E4461">
              <w:t xml:space="preserve">Number, value and </w:t>
            </w:r>
            <w:r w:rsidR="000D2BC0" w:rsidRPr="000E4461">
              <w:t>proportion of social public procurement procedures</w:t>
            </w:r>
            <w:r w:rsidR="001031EE" w:rsidRPr="000E4461">
              <w:t>*</w:t>
            </w:r>
          </w:p>
          <w:p w14:paraId="1785D993" w14:textId="77777777" w:rsidR="00AB2F76" w:rsidRPr="000E4461" w:rsidRDefault="00AB2F76" w:rsidP="00AB2F76"/>
          <w:tbl>
            <w:tblPr>
              <w:tblW w:w="9951" w:type="dxa"/>
              <w:jc w:val="center"/>
              <w:tblInd w:w="137" w:type="dxa"/>
              <w:tblCellMar>
                <w:left w:w="70" w:type="dxa"/>
                <w:right w:w="70" w:type="dxa"/>
              </w:tblCellMar>
              <w:tblLook w:val="04A0" w:firstRow="1" w:lastRow="0" w:firstColumn="1" w:lastColumn="0" w:noHBand="0" w:noVBand="1"/>
            </w:tblPr>
            <w:tblGrid>
              <w:gridCol w:w="914"/>
              <w:gridCol w:w="1417"/>
              <w:gridCol w:w="2268"/>
              <w:gridCol w:w="2126"/>
              <w:gridCol w:w="1701"/>
              <w:gridCol w:w="1525"/>
            </w:tblGrid>
            <w:tr w:rsidR="00344C8C" w:rsidRPr="000E4461" w14:paraId="43E60733" w14:textId="77777777" w:rsidTr="005C6876">
              <w:trPr>
                <w:trHeight w:val="855"/>
                <w:jc w:val="center"/>
              </w:trPr>
              <w:tc>
                <w:tcPr>
                  <w:tcW w:w="914" w:type="dxa"/>
                  <w:tcBorders>
                    <w:top w:val="single" w:sz="4" w:space="0" w:color="auto"/>
                    <w:left w:val="single" w:sz="4" w:space="0" w:color="auto"/>
                    <w:bottom w:val="double" w:sz="6" w:space="0" w:color="auto"/>
                    <w:right w:val="single" w:sz="4" w:space="0" w:color="auto"/>
                  </w:tcBorders>
                  <w:shd w:val="clear" w:color="auto" w:fill="548DD4" w:themeFill="text2" w:themeFillTint="99"/>
                  <w:noWrap/>
                  <w:vAlign w:val="center"/>
                  <w:hideMark/>
                </w:tcPr>
                <w:p w14:paraId="04F88CA9" w14:textId="60C7C613" w:rsidR="00344C8C" w:rsidRPr="000E4461" w:rsidRDefault="00344C8C" w:rsidP="0012364A">
                  <w:pPr>
                    <w:rPr>
                      <w:rFonts w:cs="Calibri"/>
                      <w:b/>
                      <w:bCs/>
                      <w:color w:val="000000"/>
                      <w:sz w:val="20"/>
                      <w:szCs w:val="20"/>
                    </w:rPr>
                  </w:pPr>
                  <w:r w:rsidRPr="000E4461">
                    <w:rPr>
                      <w:rFonts w:cs="Calibri"/>
                      <w:b/>
                      <w:bCs/>
                      <w:color w:val="000000"/>
                      <w:sz w:val="20"/>
                      <w:szCs w:val="20"/>
                    </w:rPr>
                    <w:t>Regime</w:t>
                  </w:r>
                </w:p>
              </w:tc>
              <w:tc>
                <w:tcPr>
                  <w:tcW w:w="1417"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4E38E1F8" w14:textId="24F07733" w:rsidR="00344C8C" w:rsidRPr="000E4461" w:rsidRDefault="00344C8C" w:rsidP="00B143D9">
                  <w:pPr>
                    <w:jc w:val="center"/>
                    <w:rPr>
                      <w:rFonts w:cs="Calibri"/>
                      <w:b/>
                      <w:bCs/>
                      <w:color w:val="000000"/>
                      <w:sz w:val="20"/>
                      <w:szCs w:val="20"/>
                    </w:rPr>
                  </w:pPr>
                  <w:r w:rsidRPr="000E4461">
                    <w:rPr>
                      <w:rFonts w:cs="Calibri"/>
                      <w:b/>
                      <w:bCs/>
                      <w:color w:val="000000"/>
                      <w:sz w:val="20"/>
                      <w:szCs w:val="20"/>
                    </w:rPr>
                    <w:t>Number of procedures</w:t>
                  </w:r>
                </w:p>
              </w:tc>
              <w:tc>
                <w:tcPr>
                  <w:tcW w:w="2268" w:type="dxa"/>
                  <w:tcBorders>
                    <w:top w:val="single" w:sz="4" w:space="0" w:color="auto"/>
                    <w:left w:val="nil"/>
                    <w:bottom w:val="double" w:sz="6" w:space="0" w:color="auto"/>
                    <w:right w:val="single" w:sz="4" w:space="0" w:color="auto"/>
                  </w:tcBorders>
                  <w:shd w:val="clear" w:color="auto" w:fill="548DD4" w:themeFill="text2" w:themeFillTint="99"/>
                </w:tcPr>
                <w:p w14:paraId="79F45DAE" w14:textId="3D30527D" w:rsidR="00344C8C" w:rsidRPr="000E4461" w:rsidRDefault="00344C8C" w:rsidP="0012364A">
                  <w:pPr>
                    <w:spacing w:after="0"/>
                    <w:jc w:val="center"/>
                    <w:rPr>
                      <w:rFonts w:cs="Calibri"/>
                      <w:b/>
                      <w:bCs/>
                      <w:color w:val="000000"/>
                      <w:sz w:val="20"/>
                      <w:szCs w:val="20"/>
                    </w:rPr>
                  </w:pPr>
                  <w:r w:rsidRPr="000E4461">
                    <w:rPr>
                      <w:rFonts w:cs="Calibri"/>
                      <w:b/>
                      <w:bCs/>
                      <w:color w:val="000000"/>
                      <w:sz w:val="20"/>
                      <w:szCs w:val="20"/>
                    </w:rPr>
                    <w:t>Number of procedures being subject to the light regime</w:t>
                  </w:r>
                </w:p>
              </w:tc>
              <w:tc>
                <w:tcPr>
                  <w:tcW w:w="2126" w:type="dxa"/>
                  <w:tcBorders>
                    <w:top w:val="single" w:sz="4" w:space="0" w:color="auto"/>
                    <w:left w:val="single" w:sz="4" w:space="0" w:color="auto"/>
                    <w:bottom w:val="double" w:sz="6" w:space="0" w:color="auto"/>
                    <w:right w:val="single" w:sz="4" w:space="0" w:color="auto"/>
                  </w:tcBorders>
                  <w:shd w:val="clear" w:color="auto" w:fill="548DD4" w:themeFill="text2" w:themeFillTint="99"/>
                  <w:vAlign w:val="center"/>
                  <w:hideMark/>
                </w:tcPr>
                <w:p w14:paraId="6709DB35" w14:textId="083BD202" w:rsidR="00344C8C" w:rsidRPr="000E4461" w:rsidRDefault="00344C8C" w:rsidP="0012364A">
                  <w:pPr>
                    <w:spacing w:after="0"/>
                    <w:jc w:val="center"/>
                    <w:rPr>
                      <w:rFonts w:cs="Calibri"/>
                      <w:b/>
                      <w:bCs/>
                      <w:color w:val="000000"/>
                      <w:sz w:val="20"/>
                      <w:szCs w:val="20"/>
                    </w:rPr>
                  </w:pPr>
                  <w:r w:rsidRPr="000E4461">
                    <w:rPr>
                      <w:rFonts w:cs="Calibri"/>
                      <w:b/>
                      <w:bCs/>
                      <w:color w:val="000000"/>
                      <w:sz w:val="20"/>
                      <w:szCs w:val="20"/>
                    </w:rPr>
                    <w:t>Proportion of social pp procedures</w:t>
                  </w:r>
                </w:p>
                <w:p w14:paraId="7741D83B" w14:textId="002B5EF8" w:rsidR="00344C8C" w:rsidRPr="000E4461" w:rsidRDefault="00344C8C" w:rsidP="00B143D9">
                  <w:pPr>
                    <w:jc w:val="center"/>
                    <w:rPr>
                      <w:rFonts w:cs="Calibri"/>
                      <w:b/>
                      <w:bCs/>
                      <w:color w:val="000000"/>
                      <w:sz w:val="20"/>
                      <w:szCs w:val="20"/>
                    </w:rPr>
                  </w:pPr>
                  <w:r w:rsidRPr="000E4461">
                    <w:rPr>
                      <w:rFonts w:cs="Calibri"/>
                      <w:b/>
                      <w:bCs/>
                      <w:color w:val="000000"/>
                      <w:sz w:val="20"/>
                      <w:szCs w:val="20"/>
                    </w:rPr>
                    <w:t>(%)</w:t>
                  </w:r>
                </w:p>
              </w:tc>
              <w:tc>
                <w:tcPr>
                  <w:tcW w:w="1701"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081B41A7" w14:textId="29EB4819" w:rsidR="00344C8C" w:rsidRPr="000E4461" w:rsidRDefault="00344C8C" w:rsidP="0012364A">
                  <w:pPr>
                    <w:spacing w:after="0"/>
                    <w:jc w:val="center"/>
                    <w:rPr>
                      <w:rFonts w:cs="Calibri"/>
                      <w:b/>
                      <w:bCs/>
                      <w:color w:val="000000"/>
                      <w:sz w:val="20"/>
                      <w:szCs w:val="20"/>
                    </w:rPr>
                  </w:pPr>
                  <w:r w:rsidRPr="000E4461">
                    <w:rPr>
                      <w:rFonts w:cs="Calibri"/>
                      <w:b/>
                      <w:bCs/>
                      <w:color w:val="000000"/>
                      <w:sz w:val="20"/>
                      <w:szCs w:val="20"/>
                    </w:rPr>
                    <w:t>Value of procedures</w:t>
                  </w:r>
                </w:p>
                <w:p w14:paraId="34115A47" w14:textId="18B25127" w:rsidR="00344C8C" w:rsidRPr="000E4461" w:rsidRDefault="00344C8C" w:rsidP="0012364A">
                  <w:pPr>
                    <w:jc w:val="center"/>
                    <w:rPr>
                      <w:rFonts w:cs="Calibri"/>
                      <w:b/>
                      <w:bCs/>
                      <w:color w:val="000000"/>
                      <w:sz w:val="20"/>
                      <w:szCs w:val="20"/>
                    </w:rPr>
                  </w:pPr>
                  <w:r w:rsidRPr="000E4461">
                    <w:rPr>
                      <w:rFonts w:cs="Calibri"/>
                      <w:b/>
                      <w:bCs/>
                      <w:color w:val="000000"/>
                      <w:sz w:val="20"/>
                      <w:szCs w:val="20"/>
                    </w:rPr>
                    <w:t>(</w:t>
                  </w:r>
                  <w:proofErr w:type="spellStart"/>
                  <w:r w:rsidRPr="000E4461">
                    <w:rPr>
                      <w:rFonts w:cs="Calibri"/>
                      <w:b/>
                      <w:bCs/>
                      <w:color w:val="000000"/>
                      <w:sz w:val="20"/>
                      <w:szCs w:val="20"/>
                    </w:rPr>
                    <w:t>Bn</w:t>
                  </w:r>
                  <w:proofErr w:type="spellEnd"/>
                  <w:r w:rsidRPr="000E4461">
                    <w:rPr>
                      <w:rFonts w:cs="Calibri"/>
                      <w:b/>
                      <w:bCs/>
                      <w:color w:val="000000"/>
                      <w:sz w:val="20"/>
                      <w:szCs w:val="20"/>
                    </w:rPr>
                    <w:t xml:space="preserve"> HUF)</w:t>
                  </w:r>
                </w:p>
              </w:tc>
              <w:tc>
                <w:tcPr>
                  <w:tcW w:w="1525" w:type="dxa"/>
                  <w:tcBorders>
                    <w:top w:val="single" w:sz="4" w:space="0" w:color="auto"/>
                    <w:left w:val="nil"/>
                    <w:bottom w:val="double" w:sz="6" w:space="0" w:color="auto"/>
                    <w:right w:val="single" w:sz="4" w:space="0" w:color="auto"/>
                  </w:tcBorders>
                  <w:shd w:val="clear" w:color="auto" w:fill="548DD4" w:themeFill="text2" w:themeFillTint="99"/>
                  <w:vAlign w:val="center"/>
                  <w:hideMark/>
                </w:tcPr>
                <w:p w14:paraId="22254A5D" w14:textId="77777777" w:rsidR="00344C8C" w:rsidRPr="000E4461" w:rsidRDefault="00344C8C" w:rsidP="00344C8C">
                  <w:pPr>
                    <w:spacing w:after="0"/>
                    <w:jc w:val="center"/>
                    <w:rPr>
                      <w:rFonts w:cs="Calibri"/>
                      <w:b/>
                      <w:bCs/>
                      <w:color w:val="000000"/>
                      <w:sz w:val="20"/>
                      <w:szCs w:val="20"/>
                    </w:rPr>
                  </w:pPr>
                  <w:r w:rsidRPr="000E4461">
                    <w:rPr>
                      <w:rFonts w:cs="Calibri"/>
                      <w:b/>
                      <w:bCs/>
                      <w:color w:val="000000"/>
                      <w:sz w:val="20"/>
                      <w:szCs w:val="20"/>
                    </w:rPr>
                    <w:t>Proportion of value</w:t>
                  </w:r>
                </w:p>
                <w:p w14:paraId="18C11F9A" w14:textId="0BA2851D" w:rsidR="00344C8C" w:rsidRPr="000E4461" w:rsidRDefault="00344C8C" w:rsidP="00B143D9">
                  <w:pPr>
                    <w:jc w:val="center"/>
                    <w:rPr>
                      <w:rFonts w:cs="Calibri"/>
                      <w:b/>
                      <w:bCs/>
                      <w:color w:val="000000"/>
                      <w:sz w:val="20"/>
                      <w:szCs w:val="20"/>
                    </w:rPr>
                  </w:pPr>
                  <w:r w:rsidRPr="000E4461">
                    <w:rPr>
                      <w:rFonts w:cs="Calibri"/>
                      <w:b/>
                      <w:bCs/>
                      <w:color w:val="000000"/>
                      <w:sz w:val="20"/>
                      <w:szCs w:val="20"/>
                    </w:rPr>
                    <w:t>(%)</w:t>
                  </w:r>
                </w:p>
              </w:tc>
            </w:tr>
            <w:tr w:rsidR="00344C8C" w:rsidRPr="000E4461" w14:paraId="03618628" w14:textId="77777777" w:rsidTr="005C6876">
              <w:trPr>
                <w:trHeight w:val="285"/>
                <w:jc w:val="center"/>
              </w:trPr>
              <w:tc>
                <w:tcPr>
                  <w:tcW w:w="914" w:type="dxa"/>
                  <w:tcBorders>
                    <w:top w:val="double" w:sz="6"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AAF0877" w14:textId="65DB7698" w:rsidR="00344C8C" w:rsidRPr="000E4461" w:rsidRDefault="00344C8C" w:rsidP="00B143D9">
                  <w:pPr>
                    <w:rPr>
                      <w:rFonts w:cs="Calibri"/>
                      <w:color w:val="000000"/>
                      <w:sz w:val="20"/>
                      <w:szCs w:val="20"/>
                    </w:rPr>
                  </w:pPr>
                  <w:r w:rsidRPr="000E4461">
                    <w:rPr>
                      <w:rFonts w:cs="Calibri"/>
                      <w:color w:val="000000"/>
                      <w:sz w:val="20"/>
                      <w:szCs w:val="20"/>
                    </w:rPr>
                    <w:lastRenderedPageBreak/>
                    <w:t>EU</w:t>
                  </w:r>
                </w:p>
              </w:tc>
              <w:tc>
                <w:tcPr>
                  <w:tcW w:w="1417" w:type="dxa"/>
                  <w:tcBorders>
                    <w:top w:val="nil"/>
                    <w:left w:val="nil"/>
                    <w:bottom w:val="single" w:sz="4" w:space="0" w:color="auto"/>
                    <w:right w:val="single" w:sz="4" w:space="0" w:color="auto"/>
                  </w:tcBorders>
                  <w:shd w:val="clear" w:color="auto" w:fill="auto"/>
                  <w:noWrap/>
                  <w:vAlign w:val="center"/>
                  <w:hideMark/>
                </w:tcPr>
                <w:p w14:paraId="57E4AE5F" w14:textId="77777777" w:rsidR="00344C8C" w:rsidRPr="000E4461" w:rsidRDefault="00344C8C" w:rsidP="00B143D9">
                  <w:pPr>
                    <w:jc w:val="center"/>
                    <w:rPr>
                      <w:rFonts w:cs="Calibri"/>
                      <w:color w:val="000000"/>
                      <w:sz w:val="20"/>
                      <w:szCs w:val="20"/>
                    </w:rPr>
                  </w:pPr>
                  <w:r w:rsidRPr="000E4461">
                    <w:rPr>
                      <w:rFonts w:cs="Calibri"/>
                      <w:color w:val="000000"/>
                      <w:sz w:val="20"/>
                      <w:szCs w:val="20"/>
                    </w:rPr>
                    <w:t>60</w:t>
                  </w:r>
                </w:p>
              </w:tc>
              <w:tc>
                <w:tcPr>
                  <w:tcW w:w="2268" w:type="dxa"/>
                  <w:tcBorders>
                    <w:top w:val="nil"/>
                    <w:left w:val="nil"/>
                    <w:bottom w:val="single" w:sz="4" w:space="0" w:color="auto"/>
                    <w:right w:val="single" w:sz="4" w:space="0" w:color="auto"/>
                  </w:tcBorders>
                </w:tcPr>
                <w:p w14:paraId="51BABF6C" w14:textId="01D958F6" w:rsidR="00344C8C" w:rsidRPr="000E4461" w:rsidRDefault="00344C8C" w:rsidP="00B143D9">
                  <w:pPr>
                    <w:jc w:val="center"/>
                    <w:rPr>
                      <w:rFonts w:cs="Calibri"/>
                      <w:color w:val="000000"/>
                      <w:sz w:val="20"/>
                      <w:szCs w:val="20"/>
                    </w:rPr>
                  </w:pPr>
                  <w:r w:rsidRPr="000E4461">
                    <w:rPr>
                      <w:rFonts w:cs="Calibri"/>
                      <w:color w:val="000000"/>
                      <w:sz w:val="20"/>
                      <w:szCs w:val="20"/>
                    </w:rPr>
                    <w:t>60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B0256FD" w14:textId="2EBADCF0" w:rsidR="00344C8C" w:rsidRPr="000E4461" w:rsidRDefault="00344C8C" w:rsidP="00B143D9">
                  <w:pPr>
                    <w:jc w:val="center"/>
                    <w:rPr>
                      <w:rFonts w:cs="Calibri"/>
                      <w:color w:val="000000"/>
                      <w:sz w:val="20"/>
                      <w:szCs w:val="20"/>
                    </w:rPr>
                  </w:pPr>
                  <w:r w:rsidRPr="000E4461">
                    <w:rPr>
                      <w:rFonts w:cs="Calibri"/>
                      <w:color w:val="000000"/>
                      <w:sz w:val="20"/>
                      <w:szCs w:val="20"/>
                    </w:rPr>
                    <w:t>3,05%</w:t>
                  </w:r>
                </w:p>
              </w:tc>
              <w:tc>
                <w:tcPr>
                  <w:tcW w:w="1701" w:type="dxa"/>
                  <w:tcBorders>
                    <w:top w:val="nil"/>
                    <w:left w:val="nil"/>
                    <w:bottom w:val="single" w:sz="4" w:space="0" w:color="auto"/>
                    <w:right w:val="single" w:sz="4" w:space="0" w:color="auto"/>
                  </w:tcBorders>
                  <w:shd w:val="clear" w:color="auto" w:fill="auto"/>
                  <w:noWrap/>
                  <w:vAlign w:val="center"/>
                  <w:hideMark/>
                </w:tcPr>
                <w:p w14:paraId="23D01801" w14:textId="77777777" w:rsidR="00344C8C" w:rsidRPr="000E4461" w:rsidRDefault="00344C8C" w:rsidP="00B143D9">
                  <w:pPr>
                    <w:jc w:val="center"/>
                    <w:rPr>
                      <w:rFonts w:cs="Calibri"/>
                      <w:color w:val="000000"/>
                      <w:sz w:val="20"/>
                      <w:szCs w:val="20"/>
                    </w:rPr>
                  </w:pPr>
                  <w:r w:rsidRPr="000E4461">
                    <w:rPr>
                      <w:rFonts w:cs="Calibri"/>
                      <w:color w:val="000000"/>
                      <w:sz w:val="20"/>
                      <w:szCs w:val="20"/>
                    </w:rPr>
                    <w:t>73,67</w:t>
                  </w:r>
                </w:p>
              </w:tc>
              <w:tc>
                <w:tcPr>
                  <w:tcW w:w="1525" w:type="dxa"/>
                  <w:tcBorders>
                    <w:top w:val="nil"/>
                    <w:left w:val="nil"/>
                    <w:bottom w:val="single" w:sz="4" w:space="0" w:color="auto"/>
                    <w:right w:val="single" w:sz="4" w:space="0" w:color="auto"/>
                  </w:tcBorders>
                  <w:shd w:val="clear" w:color="auto" w:fill="auto"/>
                  <w:noWrap/>
                  <w:vAlign w:val="center"/>
                  <w:hideMark/>
                </w:tcPr>
                <w:p w14:paraId="0135AE04" w14:textId="77777777" w:rsidR="00344C8C" w:rsidRPr="000E4461" w:rsidRDefault="00344C8C" w:rsidP="00B143D9">
                  <w:pPr>
                    <w:jc w:val="center"/>
                    <w:rPr>
                      <w:rFonts w:cs="Calibri"/>
                      <w:color w:val="000000"/>
                      <w:sz w:val="20"/>
                      <w:szCs w:val="20"/>
                    </w:rPr>
                  </w:pPr>
                  <w:r w:rsidRPr="000E4461">
                    <w:rPr>
                      <w:rFonts w:cs="Calibri"/>
                      <w:color w:val="000000"/>
                      <w:sz w:val="20"/>
                      <w:szCs w:val="20"/>
                    </w:rPr>
                    <w:t>2,41%</w:t>
                  </w:r>
                </w:p>
              </w:tc>
            </w:tr>
            <w:tr w:rsidR="00344C8C" w:rsidRPr="000E4461" w14:paraId="4FF3C372" w14:textId="77777777" w:rsidTr="005C6876">
              <w:trPr>
                <w:trHeight w:val="285"/>
                <w:jc w:val="center"/>
              </w:trPr>
              <w:tc>
                <w:tcPr>
                  <w:tcW w:w="914" w:type="dxa"/>
                  <w:tcBorders>
                    <w:top w:val="nil"/>
                    <w:left w:val="single" w:sz="4" w:space="0" w:color="auto"/>
                    <w:bottom w:val="double" w:sz="6" w:space="0" w:color="auto"/>
                    <w:right w:val="single" w:sz="4" w:space="0" w:color="auto"/>
                  </w:tcBorders>
                  <w:shd w:val="clear" w:color="auto" w:fill="C6D9F1" w:themeFill="text2" w:themeFillTint="33"/>
                  <w:noWrap/>
                  <w:vAlign w:val="center"/>
                  <w:hideMark/>
                </w:tcPr>
                <w:p w14:paraId="4F645093" w14:textId="2B13F797" w:rsidR="00344C8C" w:rsidRPr="000E4461" w:rsidRDefault="00344C8C" w:rsidP="00B143D9">
                  <w:pPr>
                    <w:rPr>
                      <w:rFonts w:cs="Calibri"/>
                      <w:color w:val="000000"/>
                      <w:sz w:val="20"/>
                      <w:szCs w:val="20"/>
                    </w:rPr>
                  </w:pPr>
                  <w:r w:rsidRPr="000E4461">
                    <w:rPr>
                      <w:rFonts w:cs="Calibri"/>
                      <w:color w:val="000000"/>
                      <w:sz w:val="20"/>
                      <w:szCs w:val="20"/>
                    </w:rPr>
                    <w:t>National</w:t>
                  </w:r>
                </w:p>
              </w:tc>
              <w:tc>
                <w:tcPr>
                  <w:tcW w:w="1417" w:type="dxa"/>
                  <w:tcBorders>
                    <w:top w:val="nil"/>
                    <w:left w:val="nil"/>
                    <w:bottom w:val="double" w:sz="6" w:space="0" w:color="auto"/>
                    <w:right w:val="single" w:sz="4" w:space="0" w:color="auto"/>
                  </w:tcBorders>
                  <w:shd w:val="clear" w:color="auto" w:fill="auto"/>
                  <w:noWrap/>
                  <w:vAlign w:val="center"/>
                  <w:hideMark/>
                </w:tcPr>
                <w:p w14:paraId="5673E48A" w14:textId="77777777" w:rsidR="00344C8C" w:rsidRPr="000E4461" w:rsidRDefault="00344C8C" w:rsidP="00B143D9">
                  <w:pPr>
                    <w:jc w:val="center"/>
                    <w:rPr>
                      <w:rFonts w:cs="Calibri"/>
                      <w:color w:val="000000"/>
                      <w:sz w:val="20"/>
                      <w:szCs w:val="20"/>
                    </w:rPr>
                  </w:pPr>
                  <w:r w:rsidRPr="000E4461">
                    <w:rPr>
                      <w:rFonts w:cs="Calibri"/>
                      <w:color w:val="000000"/>
                      <w:sz w:val="20"/>
                      <w:szCs w:val="20"/>
                    </w:rPr>
                    <w:t>141</w:t>
                  </w:r>
                </w:p>
              </w:tc>
              <w:tc>
                <w:tcPr>
                  <w:tcW w:w="2268" w:type="dxa"/>
                  <w:tcBorders>
                    <w:top w:val="nil"/>
                    <w:left w:val="nil"/>
                    <w:bottom w:val="double" w:sz="6" w:space="0" w:color="auto"/>
                    <w:right w:val="single" w:sz="4" w:space="0" w:color="auto"/>
                  </w:tcBorders>
                </w:tcPr>
                <w:p w14:paraId="53075EDF" w14:textId="0A3676CA" w:rsidR="00344C8C" w:rsidRPr="000E4461" w:rsidRDefault="00344C8C" w:rsidP="00B143D9">
                  <w:pPr>
                    <w:jc w:val="center"/>
                    <w:rPr>
                      <w:rFonts w:cs="Calibri"/>
                      <w:color w:val="000000"/>
                      <w:sz w:val="20"/>
                      <w:szCs w:val="20"/>
                    </w:rPr>
                  </w:pPr>
                  <w:r w:rsidRPr="000E4461">
                    <w:rPr>
                      <w:rFonts w:cs="Calibri"/>
                      <w:color w:val="000000"/>
                      <w:sz w:val="20"/>
                      <w:szCs w:val="20"/>
                    </w:rPr>
                    <w:t>2</w:t>
                  </w:r>
                </w:p>
              </w:tc>
              <w:tc>
                <w:tcPr>
                  <w:tcW w:w="2126" w:type="dxa"/>
                  <w:tcBorders>
                    <w:top w:val="nil"/>
                    <w:left w:val="single" w:sz="4" w:space="0" w:color="auto"/>
                    <w:bottom w:val="double" w:sz="6" w:space="0" w:color="auto"/>
                    <w:right w:val="single" w:sz="4" w:space="0" w:color="auto"/>
                  </w:tcBorders>
                  <w:shd w:val="clear" w:color="auto" w:fill="auto"/>
                  <w:noWrap/>
                  <w:vAlign w:val="center"/>
                  <w:hideMark/>
                </w:tcPr>
                <w:p w14:paraId="37136F28" w14:textId="044E8315" w:rsidR="00344C8C" w:rsidRPr="000E4461" w:rsidRDefault="00344C8C" w:rsidP="00B143D9">
                  <w:pPr>
                    <w:jc w:val="center"/>
                    <w:rPr>
                      <w:rFonts w:cs="Calibri"/>
                      <w:color w:val="000000"/>
                      <w:sz w:val="20"/>
                      <w:szCs w:val="20"/>
                    </w:rPr>
                  </w:pPr>
                  <w:r w:rsidRPr="000E4461">
                    <w:rPr>
                      <w:rFonts w:cs="Calibri"/>
                      <w:color w:val="000000"/>
                      <w:sz w:val="20"/>
                      <w:szCs w:val="20"/>
                    </w:rPr>
                    <w:t>2,06%</w:t>
                  </w:r>
                </w:p>
              </w:tc>
              <w:tc>
                <w:tcPr>
                  <w:tcW w:w="1701" w:type="dxa"/>
                  <w:tcBorders>
                    <w:top w:val="nil"/>
                    <w:left w:val="nil"/>
                    <w:bottom w:val="double" w:sz="6" w:space="0" w:color="auto"/>
                    <w:right w:val="single" w:sz="4" w:space="0" w:color="auto"/>
                  </w:tcBorders>
                  <w:shd w:val="clear" w:color="auto" w:fill="auto"/>
                  <w:noWrap/>
                  <w:vAlign w:val="center"/>
                  <w:hideMark/>
                </w:tcPr>
                <w:p w14:paraId="7F9C1005" w14:textId="77777777" w:rsidR="00344C8C" w:rsidRPr="000E4461" w:rsidRDefault="00344C8C" w:rsidP="00B143D9">
                  <w:pPr>
                    <w:jc w:val="center"/>
                    <w:rPr>
                      <w:rFonts w:cs="Calibri"/>
                      <w:color w:val="000000"/>
                      <w:sz w:val="20"/>
                      <w:szCs w:val="20"/>
                    </w:rPr>
                  </w:pPr>
                  <w:r w:rsidRPr="000E4461">
                    <w:rPr>
                      <w:rFonts w:cs="Calibri"/>
                      <w:color w:val="000000"/>
                      <w:sz w:val="20"/>
                      <w:szCs w:val="20"/>
                    </w:rPr>
                    <w:t>22,35</w:t>
                  </w:r>
                </w:p>
              </w:tc>
              <w:tc>
                <w:tcPr>
                  <w:tcW w:w="1525" w:type="dxa"/>
                  <w:tcBorders>
                    <w:top w:val="nil"/>
                    <w:left w:val="nil"/>
                    <w:bottom w:val="double" w:sz="6" w:space="0" w:color="auto"/>
                    <w:right w:val="single" w:sz="4" w:space="0" w:color="auto"/>
                  </w:tcBorders>
                  <w:shd w:val="clear" w:color="auto" w:fill="auto"/>
                  <w:noWrap/>
                  <w:vAlign w:val="center"/>
                  <w:hideMark/>
                </w:tcPr>
                <w:p w14:paraId="211F7C64" w14:textId="77777777" w:rsidR="00344C8C" w:rsidRPr="000E4461" w:rsidRDefault="00344C8C" w:rsidP="00B143D9">
                  <w:pPr>
                    <w:jc w:val="center"/>
                    <w:rPr>
                      <w:rFonts w:cs="Calibri"/>
                      <w:color w:val="000000"/>
                      <w:sz w:val="20"/>
                      <w:szCs w:val="20"/>
                    </w:rPr>
                  </w:pPr>
                  <w:r w:rsidRPr="000E4461">
                    <w:rPr>
                      <w:rFonts w:cs="Calibri"/>
                      <w:color w:val="000000"/>
                      <w:sz w:val="20"/>
                      <w:szCs w:val="20"/>
                    </w:rPr>
                    <w:t>3,93%</w:t>
                  </w:r>
                </w:p>
              </w:tc>
            </w:tr>
            <w:tr w:rsidR="00344C8C" w:rsidRPr="000E4461" w14:paraId="47824F1E" w14:textId="77777777" w:rsidTr="005C6876">
              <w:trPr>
                <w:trHeight w:val="315"/>
                <w:jc w:val="center"/>
              </w:trPr>
              <w:tc>
                <w:tcPr>
                  <w:tcW w:w="914"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59DD251" w14:textId="6A4EEB45" w:rsidR="00344C8C" w:rsidRPr="000E4461" w:rsidRDefault="00344C8C" w:rsidP="00B143D9">
                  <w:pPr>
                    <w:rPr>
                      <w:rFonts w:cs="Calibri"/>
                      <w:b/>
                      <w:bCs/>
                      <w:color w:val="000000"/>
                      <w:sz w:val="20"/>
                      <w:szCs w:val="20"/>
                    </w:rPr>
                  </w:pPr>
                  <w:r w:rsidRPr="000E4461">
                    <w:rPr>
                      <w:rFonts w:cs="Calibri"/>
                      <w:b/>
                      <w:bCs/>
                      <w:color w:val="000000"/>
                      <w:sz w:val="20"/>
                      <w:szCs w:val="20"/>
                    </w:rPr>
                    <w:t>Total</w:t>
                  </w:r>
                </w:p>
              </w:tc>
              <w:tc>
                <w:tcPr>
                  <w:tcW w:w="1417" w:type="dxa"/>
                  <w:tcBorders>
                    <w:top w:val="nil"/>
                    <w:left w:val="nil"/>
                    <w:bottom w:val="single" w:sz="4" w:space="0" w:color="auto"/>
                    <w:right w:val="single" w:sz="4" w:space="0" w:color="auto"/>
                  </w:tcBorders>
                  <w:shd w:val="clear" w:color="auto" w:fill="auto"/>
                  <w:noWrap/>
                  <w:vAlign w:val="center"/>
                  <w:hideMark/>
                </w:tcPr>
                <w:p w14:paraId="229A4877" w14:textId="77777777" w:rsidR="00344C8C" w:rsidRPr="000E4461" w:rsidRDefault="00344C8C" w:rsidP="00B143D9">
                  <w:pPr>
                    <w:jc w:val="center"/>
                    <w:rPr>
                      <w:rFonts w:cs="Calibri"/>
                      <w:b/>
                      <w:color w:val="000000"/>
                      <w:sz w:val="20"/>
                      <w:szCs w:val="20"/>
                    </w:rPr>
                  </w:pPr>
                  <w:r w:rsidRPr="000E4461">
                    <w:rPr>
                      <w:rFonts w:cs="Calibri"/>
                      <w:b/>
                      <w:color w:val="000000"/>
                      <w:sz w:val="20"/>
                      <w:szCs w:val="20"/>
                    </w:rPr>
                    <w:t>201</w:t>
                  </w:r>
                </w:p>
              </w:tc>
              <w:tc>
                <w:tcPr>
                  <w:tcW w:w="2268" w:type="dxa"/>
                  <w:tcBorders>
                    <w:top w:val="nil"/>
                    <w:left w:val="nil"/>
                    <w:bottom w:val="single" w:sz="4" w:space="0" w:color="auto"/>
                    <w:right w:val="single" w:sz="4" w:space="0" w:color="auto"/>
                  </w:tcBorders>
                </w:tcPr>
                <w:p w14:paraId="1C515E39" w14:textId="1E8BDDD0" w:rsidR="00344C8C" w:rsidRPr="000E4461" w:rsidRDefault="00344C8C" w:rsidP="00B143D9">
                  <w:pPr>
                    <w:jc w:val="center"/>
                    <w:rPr>
                      <w:rFonts w:cs="Calibri"/>
                      <w:b/>
                      <w:color w:val="000000"/>
                      <w:sz w:val="20"/>
                      <w:szCs w:val="20"/>
                    </w:rPr>
                  </w:pPr>
                  <w:r w:rsidRPr="000E4461">
                    <w:rPr>
                      <w:rFonts w:cs="Calibri"/>
                      <w:b/>
                      <w:color w:val="000000"/>
                      <w:sz w:val="20"/>
                      <w:szCs w:val="20"/>
                    </w:rPr>
                    <w:t>62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DACB4F" w14:textId="5CCF6B39" w:rsidR="00344C8C" w:rsidRPr="000E4461" w:rsidRDefault="00344C8C" w:rsidP="00B143D9">
                  <w:pPr>
                    <w:jc w:val="center"/>
                    <w:rPr>
                      <w:rFonts w:cs="Calibri"/>
                      <w:b/>
                      <w:color w:val="000000"/>
                      <w:sz w:val="20"/>
                      <w:szCs w:val="20"/>
                    </w:rPr>
                  </w:pPr>
                  <w:r w:rsidRPr="000E4461">
                    <w:rPr>
                      <w:rFonts w:cs="Calibri"/>
                      <w:b/>
                      <w:color w:val="000000"/>
                      <w:sz w:val="20"/>
                      <w:szCs w:val="20"/>
                    </w:rPr>
                    <w:t>2,28%</w:t>
                  </w:r>
                </w:p>
              </w:tc>
              <w:tc>
                <w:tcPr>
                  <w:tcW w:w="1701" w:type="dxa"/>
                  <w:tcBorders>
                    <w:top w:val="nil"/>
                    <w:left w:val="nil"/>
                    <w:bottom w:val="single" w:sz="4" w:space="0" w:color="auto"/>
                    <w:right w:val="single" w:sz="4" w:space="0" w:color="auto"/>
                  </w:tcBorders>
                  <w:shd w:val="clear" w:color="auto" w:fill="auto"/>
                  <w:noWrap/>
                  <w:vAlign w:val="center"/>
                  <w:hideMark/>
                </w:tcPr>
                <w:p w14:paraId="4BB65384" w14:textId="77777777" w:rsidR="00344C8C" w:rsidRPr="000E4461" w:rsidRDefault="00344C8C" w:rsidP="00B143D9">
                  <w:pPr>
                    <w:jc w:val="center"/>
                    <w:rPr>
                      <w:rFonts w:cs="Calibri"/>
                      <w:b/>
                      <w:color w:val="000000"/>
                      <w:sz w:val="20"/>
                      <w:szCs w:val="20"/>
                    </w:rPr>
                  </w:pPr>
                  <w:r w:rsidRPr="000E4461">
                    <w:rPr>
                      <w:rFonts w:cs="Calibri"/>
                      <w:b/>
                      <w:color w:val="000000"/>
                      <w:sz w:val="20"/>
                      <w:szCs w:val="20"/>
                    </w:rPr>
                    <w:t>96,01</w:t>
                  </w:r>
                </w:p>
              </w:tc>
              <w:tc>
                <w:tcPr>
                  <w:tcW w:w="1525" w:type="dxa"/>
                  <w:tcBorders>
                    <w:top w:val="nil"/>
                    <w:left w:val="nil"/>
                    <w:bottom w:val="single" w:sz="4" w:space="0" w:color="auto"/>
                    <w:right w:val="single" w:sz="4" w:space="0" w:color="auto"/>
                  </w:tcBorders>
                  <w:shd w:val="clear" w:color="auto" w:fill="auto"/>
                  <w:noWrap/>
                  <w:vAlign w:val="center"/>
                  <w:hideMark/>
                </w:tcPr>
                <w:p w14:paraId="2CAEC32D" w14:textId="77777777" w:rsidR="00344C8C" w:rsidRPr="000E4461" w:rsidRDefault="00344C8C" w:rsidP="00B143D9">
                  <w:pPr>
                    <w:jc w:val="center"/>
                    <w:rPr>
                      <w:rFonts w:cs="Calibri"/>
                      <w:b/>
                      <w:color w:val="000000"/>
                      <w:sz w:val="20"/>
                      <w:szCs w:val="20"/>
                    </w:rPr>
                  </w:pPr>
                  <w:r w:rsidRPr="000E4461">
                    <w:rPr>
                      <w:rFonts w:cs="Calibri"/>
                      <w:b/>
                      <w:color w:val="000000"/>
                      <w:sz w:val="20"/>
                      <w:szCs w:val="20"/>
                    </w:rPr>
                    <w:t>2,65%</w:t>
                  </w:r>
                </w:p>
              </w:tc>
            </w:tr>
          </w:tbl>
          <w:p w14:paraId="0D44B081" w14:textId="77777777" w:rsidR="008062C2" w:rsidRPr="00010E96" w:rsidRDefault="008062C2" w:rsidP="008062C2">
            <w:pPr>
              <w:jc w:val="both"/>
              <w:rPr>
                <w:i/>
                <w:sz w:val="20"/>
                <w:szCs w:val="20"/>
              </w:rPr>
            </w:pPr>
            <w:r w:rsidRPr="00010E96">
              <w:rPr>
                <w:i/>
                <w:sz w:val="20"/>
                <w:szCs w:val="20"/>
              </w:rPr>
              <w:t>* The table includes only statistical data concerning the national regime, since the EU standard forms don’t contain specific fields for this purpose unlike the Hungarian standard forms in national regime. The Public Procurement Authority collects statistical data from contract award notices nevertheless these statistics don’t even show an accurate picture because marking green, social or innovative criteria in the notice is not compulsory, it is always the decision of the contracting authority.</w:t>
            </w:r>
          </w:p>
          <w:p w14:paraId="364B9F93" w14:textId="2FEA5AA6" w:rsidR="00AB2F76" w:rsidRPr="000E4461" w:rsidDel="00DD5AB5" w:rsidRDefault="00AB2F76" w:rsidP="00AB2F76">
            <w:pPr>
              <w:jc w:val="both"/>
            </w:pPr>
          </w:p>
        </w:tc>
      </w:tr>
      <w:tr w:rsidR="009D79A4" w:rsidRPr="000E4461" w14:paraId="19DF63EF" w14:textId="77777777" w:rsidTr="006708CC">
        <w:tc>
          <w:tcPr>
            <w:tcW w:w="1648" w:type="pct"/>
          </w:tcPr>
          <w:p w14:paraId="435A63A9" w14:textId="2CD7C227" w:rsidR="009D79A4" w:rsidRPr="000E4461" w:rsidRDefault="009D79A4" w:rsidP="00DE3F88">
            <w:pPr>
              <w:pStyle w:val="Cmsor3"/>
              <w:outlineLvl w:val="2"/>
            </w:pPr>
            <w:r w:rsidRPr="000E4461">
              <w:lastRenderedPageBreak/>
              <w:t>V.3 Public procurement of innovati</w:t>
            </w:r>
            <w:r w:rsidR="00DE3F88" w:rsidRPr="000E4461">
              <w:t>on</w:t>
            </w:r>
          </w:p>
        </w:tc>
        <w:tc>
          <w:tcPr>
            <w:tcW w:w="3352" w:type="pct"/>
          </w:tcPr>
          <w:p w14:paraId="7DAE116C" w14:textId="481C6FC6" w:rsidR="009D79A4" w:rsidRPr="000E4461" w:rsidRDefault="009D79A4" w:rsidP="006753EC">
            <w:pPr>
              <w:pStyle w:val="Cmsor4"/>
              <w:numPr>
                <w:ilvl w:val="0"/>
                <w:numId w:val="0"/>
              </w:numPr>
              <w:jc w:val="both"/>
              <w:outlineLvl w:val="3"/>
              <w:rPr>
                <w:b w:val="0"/>
              </w:rPr>
            </w:pPr>
          </w:p>
        </w:tc>
      </w:tr>
      <w:tr w:rsidR="006708CC" w:rsidRPr="000E4461" w14:paraId="25EBCE41" w14:textId="77777777" w:rsidTr="006708CC">
        <w:tc>
          <w:tcPr>
            <w:tcW w:w="1648" w:type="pct"/>
          </w:tcPr>
          <w:p w14:paraId="5A772C25" w14:textId="0992EC61" w:rsidR="006708CC" w:rsidRPr="000E4461" w:rsidRDefault="009D79A4" w:rsidP="00FE7D75">
            <w:pPr>
              <w:pStyle w:val="Cmsor3"/>
              <w:outlineLvl w:val="2"/>
            </w:pPr>
            <w:r w:rsidRPr="000E4461">
              <w:t>V</w:t>
            </w:r>
            <w:r w:rsidR="006708CC" w:rsidRPr="000E4461">
              <w:t>.3.</w:t>
            </w:r>
            <w:r w:rsidRPr="000E4461">
              <w:t>1</w:t>
            </w:r>
            <w:r w:rsidR="006708CC" w:rsidRPr="000E4461">
              <w:t xml:space="preserve"> </w:t>
            </w:r>
            <w:r w:rsidR="002C131E" w:rsidRPr="000E4461">
              <w:t>Qualitative reporting</w:t>
            </w:r>
          </w:p>
        </w:tc>
        <w:tc>
          <w:tcPr>
            <w:tcW w:w="3352" w:type="pct"/>
          </w:tcPr>
          <w:p w14:paraId="033F13EB" w14:textId="19E59728" w:rsidR="006708CC" w:rsidRPr="000E4461" w:rsidRDefault="006708CC" w:rsidP="006753EC">
            <w:pPr>
              <w:pStyle w:val="Cmsor4"/>
              <w:numPr>
                <w:ilvl w:val="0"/>
                <w:numId w:val="0"/>
              </w:numPr>
              <w:jc w:val="both"/>
              <w:outlineLvl w:val="3"/>
            </w:pPr>
          </w:p>
        </w:tc>
      </w:tr>
      <w:tr w:rsidR="006708CC" w:rsidRPr="000E4461" w14:paraId="293F0B0C" w14:textId="77777777" w:rsidTr="009372B5">
        <w:trPr>
          <w:trHeight w:val="2044"/>
        </w:trPr>
        <w:tc>
          <w:tcPr>
            <w:tcW w:w="1648" w:type="pct"/>
          </w:tcPr>
          <w:p w14:paraId="779255E4" w14:textId="75B08836" w:rsidR="006708CC" w:rsidRPr="000E4461" w:rsidRDefault="006708CC" w:rsidP="006708CC">
            <w:r w:rsidRPr="000E4461">
              <w:t>Key challenges encountered</w:t>
            </w:r>
          </w:p>
          <w:p w14:paraId="625449B6" w14:textId="40ECDCB6" w:rsidR="006708CC" w:rsidRPr="000E4461" w:rsidRDefault="006708CC" w:rsidP="00FE7D75"/>
        </w:tc>
        <w:tc>
          <w:tcPr>
            <w:tcW w:w="3352" w:type="pct"/>
          </w:tcPr>
          <w:p w14:paraId="1A4545CC" w14:textId="43EF3F15" w:rsidR="00782E6D" w:rsidRPr="00731535" w:rsidRDefault="00731535" w:rsidP="00782E6D">
            <w:pPr>
              <w:jc w:val="both"/>
              <w:rPr>
                <w:b/>
                <w:u w:val="single"/>
              </w:rPr>
            </w:pPr>
            <w:r w:rsidRPr="00731535">
              <w:rPr>
                <w:b/>
                <w:u w:val="single"/>
              </w:rPr>
              <w:t xml:space="preserve">I. </w:t>
            </w:r>
            <w:r w:rsidR="00782E6D" w:rsidRPr="00731535">
              <w:rPr>
                <w:b/>
                <w:u w:val="single"/>
              </w:rPr>
              <w:t>Legal background</w:t>
            </w:r>
          </w:p>
          <w:p w14:paraId="6E93608C" w14:textId="77777777" w:rsidR="00782E6D" w:rsidRPr="000E4461" w:rsidRDefault="00782E6D" w:rsidP="00782E6D">
            <w:pPr>
              <w:jc w:val="both"/>
            </w:pPr>
          </w:p>
          <w:p w14:paraId="26EBD8F7" w14:textId="164E0507" w:rsidR="00782E6D" w:rsidRPr="000E4461" w:rsidRDefault="00782E6D" w:rsidP="00782E6D">
            <w:pPr>
              <w:jc w:val="both"/>
            </w:pPr>
            <w:r w:rsidRPr="000E4461">
              <w:t xml:space="preserve">Innovation procurement as such is not defined by the law in </w:t>
            </w:r>
            <w:proofErr w:type="gramStart"/>
            <w:r w:rsidRPr="000E4461">
              <w:t>Hungary,</w:t>
            </w:r>
            <w:proofErr w:type="gramEnd"/>
            <w:r w:rsidRPr="000E4461">
              <w:t xml:space="preserve"> nevertheless innovation is defined in Article 3 point 12. of </w:t>
            </w:r>
            <w:r w:rsidR="008621FF" w:rsidRPr="000E4461">
              <w:t>the PPA</w:t>
            </w:r>
            <w:r w:rsidRPr="000E4461">
              <w:t xml:space="preserve"> as follows: “innovation: the implementation of a new or significantly improved product, service or process, including but not limited to production, building or construction processes, a new marketing method, or a new organisational method in business practices, workplace organisation or external relations, in particular with the purpose of improving the efficiency of a given activity and having a favourable impact on the society and environment”.</w:t>
            </w:r>
          </w:p>
          <w:p w14:paraId="36FDA75F" w14:textId="77777777" w:rsidR="00782E6D" w:rsidRPr="000E4461" w:rsidRDefault="00782E6D" w:rsidP="00782E6D">
            <w:pPr>
              <w:jc w:val="both"/>
            </w:pPr>
          </w:p>
          <w:p w14:paraId="3C0AA720" w14:textId="4C53DF2C" w:rsidR="00782E6D" w:rsidRPr="00731535" w:rsidRDefault="00731535" w:rsidP="00782E6D">
            <w:pPr>
              <w:jc w:val="both"/>
              <w:rPr>
                <w:b/>
                <w:u w:val="single"/>
              </w:rPr>
            </w:pPr>
            <w:r w:rsidRPr="00731535">
              <w:rPr>
                <w:b/>
                <w:u w:val="single"/>
              </w:rPr>
              <w:t xml:space="preserve">II. </w:t>
            </w:r>
            <w:r w:rsidR="00782E6D" w:rsidRPr="00731535">
              <w:rPr>
                <w:b/>
                <w:u w:val="single"/>
              </w:rPr>
              <w:t>Key challenges in the promotion of innovation procurement</w:t>
            </w:r>
          </w:p>
          <w:p w14:paraId="7FBA58A1" w14:textId="77777777" w:rsidR="00782E6D" w:rsidRPr="000E4461" w:rsidRDefault="00782E6D" w:rsidP="00782E6D">
            <w:pPr>
              <w:jc w:val="both"/>
            </w:pPr>
          </w:p>
          <w:p w14:paraId="2AE708CF" w14:textId="77777777" w:rsidR="00782E6D" w:rsidRPr="000E4461" w:rsidRDefault="00782E6D" w:rsidP="00782E6D">
            <w:pPr>
              <w:jc w:val="both"/>
            </w:pPr>
            <w:r w:rsidRPr="000E4461">
              <w:t xml:space="preserve">One of the main reasons behind the low application of innovation procurement is due to the lack of experience by the contracting authorities and given there is no long-established tradition of the application of sustainable procurement, contracting authorities are rather hesitant to make attempts, thus generating a virtuous circle. Furthermore, the other explanation for the reluctance in case of EU-funded projects is the audit risk, as contracting authorities are threatened by corrections should there be any infringement in the public procurement, thus they tend to keep their procurement procedure simple and compliant and do not wish to venture off the beaten path. It is also a widespread misconception among contracting authorities that innovation procurement requires much more time. A further specificity is identified in health procurement, namely that although health is one of the most rapidly developing sector as regards innovation, health </w:t>
            </w:r>
            <w:r w:rsidRPr="000E4461">
              <w:lastRenderedPageBreak/>
              <w:t>professionals and doctors usually have very clear and definite procurement needs and stick to the already established practice and wish to apply the methods and medical instruments already used earlier, this is the case by implants for example. Additionally, the survey of the National Research, Development and Innovation Office revealed that contracting authorities choose the already familiar solutions and consider long projects covering several years too risky.</w:t>
            </w:r>
          </w:p>
          <w:p w14:paraId="7C49AB76" w14:textId="77777777" w:rsidR="00782E6D" w:rsidRPr="000E4461" w:rsidRDefault="00782E6D" w:rsidP="00782E6D">
            <w:pPr>
              <w:jc w:val="both"/>
            </w:pPr>
          </w:p>
          <w:p w14:paraId="3143CBE6" w14:textId="48A56CF5" w:rsidR="00782E6D" w:rsidRPr="00731535" w:rsidRDefault="00731535" w:rsidP="00782E6D">
            <w:pPr>
              <w:jc w:val="both"/>
              <w:rPr>
                <w:b/>
                <w:u w:val="single"/>
              </w:rPr>
            </w:pPr>
            <w:r w:rsidRPr="00731535">
              <w:rPr>
                <w:b/>
                <w:u w:val="single"/>
              </w:rPr>
              <w:t xml:space="preserve">III. </w:t>
            </w:r>
            <w:r w:rsidR="00782E6D" w:rsidRPr="00731535">
              <w:rPr>
                <w:b/>
                <w:u w:val="single"/>
              </w:rPr>
              <w:t>Measures taken to overcome the key challenges identified</w:t>
            </w:r>
          </w:p>
          <w:p w14:paraId="1C979621" w14:textId="77777777" w:rsidR="005F5B41" w:rsidRPr="000E4461" w:rsidRDefault="005F5B41" w:rsidP="00782E6D">
            <w:pPr>
              <w:jc w:val="both"/>
            </w:pPr>
          </w:p>
          <w:p w14:paraId="10F1FDF7" w14:textId="6CC98E86" w:rsidR="00782E6D" w:rsidRPr="000E4461" w:rsidRDefault="00782E6D" w:rsidP="00782E6D">
            <w:pPr>
              <w:jc w:val="both"/>
            </w:pPr>
            <w:r w:rsidRPr="000E4461">
              <w:t>In compliance with the PPA, one of the main tasks of the Public Procurement Authority is to stimulate the application green, social and innovation procurement and to raise awareness by familiarizing stakeholders with the relevant national and EU regulations and the available best practices.</w:t>
            </w:r>
          </w:p>
          <w:p w14:paraId="2EA8A42E" w14:textId="77777777" w:rsidR="00782E6D" w:rsidRPr="000E4461" w:rsidRDefault="00782E6D" w:rsidP="00D61114">
            <w:pPr>
              <w:spacing w:after="120"/>
              <w:jc w:val="both"/>
            </w:pPr>
            <w:r w:rsidRPr="000E4461">
              <w:t>Considering the importance of the issue, in 2018 the Authority launched its programme titled: “</w:t>
            </w:r>
            <w:r w:rsidRPr="000E4461">
              <w:rPr>
                <w:i/>
              </w:rPr>
              <w:t>2018 – The year of sustainable procurement</w:t>
            </w:r>
            <w:r w:rsidRPr="000E4461">
              <w:t>”. The goal of the programme is to promote and raise awareness concerning sustainable procurement and to spread the public procurement attitude responsible for future generations. The following actions are taken in the framework of the programme:</w:t>
            </w:r>
          </w:p>
          <w:p w14:paraId="16AF3C13" w14:textId="77777777" w:rsidR="00782E6D" w:rsidRPr="000E4461" w:rsidRDefault="00782E6D" w:rsidP="00500037">
            <w:pPr>
              <w:numPr>
                <w:ilvl w:val="0"/>
                <w:numId w:val="37"/>
              </w:numPr>
              <w:tabs>
                <w:tab w:val="clear" w:pos="720"/>
              </w:tabs>
              <w:ind w:left="630" w:hanging="270"/>
              <w:jc w:val="both"/>
            </w:pPr>
            <w:r w:rsidRPr="000E4461">
              <w:t>conferences are organised focusing on green, social and innovation procurement, furthermore on circular economy;</w:t>
            </w:r>
          </w:p>
          <w:p w14:paraId="5BA063B1" w14:textId="77777777" w:rsidR="00782E6D" w:rsidRPr="000E4461" w:rsidRDefault="00782E6D" w:rsidP="00500037">
            <w:pPr>
              <w:numPr>
                <w:ilvl w:val="0"/>
                <w:numId w:val="37"/>
              </w:numPr>
              <w:tabs>
                <w:tab w:val="clear" w:pos="720"/>
              </w:tabs>
              <w:ind w:left="630" w:hanging="270"/>
              <w:jc w:val="both"/>
            </w:pPr>
            <w:r w:rsidRPr="000E4461">
              <w:t>the Authority awards the „Public Procurement Prize” to acknowledge and promote public procurement best practices (e.g. green procedures, most innovative tenders);</w:t>
            </w:r>
          </w:p>
          <w:p w14:paraId="331D5F62" w14:textId="77777777" w:rsidR="00782E6D" w:rsidRPr="000E4461" w:rsidRDefault="00782E6D" w:rsidP="00500037">
            <w:pPr>
              <w:numPr>
                <w:ilvl w:val="0"/>
                <w:numId w:val="37"/>
              </w:numPr>
              <w:tabs>
                <w:tab w:val="clear" w:pos="720"/>
              </w:tabs>
              <w:ind w:left="630" w:hanging="270"/>
              <w:jc w:val="both"/>
            </w:pPr>
            <w:r w:rsidRPr="000E4461">
              <w:t>by announcing the sustainability competition, the winners of the prize and the results are published in the Public Procurement Review, also aimed at raising awareness concerning sustainability;</w:t>
            </w:r>
          </w:p>
          <w:p w14:paraId="08E10387" w14:textId="77777777" w:rsidR="00782E6D" w:rsidRPr="000E4461" w:rsidRDefault="00782E6D" w:rsidP="00500037">
            <w:pPr>
              <w:numPr>
                <w:ilvl w:val="0"/>
                <w:numId w:val="37"/>
              </w:numPr>
              <w:tabs>
                <w:tab w:val="clear" w:pos="720"/>
              </w:tabs>
              <w:ind w:left="630" w:hanging="270"/>
              <w:jc w:val="both"/>
            </w:pPr>
            <w:r w:rsidRPr="000E4461">
              <w:t>a microsite was launched dedicated to sustainability, informing the contracting authorities and tenderers about the practical tools, useful links, available guidance and best practices of the European Union;</w:t>
            </w:r>
          </w:p>
          <w:p w14:paraId="3B510C1D" w14:textId="77777777" w:rsidR="00782E6D" w:rsidRPr="000E4461" w:rsidRDefault="00782E6D" w:rsidP="00500037">
            <w:pPr>
              <w:numPr>
                <w:ilvl w:val="0"/>
                <w:numId w:val="37"/>
              </w:numPr>
              <w:tabs>
                <w:tab w:val="clear" w:pos="720"/>
              </w:tabs>
              <w:ind w:left="630" w:hanging="270"/>
              <w:jc w:val="both"/>
            </w:pPr>
            <w:r w:rsidRPr="000E4461">
              <w:t>a sustainability brochure will be published; furthermore</w:t>
            </w:r>
          </w:p>
          <w:p w14:paraId="2F4A859C" w14:textId="77777777" w:rsidR="00782E6D" w:rsidRPr="000E4461" w:rsidRDefault="00782E6D" w:rsidP="00500037">
            <w:pPr>
              <w:numPr>
                <w:ilvl w:val="0"/>
                <w:numId w:val="37"/>
              </w:numPr>
              <w:tabs>
                <w:tab w:val="clear" w:pos="720"/>
              </w:tabs>
              <w:spacing w:after="120"/>
              <w:ind w:left="630" w:hanging="270"/>
              <w:jc w:val="both"/>
            </w:pPr>
            <w:proofErr w:type="gramStart"/>
            <w:r w:rsidRPr="000E4461">
              <w:t>the</w:t>
            </w:r>
            <w:proofErr w:type="gramEnd"/>
            <w:r w:rsidRPr="000E4461">
              <w:t xml:space="preserve"> Authority also intends to consider the above during its own activities and plans to prepare its own inner sustainability purchasing regulation.  </w:t>
            </w:r>
          </w:p>
          <w:p w14:paraId="58F479AD" w14:textId="2B3BFC6B" w:rsidR="00782E6D" w:rsidRPr="000E4461" w:rsidRDefault="00782E6D" w:rsidP="00782E6D">
            <w:pPr>
              <w:jc w:val="both"/>
            </w:pPr>
            <w:r w:rsidRPr="000E4461">
              <w:t xml:space="preserve">The recently launched microsite of the Public Procurement Authority provides information on innovation procurement: </w:t>
            </w:r>
            <w:hyperlink r:id="rId38" w:history="1">
              <w:r w:rsidR="00F22D37" w:rsidRPr="000E4461">
                <w:rPr>
                  <w:rStyle w:val="Hiperhivatkozs"/>
                </w:rPr>
                <w:t>http://fenntarthato.kozbeszerzes.hu/innovativ-kozbeszerzes/</w:t>
              </w:r>
            </w:hyperlink>
          </w:p>
          <w:p w14:paraId="35ECD10B" w14:textId="374F6DBD" w:rsidR="00782E6D" w:rsidRPr="000E4461" w:rsidRDefault="00782E6D" w:rsidP="00782E6D">
            <w:pPr>
              <w:jc w:val="both"/>
            </w:pPr>
            <w:r w:rsidRPr="000E4461">
              <w:t>At i</w:t>
            </w:r>
            <w:r w:rsidR="00F22D37" w:rsidRPr="000E4461">
              <w:t>t</w:t>
            </w:r>
            <w:r w:rsidRPr="000E4461">
              <w:t>s regular free-of-charge conferences, the Authority provides information on the law amendments in the field of innovative public procurements and also on the opportunities for contracting authorities in this area. As one of the most effective way</w:t>
            </w:r>
            <w:r w:rsidR="00416F92" w:rsidRPr="000E4461">
              <w:t>s</w:t>
            </w:r>
            <w:r w:rsidRPr="000E4461">
              <w:t xml:space="preserve"> to stimulate innovation procurement is the presentation of best practices, these are introduced both at conferences and at the website of the Authority.</w:t>
            </w:r>
          </w:p>
          <w:p w14:paraId="591C5BC0" w14:textId="77777777" w:rsidR="00782E6D" w:rsidRPr="000E4461" w:rsidRDefault="00782E6D" w:rsidP="00782E6D">
            <w:pPr>
              <w:jc w:val="both"/>
            </w:pPr>
            <w:r w:rsidRPr="000E4461">
              <w:lastRenderedPageBreak/>
              <w:t>A further information tool is the mobile application of the Authority titled “Daily Procurement”, on which platform - apart from the website of the Authority - the latest developments concerning sustainable procurement are published, e.g. guidelines, brochures, best practice examples and short articles.</w:t>
            </w:r>
          </w:p>
          <w:p w14:paraId="7473AFD3" w14:textId="77777777" w:rsidR="00782E6D" w:rsidRPr="000E4461" w:rsidRDefault="00782E6D" w:rsidP="00782E6D">
            <w:pPr>
              <w:jc w:val="both"/>
            </w:pPr>
          </w:p>
          <w:p w14:paraId="152D1D8D" w14:textId="0D51C1E8" w:rsidR="00782E6D" w:rsidRPr="00731535" w:rsidRDefault="00731535" w:rsidP="00782E6D">
            <w:pPr>
              <w:jc w:val="both"/>
              <w:rPr>
                <w:b/>
                <w:u w:val="single"/>
              </w:rPr>
            </w:pPr>
            <w:r w:rsidRPr="00731535">
              <w:rPr>
                <w:b/>
                <w:u w:val="single"/>
              </w:rPr>
              <w:t xml:space="preserve">IV. </w:t>
            </w:r>
            <w:r w:rsidR="00782E6D" w:rsidRPr="00731535">
              <w:rPr>
                <w:b/>
                <w:u w:val="single"/>
              </w:rPr>
              <w:t>Difficulties still existing</w:t>
            </w:r>
          </w:p>
          <w:p w14:paraId="7ED37346" w14:textId="77777777" w:rsidR="00782E6D" w:rsidRPr="000E4461" w:rsidRDefault="00782E6D" w:rsidP="00782E6D">
            <w:pPr>
              <w:jc w:val="both"/>
            </w:pPr>
          </w:p>
          <w:p w14:paraId="10FA4875" w14:textId="77777777" w:rsidR="00782E6D" w:rsidRPr="000E4461" w:rsidRDefault="00782E6D" w:rsidP="00782E6D">
            <w:pPr>
              <w:jc w:val="both"/>
            </w:pPr>
            <w:r w:rsidRPr="000E4461">
              <w:t>The application of green, social and innovative criteria has just started to unfold in the national public procurement practice. Nevertheless, in order to tackle the fear of audit risks and paying corrections on the contracting authorities side mentioned above, more and detailed guidance from the European Commission would be helpful concerning the application of strategic procurement. Likewise, the further presentation of best practices or even highlighting bad practices would definitely encourage contracting authorities to apply innovation procurement and to overcome the obstacles identified above. Additionally, as there is no experience and practice in Hungary concerning innovation partnership (Article 49 (1c) and articles 95-97 of the PPA), any guidance, related example or training provided by the European Commission would be highly appreciated.</w:t>
            </w:r>
          </w:p>
          <w:p w14:paraId="4B161561" w14:textId="31F5B6CD" w:rsidR="00782E6D" w:rsidRPr="000E4461" w:rsidRDefault="00782E6D" w:rsidP="006753EC">
            <w:pPr>
              <w:jc w:val="both"/>
            </w:pPr>
          </w:p>
        </w:tc>
      </w:tr>
      <w:tr w:rsidR="006708CC" w:rsidRPr="000E4461" w14:paraId="5ECD12D9" w14:textId="77777777" w:rsidTr="006708CC">
        <w:tc>
          <w:tcPr>
            <w:tcW w:w="1648" w:type="pct"/>
          </w:tcPr>
          <w:p w14:paraId="729798E8" w14:textId="3AF94ADE" w:rsidR="006708CC" w:rsidRPr="000E4461" w:rsidRDefault="009D79A4" w:rsidP="00FE7D75">
            <w:pPr>
              <w:pStyle w:val="Cmsor3"/>
              <w:outlineLvl w:val="2"/>
            </w:pPr>
            <w:r w:rsidRPr="000E4461">
              <w:lastRenderedPageBreak/>
              <w:t>V</w:t>
            </w:r>
            <w:r w:rsidR="006708CC" w:rsidRPr="000E4461">
              <w:t xml:space="preserve">.3.2. </w:t>
            </w:r>
            <w:r w:rsidR="0037143F" w:rsidRPr="000E4461">
              <w:t>Supporting documents</w:t>
            </w:r>
          </w:p>
        </w:tc>
        <w:tc>
          <w:tcPr>
            <w:tcW w:w="3352" w:type="pct"/>
          </w:tcPr>
          <w:p w14:paraId="3CD1FC69" w14:textId="77777777" w:rsidR="006708CC" w:rsidRPr="000E4461" w:rsidRDefault="006708CC" w:rsidP="00FE7D75">
            <w:pPr>
              <w:rPr>
                <w:i/>
              </w:rPr>
            </w:pPr>
          </w:p>
        </w:tc>
      </w:tr>
      <w:tr w:rsidR="006708CC" w:rsidRPr="000E4461" w14:paraId="40569968" w14:textId="77777777" w:rsidTr="006708CC">
        <w:tc>
          <w:tcPr>
            <w:tcW w:w="1648" w:type="pct"/>
          </w:tcPr>
          <w:p w14:paraId="7C58EC57" w14:textId="08B9FF38" w:rsidR="006708CC" w:rsidRPr="000E4461" w:rsidRDefault="006708CC" w:rsidP="0037143F">
            <w:pPr>
              <w:pStyle w:val="Cmsor3"/>
              <w:outlineLvl w:val="2"/>
              <w:rPr>
                <w:b w:val="0"/>
              </w:rPr>
            </w:pPr>
            <w:r w:rsidRPr="000E4461">
              <w:rPr>
                <w:b w:val="0"/>
              </w:rPr>
              <w:t xml:space="preserve">Please report any available evidence or supporting document illustrating the measures, achievements or challenges faced, relating to the promotion </w:t>
            </w:r>
            <w:r w:rsidR="00DE3F88" w:rsidRPr="000E4461">
              <w:rPr>
                <w:b w:val="0"/>
              </w:rPr>
              <w:t xml:space="preserve">and implementation </w:t>
            </w:r>
            <w:r w:rsidRPr="000E4461">
              <w:rPr>
                <w:b w:val="0"/>
              </w:rPr>
              <w:t xml:space="preserve">of </w:t>
            </w:r>
            <w:r w:rsidR="00DE3F88" w:rsidRPr="000E4461">
              <w:rPr>
                <w:b w:val="0"/>
              </w:rPr>
              <w:t>innovation procurement</w:t>
            </w:r>
            <w:r w:rsidRPr="000E4461">
              <w:rPr>
                <w:b w:val="0"/>
              </w:rPr>
              <w:t>.</w:t>
            </w:r>
          </w:p>
        </w:tc>
        <w:tc>
          <w:tcPr>
            <w:tcW w:w="3352" w:type="pct"/>
          </w:tcPr>
          <w:p w14:paraId="37C8B13E" w14:textId="77777777" w:rsidR="000B7D1E" w:rsidRPr="000E4461" w:rsidRDefault="000B7D1E" w:rsidP="000B7D1E">
            <w:pPr>
              <w:jc w:val="both"/>
              <w:rPr>
                <w:i/>
              </w:rPr>
            </w:pPr>
          </w:p>
          <w:p w14:paraId="1F48A109" w14:textId="2F913619" w:rsidR="000B7D1E" w:rsidRPr="000E4461" w:rsidRDefault="0018068F" w:rsidP="000B7D1E">
            <w:pPr>
              <w:jc w:val="both"/>
            </w:pPr>
            <w:r w:rsidRPr="000E4461">
              <w:t xml:space="preserve">According to the above mentioned in point </w:t>
            </w:r>
            <w:proofErr w:type="gramStart"/>
            <w:r w:rsidRPr="000E4461">
              <w:t>V.3.1.</w:t>
            </w:r>
            <w:proofErr w:type="gramEnd"/>
            <w:r w:rsidRPr="000E4461">
              <w:t xml:space="preserve"> </w:t>
            </w:r>
            <w:proofErr w:type="gramStart"/>
            <w:r w:rsidR="009911BF" w:rsidRPr="000E4461">
              <w:t>and</w:t>
            </w:r>
            <w:proofErr w:type="gramEnd"/>
            <w:r w:rsidR="009911BF" w:rsidRPr="000E4461">
              <w:t xml:space="preserve"> to the lack of application </w:t>
            </w:r>
            <w:r w:rsidRPr="000E4461">
              <w:t>we haven’t got any appropriate tool for collect data on the proportion of innovative public procurements.</w:t>
            </w:r>
          </w:p>
        </w:tc>
      </w:tr>
    </w:tbl>
    <w:p w14:paraId="69FEA59A" w14:textId="77777777" w:rsidR="001F44D7" w:rsidRPr="000E4461" w:rsidRDefault="001F44D7" w:rsidP="00DC189A">
      <w:pPr>
        <w:pStyle w:val="Cmsor2"/>
      </w:pPr>
    </w:p>
    <w:p w14:paraId="34AB7F96" w14:textId="69240705" w:rsidR="00C9307F" w:rsidRPr="000E4461" w:rsidRDefault="001F44D7" w:rsidP="00DC189A">
      <w:pPr>
        <w:pStyle w:val="Cmsor2"/>
      </w:pPr>
      <w:r w:rsidRPr="000E4461">
        <w:t xml:space="preserve">VI. </w:t>
      </w:r>
      <w:r w:rsidR="008F56CB" w:rsidRPr="000E4461">
        <w:t>Replicability</w:t>
      </w:r>
    </w:p>
    <w:p w14:paraId="7E66C3B2" w14:textId="77777777" w:rsidR="00BC4C3D" w:rsidRPr="000E4461" w:rsidRDefault="00BC4C3D" w:rsidP="00BD4C3B">
      <w:pPr>
        <w:pStyle w:val="Nincstrkz"/>
      </w:pPr>
    </w:p>
    <w:tbl>
      <w:tblPr>
        <w:tblStyle w:val="Rcsostblzat"/>
        <w:tblW w:w="5000" w:type="pct"/>
        <w:tblLook w:val="04A0" w:firstRow="1" w:lastRow="0" w:firstColumn="1" w:lastColumn="0" w:noHBand="0" w:noVBand="1"/>
      </w:tblPr>
      <w:tblGrid>
        <w:gridCol w:w="4687"/>
        <w:gridCol w:w="9533"/>
      </w:tblGrid>
      <w:tr w:rsidR="00BC4C3D" w:rsidRPr="000E4461" w14:paraId="62E2165F" w14:textId="77777777" w:rsidTr="00F249E2">
        <w:tc>
          <w:tcPr>
            <w:tcW w:w="1648" w:type="pct"/>
          </w:tcPr>
          <w:p w14:paraId="70B6AF08" w14:textId="42ED951C" w:rsidR="00BC4C3D" w:rsidRPr="000E4461" w:rsidRDefault="00BC4C3D" w:rsidP="00BC4C3D">
            <w:pPr>
              <w:pStyle w:val="Cmsor3"/>
              <w:outlineLvl w:val="2"/>
              <w:rPr>
                <w:b w:val="0"/>
              </w:rPr>
            </w:pPr>
            <w:r w:rsidRPr="000E4461">
              <w:rPr>
                <w:b w:val="0"/>
              </w:rPr>
              <w:t>Links to datasets used to prepare the report</w:t>
            </w:r>
          </w:p>
          <w:p w14:paraId="6E36C894" w14:textId="77777777" w:rsidR="00BC4C3D" w:rsidRPr="000E4461" w:rsidRDefault="00BC4C3D" w:rsidP="00F249E2">
            <w:pPr>
              <w:pStyle w:val="Cmsor3"/>
              <w:outlineLvl w:val="2"/>
              <w:rPr>
                <w:b w:val="0"/>
              </w:rPr>
            </w:pPr>
          </w:p>
        </w:tc>
        <w:tc>
          <w:tcPr>
            <w:tcW w:w="3352" w:type="pct"/>
          </w:tcPr>
          <w:p w14:paraId="46B9D9B7" w14:textId="7DED0923" w:rsidR="00BC4C3D" w:rsidRPr="000E4461" w:rsidRDefault="002B0F2F" w:rsidP="001D0125">
            <w:pPr>
              <w:pStyle w:val="Nincstrkz"/>
            </w:pPr>
            <w:r w:rsidRPr="000E4461">
              <w:t xml:space="preserve">The Commission recommends publishing the source data as open data, e.g. as is the case for the Tenders Electronic Daily database at </w:t>
            </w:r>
            <w:hyperlink r:id="rId39" w:history="1">
              <w:r w:rsidR="001D0125" w:rsidRPr="000E4461">
                <w:rPr>
                  <w:rStyle w:val="Hiperhivatkozs"/>
                </w:rPr>
                <w:t>http://data.europa.eu/euodp/cs/data/dataset/ted-csv</w:t>
              </w:r>
            </w:hyperlink>
            <w:r w:rsidRPr="000E4461">
              <w:t xml:space="preserve">. </w:t>
            </w:r>
          </w:p>
        </w:tc>
      </w:tr>
      <w:tr w:rsidR="00BC4C3D" w:rsidRPr="000E4461" w14:paraId="6CD926D1" w14:textId="77777777" w:rsidTr="00F249E2">
        <w:tc>
          <w:tcPr>
            <w:tcW w:w="1648" w:type="pct"/>
          </w:tcPr>
          <w:p w14:paraId="16813300" w14:textId="4B999A08" w:rsidR="00BC4C3D" w:rsidRPr="000E4461" w:rsidRDefault="002B0F2F" w:rsidP="002B0F2F">
            <w:pPr>
              <w:pStyle w:val="Cmsor3"/>
              <w:outlineLvl w:val="2"/>
              <w:rPr>
                <w:b w:val="0"/>
              </w:rPr>
            </w:pPr>
            <w:r w:rsidRPr="000E4461">
              <w:rPr>
                <w:b w:val="0"/>
              </w:rPr>
              <w:t>Files used to obtain the results from the datasets</w:t>
            </w:r>
          </w:p>
        </w:tc>
        <w:tc>
          <w:tcPr>
            <w:tcW w:w="3352" w:type="pct"/>
          </w:tcPr>
          <w:p w14:paraId="758E3D78" w14:textId="4BC7B76F" w:rsidR="00BC4C3D" w:rsidRPr="000E4461" w:rsidRDefault="002B0F2F" w:rsidP="002B0F2F">
            <w:r w:rsidRPr="000E4461">
              <w:t>This section should include for example the scripts or code for the relevant statistical software or the Excel files used.</w:t>
            </w:r>
          </w:p>
        </w:tc>
      </w:tr>
    </w:tbl>
    <w:p w14:paraId="25989489" w14:textId="77777777" w:rsidR="005168CB" w:rsidRDefault="005168CB" w:rsidP="00F94ABC">
      <w:pPr>
        <w:jc w:val="center"/>
        <w:rPr>
          <w:b/>
          <w:u w:val="single"/>
        </w:rPr>
      </w:pPr>
    </w:p>
    <w:p w14:paraId="555773B6" w14:textId="77777777" w:rsidR="00D840E8" w:rsidRDefault="00D840E8" w:rsidP="00F94ABC">
      <w:pPr>
        <w:jc w:val="center"/>
        <w:rPr>
          <w:b/>
          <w:u w:val="single"/>
        </w:rPr>
      </w:pPr>
    </w:p>
    <w:p w14:paraId="34AB7FA4" w14:textId="77777777" w:rsidR="00F94ABC" w:rsidRPr="000E4461" w:rsidRDefault="00F94ABC" w:rsidP="00F94ABC">
      <w:pPr>
        <w:jc w:val="center"/>
        <w:rPr>
          <w:b/>
        </w:rPr>
      </w:pPr>
      <w:r w:rsidRPr="000E4461">
        <w:rPr>
          <w:b/>
          <w:u w:val="single"/>
        </w:rPr>
        <w:lastRenderedPageBreak/>
        <w:t xml:space="preserve">Annex </w:t>
      </w:r>
      <w:proofErr w:type="gramStart"/>
      <w:r w:rsidRPr="000E4461">
        <w:rPr>
          <w:b/>
          <w:u w:val="single"/>
        </w:rPr>
        <w:t>I</w:t>
      </w:r>
      <w:proofErr w:type="gramEnd"/>
      <w:r w:rsidRPr="000E4461">
        <w:rPr>
          <w:b/>
        </w:rPr>
        <w:t>:</w:t>
      </w:r>
    </w:p>
    <w:p w14:paraId="34AB7FA6" w14:textId="013CC29C" w:rsidR="00D24317" w:rsidRPr="00B526AA" w:rsidRDefault="003E56A6" w:rsidP="00B526AA">
      <w:pPr>
        <w:jc w:val="center"/>
        <w:rPr>
          <w:b/>
        </w:rPr>
      </w:pPr>
      <w:r w:rsidRPr="000E4461">
        <w:rPr>
          <w:b/>
        </w:rPr>
        <w:t xml:space="preserve">Methodology </w:t>
      </w:r>
      <w:r w:rsidR="00C314EF" w:rsidRPr="000E4461">
        <w:rPr>
          <w:b/>
        </w:rPr>
        <w:t xml:space="preserve">for </w:t>
      </w:r>
      <w:r w:rsidRPr="000E4461">
        <w:rPr>
          <w:b/>
        </w:rPr>
        <w:t>estimati</w:t>
      </w:r>
      <w:r w:rsidR="008337F4" w:rsidRPr="000E4461">
        <w:rPr>
          <w:b/>
        </w:rPr>
        <w:t>ng</w:t>
      </w:r>
      <w:r w:rsidRPr="000E4461">
        <w:rPr>
          <w:b/>
        </w:rPr>
        <w:t xml:space="preserve"> </w:t>
      </w:r>
      <w:r w:rsidR="002F225B" w:rsidRPr="000E4461">
        <w:rPr>
          <w:b/>
        </w:rPr>
        <w:t>the value of</w:t>
      </w:r>
      <w:r w:rsidR="00F94ABC" w:rsidRPr="000E4461">
        <w:rPr>
          <w:b/>
        </w:rPr>
        <w:t xml:space="preserve"> </w:t>
      </w:r>
      <w:r w:rsidRPr="000E4461">
        <w:rPr>
          <w:b/>
        </w:rPr>
        <w:t>procurement which would have been covered by the directives if its value ha</w:t>
      </w:r>
      <w:r w:rsidR="00C314EF" w:rsidRPr="000E4461">
        <w:rPr>
          <w:b/>
        </w:rPr>
        <w:t>d</w:t>
      </w:r>
      <w:r w:rsidRPr="000E4461">
        <w:rPr>
          <w:b/>
        </w:rPr>
        <w:t xml:space="preserve"> e</w:t>
      </w:r>
      <w:r w:rsidR="00B526AA">
        <w:rPr>
          <w:b/>
        </w:rPr>
        <w:t>xceeded the relevant thresholds</w:t>
      </w:r>
    </w:p>
    <w:p w14:paraId="34AB7FA7" w14:textId="3460CA6C" w:rsidR="003E56A6" w:rsidRPr="000E4461" w:rsidRDefault="00D24317" w:rsidP="003E56A6">
      <w:pPr>
        <w:pStyle w:val="Cmsor3"/>
      </w:pPr>
      <w:r w:rsidRPr="000E4461">
        <w:t xml:space="preserve">1. </w:t>
      </w:r>
      <w:r w:rsidR="003E56A6" w:rsidRPr="000E4461">
        <w:t xml:space="preserve">Classification and methodology </w:t>
      </w:r>
    </w:p>
    <w:p w14:paraId="34AB7FAA" w14:textId="77777777" w:rsidR="003E56A6" w:rsidRPr="000E4461" w:rsidRDefault="003E56A6" w:rsidP="00B526AA">
      <w:pPr>
        <w:pStyle w:val="Nincstrkz"/>
      </w:pPr>
      <w:bookmarkStart w:id="1" w:name="_GoBack"/>
      <w:bookmarkEnd w:id="1"/>
    </w:p>
    <w:p w14:paraId="34AB7FAB" w14:textId="4A1EB066" w:rsidR="008540A7" w:rsidRPr="000E4461" w:rsidRDefault="00D24317" w:rsidP="00D24317">
      <w:pPr>
        <w:pStyle w:val="Cmsor4"/>
        <w:numPr>
          <w:ilvl w:val="0"/>
          <w:numId w:val="0"/>
        </w:numPr>
        <w:ind w:left="947"/>
      </w:pPr>
      <w:r w:rsidRPr="000E4461">
        <w:t xml:space="preserve">1.1. </w:t>
      </w:r>
      <w:r w:rsidR="003E56A6" w:rsidRPr="000E4461">
        <w:t>General approach:</w:t>
      </w:r>
      <w:r w:rsidR="008540A7" w:rsidRPr="000E4461">
        <w:br/>
      </w:r>
    </w:p>
    <w:p w14:paraId="34AB7FAC" w14:textId="77777777" w:rsidR="003E56A6" w:rsidRPr="008959ED" w:rsidRDefault="003E56A6" w:rsidP="00707DFB">
      <w:pPr>
        <w:pStyle w:val="Nincstrkz"/>
        <w:numPr>
          <w:ilvl w:val="0"/>
          <w:numId w:val="1"/>
        </w:numPr>
        <w:rPr>
          <w:i/>
          <w:u w:val="single"/>
        </w:rPr>
      </w:pPr>
      <w:r w:rsidRPr="008959ED">
        <w:rPr>
          <w:i/>
          <w:u w:val="single"/>
        </w:rPr>
        <w:t>[data available under national publication requirements]</w:t>
      </w:r>
    </w:p>
    <w:p w14:paraId="34AB7FAD" w14:textId="77777777" w:rsidR="003E56A6" w:rsidRPr="000E4461" w:rsidRDefault="003E56A6" w:rsidP="00707DFB">
      <w:pPr>
        <w:pStyle w:val="Nincstrkz"/>
        <w:numPr>
          <w:ilvl w:val="0"/>
          <w:numId w:val="1"/>
        </w:numPr>
      </w:pPr>
      <w:r w:rsidRPr="000E4461">
        <w:t>[sample-based estimates]</w:t>
      </w:r>
    </w:p>
    <w:p w14:paraId="34AB7FAE" w14:textId="77777777" w:rsidR="003E56A6" w:rsidRPr="000E4461" w:rsidRDefault="003E56A6" w:rsidP="00707DFB">
      <w:pPr>
        <w:pStyle w:val="Nincstrkz"/>
        <w:numPr>
          <w:ilvl w:val="0"/>
          <w:numId w:val="1"/>
        </w:numPr>
      </w:pPr>
      <w:r w:rsidRPr="000E4461">
        <w:t>[combined]</w:t>
      </w:r>
    </w:p>
    <w:p w14:paraId="34AB7FB3" w14:textId="77777777" w:rsidR="003E56A6" w:rsidRPr="000E4461" w:rsidRDefault="003E56A6" w:rsidP="00B526AA">
      <w:pPr>
        <w:pStyle w:val="Nincstrkz"/>
        <w:jc w:val="both"/>
      </w:pPr>
    </w:p>
    <w:p w14:paraId="34AB7FB4" w14:textId="3A32227B" w:rsidR="003E56A6" w:rsidRPr="000E4461" w:rsidRDefault="00D24317" w:rsidP="00D24317">
      <w:pPr>
        <w:pStyle w:val="Cmsor4"/>
        <w:numPr>
          <w:ilvl w:val="0"/>
          <w:numId w:val="0"/>
        </w:numPr>
        <w:ind w:left="947"/>
      </w:pPr>
      <w:r w:rsidRPr="000E4461">
        <w:t xml:space="preserve">1.2. </w:t>
      </w:r>
      <w:r w:rsidR="003E56A6" w:rsidRPr="000E4461">
        <w:t>Source of data:</w:t>
      </w:r>
    </w:p>
    <w:p w14:paraId="34AB7FB5" w14:textId="77777777" w:rsidR="008540A7" w:rsidRPr="000E4461" w:rsidRDefault="008540A7" w:rsidP="008540A7"/>
    <w:tbl>
      <w:tblPr>
        <w:tblStyle w:val="Rcsostblzat"/>
        <w:tblW w:w="0" w:type="auto"/>
        <w:tblInd w:w="360" w:type="dxa"/>
        <w:tblLook w:val="04A0" w:firstRow="1" w:lastRow="0" w:firstColumn="1" w:lastColumn="0" w:noHBand="0" w:noVBand="1"/>
      </w:tblPr>
      <w:tblGrid>
        <w:gridCol w:w="2976"/>
        <w:gridCol w:w="2976"/>
        <w:gridCol w:w="2976"/>
      </w:tblGrid>
      <w:tr w:rsidR="003E56A6" w:rsidRPr="000E4461" w14:paraId="34AB7FBA" w14:textId="77777777" w:rsidTr="003E56A6">
        <w:tc>
          <w:tcPr>
            <w:tcW w:w="2976" w:type="dxa"/>
            <w:tcBorders>
              <w:tl2br w:val="single" w:sz="4" w:space="0" w:color="auto"/>
            </w:tcBorders>
          </w:tcPr>
          <w:p w14:paraId="34AB7FB6" w14:textId="77777777" w:rsidR="003E56A6" w:rsidRPr="000E4461" w:rsidRDefault="003E56A6" w:rsidP="009F486E">
            <w:pPr>
              <w:pStyle w:val="Nincstrkz"/>
              <w:ind w:firstLine="1908"/>
            </w:pPr>
            <w:r w:rsidRPr="000E4461">
              <w:t xml:space="preserve">     Scope:</w:t>
            </w:r>
          </w:p>
          <w:p w14:paraId="34AB7FB7" w14:textId="77777777" w:rsidR="003E56A6" w:rsidRPr="000E4461" w:rsidRDefault="003E56A6" w:rsidP="009F486E">
            <w:pPr>
              <w:pStyle w:val="Nincstrkz"/>
              <w:ind w:right="1"/>
            </w:pPr>
            <w:r w:rsidRPr="000E4461">
              <w:t>Source of data:</w:t>
            </w:r>
          </w:p>
        </w:tc>
        <w:tc>
          <w:tcPr>
            <w:tcW w:w="2976" w:type="dxa"/>
          </w:tcPr>
          <w:p w14:paraId="34AB7FB8" w14:textId="77777777" w:rsidR="003E56A6" w:rsidRPr="000E4461" w:rsidRDefault="003E56A6" w:rsidP="009F486E">
            <w:pPr>
              <w:pStyle w:val="Nincstrkz"/>
            </w:pPr>
            <w:r w:rsidRPr="000E4461">
              <w:t>above national publication thresholds [</w:t>
            </w:r>
            <w:r w:rsidRPr="000E4461">
              <w:sym w:font="Wingdings" w:char="F0FC"/>
            </w:r>
            <w:r w:rsidRPr="000E4461">
              <w:t>]</w:t>
            </w:r>
          </w:p>
        </w:tc>
        <w:tc>
          <w:tcPr>
            <w:tcW w:w="2976" w:type="dxa"/>
          </w:tcPr>
          <w:p w14:paraId="34AB7FB9" w14:textId="77777777" w:rsidR="003E56A6" w:rsidRPr="000E4461" w:rsidRDefault="003E56A6" w:rsidP="009F486E">
            <w:pPr>
              <w:pStyle w:val="Nincstrkz"/>
            </w:pPr>
            <w:r w:rsidRPr="000E4461">
              <w:t>below national publication thresholds [</w:t>
            </w:r>
            <w:r w:rsidRPr="000E4461">
              <w:sym w:font="Wingdings" w:char="F0FC"/>
            </w:r>
            <w:r w:rsidRPr="000E4461">
              <w:t>]</w:t>
            </w:r>
          </w:p>
        </w:tc>
      </w:tr>
      <w:tr w:rsidR="003E56A6" w:rsidRPr="000E4461" w14:paraId="34AB7FBE" w14:textId="77777777" w:rsidTr="003E56A6">
        <w:tc>
          <w:tcPr>
            <w:tcW w:w="2976" w:type="dxa"/>
          </w:tcPr>
          <w:p w14:paraId="34AB7FBB" w14:textId="77777777" w:rsidR="003E56A6" w:rsidRPr="000E4461" w:rsidRDefault="003E56A6" w:rsidP="009F486E">
            <w:pPr>
              <w:pStyle w:val="Nincstrkz"/>
            </w:pPr>
            <w:r w:rsidRPr="000E4461">
              <w:t>[e-notification platforms]</w:t>
            </w:r>
          </w:p>
        </w:tc>
        <w:tc>
          <w:tcPr>
            <w:tcW w:w="2976" w:type="dxa"/>
          </w:tcPr>
          <w:p w14:paraId="34AB7FBC" w14:textId="7F209047" w:rsidR="003E56A6" w:rsidRPr="000E4461" w:rsidRDefault="00696EBC" w:rsidP="009F486E">
            <w:pPr>
              <w:pStyle w:val="Nincstrkz"/>
              <w:jc w:val="center"/>
            </w:pPr>
            <w:r w:rsidRPr="000E4461">
              <w:sym w:font="Wingdings" w:char="F0FC"/>
            </w:r>
          </w:p>
        </w:tc>
        <w:tc>
          <w:tcPr>
            <w:tcW w:w="2976" w:type="dxa"/>
          </w:tcPr>
          <w:p w14:paraId="34AB7FBD" w14:textId="1F4C029C" w:rsidR="003E56A6" w:rsidRPr="000E4461" w:rsidRDefault="00696EBC" w:rsidP="009F486E">
            <w:pPr>
              <w:pStyle w:val="Nincstrkz"/>
              <w:jc w:val="center"/>
            </w:pPr>
            <w:r w:rsidRPr="000E4461">
              <w:sym w:font="Wingdings" w:char="F0FC"/>
            </w:r>
          </w:p>
        </w:tc>
      </w:tr>
      <w:tr w:rsidR="003E56A6" w:rsidRPr="000E4461" w14:paraId="34AB7FC2" w14:textId="77777777" w:rsidTr="003E56A6">
        <w:tc>
          <w:tcPr>
            <w:tcW w:w="2976" w:type="dxa"/>
          </w:tcPr>
          <w:p w14:paraId="34AB7FBF" w14:textId="77777777" w:rsidR="003E56A6" w:rsidRPr="000E4461" w:rsidRDefault="003E56A6" w:rsidP="009F486E">
            <w:pPr>
              <w:pStyle w:val="Nincstrkz"/>
            </w:pPr>
            <w:r w:rsidRPr="000E4461">
              <w:t>[e-submission platforms]</w:t>
            </w:r>
          </w:p>
        </w:tc>
        <w:tc>
          <w:tcPr>
            <w:tcW w:w="2976" w:type="dxa"/>
          </w:tcPr>
          <w:p w14:paraId="34AB7FC0" w14:textId="77777777" w:rsidR="003E56A6" w:rsidRPr="000E4461" w:rsidRDefault="003E56A6" w:rsidP="009F486E">
            <w:pPr>
              <w:pStyle w:val="Nincstrkz"/>
              <w:jc w:val="center"/>
            </w:pPr>
          </w:p>
        </w:tc>
        <w:tc>
          <w:tcPr>
            <w:tcW w:w="2976" w:type="dxa"/>
          </w:tcPr>
          <w:p w14:paraId="34AB7FC1" w14:textId="77777777" w:rsidR="003E56A6" w:rsidRPr="000E4461" w:rsidRDefault="003E56A6" w:rsidP="009F486E">
            <w:pPr>
              <w:pStyle w:val="Nincstrkz"/>
              <w:jc w:val="center"/>
            </w:pPr>
          </w:p>
        </w:tc>
      </w:tr>
      <w:tr w:rsidR="003E56A6" w:rsidRPr="000E4461" w14:paraId="34AB7FC6" w14:textId="77777777" w:rsidTr="003E56A6">
        <w:tc>
          <w:tcPr>
            <w:tcW w:w="2976" w:type="dxa"/>
          </w:tcPr>
          <w:p w14:paraId="34AB7FC3" w14:textId="77777777" w:rsidR="003E56A6" w:rsidRPr="000E4461" w:rsidRDefault="003E56A6" w:rsidP="009F486E">
            <w:pPr>
              <w:pStyle w:val="Nincstrkz"/>
            </w:pPr>
            <w:r w:rsidRPr="000E4461">
              <w:t>[invoices]</w:t>
            </w:r>
          </w:p>
        </w:tc>
        <w:tc>
          <w:tcPr>
            <w:tcW w:w="2976" w:type="dxa"/>
          </w:tcPr>
          <w:p w14:paraId="34AB7FC4" w14:textId="77777777" w:rsidR="003E56A6" w:rsidRPr="000E4461" w:rsidRDefault="003E56A6" w:rsidP="009F486E">
            <w:pPr>
              <w:pStyle w:val="Nincstrkz"/>
              <w:jc w:val="center"/>
            </w:pPr>
          </w:p>
        </w:tc>
        <w:tc>
          <w:tcPr>
            <w:tcW w:w="2976" w:type="dxa"/>
          </w:tcPr>
          <w:p w14:paraId="34AB7FC5" w14:textId="77777777" w:rsidR="003E56A6" w:rsidRPr="000E4461" w:rsidRDefault="003E56A6" w:rsidP="009F486E">
            <w:pPr>
              <w:pStyle w:val="Nincstrkz"/>
              <w:jc w:val="center"/>
            </w:pPr>
          </w:p>
        </w:tc>
      </w:tr>
      <w:tr w:rsidR="003E56A6" w:rsidRPr="000E4461" w14:paraId="34AB7FCA" w14:textId="77777777" w:rsidTr="003E56A6">
        <w:tc>
          <w:tcPr>
            <w:tcW w:w="2976" w:type="dxa"/>
          </w:tcPr>
          <w:p w14:paraId="34AB7FC7" w14:textId="77777777" w:rsidR="003E56A6" w:rsidRPr="000E4461" w:rsidRDefault="003E56A6" w:rsidP="009F486E">
            <w:pPr>
              <w:pStyle w:val="Nincstrkz"/>
            </w:pPr>
            <w:r w:rsidRPr="000E4461">
              <w:t>[budgets]</w:t>
            </w:r>
          </w:p>
        </w:tc>
        <w:tc>
          <w:tcPr>
            <w:tcW w:w="2976" w:type="dxa"/>
          </w:tcPr>
          <w:p w14:paraId="34AB7FC8" w14:textId="77777777" w:rsidR="003E56A6" w:rsidRPr="000E4461" w:rsidRDefault="003E56A6" w:rsidP="009F486E">
            <w:pPr>
              <w:pStyle w:val="Nincstrkz"/>
              <w:jc w:val="center"/>
            </w:pPr>
          </w:p>
        </w:tc>
        <w:tc>
          <w:tcPr>
            <w:tcW w:w="2976" w:type="dxa"/>
          </w:tcPr>
          <w:p w14:paraId="34AB7FC9" w14:textId="77777777" w:rsidR="003E56A6" w:rsidRPr="000E4461" w:rsidRDefault="003E56A6" w:rsidP="009F486E">
            <w:pPr>
              <w:pStyle w:val="Nincstrkz"/>
              <w:jc w:val="center"/>
            </w:pPr>
          </w:p>
        </w:tc>
      </w:tr>
      <w:tr w:rsidR="003E56A6" w:rsidRPr="000E4461" w14:paraId="34AB7FCE" w14:textId="77777777" w:rsidTr="003E56A6">
        <w:tc>
          <w:tcPr>
            <w:tcW w:w="2976" w:type="dxa"/>
          </w:tcPr>
          <w:p w14:paraId="34AB7FCB" w14:textId="77777777" w:rsidR="003E56A6" w:rsidRPr="000E4461" w:rsidRDefault="003E56A6" w:rsidP="009F486E">
            <w:pPr>
              <w:pStyle w:val="Nincstrkz"/>
            </w:pPr>
            <w:r w:rsidRPr="000E4461">
              <w:t>[other]</w:t>
            </w:r>
          </w:p>
        </w:tc>
        <w:tc>
          <w:tcPr>
            <w:tcW w:w="2976" w:type="dxa"/>
          </w:tcPr>
          <w:p w14:paraId="34AB7FCC" w14:textId="77777777" w:rsidR="003E56A6" w:rsidRPr="000E4461" w:rsidRDefault="003E56A6" w:rsidP="009F486E">
            <w:pPr>
              <w:pStyle w:val="Nincstrkz"/>
              <w:jc w:val="center"/>
            </w:pPr>
          </w:p>
        </w:tc>
        <w:tc>
          <w:tcPr>
            <w:tcW w:w="2976" w:type="dxa"/>
          </w:tcPr>
          <w:p w14:paraId="34AB7FCD" w14:textId="77777777" w:rsidR="003E56A6" w:rsidRPr="000E4461" w:rsidRDefault="003E56A6" w:rsidP="009F486E">
            <w:pPr>
              <w:pStyle w:val="Nincstrkz"/>
              <w:jc w:val="center"/>
            </w:pPr>
          </w:p>
        </w:tc>
      </w:tr>
    </w:tbl>
    <w:p w14:paraId="34AB7FCF" w14:textId="77777777" w:rsidR="003E56A6" w:rsidRPr="000E4461" w:rsidRDefault="003E56A6" w:rsidP="003E56A6">
      <w:pPr>
        <w:pStyle w:val="Nincstrkz"/>
        <w:ind w:left="360"/>
      </w:pPr>
    </w:p>
    <w:p w14:paraId="34AB7FD0" w14:textId="296FBF0A" w:rsidR="003E56A6" w:rsidRPr="000E4461" w:rsidRDefault="00D24317" w:rsidP="003E56A6">
      <w:pPr>
        <w:pStyle w:val="Cmsor3"/>
      </w:pPr>
      <w:r w:rsidRPr="000E4461">
        <w:t xml:space="preserve">2. </w:t>
      </w:r>
      <w:r w:rsidR="003E56A6" w:rsidRPr="000E4461">
        <w:t xml:space="preserve">Methodology description  </w:t>
      </w:r>
    </w:p>
    <w:p w14:paraId="34AB7FD1" w14:textId="77777777" w:rsidR="003E56A6" w:rsidRPr="000E4461" w:rsidRDefault="003E56A6" w:rsidP="003E56A6">
      <w:pPr>
        <w:pStyle w:val="Nincstrkz"/>
        <w:ind w:left="360"/>
      </w:pPr>
    </w:p>
    <w:p w14:paraId="37528245" w14:textId="2A062DDE" w:rsidR="004C2E4A" w:rsidRPr="000E4461" w:rsidRDefault="004223FE" w:rsidP="0046787D">
      <w:pPr>
        <w:jc w:val="both"/>
      </w:pPr>
      <w:r w:rsidRPr="000E4461">
        <w:t xml:space="preserve">The collection of statistical data is managed by the Public Procurement Authority with the help of </w:t>
      </w:r>
      <w:r w:rsidR="007E095B" w:rsidRPr="000E4461">
        <w:t>the</w:t>
      </w:r>
      <w:r w:rsidRPr="000E4461">
        <w:t xml:space="preserve"> Electronic </w:t>
      </w:r>
      <w:r w:rsidR="000A36EC" w:rsidRPr="000E4461">
        <w:t xml:space="preserve">Notice Management </w:t>
      </w:r>
      <w:r w:rsidRPr="000E4461">
        <w:t xml:space="preserve">System </w:t>
      </w:r>
      <w:r w:rsidR="000A36EC" w:rsidRPr="000E4461">
        <w:t>(</w:t>
      </w:r>
      <w:r w:rsidR="007E095B" w:rsidRPr="000E4461">
        <w:t>a system</w:t>
      </w:r>
      <w:r w:rsidR="000A36EC" w:rsidRPr="000E4461">
        <w:t xml:space="preserve"> </w:t>
      </w:r>
      <w:r w:rsidR="007E095B" w:rsidRPr="000E4461">
        <w:t xml:space="preserve">specially developed for this purpose) which stores all the relevant information contained by the contract award notice published in the Public Procurement </w:t>
      </w:r>
      <w:r w:rsidR="00C30A76" w:rsidRPr="000E4461">
        <w:t>Bulletin</w:t>
      </w:r>
      <w:r w:rsidR="00BF07CA">
        <w:t>.</w:t>
      </w:r>
      <w:r w:rsidR="008E074D">
        <w:t xml:space="preserve"> (Concerning main statistical data</w:t>
      </w:r>
      <w:r w:rsidR="00BF07CA">
        <w:t xml:space="preserve">: </w:t>
      </w:r>
      <w:r w:rsidR="003E75C1">
        <w:t>framework agreements, unsuccessful procedures, design contests and defence procurements</w:t>
      </w:r>
      <w:r w:rsidR="00BF07CA">
        <w:t xml:space="preserve"> are not involved as they may distort results</w:t>
      </w:r>
      <w:r w:rsidR="003E75C1">
        <w:t>.</w:t>
      </w:r>
      <w:r w:rsidR="00BF07CA">
        <w:t>)</w:t>
      </w:r>
    </w:p>
    <w:sectPr w:rsidR="004C2E4A" w:rsidRPr="000E4461" w:rsidSect="00A47B20">
      <w:headerReference w:type="default" r:id="rId40"/>
      <w:footerReference w:type="default" r:id="rId4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D6FD4" w14:textId="77777777" w:rsidR="008E074D" w:rsidRDefault="008E074D" w:rsidP="00E05B18">
      <w:pPr>
        <w:spacing w:after="0" w:line="240" w:lineRule="auto"/>
      </w:pPr>
      <w:r>
        <w:separator/>
      </w:r>
    </w:p>
  </w:endnote>
  <w:endnote w:type="continuationSeparator" w:id="0">
    <w:p w14:paraId="19C86837" w14:textId="77777777" w:rsidR="008E074D" w:rsidRDefault="008E074D" w:rsidP="00E05B18">
      <w:pPr>
        <w:spacing w:after="0" w:line="240" w:lineRule="auto"/>
      </w:pPr>
      <w:r>
        <w:continuationSeparator/>
      </w:r>
    </w:p>
  </w:endnote>
  <w:endnote w:type="continuationNotice" w:id="1">
    <w:p w14:paraId="5A847973" w14:textId="77777777" w:rsidR="008E074D" w:rsidRDefault="008E0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2570"/>
      <w:docPartObj>
        <w:docPartGallery w:val="Page Numbers (Bottom of Page)"/>
        <w:docPartUnique/>
      </w:docPartObj>
    </w:sdtPr>
    <w:sdtEndPr>
      <w:rPr>
        <w:noProof/>
      </w:rPr>
    </w:sdtEndPr>
    <w:sdtContent>
      <w:p w14:paraId="34AB802E" w14:textId="77777777" w:rsidR="008E074D" w:rsidRDefault="008E074D">
        <w:pPr>
          <w:pStyle w:val="llb"/>
          <w:jc w:val="center"/>
        </w:pPr>
        <w:r>
          <w:fldChar w:fldCharType="begin"/>
        </w:r>
        <w:r>
          <w:instrText xml:space="preserve"> PAGE   \* MERGEFORMAT </w:instrText>
        </w:r>
        <w:r>
          <w:fldChar w:fldCharType="separate"/>
        </w:r>
        <w:r w:rsidR="00BF07CA">
          <w:rPr>
            <w:noProof/>
          </w:rPr>
          <w:t>42</w:t>
        </w:r>
        <w:r>
          <w:rPr>
            <w:noProof/>
          </w:rPr>
          <w:fldChar w:fldCharType="end"/>
        </w:r>
      </w:p>
    </w:sdtContent>
  </w:sdt>
  <w:p w14:paraId="34AB802F" w14:textId="77777777" w:rsidR="008E074D" w:rsidRDefault="008E074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BB146" w14:textId="77777777" w:rsidR="008E074D" w:rsidRDefault="008E074D" w:rsidP="00E05B18">
      <w:pPr>
        <w:spacing w:after="0" w:line="240" w:lineRule="auto"/>
      </w:pPr>
      <w:r>
        <w:separator/>
      </w:r>
    </w:p>
  </w:footnote>
  <w:footnote w:type="continuationSeparator" w:id="0">
    <w:p w14:paraId="310AE1FC" w14:textId="77777777" w:rsidR="008E074D" w:rsidRDefault="008E074D" w:rsidP="00E05B18">
      <w:pPr>
        <w:spacing w:after="0" w:line="240" w:lineRule="auto"/>
      </w:pPr>
      <w:r>
        <w:continuationSeparator/>
      </w:r>
    </w:p>
  </w:footnote>
  <w:footnote w:type="continuationNotice" w:id="1">
    <w:p w14:paraId="68071E8D" w14:textId="77777777" w:rsidR="008E074D" w:rsidRDefault="008E074D">
      <w:pPr>
        <w:spacing w:after="0" w:line="240" w:lineRule="auto"/>
      </w:pPr>
    </w:p>
  </w:footnote>
  <w:footnote w:id="2">
    <w:p w14:paraId="170DEC44" w14:textId="51651C9D" w:rsidR="008E074D" w:rsidRPr="00507F61" w:rsidRDefault="008E074D">
      <w:pPr>
        <w:pStyle w:val="Lbjegyzetszveg"/>
        <w:rPr>
          <w:lang w:val="hu-HU"/>
        </w:rPr>
      </w:pPr>
      <w:r>
        <w:rPr>
          <w:rStyle w:val="Lbjegyzet-hivatkozs"/>
        </w:rPr>
        <w:footnoteRef/>
      </w:r>
      <w:r>
        <w:t xml:space="preserve"> The English version of the PPA is available here: </w:t>
      </w:r>
      <w:r w:rsidRPr="00507F61">
        <w:t>http://www.kozbeszerzes.hu/torveny/act-cxliii-of-2015-on-public-procurement/</w:t>
      </w:r>
    </w:p>
  </w:footnote>
  <w:footnote w:id="3">
    <w:p w14:paraId="6C1123D2" w14:textId="77777777" w:rsidR="008E074D" w:rsidRPr="004D44AE" w:rsidRDefault="008E074D" w:rsidP="00733150">
      <w:pPr>
        <w:pStyle w:val="Lbjegyzetszveg"/>
        <w:rPr>
          <w:rFonts w:cs="Times New Roman"/>
        </w:rPr>
      </w:pPr>
      <w:r>
        <w:rPr>
          <w:rStyle w:val="Lbjegyzet-hivatkozs"/>
          <w:rFonts w:ascii="Times New Roman" w:hAnsi="Times New Roman" w:cs="Times New Roman"/>
        </w:rPr>
        <w:footnoteRef/>
      </w:r>
      <w:r>
        <w:rPr>
          <w:rFonts w:ascii="Times New Roman" w:hAnsi="Times New Roman" w:cs="Times New Roman"/>
        </w:rPr>
        <w:t xml:space="preserve"> </w:t>
      </w:r>
      <w:r w:rsidRPr="004D44AE">
        <w:rPr>
          <w:rFonts w:cs="Times New Roman"/>
        </w:rPr>
        <w:t>Government Decree No. 272/2014</w:t>
      </w:r>
    </w:p>
  </w:footnote>
  <w:footnote w:id="4">
    <w:p w14:paraId="68983269" w14:textId="77777777" w:rsidR="008E074D" w:rsidRDefault="008E074D" w:rsidP="00733150">
      <w:pPr>
        <w:pStyle w:val="Lbjegyzetszveg"/>
        <w:rPr>
          <w:rFonts w:ascii="Times New Roman" w:hAnsi="Times New Roman" w:cs="Times New Roman"/>
        </w:rPr>
      </w:pPr>
      <w:r w:rsidRPr="004D44AE">
        <w:rPr>
          <w:rStyle w:val="Lbjegyzet-hivatkozs"/>
          <w:rFonts w:cs="Times New Roman"/>
        </w:rPr>
        <w:footnoteRef/>
      </w:r>
      <w:r w:rsidRPr="004D44AE">
        <w:rPr>
          <w:rFonts w:cs="Times New Roman"/>
        </w:rPr>
        <w:t xml:space="preserve"> Government Decree No. 320/2015</w:t>
      </w:r>
    </w:p>
  </w:footnote>
  <w:footnote w:id="5">
    <w:p w14:paraId="57D0089A" w14:textId="0D9820E3" w:rsidR="008E074D" w:rsidRPr="004D44AE" w:rsidRDefault="008E074D" w:rsidP="0011726A">
      <w:pPr>
        <w:pStyle w:val="Lbjegyzetszveg"/>
        <w:rPr>
          <w:rFonts w:cs="Times New Roman"/>
        </w:rPr>
      </w:pPr>
      <w:r w:rsidRPr="004D44AE">
        <w:rPr>
          <w:rStyle w:val="Lbjegyzet-hivatkozs"/>
          <w:rFonts w:cs="Times New Roman"/>
        </w:rPr>
        <w:footnoteRef/>
      </w:r>
      <w:r w:rsidRPr="004D44AE">
        <w:rPr>
          <w:rFonts w:cs="Times New Roman"/>
        </w:rPr>
        <w:t xml:space="preserve"> Note that this is a separate department from the DPPC, but is also part of the Deputy State Secretariat for Public Procurement Control in the Prime Minister’s Office</w:t>
      </w:r>
    </w:p>
  </w:footnote>
  <w:footnote w:id="6">
    <w:p w14:paraId="293706CD" w14:textId="3B1C6EF2" w:rsidR="008E074D" w:rsidRPr="008F708C" w:rsidRDefault="008E074D">
      <w:pPr>
        <w:pStyle w:val="Lbjegyzetszveg"/>
      </w:pPr>
      <w:r w:rsidRPr="004D44AE">
        <w:rPr>
          <w:rStyle w:val="Lbjegyzet-hivatkozs"/>
        </w:rPr>
        <w:footnoteRef/>
      </w:r>
      <w:r w:rsidRPr="004D44AE">
        <w:t xml:space="preserve"> </w:t>
      </w:r>
      <w:proofErr w:type="gramStart"/>
      <w:r w:rsidRPr="008F708C">
        <w:t>According to the statistics of the HCA.</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518A6" w14:textId="77777777" w:rsidR="008E074D" w:rsidRDefault="008E074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2B9"/>
    <w:multiLevelType w:val="hybridMultilevel"/>
    <w:tmpl w:val="0C3CBE86"/>
    <w:lvl w:ilvl="0" w:tplc="040E000B">
      <w:start w:val="1"/>
      <w:numFmt w:val="bullet"/>
      <w:lvlText w:val=""/>
      <w:lvlJc w:val="left"/>
      <w:pPr>
        <w:ind w:left="1420" w:hanging="360"/>
      </w:pPr>
      <w:rPr>
        <w:rFonts w:ascii="Wingdings" w:hAnsi="Wingdings" w:hint="default"/>
      </w:rPr>
    </w:lvl>
    <w:lvl w:ilvl="1" w:tplc="040E0003" w:tentative="1">
      <w:start w:val="1"/>
      <w:numFmt w:val="bullet"/>
      <w:lvlText w:val="o"/>
      <w:lvlJc w:val="left"/>
      <w:pPr>
        <w:ind w:left="2140" w:hanging="360"/>
      </w:pPr>
      <w:rPr>
        <w:rFonts w:ascii="Courier New" w:hAnsi="Courier New" w:cs="Courier New" w:hint="default"/>
      </w:rPr>
    </w:lvl>
    <w:lvl w:ilvl="2" w:tplc="040E0005" w:tentative="1">
      <w:start w:val="1"/>
      <w:numFmt w:val="bullet"/>
      <w:lvlText w:val=""/>
      <w:lvlJc w:val="left"/>
      <w:pPr>
        <w:ind w:left="2860" w:hanging="360"/>
      </w:pPr>
      <w:rPr>
        <w:rFonts w:ascii="Wingdings" w:hAnsi="Wingdings" w:hint="default"/>
      </w:rPr>
    </w:lvl>
    <w:lvl w:ilvl="3" w:tplc="040E0001" w:tentative="1">
      <w:start w:val="1"/>
      <w:numFmt w:val="bullet"/>
      <w:lvlText w:val=""/>
      <w:lvlJc w:val="left"/>
      <w:pPr>
        <w:ind w:left="3580" w:hanging="360"/>
      </w:pPr>
      <w:rPr>
        <w:rFonts w:ascii="Symbol" w:hAnsi="Symbol" w:hint="default"/>
      </w:rPr>
    </w:lvl>
    <w:lvl w:ilvl="4" w:tplc="040E0003" w:tentative="1">
      <w:start w:val="1"/>
      <w:numFmt w:val="bullet"/>
      <w:lvlText w:val="o"/>
      <w:lvlJc w:val="left"/>
      <w:pPr>
        <w:ind w:left="4300" w:hanging="360"/>
      </w:pPr>
      <w:rPr>
        <w:rFonts w:ascii="Courier New" w:hAnsi="Courier New" w:cs="Courier New" w:hint="default"/>
      </w:rPr>
    </w:lvl>
    <w:lvl w:ilvl="5" w:tplc="040E0005" w:tentative="1">
      <w:start w:val="1"/>
      <w:numFmt w:val="bullet"/>
      <w:lvlText w:val=""/>
      <w:lvlJc w:val="left"/>
      <w:pPr>
        <w:ind w:left="5020" w:hanging="360"/>
      </w:pPr>
      <w:rPr>
        <w:rFonts w:ascii="Wingdings" w:hAnsi="Wingdings" w:hint="default"/>
      </w:rPr>
    </w:lvl>
    <w:lvl w:ilvl="6" w:tplc="040E0001" w:tentative="1">
      <w:start w:val="1"/>
      <w:numFmt w:val="bullet"/>
      <w:lvlText w:val=""/>
      <w:lvlJc w:val="left"/>
      <w:pPr>
        <w:ind w:left="5740" w:hanging="360"/>
      </w:pPr>
      <w:rPr>
        <w:rFonts w:ascii="Symbol" w:hAnsi="Symbol" w:hint="default"/>
      </w:rPr>
    </w:lvl>
    <w:lvl w:ilvl="7" w:tplc="040E0003" w:tentative="1">
      <w:start w:val="1"/>
      <w:numFmt w:val="bullet"/>
      <w:lvlText w:val="o"/>
      <w:lvlJc w:val="left"/>
      <w:pPr>
        <w:ind w:left="6460" w:hanging="360"/>
      </w:pPr>
      <w:rPr>
        <w:rFonts w:ascii="Courier New" w:hAnsi="Courier New" w:cs="Courier New" w:hint="default"/>
      </w:rPr>
    </w:lvl>
    <w:lvl w:ilvl="8" w:tplc="040E0005" w:tentative="1">
      <w:start w:val="1"/>
      <w:numFmt w:val="bullet"/>
      <w:lvlText w:val=""/>
      <w:lvlJc w:val="left"/>
      <w:pPr>
        <w:ind w:left="7180" w:hanging="360"/>
      </w:pPr>
      <w:rPr>
        <w:rFonts w:ascii="Wingdings" w:hAnsi="Wingdings" w:hint="default"/>
      </w:rPr>
    </w:lvl>
  </w:abstractNum>
  <w:abstractNum w:abstractNumId="1">
    <w:nsid w:val="06744A41"/>
    <w:multiLevelType w:val="hybridMultilevel"/>
    <w:tmpl w:val="AB36B2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67617B0"/>
    <w:multiLevelType w:val="hybridMultilevel"/>
    <w:tmpl w:val="E4F66068"/>
    <w:lvl w:ilvl="0" w:tplc="4D0AF34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8CB0CC2"/>
    <w:multiLevelType w:val="hybridMultilevel"/>
    <w:tmpl w:val="CF928A9C"/>
    <w:lvl w:ilvl="0" w:tplc="FEC2F990">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0AE0674C"/>
    <w:multiLevelType w:val="hybridMultilevel"/>
    <w:tmpl w:val="11484E62"/>
    <w:lvl w:ilvl="0" w:tplc="6F160010">
      <w:start w:val="3"/>
      <w:numFmt w:val="bullet"/>
      <w:lvlText w:val="-"/>
      <w:lvlJc w:val="left"/>
      <w:pPr>
        <w:ind w:left="1485" w:hanging="360"/>
      </w:pPr>
      <w:rPr>
        <w:rFonts w:ascii="Times New Roman" w:eastAsiaTheme="minorHAnsi" w:hAnsi="Times New Roman" w:cs="Times New Roman" w:hint="default"/>
        <w:b/>
      </w:rPr>
    </w:lvl>
    <w:lvl w:ilvl="1" w:tplc="040E0003">
      <w:start w:val="1"/>
      <w:numFmt w:val="bullet"/>
      <w:lvlText w:val="o"/>
      <w:lvlJc w:val="left"/>
      <w:pPr>
        <w:ind w:left="2205" w:hanging="360"/>
      </w:pPr>
      <w:rPr>
        <w:rFonts w:ascii="Courier New" w:hAnsi="Courier New" w:cs="Courier New" w:hint="default"/>
      </w:rPr>
    </w:lvl>
    <w:lvl w:ilvl="2" w:tplc="040E0005">
      <w:start w:val="1"/>
      <w:numFmt w:val="bullet"/>
      <w:lvlText w:val=""/>
      <w:lvlJc w:val="left"/>
      <w:pPr>
        <w:ind w:left="2925" w:hanging="360"/>
      </w:pPr>
      <w:rPr>
        <w:rFonts w:ascii="Wingdings" w:hAnsi="Wingdings" w:hint="default"/>
      </w:rPr>
    </w:lvl>
    <w:lvl w:ilvl="3" w:tplc="040E0001">
      <w:start w:val="1"/>
      <w:numFmt w:val="bullet"/>
      <w:lvlText w:val=""/>
      <w:lvlJc w:val="left"/>
      <w:pPr>
        <w:ind w:left="3645" w:hanging="360"/>
      </w:pPr>
      <w:rPr>
        <w:rFonts w:ascii="Symbol" w:hAnsi="Symbol" w:hint="default"/>
      </w:rPr>
    </w:lvl>
    <w:lvl w:ilvl="4" w:tplc="040E0003">
      <w:start w:val="1"/>
      <w:numFmt w:val="bullet"/>
      <w:lvlText w:val="o"/>
      <w:lvlJc w:val="left"/>
      <w:pPr>
        <w:ind w:left="4365" w:hanging="360"/>
      </w:pPr>
      <w:rPr>
        <w:rFonts w:ascii="Courier New" w:hAnsi="Courier New" w:cs="Courier New" w:hint="default"/>
      </w:rPr>
    </w:lvl>
    <w:lvl w:ilvl="5" w:tplc="040E0005">
      <w:start w:val="1"/>
      <w:numFmt w:val="bullet"/>
      <w:lvlText w:val=""/>
      <w:lvlJc w:val="left"/>
      <w:pPr>
        <w:ind w:left="5085" w:hanging="360"/>
      </w:pPr>
      <w:rPr>
        <w:rFonts w:ascii="Wingdings" w:hAnsi="Wingdings" w:hint="default"/>
      </w:rPr>
    </w:lvl>
    <w:lvl w:ilvl="6" w:tplc="040E0001">
      <w:start w:val="1"/>
      <w:numFmt w:val="bullet"/>
      <w:lvlText w:val=""/>
      <w:lvlJc w:val="left"/>
      <w:pPr>
        <w:ind w:left="5805" w:hanging="360"/>
      </w:pPr>
      <w:rPr>
        <w:rFonts w:ascii="Symbol" w:hAnsi="Symbol" w:hint="default"/>
      </w:rPr>
    </w:lvl>
    <w:lvl w:ilvl="7" w:tplc="040E0003">
      <w:start w:val="1"/>
      <w:numFmt w:val="bullet"/>
      <w:lvlText w:val="o"/>
      <w:lvlJc w:val="left"/>
      <w:pPr>
        <w:ind w:left="6525" w:hanging="360"/>
      </w:pPr>
      <w:rPr>
        <w:rFonts w:ascii="Courier New" w:hAnsi="Courier New" w:cs="Courier New" w:hint="default"/>
      </w:rPr>
    </w:lvl>
    <w:lvl w:ilvl="8" w:tplc="040E0005">
      <w:start w:val="1"/>
      <w:numFmt w:val="bullet"/>
      <w:lvlText w:val=""/>
      <w:lvlJc w:val="left"/>
      <w:pPr>
        <w:ind w:left="7245" w:hanging="360"/>
      </w:pPr>
      <w:rPr>
        <w:rFonts w:ascii="Wingdings" w:hAnsi="Wingdings" w:hint="default"/>
      </w:rPr>
    </w:lvl>
  </w:abstractNum>
  <w:abstractNum w:abstractNumId="5">
    <w:nsid w:val="0B823BD6"/>
    <w:multiLevelType w:val="hybridMultilevel"/>
    <w:tmpl w:val="F9CEE39E"/>
    <w:lvl w:ilvl="0" w:tplc="4E069A6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E0F11BC"/>
    <w:multiLevelType w:val="hybridMultilevel"/>
    <w:tmpl w:val="3FEE1A6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0E5178B3"/>
    <w:multiLevelType w:val="hybridMultilevel"/>
    <w:tmpl w:val="7798A4FA"/>
    <w:lvl w:ilvl="0" w:tplc="040E000B">
      <w:start w:val="1"/>
      <w:numFmt w:val="bullet"/>
      <w:lvlText w:val=""/>
      <w:lvlJc w:val="left"/>
      <w:pPr>
        <w:ind w:left="1282" w:hanging="360"/>
      </w:pPr>
      <w:rPr>
        <w:rFonts w:ascii="Wingdings" w:hAnsi="Wingdings" w:hint="default"/>
      </w:rPr>
    </w:lvl>
    <w:lvl w:ilvl="1" w:tplc="040E0003" w:tentative="1">
      <w:start w:val="1"/>
      <w:numFmt w:val="bullet"/>
      <w:lvlText w:val="o"/>
      <w:lvlJc w:val="left"/>
      <w:pPr>
        <w:ind w:left="2002" w:hanging="360"/>
      </w:pPr>
      <w:rPr>
        <w:rFonts w:ascii="Courier New" w:hAnsi="Courier New" w:cs="Courier New" w:hint="default"/>
      </w:rPr>
    </w:lvl>
    <w:lvl w:ilvl="2" w:tplc="040E0005" w:tentative="1">
      <w:start w:val="1"/>
      <w:numFmt w:val="bullet"/>
      <w:lvlText w:val=""/>
      <w:lvlJc w:val="left"/>
      <w:pPr>
        <w:ind w:left="2722" w:hanging="360"/>
      </w:pPr>
      <w:rPr>
        <w:rFonts w:ascii="Wingdings" w:hAnsi="Wingdings" w:hint="default"/>
      </w:rPr>
    </w:lvl>
    <w:lvl w:ilvl="3" w:tplc="040E0001" w:tentative="1">
      <w:start w:val="1"/>
      <w:numFmt w:val="bullet"/>
      <w:lvlText w:val=""/>
      <w:lvlJc w:val="left"/>
      <w:pPr>
        <w:ind w:left="3442" w:hanging="360"/>
      </w:pPr>
      <w:rPr>
        <w:rFonts w:ascii="Symbol" w:hAnsi="Symbol" w:hint="default"/>
      </w:rPr>
    </w:lvl>
    <w:lvl w:ilvl="4" w:tplc="040E0003" w:tentative="1">
      <w:start w:val="1"/>
      <w:numFmt w:val="bullet"/>
      <w:lvlText w:val="o"/>
      <w:lvlJc w:val="left"/>
      <w:pPr>
        <w:ind w:left="4162" w:hanging="360"/>
      </w:pPr>
      <w:rPr>
        <w:rFonts w:ascii="Courier New" w:hAnsi="Courier New" w:cs="Courier New" w:hint="default"/>
      </w:rPr>
    </w:lvl>
    <w:lvl w:ilvl="5" w:tplc="040E0005" w:tentative="1">
      <w:start w:val="1"/>
      <w:numFmt w:val="bullet"/>
      <w:lvlText w:val=""/>
      <w:lvlJc w:val="left"/>
      <w:pPr>
        <w:ind w:left="4882" w:hanging="360"/>
      </w:pPr>
      <w:rPr>
        <w:rFonts w:ascii="Wingdings" w:hAnsi="Wingdings" w:hint="default"/>
      </w:rPr>
    </w:lvl>
    <w:lvl w:ilvl="6" w:tplc="040E0001" w:tentative="1">
      <w:start w:val="1"/>
      <w:numFmt w:val="bullet"/>
      <w:lvlText w:val=""/>
      <w:lvlJc w:val="left"/>
      <w:pPr>
        <w:ind w:left="5602" w:hanging="360"/>
      </w:pPr>
      <w:rPr>
        <w:rFonts w:ascii="Symbol" w:hAnsi="Symbol" w:hint="default"/>
      </w:rPr>
    </w:lvl>
    <w:lvl w:ilvl="7" w:tplc="040E0003" w:tentative="1">
      <w:start w:val="1"/>
      <w:numFmt w:val="bullet"/>
      <w:lvlText w:val="o"/>
      <w:lvlJc w:val="left"/>
      <w:pPr>
        <w:ind w:left="6322" w:hanging="360"/>
      </w:pPr>
      <w:rPr>
        <w:rFonts w:ascii="Courier New" w:hAnsi="Courier New" w:cs="Courier New" w:hint="default"/>
      </w:rPr>
    </w:lvl>
    <w:lvl w:ilvl="8" w:tplc="040E0005" w:tentative="1">
      <w:start w:val="1"/>
      <w:numFmt w:val="bullet"/>
      <w:lvlText w:val=""/>
      <w:lvlJc w:val="left"/>
      <w:pPr>
        <w:ind w:left="7042" w:hanging="360"/>
      </w:pPr>
      <w:rPr>
        <w:rFonts w:ascii="Wingdings" w:hAnsi="Wingdings" w:hint="default"/>
      </w:rPr>
    </w:lvl>
  </w:abstractNum>
  <w:abstractNum w:abstractNumId="8">
    <w:nsid w:val="10094F8F"/>
    <w:multiLevelType w:val="multilevel"/>
    <w:tmpl w:val="D5743C9A"/>
    <w:lvl w:ilvl="0">
      <w:start w:val="1"/>
      <w:numFmt w:val="decimal"/>
      <w:lvlText w:val="%1."/>
      <w:lvlJc w:val="left"/>
      <w:pPr>
        <w:ind w:left="492" w:firstLine="76"/>
      </w:pPr>
      <w:rPr>
        <w:rFonts w:hint="default"/>
      </w:rPr>
    </w:lvl>
    <w:lvl w:ilvl="1">
      <w:start w:val="1"/>
      <w:numFmt w:val="decimal"/>
      <w:lvlText w:val="%1.%2"/>
      <w:lvlJc w:val="left"/>
      <w:pPr>
        <w:ind w:left="622" w:firstLine="51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4"/>
      <w:lvlText w:val="%1.%2.%3"/>
      <w:lvlJc w:val="left"/>
      <w:pPr>
        <w:ind w:left="851" w:firstLine="9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67" w:firstLine="1953"/>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327130"/>
    <w:multiLevelType w:val="hybridMultilevel"/>
    <w:tmpl w:val="26F867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147088A"/>
    <w:multiLevelType w:val="hybridMultilevel"/>
    <w:tmpl w:val="00F897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1DD7EA4"/>
    <w:multiLevelType w:val="hybridMultilevel"/>
    <w:tmpl w:val="3B28FA22"/>
    <w:lvl w:ilvl="0" w:tplc="4D0AF340">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14356CE5"/>
    <w:multiLevelType w:val="hybridMultilevel"/>
    <w:tmpl w:val="BEB0F804"/>
    <w:lvl w:ilvl="0" w:tplc="040E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4A8176F"/>
    <w:multiLevelType w:val="hybridMultilevel"/>
    <w:tmpl w:val="330CAA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BCC213B"/>
    <w:multiLevelType w:val="hybridMultilevel"/>
    <w:tmpl w:val="AB2646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F763A70"/>
    <w:multiLevelType w:val="hybridMultilevel"/>
    <w:tmpl w:val="4316F8C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nsid w:val="231F0910"/>
    <w:multiLevelType w:val="hybridMultilevel"/>
    <w:tmpl w:val="D096982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nsid w:val="28933CC7"/>
    <w:multiLevelType w:val="hybridMultilevel"/>
    <w:tmpl w:val="0A98A72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CC12504"/>
    <w:multiLevelType w:val="hybridMultilevel"/>
    <w:tmpl w:val="1890AD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CDF3224"/>
    <w:multiLevelType w:val="hybridMultilevel"/>
    <w:tmpl w:val="B3264D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CFD30C6"/>
    <w:multiLevelType w:val="hybridMultilevel"/>
    <w:tmpl w:val="86ACF4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D14202B"/>
    <w:multiLevelType w:val="hybridMultilevel"/>
    <w:tmpl w:val="9856B66A"/>
    <w:lvl w:ilvl="0" w:tplc="040E000B">
      <w:start w:val="1"/>
      <w:numFmt w:val="bullet"/>
      <w:lvlText w:val=""/>
      <w:lvlJc w:val="left"/>
      <w:pPr>
        <w:ind w:left="1987" w:hanging="360"/>
      </w:pPr>
      <w:rPr>
        <w:rFonts w:ascii="Wingdings" w:hAnsi="Wingdings" w:hint="default"/>
      </w:rPr>
    </w:lvl>
    <w:lvl w:ilvl="1" w:tplc="040E0003" w:tentative="1">
      <w:start w:val="1"/>
      <w:numFmt w:val="bullet"/>
      <w:lvlText w:val="o"/>
      <w:lvlJc w:val="left"/>
      <w:pPr>
        <w:ind w:left="2707" w:hanging="360"/>
      </w:pPr>
      <w:rPr>
        <w:rFonts w:ascii="Courier New" w:hAnsi="Courier New" w:cs="Courier New" w:hint="default"/>
      </w:rPr>
    </w:lvl>
    <w:lvl w:ilvl="2" w:tplc="040E0005" w:tentative="1">
      <w:start w:val="1"/>
      <w:numFmt w:val="bullet"/>
      <w:lvlText w:val=""/>
      <w:lvlJc w:val="left"/>
      <w:pPr>
        <w:ind w:left="3427" w:hanging="360"/>
      </w:pPr>
      <w:rPr>
        <w:rFonts w:ascii="Wingdings" w:hAnsi="Wingdings" w:hint="default"/>
      </w:rPr>
    </w:lvl>
    <w:lvl w:ilvl="3" w:tplc="040E0001" w:tentative="1">
      <w:start w:val="1"/>
      <w:numFmt w:val="bullet"/>
      <w:lvlText w:val=""/>
      <w:lvlJc w:val="left"/>
      <w:pPr>
        <w:ind w:left="4147" w:hanging="360"/>
      </w:pPr>
      <w:rPr>
        <w:rFonts w:ascii="Symbol" w:hAnsi="Symbol" w:hint="default"/>
      </w:rPr>
    </w:lvl>
    <w:lvl w:ilvl="4" w:tplc="040E0003" w:tentative="1">
      <w:start w:val="1"/>
      <w:numFmt w:val="bullet"/>
      <w:lvlText w:val="o"/>
      <w:lvlJc w:val="left"/>
      <w:pPr>
        <w:ind w:left="4867" w:hanging="360"/>
      </w:pPr>
      <w:rPr>
        <w:rFonts w:ascii="Courier New" w:hAnsi="Courier New" w:cs="Courier New" w:hint="default"/>
      </w:rPr>
    </w:lvl>
    <w:lvl w:ilvl="5" w:tplc="040E0005" w:tentative="1">
      <w:start w:val="1"/>
      <w:numFmt w:val="bullet"/>
      <w:lvlText w:val=""/>
      <w:lvlJc w:val="left"/>
      <w:pPr>
        <w:ind w:left="5587" w:hanging="360"/>
      </w:pPr>
      <w:rPr>
        <w:rFonts w:ascii="Wingdings" w:hAnsi="Wingdings" w:hint="default"/>
      </w:rPr>
    </w:lvl>
    <w:lvl w:ilvl="6" w:tplc="040E0001" w:tentative="1">
      <w:start w:val="1"/>
      <w:numFmt w:val="bullet"/>
      <w:lvlText w:val=""/>
      <w:lvlJc w:val="left"/>
      <w:pPr>
        <w:ind w:left="6307" w:hanging="360"/>
      </w:pPr>
      <w:rPr>
        <w:rFonts w:ascii="Symbol" w:hAnsi="Symbol" w:hint="default"/>
      </w:rPr>
    </w:lvl>
    <w:lvl w:ilvl="7" w:tplc="040E0003" w:tentative="1">
      <w:start w:val="1"/>
      <w:numFmt w:val="bullet"/>
      <w:lvlText w:val="o"/>
      <w:lvlJc w:val="left"/>
      <w:pPr>
        <w:ind w:left="7027" w:hanging="360"/>
      </w:pPr>
      <w:rPr>
        <w:rFonts w:ascii="Courier New" w:hAnsi="Courier New" w:cs="Courier New" w:hint="default"/>
      </w:rPr>
    </w:lvl>
    <w:lvl w:ilvl="8" w:tplc="040E0005" w:tentative="1">
      <w:start w:val="1"/>
      <w:numFmt w:val="bullet"/>
      <w:lvlText w:val=""/>
      <w:lvlJc w:val="left"/>
      <w:pPr>
        <w:ind w:left="7747" w:hanging="360"/>
      </w:pPr>
      <w:rPr>
        <w:rFonts w:ascii="Wingdings" w:hAnsi="Wingdings" w:hint="default"/>
      </w:rPr>
    </w:lvl>
  </w:abstractNum>
  <w:abstractNum w:abstractNumId="22">
    <w:nsid w:val="2E1F1F19"/>
    <w:multiLevelType w:val="hybridMultilevel"/>
    <w:tmpl w:val="8152B4E6"/>
    <w:lvl w:ilvl="0" w:tplc="57DC1E26">
      <w:start w:val="1"/>
      <w:numFmt w:val="bullet"/>
      <w:lvlText w:val="-"/>
      <w:lvlJc w:val="left"/>
      <w:pPr>
        <w:ind w:left="1425" w:hanging="360"/>
      </w:pPr>
      <w:rPr>
        <w:rFonts w:ascii="Times New Roman" w:hAnsi="Times New Roman" w:cs="Times New Roman" w:hint="default"/>
      </w:rPr>
    </w:lvl>
    <w:lvl w:ilvl="1" w:tplc="040E0003">
      <w:start w:val="1"/>
      <w:numFmt w:val="bullet"/>
      <w:lvlText w:val="o"/>
      <w:lvlJc w:val="left"/>
      <w:pPr>
        <w:ind w:left="2145" w:hanging="360"/>
      </w:pPr>
      <w:rPr>
        <w:rFonts w:ascii="Courier New" w:hAnsi="Courier New" w:cs="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cs="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cs="Courier New" w:hint="default"/>
      </w:rPr>
    </w:lvl>
    <w:lvl w:ilvl="8" w:tplc="040E0005">
      <w:start w:val="1"/>
      <w:numFmt w:val="bullet"/>
      <w:lvlText w:val=""/>
      <w:lvlJc w:val="left"/>
      <w:pPr>
        <w:ind w:left="7185" w:hanging="360"/>
      </w:pPr>
      <w:rPr>
        <w:rFonts w:ascii="Wingdings" w:hAnsi="Wingdings" w:hint="default"/>
      </w:rPr>
    </w:lvl>
  </w:abstractNum>
  <w:abstractNum w:abstractNumId="23">
    <w:nsid w:val="31B112B6"/>
    <w:multiLevelType w:val="hybridMultilevel"/>
    <w:tmpl w:val="E2DE0A66"/>
    <w:lvl w:ilvl="0" w:tplc="040E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2ED76F2"/>
    <w:multiLevelType w:val="hybridMultilevel"/>
    <w:tmpl w:val="FE9EBDDA"/>
    <w:lvl w:ilvl="0" w:tplc="FEC2F990">
      <w:start w:val="3"/>
      <w:numFmt w:val="bullet"/>
      <w:lvlText w:val="-"/>
      <w:lvlJc w:val="left"/>
      <w:pPr>
        <w:ind w:left="720" w:hanging="360"/>
      </w:pPr>
      <w:rPr>
        <w:rFonts w:ascii="Times New Roman" w:eastAsiaTheme="minorHAnsi" w:hAnsi="Times New Roman" w:cs="Times New Roman" w:hint="default"/>
      </w:rPr>
    </w:lvl>
    <w:lvl w:ilvl="1" w:tplc="6F160010">
      <w:start w:val="3"/>
      <w:numFmt w:val="bullet"/>
      <w:lvlText w:val="-"/>
      <w:lvlJc w:val="left"/>
      <w:pPr>
        <w:ind w:left="1440" w:hanging="360"/>
      </w:pPr>
      <w:rPr>
        <w:rFonts w:ascii="Times New Roman" w:eastAsiaTheme="minorHAnsi" w:hAnsi="Times New Roman" w:cs="Times New Roman" w:hint="default"/>
        <w:b/>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nsid w:val="369A67A5"/>
    <w:multiLevelType w:val="hybridMultilevel"/>
    <w:tmpl w:val="D9E4BA48"/>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37046417"/>
    <w:multiLevelType w:val="hybridMultilevel"/>
    <w:tmpl w:val="53204542"/>
    <w:lvl w:ilvl="0" w:tplc="9E8CD0A4">
      <w:start w:val="1"/>
      <w:numFmt w:val="lowerLetter"/>
      <w:lvlText w:val="(%1)"/>
      <w:lvlJc w:val="left"/>
      <w:pPr>
        <w:tabs>
          <w:tab w:val="num" w:pos="720"/>
        </w:tabs>
        <w:ind w:left="720" w:hanging="360"/>
      </w:pPr>
      <w:rPr>
        <w:rFonts w:ascii="Times New Roman" w:eastAsiaTheme="minorHAnsi" w:hAnsi="Times New Roman" w:cs="Times New Roman"/>
      </w:rPr>
    </w:lvl>
    <w:lvl w:ilvl="1" w:tplc="0F825D46">
      <w:start w:val="1"/>
      <w:numFmt w:val="bullet"/>
      <w:lvlText w:val="•"/>
      <w:lvlJc w:val="left"/>
      <w:pPr>
        <w:tabs>
          <w:tab w:val="num" w:pos="1440"/>
        </w:tabs>
        <w:ind w:left="1440" w:hanging="360"/>
      </w:pPr>
      <w:rPr>
        <w:rFonts w:ascii="Arial" w:hAnsi="Arial" w:cs="Times New Roman" w:hint="default"/>
      </w:rPr>
    </w:lvl>
    <w:lvl w:ilvl="2" w:tplc="BE28A2B4">
      <w:start w:val="1"/>
      <w:numFmt w:val="bullet"/>
      <w:lvlText w:val="•"/>
      <w:lvlJc w:val="left"/>
      <w:pPr>
        <w:tabs>
          <w:tab w:val="num" w:pos="2160"/>
        </w:tabs>
        <w:ind w:left="2160" w:hanging="360"/>
      </w:pPr>
      <w:rPr>
        <w:rFonts w:ascii="Arial" w:hAnsi="Arial" w:cs="Times New Roman" w:hint="default"/>
      </w:rPr>
    </w:lvl>
    <w:lvl w:ilvl="3" w:tplc="7F542780">
      <w:start w:val="1"/>
      <w:numFmt w:val="bullet"/>
      <w:lvlText w:val="•"/>
      <w:lvlJc w:val="left"/>
      <w:pPr>
        <w:tabs>
          <w:tab w:val="num" w:pos="2880"/>
        </w:tabs>
        <w:ind w:left="2880" w:hanging="360"/>
      </w:pPr>
      <w:rPr>
        <w:rFonts w:ascii="Arial" w:hAnsi="Arial" w:cs="Times New Roman" w:hint="default"/>
      </w:rPr>
    </w:lvl>
    <w:lvl w:ilvl="4" w:tplc="B9488C00">
      <w:start w:val="1"/>
      <w:numFmt w:val="bullet"/>
      <w:lvlText w:val="•"/>
      <w:lvlJc w:val="left"/>
      <w:pPr>
        <w:tabs>
          <w:tab w:val="num" w:pos="3600"/>
        </w:tabs>
        <w:ind w:left="3600" w:hanging="360"/>
      </w:pPr>
      <w:rPr>
        <w:rFonts w:ascii="Arial" w:hAnsi="Arial" w:cs="Times New Roman" w:hint="default"/>
      </w:rPr>
    </w:lvl>
    <w:lvl w:ilvl="5" w:tplc="403E14EC">
      <w:start w:val="1"/>
      <w:numFmt w:val="bullet"/>
      <w:lvlText w:val="•"/>
      <w:lvlJc w:val="left"/>
      <w:pPr>
        <w:tabs>
          <w:tab w:val="num" w:pos="4320"/>
        </w:tabs>
        <w:ind w:left="4320" w:hanging="360"/>
      </w:pPr>
      <w:rPr>
        <w:rFonts w:ascii="Arial" w:hAnsi="Arial" w:cs="Times New Roman" w:hint="default"/>
      </w:rPr>
    </w:lvl>
    <w:lvl w:ilvl="6" w:tplc="1A0EF1CC">
      <w:start w:val="1"/>
      <w:numFmt w:val="bullet"/>
      <w:lvlText w:val="•"/>
      <w:lvlJc w:val="left"/>
      <w:pPr>
        <w:tabs>
          <w:tab w:val="num" w:pos="5040"/>
        </w:tabs>
        <w:ind w:left="5040" w:hanging="360"/>
      </w:pPr>
      <w:rPr>
        <w:rFonts w:ascii="Arial" w:hAnsi="Arial" w:cs="Times New Roman" w:hint="default"/>
      </w:rPr>
    </w:lvl>
    <w:lvl w:ilvl="7" w:tplc="D090C944">
      <w:start w:val="1"/>
      <w:numFmt w:val="bullet"/>
      <w:lvlText w:val="•"/>
      <w:lvlJc w:val="left"/>
      <w:pPr>
        <w:tabs>
          <w:tab w:val="num" w:pos="5760"/>
        </w:tabs>
        <w:ind w:left="5760" w:hanging="360"/>
      </w:pPr>
      <w:rPr>
        <w:rFonts w:ascii="Arial" w:hAnsi="Arial" w:cs="Times New Roman" w:hint="default"/>
      </w:rPr>
    </w:lvl>
    <w:lvl w:ilvl="8" w:tplc="F25C7E3A">
      <w:start w:val="1"/>
      <w:numFmt w:val="bullet"/>
      <w:lvlText w:val="•"/>
      <w:lvlJc w:val="left"/>
      <w:pPr>
        <w:tabs>
          <w:tab w:val="num" w:pos="6480"/>
        </w:tabs>
        <w:ind w:left="6480" w:hanging="360"/>
      </w:pPr>
      <w:rPr>
        <w:rFonts w:ascii="Arial" w:hAnsi="Arial" w:cs="Times New Roman" w:hint="default"/>
      </w:rPr>
    </w:lvl>
  </w:abstractNum>
  <w:abstractNum w:abstractNumId="27">
    <w:nsid w:val="39C153BF"/>
    <w:multiLevelType w:val="hybridMultilevel"/>
    <w:tmpl w:val="15E2C19C"/>
    <w:lvl w:ilvl="0" w:tplc="040E000B">
      <w:start w:val="1"/>
      <w:numFmt w:val="bullet"/>
      <w:lvlText w:val=""/>
      <w:lvlJc w:val="left"/>
      <w:pPr>
        <w:ind w:left="2520" w:hanging="360"/>
      </w:pPr>
      <w:rPr>
        <w:rFonts w:ascii="Wingdings" w:hAnsi="Wingdings"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8">
    <w:nsid w:val="3AAB6697"/>
    <w:multiLevelType w:val="hybridMultilevel"/>
    <w:tmpl w:val="D1F2C9DE"/>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nsid w:val="3CB76E27"/>
    <w:multiLevelType w:val="hybridMultilevel"/>
    <w:tmpl w:val="1CDC9F7E"/>
    <w:lvl w:ilvl="0" w:tplc="040E000B">
      <w:start w:val="1"/>
      <w:numFmt w:val="bullet"/>
      <w:lvlText w:val=""/>
      <w:lvlJc w:val="left"/>
      <w:pPr>
        <w:ind w:left="1420" w:hanging="360"/>
      </w:pPr>
      <w:rPr>
        <w:rFonts w:ascii="Wingdings" w:hAnsi="Wingdings" w:hint="default"/>
      </w:rPr>
    </w:lvl>
    <w:lvl w:ilvl="1" w:tplc="040E0003" w:tentative="1">
      <w:start w:val="1"/>
      <w:numFmt w:val="bullet"/>
      <w:lvlText w:val="o"/>
      <w:lvlJc w:val="left"/>
      <w:pPr>
        <w:ind w:left="2140" w:hanging="360"/>
      </w:pPr>
      <w:rPr>
        <w:rFonts w:ascii="Courier New" w:hAnsi="Courier New" w:cs="Courier New" w:hint="default"/>
      </w:rPr>
    </w:lvl>
    <w:lvl w:ilvl="2" w:tplc="040E0005" w:tentative="1">
      <w:start w:val="1"/>
      <w:numFmt w:val="bullet"/>
      <w:lvlText w:val=""/>
      <w:lvlJc w:val="left"/>
      <w:pPr>
        <w:ind w:left="2860" w:hanging="360"/>
      </w:pPr>
      <w:rPr>
        <w:rFonts w:ascii="Wingdings" w:hAnsi="Wingdings" w:hint="default"/>
      </w:rPr>
    </w:lvl>
    <w:lvl w:ilvl="3" w:tplc="040E0001" w:tentative="1">
      <w:start w:val="1"/>
      <w:numFmt w:val="bullet"/>
      <w:lvlText w:val=""/>
      <w:lvlJc w:val="left"/>
      <w:pPr>
        <w:ind w:left="3580" w:hanging="360"/>
      </w:pPr>
      <w:rPr>
        <w:rFonts w:ascii="Symbol" w:hAnsi="Symbol" w:hint="default"/>
      </w:rPr>
    </w:lvl>
    <w:lvl w:ilvl="4" w:tplc="040E0003" w:tentative="1">
      <w:start w:val="1"/>
      <w:numFmt w:val="bullet"/>
      <w:lvlText w:val="o"/>
      <w:lvlJc w:val="left"/>
      <w:pPr>
        <w:ind w:left="4300" w:hanging="360"/>
      </w:pPr>
      <w:rPr>
        <w:rFonts w:ascii="Courier New" w:hAnsi="Courier New" w:cs="Courier New" w:hint="default"/>
      </w:rPr>
    </w:lvl>
    <w:lvl w:ilvl="5" w:tplc="040E0005" w:tentative="1">
      <w:start w:val="1"/>
      <w:numFmt w:val="bullet"/>
      <w:lvlText w:val=""/>
      <w:lvlJc w:val="left"/>
      <w:pPr>
        <w:ind w:left="5020" w:hanging="360"/>
      </w:pPr>
      <w:rPr>
        <w:rFonts w:ascii="Wingdings" w:hAnsi="Wingdings" w:hint="default"/>
      </w:rPr>
    </w:lvl>
    <w:lvl w:ilvl="6" w:tplc="040E0001" w:tentative="1">
      <w:start w:val="1"/>
      <w:numFmt w:val="bullet"/>
      <w:lvlText w:val=""/>
      <w:lvlJc w:val="left"/>
      <w:pPr>
        <w:ind w:left="5740" w:hanging="360"/>
      </w:pPr>
      <w:rPr>
        <w:rFonts w:ascii="Symbol" w:hAnsi="Symbol" w:hint="default"/>
      </w:rPr>
    </w:lvl>
    <w:lvl w:ilvl="7" w:tplc="040E0003" w:tentative="1">
      <w:start w:val="1"/>
      <w:numFmt w:val="bullet"/>
      <w:lvlText w:val="o"/>
      <w:lvlJc w:val="left"/>
      <w:pPr>
        <w:ind w:left="6460" w:hanging="360"/>
      </w:pPr>
      <w:rPr>
        <w:rFonts w:ascii="Courier New" w:hAnsi="Courier New" w:cs="Courier New" w:hint="default"/>
      </w:rPr>
    </w:lvl>
    <w:lvl w:ilvl="8" w:tplc="040E0005" w:tentative="1">
      <w:start w:val="1"/>
      <w:numFmt w:val="bullet"/>
      <w:lvlText w:val=""/>
      <w:lvlJc w:val="left"/>
      <w:pPr>
        <w:ind w:left="7180" w:hanging="360"/>
      </w:pPr>
      <w:rPr>
        <w:rFonts w:ascii="Wingdings" w:hAnsi="Wingdings" w:hint="default"/>
      </w:rPr>
    </w:lvl>
  </w:abstractNum>
  <w:abstractNum w:abstractNumId="30">
    <w:nsid w:val="3D954E74"/>
    <w:multiLevelType w:val="hybridMultilevel"/>
    <w:tmpl w:val="1DD0225A"/>
    <w:lvl w:ilvl="0" w:tplc="4D0AF340">
      <w:start w:val="1"/>
      <w:numFmt w:val="bullet"/>
      <w:lvlText w:val="-"/>
      <w:lvlJc w:val="left"/>
      <w:pPr>
        <w:ind w:left="1080" w:hanging="360"/>
      </w:pPr>
      <w:rPr>
        <w:rFonts w:ascii="Times New Roman" w:hAnsi="Times New Roman" w:cs="Times New Roman" w:hint="default"/>
        <w:b/>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1">
    <w:nsid w:val="4061046C"/>
    <w:multiLevelType w:val="hybridMultilevel"/>
    <w:tmpl w:val="84E012D2"/>
    <w:lvl w:ilvl="0" w:tplc="040E000B">
      <w:start w:val="1"/>
      <w:numFmt w:val="bullet"/>
      <w:lvlText w:val=""/>
      <w:lvlJc w:val="left"/>
      <w:pPr>
        <w:ind w:left="1420" w:hanging="360"/>
      </w:pPr>
      <w:rPr>
        <w:rFonts w:ascii="Wingdings" w:hAnsi="Wingdings" w:hint="default"/>
      </w:rPr>
    </w:lvl>
    <w:lvl w:ilvl="1" w:tplc="040E0003" w:tentative="1">
      <w:start w:val="1"/>
      <w:numFmt w:val="bullet"/>
      <w:lvlText w:val="o"/>
      <w:lvlJc w:val="left"/>
      <w:pPr>
        <w:ind w:left="2140" w:hanging="360"/>
      </w:pPr>
      <w:rPr>
        <w:rFonts w:ascii="Courier New" w:hAnsi="Courier New" w:cs="Courier New" w:hint="default"/>
      </w:rPr>
    </w:lvl>
    <w:lvl w:ilvl="2" w:tplc="040E0005" w:tentative="1">
      <w:start w:val="1"/>
      <w:numFmt w:val="bullet"/>
      <w:lvlText w:val=""/>
      <w:lvlJc w:val="left"/>
      <w:pPr>
        <w:ind w:left="2860" w:hanging="360"/>
      </w:pPr>
      <w:rPr>
        <w:rFonts w:ascii="Wingdings" w:hAnsi="Wingdings" w:hint="default"/>
      </w:rPr>
    </w:lvl>
    <w:lvl w:ilvl="3" w:tplc="040E0001" w:tentative="1">
      <w:start w:val="1"/>
      <w:numFmt w:val="bullet"/>
      <w:lvlText w:val=""/>
      <w:lvlJc w:val="left"/>
      <w:pPr>
        <w:ind w:left="3580" w:hanging="360"/>
      </w:pPr>
      <w:rPr>
        <w:rFonts w:ascii="Symbol" w:hAnsi="Symbol" w:hint="default"/>
      </w:rPr>
    </w:lvl>
    <w:lvl w:ilvl="4" w:tplc="040E0003" w:tentative="1">
      <w:start w:val="1"/>
      <w:numFmt w:val="bullet"/>
      <w:lvlText w:val="o"/>
      <w:lvlJc w:val="left"/>
      <w:pPr>
        <w:ind w:left="4300" w:hanging="360"/>
      </w:pPr>
      <w:rPr>
        <w:rFonts w:ascii="Courier New" w:hAnsi="Courier New" w:cs="Courier New" w:hint="default"/>
      </w:rPr>
    </w:lvl>
    <w:lvl w:ilvl="5" w:tplc="040E0005" w:tentative="1">
      <w:start w:val="1"/>
      <w:numFmt w:val="bullet"/>
      <w:lvlText w:val=""/>
      <w:lvlJc w:val="left"/>
      <w:pPr>
        <w:ind w:left="5020" w:hanging="360"/>
      </w:pPr>
      <w:rPr>
        <w:rFonts w:ascii="Wingdings" w:hAnsi="Wingdings" w:hint="default"/>
      </w:rPr>
    </w:lvl>
    <w:lvl w:ilvl="6" w:tplc="040E0001" w:tentative="1">
      <w:start w:val="1"/>
      <w:numFmt w:val="bullet"/>
      <w:lvlText w:val=""/>
      <w:lvlJc w:val="left"/>
      <w:pPr>
        <w:ind w:left="5740" w:hanging="360"/>
      </w:pPr>
      <w:rPr>
        <w:rFonts w:ascii="Symbol" w:hAnsi="Symbol" w:hint="default"/>
      </w:rPr>
    </w:lvl>
    <w:lvl w:ilvl="7" w:tplc="040E0003" w:tentative="1">
      <w:start w:val="1"/>
      <w:numFmt w:val="bullet"/>
      <w:lvlText w:val="o"/>
      <w:lvlJc w:val="left"/>
      <w:pPr>
        <w:ind w:left="6460" w:hanging="360"/>
      </w:pPr>
      <w:rPr>
        <w:rFonts w:ascii="Courier New" w:hAnsi="Courier New" w:cs="Courier New" w:hint="default"/>
      </w:rPr>
    </w:lvl>
    <w:lvl w:ilvl="8" w:tplc="040E0005" w:tentative="1">
      <w:start w:val="1"/>
      <w:numFmt w:val="bullet"/>
      <w:lvlText w:val=""/>
      <w:lvlJc w:val="left"/>
      <w:pPr>
        <w:ind w:left="7180" w:hanging="360"/>
      </w:pPr>
      <w:rPr>
        <w:rFonts w:ascii="Wingdings" w:hAnsi="Wingdings" w:hint="default"/>
      </w:rPr>
    </w:lvl>
  </w:abstractNum>
  <w:abstractNum w:abstractNumId="32">
    <w:nsid w:val="42AB63E3"/>
    <w:multiLevelType w:val="hybridMultilevel"/>
    <w:tmpl w:val="A240015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nsid w:val="43281285"/>
    <w:multiLevelType w:val="hybridMultilevel"/>
    <w:tmpl w:val="7324D128"/>
    <w:lvl w:ilvl="0" w:tplc="6F160010">
      <w:start w:val="3"/>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nsid w:val="4399793B"/>
    <w:multiLevelType w:val="hybridMultilevel"/>
    <w:tmpl w:val="E1DC37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5080C89"/>
    <w:multiLevelType w:val="hybridMultilevel"/>
    <w:tmpl w:val="426484DE"/>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62F3879"/>
    <w:multiLevelType w:val="hybridMultilevel"/>
    <w:tmpl w:val="335470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48164501"/>
    <w:multiLevelType w:val="hybridMultilevel"/>
    <w:tmpl w:val="15F8513C"/>
    <w:lvl w:ilvl="0" w:tplc="040E0017">
      <w:start w:val="1"/>
      <w:numFmt w:val="lowerLetter"/>
      <w:lvlText w:val="%1)"/>
      <w:lvlJc w:val="left"/>
      <w:pPr>
        <w:ind w:left="2140" w:hanging="360"/>
      </w:pPr>
    </w:lvl>
    <w:lvl w:ilvl="1" w:tplc="040E0019" w:tentative="1">
      <w:start w:val="1"/>
      <w:numFmt w:val="lowerLetter"/>
      <w:lvlText w:val="%2."/>
      <w:lvlJc w:val="left"/>
      <w:pPr>
        <w:ind w:left="2860" w:hanging="360"/>
      </w:pPr>
    </w:lvl>
    <w:lvl w:ilvl="2" w:tplc="040E001B" w:tentative="1">
      <w:start w:val="1"/>
      <w:numFmt w:val="lowerRoman"/>
      <w:lvlText w:val="%3."/>
      <w:lvlJc w:val="right"/>
      <w:pPr>
        <w:ind w:left="3580" w:hanging="180"/>
      </w:pPr>
    </w:lvl>
    <w:lvl w:ilvl="3" w:tplc="040E000F" w:tentative="1">
      <w:start w:val="1"/>
      <w:numFmt w:val="decimal"/>
      <w:lvlText w:val="%4."/>
      <w:lvlJc w:val="left"/>
      <w:pPr>
        <w:ind w:left="4300" w:hanging="360"/>
      </w:pPr>
    </w:lvl>
    <w:lvl w:ilvl="4" w:tplc="040E0019" w:tentative="1">
      <w:start w:val="1"/>
      <w:numFmt w:val="lowerLetter"/>
      <w:lvlText w:val="%5."/>
      <w:lvlJc w:val="left"/>
      <w:pPr>
        <w:ind w:left="5020" w:hanging="360"/>
      </w:pPr>
    </w:lvl>
    <w:lvl w:ilvl="5" w:tplc="040E001B" w:tentative="1">
      <w:start w:val="1"/>
      <w:numFmt w:val="lowerRoman"/>
      <w:lvlText w:val="%6."/>
      <w:lvlJc w:val="right"/>
      <w:pPr>
        <w:ind w:left="5740" w:hanging="180"/>
      </w:pPr>
    </w:lvl>
    <w:lvl w:ilvl="6" w:tplc="040E000F" w:tentative="1">
      <w:start w:val="1"/>
      <w:numFmt w:val="decimal"/>
      <w:lvlText w:val="%7."/>
      <w:lvlJc w:val="left"/>
      <w:pPr>
        <w:ind w:left="6460" w:hanging="360"/>
      </w:pPr>
    </w:lvl>
    <w:lvl w:ilvl="7" w:tplc="040E0019" w:tentative="1">
      <w:start w:val="1"/>
      <w:numFmt w:val="lowerLetter"/>
      <w:lvlText w:val="%8."/>
      <w:lvlJc w:val="left"/>
      <w:pPr>
        <w:ind w:left="7180" w:hanging="360"/>
      </w:pPr>
    </w:lvl>
    <w:lvl w:ilvl="8" w:tplc="040E001B" w:tentative="1">
      <w:start w:val="1"/>
      <w:numFmt w:val="lowerRoman"/>
      <w:lvlText w:val="%9."/>
      <w:lvlJc w:val="right"/>
      <w:pPr>
        <w:ind w:left="7900" w:hanging="180"/>
      </w:pPr>
    </w:lvl>
  </w:abstractNum>
  <w:abstractNum w:abstractNumId="38">
    <w:nsid w:val="490F78BF"/>
    <w:multiLevelType w:val="hybridMultilevel"/>
    <w:tmpl w:val="1B98E5FA"/>
    <w:lvl w:ilvl="0" w:tplc="92B48C4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A7E148F"/>
    <w:multiLevelType w:val="hybridMultilevel"/>
    <w:tmpl w:val="F2DC73E0"/>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4AA85098"/>
    <w:multiLevelType w:val="hybridMultilevel"/>
    <w:tmpl w:val="6756C808"/>
    <w:lvl w:ilvl="0" w:tplc="D77C331E">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41">
    <w:nsid w:val="53121BA0"/>
    <w:multiLevelType w:val="hybridMultilevel"/>
    <w:tmpl w:val="81587BEA"/>
    <w:lvl w:ilvl="0" w:tplc="040E000B">
      <w:start w:val="1"/>
      <w:numFmt w:val="bullet"/>
      <w:lvlText w:val=""/>
      <w:lvlJc w:val="left"/>
      <w:pPr>
        <w:ind w:left="1800" w:hanging="360"/>
      </w:pPr>
      <w:rPr>
        <w:rFonts w:ascii="Wingdings" w:hAnsi="Wingdings" w:hint="default"/>
      </w:rPr>
    </w:lvl>
    <w:lvl w:ilvl="1" w:tplc="040E0003">
      <w:start w:val="1"/>
      <w:numFmt w:val="bullet"/>
      <w:lvlText w:val="o"/>
      <w:lvlJc w:val="left"/>
      <w:pPr>
        <w:ind w:left="2520" w:hanging="360"/>
      </w:pPr>
      <w:rPr>
        <w:rFonts w:ascii="Courier New" w:hAnsi="Courier New" w:cs="Courier New" w:hint="default"/>
      </w:rPr>
    </w:lvl>
    <w:lvl w:ilvl="2" w:tplc="040E0005">
      <w:start w:val="1"/>
      <w:numFmt w:val="bullet"/>
      <w:lvlText w:val=""/>
      <w:lvlJc w:val="left"/>
      <w:pPr>
        <w:ind w:left="3240" w:hanging="360"/>
      </w:pPr>
      <w:rPr>
        <w:rFonts w:ascii="Wingdings" w:hAnsi="Wingdings" w:hint="default"/>
      </w:rPr>
    </w:lvl>
    <w:lvl w:ilvl="3" w:tplc="040E0001">
      <w:start w:val="1"/>
      <w:numFmt w:val="bullet"/>
      <w:lvlText w:val=""/>
      <w:lvlJc w:val="left"/>
      <w:pPr>
        <w:ind w:left="3960" w:hanging="360"/>
      </w:pPr>
      <w:rPr>
        <w:rFonts w:ascii="Symbol" w:hAnsi="Symbol" w:hint="default"/>
      </w:rPr>
    </w:lvl>
    <w:lvl w:ilvl="4" w:tplc="040E0003">
      <w:start w:val="1"/>
      <w:numFmt w:val="bullet"/>
      <w:lvlText w:val="o"/>
      <w:lvlJc w:val="left"/>
      <w:pPr>
        <w:ind w:left="4680" w:hanging="360"/>
      </w:pPr>
      <w:rPr>
        <w:rFonts w:ascii="Courier New" w:hAnsi="Courier New" w:cs="Courier New" w:hint="default"/>
      </w:rPr>
    </w:lvl>
    <w:lvl w:ilvl="5" w:tplc="040E0005">
      <w:start w:val="1"/>
      <w:numFmt w:val="bullet"/>
      <w:lvlText w:val=""/>
      <w:lvlJc w:val="left"/>
      <w:pPr>
        <w:ind w:left="5400" w:hanging="360"/>
      </w:pPr>
      <w:rPr>
        <w:rFonts w:ascii="Wingdings" w:hAnsi="Wingdings" w:hint="default"/>
      </w:rPr>
    </w:lvl>
    <w:lvl w:ilvl="6" w:tplc="040E0001">
      <w:start w:val="1"/>
      <w:numFmt w:val="bullet"/>
      <w:lvlText w:val=""/>
      <w:lvlJc w:val="left"/>
      <w:pPr>
        <w:ind w:left="6120" w:hanging="360"/>
      </w:pPr>
      <w:rPr>
        <w:rFonts w:ascii="Symbol" w:hAnsi="Symbol" w:hint="default"/>
      </w:rPr>
    </w:lvl>
    <w:lvl w:ilvl="7" w:tplc="040E0003">
      <w:start w:val="1"/>
      <w:numFmt w:val="bullet"/>
      <w:lvlText w:val="o"/>
      <w:lvlJc w:val="left"/>
      <w:pPr>
        <w:ind w:left="6840" w:hanging="360"/>
      </w:pPr>
      <w:rPr>
        <w:rFonts w:ascii="Courier New" w:hAnsi="Courier New" w:cs="Courier New" w:hint="default"/>
      </w:rPr>
    </w:lvl>
    <w:lvl w:ilvl="8" w:tplc="040E0005">
      <w:start w:val="1"/>
      <w:numFmt w:val="bullet"/>
      <w:lvlText w:val=""/>
      <w:lvlJc w:val="left"/>
      <w:pPr>
        <w:ind w:left="7560" w:hanging="360"/>
      </w:pPr>
      <w:rPr>
        <w:rFonts w:ascii="Wingdings" w:hAnsi="Wingdings" w:hint="default"/>
      </w:rPr>
    </w:lvl>
  </w:abstractNum>
  <w:abstractNum w:abstractNumId="42">
    <w:nsid w:val="53C038ED"/>
    <w:multiLevelType w:val="hybridMultilevel"/>
    <w:tmpl w:val="68E22326"/>
    <w:lvl w:ilvl="0" w:tplc="08090017">
      <w:start w:val="1"/>
      <w:numFmt w:val="lowerLetter"/>
      <w:lvlText w:val="%1)"/>
      <w:lvlJc w:val="lef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3">
    <w:nsid w:val="59183868"/>
    <w:multiLevelType w:val="hybridMultilevel"/>
    <w:tmpl w:val="801657B4"/>
    <w:lvl w:ilvl="0" w:tplc="FEC2F990">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5E88649C"/>
    <w:multiLevelType w:val="multilevel"/>
    <w:tmpl w:val="E1A2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600F6716"/>
    <w:multiLevelType w:val="hybridMultilevel"/>
    <w:tmpl w:val="04628E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08769B9"/>
    <w:multiLevelType w:val="multilevel"/>
    <w:tmpl w:val="70D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D11B2A"/>
    <w:multiLevelType w:val="hybridMultilevel"/>
    <w:tmpl w:val="A26C9ECC"/>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6A8E127C"/>
    <w:multiLevelType w:val="hybridMultilevel"/>
    <w:tmpl w:val="836A0432"/>
    <w:lvl w:ilvl="0" w:tplc="1B169FD0">
      <w:start w:val="5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6A9B0286"/>
    <w:multiLevelType w:val="hybridMultilevel"/>
    <w:tmpl w:val="374CCB60"/>
    <w:lvl w:ilvl="0" w:tplc="3EBAB222">
      <w:numFmt w:val="bullet"/>
      <w:lvlText w:val="-"/>
      <w:lvlJc w:val="left"/>
      <w:pPr>
        <w:ind w:left="562" w:hanging="360"/>
      </w:pPr>
      <w:rPr>
        <w:rFonts w:ascii="Times New Roman" w:eastAsiaTheme="minorHAnsi" w:hAnsi="Times New Roman" w:cs="Times New Roman" w:hint="default"/>
      </w:rPr>
    </w:lvl>
    <w:lvl w:ilvl="1" w:tplc="040E0003" w:tentative="1">
      <w:start w:val="1"/>
      <w:numFmt w:val="bullet"/>
      <w:lvlText w:val="o"/>
      <w:lvlJc w:val="left"/>
      <w:pPr>
        <w:ind w:left="1282" w:hanging="360"/>
      </w:pPr>
      <w:rPr>
        <w:rFonts w:ascii="Courier New" w:hAnsi="Courier New" w:cs="Courier New" w:hint="default"/>
      </w:rPr>
    </w:lvl>
    <w:lvl w:ilvl="2" w:tplc="040E0005" w:tentative="1">
      <w:start w:val="1"/>
      <w:numFmt w:val="bullet"/>
      <w:lvlText w:val=""/>
      <w:lvlJc w:val="left"/>
      <w:pPr>
        <w:ind w:left="2002" w:hanging="360"/>
      </w:pPr>
      <w:rPr>
        <w:rFonts w:ascii="Wingdings" w:hAnsi="Wingdings" w:hint="default"/>
      </w:rPr>
    </w:lvl>
    <w:lvl w:ilvl="3" w:tplc="040E0001" w:tentative="1">
      <w:start w:val="1"/>
      <w:numFmt w:val="bullet"/>
      <w:lvlText w:val=""/>
      <w:lvlJc w:val="left"/>
      <w:pPr>
        <w:ind w:left="2722" w:hanging="360"/>
      </w:pPr>
      <w:rPr>
        <w:rFonts w:ascii="Symbol" w:hAnsi="Symbol" w:hint="default"/>
      </w:rPr>
    </w:lvl>
    <w:lvl w:ilvl="4" w:tplc="040E0003" w:tentative="1">
      <w:start w:val="1"/>
      <w:numFmt w:val="bullet"/>
      <w:lvlText w:val="o"/>
      <w:lvlJc w:val="left"/>
      <w:pPr>
        <w:ind w:left="3442" w:hanging="360"/>
      </w:pPr>
      <w:rPr>
        <w:rFonts w:ascii="Courier New" w:hAnsi="Courier New" w:cs="Courier New" w:hint="default"/>
      </w:rPr>
    </w:lvl>
    <w:lvl w:ilvl="5" w:tplc="040E0005" w:tentative="1">
      <w:start w:val="1"/>
      <w:numFmt w:val="bullet"/>
      <w:lvlText w:val=""/>
      <w:lvlJc w:val="left"/>
      <w:pPr>
        <w:ind w:left="4162" w:hanging="360"/>
      </w:pPr>
      <w:rPr>
        <w:rFonts w:ascii="Wingdings" w:hAnsi="Wingdings" w:hint="default"/>
      </w:rPr>
    </w:lvl>
    <w:lvl w:ilvl="6" w:tplc="040E0001" w:tentative="1">
      <w:start w:val="1"/>
      <w:numFmt w:val="bullet"/>
      <w:lvlText w:val=""/>
      <w:lvlJc w:val="left"/>
      <w:pPr>
        <w:ind w:left="4882" w:hanging="360"/>
      </w:pPr>
      <w:rPr>
        <w:rFonts w:ascii="Symbol" w:hAnsi="Symbol" w:hint="default"/>
      </w:rPr>
    </w:lvl>
    <w:lvl w:ilvl="7" w:tplc="040E0003" w:tentative="1">
      <w:start w:val="1"/>
      <w:numFmt w:val="bullet"/>
      <w:lvlText w:val="o"/>
      <w:lvlJc w:val="left"/>
      <w:pPr>
        <w:ind w:left="5602" w:hanging="360"/>
      </w:pPr>
      <w:rPr>
        <w:rFonts w:ascii="Courier New" w:hAnsi="Courier New" w:cs="Courier New" w:hint="default"/>
      </w:rPr>
    </w:lvl>
    <w:lvl w:ilvl="8" w:tplc="040E0005" w:tentative="1">
      <w:start w:val="1"/>
      <w:numFmt w:val="bullet"/>
      <w:lvlText w:val=""/>
      <w:lvlJc w:val="left"/>
      <w:pPr>
        <w:ind w:left="6322" w:hanging="360"/>
      </w:pPr>
      <w:rPr>
        <w:rFonts w:ascii="Wingdings" w:hAnsi="Wingdings" w:hint="default"/>
      </w:rPr>
    </w:lvl>
  </w:abstractNum>
  <w:abstractNum w:abstractNumId="50">
    <w:nsid w:val="716620F1"/>
    <w:multiLevelType w:val="hybridMultilevel"/>
    <w:tmpl w:val="FA5AFBFA"/>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1">
    <w:nsid w:val="73793970"/>
    <w:multiLevelType w:val="hybridMultilevel"/>
    <w:tmpl w:val="BDB07964"/>
    <w:lvl w:ilvl="0" w:tplc="C55E5642">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2">
    <w:nsid w:val="759A7562"/>
    <w:multiLevelType w:val="hybridMultilevel"/>
    <w:tmpl w:val="0A7A5CB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835667A"/>
    <w:multiLevelType w:val="hybridMultilevel"/>
    <w:tmpl w:val="413AE430"/>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78F94B15"/>
    <w:multiLevelType w:val="hybridMultilevel"/>
    <w:tmpl w:val="31A028F8"/>
    <w:lvl w:ilvl="0" w:tplc="040E0017">
      <w:start w:val="1"/>
      <w:numFmt w:val="lowerLetter"/>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55">
    <w:nsid w:val="7F63445C"/>
    <w:multiLevelType w:val="hybridMultilevel"/>
    <w:tmpl w:val="5ED6AA40"/>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2"/>
  </w:num>
  <w:num w:numId="4">
    <w:abstractNumId w:val="45"/>
  </w:num>
  <w:num w:numId="5">
    <w:abstractNumId w:val="16"/>
  </w:num>
  <w:num w:numId="6">
    <w:abstractNumId w:val="32"/>
  </w:num>
  <w:num w:numId="7">
    <w:abstractNumId w:val="15"/>
  </w:num>
  <w:num w:numId="8">
    <w:abstractNumId w:val="21"/>
  </w:num>
  <w:num w:numId="9">
    <w:abstractNumId w:val="54"/>
  </w:num>
  <w:num w:numId="10">
    <w:abstractNumId w:val="0"/>
  </w:num>
  <w:num w:numId="11">
    <w:abstractNumId w:val="29"/>
  </w:num>
  <w:num w:numId="12">
    <w:abstractNumId w:val="31"/>
  </w:num>
  <w:num w:numId="13">
    <w:abstractNumId w:val="37"/>
  </w:num>
  <w:num w:numId="14">
    <w:abstractNumId w:val="25"/>
  </w:num>
  <w:num w:numId="15">
    <w:abstractNumId w:val="49"/>
  </w:num>
  <w:num w:numId="16">
    <w:abstractNumId w:val="7"/>
  </w:num>
  <w:num w:numId="17">
    <w:abstractNumId w:val="26"/>
    <w:lvlOverride w:ilvl="0">
      <w:startOverride w:val="1"/>
    </w:lvlOverride>
    <w:lvlOverride w:ilvl="1"/>
    <w:lvlOverride w:ilvl="2"/>
    <w:lvlOverride w:ilvl="3"/>
    <w:lvlOverride w:ilvl="4"/>
    <w:lvlOverride w:ilvl="5"/>
    <w:lvlOverride w:ilvl="6"/>
    <w:lvlOverride w:ilvl="7"/>
    <w:lvlOverride w:ilvl="8"/>
  </w:num>
  <w:num w:numId="18">
    <w:abstractNumId w:val="33"/>
  </w:num>
  <w:num w:numId="19">
    <w:abstractNumId w:val="4"/>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22"/>
  </w:num>
  <w:num w:numId="23">
    <w:abstractNumId w:val="30"/>
  </w:num>
  <w:num w:numId="24">
    <w:abstractNumId w:val="3"/>
  </w:num>
  <w:num w:numId="25">
    <w:abstractNumId w:val="5"/>
  </w:num>
  <w:num w:numId="26">
    <w:abstractNumId w:val="12"/>
  </w:num>
  <w:num w:numId="27">
    <w:abstractNumId w:val="19"/>
  </w:num>
  <w:num w:numId="28">
    <w:abstractNumId w:val="20"/>
  </w:num>
  <w:num w:numId="29">
    <w:abstractNumId w:val="28"/>
  </w:num>
  <w:num w:numId="30">
    <w:abstractNumId w:val="52"/>
  </w:num>
  <w:num w:numId="31">
    <w:abstractNumId w:val="14"/>
  </w:num>
  <w:num w:numId="32">
    <w:abstractNumId w:val="51"/>
  </w:num>
  <w:num w:numId="33">
    <w:abstractNumId w:val="48"/>
  </w:num>
  <w:num w:numId="34">
    <w:abstractNumId w:val="6"/>
  </w:num>
  <w:num w:numId="35">
    <w:abstractNumId w:val="50"/>
  </w:num>
  <w:num w:numId="36">
    <w:abstractNumId w:val="9"/>
  </w:num>
  <w:num w:numId="37">
    <w:abstractNumId w:val="46"/>
  </w:num>
  <w:num w:numId="38">
    <w:abstractNumId w:val="23"/>
  </w:num>
  <w:num w:numId="39">
    <w:abstractNumId w:val="24"/>
  </w:num>
  <w:num w:numId="40">
    <w:abstractNumId w:val="17"/>
  </w:num>
  <w:num w:numId="41">
    <w:abstractNumId w:val="55"/>
  </w:num>
  <w:num w:numId="42">
    <w:abstractNumId w:val="35"/>
  </w:num>
  <w:num w:numId="43">
    <w:abstractNumId w:val="39"/>
  </w:num>
  <w:num w:numId="44">
    <w:abstractNumId w:val="53"/>
  </w:num>
  <w:num w:numId="45">
    <w:abstractNumId w:val="47"/>
  </w:num>
  <w:num w:numId="46">
    <w:abstractNumId w:val="11"/>
  </w:num>
  <w:num w:numId="47">
    <w:abstractNumId w:val="1"/>
  </w:num>
  <w:num w:numId="48">
    <w:abstractNumId w:val="10"/>
  </w:num>
  <w:num w:numId="49">
    <w:abstractNumId w:val="27"/>
  </w:num>
  <w:num w:numId="50">
    <w:abstractNumId w:val="34"/>
  </w:num>
  <w:num w:numId="51">
    <w:abstractNumId w:val="13"/>
  </w:num>
  <w:num w:numId="52">
    <w:abstractNumId w:val="18"/>
  </w:num>
  <w:num w:numId="53">
    <w:abstractNumId w:val="36"/>
  </w:num>
  <w:num w:numId="54">
    <w:abstractNumId w:val="44"/>
  </w:num>
  <w:num w:numId="55">
    <w:abstractNumId w:val="43"/>
  </w:num>
  <w:num w:numId="56">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83A80"/>
    <w:rsid w:val="000007BA"/>
    <w:rsid w:val="00001F8C"/>
    <w:rsid w:val="0000330E"/>
    <w:rsid w:val="000078A4"/>
    <w:rsid w:val="00010650"/>
    <w:rsid w:val="00010E96"/>
    <w:rsid w:val="000114AC"/>
    <w:rsid w:val="000116CF"/>
    <w:rsid w:val="00011E95"/>
    <w:rsid w:val="00012443"/>
    <w:rsid w:val="00012BE4"/>
    <w:rsid w:val="00012E23"/>
    <w:rsid w:val="00013C6A"/>
    <w:rsid w:val="000146AE"/>
    <w:rsid w:val="00015883"/>
    <w:rsid w:val="00015DC9"/>
    <w:rsid w:val="00017130"/>
    <w:rsid w:val="00017462"/>
    <w:rsid w:val="000219D7"/>
    <w:rsid w:val="00021FB4"/>
    <w:rsid w:val="000224D9"/>
    <w:rsid w:val="000225BF"/>
    <w:rsid w:val="000230BA"/>
    <w:rsid w:val="000231D4"/>
    <w:rsid w:val="0002471D"/>
    <w:rsid w:val="00024F85"/>
    <w:rsid w:val="000257D2"/>
    <w:rsid w:val="000268CC"/>
    <w:rsid w:val="00026CC2"/>
    <w:rsid w:val="000276D1"/>
    <w:rsid w:val="00027A75"/>
    <w:rsid w:val="00030554"/>
    <w:rsid w:val="000314DD"/>
    <w:rsid w:val="000323C7"/>
    <w:rsid w:val="00032A16"/>
    <w:rsid w:val="00032E64"/>
    <w:rsid w:val="00033543"/>
    <w:rsid w:val="00035954"/>
    <w:rsid w:val="00035FA6"/>
    <w:rsid w:val="000368C3"/>
    <w:rsid w:val="0003763D"/>
    <w:rsid w:val="00043EE0"/>
    <w:rsid w:val="000445E5"/>
    <w:rsid w:val="0004473C"/>
    <w:rsid w:val="00044CAF"/>
    <w:rsid w:val="00044D2C"/>
    <w:rsid w:val="00046AD1"/>
    <w:rsid w:val="00047441"/>
    <w:rsid w:val="00053ECC"/>
    <w:rsid w:val="00054109"/>
    <w:rsid w:val="0005603C"/>
    <w:rsid w:val="000561EF"/>
    <w:rsid w:val="00056317"/>
    <w:rsid w:val="000575B4"/>
    <w:rsid w:val="00057A35"/>
    <w:rsid w:val="00057BFC"/>
    <w:rsid w:val="00061269"/>
    <w:rsid w:val="000614B3"/>
    <w:rsid w:val="00062364"/>
    <w:rsid w:val="000624FD"/>
    <w:rsid w:val="00062BAF"/>
    <w:rsid w:val="00063D60"/>
    <w:rsid w:val="00064F6C"/>
    <w:rsid w:val="00065290"/>
    <w:rsid w:val="00066A6E"/>
    <w:rsid w:val="00071BD7"/>
    <w:rsid w:val="000720F8"/>
    <w:rsid w:val="0007247B"/>
    <w:rsid w:val="00072A1E"/>
    <w:rsid w:val="00073155"/>
    <w:rsid w:val="00073D19"/>
    <w:rsid w:val="00074CF9"/>
    <w:rsid w:val="00076183"/>
    <w:rsid w:val="000762C6"/>
    <w:rsid w:val="00076D08"/>
    <w:rsid w:val="00077074"/>
    <w:rsid w:val="000773FB"/>
    <w:rsid w:val="00077CB7"/>
    <w:rsid w:val="00081353"/>
    <w:rsid w:val="000816F8"/>
    <w:rsid w:val="00081F84"/>
    <w:rsid w:val="000825F4"/>
    <w:rsid w:val="00082B68"/>
    <w:rsid w:val="000834B8"/>
    <w:rsid w:val="000847FB"/>
    <w:rsid w:val="00084BD2"/>
    <w:rsid w:val="00085EC3"/>
    <w:rsid w:val="00086D9A"/>
    <w:rsid w:val="0008764B"/>
    <w:rsid w:val="00087A7E"/>
    <w:rsid w:val="0009058C"/>
    <w:rsid w:val="00091827"/>
    <w:rsid w:val="00091F47"/>
    <w:rsid w:val="00092C5B"/>
    <w:rsid w:val="000935F4"/>
    <w:rsid w:val="00094594"/>
    <w:rsid w:val="000948E1"/>
    <w:rsid w:val="00095106"/>
    <w:rsid w:val="00095252"/>
    <w:rsid w:val="000952CA"/>
    <w:rsid w:val="00096622"/>
    <w:rsid w:val="000A0653"/>
    <w:rsid w:val="000A1CB3"/>
    <w:rsid w:val="000A2192"/>
    <w:rsid w:val="000A36EC"/>
    <w:rsid w:val="000A3ECA"/>
    <w:rsid w:val="000A4C34"/>
    <w:rsid w:val="000A63F0"/>
    <w:rsid w:val="000A6465"/>
    <w:rsid w:val="000A716C"/>
    <w:rsid w:val="000A716F"/>
    <w:rsid w:val="000A7710"/>
    <w:rsid w:val="000B06E4"/>
    <w:rsid w:val="000B0C97"/>
    <w:rsid w:val="000B1571"/>
    <w:rsid w:val="000B409C"/>
    <w:rsid w:val="000B4CB4"/>
    <w:rsid w:val="000B7D1E"/>
    <w:rsid w:val="000C0359"/>
    <w:rsid w:val="000C1E03"/>
    <w:rsid w:val="000C1E38"/>
    <w:rsid w:val="000C38F2"/>
    <w:rsid w:val="000C3DEC"/>
    <w:rsid w:val="000C4582"/>
    <w:rsid w:val="000C50DF"/>
    <w:rsid w:val="000C57D0"/>
    <w:rsid w:val="000C5ADD"/>
    <w:rsid w:val="000C7F4C"/>
    <w:rsid w:val="000D0F60"/>
    <w:rsid w:val="000D18C0"/>
    <w:rsid w:val="000D1F54"/>
    <w:rsid w:val="000D2BC0"/>
    <w:rsid w:val="000D31E8"/>
    <w:rsid w:val="000D4147"/>
    <w:rsid w:val="000D42F3"/>
    <w:rsid w:val="000D5425"/>
    <w:rsid w:val="000D638E"/>
    <w:rsid w:val="000E04A7"/>
    <w:rsid w:val="000E1216"/>
    <w:rsid w:val="000E1B69"/>
    <w:rsid w:val="000E4461"/>
    <w:rsid w:val="000E4DC2"/>
    <w:rsid w:val="000E4EDE"/>
    <w:rsid w:val="000E51BA"/>
    <w:rsid w:val="000E7341"/>
    <w:rsid w:val="000E7C1F"/>
    <w:rsid w:val="000F0224"/>
    <w:rsid w:val="000F0ABF"/>
    <w:rsid w:val="000F1493"/>
    <w:rsid w:val="000F1B9A"/>
    <w:rsid w:val="000F221C"/>
    <w:rsid w:val="000F26CF"/>
    <w:rsid w:val="000F2D65"/>
    <w:rsid w:val="000F491C"/>
    <w:rsid w:val="000F4B0E"/>
    <w:rsid w:val="000F4C51"/>
    <w:rsid w:val="000F4CE6"/>
    <w:rsid w:val="000F5515"/>
    <w:rsid w:val="000F5D84"/>
    <w:rsid w:val="000F7393"/>
    <w:rsid w:val="000F7EE1"/>
    <w:rsid w:val="00100021"/>
    <w:rsid w:val="00100B60"/>
    <w:rsid w:val="0010153A"/>
    <w:rsid w:val="00101BD3"/>
    <w:rsid w:val="00102C18"/>
    <w:rsid w:val="001031EE"/>
    <w:rsid w:val="00103C12"/>
    <w:rsid w:val="00103D5B"/>
    <w:rsid w:val="0010414C"/>
    <w:rsid w:val="0010540B"/>
    <w:rsid w:val="0010744D"/>
    <w:rsid w:val="00107C74"/>
    <w:rsid w:val="00110A27"/>
    <w:rsid w:val="00111284"/>
    <w:rsid w:val="00111DE1"/>
    <w:rsid w:val="00112EC2"/>
    <w:rsid w:val="0011338F"/>
    <w:rsid w:val="001135E3"/>
    <w:rsid w:val="00113981"/>
    <w:rsid w:val="00114850"/>
    <w:rsid w:val="0011562B"/>
    <w:rsid w:val="00115761"/>
    <w:rsid w:val="0011726A"/>
    <w:rsid w:val="001202C3"/>
    <w:rsid w:val="0012206E"/>
    <w:rsid w:val="001227DE"/>
    <w:rsid w:val="001235F0"/>
    <w:rsid w:val="0012364A"/>
    <w:rsid w:val="00123685"/>
    <w:rsid w:val="00123723"/>
    <w:rsid w:val="0012404E"/>
    <w:rsid w:val="001257BF"/>
    <w:rsid w:val="00125881"/>
    <w:rsid w:val="0012679E"/>
    <w:rsid w:val="0012686F"/>
    <w:rsid w:val="00126DA9"/>
    <w:rsid w:val="00126F13"/>
    <w:rsid w:val="00130D35"/>
    <w:rsid w:val="00131823"/>
    <w:rsid w:val="001331BB"/>
    <w:rsid w:val="00133553"/>
    <w:rsid w:val="00134128"/>
    <w:rsid w:val="001353DC"/>
    <w:rsid w:val="00136158"/>
    <w:rsid w:val="001365A6"/>
    <w:rsid w:val="00137A05"/>
    <w:rsid w:val="00140DCB"/>
    <w:rsid w:val="00142D6B"/>
    <w:rsid w:val="001435EE"/>
    <w:rsid w:val="0014386B"/>
    <w:rsid w:val="00143D4A"/>
    <w:rsid w:val="0014476E"/>
    <w:rsid w:val="00144FBD"/>
    <w:rsid w:val="00145C9C"/>
    <w:rsid w:val="00146208"/>
    <w:rsid w:val="00146D24"/>
    <w:rsid w:val="00146F52"/>
    <w:rsid w:val="00146FEF"/>
    <w:rsid w:val="00147404"/>
    <w:rsid w:val="00147947"/>
    <w:rsid w:val="00147F25"/>
    <w:rsid w:val="00150A31"/>
    <w:rsid w:val="00151924"/>
    <w:rsid w:val="00151E7F"/>
    <w:rsid w:val="00154AA4"/>
    <w:rsid w:val="00155B8B"/>
    <w:rsid w:val="00155B9A"/>
    <w:rsid w:val="001575AA"/>
    <w:rsid w:val="001575BA"/>
    <w:rsid w:val="001601BC"/>
    <w:rsid w:val="00160554"/>
    <w:rsid w:val="00160BFE"/>
    <w:rsid w:val="00160E0B"/>
    <w:rsid w:val="00160F5C"/>
    <w:rsid w:val="00161278"/>
    <w:rsid w:val="00161853"/>
    <w:rsid w:val="0016221C"/>
    <w:rsid w:val="0016242D"/>
    <w:rsid w:val="00162BA0"/>
    <w:rsid w:val="00162DAE"/>
    <w:rsid w:val="00163FF2"/>
    <w:rsid w:val="001649F6"/>
    <w:rsid w:val="00164D79"/>
    <w:rsid w:val="00166503"/>
    <w:rsid w:val="00167C02"/>
    <w:rsid w:val="00167F08"/>
    <w:rsid w:val="00170252"/>
    <w:rsid w:val="00170BB8"/>
    <w:rsid w:val="001711E9"/>
    <w:rsid w:val="001716FD"/>
    <w:rsid w:val="00172016"/>
    <w:rsid w:val="00173739"/>
    <w:rsid w:val="00173A5E"/>
    <w:rsid w:val="00173B79"/>
    <w:rsid w:val="001759BB"/>
    <w:rsid w:val="001765E2"/>
    <w:rsid w:val="00177006"/>
    <w:rsid w:val="0018068F"/>
    <w:rsid w:val="00180C2B"/>
    <w:rsid w:val="00180D95"/>
    <w:rsid w:val="0018115B"/>
    <w:rsid w:val="001818F8"/>
    <w:rsid w:val="001819AD"/>
    <w:rsid w:val="001820C7"/>
    <w:rsid w:val="0018249D"/>
    <w:rsid w:val="001832E2"/>
    <w:rsid w:val="0018639D"/>
    <w:rsid w:val="001870EB"/>
    <w:rsid w:val="001872C6"/>
    <w:rsid w:val="00191B1F"/>
    <w:rsid w:val="00192154"/>
    <w:rsid w:val="001935C5"/>
    <w:rsid w:val="00195459"/>
    <w:rsid w:val="00195547"/>
    <w:rsid w:val="00195568"/>
    <w:rsid w:val="00195B1C"/>
    <w:rsid w:val="00195D2D"/>
    <w:rsid w:val="00196351"/>
    <w:rsid w:val="00197395"/>
    <w:rsid w:val="001974CC"/>
    <w:rsid w:val="00197C11"/>
    <w:rsid w:val="001A1853"/>
    <w:rsid w:val="001A28DD"/>
    <w:rsid w:val="001A4018"/>
    <w:rsid w:val="001A578A"/>
    <w:rsid w:val="001A6AA7"/>
    <w:rsid w:val="001A6E08"/>
    <w:rsid w:val="001A6E66"/>
    <w:rsid w:val="001A7AAB"/>
    <w:rsid w:val="001A7ADD"/>
    <w:rsid w:val="001B0E03"/>
    <w:rsid w:val="001B0FA5"/>
    <w:rsid w:val="001B10ED"/>
    <w:rsid w:val="001B17F0"/>
    <w:rsid w:val="001B1AC2"/>
    <w:rsid w:val="001B1BD0"/>
    <w:rsid w:val="001B2A0F"/>
    <w:rsid w:val="001B4931"/>
    <w:rsid w:val="001B51C2"/>
    <w:rsid w:val="001B5399"/>
    <w:rsid w:val="001B58D6"/>
    <w:rsid w:val="001B69DF"/>
    <w:rsid w:val="001C046D"/>
    <w:rsid w:val="001C3CFB"/>
    <w:rsid w:val="001C4EFC"/>
    <w:rsid w:val="001C4F09"/>
    <w:rsid w:val="001C5CB7"/>
    <w:rsid w:val="001C5F45"/>
    <w:rsid w:val="001D0125"/>
    <w:rsid w:val="001D04C7"/>
    <w:rsid w:val="001D4779"/>
    <w:rsid w:val="001D4DCD"/>
    <w:rsid w:val="001D641E"/>
    <w:rsid w:val="001D6BBE"/>
    <w:rsid w:val="001D7A0B"/>
    <w:rsid w:val="001E026B"/>
    <w:rsid w:val="001E0504"/>
    <w:rsid w:val="001E23FB"/>
    <w:rsid w:val="001E2E7E"/>
    <w:rsid w:val="001E3155"/>
    <w:rsid w:val="001E3197"/>
    <w:rsid w:val="001E32E4"/>
    <w:rsid w:val="001E4671"/>
    <w:rsid w:val="001E4F66"/>
    <w:rsid w:val="001E6020"/>
    <w:rsid w:val="001E66B0"/>
    <w:rsid w:val="001E7C6C"/>
    <w:rsid w:val="001F0DC3"/>
    <w:rsid w:val="001F2E58"/>
    <w:rsid w:val="001F345B"/>
    <w:rsid w:val="001F44D7"/>
    <w:rsid w:val="001F44E3"/>
    <w:rsid w:val="001F4763"/>
    <w:rsid w:val="001F48F2"/>
    <w:rsid w:val="001F6CD4"/>
    <w:rsid w:val="001F6CE1"/>
    <w:rsid w:val="001F6E80"/>
    <w:rsid w:val="00201EC7"/>
    <w:rsid w:val="00202B87"/>
    <w:rsid w:val="00202F67"/>
    <w:rsid w:val="00202F81"/>
    <w:rsid w:val="002035DE"/>
    <w:rsid w:val="0020427A"/>
    <w:rsid w:val="0020711B"/>
    <w:rsid w:val="0021004A"/>
    <w:rsid w:val="002102DA"/>
    <w:rsid w:val="002103A6"/>
    <w:rsid w:val="00212FCE"/>
    <w:rsid w:val="00213AE5"/>
    <w:rsid w:val="00213F1D"/>
    <w:rsid w:val="00214246"/>
    <w:rsid w:val="0021670D"/>
    <w:rsid w:val="00216FB4"/>
    <w:rsid w:val="002177FC"/>
    <w:rsid w:val="00217F15"/>
    <w:rsid w:val="00220076"/>
    <w:rsid w:val="00220608"/>
    <w:rsid w:val="00220B05"/>
    <w:rsid w:val="00220D53"/>
    <w:rsid w:val="00221000"/>
    <w:rsid w:val="002222BD"/>
    <w:rsid w:val="002236FE"/>
    <w:rsid w:val="002242F7"/>
    <w:rsid w:val="00225335"/>
    <w:rsid w:val="002313BF"/>
    <w:rsid w:val="00231A1E"/>
    <w:rsid w:val="00233608"/>
    <w:rsid w:val="00234FE1"/>
    <w:rsid w:val="00235F68"/>
    <w:rsid w:val="002369CA"/>
    <w:rsid w:val="00236B11"/>
    <w:rsid w:val="0023752C"/>
    <w:rsid w:val="0024085C"/>
    <w:rsid w:val="0024181A"/>
    <w:rsid w:val="00241F61"/>
    <w:rsid w:val="0024324D"/>
    <w:rsid w:val="002433E2"/>
    <w:rsid w:val="00243516"/>
    <w:rsid w:val="00244B6E"/>
    <w:rsid w:val="00245F0E"/>
    <w:rsid w:val="00246D26"/>
    <w:rsid w:val="00247E16"/>
    <w:rsid w:val="0025040F"/>
    <w:rsid w:val="002512B9"/>
    <w:rsid w:val="00252038"/>
    <w:rsid w:val="00253552"/>
    <w:rsid w:val="0025391F"/>
    <w:rsid w:val="00254344"/>
    <w:rsid w:val="00255075"/>
    <w:rsid w:val="002552B2"/>
    <w:rsid w:val="00255C75"/>
    <w:rsid w:val="002568F0"/>
    <w:rsid w:val="002614C3"/>
    <w:rsid w:val="00262A1D"/>
    <w:rsid w:val="00262C9C"/>
    <w:rsid w:val="00262F00"/>
    <w:rsid w:val="00263424"/>
    <w:rsid w:val="00263852"/>
    <w:rsid w:val="00266700"/>
    <w:rsid w:val="00266E0D"/>
    <w:rsid w:val="00267227"/>
    <w:rsid w:val="00267FBC"/>
    <w:rsid w:val="0027059B"/>
    <w:rsid w:val="00270CEF"/>
    <w:rsid w:val="00271737"/>
    <w:rsid w:val="00272963"/>
    <w:rsid w:val="002729CD"/>
    <w:rsid w:val="00272E3C"/>
    <w:rsid w:val="002754A5"/>
    <w:rsid w:val="00275538"/>
    <w:rsid w:val="00276408"/>
    <w:rsid w:val="0028155E"/>
    <w:rsid w:val="00282AD6"/>
    <w:rsid w:val="00282E8C"/>
    <w:rsid w:val="00283E48"/>
    <w:rsid w:val="00283F74"/>
    <w:rsid w:val="00284F2C"/>
    <w:rsid w:val="002851A8"/>
    <w:rsid w:val="0028711E"/>
    <w:rsid w:val="0028779D"/>
    <w:rsid w:val="0028781C"/>
    <w:rsid w:val="00287CC0"/>
    <w:rsid w:val="0029052F"/>
    <w:rsid w:val="002905AA"/>
    <w:rsid w:val="002920BF"/>
    <w:rsid w:val="0029610F"/>
    <w:rsid w:val="00296593"/>
    <w:rsid w:val="00296F69"/>
    <w:rsid w:val="00297002"/>
    <w:rsid w:val="002975B5"/>
    <w:rsid w:val="002976ED"/>
    <w:rsid w:val="002A01A2"/>
    <w:rsid w:val="002A04AA"/>
    <w:rsid w:val="002A0D57"/>
    <w:rsid w:val="002A2B65"/>
    <w:rsid w:val="002A35A5"/>
    <w:rsid w:val="002A421F"/>
    <w:rsid w:val="002A7927"/>
    <w:rsid w:val="002B0645"/>
    <w:rsid w:val="002B0920"/>
    <w:rsid w:val="002B0F2F"/>
    <w:rsid w:val="002B13A5"/>
    <w:rsid w:val="002B1533"/>
    <w:rsid w:val="002B2169"/>
    <w:rsid w:val="002B35A2"/>
    <w:rsid w:val="002B3C9C"/>
    <w:rsid w:val="002B4176"/>
    <w:rsid w:val="002B6572"/>
    <w:rsid w:val="002B6AEB"/>
    <w:rsid w:val="002B7D35"/>
    <w:rsid w:val="002C131E"/>
    <w:rsid w:val="002C13BE"/>
    <w:rsid w:val="002C482C"/>
    <w:rsid w:val="002C48B9"/>
    <w:rsid w:val="002C4AC0"/>
    <w:rsid w:val="002C4C19"/>
    <w:rsid w:val="002C5035"/>
    <w:rsid w:val="002C5713"/>
    <w:rsid w:val="002C5BD5"/>
    <w:rsid w:val="002D0034"/>
    <w:rsid w:val="002D35C1"/>
    <w:rsid w:val="002D5837"/>
    <w:rsid w:val="002D58C3"/>
    <w:rsid w:val="002D5982"/>
    <w:rsid w:val="002D6DE5"/>
    <w:rsid w:val="002E0E14"/>
    <w:rsid w:val="002E1A11"/>
    <w:rsid w:val="002E2B13"/>
    <w:rsid w:val="002E3097"/>
    <w:rsid w:val="002E3DEB"/>
    <w:rsid w:val="002E44CD"/>
    <w:rsid w:val="002E5FD7"/>
    <w:rsid w:val="002E657A"/>
    <w:rsid w:val="002E69E4"/>
    <w:rsid w:val="002E7EC2"/>
    <w:rsid w:val="002F0F5F"/>
    <w:rsid w:val="002F225B"/>
    <w:rsid w:val="002F27BC"/>
    <w:rsid w:val="002F29C9"/>
    <w:rsid w:val="002F2C5C"/>
    <w:rsid w:val="002F3CC1"/>
    <w:rsid w:val="002F429C"/>
    <w:rsid w:val="002F6580"/>
    <w:rsid w:val="00300EB3"/>
    <w:rsid w:val="00302504"/>
    <w:rsid w:val="00303E8A"/>
    <w:rsid w:val="0030410C"/>
    <w:rsid w:val="00304552"/>
    <w:rsid w:val="00306865"/>
    <w:rsid w:val="00306938"/>
    <w:rsid w:val="00307CDF"/>
    <w:rsid w:val="003102C0"/>
    <w:rsid w:val="003107E1"/>
    <w:rsid w:val="00313158"/>
    <w:rsid w:val="0031374A"/>
    <w:rsid w:val="003140CA"/>
    <w:rsid w:val="003145F8"/>
    <w:rsid w:val="00315248"/>
    <w:rsid w:val="00315F55"/>
    <w:rsid w:val="00316D86"/>
    <w:rsid w:val="00317B05"/>
    <w:rsid w:val="00317DA4"/>
    <w:rsid w:val="00317F28"/>
    <w:rsid w:val="00320F77"/>
    <w:rsid w:val="00321429"/>
    <w:rsid w:val="00321D7F"/>
    <w:rsid w:val="00322A0C"/>
    <w:rsid w:val="003236CE"/>
    <w:rsid w:val="00323897"/>
    <w:rsid w:val="003260E4"/>
    <w:rsid w:val="003265DB"/>
    <w:rsid w:val="00327547"/>
    <w:rsid w:val="00330225"/>
    <w:rsid w:val="00330603"/>
    <w:rsid w:val="0033137B"/>
    <w:rsid w:val="00334D27"/>
    <w:rsid w:val="00336DB2"/>
    <w:rsid w:val="00336ED4"/>
    <w:rsid w:val="00340038"/>
    <w:rsid w:val="003407F6"/>
    <w:rsid w:val="0034125E"/>
    <w:rsid w:val="0034147E"/>
    <w:rsid w:val="003423BC"/>
    <w:rsid w:val="003446FB"/>
    <w:rsid w:val="00344B58"/>
    <w:rsid w:val="00344C8C"/>
    <w:rsid w:val="00347B5A"/>
    <w:rsid w:val="00347C13"/>
    <w:rsid w:val="00350162"/>
    <w:rsid w:val="00350F0D"/>
    <w:rsid w:val="00351EE0"/>
    <w:rsid w:val="0035291C"/>
    <w:rsid w:val="00354148"/>
    <w:rsid w:val="003551A3"/>
    <w:rsid w:val="00355492"/>
    <w:rsid w:val="00355611"/>
    <w:rsid w:val="003568B8"/>
    <w:rsid w:val="00357C16"/>
    <w:rsid w:val="00357EAC"/>
    <w:rsid w:val="00360238"/>
    <w:rsid w:val="00361007"/>
    <w:rsid w:val="00361401"/>
    <w:rsid w:val="003615CB"/>
    <w:rsid w:val="00362778"/>
    <w:rsid w:val="0036283F"/>
    <w:rsid w:val="003631EC"/>
    <w:rsid w:val="00363D71"/>
    <w:rsid w:val="003675EB"/>
    <w:rsid w:val="0037143F"/>
    <w:rsid w:val="00371665"/>
    <w:rsid w:val="0037272E"/>
    <w:rsid w:val="00372BD8"/>
    <w:rsid w:val="003731D1"/>
    <w:rsid w:val="00373973"/>
    <w:rsid w:val="00375B23"/>
    <w:rsid w:val="00375D44"/>
    <w:rsid w:val="003765BE"/>
    <w:rsid w:val="00377426"/>
    <w:rsid w:val="0038013D"/>
    <w:rsid w:val="0038101A"/>
    <w:rsid w:val="0038192C"/>
    <w:rsid w:val="00381C05"/>
    <w:rsid w:val="003829D1"/>
    <w:rsid w:val="00383C4F"/>
    <w:rsid w:val="00383F4D"/>
    <w:rsid w:val="003844FF"/>
    <w:rsid w:val="00384557"/>
    <w:rsid w:val="003845B2"/>
    <w:rsid w:val="00384743"/>
    <w:rsid w:val="00384DB6"/>
    <w:rsid w:val="003862A0"/>
    <w:rsid w:val="00386646"/>
    <w:rsid w:val="0038706E"/>
    <w:rsid w:val="003876F2"/>
    <w:rsid w:val="003917A9"/>
    <w:rsid w:val="003932A3"/>
    <w:rsid w:val="00394264"/>
    <w:rsid w:val="00394C30"/>
    <w:rsid w:val="00394E85"/>
    <w:rsid w:val="003951B6"/>
    <w:rsid w:val="0039602B"/>
    <w:rsid w:val="003965A5"/>
    <w:rsid w:val="00396CDB"/>
    <w:rsid w:val="0039747B"/>
    <w:rsid w:val="003978C2"/>
    <w:rsid w:val="003A02FB"/>
    <w:rsid w:val="003A1FCA"/>
    <w:rsid w:val="003A25B9"/>
    <w:rsid w:val="003A31F9"/>
    <w:rsid w:val="003A3576"/>
    <w:rsid w:val="003A3DB1"/>
    <w:rsid w:val="003A4550"/>
    <w:rsid w:val="003A4EB6"/>
    <w:rsid w:val="003A6920"/>
    <w:rsid w:val="003B0752"/>
    <w:rsid w:val="003B2239"/>
    <w:rsid w:val="003B2992"/>
    <w:rsid w:val="003B3BC6"/>
    <w:rsid w:val="003B58B3"/>
    <w:rsid w:val="003B5C2D"/>
    <w:rsid w:val="003B7182"/>
    <w:rsid w:val="003B76FE"/>
    <w:rsid w:val="003C0293"/>
    <w:rsid w:val="003C1F9B"/>
    <w:rsid w:val="003C28E5"/>
    <w:rsid w:val="003C3803"/>
    <w:rsid w:val="003C3861"/>
    <w:rsid w:val="003C42A1"/>
    <w:rsid w:val="003C4A4F"/>
    <w:rsid w:val="003C503F"/>
    <w:rsid w:val="003C50E1"/>
    <w:rsid w:val="003C5669"/>
    <w:rsid w:val="003C6035"/>
    <w:rsid w:val="003C6E5D"/>
    <w:rsid w:val="003C780C"/>
    <w:rsid w:val="003C79C3"/>
    <w:rsid w:val="003D1415"/>
    <w:rsid w:val="003D157E"/>
    <w:rsid w:val="003D1B74"/>
    <w:rsid w:val="003D2399"/>
    <w:rsid w:val="003D2751"/>
    <w:rsid w:val="003D2C49"/>
    <w:rsid w:val="003D2F5E"/>
    <w:rsid w:val="003D2F9D"/>
    <w:rsid w:val="003D3A65"/>
    <w:rsid w:val="003D468B"/>
    <w:rsid w:val="003D4736"/>
    <w:rsid w:val="003D5152"/>
    <w:rsid w:val="003D563A"/>
    <w:rsid w:val="003D5DF0"/>
    <w:rsid w:val="003D6591"/>
    <w:rsid w:val="003D69E5"/>
    <w:rsid w:val="003D77B8"/>
    <w:rsid w:val="003E0A87"/>
    <w:rsid w:val="003E1FFA"/>
    <w:rsid w:val="003E2A0B"/>
    <w:rsid w:val="003E4F10"/>
    <w:rsid w:val="003E56A6"/>
    <w:rsid w:val="003E6666"/>
    <w:rsid w:val="003E75C1"/>
    <w:rsid w:val="003E78E2"/>
    <w:rsid w:val="003E7FCE"/>
    <w:rsid w:val="003F1330"/>
    <w:rsid w:val="003F1BD0"/>
    <w:rsid w:val="003F1CF0"/>
    <w:rsid w:val="003F31AF"/>
    <w:rsid w:val="003F3482"/>
    <w:rsid w:val="003F3F02"/>
    <w:rsid w:val="003F51CF"/>
    <w:rsid w:val="003F5887"/>
    <w:rsid w:val="003F5F3E"/>
    <w:rsid w:val="003F604D"/>
    <w:rsid w:val="003F624C"/>
    <w:rsid w:val="003F660D"/>
    <w:rsid w:val="003F68C4"/>
    <w:rsid w:val="0040061F"/>
    <w:rsid w:val="00400FBC"/>
    <w:rsid w:val="00401632"/>
    <w:rsid w:val="0040198D"/>
    <w:rsid w:val="00402027"/>
    <w:rsid w:val="004025B9"/>
    <w:rsid w:val="00402B41"/>
    <w:rsid w:val="00402EDC"/>
    <w:rsid w:val="00404F47"/>
    <w:rsid w:val="00406703"/>
    <w:rsid w:val="00406FB9"/>
    <w:rsid w:val="00407424"/>
    <w:rsid w:val="00410883"/>
    <w:rsid w:val="00411477"/>
    <w:rsid w:val="00411EDE"/>
    <w:rsid w:val="004122D1"/>
    <w:rsid w:val="0041366A"/>
    <w:rsid w:val="004153B1"/>
    <w:rsid w:val="00415457"/>
    <w:rsid w:val="00416F92"/>
    <w:rsid w:val="004202C0"/>
    <w:rsid w:val="004206D0"/>
    <w:rsid w:val="00421335"/>
    <w:rsid w:val="00422146"/>
    <w:rsid w:val="004223FE"/>
    <w:rsid w:val="004229F7"/>
    <w:rsid w:val="004232A6"/>
    <w:rsid w:val="00423647"/>
    <w:rsid w:val="00423A44"/>
    <w:rsid w:val="00423AA8"/>
    <w:rsid w:val="00424F8C"/>
    <w:rsid w:val="00425272"/>
    <w:rsid w:val="00425A85"/>
    <w:rsid w:val="00426030"/>
    <w:rsid w:val="00426BD3"/>
    <w:rsid w:val="00426F49"/>
    <w:rsid w:val="00427120"/>
    <w:rsid w:val="004273B4"/>
    <w:rsid w:val="004309CF"/>
    <w:rsid w:val="00431659"/>
    <w:rsid w:val="0043235F"/>
    <w:rsid w:val="004335B3"/>
    <w:rsid w:val="00435808"/>
    <w:rsid w:val="00435D61"/>
    <w:rsid w:val="0043675B"/>
    <w:rsid w:val="0043763C"/>
    <w:rsid w:val="004401ED"/>
    <w:rsid w:val="0044393A"/>
    <w:rsid w:val="00444704"/>
    <w:rsid w:val="00444CCB"/>
    <w:rsid w:val="00444E14"/>
    <w:rsid w:val="004468E5"/>
    <w:rsid w:val="004469BB"/>
    <w:rsid w:val="00447E82"/>
    <w:rsid w:val="0045064F"/>
    <w:rsid w:val="00451A24"/>
    <w:rsid w:val="0045236D"/>
    <w:rsid w:val="004523C7"/>
    <w:rsid w:val="0045418E"/>
    <w:rsid w:val="00454270"/>
    <w:rsid w:val="00454295"/>
    <w:rsid w:val="00454528"/>
    <w:rsid w:val="00454D0A"/>
    <w:rsid w:val="00457A44"/>
    <w:rsid w:val="00457DDF"/>
    <w:rsid w:val="004609F9"/>
    <w:rsid w:val="00461875"/>
    <w:rsid w:val="0046273A"/>
    <w:rsid w:val="0046353C"/>
    <w:rsid w:val="00463A75"/>
    <w:rsid w:val="00463C8D"/>
    <w:rsid w:val="00464901"/>
    <w:rsid w:val="00464D72"/>
    <w:rsid w:val="00466ED4"/>
    <w:rsid w:val="0046787D"/>
    <w:rsid w:val="00467E8D"/>
    <w:rsid w:val="004722F6"/>
    <w:rsid w:val="0047310B"/>
    <w:rsid w:val="004731A9"/>
    <w:rsid w:val="0047381A"/>
    <w:rsid w:val="004738C2"/>
    <w:rsid w:val="00473C17"/>
    <w:rsid w:val="0047464B"/>
    <w:rsid w:val="00475290"/>
    <w:rsid w:val="00475C48"/>
    <w:rsid w:val="00476BB2"/>
    <w:rsid w:val="00477293"/>
    <w:rsid w:val="004772FC"/>
    <w:rsid w:val="00477644"/>
    <w:rsid w:val="00477D28"/>
    <w:rsid w:val="0048020B"/>
    <w:rsid w:val="00480A4B"/>
    <w:rsid w:val="00481026"/>
    <w:rsid w:val="00481536"/>
    <w:rsid w:val="00481621"/>
    <w:rsid w:val="00482B9A"/>
    <w:rsid w:val="004835B8"/>
    <w:rsid w:val="00483B23"/>
    <w:rsid w:val="00484188"/>
    <w:rsid w:val="00485117"/>
    <w:rsid w:val="004856C3"/>
    <w:rsid w:val="00485ADB"/>
    <w:rsid w:val="00490486"/>
    <w:rsid w:val="00490E58"/>
    <w:rsid w:val="00491484"/>
    <w:rsid w:val="00491663"/>
    <w:rsid w:val="00492369"/>
    <w:rsid w:val="004932A2"/>
    <w:rsid w:val="00493D2D"/>
    <w:rsid w:val="0049457B"/>
    <w:rsid w:val="00494AD7"/>
    <w:rsid w:val="00494CDF"/>
    <w:rsid w:val="004954F8"/>
    <w:rsid w:val="0049642C"/>
    <w:rsid w:val="00496646"/>
    <w:rsid w:val="00497590"/>
    <w:rsid w:val="004976F7"/>
    <w:rsid w:val="004A00A9"/>
    <w:rsid w:val="004A1671"/>
    <w:rsid w:val="004A1CFA"/>
    <w:rsid w:val="004A24FF"/>
    <w:rsid w:val="004A251E"/>
    <w:rsid w:val="004A3449"/>
    <w:rsid w:val="004A3BCB"/>
    <w:rsid w:val="004A3C08"/>
    <w:rsid w:val="004A4DCA"/>
    <w:rsid w:val="004A4DF0"/>
    <w:rsid w:val="004A6432"/>
    <w:rsid w:val="004A7139"/>
    <w:rsid w:val="004A7CC8"/>
    <w:rsid w:val="004B1681"/>
    <w:rsid w:val="004B1976"/>
    <w:rsid w:val="004B1B57"/>
    <w:rsid w:val="004B1CC5"/>
    <w:rsid w:val="004B20E1"/>
    <w:rsid w:val="004B2C13"/>
    <w:rsid w:val="004B34E0"/>
    <w:rsid w:val="004B72B7"/>
    <w:rsid w:val="004B734C"/>
    <w:rsid w:val="004B7895"/>
    <w:rsid w:val="004C1227"/>
    <w:rsid w:val="004C2337"/>
    <w:rsid w:val="004C2686"/>
    <w:rsid w:val="004C2B2D"/>
    <w:rsid w:val="004C2E4A"/>
    <w:rsid w:val="004C3F4F"/>
    <w:rsid w:val="004C5F5E"/>
    <w:rsid w:val="004C6F2F"/>
    <w:rsid w:val="004D0B52"/>
    <w:rsid w:val="004D24EB"/>
    <w:rsid w:val="004D2E9F"/>
    <w:rsid w:val="004D44AE"/>
    <w:rsid w:val="004D4F0D"/>
    <w:rsid w:val="004D6EA9"/>
    <w:rsid w:val="004E0325"/>
    <w:rsid w:val="004E1352"/>
    <w:rsid w:val="004E1AAC"/>
    <w:rsid w:val="004E1F77"/>
    <w:rsid w:val="004E31E1"/>
    <w:rsid w:val="004E368B"/>
    <w:rsid w:val="004E36A8"/>
    <w:rsid w:val="004E4075"/>
    <w:rsid w:val="004E4212"/>
    <w:rsid w:val="004E45FE"/>
    <w:rsid w:val="004E55E0"/>
    <w:rsid w:val="004E5D49"/>
    <w:rsid w:val="004E6F32"/>
    <w:rsid w:val="004F051A"/>
    <w:rsid w:val="004F136D"/>
    <w:rsid w:val="004F1ED5"/>
    <w:rsid w:val="004F3046"/>
    <w:rsid w:val="004F34A3"/>
    <w:rsid w:val="004F465C"/>
    <w:rsid w:val="004F4DE4"/>
    <w:rsid w:val="004F533C"/>
    <w:rsid w:val="004F5E4D"/>
    <w:rsid w:val="004F756D"/>
    <w:rsid w:val="00500037"/>
    <w:rsid w:val="00500175"/>
    <w:rsid w:val="005004C1"/>
    <w:rsid w:val="0050082D"/>
    <w:rsid w:val="00500BDF"/>
    <w:rsid w:val="00502149"/>
    <w:rsid w:val="00502EBA"/>
    <w:rsid w:val="005033A6"/>
    <w:rsid w:val="005035FE"/>
    <w:rsid w:val="00503831"/>
    <w:rsid w:val="00505141"/>
    <w:rsid w:val="0050699B"/>
    <w:rsid w:val="00506C64"/>
    <w:rsid w:val="005072AE"/>
    <w:rsid w:val="00507A5D"/>
    <w:rsid w:val="00507F61"/>
    <w:rsid w:val="00511389"/>
    <w:rsid w:val="0051246A"/>
    <w:rsid w:val="00514623"/>
    <w:rsid w:val="005148BC"/>
    <w:rsid w:val="00515DC4"/>
    <w:rsid w:val="00515EFF"/>
    <w:rsid w:val="005168CB"/>
    <w:rsid w:val="00517206"/>
    <w:rsid w:val="0051769D"/>
    <w:rsid w:val="0052021C"/>
    <w:rsid w:val="005202C6"/>
    <w:rsid w:val="00522832"/>
    <w:rsid w:val="00522A0F"/>
    <w:rsid w:val="00522D41"/>
    <w:rsid w:val="00522F30"/>
    <w:rsid w:val="0052341F"/>
    <w:rsid w:val="00523854"/>
    <w:rsid w:val="00523D4D"/>
    <w:rsid w:val="00524104"/>
    <w:rsid w:val="0052469B"/>
    <w:rsid w:val="00524C7A"/>
    <w:rsid w:val="005321EE"/>
    <w:rsid w:val="005329C9"/>
    <w:rsid w:val="00532BED"/>
    <w:rsid w:val="00533B4A"/>
    <w:rsid w:val="00534217"/>
    <w:rsid w:val="00534BF2"/>
    <w:rsid w:val="005352D6"/>
    <w:rsid w:val="005355A8"/>
    <w:rsid w:val="005363AF"/>
    <w:rsid w:val="005368A0"/>
    <w:rsid w:val="00536FB2"/>
    <w:rsid w:val="00540FEC"/>
    <w:rsid w:val="005434D6"/>
    <w:rsid w:val="0054668F"/>
    <w:rsid w:val="005509D3"/>
    <w:rsid w:val="00550DB0"/>
    <w:rsid w:val="00551D56"/>
    <w:rsid w:val="00551DA8"/>
    <w:rsid w:val="00552762"/>
    <w:rsid w:val="00552D20"/>
    <w:rsid w:val="00554541"/>
    <w:rsid w:val="0055462C"/>
    <w:rsid w:val="005557E2"/>
    <w:rsid w:val="00556AE7"/>
    <w:rsid w:val="00557149"/>
    <w:rsid w:val="00562C3C"/>
    <w:rsid w:val="0056331F"/>
    <w:rsid w:val="00563A86"/>
    <w:rsid w:val="00563F24"/>
    <w:rsid w:val="00564B67"/>
    <w:rsid w:val="0056644C"/>
    <w:rsid w:val="00566A07"/>
    <w:rsid w:val="00566B3C"/>
    <w:rsid w:val="00567357"/>
    <w:rsid w:val="00567CB2"/>
    <w:rsid w:val="00567DA6"/>
    <w:rsid w:val="00567F17"/>
    <w:rsid w:val="00570AD2"/>
    <w:rsid w:val="00570FAB"/>
    <w:rsid w:val="00572DBD"/>
    <w:rsid w:val="005740E8"/>
    <w:rsid w:val="00574495"/>
    <w:rsid w:val="005754FB"/>
    <w:rsid w:val="0057609A"/>
    <w:rsid w:val="00576B22"/>
    <w:rsid w:val="0057733C"/>
    <w:rsid w:val="00580279"/>
    <w:rsid w:val="00580C72"/>
    <w:rsid w:val="00580E04"/>
    <w:rsid w:val="005813B2"/>
    <w:rsid w:val="00583A80"/>
    <w:rsid w:val="0058404E"/>
    <w:rsid w:val="005858E5"/>
    <w:rsid w:val="0058688E"/>
    <w:rsid w:val="00586959"/>
    <w:rsid w:val="00586BBE"/>
    <w:rsid w:val="005874D8"/>
    <w:rsid w:val="00587870"/>
    <w:rsid w:val="00590695"/>
    <w:rsid w:val="00591D50"/>
    <w:rsid w:val="005945CD"/>
    <w:rsid w:val="00596ED1"/>
    <w:rsid w:val="005A1ADC"/>
    <w:rsid w:val="005A27E1"/>
    <w:rsid w:val="005A31F5"/>
    <w:rsid w:val="005A3EFF"/>
    <w:rsid w:val="005A5B82"/>
    <w:rsid w:val="005A77F8"/>
    <w:rsid w:val="005B08F1"/>
    <w:rsid w:val="005B1315"/>
    <w:rsid w:val="005B1888"/>
    <w:rsid w:val="005B1B3C"/>
    <w:rsid w:val="005B3045"/>
    <w:rsid w:val="005B3D17"/>
    <w:rsid w:val="005B44F1"/>
    <w:rsid w:val="005B4DE8"/>
    <w:rsid w:val="005B52B2"/>
    <w:rsid w:val="005B633B"/>
    <w:rsid w:val="005C2741"/>
    <w:rsid w:val="005C51FB"/>
    <w:rsid w:val="005C5301"/>
    <w:rsid w:val="005C6876"/>
    <w:rsid w:val="005C68E6"/>
    <w:rsid w:val="005C6B20"/>
    <w:rsid w:val="005C79DA"/>
    <w:rsid w:val="005D097A"/>
    <w:rsid w:val="005D1EC7"/>
    <w:rsid w:val="005D1EC8"/>
    <w:rsid w:val="005D22AA"/>
    <w:rsid w:val="005D3B78"/>
    <w:rsid w:val="005D3CFC"/>
    <w:rsid w:val="005D4BAE"/>
    <w:rsid w:val="005D5258"/>
    <w:rsid w:val="005D55A5"/>
    <w:rsid w:val="005D59DB"/>
    <w:rsid w:val="005D5A6F"/>
    <w:rsid w:val="005D6904"/>
    <w:rsid w:val="005D7D63"/>
    <w:rsid w:val="005D7DFF"/>
    <w:rsid w:val="005E08EA"/>
    <w:rsid w:val="005E2AB6"/>
    <w:rsid w:val="005E438B"/>
    <w:rsid w:val="005E4FEB"/>
    <w:rsid w:val="005E6868"/>
    <w:rsid w:val="005E7288"/>
    <w:rsid w:val="005F0137"/>
    <w:rsid w:val="005F0933"/>
    <w:rsid w:val="005F0ADF"/>
    <w:rsid w:val="005F1CC4"/>
    <w:rsid w:val="005F4733"/>
    <w:rsid w:val="005F574D"/>
    <w:rsid w:val="005F5B41"/>
    <w:rsid w:val="005F5E94"/>
    <w:rsid w:val="005F662D"/>
    <w:rsid w:val="005F6C5B"/>
    <w:rsid w:val="005F7225"/>
    <w:rsid w:val="00602007"/>
    <w:rsid w:val="006021D5"/>
    <w:rsid w:val="006035A7"/>
    <w:rsid w:val="006037E6"/>
    <w:rsid w:val="00604909"/>
    <w:rsid w:val="00604EE2"/>
    <w:rsid w:val="00605702"/>
    <w:rsid w:val="006061D6"/>
    <w:rsid w:val="00606513"/>
    <w:rsid w:val="00606E42"/>
    <w:rsid w:val="00606FD2"/>
    <w:rsid w:val="006071BD"/>
    <w:rsid w:val="00607CE6"/>
    <w:rsid w:val="006101B1"/>
    <w:rsid w:val="00610457"/>
    <w:rsid w:val="00614AB3"/>
    <w:rsid w:val="00616B23"/>
    <w:rsid w:val="00617D04"/>
    <w:rsid w:val="00620B64"/>
    <w:rsid w:val="00620C02"/>
    <w:rsid w:val="00620EC4"/>
    <w:rsid w:val="00620FD9"/>
    <w:rsid w:val="006214C3"/>
    <w:rsid w:val="00621719"/>
    <w:rsid w:val="00621C44"/>
    <w:rsid w:val="0062331D"/>
    <w:rsid w:val="00623ADD"/>
    <w:rsid w:val="00624224"/>
    <w:rsid w:val="006249D7"/>
    <w:rsid w:val="00625B26"/>
    <w:rsid w:val="006261F4"/>
    <w:rsid w:val="0062674E"/>
    <w:rsid w:val="0062787B"/>
    <w:rsid w:val="006279AE"/>
    <w:rsid w:val="00627A13"/>
    <w:rsid w:val="006314F6"/>
    <w:rsid w:val="00631D5F"/>
    <w:rsid w:val="00631E75"/>
    <w:rsid w:val="006327E9"/>
    <w:rsid w:val="00632C39"/>
    <w:rsid w:val="0063404A"/>
    <w:rsid w:val="00636D3D"/>
    <w:rsid w:val="006373E7"/>
    <w:rsid w:val="006417D9"/>
    <w:rsid w:val="00641828"/>
    <w:rsid w:val="00641901"/>
    <w:rsid w:val="00642021"/>
    <w:rsid w:val="0064283E"/>
    <w:rsid w:val="00642C72"/>
    <w:rsid w:val="0064305F"/>
    <w:rsid w:val="00644E2A"/>
    <w:rsid w:val="006450E3"/>
    <w:rsid w:val="00645733"/>
    <w:rsid w:val="0064577E"/>
    <w:rsid w:val="00646108"/>
    <w:rsid w:val="00650F5F"/>
    <w:rsid w:val="00654301"/>
    <w:rsid w:val="0065495C"/>
    <w:rsid w:val="00657F36"/>
    <w:rsid w:val="00660AB7"/>
    <w:rsid w:val="00660CF4"/>
    <w:rsid w:val="006613D9"/>
    <w:rsid w:val="00661FC0"/>
    <w:rsid w:val="00662885"/>
    <w:rsid w:val="00662C3D"/>
    <w:rsid w:val="00663025"/>
    <w:rsid w:val="00663987"/>
    <w:rsid w:val="0066589D"/>
    <w:rsid w:val="00666B62"/>
    <w:rsid w:val="00666D04"/>
    <w:rsid w:val="00670083"/>
    <w:rsid w:val="006708CC"/>
    <w:rsid w:val="0067129C"/>
    <w:rsid w:val="00671807"/>
    <w:rsid w:val="006720AD"/>
    <w:rsid w:val="00673125"/>
    <w:rsid w:val="00673205"/>
    <w:rsid w:val="00674D33"/>
    <w:rsid w:val="006753EC"/>
    <w:rsid w:val="006757D0"/>
    <w:rsid w:val="00676392"/>
    <w:rsid w:val="00676712"/>
    <w:rsid w:val="0067769D"/>
    <w:rsid w:val="0067771A"/>
    <w:rsid w:val="00677AC2"/>
    <w:rsid w:val="00677B3E"/>
    <w:rsid w:val="00677CD1"/>
    <w:rsid w:val="00680403"/>
    <w:rsid w:val="00680465"/>
    <w:rsid w:val="0068115A"/>
    <w:rsid w:val="0068147F"/>
    <w:rsid w:val="00681AA6"/>
    <w:rsid w:val="006825F3"/>
    <w:rsid w:val="006834C7"/>
    <w:rsid w:val="0068369A"/>
    <w:rsid w:val="00684091"/>
    <w:rsid w:val="006845F6"/>
    <w:rsid w:val="00684D24"/>
    <w:rsid w:val="0068502D"/>
    <w:rsid w:val="006855AB"/>
    <w:rsid w:val="00686B77"/>
    <w:rsid w:val="0069037B"/>
    <w:rsid w:val="0069126C"/>
    <w:rsid w:val="006916D5"/>
    <w:rsid w:val="00691EA6"/>
    <w:rsid w:val="00691F52"/>
    <w:rsid w:val="006927FF"/>
    <w:rsid w:val="00693763"/>
    <w:rsid w:val="00693D77"/>
    <w:rsid w:val="00694372"/>
    <w:rsid w:val="00694636"/>
    <w:rsid w:val="00694CE8"/>
    <w:rsid w:val="00694FEA"/>
    <w:rsid w:val="00695836"/>
    <w:rsid w:val="006963E2"/>
    <w:rsid w:val="006965BD"/>
    <w:rsid w:val="00696EBC"/>
    <w:rsid w:val="006A085F"/>
    <w:rsid w:val="006A0FD3"/>
    <w:rsid w:val="006A18A2"/>
    <w:rsid w:val="006A23E1"/>
    <w:rsid w:val="006A2454"/>
    <w:rsid w:val="006A29BA"/>
    <w:rsid w:val="006A4EF0"/>
    <w:rsid w:val="006A62B9"/>
    <w:rsid w:val="006B0E4D"/>
    <w:rsid w:val="006B14AA"/>
    <w:rsid w:val="006B1ACB"/>
    <w:rsid w:val="006B4A12"/>
    <w:rsid w:val="006B5C87"/>
    <w:rsid w:val="006B6F20"/>
    <w:rsid w:val="006B73F2"/>
    <w:rsid w:val="006B7E67"/>
    <w:rsid w:val="006C0367"/>
    <w:rsid w:val="006C0795"/>
    <w:rsid w:val="006C12A3"/>
    <w:rsid w:val="006C2E22"/>
    <w:rsid w:val="006C4DDB"/>
    <w:rsid w:val="006C52AF"/>
    <w:rsid w:val="006C57E3"/>
    <w:rsid w:val="006C5B68"/>
    <w:rsid w:val="006C7259"/>
    <w:rsid w:val="006D03AE"/>
    <w:rsid w:val="006D0C15"/>
    <w:rsid w:val="006D2CFC"/>
    <w:rsid w:val="006D2F0D"/>
    <w:rsid w:val="006D4823"/>
    <w:rsid w:val="006D5C37"/>
    <w:rsid w:val="006E04BE"/>
    <w:rsid w:val="006E1080"/>
    <w:rsid w:val="006E1E04"/>
    <w:rsid w:val="006E27CD"/>
    <w:rsid w:val="006E55F2"/>
    <w:rsid w:val="006E74A5"/>
    <w:rsid w:val="006F067D"/>
    <w:rsid w:val="006F0CD2"/>
    <w:rsid w:val="006F1215"/>
    <w:rsid w:val="006F1D30"/>
    <w:rsid w:val="006F7A6B"/>
    <w:rsid w:val="00700FFC"/>
    <w:rsid w:val="007012D0"/>
    <w:rsid w:val="007017A2"/>
    <w:rsid w:val="00701AC7"/>
    <w:rsid w:val="0070371F"/>
    <w:rsid w:val="007051B7"/>
    <w:rsid w:val="00705446"/>
    <w:rsid w:val="00705AC8"/>
    <w:rsid w:val="007070FA"/>
    <w:rsid w:val="00707DFB"/>
    <w:rsid w:val="00710308"/>
    <w:rsid w:val="00710F08"/>
    <w:rsid w:val="00711655"/>
    <w:rsid w:val="00711803"/>
    <w:rsid w:val="00711A16"/>
    <w:rsid w:val="00711AB7"/>
    <w:rsid w:val="00711BBB"/>
    <w:rsid w:val="0071213C"/>
    <w:rsid w:val="0071485E"/>
    <w:rsid w:val="0071527E"/>
    <w:rsid w:val="00715320"/>
    <w:rsid w:val="00716A44"/>
    <w:rsid w:val="0071734B"/>
    <w:rsid w:val="0072065D"/>
    <w:rsid w:val="007212D6"/>
    <w:rsid w:val="007217FF"/>
    <w:rsid w:val="00721E6D"/>
    <w:rsid w:val="00722834"/>
    <w:rsid w:val="007267F0"/>
    <w:rsid w:val="00727268"/>
    <w:rsid w:val="007309EC"/>
    <w:rsid w:val="00731535"/>
    <w:rsid w:val="00733150"/>
    <w:rsid w:val="00733660"/>
    <w:rsid w:val="00733892"/>
    <w:rsid w:val="007353B3"/>
    <w:rsid w:val="0073694F"/>
    <w:rsid w:val="00736EF2"/>
    <w:rsid w:val="00740821"/>
    <w:rsid w:val="00740CFA"/>
    <w:rsid w:val="00742AF8"/>
    <w:rsid w:val="007432B8"/>
    <w:rsid w:val="007443C1"/>
    <w:rsid w:val="00744AF3"/>
    <w:rsid w:val="00745060"/>
    <w:rsid w:val="00746133"/>
    <w:rsid w:val="00746E49"/>
    <w:rsid w:val="00747C9D"/>
    <w:rsid w:val="00750A0D"/>
    <w:rsid w:val="007510DD"/>
    <w:rsid w:val="007515BC"/>
    <w:rsid w:val="00751E10"/>
    <w:rsid w:val="00752535"/>
    <w:rsid w:val="00752CC8"/>
    <w:rsid w:val="00752DA7"/>
    <w:rsid w:val="007533FA"/>
    <w:rsid w:val="00753594"/>
    <w:rsid w:val="00753FC1"/>
    <w:rsid w:val="00755007"/>
    <w:rsid w:val="0075699A"/>
    <w:rsid w:val="007571ED"/>
    <w:rsid w:val="00757D90"/>
    <w:rsid w:val="007607A8"/>
    <w:rsid w:val="007632C7"/>
    <w:rsid w:val="00764F25"/>
    <w:rsid w:val="00766373"/>
    <w:rsid w:val="0076721B"/>
    <w:rsid w:val="00767BD5"/>
    <w:rsid w:val="0077151A"/>
    <w:rsid w:val="007716E2"/>
    <w:rsid w:val="007745D7"/>
    <w:rsid w:val="007751A4"/>
    <w:rsid w:val="00775B0C"/>
    <w:rsid w:val="00775B60"/>
    <w:rsid w:val="00775C97"/>
    <w:rsid w:val="0078061D"/>
    <w:rsid w:val="00780AD9"/>
    <w:rsid w:val="007820EC"/>
    <w:rsid w:val="007828FB"/>
    <w:rsid w:val="0078296D"/>
    <w:rsid w:val="00782E3F"/>
    <w:rsid w:val="00782E6D"/>
    <w:rsid w:val="007831F7"/>
    <w:rsid w:val="0078438A"/>
    <w:rsid w:val="00786A54"/>
    <w:rsid w:val="007901BA"/>
    <w:rsid w:val="00792976"/>
    <w:rsid w:val="007932D4"/>
    <w:rsid w:val="0079392E"/>
    <w:rsid w:val="00793952"/>
    <w:rsid w:val="00793C49"/>
    <w:rsid w:val="0079449E"/>
    <w:rsid w:val="0079494A"/>
    <w:rsid w:val="007959D3"/>
    <w:rsid w:val="00796D13"/>
    <w:rsid w:val="00796E18"/>
    <w:rsid w:val="00797030"/>
    <w:rsid w:val="007A085C"/>
    <w:rsid w:val="007A1710"/>
    <w:rsid w:val="007A18B7"/>
    <w:rsid w:val="007A3962"/>
    <w:rsid w:val="007A4ADD"/>
    <w:rsid w:val="007A4FD8"/>
    <w:rsid w:val="007A6EA8"/>
    <w:rsid w:val="007A7403"/>
    <w:rsid w:val="007B1525"/>
    <w:rsid w:val="007B1E60"/>
    <w:rsid w:val="007B4B6A"/>
    <w:rsid w:val="007B5046"/>
    <w:rsid w:val="007B7697"/>
    <w:rsid w:val="007C1348"/>
    <w:rsid w:val="007C1A4F"/>
    <w:rsid w:val="007C1F4F"/>
    <w:rsid w:val="007C2D4E"/>
    <w:rsid w:val="007C3806"/>
    <w:rsid w:val="007C4DF1"/>
    <w:rsid w:val="007C4E02"/>
    <w:rsid w:val="007C568A"/>
    <w:rsid w:val="007C56EA"/>
    <w:rsid w:val="007C6247"/>
    <w:rsid w:val="007C6E33"/>
    <w:rsid w:val="007C7271"/>
    <w:rsid w:val="007D3020"/>
    <w:rsid w:val="007D35FB"/>
    <w:rsid w:val="007D3B86"/>
    <w:rsid w:val="007D56E0"/>
    <w:rsid w:val="007D57F0"/>
    <w:rsid w:val="007D7087"/>
    <w:rsid w:val="007E095B"/>
    <w:rsid w:val="007E2AA1"/>
    <w:rsid w:val="007E2BED"/>
    <w:rsid w:val="007E2F22"/>
    <w:rsid w:val="007E6310"/>
    <w:rsid w:val="007F222F"/>
    <w:rsid w:val="007F37AD"/>
    <w:rsid w:val="007F37E5"/>
    <w:rsid w:val="007F474B"/>
    <w:rsid w:val="007F4BE5"/>
    <w:rsid w:val="007F531A"/>
    <w:rsid w:val="007F654E"/>
    <w:rsid w:val="007F6EF5"/>
    <w:rsid w:val="00800673"/>
    <w:rsid w:val="00802C6E"/>
    <w:rsid w:val="00802D75"/>
    <w:rsid w:val="00804119"/>
    <w:rsid w:val="00804513"/>
    <w:rsid w:val="008062C2"/>
    <w:rsid w:val="00806737"/>
    <w:rsid w:val="00807867"/>
    <w:rsid w:val="00807AF4"/>
    <w:rsid w:val="00810346"/>
    <w:rsid w:val="0081038D"/>
    <w:rsid w:val="00810DA3"/>
    <w:rsid w:val="008112F1"/>
    <w:rsid w:val="00814E98"/>
    <w:rsid w:val="00815E26"/>
    <w:rsid w:val="00817FCA"/>
    <w:rsid w:val="008203F4"/>
    <w:rsid w:val="008207F7"/>
    <w:rsid w:val="0082096C"/>
    <w:rsid w:val="008245C2"/>
    <w:rsid w:val="00824971"/>
    <w:rsid w:val="00824A23"/>
    <w:rsid w:val="00825063"/>
    <w:rsid w:val="00825A57"/>
    <w:rsid w:val="00825C83"/>
    <w:rsid w:val="00825D00"/>
    <w:rsid w:val="00827296"/>
    <w:rsid w:val="00832674"/>
    <w:rsid w:val="008337F4"/>
    <w:rsid w:val="00833FE6"/>
    <w:rsid w:val="00834057"/>
    <w:rsid w:val="00834BFB"/>
    <w:rsid w:val="00835D81"/>
    <w:rsid w:val="0083645B"/>
    <w:rsid w:val="0083686D"/>
    <w:rsid w:val="008369E6"/>
    <w:rsid w:val="00837AA8"/>
    <w:rsid w:val="008408FA"/>
    <w:rsid w:val="008421AE"/>
    <w:rsid w:val="00842860"/>
    <w:rsid w:val="00843784"/>
    <w:rsid w:val="00844037"/>
    <w:rsid w:val="0084409B"/>
    <w:rsid w:val="0084463F"/>
    <w:rsid w:val="008452F1"/>
    <w:rsid w:val="00845575"/>
    <w:rsid w:val="00845BBA"/>
    <w:rsid w:val="00845C37"/>
    <w:rsid w:val="00846B73"/>
    <w:rsid w:val="008470C6"/>
    <w:rsid w:val="008472EB"/>
    <w:rsid w:val="00850314"/>
    <w:rsid w:val="00852992"/>
    <w:rsid w:val="00853380"/>
    <w:rsid w:val="00853E97"/>
    <w:rsid w:val="008540A7"/>
    <w:rsid w:val="00856ACD"/>
    <w:rsid w:val="00857A88"/>
    <w:rsid w:val="00857B20"/>
    <w:rsid w:val="008621FF"/>
    <w:rsid w:val="008628A9"/>
    <w:rsid w:val="008636E9"/>
    <w:rsid w:val="0086391B"/>
    <w:rsid w:val="00864D87"/>
    <w:rsid w:val="008659E9"/>
    <w:rsid w:val="00865B7D"/>
    <w:rsid w:val="00867144"/>
    <w:rsid w:val="0086787A"/>
    <w:rsid w:val="00870F03"/>
    <w:rsid w:val="00871D19"/>
    <w:rsid w:val="00872B90"/>
    <w:rsid w:val="008730D3"/>
    <w:rsid w:val="00873105"/>
    <w:rsid w:val="008747D3"/>
    <w:rsid w:val="00875393"/>
    <w:rsid w:val="00875543"/>
    <w:rsid w:val="00875967"/>
    <w:rsid w:val="008769DB"/>
    <w:rsid w:val="00882023"/>
    <w:rsid w:val="00882B63"/>
    <w:rsid w:val="00882C35"/>
    <w:rsid w:val="00883308"/>
    <w:rsid w:val="008840C5"/>
    <w:rsid w:val="008847B1"/>
    <w:rsid w:val="008847CB"/>
    <w:rsid w:val="00884973"/>
    <w:rsid w:val="00885BB4"/>
    <w:rsid w:val="008865BE"/>
    <w:rsid w:val="00886A6A"/>
    <w:rsid w:val="00887501"/>
    <w:rsid w:val="00890121"/>
    <w:rsid w:val="008908AD"/>
    <w:rsid w:val="008919DC"/>
    <w:rsid w:val="00891D9A"/>
    <w:rsid w:val="00892674"/>
    <w:rsid w:val="00892DD6"/>
    <w:rsid w:val="00893B88"/>
    <w:rsid w:val="008959ED"/>
    <w:rsid w:val="00895C70"/>
    <w:rsid w:val="008966F8"/>
    <w:rsid w:val="008A03A9"/>
    <w:rsid w:val="008A041B"/>
    <w:rsid w:val="008A0C3A"/>
    <w:rsid w:val="008A0DED"/>
    <w:rsid w:val="008A126E"/>
    <w:rsid w:val="008A2313"/>
    <w:rsid w:val="008A2537"/>
    <w:rsid w:val="008A39DC"/>
    <w:rsid w:val="008A3DE9"/>
    <w:rsid w:val="008A4007"/>
    <w:rsid w:val="008A4246"/>
    <w:rsid w:val="008A43C9"/>
    <w:rsid w:val="008A43DA"/>
    <w:rsid w:val="008A4448"/>
    <w:rsid w:val="008A49D4"/>
    <w:rsid w:val="008A68E3"/>
    <w:rsid w:val="008A6B33"/>
    <w:rsid w:val="008A7426"/>
    <w:rsid w:val="008A7740"/>
    <w:rsid w:val="008A77ED"/>
    <w:rsid w:val="008A7C39"/>
    <w:rsid w:val="008A7D75"/>
    <w:rsid w:val="008B0344"/>
    <w:rsid w:val="008B0490"/>
    <w:rsid w:val="008B073C"/>
    <w:rsid w:val="008B09BB"/>
    <w:rsid w:val="008B0A04"/>
    <w:rsid w:val="008B2A77"/>
    <w:rsid w:val="008B323F"/>
    <w:rsid w:val="008B32F9"/>
    <w:rsid w:val="008B3775"/>
    <w:rsid w:val="008B3860"/>
    <w:rsid w:val="008B38A8"/>
    <w:rsid w:val="008B43A2"/>
    <w:rsid w:val="008B4506"/>
    <w:rsid w:val="008B5B03"/>
    <w:rsid w:val="008B5D43"/>
    <w:rsid w:val="008B76F5"/>
    <w:rsid w:val="008C0EEF"/>
    <w:rsid w:val="008C203D"/>
    <w:rsid w:val="008C22F0"/>
    <w:rsid w:val="008C2AE0"/>
    <w:rsid w:val="008C7259"/>
    <w:rsid w:val="008D0A2C"/>
    <w:rsid w:val="008D1873"/>
    <w:rsid w:val="008D4E39"/>
    <w:rsid w:val="008D4E90"/>
    <w:rsid w:val="008D5542"/>
    <w:rsid w:val="008D562D"/>
    <w:rsid w:val="008D6614"/>
    <w:rsid w:val="008D67B7"/>
    <w:rsid w:val="008D6B39"/>
    <w:rsid w:val="008D6FD7"/>
    <w:rsid w:val="008D798E"/>
    <w:rsid w:val="008E066D"/>
    <w:rsid w:val="008E074D"/>
    <w:rsid w:val="008E2CAD"/>
    <w:rsid w:val="008E2F25"/>
    <w:rsid w:val="008E434B"/>
    <w:rsid w:val="008E4831"/>
    <w:rsid w:val="008E4880"/>
    <w:rsid w:val="008E56B9"/>
    <w:rsid w:val="008E64D4"/>
    <w:rsid w:val="008F05EE"/>
    <w:rsid w:val="008F2342"/>
    <w:rsid w:val="008F3C47"/>
    <w:rsid w:val="008F3D02"/>
    <w:rsid w:val="008F3F2E"/>
    <w:rsid w:val="008F46DD"/>
    <w:rsid w:val="008F56CB"/>
    <w:rsid w:val="008F64B6"/>
    <w:rsid w:val="008F708C"/>
    <w:rsid w:val="008F7E88"/>
    <w:rsid w:val="0090131B"/>
    <w:rsid w:val="00901473"/>
    <w:rsid w:val="00901B00"/>
    <w:rsid w:val="0090543D"/>
    <w:rsid w:val="009067C8"/>
    <w:rsid w:val="009073D6"/>
    <w:rsid w:val="00907B29"/>
    <w:rsid w:val="009103D4"/>
    <w:rsid w:val="009114CB"/>
    <w:rsid w:val="009128A7"/>
    <w:rsid w:val="00912DE1"/>
    <w:rsid w:val="00913711"/>
    <w:rsid w:val="00913A95"/>
    <w:rsid w:val="009148F8"/>
    <w:rsid w:val="00914902"/>
    <w:rsid w:val="00920076"/>
    <w:rsid w:val="00920309"/>
    <w:rsid w:val="009205BA"/>
    <w:rsid w:val="009225BF"/>
    <w:rsid w:val="00922600"/>
    <w:rsid w:val="00922E02"/>
    <w:rsid w:val="00923408"/>
    <w:rsid w:val="00923D6F"/>
    <w:rsid w:val="00924198"/>
    <w:rsid w:val="00925AB9"/>
    <w:rsid w:val="00925D11"/>
    <w:rsid w:val="00925D3A"/>
    <w:rsid w:val="0092692D"/>
    <w:rsid w:val="00926D49"/>
    <w:rsid w:val="009272B7"/>
    <w:rsid w:val="00931618"/>
    <w:rsid w:val="009323AF"/>
    <w:rsid w:val="0093281F"/>
    <w:rsid w:val="009328BC"/>
    <w:rsid w:val="00933ADC"/>
    <w:rsid w:val="00933EC9"/>
    <w:rsid w:val="00935B4E"/>
    <w:rsid w:val="00935C20"/>
    <w:rsid w:val="009372B5"/>
    <w:rsid w:val="009375DD"/>
    <w:rsid w:val="00937988"/>
    <w:rsid w:val="00943689"/>
    <w:rsid w:val="009437A7"/>
    <w:rsid w:val="00943CEF"/>
    <w:rsid w:val="00944986"/>
    <w:rsid w:val="00944A3F"/>
    <w:rsid w:val="00945931"/>
    <w:rsid w:val="009467AE"/>
    <w:rsid w:val="00947400"/>
    <w:rsid w:val="009507D2"/>
    <w:rsid w:val="00951190"/>
    <w:rsid w:val="00953271"/>
    <w:rsid w:val="00953D1A"/>
    <w:rsid w:val="0095473A"/>
    <w:rsid w:val="00954BD4"/>
    <w:rsid w:val="009558FA"/>
    <w:rsid w:val="00956CC2"/>
    <w:rsid w:val="00956EEA"/>
    <w:rsid w:val="00956FDA"/>
    <w:rsid w:val="009600DC"/>
    <w:rsid w:val="00961D6B"/>
    <w:rsid w:val="009622F6"/>
    <w:rsid w:val="00964126"/>
    <w:rsid w:val="00964C54"/>
    <w:rsid w:val="009654C5"/>
    <w:rsid w:val="00965983"/>
    <w:rsid w:val="009661B6"/>
    <w:rsid w:val="0096654F"/>
    <w:rsid w:val="009706D9"/>
    <w:rsid w:val="00970D81"/>
    <w:rsid w:val="00970EDC"/>
    <w:rsid w:val="0097219C"/>
    <w:rsid w:val="00972686"/>
    <w:rsid w:val="00973E63"/>
    <w:rsid w:val="009741F9"/>
    <w:rsid w:val="00974E21"/>
    <w:rsid w:val="00975CDD"/>
    <w:rsid w:val="00976EAA"/>
    <w:rsid w:val="00976EF3"/>
    <w:rsid w:val="00980048"/>
    <w:rsid w:val="009804B7"/>
    <w:rsid w:val="00980E47"/>
    <w:rsid w:val="00981373"/>
    <w:rsid w:val="0098254D"/>
    <w:rsid w:val="00982AC3"/>
    <w:rsid w:val="009861D3"/>
    <w:rsid w:val="00986DC0"/>
    <w:rsid w:val="009904AD"/>
    <w:rsid w:val="009911BF"/>
    <w:rsid w:val="00994AD7"/>
    <w:rsid w:val="00994F58"/>
    <w:rsid w:val="00995C8B"/>
    <w:rsid w:val="0099647F"/>
    <w:rsid w:val="00996D63"/>
    <w:rsid w:val="00996FB9"/>
    <w:rsid w:val="009970F9"/>
    <w:rsid w:val="009974E2"/>
    <w:rsid w:val="009978C5"/>
    <w:rsid w:val="009A0344"/>
    <w:rsid w:val="009A0C2A"/>
    <w:rsid w:val="009A1582"/>
    <w:rsid w:val="009A1FED"/>
    <w:rsid w:val="009A2318"/>
    <w:rsid w:val="009A4561"/>
    <w:rsid w:val="009A4844"/>
    <w:rsid w:val="009A6BF7"/>
    <w:rsid w:val="009A7553"/>
    <w:rsid w:val="009B0038"/>
    <w:rsid w:val="009B1B68"/>
    <w:rsid w:val="009B1F36"/>
    <w:rsid w:val="009B21A2"/>
    <w:rsid w:val="009B2A32"/>
    <w:rsid w:val="009B2F95"/>
    <w:rsid w:val="009B40D2"/>
    <w:rsid w:val="009B4998"/>
    <w:rsid w:val="009B6D9A"/>
    <w:rsid w:val="009B70D2"/>
    <w:rsid w:val="009C02A5"/>
    <w:rsid w:val="009C138B"/>
    <w:rsid w:val="009C18B0"/>
    <w:rsid w:val="009C2005"/>
    <w:rsid w:val="009C4232"/>
    <w:rsid w:val="009C4FD6"/>
    <w:rsid w:val="009C5510"/>
    <w:rsid w:val="009C644B"/>
    <w:rsid w:val="009C6F87"/>
    <w:rsid w:val="009C741B"/>
    <w:rsid w:val="009C7D79"/>
    <w:rsid w:val="009D2131"/>
    <w:rsid w:val="009D3F56"/>
    <w:rsid w:val="009D5CD4"/>
    <w:rsid w:val="009D6268"/>
    <w:rsid w:val="009D6D09"/>
    <w:rsid w:val="009D6FFC"/>
    <w:rsid w:val="009D750D"/>
    <w:rsid w:val="009D793F"/>
    <w:rsid w:val="009D79A4"/>
    <w:rsid w:val="009D7DC9"/>
    <w:rsid w:val="009E00FB"/>
    <w:rsid w:val="009E0312"/>
    <w:rsid w:val="009E0602"/>
    <w:rsid w:val="009E0A3A"/>
    <w:rsid w:val="009E42A9"/>
    <w:rsid w:val="009E4569"/>
    <w:rsid w:val="009E4DB2"/>
    <w:rsid w:val="009E6C3B"/>
    <w:rsid w:val="009E73D4"/>
    <w:rsid w:val="009E75E5"/>
    <w:rsid w:val="009E797F"/>
    <w:rsid w:val="009F1548"/>
    <w:rsid w:val="009F211D"/>
    <w:rsid w:val="009F2ABE"/>
    <w:rsid w:val="009F3CA1"/>
    <w:rsid w:val="009F3F80"/>
    <w:rsid w:val="009F486E"/>
    <w:rsid w:val="009F4FAE"/>
    <w:rsid w:val="009F6DCE"/>
    <w:rsid w:val="00A00128"/>
    <w:rsid w:val="00A0026A"/>
    <w:rsid w:val="00A00CE2"/>
    <w:rsid w:val="00A01340"/>
    <w:rsid w:val="00A02DAF"/>
    <w:rsid w:val="00A0326A"/>
    <w:rsid w:val="00A040B7"/>
    <w:rsid w:val="00A051EB"/>
    <w:rsid w:val="00A05EA6"/>
    <w:rsid w:val="00A06B66"/>
    <w:rsid w:val="00A0723C"/>
    <w:rsid w:val="00A075A6"/>
    <w:rsid w:val="00A07FE7"/>
    <w:rsid w:val="00A1002A"/>
    <w:rsid w:val="00A10386"/>
    <w:rsid w:val="00A1129C"/>
    <w:rsid w:val="00A11FC4"/>
    <w:rsid w:val="00A13BB3"/>
    <w:rsid w:val="00A14892"/>
    <w:rsid w:val="00A15068"/>
    <w:rsid w:val="00A152FA"/>
    <w:rsid w:val="00A165A6"/>
    <w:rsid w:val="00A16A75"/>
    <w:rsid w:val="00A16C93"/>
    <w:rsid w:val="00A17166"/>
    <w:rsid w:val="00A17817"/>
    <w:rsid w:val="00A17D1B"/>
    <w:rsid w:val="00A20655"/>
    <w:rsid w:val="00A21B1F"/>
    <w:rsid w:val="00A22A1F"/>
    <w:rsid w:val="00A242A8"/>
    <w:rsid w:val="00A24768"/>
    <w:rsid w:val="00A25631"/>
    <w:rsid w:val="00A25C3C"/>
    <w:rsid w:val="00A26C23"/>
    <w:rsid w:val="00A27760"/>
    <w:rsid w:val="00A27AA7"/>
    <w:rsid w:val="00A33F12"/>
    <w:rsid w:val="00A340E4"/>
    <w:rsid w:val="00A35685"/>
    <w:rsid w:val="00A3691C"/>
    <w:rsid w:val="00A376A9"/>
    <w:rsid w:val="00A37AEB"/>
    <w:rsid w:val="00A40360"/>
    <w:rsid w:val="00A42026"/>
    <w:rsid w:val="00A42FB1"/>
    <w:rsid w:val="00A44EF2"/>
    <w:rsid w:val="00A46A52"/>
    <w:rsid w:val="00A47B20"/>
    <w:rsid w:val="00A50F7B"/>
    <w:rsid w:val="00A514D0"/>
    <w:rsid w:val="00A51656"/>
    <w:rsid w:val="00A51838"/>
    <w:rsid w:val="00A526DC"/>
    <w:rsid w:val="00A5279A"/>
    <w:rsid w:val="00A530F7"/>
    <w:rsid w:val="00A54194"/>
    <w:rsid w:val="00A544BC"/>
    <w:rsid w:val="00A55213"/>
    <w:rsid w:val="00A5797A"/>
    <w:rsid w:val="00A57FB6"/>
    <w:rsid w:val="00A61403"/>
    <w:rsid w:val="00A62818"/>
    <w:rsid w:val="00A63426"/>
    <w:rsid w:val="00A642AE"/>
    <w:rsid w:val="00A646EB"/>
    <w:rsid w:val="00A647E0"/>
    <w:rsid w:val="00A64B67"/>
    <w:rsid w:val="00A666E1"/>
    <w:rsid w:val="00A67479"/>
    <w:rsid w:val="00A67903"/>
    <w:rsid w:val="00A67DA5"/>
    <w:rsid w:val="00A70393"/>
    <w:rsid w:val="00A7051D"/>
    <w:rsid w:val="00A760D4"/>
    <w:rsid w:val="00A7688B"/>
    <w:rsid w:val="00A77019"/>
    <w:rsid w:val="00A77439"/>
    <w:rsid w:val="00A7773B"/>
    <w:rsid w:val="00A83DFA"/>
    <w:rsid w:val="00A8474E"/>
    <w:rsid w:val="00A86892"/>
    <w:rsid w:val="00A86F34"/>
    <w:rsid w:val="00A87569"/>
    <w:rsid w:val="00A87868"/>
    <w:rsid w:val="00A90CCE"/>
    <w:rsid w:val="00A943DA"/>
    <w:rsid w:val="00A94C94"/>
    <w:rsid w:val="00A96C25"/>
    <w:rsid w:val="00A96E3C"/>
    <w:rsid w:val="00A972CB"/>
    <w:rsid w:val="00A97D4F"/>
    <w:rsid w:val="00AA0455"/>
    <w:rsid w:val="00AA113E"/>
    <w:rsid w:val="00AA2C9E"/>
    <w:rsid w:val="00AA3DBE"/>
    <w:rsid w:val="00AA4053"/>
    <w:rsid w:val="00AA5122"/>
    <w:rsid w:val="00AA64D6"/>
    <w:rsid w:val="00AA6F02"/>
    <w:rsid w:val="00AA74C1"/>
    <w:rsid w:val="00AB2F76"/>
    <w:rsid w:val="00AB44D1"/>
    <w:rsid w:val="00AB44EA"/>
    <w:rsid w:val="00AB4F90"/>
    <w:rsid w:val="00AB67B5"/>
    <w:rsid w:val="00AB6D0B"/>
    <w:rsid w:val="00AB6ECC"/>
    <w:rsid w:val="00AB6F10"/>
    <w:rsid w:val="00AB7874"/>
    <w:rsid w:val="00AB7C56"/>
    <w:rsid w:val="00AC17F7"/>
    <w:rsid w:val="00AC237A"/>
    <w:rsid w:val="00AC2E1D"/>
    <w:rsid w:val="00AC3891"/>
    <w:rsid w:val="00AC5870"/>
    <w:rsid w:val="00AC6504"/>
    <w:rsid w:val="00AC7614"/>
    <w:rsid w:val="00AC7B93"/>
    <w:rsid w:val="00AD0D30"/>
    <w:rsid w:val="00AD13D2"/>
    <w:rsid w:val="00AD2390"/>
    <w:rsid w:val="00AD4FC0"/>
    <w:rsid w:val="00AD5A2B"/>
    <w:rsid w:val="00AD6230"/>
    <w:rsid w:val="00AD77BC"/>
    <w:rsid w:val="00AD789C"/>
    <w:rsid w:val="00AE011F"/>
    <w:rsid w:val="00AE18CC"/>
    <w:rsid w:val="00AE265C"/>
    <w:rsid w:val="00AE3822"/>
    <w:rsid w:val="00AE3F8C"/>
    <w:rsid w:val="00AE418C"/>
    <w:rsid w:val="00AE5061"/>
    <w:rsid w:val="00AE5787"/>
    <w:rsid w:val="00AE59EE"/>
    <w:rsid w:val="00AE670E"/>
    <w:rsid w:val="00AE73F7"/>
    <w:rsid w:val="00AE7C00"/>
    <w:rsid w:val="00AF2DD4"/>
    <w:rsid w:val="00AF305F"/>
    <w:rsid w:val="00AF3722"/>
    <w:rsid w:val="00AF3A52"/>
    <w:rsid w:val="00AF475F"/>
    <w:rsid w:val="00AF4AB2"/>
    <w:rsid w:val="00AF4FA9"/>
    <w:rsid w:val="00AF7A28"/>
    <w:rsid w:val="00B01372"/>
    <w:rsid w:val="00B01C7A"/>
    <w:rsid w:val="00B04F2C"/>
    <w:rsid w:val="00B05C9C"/>
    <w:rsid w:val="00B07009"/>
    <w:rsid w:val="00B0769F"/>
    <w:rsid w:val="00B10B9E"/>
    <w:rsid w:val="00B10EBD"/>
    <w:rsid w:val="00B11BD2"/>
    <w:rsid w:val="00B11DB1"/>
    <w:rsid w:val="00B11F0C"/>
    <w:rsid w:val="00B12049"/>
    <w:rsid w:val="00B12D84"/>
    <w:rsid w:val="00B143D9"/>
    <w:rsid w:val="00B14CC0"/>
    <w:rsid w:val="00B1566C"/>
    <w:rsid w:val="00B16705"/>
    <w:rsid w:val="00B205FD"/>
    <w:rsid w:val="00B2091E"/>
    <w:rsid w:val="00B21728"/>
    <w:rsid w:val="00B22D8B"/>
    <w:rsid w:val="00B23CBA"/>
    <w:rsid w:val="00B2440C"/>
    <w:rsid w:val="00B24775"/>
    <w:rsid w:val="00B24BAC"/>
    <w:rsid w:val="00B25FC5"/>
    <w:rsid w:val="00B262B2"/>
    <w:rsid w:val="00B2744D"/>
    <w:rsid w:val="00B2767F"/>
    <w:rsid w:val="00B279C4"/>
    <w:rsid w:val="00B27FEA"/>
    <w:rsid w:val="00B30B8D"/>
    <w:rsid w:val="00B3175A"/>
    <w:rsid w:val="00B317F8"/>
    <w:rsid w:val="00B330F7"/>
    <w:rsid w:val="00B333ED"/>
    <w:rsid w:val="00B33ED9"/>
    <w:rsid w:val="00B34CD3"/>
    <w:rsid w:val="00B350EE"/>
    <w:rsid w:val="00B35958"/>
    <w:rsid w:val="00B35E06"/>
    <w:rsid w:val="00B36524"/>
    <w:rsid w:val="00B367EB"/>
    <w:rsid w:val="00B36A66"/>
    <w:rsid w:val="00B37832"/>
    <w:rsid w:val="00B43E82"/>
    <w:rsid w:val="00B45800"/>
    <w:rsid w:val="00B45C77"/>
    <w:rsid w:val="00B461E9"/>
    <w:rsid w:val="00B46F31"/>
    <w:rsid w:val="00B50641"/>
    <w:rsid w:val="00B50D39"/>
    <w:rsid w:val="00B513EA"/>
    <w:rsid w:val="00B51C87"/>
    <w:rsid w:val="00B525A3"/>
    <w:rsid w:val="00B526AA"/>
    <w:rsid w:val="00B5323D"/>
    <w:rsid w:val="00B5388E"/>
    <w:rsid w:val="00B53DED"/>
    <w:rsid w:val="00B53E02"/>
    <w:rsid w:val="00B541D8"/>
    <w:rsid w:val="00B54A06"/>
    <w:rsid w:val="00B54D84"/>
    <w:rsid w:val="00B56861"/>
    <w:rsid w:val="00B576A0"/>
    <w:rsid w:val="00B602B8"/>
    <w:rsid w:val="00B60556"/>
    <w:rsid w:val="00B61A8D"/>
    <w:rsid w:val="00B61D99"/>
    <w:rsid w:val="00B6290E"/>
    <w:rsid w:val="00B632FF"/>
    <w:rsid w:val="00B63481"/>
    <w:rsid w:val="00B6377E"/>
    <w:rsid w:val="00B654ED"/>
    <w:rsid w:val="00B660ED"/>
    <w:rsid w:val="00B668A5"/>
    <w:rsid w:val="00B66A16"/>
    <w:rsid w:val="00B66F46"/>
    <w:rsid w:val="00B66F53"/>
    <w:rsid w:val="00B670EE"/>
    <w:rsid w:val="00B67281"/>
    <w:rsid w:val="00B72720"/>
    <w:rsid w:val="00B7298A"/>
    <w:rsid w:val="00B737F9"/>
    <w:rsid w:val="00B7420D"/>
    <w:rsid w:val="00B742BF"/>
    <w:rsid w:val="00B7501F"/>
    <w:rsid w:val="00B753F4"/>
    <w:rsid w:val="00B77E29"/>
    <w:rsid w:val="00B810C7"/>
    <w:rsid w:val="00B8128A"/>
    <w:rsid w:val="00B81A73"/>
    <w:rsid w:val="00B825B9"/>
    <w:rsid w:val="00B82A36"/>
    <w:rsid w:val="00B83C9B"/>
    <w:rsid w:val="00B841F0"/>
    <w:rsid w:val="00B84857"/>
    <w:rsid w:val="00B87209"/>
    <w:rsid w:val="00B879D6"/>
    <w:rsid w:val="00B9221D"/>
    <w:rsid w:val="00B92253"/>
    <w:rsid w:val="00B94ED6"/>
    <w:rsid w:val="00B96076"/>
    <w:rsid w:val="00B96826"/>
    <w:rsid w:val="00B96E95"/>
    <w:rsid w:val="00B97AC0"/>
    <w:rsid w:val="00B97E02"/>
    <w:rsid w:val="00BA0A3A"/>
    <w:rsid w:val="00BA0ADF"/>
    <w:rsid w:val="00BA13C9"/>
    <w:rsid w:val="00BA1A89"/>
    <w:rsid w:val="00BA1FEF"/>
    <w:rsid w:val="00BA487C"/>
    <w:rsid w:val="00BA5963"/>
    <w:rsid w:val="00BA62E5"/>
    <w:rsid w:val="00BB00A4"/>
    <w:rsid w:val="00BB017E"/>
    <w:rsid w:val="00BB0A4F"/>
    <w:rsid w:val="00BB0CD0"/>
    <w:rsid w:val="00BB0DAE"/>
    <w:rsid w:val="00BB1608"/>
    <w:rsid w:val="00BB2468"/>
    <w:rsid w:val="00BB30CC"/>
    <w:rsid w:val="00BB47F8"/>
    <w:rsid w:val="00BB4B68"/>
    <w:rsid w:val="00BB6BBA"/>
    <w:rsid w:val="00BC04FF"/>
    <w:rsid w:val="00BC0A97"/>
    <w:rsid w:val="00BC0F9C"/>
    <w:rsid w:val="00BC16E2"/>
    <w:rsid w:val="00BC17F0"/>
    <w:rsid w:val="00BC19C8"/>
    <w:rsid w:val="00BC1E92"/>
    <w:rsid w:val="00BC21F2"/>
    <w:rsid w:val="00BC2BC1"/>
    <w:rsid w:val="00BC2C6E"/>
    <w:rsid w:val="00BC3AC6"/>
    <w:rsid w:val="00BC4025"/>
    <w:rsid w:val="00BC4C3D"/>
    <w:rsid w:val="00BC543F"/>
    <w:rsid w:val="00BC5BE9"/>
    <w:rsid w:val="00BC7DBC"/>
    <w:rsid w:val="00BD08CB"/>
    <w:rsid w:val="00BD10E9"/>
    <w:rsid w:val="00BD1A2B"/>
    <w:rsid w:val="00BD46F3"/>
    <w:rsid w:val="00BD48B9"/>
    <w:rsid w:val="00BD496E"/>
    <w:rsid w:val="00BD4C3B"/>
    <w:rsid w:val="00BD5420"/>
    <w:rsid w:val="00BD57A1"/>
    <w:rsid w:val="00BD5F6B"/>
    <w:rsid w:val="00BE3109"/>
    <w:rsid w:val="00BE41EF"/>
    <w:rsid w:val="00BE433B"/>
    <w:rsid w:val="00BE5705"/>
    <w:rsid w:val="00BE5DC4"/>
    <w:rsid w:val="00BE60E9"/>
    <w:rsid w:val="00BE7666"/>
    <w:rsid w:val="00BE7F10"/>
    <w:rsid w:val="00BF0331"/>
    <w:rsid w:val="00BF07CA"/>
    <w:rsid w:val="00BF0B76"/>
    <w:rsid w:val="00BF0BAA"/>
    <w:rsid w:val="00BF0DB5"/>
    <w:rsid w:val="00BF0F85"/>
    <w:rsid w:val="00BF19A1"/>
    <w:rsid w:val="00BF26AF"/>
    <w:rsid w:val="00BF28FF"/>
    <w:rsid w:val="00BF39C7"/>
    <w:rsid w:val="00BF5F0E"/>
    <w:rsid w:val="00C00509"/>
    <w:rsid w:val="00C00563"/>
    <w:rsid w:val="00C00784"/>
    <w:rsid w:val="00C03F17"/>
    <w:rsid w:val="00C04868"/>
    <w:rsid w:val="00C04CD9"/>
    <w:rsid w:val="00C050EC"/>
    <w:rsid w:val="00C07565"/>
    <w:rsid w:val="00C07761"/>
    <w:rsid w:val="00C07AAF"/>
    <w:rsid w:val="00C10C45"/>
    <w:rsid w:val="00C1102F"/>
    <w:rsid w:val="00C12A14"/>
    <w:rsid w:val="00C12B63"/>
    <w:rsid w:val="00C13464"/>
    <w:rsid w:val="00C15B07"/>
    <w:rsid w:val="00C16F26"/>
    <w:rsid w:val="00C17AD4"/>
    <w:rsid w:val="00C17C3F"/>
    <w:rsid w:val="00C21020"/>
    <w:rsid w:val="00C216C7"/>
    <w:rsid w:val="00C22E68"/>
    <w:rsid w:val="00C230CB"/>
    <w:rsid w:val="00C23743"/>
    <w:rsid w:val="00C243B4"/>
    <w:rsid w:val="00C25098"/>
    <w:rsid w:val="00C26127"/>
    <w:rsid w:val="00C26B3E"/>
    <w:rsid w:val="00C2798B"/>
    <w:rsid w:val="00C27C36"/>
    <w:rsid w:val="00C3004E"/>
    <w:rsid w:val="00C309E8"/>
    <w:rsid w:val="00C30A76"/>
    <w:rsid w:val="00C30B0C"/>
    <w:rsid w:val="00C30E03"/>
    <w:rsid w:val="00C30E79"/>
    <w:rsid w:val="00C314EF"/>
    <w:rsid w:val="00C32417"/>
    <w:rsid w:val="00C3249F"/>
    <w:rsid w:val="00C324B0"/>
    <w:rsid w:val="00C32D54"/>
    <w:rsid w:val="00C3314D"/>
    <w:rsid w:val="00C335CB"/>
    <w:rsid w:val="00C33C12"/>
    <w:rsid w:val="00C341C2"/>
    <w:rsid w:val="00C34372"/>
    <w:rsid w:val="00C361BF"/>
    <w:rsid w:val="00C3636A"/>
    <w:rsid w:val="00C3727E"/>
    <w:rsid w:val="00C42225"/>
    <w:rsid w:val="00C4253C"/>
    <w:rsid w:val="00C437AF"/>
    <w:rsid w:val="00C43FC3"/>
    <w:rsid w:val="00C44D97"/>
    <w:rsid w:val="00C4591E"/>
    <w:rsid w:val="00C45A7D"/>
    <w:rsid w:val="00C472DF"/>
    <w:rsid w:val="00C47691"/>
    <w:rsid w:val="00C50AC1"/>
    <w:rsid w:val="00C50C1B"/>
    <w:rsid w:val="00C52E5A"/>
    <w:rsid w:val="00C5398E"/>
    <w:rsid w:val="00C5450C"/>
    <w:rsid w:val="00C554EC"/>
    <w:rsid w:val="00C55C35"/>
    <w:rsid w:val="00C57987"/>
    <w:rsid w:val="00C60DC5"/>
    <w:rsid w:val="00C61264"/>
    <w:rsid w:val="00C6144F"/>
    <w:rsid w:val="00C61F90"/>
    <w:rsid w:val="00C6463A"/>
    <w:rsid w:val="00C64A42"/>
    <w:rsid w:val="00C664FD"/>
    <w:rsid w:val="00C6781E"/>
    <w:rsid w:val="00C71850"/>
    <w:rsid w:val="00C722AF"/>
    <w:rsid w:val="00C747DE"/>
    <w:rsid w:val="00C7656C"/>
    <w:rsid w:val="00C7671E"/>
    <w:rsid w:val="00C7696A"/>
    <w:rsid w:val="00C80666"/>
    <w:rsid w:val="00C8304D"/>
    <w:rsid w:val="00C83D6E"/>
    <w:rsid w:val="00C84E27"/>
    <w:rsid w:val="00C877AD"/>
    <w:rsid w:val="00C906F0"/>
    <w:rsid w:val="00C90C12"/>
    <w:rsid w:val="00C91FDC"/>
    <w:rsid w:val="00C921AA"/>
    <w:rsid w:val="00C92C1F"/>
    <w:rsid w:val="00C9307F"/>
    <w:rsid w:val="00C93602"/>
    <w:rsid w:val="00C93FD8"/>
    <w:rsid w:val="00C94EEA"/>
    <w:rsid w:val="00C95338"/>
    <w:rsid w:val="00C957FC"/>
    <w:rsid w:val="00C96137"/>
    <w:rsid w:val="00C96A89"/>
    <w:rsid w:val="00C96B72"/>
    <w:rsid w:val="00C96DD0"/>
    <w:rsid w:val="00C97899"/>
    <w:rsid w:val="00CA03AE"/>
    <w:rsid w:val="00CA33C1"/>
    <w:rsid w:val="00CA6963"/>
    <w:rsid w:val="00CA6DDF"/>
    <w:rsid w:val="00CA7D32"/>
    <w:rsid w:val="00CA7E5D"/>
    <w:rsid w:val="00CB1154"/>
    <w:rsid w:val="00CB19ED"/>
    <w:rsid w:val="00CB2693"/>
    <w:rsid w:val="00CB4243"/>
    <w:rsid w:val="00CB4D2F"/>
    <w:rsid w:val="00CB514E"/>
    <w:rsid w:val="00CB5170"/>
    <w:rsid w:val="00CB736C"/>
    <w:rsid w:val="00CC0320"/>
    <w:rsid w:val="00CC0477"/>
    <w:rsid w:val="00CC0F54"/>
    <w:rsid w:val="00CC291A"/>
    <w:rsid w:val="00CC2947"/>
    <w:rsid w:val="00CC3FFA"/>
    <w:rsid w:val="00CC4F2D"/>
    <w:rsid w:val="00CC56EF"/>
    <w:rsid w:val="00CC64AC"/>
    <w:rsid w:val="00CC72D1"/>
    <w:rsid w:val="00CC75EF"/>
    <w:rsid w:val="00CC7CA5"/>
    <w:rsid w:val="00CD121D"/>
    <w:rsid w:val="00CD16F1"/>
    <w:rsid w:val="00CD2900"/>
    <w:rsid w:val="00CD3759"/>
    <w:rsid w:val="00CD3A1C"/>
    <w:rsid w:val="00CD4915"/>
    <w:rsid w:val="00CD79FD"/>
    <w:rsid w:val="00CE0E59"/>
    <w:rsid w:val="00CE1563"/>
    <w:rsid w:val="00CE3E79"/>
    <w:rsid w:val="00CE4EFC"/>
    <w:rsid w:val="00CE546A"/>
    <w:rsid w:val="00CE5EEC"/>
    <w:rsid w:val="00CE69B2"/>
    <w:rsid w:val="00CF0092"/>
    <w:rsid w:val="00CF165F"/>
    <w:rsid w:val="00CF260D"/>
    <w:rsid w:val="00CF3159"/>
    <w:rsid w:val="00CF348E"/>
    <w:rsid w:val="00CF34CF"/>
    <w:rsid w:val="00CF35E6"/>
    <w:rsid w:val="00CF4AFB"/>
    <w:rsid w:val="00CF4EAA"/>
    <w:rsid w:val="00CF77DB"/>
    <w:rsid w:val="00D001AE"/>
    <w:rsid w:val="00D0091F"/>
    <w:rsid w:val="00D00E2A"/>
    <w:rsid w:val="00D0138D"/>
    <w:rsid w:val="00D044D5"/>
    <w:rsid w:val="00D04769"/>
    <w:rsid w:val="00D05515"/>
    <w:rsid w:val="00D05BC9"/>
    <w:rsid w:val="00D05F6D"/>
    <w:rsid w:val="00D071DE"/>
    <w:rsid w:val="00D07343"/>
    <w:rsid w:val="00D110AF"/>
    <w:rsid w:val="00D11364"/>
    <w:rsid w:val="00D115DE"/>
    <w:rsid w:val="00D1227F"/>
    <w:rsid w:val="00D12F71"/>
    <w:rsid w:val="00D15EE5"/>
    <w:rsid w:val="00D17869"/>
    <w:rsid w:val="00D17E2A"/>
    <w:rsid w:val="00D24317"/>
    <w:rsid w:val="00D2471E"/>
    <w:rsid w:val="00D24B8D"/>
    <w:rsid w:val="00D2746B"/>
    <w:rsid w:val="00D31091"/>
    <w:rsid w:val="00D31B03"/>
    <w:rsid w:val="00D323DB"/>
    <w:rsid w:val="00D35D51"/>
    <w:rsid w:val="00D36581"/>
    <w:rsid w:val="00D36C16"/>
    <w:rsid w:val="00D37C42"/>
    <w:rsid w:val="00D41F3B"/>
    <w:rsid w:val="00D422A1"/>
    <w:rsid w:val="00D42B82"/>
    <w:rsid w:val="00D43FA5"/>
    <w:rsid w:val="00D440A4"/>
    <w:rsid w:val="00D45465"/>
    <w:rsid w:val="00D47D05"/>
    <w:rsid w:val="00D5004D"/>
    <w:rsid w:val="00D50216"/>
    <w:rsid w:val="00D50425"/>
    <w:rsid w:val="00D51004"/>
    <w:rsid w:val="00D51508"/>
    <w:rsid w:val="00D51789"/>
    <w:rsid w:val="00D53428"/>
    <w:rsid w:val="00D548B1"/>
    <w:rsid w:val="00D55789"/>
    <w:rsid w:val="00D56689"/>
    <w:rsid w:val="00D576FE"/>
    <w:rsid w:val="00D60309"/>
    <w:rsid w:val="00D60B85"/>
    <w:rsid w:val="00D60BE5"/>
    <w:rsid w:val="00D60D0A"/>
    <w:rsid w:val="00D61114"/>
    <w:rsid w:val="00D6180B"/>
    <w:rsid w:val="00D62185"/>
    <w:rsid w:val="00D63EAA"/>
    <w:rsid w:val="00D64825"/>
    <w:rsid w:val="00D6487F"/>
    <w:rsid w:val="00D64D79"/>
    <w:rsid w:val="00D6566C"/>
    <w:rsid w:val="00D662A9"/>
    <w:rsid w:val="00D66EBB"/>
    <w:rsid w:val="00D67772"/>
    <w:rsid w:val="00D71BF6"/>
    <w:rsid w:val="00D73E31"/>
    <w:rsid w:val="00D75500"/>
    <w:rsid w:val="00D757B2"/>
    <w:rsid w:val="00D76619"/>
    <w:rsid w:val="00D76BB7"/>
    <w:rsid w:val="00D77037"/>
    <w:rsid w:val="00D77287"/>
    <w:rsid w:val="00D814B1"/>
    <w:rsid w:val="00D818A3"/>
    <w:rsid w:val="00D82802"/>
    <w:rsid w:val="00D82882"/>
    <w:rsid w:val="00D82B02"/>
    <w:rsid w:val="00D8368A"/>
    <w:rsid w:val="00D838F8"/>
    <w:rsid w:val="00D840E8"/>
    <w:rsid w:val="00D8550B"/>
    <w:rsid w:val="00D85E87"/>
    <w:rsid w:val="00D86613"/>
    <w:rsid w:val="00D87D4B"/>
    <w:rsid w:val="00D9020F"/>
    <w:rsid w:val="00D9039B"/>
    <w:rsid w:val="00D9323A"/>
    <w:rsid w:val="00D942C9"/>
    <w:rsid w:val="00D950A4"/>
    <w:rsid w:val="00D95699"/>
    <w:rsid w:val="00D96670"/>
    <w:rsid w:val="00D9694E"/>
    <w:rsid w:val="00D96FEE"/>
    <w:rsid w:val="00D97883"/>
    <w:rsid w:val="00DA0336"/>
    <w:rsid w:val="00DA0E7A"/>
    <w:rsid w:val="00DA1EED"/>
    <w:rsid w:val="00DA24BC"/>
    <w:rsid w:val="00DA3005"/>
    <w:rsid w:val="00DA32EA"/>
    <w:rsid w:val="00DA3A0D"/>
    <w:rsid w:val="00DA3A76"/>
    <w:rsid w:val="00DA3EB8"/>
    <w:rsid w:val="00DA6F44"/>
    <w:rsid w:val="00DA74AC"/>
    <w:rsid w:val="00DA75FF"/>
    <w:rsid w:val="00DB0D96"/>
    <w:rsid w:val="00DB0F7A"/>
    <w:rsid w:val="00DB18D9"/>
    <w:rsid w:val="00DB26A2"/>
    <w:rsid w:val="00DB29CD"/>
    <w:rsid w:val="00DB2E99"/>
    <w:rsid w:val="00DB30CF"/>
    <w:rsid w:val="00DB4EA1"/>
    <w:rsid w:val="00DB677E"/>
    <w:rsid w:val="00DB6D7A"/>
    <w:rsid w:val="00DC003F"/>
    <w:rsid w:val="00DC0CE2"/>
    <w:rsid w:val="00DC189A"/>
    <w:rsid w:val="00DC239E"/>
    <w:rsid w:val="00DC2ADE"/>
    <w:rsid w:val="00DC4450"/>
    <w:rsid w:val="00DC493E"/>
    <w:rsid w:val="00DC5D94"/>
    <w:rsid w:val="00DC6B9D"/>
    <w:rsid w:val="00DC7C0B"/>
    <w:rsid w:val="00DC7DB5"/>
    <w:rsid w:val="00DD021C"/>
    <w:rsid w:val="00DD0247"/>
    <w:rsid w:val="00DD165B"/>
    <w:rsid w:val="00DD17FA"/>
    <w:rsid w:val="00DD4D06"/>
    <w:rsid w:val="00DD4F9C"/>
    <w:rsid w:val="00DD59B6"/>
    <w:rsid w:val="00DD5AB5"/>
    <w:rsid w:val="00DD5BF5"/>
    <w:rsid w:val="00DD718B"/>
    <w:rsid w:val="00DE042A"/>
    <w:rsid w:val="00DE0A4E"/>
    <w:rsid w:val="00DE0D14"/>
    <w:rsid w:val="00DE24C3"/>
    <w:rsid w:val="00DE2B01"/>
    <w:rsid w:val="00DE300D"/>
    <w:rsid w:val="00DE39A6"/>
    <w:rsid w:val="00DE3F88"/>
    <w:rsid w:val="00DE4074"/>
    <w:rsid w:val="00DE408E"/>
    <w:rsid w:val="00DE47C6"/>
    <w:rsid w:val="00DE703F"/>
    <w:rsid w:val="00DE728D"/>
    <w:rsid w:val="00DE7292"/>
    <w:rsid w:val="00DE79BC"/>
    <w:rsid w:val="00DE7D4F"/>
    <w:rsid w:val="00DF0DCD"/>
    <w:rsid w:val="00DF14C8"/>
    <w:rsid w:val="00DF30C7"/>
    <w:rsid w:val="00DF6028"/>
    <w:rsid w:val="00DF6451"/>
    <w:rsid w:val="00DF73D4"/>
    <w:rsid w:val="00E005AC"/>
    <w:rsid w:val="00E0161D"/>
    <w:rsid w:val="00E01D32"/>
    <w:rsid w:val="00E02A0D"/>
    <w:rsid w:val="00E02B92"/>
    <w:rsid w:val="00E03641"/>
    <w:rsid w:val="00E04DAF"/>
    <w:rsid w:val="00E05B18"/>
    <w:rsid w:val="00E05B88"/>
    <w:rsid w:val="00E05D07"/>
    <w:rsid w:val="00E05E78"/>
    <w:rsid w:val="00E06810"/>
    <w:rsid w:val="00E06A5D"/>
    <w:rsid w:val="00E07A3C"/>
    <w:rsid w:val="00E106CA"/>
    <w:rsid w:val="00E10B79"/>
    <w:rsid w:val="00E10D63"/>
    <w:rsid w:val="00E111E7"/>
    <w:rsid w:val="00E115A3"/>
    <w:rsid w:val="00E1311B"/>
    <w:rsid w:val="00E137A4"/>
    <w:rsid w:val="00E14ECD"/>
    <w:rsid w:val="00E14F65"/>
    <w:rsid w:val="00E153E9"/>
    <w:rsid w:val="00E2199B"/>
    <w:rsid w:val="00E221A5"/>
    <w:rsid w:val="00E22B5F"/>
    <w:rsid w:val="00E253DB"/>
    <w:rsid w:val="00E27389"/>
    <w:rsid w:val="00E3098B"/>
    <w:rsid w:val="00E30A31"/>
    <w:rsid w:val="00E30BBB"/>
    <w:rsid w:val="00E31E16"/>
    <w:rsid w:val="00E33154"/>
    <w:rsid w:val="00E33BB7"/>
    <w:rsid w:val="00E34377"/>
    <w:rsid w:val="00E344ED"/>
    <w:rsid w:val="00E34A0A"/>
    <w:rsid w:val="00E34CF8"/>
    <w:rsid w:val="00E35026"/>
    <w:rsid w:val="00E35BE2"/>
    <w:rsid w:val="00E366B0"/>
    <w:rsid w:val="00E4160A"/>
    <w:rsid w:val="00E425F5"/>
    <w:rsid w:val="00E429C8"/>
    <w:rsid w:val="00E42DA4"/>
    <w:rsid w:val="00E444F3"/>
    <w:rsid w:val="00E4548F"/>
    <w:rsid w:val="00E45A1E"/>
    <w:rsid w:val="00E45EA0"/>
    <w:rsid w:val="00E45EC8"/>
    <w:rsid w:val="00E45FCC"/>
    <w:rsid w:val="00E47711"/>
    <w:rsid w:val="00E47E68"/>
    <w:rsid w:val="00E50B3F"/>
    <w:rsid w:val="00E52788"/>
    <w:rsid w:val="00E53C7D"/>
    <w:rsid w:val="00E53EA9"/>
    <w:rsid w:val="00E54E92"/>
    <w:rsid w:val="00E559F7"/>
    <w:rsid w:val="00E5741C"/>
    <w:rsid w:val="00E57AE0"/>
    <w:rsid w:val="00E57F9F"/>
    <w:rsid w:val="00E60BD4"/>
    <w:rsid w:val="00E62A4E"/>
    <w:rsid w:val="00E62B61"/>
    <w:rsid w:val="00E62F6A"/>
    <w:rsid w:val="00E63858"/>
    <w:rsid w:val="00E6461C"/>
    <w:rsid w:val="00E6603C"/>
    <w:rsid w:val="00E66758"/>
    <w:rsid w:val="00E67579"/>
    <w:rsid w:val="00E70F16"/>
    <w:rsid w:val="00E7155B"/>
    <w:rsid w:val="00E71571"/>
    <w:rsid w:val="00E722CE"/>
    <w:rsid w:val="00E72C04"/>
    <w:rsid w:val="00E73243"/>
    <w:rsid w:val="00E73D4A"/>
    <w:rsid w:val="00E754A1"/>
    <w:rsid w:val="00E7565A"/>
    <w:rsid w:val="00E75E9D"/>
    <w:rsid w:val="00E76711"/>
    <w:rsid w:val="00E7720F"/>
    <w:rsid w:val="00E77715"/>
    <w:rsid w:val="00E80332"/>
    <w:rsid w:val="00E81F92"/>
    <w:rsid w:val="00E821EC"/>
    <w:rsid w:val="00E8268D"/>
    <w:rsid w:val="00E8321E"/>
    <w:rsid w:val="00E8400E"/>
    <w:rsid w:val="00E85086"/>
    <w:rsid w:val="00E86DDD"/>
    <w:rsid w:val="00E86FC3"/>
    <w:rsid w:val="00E8788C"/>
    <w:rsid w:val="00E90038"/>
    <w:rsid w:val="00E90BAE"/>
    <w:rsid w:val="00E90EF9"/>
    <w:rsid w:val="00E9131A"/>
    <w:rsid w:val="00E93B22"/>
    <w:rsid w:val="00E9415D"/>
    <w:rsid w:val="00E946DD"/>
    <w:rsid w:val="00E9622E"/>
    <w:rsid w:val="00E962BD"/>
    <w:rsid w:val="00E976EA"/>
    <w:rsid w:val="00EA0856"/>
    <w:rsid w:val="00EA2355"/>
    <w:rsid w:val="00EA2931"/>
    <w:rsid w:val="00EA2A44"/>
    <w:rsid w:val="00EA2CF6"/>
    <w:rsid w:val="00EA3303"/>
    <w:rsid w:val="00EA4121"/>
    <w:rsid w:val="00EA4B9F"/>
    <w:rsid w:val="00EA4D11"/>
    <w:rsid w:val="00EA547E"/>
    <w:rsid w:val="00EA62F1"/>
    <w:rsid w:val="00EA63E4"/>
    <w:rsid w:val="00EA6B3E"/>
    <w:rsid w:val="00EB087A"/>
    <w:rsid w:val="00EB0C8A"/>
    <w:rsid w:val="00EB1687"/>
    <w:rsid w:val="00EB2333"/>
    <w:rsid w:val="00EB2F2F"/>
    <w:rsid w:val="00EB577F"/>
    <w:rsid w:val="00EB7690"/>
    <w:rsid w:val="00EB7ADA"/>
    <w:rsid w:val="00EC1093"/>
    <w:rsid w:val="00EC2C0B"/>
    <w:rsid w:val="00EC4642"/>
    <w:rsid w:val="00EC5140"/>
    <w:rsid w:val="00EC5956"/>
    <w:rsid w:val="00EC59B1"/>
    <w:rsid w:val="00EC686F"/>
    <w:rsid w:val="00EC6C99"/>
    <w:rsid w:val="00EC7C0C"/>
    <w:rsid w:val="00ED019E"/>
    <w:rsid w:val="00ED3187"/>
    <w:rsid w:val="00ED3DF3"/>
    <w:rsid w:val="00ED46FF"/>
    <w:rsid w:val="00ED580A"/>
    <w:rsid w:val="00ED5B02"/>
    <w:rsid w:val="00ED6380"/>
    <w:rsid w:val="00ED71F7"/>
    <w:rsid w:val="00EE08DB"/>
    <w:rsid w:val="00EE0CDF"/>
    <w:rsid w:val="00EE1363"/>
    <w:rsid w:val="00EE59C5"/>
    <w:rsid w:val="00EE5E60"/>
    <w:rsid w:val="00EE6542"/>
    <w:rsid w:val="00EE7126"/>
    <w:rsid w:val="00EF04BC"/>
    <w:rsid w:val="00EF0906"/>
    <w:rsid w:val="00EF10E9"/>
    <w:rsid w:val="00EF22F8"/>
    <w:rsid w:val="00EF2681"/>
    <w:rsid w:val="00EF2A73"/>
    <w:rsid w:val="00EF2B09"/>
    <w:rsid w:val="00EF33D4"/>
    <w:rsid w:val="00EF3813"/>
    <w:rsid w:val="00EF3FC8"/>
    <w:rsid w:val="00EF4E71"/>
    <w:rsid w:val="00EF56E1"/>
    <w:rsid w:val="00EF57F2"/>
    <w:rsid w:val="00EF5D67"/>
    <w:rsid w:val="00EF6118"/>
    <w:rsid w:val="00EF6393"/>
    <w:rsid w:val="00EF65D6"/>
    <w:rsid w:val="00EF774D"/>
    <w:rsid w:val="00EF784A"/>
    <w:rsid w:val="00EF7867"/>
    <w:rsid w:val="00F001D4"/>
    <w:rsid w:val="00F025A1"/>
    <w:rsid w:val="00F03695"/>
    <w:rsid w:val="00F04A97"/>
    <w:rsid w:val="00F0774E"/>
    <w:rsid w:val="00F122C4"/>
    <w:rsid w:val="00F12ADF"/>
    <w:rsid w:val="00F12D6F"/>
    <w:rsid w:val="00F13122"/>
    <w:rsid w:val="00F134F8"/>
    <w:rsid w:val="00F139A0"/>
    <w:rsid w:val="00F13DA8"/>
    <w:rsid w:val="00F14847"/>
    <w:rsid w:val="00F1572C"/>
    <w:rsid w:val="00F15B73"/>
    <w:rsid w:val="00F161BB"/>
    <w:rsid w:val="00F16BA1"/>
    <w:rsid w:val="00F16EA7"/>
    <w:rsid w:val="00F1710C"/>
    <w:rsid w:val="00F20712"/>
    <w:rsid w:val="00F20A82"/>
    <w:rsid w:val="00F2158F"/>
    <w:rsid w:val="00F21F88"/>
    <w:rsid w:val="00F2252F"/>
    <w:rsid w:val="00F22D37"/>
    <w:rsid w:val="00F2313E"/>
    <w:rsid w:val="00F23530"/>
    <w:rsid w:val="00F2389C"/>
    <w:rsid w:val="00F2457F"/>
    <w:rsid w:val="00F249E2"/>
    <w:rsid w:val="00F24CFD"/>
    <w:rsid w:val="00F262A2"/>
    <w:rsid w:val="00F26F46"/>
    <w:rsid w:val="00F26FC1"/>
    <w:rsid w:val="00F27612"/>
    <w:rsid w:val="00F27B85"/>
    <w:rsid w:val="00F301BB"/>
    <w:rsid w:val="00F30293"/>
    <w:rsid w:val="00F32EDF"/>
    <w:rsid w:val="00F33350"/>
    <w:rsid w:val="00F33E20"/>
    <w:rsid w:val="00F3440B"/>
    <w:rsid w:val="00F348DE"/>
    <w:rsid w:val="00F34EA9"/>
    <w:rsid w:val="00F35660"/>
    <w:rsid w:val="00F356F1"/>
    <w:rsid w:val="00F369F7"/>
    <w:rsid w:val="00F36D82"/>
    <w:rsid w:val="00F40285"/>
    <w:rsid w:val="00F40386"/>
    <w:rsid w:val="00F431F0"/>
    <w:rsid w:val="00F43E13"/>
    <w:rsid w:val="00F46FAE"/>
    <w:rsid w:val="00F47300"/>
    <w:rsid w:val="00F478A4"/>
    <w:rsid w:val="00F50AB6"/>
    <w:rsid w:val="00F50B89"/>
    <w:rsid w:val="00F51F45"/>
    <w:rsid w:val="00F53F6A"/>
    <w:rsid w:val="00F54821"/>
    <w:rsid w:val="00F560A2"/>
    <w:rsid w:val="00F562D9"/>
    <w:rsid w:val="00F56449"/>
    <w:rsid w:val="00F57736"/>
    <w:rsid w:val="00F5788A"/>
    <w:rsid w:val="00F57C68"/>
    <w:rsid w:val="00F60E74"/>
    <w:rsid w:val="00F612DC"/>
    <w:rsid w:val="00F6169E"/>
    <w:rsid w:val="00F62F67"/>
    <w:rsid w:val="00F635BC"/>
    <w:rsid w:val="00F63898"/>
    <w:rsid w:val="00F666F1"/>
    <w:rsid w:val="00F677FE"/>
    <w:rsid w:val="00F679F0"/>
    <w:rsid w:val="00F67BF5"/>
    <w:rsid w:val="00F67C8E"/>
    <w:rsid w:val="00F707A7"/>
    <w:rsid w:val="00F70CC3"/>
    <w:rsid w:val="00F717B3"/>
    <w:rsid w:val="00F7209B"/>
    <w:rsid w:val="00F7318D"/>
    <w:rsid w:val="00F7351D"/>
    <w:rsid w:val="00F743EC"/>
    <w:rsid w:val="00F74766"/>
    <w:rsid w:val="00F74E22"/>
    <w:rsid w:val="00F7556A"/>
    <w:rsid w:val="00F75C54"/>
    <w:rsid w:val="00F77F6C"/>
    <w:rsid w:val="00F8007E"/>
    <w:rsid w:val="00F8040E"/>
    <w:rsid w:val="00F81609"/>
    <w:rsid w:val="00F83581"/>
    <w:rsid w:val="00F86455"/>
    <w:rsid w:val="00F86AB5"/>
    <w:rsid w:val="00F87EB7"/>
    <w:rsid w:val="00F87EB9"/>
    <w:rsid w:val="00F91C97"/>
    <w:rsid w:val="00F92558"/>
    <w:rsid w:val="00F92CAB"/>
    <w:rsid w:val="00F92DAE"/>
    <w:rsid w:val="00F94ABC"/>
    <w:rsid w:val="00F94DE7"/>
    <w:rsid w:val="00F94E2E"/>
    <w:rsid w:val="00F9645C"/>
    <w:rsid w:val="00F96635"/>
    <w:rsid w:val="00F96896"/>
    <w:rsid w:val="00F96E5B"/>
    <w:rsid w:val="00F97D3F"/>
    <w:rsid w:val="00F97DA1"/>
    <w:rsid w:val="00FA0029"/>
    <w:rsid w:val="00FA03AE"/>
    <w:rsid w:val="00FA12AC"/>
    <w:rsid w:val="00FA14E0"/>
    <w:rsid w:val="00FA168E"/>
    <w:rsid w:val="00FA4755"/>
    <w:rsid w:val="00FA6D78"/>
    <w:rsid w:val="00FA7A16"/>
    <w:rsid w:val="00FA7F86"/>
    <w:rsid w:val="00FB0BB5"/>
    <w:rsid w:val="00FB0FFD"/>
    <w:rsid w:val="00FB3094"/>
    <w:rsid w:val="00FB3536"/>
    <w:rsid w:val="00FB35E6"/>
    <w:rsid w:val="00FB4962"/>
    <w:rsid w:val="00FB49A1"/>
    <w:rsid w:val="00FB4DB7"/>
    <w:rsid w:val="00FB4E99"/>
    <w:rsid w:val="00FB5546"/>
    <w:rsid w:val="00FB64C5"/>
    <w:rsid w:val="00FB6E7C"/>
    <w:rsid w:val="00FB7006"/>
    <w:rsid w:val="00FB7020"/>
    <w:rsid w:val="00FB75CC"/>
    <w:rsid w:val="00FC1176"/>
    <w:rsid w:val="00FC2757"/>
    <w:rsid w:val="00FC2EA2"/>
    <w:rsid w:val="00FC37E4"/>
    <w:rsid w:val="00FC3D02"/>
    <w:rsid w:val="00FC46CA"/>
    <w:rsid w:val="00FC476F"/>
    <w:rsid w:val="00FC4C09"/>
    <w:rsid w:val="00FC5429"/>
    <w:rsid w:val="00FC77D7"/>
    <w:rsid w:val="00FD1406"/>
    <w:rsid w:val="00FD404E"/>
    <w:rsid w:val="00FD43F2"/>
    <w:rsid w:val="00FD5228"/>
    <w:rsid w:val="00FD56E8"/>
    <w:rsid w:val="00FD5C60"/>
    <w:rsid w:val="00FD5E38"/>
    <w:rsid w:val="00FD60FC"/>
    <w:rsid w:val="00FD611E"/>
    <w:rsid w:val="00FD7D2E"/>
    <w:rsid w:val="00FD7E84"/>
    <w:rsid w:val="00FE0886"/>
    <w:rsid w:val="00FE1113"/>
    <w:rsid w:val="00FE2367"/>
    <w:rsid w:val="00FE2B5E"/>
    <w:rsid w:val="00FE2C2A"/>
    <w:rsid w:val="00FE2F87"/>
    <w:rsid w:val="00FE3031"/>
    <w:rsid w:val="00FE4493"/>
    <w:rsid w:val="00FE4BEC"/>
    <w:rsid w:val="00FE51E5"/>
    <w:rsid w:val="00FE59A2"/>
    <w:rsid w:val="00FE6116"/>
    <w:rsid w:val="00FE7144"/>
    <w:rsid w:val="00FE7D75"/>
    <w:rsid w:val="00FE7E64"/>
    <w:rsid w:val="00FF10D1"/>
    <w:rsid w:val="00FF23AC"/>
    <w:rsid w:val="00FF2693"/>
    <w:rsid w:val="00FF2956"/>
    <w:rsid w:val="00FF4109"/>
    <w:rsid w:val="00FF42D2"/>
    <w:rsid w:val="00FF5D38"/>
    <w:rsid w:val="00FF5E02"/>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6C23"/>
  </w:style>
  <w:style w:type="paragraph" w:styleId="Cmsor1">
    <w:name w:val="heading 1"/>
    <w:basedOn w:val="Nincstrkz"/>
    <w:next w:val="Nincstrkz"/>
    <w:link w:val="Cmsor1Char"/>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Cmsor2">
    <w:name w:val="heading 2"/>
    <w:next w:val="Nincstrkz"/>
    <w:link w:val="Cmsor2Char"/>
    <w:autoRedefine/>
    <w:uiPriority w:val="9"/>
    <w:unhideWhenUsed/>
    <w:qFormat/>
    <w:rsid w:val="00DC189A"/>
    <w:pPr>
      <w:keepNext/>
      <w:keepLines/>
      <w:spacing w:after="120" w:line="240" w:lineRule="auto"/>
      <w:jc w:val="center"/>
      <w:outlineLvl w:val="1"/>
    </w:pPr>
    <w:rPr>
      <w:b/>
      <w:u w:val="single"/>
    </w:rPr>
  </w:style>
  <w:style w:type="paragraph" w:styleId="Cmsor3">
    <w:name w:val="heading 3"/>
    <w:basedOn w:val="Nincstrkz"/>
    <w:next w:val="Norml"/>
    <w:link w:val="Cmsor3Char"/>
    <w:uiPriority w:val="9"/>
    <w:unhideWhenUsed/>
    <w:qFormat/>
    <w:rsid w:val="00D24317"/>
    <w:pPr>
      <w:outlineLvl w:val="2"/>
    </w:pPr>
    <w:rPr>
      <w:b/>
    </w:rPr>
  </w:style>
  <w:style w:type="paragraph" w:styleId="Cmsor4">
    <w:name w:val="heading 4"/>
    <w:basedOn w:val="Nincstrkz"/>
    <w:next w:val="Norml"/>
    <w:link w:val="Cmsor4Char"/>
    <w:uiPriority w:val="9"/>
    <w:unhideWhenUsed/>
    <w:qFormat/>
    <w:rsid w:val="00CF260D"/>
    <w:pPr>
      <w:numPr>
        <w:ilvl w:val="2"/>
        <w:numId w:val="2"/>
      </w:numPr>
      <w:ind w:left="0" w:firstLine="947"/>
      <w:outlineLvl w:val="3"/>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05B18"/>
    <w:pPr>
      <w:tabs>
        <w:tab w:val="center" w:pos="4536"/>
        <w:tab w:val="right" w:pos="9072"/>
      </w:tabs>
      <w:spacing w:after="0" w:line="240" w:lineRule="auto"/>
    </w:pPr>
  </w:style>
  <w:style w:type="character" w:customStyle="1" w:styleId="lfejChar">
    <w:name w:val="Élőfej Char"/>
    <w:basedOn w:val="Bekezdsalapbettpusa"/>
    <w:link w:val="lfej"/>
    <w:uiPriority w:val="99"/>
    <w:rsid w:val="00E05B18"/>
  </w:style>
  <w:style w:type="paragraph" w:styleId="llb">
    <w:name w:val="footer"/>
    <w:basedOn w:val="Nincstrkz"/>
    <w:link w:val="llbChar"/>
    <w:uiPriority w:val="99"/>
    <w:unhideWhenUsed/>
    <w:rsid w:val="00E05B18"/>
    <w:pPr>
      <w:tabs>
        <w:tab w:val="center" w:pos="4536"/>
        <w:tab w:val="right" w:pos="9072"/>
      </w:tabs>
    </w:pPr>
  </w:style>
  <w:style w:type="character" w:customStyle="1" w:styleId="llbChar">
    <w:name w:val="Élőláb Char"/>
    <w:basedOn w:val="Bekezdsalapbettpusa"/>
    <w:link w:val="llb"/>
    <w:uiPriority w:val="99"/>
    <w:rsid w:val="00A26C23"/>
  </w:style>
  <w:style w:type="paragraph" w:styleId="Buborkszveg">
    <w:name w:val="Balloon Text"/>
    <w:basedOn w:val="Norml"/>
    <w:link w:val="BuborkszvegChar"/>
    <w:uiPriority w:val="99"/>
    <w:semiHidden/>
    <w:unhideWhenUsed/>
    <w:rsid w:val="00E05B1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05B18"/>
    <w:rPr>
      <w:rFonts w:ascii="Tahoma" w:hAnsi="Tahoma" w:cs="Tahoma"/>
      <w:sz w:val="16"/>
      <w:szCs w:val="16"/>
    </w:rPr>
  </w:style>
  <w:style w:type="paragraph" w:styleId="Nincstrkz">
    <w:name w:val="No Spacing"/>
    <w:uiPriority w:val="1"/>
    <w:qFormat/>
    <w:rsid w:val="00A37AEB"/>
    <w:pPr>
      <w:spacing w:after="0" w:line="240" w:lineRule="auto"/>
    </w:pPr>
  </w:style>
  <w:style w:type="paragraph" w:styleId="Cm">
    <w:name w:val="Title"/>
    <w:basedOn w:val="Nincstrkz"/>
    <w:next w:val="Nincstrkz"/>
    <w:link w:val="CmChar"/>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Cmsor1Char">
    <w:name w:val="Címsor 1 Char"/>
    <w:basedOn w:val="Bekezdsalapbettpusa"/>
    <w:link w:val="Cmsor1"/>
    <w:uiPriority w:val="9"/>
    <w:rsid w:val="00454528"/>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DC189A"/>
    <w:rPr>
      <w:b/>
      <w:u w:val="single"/>
    </w:rPr>
  </w:style>
  <w:style w:type="paragraph" w:styleId="Alcm">
    <w:name w:val="Subtitle"/>
    <w:basedOn w:val="Nincstrkz"/>
    <w:next w:val="Nincstrkz"/>
    <w:link w:val="AlcmChar"/>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567357"/>
    <w:rPr>
      <w:rFonts w:asciiTheme="majorHAnsi" w:eastAsiaTheme="majorEastAsia" w:hAnsiTheme="majorHAnsi" w:cstheme="majorBidi"/>
      <w:i/>
      <w:iCs/>
      <w:color w:val="4F81BD" w:themeColor="accent1"/>
      <w:spacing w:val="15"/>
      <w:sz w:val="24"/>
      <w:szCs w:val="24"/>
    </w:rPr>
  </w:style>
  <w:style w:type="paragraph" w:styleId="Kiemeltidzet">
    <w:name w:val="Intense Quote"/>
    <w:basedOn w:val="Nincstrkz"/>
    <w:next w:val="Nincstrkz"/>
    <w:link w:val="KiemeltidzetChar"/>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567357"/>
    <w:rPr>
      <w:b/>
      <w:bCs/>
      <w:i/>
      <w:iCs/>
      <w:color w:val="4F81BD" w:themeColor="accent1"/>
    </w:rPr>
  </w:style>
  <w:style w:type="table" w:styleId="Rcsostblzat">
    <w:name w:val="Table Grid"/>
    <w:basedOn w:val="Normltblzat"/>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incstrkz"/>
    <w:next w:val="Nincstrkz"/>
    <w:uiPriority w:val="35"/>
    <w:unhideWhenUsed/>
    <w:qFormat/>
    <w:rsid w:val="00ED71F7"/>
    <w:rPr>
      <w:b/>
      <w:bCs/>
      <w:szCs w:val="18"/>
    </w:rPr>
  </w:style>
  <w:style w:type="paragraph" w:styleId="Idzet">
    <w:name w:val="Quote"/>
    <w:basedOn w:val="Nincstrkz"/>
    <w:next w:val="Nincstrkz"/>
    <w:link w:val="IdzetChar"/>
    <w:uiPriority w:val="29"/>
    <w:qFormat/>
    <w:rsid w:val="009C4FD6"/>
    <w:rPr>
      <w:i/>
      <w:iCs/>
      <w:color w:val="000000" w:themeColor="text1"/>
    </w:rPr>
  </w:style>
  <w:style w:type="character" w:customStyle="1" w:styleId="IdzetChar">
    <w:name w:val="Idézet Char"/>
    <w:basedOn w:val="Bekezdsalapbettpusa"/>
    <w:link w:val="Idzet"/>
    <w:uiPriority w:val="29"/>
    <w:rsid w:val="009C4FD6"/>
    <w:rPr>
      <w:i/>
      <w:iCs/>
      <w:color w:val="000000" w:themeColor="text1"/>
    </w:rPr>
  </w:style>
  <w:style w:type="paragraph" w:styleId="Listaszerbekezds">
    <w:name w:val="List Paragraph"/>
    <w:basedOn w:val="Nincstrkz"/>
    <w:uiPriority w:val="34"/>
    <w:qFormat/>
    <w:rsid w:val="009C4FD6"/>
    <w:pPr>
      <w:ind w:left="720"/>
      <w:contextualSpacing/>
    </w:pPr>
  </w:style>
  <w:style w:type="paragraph" w:styleId="Lbjegyzetszveg">
    <w:name w:val="footnote text"/>
    <w:basedOn w:val="Nincstrkz"/>
    <w:link w:val="LbjegyzetszvegChar"/>
    <w:uiPriority w:val="99"/>
    <w:semiHidden/>
    <w:unhideWhenUsed/>
    <w:rsid w:val="00A26C23"/>
    <w:rPr>
      <w:sz w:val="20"/>
      <w:szCs w:val="20"/>
    </w:rPr>
  </w:style>
  <w:style w:type="character" w:customStyle="1" w:styleId="LbjegyzetszvegChar">
    <w:name w:val="Lábjegyzetszöveg Char"/>
    <w:basedOn w:val="Bekezdsalapbettpusa"/>
    <w:link w:val="Lbjegyzetszveg"/>
    <w:uiPriority w:val="99"/>
    <w:semiHidden/>
    <w:rsid w:val="00A26C23"/>
    <w:rPr>
      <w:sz w:val="20"/>
      <w:szCs w:val="20"/>
    </w:rPr>
  </w:style>
  <w:style w:type="character" w:styleId="Jegyzethivatkozs">
    <w:name w:val="annotation reference"/>
    <w:basedOn w:val="Bekezdsalapbettpusa"/>
    <w:uiPriority w:val="99"/>
    <w:unhideWhenUsed/>
    <w:rsid w:val="00CC291A"/>
    <w:rPr>
      <w:sz w:val="16"/>
      <w:szCs w:val="16"/>
    </w:rPr>
  </w:style>
  <w:style w:type="paragraph" w:styleId="Jegyzetszveg">
    <w:name w:val="annotation text"/>
    <w:basedOn w:val="Norml"/>
    <w:link w:val="JegyzetszvegChar"/>
    <w:uiPriority w:val="99"/>
    <w:unhideWhenUsed/>
    <w:rsid w:val="00CC291A"/>
    <w:pPr>
      <w:spacing w:line="240" w:lineRule="auto"/>
    </w:pPr>
    <w:rPr>
      <w:sz w:val="20"/>
      <w:szCs w:val="20"/>
    </w:rPr>
  </w:style>
  <w:style w:type="character" w:customStyle="1" w:styleId="JegyzetszvegChar">
    <w:name w:val="Jegyzetszöveg Char"/>
    <w:basedOn w:val="Bekezdsalapbettpusa"/>
    <w:link w:val="Jegyzetszveg"/>
    <w:uiPriority w:val="99"/>
    <w:rsid w:val="00CC291A"/>
    <w:rPr>
      <w:sz w:val="20"/>
      <w:szCs w:val="20"/>
    </w:rPr>
  </w:style>
  <w:style w:type="paragraph" w:styleId="Megjegyzstrgya">
    <w:name w:val="annotation subject"/>
    <w:basedOn w:val="Jegyzetszveg"/>
    <w:next w:val="Jegyzetszveg"/>
    <w:link w:val="MegjegyzstrgyaChar"/>
    <w:uiPriority w:val="99"/>
    <w:semiHidden/>
    <w:unhideWhenUsed/>
    <w:rsid w:val="00CC291A"/>
    <w:rPr>
      <w:b/>
      <w:bCs/>
    </w:rPr>
  </w:style>
  <w:style w:type="character" w:customStyle="1" w:styleId="MegjegyzstrgyaChar">
    <w:name w:val="Megjegyzés tárgya Char"/>
    <w:basedOn w:val="JegyzetszvegChar"/>
    <w:link w:val="Megjegyzstrgya"/>
    <w:uiPriority w:val="99"/>
    <w:semiHidden/>
    <w:rsid w:val="00CC291A"/>
    <w:rPr>
      <w:b/>
      <w:bCs/>
      <w:sz w:val="20"/>
      <w:szCs w:val="20"/>
    </w:rPr>
  </w:style>
  <w:style w:type="paragraph" w:customStyle="1" w:styleId="Char1">
    <w:name w:val="Char1"/>
    <w:basedOn w:val="Norml"/>
    <w:rsid w:val="00901473"/>
    <w:pPr>
      <w:spacing w:after="0" w:line="240" w:lineRule="auto"/>
    </w:pPr>
    <w:rPr>
      <w:rFonts w:ascii="Times New Roman" w:eastAsia="Times New Roman" w:hAnsi="Times New Roman" w:cs="Times New Roman"/>
      <w:sz w:val="24"/>
      <w:szCs w:val="24"/>
      <w:lang w:val="pl-PL" w:eastAsia="pl-PL"/>
    </w:rPr>
  </w:style>
  <w:style w:type="character" w:styleId="Hiperhivatkozs">
    <w:name w:val="Hyperlink"/>
    <w:basedOn w:val="Bekezdsalapbettpusa"/>
    <w:uiPriority w:val="99"/>
    <w:unhideWhenUsed/>
    <w:rsid w:val="00617D04"/>
    <w:rPr>
      <w:color w:val="0000FF" w:themeColor="hyperlink"/>
      <w:u w:val="single"/>
    </w:rPr>
  </w:style>
  <w:style w:type="table" w:styleId="Vilgosrnykols1jellszn">
    <w:name w:val="Light Shading Accent 1"/>
    <w:basedOn w:val="Normltblzat"/>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Mrltotthiperhivatkozs">
    <w:name w:val="FollowedHyperlink"/>
    <w:basedOn w:val="Bekezdsalapbettpusa"/>
    <w:uiPriority w:val="99"/>
    <w:semiHidden/>
    <w:unhideWhenUsed/>
    <w:rsid w:val="00AB4F90"/>
    <w:rPr>
      <w:color w:val="800080" w:themeColor="followedHyperlink"/>
      <w:u w:val="single"/>
    </w:rPr>
  </w:style>
  <w:style w:type="character" w:styleId="Lbjegyzet-hivatkozs">
    <w:name w:val="footnote reference"/>
    <w:basedOn w:val="Bekezdsalapbettpusa"/>
    <w:uiPriority w:val="99"/>
    <w:semiHidden/>
    <w:unhideWhenUsed/>
    <w:rsid w:val="00F262A2"/>
    <w:rPr>
      <w:vertAlign w:val="superscript"/>
    </w:rPr>
  </w:style>
  <w:style w:type="character" w:styleId="Kiemels">
    <w:name w:val="Emphasis"/>
    <w:uiPriority w:val="20"/>
    <w:qFormat/>
    <w:rsid w:val="000F0ABF"/>
    <w:rPr>
      <w:b/>
      <w:u w:val="single"/>
    </w:rPr>
  </w:style>
  <w:style w:type="character" w:styleId="Finomkiemels">
    <w:name w:val="Subtle Emphasis"/>
    <w:uiPriority w:val="19"/>
    <w:qFormat/>
    <w:rsid w:val="000F0ABF"/>
    <w:rPr>
      <w:b/>
    </w:rPr>
  </w:style>
  <w:style w:type="character" w:customStyle="1" w:styleId="Cmsor3Char">
    <w:name w:val="Címsor 3 Char"/>
    <w:basedOn w:val="Bekezdsalapbettpusa"/>
    <w:link w:val="Cmsor3"/>
    <w:uiPriority w:val="9"/>
    <w:rsid w:val="00D24317"/>
    <w:rPr>
      <w:b/>
    </w:rPr>
  </w:style>
  <w:style w:type="character" w:customStyle="1" w:styleId="Cmsor4Char">
    <w:name w:val="Címsor 4 Char"/>
    <w:basedOn w:val="Bekezdsalapbettpusa"/>
    <w:link w:val="Cmsor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Vltozat">
    <w:name w:val="Revision"/>
    <w:hidden/>
    <w:uiPriority w:val="99"/>
    <w:semiHidden/>
    <w:rsid w:val="0009058C"/>
    <w:pPr>
      <w:spacing w:after="0" w:line="240" w:lineRule="auto"/>
    </w:pPr>
  </w:style>
  <w:style w:type="character" w:customStyle="1" w:styleId="apple-converted-space">
    <w:name w:val="apple-converted-space"/>
    <w:basedOn w:val="Bekezdsalapbettpusa"/>
    <w:rsid w:val="009F3F80"/>
  </w:style>
  <w:style w:type="character" w:styleId="Kiemels2">
    <w:name w:val="Strong"/>
    <w:basedOn w:val="Bekezdsalapbettpusa"/>
    <w:uiPriority w:val="22"/>
    <w:qFormat/>
    <w:rsid w:val="009F3F80"/>
    <w:rPr>
      <w:b/>
      <w:bCs/>
    </w:rPr>
  </w:style>
  <w:style w:type="character" w:customStyle="1" w:styleId="shorttext">
    <w:name w:val="short_text"/>
    <w:basedOn w:val="Bekezdsalapbettpusa"/>
    <w:rsid w:val="00EC6C99"/>
  </w:style>
  <w:style w:type="character" w:customStyle="1" w:styleId="bold">
    <w:name w:val="bold"/>
    <w:basedOn w:val="Bekezdsalapbettpusa"/>
    <w:rsid w:val="00493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6C23"/>
  </w:style>
  <w:style w:type="paragraph" w:styleId="Cmsor1">
    <w:name w:val="heading 1"/>
    <w:basedOn w:val="Nincstrkz"/>
    <w:next w:val="Nincstrkz"/>
    <w:link w:val="Cmsor1Char"/>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Cmsor2">
    <w:name w:val="heading 2"/>
    <w:next w:val="Nincstrkz"/>
    <w:link w:val="Cmsor2Char"/>
    <w:autoRedefine/>
    <w:uiPriority w:val="9"/>
    <w:unhideWhenUsed/>
    <w:qFormat/>
    <w:rsid w:val="00DC189A"/>
    <w:pPr>
      <w:keepNext/>
      <w:keepLines/>
      <w:spacing w:after="120" w:line="240" w:lineRule="auto"/>
      <w:jc w:val="center"/>
      <w:outlineLvl w:val="1"/>
    </w:pPr>
    <w:rPr>
      <w:b/>
      <w:u w:val="single"/>
    </w:rPr>
  </w:style>
  <w:style w:type="paragraph" w:styleId="Cmsor3">
    <w:name w:val="heading 3"/>
    <w:basedOn w:val="Nincstrkz"/>
    <w:next w:val="Norml"/>
    <w:link w:val="Cmsor3Char"/>
    <w:uiPriority w:val="9"/>
    <w:unhideWhenUsed/>
    <w:qFormat/>
    <w:rsid w:val="00D24317"/>
    <w:pPr>
      <w:outlineLvl w:val="2"/>
    </w:pPr>
    <w:rPr>
      <w:b/>
    </w:rPr>
  </w:style>
  <w:style w:type="paragraph" w:styleId="Cmsor4">
    <w:name w:val="heading 4"/>
    <w:basedOn w:val="Nincstrkz"/>
    <w:next w:val="Norml"/>
    <w:link w:val="Cmsor4Char"/>
    <w:uiPriority w:val="9"/>
    <w:unhideWhenUsed/>
    <w:qFormat/>
    <w:rsid w:val="00CF260D"/>
    <w:pPr>
      <w:numPr>
        <w:ilvl w:val="2"/>
        <w:numId w:val="2"/>
      </w:numPr>
      <w:ind w:left="0" w:firstLine="947"/>
      <w:outlineLvl w:val="3"/>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05B18"/>
    <w:pPr>
      <w:tabs>
        <w:tab w:val="center" w:pos="4536"/>
        <w:tab w:val="right" w:pos="9072"/>
      </w:tabs>
      <w:spacing w:after="0" w:line="240" w:lineRule="auto"/>
    </w:pPr>
  </w:style>
  <w:style w:type="character" w:customStyle="1" w:styleId="lfejChar">
    <w:name w:val="Élőfej Char"/>
    <w:basedOn w:val="Bekezdsalapbettpusa"/>
    <w:link w:val="lfej"/>
    <w:uiPriority w:val="99"/>
    <w:rsid w:val="00E05B18"/>
  </w:style>
  <w:style w:type="paragraph" w:styleId="llb">
    <w:name w:val="footer"/>
    <w:basedOn w:val="Nincstrkz"/>
    <w:link w:val="llbChar"/>
    <w:uiPriority w:val="99"/>
    <w:unhideWhenUsed/>
    <w:rsid w:val="00E05B18"/>
    <w:pPr>
      <w:tabs>
        <w:tab w:val="center" w:pos="4536"/>
        <w:tab w:val="right" w:pos="9072"/>
      </w:tabs>
    </w:pPr>
  </w:style>
  <w:style w:type="character" w:customStyle="1" w:styleId="llbChar">
    <w:name w:val="Élőláb Char"/>
    <w:basedOn w:val="Bekezdsalapbettpusa"/>
    <w:link w:val="llb"/>
    <w:uiPriority w:val="99"/>
    <w:rsid w:val="00A26C23"/>
  </w:style>
  <w:style w:type="paragraph" w:styleId="Buborkszveg">
    <w:name w:val="Balloon Text"/>
    <w:basedOn w:val="Norml"/>
    <w:link w:val="BuborkszvegChar"/>
    <w:uiPriority w:val="99"/>
    <w:semiHidden/>
    <w:unhideWhenUsed/>
    <w:rsid w:val="00E05B1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05B18"/>
    <w:rPr>
      <w:rFonts w:ascii="Tahoma" w:hAnsi="Tahoma" w:cs="Tahoma"/>
      <w:sz w:val="16"/>
      <w:szCs w:val="16"/>
    </w:rPr>
  </w:style>
  <w:style w:type="paragraph" w:styleId="Nincstrkz">
    <w:name w:val="No Spacing"/>
    <w:uiPriority w:val="1"/>
    <w:qFormat/>
    <w:rsid w:val="00A37AEB"/>
    <w:pPr>
      <w:spacing w:after="0" w:line="240" w:lineRule="auto"/>
    </w:pPr>
  </w:style>
  <w:style w:type="paragraph" w:styleId="Cm">
    <w:name w:val="Title"/>
    <w:basedOn w:val="Nincstrkz"/>
    <w:next w:val="Nincstrkz"/>
    <w:link w:val="CmChar"/>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Cmsor1Char">
    <w:name w:val="Címsor 1 Char"/>
    <w:basedOn w:val="Bekezdsalapbettpusa"/>
    <w:link w:val="Cmsor1"/>
    <w:uiPriority w:val="9"/>
    <w:rsid w:val="00454528"/>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DC189A"/>
    <w:rPr>
      <w:b/>
      <w:u w:val="single"/>
    </w:rPr>
  </w:style>
  <w:style w:type="paragraph" w:styleId="Alcm">
    <w:name w:val="Subtitle"/>
    <w:basedOn w:val="Nincstrkz"/>
    <w:next w:val="Nincstrkz"/>
    <w:link w:val="AlcmChar"/>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567357"/>
    <w:rPr>
      <w:rFonts w:asciiTheme="majorHAnsi" w:eastAsiaTheme="majorEastAsia" w:hAnsiTheme="majorHAnsi" w:cstheme="majorBidi"/>
      <w:i/>
      <w:iCs/>
      <w:color w:val="4F81BD" w:themeColor="accent1"/>
      <w:spacing w:val="15"/>
      <w:sz w:val="24"/>
      <w:szCs w:val="24"/>
    </w:rPr>
  </w:style>
  <w:style w:type="paragraph" w:styleId="Kiemeltidzet">
    <w:name w:val="Intense Quote"/>
    <w:basedOn w:val="Nincstrkz"/>
    <w:next w:val="Nincstrkz"/>
    <w:link w:val="KiemeltidzetChar"/>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567357"/>
    <w:rPr>
      <w:b/>
      <w:bCs/>
      <w:i/>
      <w:iCs/>
      <w:color w:val="4F81BD" w:themeColor="accent1"/>
    </w:rPr>
  </w:style>
  <w:style w:type="table" w:styleId="Rcsostblzat">
    <w:name w:val="Table Grid"/>
    <w:basedOn w:val="Normltblzat"/>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incstrkz"/>
    <w:next w:val="Nincstrkz"/>
    <w:uiPriority w:val="35"/>
    <w:unhideWhenUsed/>
    <w:qFormat/>
    <w:rsid w:val="00ED71F7"/>
    <w:rPr>
      <w:b/>
      <w:bCs/>
      <w:szCs w:val="18"/>
    </w:rPr>
  </w:style>
  <w:style w:type="paragraph" w:styleId="Idzet">
    <w:name w:val="Quote"/>
    <w:basedOn w:val="Nincstrkz"/>
    <w:next w:val="Nincstrkz"/>
    <w:link w:val="IdzetChar"/>
    <w:uiPriority w:val="29"/>
    <w:qFormat/>
    <w:rsid w:val="009C4FD6"/>
    <w:rPr>
      <w:i/>
      <w:iCs/>
      <w:color w:val="000000" w:themeColor="text1"/>
    </w:rPr>
  </w:style>
  <w:style w:type="character" w:customStyle="1" w:styleId="IdzetChar">
    <w:name w:val="Idézet Char"/>
    <w:basedOn w:val="Bekezdsalapbettpusa"/>
    <w:link w:val="Idzet"/>
    <w:uiPriority w:val="29"/>
    <w:rsid w:val="009C4FD6"/>
    <w:rPr>
      <w:i/>
      <w:iCs/>
      <w:color w:val="000000" w:themeColor="text1"/>
    </w:rPr>
  </w:style>
  <w:style w:type="paragraph" w:styleId="Listaszerbekezds">
    <w:name w:val="List Paragraph"/>
    <w:basedOn w:val="Nincstrkz"/>
    <w:uiPriority w:val="34"/>
    <w:qFormat/>
    <w:rsid w:val="009C4FD6"/>
    <w:pPr>
      <w:ind w:left="720"/>
      <w:contextualSpacing/>
    </w:pPr>
  </w:style>
  <w:style w:type="paragraph" w:styleId="Lbjegyzetszveg">
    <w:name w:val="footnote text"/>
    <w:basedOn w:val="Nincstrkz"/>
    <w:link w:val="LbjegyzetszvegChar"/>
    <w:uiPriority w:val="99"/>
    <w:semiHidden/>
    <w:unhideWhenUsed/>
    <w:rsid w:val="00A26C23"/>
    <w:rPr>
      <w:sz w:val="20"/>
      <w:szCs w:val="20"/>
    </w:rPr>
  </w:style>
  <w:style w:type="character" w:customStyle="1" w:styleId="LbjegyzetszvegChar">
    <w:name w:val="Lábjegyzetszöveg Char"/>
    <w:basedOn w:val="Bekezdsalapbettpusa"/>
    <w:link w:val="Lbjegyzetszveg"/>
    <w:uiPriority w:val="99"/>
    <w:semiHidden/>
    <w:rsid w:val="00A26C23"/>
    <w:rPr>
      <w:sz w:val="20"/>
      <w:szCs w:val="20"/>
    </w:rPr>
  </w:style>
  <w:style w:type="character" w:styleId="Jegyzethivatkozs">
    <w:name w:val="annotation reference"/>
    <w:basedOn w:val="Bekezdsalapbettpusa"/>
    <w:uiPriority w:val="99"/>
    <w:unhideWhenUsed/>
    <w:rsid w:val="00CC291A"/>
    <w:rPr>
      <w:sz w:val="16"/>
      <w:szCs w:val="16"/>
    </w:rPr>
  </w:style>
  <w:style w:type="paragraph" w:styleId="Jegyzetszveg">
    <w:name w:val="annotation text"/>
    <w:basedOn w:val="Norml"/>
    <w:link w:val="JegyzetszvegChar"/>
    <w:uiPriority w:val="99"/>
    <w:unhideWhenUsed/>
    <w:rsid w:val="00CC291A"/>
    <w:pPr>
      <w:spacing w:line="240" w:lineRule="auto"/>
    </w:pPr>
    <w:rPr>
      <w:sz w:val="20"/>
      <w:szCs w:val="20"/>
    </w:rPr>
  </w:style>
  <w:style w:type="character" w:customStyle="1" w:styleId="JegyzetszvegChar">
    <w:name w:val="Jegyzetszöveg Char"/>
    <w:basedOn w:val="Bekezdsalapbettpusa"/>
    <w:link w:val="Jegyzetszveg"/>
    <w:uiPriority w:val="99"/>
    <w:rsid w:val="00CC291A"/>
    <w:rPr>
      <w:sz w:val="20"/>
      <w:szCs w:val="20"/>
    </w:rPr>
  </w:style>
  <w:style w:type="paragraph" w:styleId="Megjegyzstrgya">
    <w:name w:val="annotation subject"/>
    <w:basedOn w:val="Jegyzetszveg"/>
    <w:next w:val="Jegyzetszveg"/>
    <w:link w:val="MegjegyzstrgyaChar"/>
    <w:uiPriority w:val="99"/>
    <w:semiHidden/>
    <w:unhideWhenUsed/>
    <w:rsid w:val="00CC291A"/>
    <w:rPr>
      <w:b/>
      <w:bCs/>
    </w:rPr>
  </w:style>
  <w:style w:type="character" w:customStyle="1" w:styleId="MegjegyzstrgyaChar">
    <w:name w:val="Megjegyzés tárgya Char"/>
    <w:basedOn w:val="JegyzetszvegChar"/>
    <w:link w:val="Megjegyzstrgya"/>
    <w:uiPriority w:val="99"/>
    <w:semiHidden/>
    <w:rsid w:val="00CC291A"/>
    <w:rPr>
      <w:b/>
      <w:bCs/>
      <w:sz w:val="20"/>
      <w:szCs w:val="20"/>
    </w:rPr>
  </w:style>
  <w:style w:type="paragraph" w:customStyle="1" w:styleId="Char1">
    <w:name w:val="Char1"/>
    <w:basedOn w:val="Norml"/>
    <w:rsid w:val="00901473"/>
    <w:pPr>
      <w:spacing w:after="0" w:line="240" w:lineRule="auto"/>
    </w:pPr>
    <w:rPr>
      <w:rFonts w:ascii="Times New Roman" w:eastAsia="Times New Roman" w:hAnsi="Times New Roman" w:cs="Times New Roman"/>
      <w:sz w:val="24"/>
      <w:szCs w:val="24"/>
      <w:lang w:val="pl-PL" w:eastAsia="pl-PL"/>
    </w:rPr>
  </w:style>
  <w:style w:type="character" w:styleId="Hiperhivatkozs">
    <w:name w:val="Hyperlink"/>
    <w:basedOn w:val="Bekezdsalapbettpusa"/>
    <w:uiPriority w:val="99"/>
    <w:unhideWhenUsed/>
    <w:rsid w:val="00617D04"/>
    <w:rPr>
      <w:color w:val="0000FF" w:themeColor="hyperlink"/>
      <w:u w:val="single"/>
    </w:rPr>
  </w:style>
  <w:style w:type="table" w:styleId="Vilgosrnykols1jellszn">
    <w:name w:val="Light Shading Accent 1"/>
    <w:basedOn w:val="Normltblzat"/>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Mrltotthiperhivatkozs">
    <w:name w:val="FollowedHyperlink"/>
    <w:basedOn w:val="Bekezdsalapbettpusa"/>
    <w:uiPriority w:val="99"/>
    <w:semiHidden/>
    <w:unhideWhenUsed/>
    <w:rsid w:val="00AB4F90"/>
    <w:rPr>
      <w:color w:val="800080" w:themeColor="followedHyperlink"/>
      <w:u w:val="single"/>
    </w:rPr>
  </w:style>
  <w:style w:type="character" w:styleId="Lbjegyzet-hivatkozs">
    <w:name w:val="footnote reference"/>
    <w:basedOn w:val="Bekezdsalapbettpusa"/>
    <w:uiPriority w:val="99"/>
    <w:semiHidden/>
    <w:unhideWhenUsed/>
    <w:rsid w:val="00F262A2"/>
    <w:rPr>
      <w:vertAlign w:val="superscript"/>
    </w:rPr>
  </w:style>
  <w:style w:type="character" w:styleId="Kiemels">
    <w:name w:val="Emphasis"/>
    <w:uiPriority w:val="20"/>
    <w:qFormat/>
    <w:rsid w:val="000F0ABF"/>
    <w:rPr>
      <w:b/>
      <w:u w:val="single"/>
    </w:rPr>
  </w:style>
  <w:style w:type="character" w:styleId="Finomkiemels">
    <w:name w:val="Subtle Emphasis"/>
    <w:uiPriority w:val="19"/>
    <w:qFormat/>
    <w:rsid w:val="000F0ABF"/>
    <w:rPr>
      <w:b/>
    </w:rPr>
  </w:style>
  <w:style w:type="character" w:customStyle="1" w:styleId="Cmsor3Char">
    <w:name w:val="Címsor 3 Char"/>
    <w:basedOn w:val="Bekezdsalapbettpusa"/>
    <w:link w:val="Cmsor3"/>
    <w:uiPriority w:val="9"/>
    <w:rsid w:val="00D24317"/>
    <w:rPr>
      <w:b/>
    </w:rPr>
  </w:style>
  <w:style w:type="character" w:customStyle="1" w:styleId="Cmsor4Char">
    <w:name w:val="Címsor 4 Char"/>
    <w:basedOn w:val="Bekezdsalapbettpusa"/>
    <w:link w:val="Cmsor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Vltozat">
    <w:name w:val="Revision"/>
    <w:hidden/>
    <w:uiPriority w:val="99"/>
    <w:semiHidden/>
    <w:rsid w:val="0009058C"/>
    <w:pPr>
      <w:spacing w:after="0" w:line="240" w:lineRule="auto"/>
    </w:pPr>
  </w:style>
  <w:style w:type="character" w:customStyle="1" w:styleId="apple-converted-space">
    <w:name w:val="apple-converted-space"/>
    <w:basedOn w:val="Bekezdsalapbettpusa"/>
    <w:rsid w:val="009F3F80"/>
  </w:style>
  <w:style w:type="character" w:styleId="Kiemels2">
    <w:name w:val="Strong"/>
    <w:basedOn w:val="Bekezdsalapbettpusa"/>
    <w:uiPriority w:val="22"/>
    <w:qFormat/>
    <w:rsid w:val="009F3F80"/>
    <w:rPr>
      <w:b/>
      <w:bCs/>
    </w:rPr>
  </w:style>
  <w:style w:type="character" w:customStyle="1" w:styleId="shorttext">
    <w:name w:val="short_text"/>
    <w:basedOn w:val="Bekezdsalapbettpusa"/>
    <w:rsid w:val="00EC6C99"/>
  </w:style>
  <w:style w:type="character" w:customStyle="1" w:styleId="bold">
    <w:name w:val="bold"/>
    <w:basedOn w:val="Bekezdsalapbettpusa"/>
    <w:rsid w:val="0049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4167">
      <w:bodyDiv w:val="1"/>
      <w:marLeft w:val="0"/>
      <w:marRight w:val="0"/>
      <w:marTop w:val="0"/>
      <w:marBottom w:val="0"/>
      <w:divBdr>
        <w:top w:val="none" w:sz="0" w:space="0" w:color="auto"/>
        <w:left w:val="none" w:sz="0" w:space="0" w:color="auto"/>
        <w:bottom w:val="none" w:sz="0" w:space="0" w:color="auto"/>
        <w:right w:val="none" w:sz="0" w:space="0" w:color="auto"/>
      </w:divBdr>
    </w:div>
    <w:div w:id="56822523">
      <w:bodyDiv w:val="1"/>
      <w:marLeft w:val="0"/>
      <w:marRight w:val="0"/>
      <w:marTop w:val="0"/>
      <w:marBottom w:val="0"/>
      <w:divBdr>
        <w:top w:val="none" w:sz="0" w:space="0" w:color="auto"/>
        <w:left w:val="none" w:sz="0" w:space="0" w:color="auto"/>
        <w:bottom w:val="none" w:sz="0" w:space="0" w:color="auto"/>
        <w:right w:val="none" w:sz="0" w:space="0" w:color="auto"/>
      </w:divBdr>
    </w:div>
    <w:div w:id="74790089">
      <w:bodyDiv w:val="1"/>
      <w:marLeft w:val="0"/>
      <w:marRight w:val="0"/>
      <w:marTop w:val="0"/>
      <w:marBottom w:val="0"/>
      <w:divBdr>
        <w:top w:val="none" w:sz="0" w:space="0" w:color="auto"/>
        <w:left w:val="none" w:sz="0" w:space="0" w:color="auto"/>
        <w:bottom w:val="none" w:sz="0" w:space="0" w:color="auto"/>
        <w:right w:val="none" w:sz="0" w:space="0" w:color="auto"/>
      </w:divBdr>
    </w:div>
    <w:div w:id="159010485">
      <w:bodyDiv w:val="1"/>
      <w:marLeft w:val="0"/>
      <w:marRight w:val="0"/>
      <w:marTop w:val="0"/>
      <w:marBottom w:val="0"/>
      <w:divBdr>
        <w:top w:val="none" w:sz="0" w:space="0" w:color="auto"/>
        <w:left w:val="none" w:sz="0" w:space="0" w:color="auto"/>
        <w:bottom w:val="none" w:sz="0" w:space="0" w:color="auto"/>
        <w:right w:val="none" w:sz="0" w:space="0" w:color="auto"/>
      </w:divBdr>
    </w:div>
    <w:div w:id="205918367">
      <w:bodyDiv w:val="1"/>
      <w:marLeft w:val="0"/>
      <w:marRight w:val="0"/>
      <w:marTop w:val="0"/>
      <w:marBottom w:val="0"/>
      <w:divBdr>
        <w:top w:val="none" w:sz="0" w:space="0" w:color="auto"/>
        <w:left w:val="none" w:sz="0" w:space="0" w:color="auto"/>
        <w:bottom w:val="none" w:sz="0" w:space="0" w:color="auto"/>
        <w:right w:val="none" w:sz="0" w:space="0" w:color="auto"/>
      </w:divBdr>
      <w:divsChild>
        <w:div w:id="71316535">
          <w:marLeft w:val="446"/>
          <w:marRight w:val="0"/>
          <w:marTop w:val="0"/>
          <w:marBottom w:val="60"/>
          <w:divBdr>
            <w:top w:val="none" w:sz="0" w:space="0" w:color="auto"/>
            <w:left w:val="none" w:sz="0" w:space="0" w:color="auto"/>
            <w:bottom w:val="none" w:sz="0" w:space="0" w:color="auto"/>
            <w:right w:val="none" w:sz="0" w:space="0" w:color="auto"/>
          </w:divBdr>
        </w:div>
        <w:div w:id="164174638">
          <w:marLeft w:val="446"/>
          <w:marRight w:val="0"/>
          <w:marTop w:val="0"/>
          <w:marBottom w:val="60"/>
          <w:divBdr>
            <w:top w:val="none" w:sz="0" w:space="0" w:color="auto"/>
            <w:left w:val="none" w:sz="0" w:space="0" w:color="auto"/>
            <w:bottom w:val="none" w:sz="0" w:space="0" w:color="auto"/>
            <w:right w:val="none" w:sz="0" w:space="0" w:color="auto"/>
          </w:divBdr>
        </w:div>
        <w:div w:id="534806159">
          <w:marLeft w:val="446"/>
          <w:marRight w:val="0"/>
          <w:marTop w:val="0"/>
          <w:marBottom w:val="60"/>
          <w:divBdr>
            <w:top w:val="none" w:sz="0" w:space="0" w:color="auto"/>
            <w:left w:val="none" w:sz="0" w:space="0" w:color="auto"/>
            <w:bottom w:val="none" w:sz="0" w:space="0" w:color="auto"/>
            <w:right w:val="none" w:sz="0" w:space="0" w:color="auto"/>
          </w:divBdr>
        </w:div>
        <w:div w:id="1644119745">
          <w:marLeft w:val="446"/>
          <w:marRight w:val="0"/>
          <w:marTop w:val="0"/>
          <w:marBottom w:val="60"/>
          <w:divBdr>
            <w:top w:val="none" w:sz="0" w:space="0" w:color="auto"/>
            <w:left w:val="none" w:sz="0" w:space="0" w:color="auto"/>
            <w:bottom w:val="none" w:sz="0" w:space="0" w:color="auto"/>
            <w:right w:val="none" w:sz="0" w:space="0" w:color="auto"/>
          </w:divBdr>
        </w:div>
        <w:div w:id="1695572866">
          <w:marLeft w:val="446"/>
          <w:marRight w:val="0"/>
          <w:marTop w:val="0"/>
          <w:marBottom w:val="60"/>
          <w:divBdr>
            <w:top w:val="none" w:sz="0" w:space="0" w:color="auto"/>
            <w:left w:val="none" w:sz="0" w:space="0" w:color="auto"/>
            <w:bottom w:val="none" w:sz="0" w:space="0" w:color="auto"/>
            <w:right w:val="none" w:sz="0" w:space="0" w:color="auto"/>
          </w:divBdr>
        </w:div>
        <w:div w:id="1801877949">
          <w:marLeft w:val="446"/>
          <w:marRight w:val="0"/>
          <w:marTop w:val="0"/>
          <w:marBottom w:val="60"/>
          <w:divBdr>
            <w:top w:val="none" w:sz="0" w:space="0" w:color="auto"/>
            <w:left w:val="none" w:sz="0" w:space="0" w:color="auto"/>
            <w:bottom w:val="none" w:sz="0" w:space="0" w:color="auto"/>
            <w:right w:val="none" w:sz="0" w:space="0" w:color="auto"/>
          </w:divBdr>
        </w:div>
      </w:divsChild>
    </w:div>
    <w:div w:id="228927475">
      <w:bodyDiv w:val="1"/>
      <w:marLeft w:val="0"/>
      <w:marRight w:val="0"/>
      <w:marTop w:val="0"/>
      <w:marBottom w:val="0"/>
      <w:divBdr>
        <w:top w:val="none" w:sz="0" w:space="0" w:color="auto"/>
        <w:left w:val="none" w:sz="0" w:space="0" w:color="auto"/>
        <w:bottom w:val="none" w:sz="0" w:space="0" w:color="auto"/>
        <w:right w:val="none" w:sz="0" w:space="0" w:color="auto"/>
      </w:divBdr>
    </w:div>
    <w:div w:id="511913276">
      <w:bodyDiv w:val="1"/>
      <w:marLeft w:val="0"/>
      <w:marRight w:val="0"/>
      <w:marTop w:val="0"/>
      <w:marBottom w:val="0"/>
      <w:divBdr>
        <w:top w:val="none" w:sz="0" w:space="0" w:color="auto"/>
        <w:left w:val="none" w:sz="0" w:space="0" w:color="auto"/>
        <w:bottom w:val="none" w:sz="0" w:space="0" w:color="auto"/>
        <w:right w:val="none" w:sz="0" w:space="0" w:color="auto"/>
      </w:divBdr>
    </w:div>
    <w:div w:id="562527775">
      <w:bodyDiv w:val="1"/>
      <w:marLeft w:val="0"/>
      <w:marRight w:val="0"/>
      <w:marTop w:val="0"/>
      <w:marBottom w:val="0"/>
      <w:divBdr>
        <w:top w:val="none" w:sz="0" w:space="0" w:color="auto"/>
        <w:left w:val="none" w:sz="0" w:space="0" w:color="auto"/>
        <w:bottom w:val="none" w:sz="0" w:space="0" w:color="auto"/>
        <w:right w:val="none" w:sz="0" w:space="0" w:color="auto"/>
      </w:divBdr>
    </w:div>
    <w:div w:id="599723424">
      <w:bodyDiv w:val="1"/>
      <w:marLeft w:val="0"/>
      <w:marRight w:val="0"/>
      <w:marTop w:val="0"/>
      <w:marBottom w:val="0"/>
      <w:divBdr>
        <w:top w:val="none" w:sz="0" w:space="0" w:color="auto"/>
        <w:left w:val="none" w:sz="0" w:space="0" w:color="auto"/>
        <w:bottom w:val="none" w:sz="0" w:space="0" w:color="auto"/>
        <w:right w:val="none" w:sz="0" w:space="0" w:color="auto"/>
      </w:divBdr>
    </w:div>
    <w:div w:id="794369471">
      <w:bodyDiv w:val="1"/>
      <w:marLeft w:val="0"/>
      <w:marRight w:val="0"/>
      <w:marTop w:val="0"/>
      <w:marBottom w:val="0"/>
      <w:divBdr>
        <w:top w:val="none" w:sz="0" w:space="0" w:color="auto"/>
        <w:left w:val="none" w:sz="0" w:space="0" w:color="auto"/>
        <w:bottom w:val="none" w:sz="0" w:space="0" w:color="auto"/>
        <w:right w:val="none" w:sz="0" w:space="0" w:color="auto"/>
      </w:divBdr>
    </w:div>
    <w:div w:id="979113156">
      <w:bodyDiv w:val="1"/>
      <w:marLeft w:val="0"/>
      <w:marRight w:val="0"/>
      <w:marTop w:val="0"/>
      <w:marBottom w:val="0"/>
      <w:divBdr>
        <w:top w:val="none" w:sz="0" w:space="0" w:color="auto"/>
        <w:left w:val="none" w:sz="0" w:space="0" w:color="auto"/>
        <w:bottom w:val="none" w:sz="0" w:space="0" w:color="auto"/>
        <w:right w:val="none" w:sz="0" w:space="0" w:color="auto"/>
      </w:divBdr>
    </w:div>
    <w:div w:id="1188985882">
      <w:bodyDiv w:val="1"/>
      <w:marLeft w:val="0"/>
      <w:marRight w:val="0"/>
      <w:marTop w:val="0"/>
      <w:marBottom w:val="0"/>
      <w:divBdr>
        <w:top w:val="none" w:sz="0" w:space="0" w:color="auto"/>
        <w:left w:val="none" w:sz="0" w:space="0" w:color="auto"/>
        <w:bottom w:val="none" w:sz="0" w:space="0" w:color="auto"/>
        <w:right w:val="none" w:sz="0" w:space="0" w:color="auto"/>
      </w:divBdr>
    </w:div>
    <w:div w:id="1478111510">
      <w:bodyDiv w:val="1"/>
      <w:marLeft w:val="0"/>
      <w:marRight w:val="0"/>
      <w:marTop w:val="0"/>
      <w:marBottom w:val="0"/>
      <w:divBdr>
        <w:top w:val="none" w:sz="0" w:space="0" w:color="auto"/>
        <w:left w:val="none" w:sz="0" w:space="0" w:color="auto"/>
        <w:bottom w:val="none" w:sz="0" w:space="0" w:color="auto"/>
        <w:right w:val="none" w:sz="0" w:space="0" w:color="auto"/>
      </w:divBdr>
    </w:div>
    <w:div w:id="1525972944">
      <w:bodyDiv w:val="1"/>
      <w:marLeft w:val="0"/>
      <w:marRight w:val="0"/>
      <w:marTop w:val="0"/>
      <w:marBottom w:val="0"/>
      <w:divBdr>
        <w:top w:val="none" w:sz="0" w:space="0" w:color="auto"/>
        <w:left w:val="none" w:sz="0" w:space="0" w:color="auto"/>
        <w:bottom w:val="none" w:sz="0" w:space="0" w:color="auto"/>
        <w:right w:val="none" w:sz="0" w:space="0" w:color="auto"/>
      </w:divBdr>
    </w:div>
    <w:div w:id="1610043683">
      <w:bodyDiv w:val="1"/>
      <w:marLeft w:val="0"/>
      <w:marRight w:val="0"/>
      <w:marTop w:val="0"/>
      <w:marBottom w:val="0"/>
      <w:divBdr>
        <w:top w:val="none" w:sz="0" w:space="0" w:color="auto"/>
        <w:left w:val="none" w:sz="0" w:space="0" w:color="auto"/>
        <w:bottom w:val="none" w:sz="0" w:space="0" w:color="auto"/>
        <w:right w:val="none" w:sz="0" w:space="0" w:color="auto"/>
      </w:divBdr>
    </w:div>
    <w:div w:id="1642879809">
      <w:bodyDiv w:val="1"/>
      <w:marLeft w:val="0"/>
      <w:marRight w:val="0"/>
      <w:marTop w:val="0"/>
      <w:marBottom w:val="0"/>
      <w:divBdr>
        <w:top w:val="none" w:sz="0" w:space="0" w:color="auto"/>
        <w:left w:val="none" w:sz="0" w:space="0" w:color="auto"/>
        <w:bottom w:val="none" w:sz="0" w:space="0" w:color="auto"/>
        <w:right w:val="none" w:sz="0" w:space="0" w:color="auto"/>
      </w:divBdr>
    </w:div>
    <w:div w:id="1669477012">
      <w:bodyDiv w:val="1"/>
      <w:marLeft w:val="0"/>
      <w:marRight w:val="0"/>
      <w:marTop w:val="0"/>
      <w:marBottom w:val="0"/>
      <w:divBdr>
        <w:top w:val="none" w:sz="0" w:space="0" w:color="auto"/>
        <w:left w:val="none" w:sz="0" w:space="0" w:color="auto"/>
        <w:bottom w:val="none" w:sz="0" w:space="0" w:color="auto"/>
        <w:right w:val="none" w:sz="0" w:space="0" w:color="auto"/>
      </w:divBdr>
    </w:div>
    <w:div w:id="1845708577">
      <w:bodyDiv w:val="1"/>
      <w:marLeft w:val="0"/>
      <w:marRight w:val="0"/>
      <w:marTop w:val="0"/>
      <w:marBottom w:val="0"/>
      <w:divBdr>
        <w:top w:val="none" w:sz="0" w:space="0" w:color="auto"/>
        <w:left w:val="none" w:sz="0" w:space="0" w:color="auto"/>
        <w:bottom w:val="none" w:sz="0" w:space="0" w:color="auto"/>
        <w:right w:val="none" w:sz="0" w:space="0" w:color="auto"/>
      </w:divBdr>
    </w:div>
    <w:div w:id="1876457809">
      <w:bodyDiv w:val="1"/>
      <w:marLeft w:val="0"/>
      <w:marRight w:val="0"/>
      <w:marTop w:val="0"/>
      <w:marBottom w:val="0"/>
      <w:divBdr>
        <w:top w:val="none" w:sz="0" w:space="0" w:color="auto"/>
        <w:left w:val="none" w:sz="0" w:space="0" w:color="auto"/>
        <w:bottom w:val="none" w:sz="0" w:space="0" w:color="auto"/>
        <w:right w:val="none" w:sz="0" w:space="0" w:color="auto"/>
      </w:divBdr>
    </w:div>
    <w:div w:id="1915627580">
      <w:bodyDiv w:val="1"/>
      <w:marLeft w:val="0"/>
      <w:marRight w:val="0"/>
      <w:marTop w:val="0"/>
      <w:marBottom w:val="0"/>
      <w:divBdr>
        <w:top w:val="none" w:sz="0" w:space="0" w:color="auto"/>
        <w:left w:val="none" w:sz="0" w:space="0" w:color="auto"/>
        <w:bottom w:val="none" w:sz="0" w:space="0" w:color="auto"/>
        <w:right w:val="none" w:sz="0" w:space="0" w:color="auto"/>
      </w:divBdr>
    </w:div>
    <w:div w:id="1919747748">
      <w:bodyDiv w:val="1"/>
      <w:marLeft w:val="0"/>
      <w:marRight w:val="0"/>
      <w:marTop w:val="0"/>
      <w:marBottom w:val="0"/>
      <w:divBdr>
        <w:top w:val="none" w:sz="0" w:space="0" w:color="auto"/>
        <w:left w:val="none" w:sz="0" w:space="0" w:color="auto"/>
        <w:bottom w:val="none" w:sz="0" w:space="0" w:color="auto"/>
        <w:right w:val="none" w:sz="0" w:space="0" w:color="auto"/>
      </w:divBdr>
    </w:div>
    <w:div w:id="1991252540">
      <w:bodyDiv w:val="1"/>
      <w:marLeft w:val="0"/>
      <w:marRight w:val="0"/>
      <w:marTop w:val="0"/>
      <w:marBottom w:val="0"/>
      <w:divBdr>
        <w:top w:val="none" w:sz="0" w:space="0" w:color="auto"/>
        <w:left w:val="none" w:sz="0" w:space="0" w:color="auto"/>
        <w:bottom w:val="none" w:sz="0" w:space="0" w:color="auto"/>
        <w:right w:val="none" w:sz="0" w:space="0" w:color="auto"/>
      </w:divBdr>
    </w:div>
    <w:div w:id="2073191756">
      <w:bodyDiv w:val="1"/>
      <w:marLeft w:val="0"/>
      <w:marRight w:val="0"/>
      <w:marTop w:val="0"/>
      <w:marBottom w:val="0"/>
      <w:divBdr>
        <w:top w:val="none" w:sz="0" w:space="0" w:color="auto"/>
        <w:left w:val="none" w:sz="0" w:space="0" w:color="auto"/>
        <w:bottom w:val="none" w:sz="0" w:space="0" w:color="auto"/>
        <w:right w:val="none" w:sz="0" w:space="0" w:color="auto"/>
      </w:divBdr>
    </w:div>
    <w:div w:id="2091655367">
      <w:bodyDiv w:val="1"/>
      <w:marLeft w:val="0"/>
      <w:marRight w:val="0"/>
      <w:marTop w:val="0"/>
      <w:marBottom w:val="0"/>
      <w:divBdr>
        <w:top w:val="none" w:sz="0" w:space="0" w:color="auto"/>
        <w:left w:val="none" w:sz="0" w:space="0" w:color="auto"/>
        <w:bottom w:val="none" w:sz="0" w:space="0" w:color="auto"/>
        <w:right w:val="none" w:sz="0" w:space="0" w:color="auto"/>
      </w:divBdr>
    </w:div>
    <w:div w:id="2094423705">
      <w:bodyDiv w:val="1"/>
      <w:marLeft w:val="0"/>
      <w:marRight w:val="0"/>
      <w:marTop w:val="0"/>
      <w:marBottom w:val="0"/>
      <w:divBdr>
        <w:top w:val="none" w:sz="0" w:space="0" w:color="auto"/>
        <w:left w:val="none" w:sz="0" w:space="0" w:color="auto"/>
        <w:bottom w:val="none" w:sz="0" w:space="0" w:color="auto"/>
        <w:right w:val="none" w:sz="0" w:space="0" w:color="auto"/>
      </w:divBdr>
    </w:div>
    <w:div w:id="2114982184">
      <w:bodyDiv w:val="1"/>
      <w:marLeft w:val="0"/>
      <w:marRight w:val="0"/>
      <w:marTop w:val="0"/>
      <w:marBottom w:val="0"/>
      <w:divBdr>
        <w:top w:val="none" w:sz="0" w:space="0" w:color="auto"/>
        <w:left w:val="none" w:sz="0" w:space="0" w:color="auto"/>
        <w:bottom w:val="none" w:sz="0" w:space="0" w:color="auto"/>
        <w:right w:val="none" w:sz="0" w:space="0" w:color="auto"/>
      </w:divBdr>
      <w:divsChild>
        <w:div w:id="20788436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alyazat.gov.hu/tmutat-a-2014-2020-programozsi-idszakban-az-egyes-eurpai-unis-alapokbl-szrmaz-tmogatsok-felhasznlsnak-rendjrl-szl-272-2014-xi-5-korm-rendelet-szerinti-ellenrzshez" TargetMode="External"/><Relationship Id="rId18" Type="http://schemas.openxmlformats.org/officeDocument/2006/relationships/hyperlink" Target="http://www.kozbeszerzes.hu/kozbeszerzes-z/magyar-jogi-hatter/kozbeszerzesi-hatosag-utmutatoi/kozbeszerzesek-tanacsanak-utmutatoja-az-europai-unioban-es-az-europai-gazdasagi-tersegben-letelepedett-gazdasagi-szereplok-altal-benyujtando-igazolasokrol-nyilatkozatokrol-nyilvantartasokrol-es-adatokrol" TargetMode="External"/><Relationship Id="rId26" Type="http://schemas.openxmlformats.org/officeDocument/2006/relationships/hyperlink" Target="http://www.palyazat.gov.hu" TargetMode="External"/><Relationship Id="rId39" Type="http://schemas.openxmlformats.org/officeDocument/2006/relationships/hyperlink" Target="http://data.europa.eu/euodp/cs/data/dataset/ted-csv" TargetMode="External"/><Relationship Id="rId3" Type="http://schemas.openxmlformats.org/officeDocument/2006/relationships/customXml" Target="../customXml/item3.xml"/><Relationship Id="rId21" Type="http://schemas.openxmlformats.org/officeDocument/2006/relationships/hyperlink" Target="http://www.kozbeszerzes.hu/kozbeszerzes-z/magyar-jogi-hatter/kozbeszerzesi-hatosag-utmutatoi/kozbeszerzesi-hatosag-utmutatoja-targyalasos-eljaras-alkalmazasanak-felteteleirol" TargetMode="External"/><Relationship Id="rId34" Type="http://schemas.openxmlformats.org/officeDocument/2006/relationships/hyperlink" Target="http://ec.europa.eu/dgs/home-affairs/what-we-do/policies/organized-crime-and-human-trafficking/corruption/anti-corruption-report/index_en.htm"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kozbeszerzes.hu/torveny/act-cxliii-of-2015-on-public-procurement/" TargetMode="External"/><Relationship Id="rId17" Type="http://schemas.openxmlformats.org/officeDocument/2006/relationships/hyperlink" Target="http://www.kozbeszerzes.hu/kozbeszerzes-z/magyar-jogi-hatter/kozbeszerzesi-hatosag-utmutatoi/kozbeszerzesek-tanacsanak-utmutatoja-kozbeszerzesi-eljarasok-eredmenyekent-megkotott-szerzodesek-kbt-szerinti-modositasaval-valamint-teljesitesevel-kapcsolatos-egyes-kerdesekrol-2017-05" TargetMode="External"/><Relationship Id="rId25" Type="http://schemas.openxmlformats.org/officeDocument/2006/relationships/hyperlink" Target="http://www.kozbeszerzes.hu/adatbazisok/tajekoztatok-hnt-dontesekrol" TargetMode="External"/><Relationship Id="rId33" Type="http://schemas.openxmlformats.org/officeDocument/2006/relationships/hyperlink" Target="http://www.gvh.hu/data/cms1036296/GVH_VKK_kiadvanyok_oktatasi_anyag_kozbesz_kartell_2017.pdf" TargetMode="External"/><Relationship Id="rId38" Type="http://schemas.openxmlformats.org/officeDocument/2006/relationships/hyperlink" Target="http://fenntarthato.kozbeszerzes.hu/innovativ-kozbeszerzes/" TargetMode="External"/><Relationship Id="rId2" Type="http://schemas.openxmlformats.org/officeDocument/2006/relationships/customXml" Target="../customXml/item2.xml"/><Relationship Id="rId16" Type="http://schemas.openxmlformats.org/officeDocument/2006/relationships/hyperlink" Target="http://www.kozbeszerzes.hu/kozbeszerzes-z/magyar-jogi-hatter/kozbeszerzesi-hatosag-utmutatoi/kozbeszerzesek-tanacsanak-utmutatoja-becsult-ertek-szamitasa-reszekre-bontas-tilalma-es-beszerzesi-igenyek-mesterseges-egyesitese-targyaban" TargetMode="External"/><Relationship Id="rId20" Type="http://schemas.openxmlformats.org/officeDocument/2006/relationships/hyperlink" Target="http://www.kozbeszerzes.hu/kozbeszerzes-z/magyar-jogi-hatter/kozbeszerzesi-hatosag-utmutatoi/kozbeszerzesi-hatosag-utmutatoja-az-epitesi-beruhazas-targyu-kozbeszerzesi-eljarasok-szabalyairol" TargetMode="External"/><Relationship Id="rId29" Type="http://schemas.openxmlformats.org/officeDocument/2006/relationships/hyperlink" Target="https://www.palyazat.gov.hu/iratmintk-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ozbeszerzes.hu/cikkek/szerzodes-ellenorzes" TargetMode="External"/><Relationship Id="rId32" Type="http://schemas.openxmlformats.org/officeDocument/2006/relationships/hyperlink" Target="http://www.gvh.hu/data/cms1036313/KARTELL_ajanlatkeroknek_2017_05_24.pdf" TargetMode="External"/><Relationship Id="rId37" Type="http://schemas.openxmlformats.org/officeDocument/2006/relationships/hyperlink" Target="http://www.mnvzrt.hu/szocialisan_felelos_kozbeszerzes"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kozbeszerzes.hu/kozbeszerzes-z/magyar-jogi-hatter/kozbeszerzesi-hatosag-utmutatoi/kozbeszerzesi-hatosag-utmutatoja-az-eletcikluskoltseg-szamitasi-modszertanokrol" TargetMode="External"/><Relationship Id="rId23" Type="http://schemas.openxmlformats.org/officeDocument/2006/relationships/chart" Target="charts/chart2.xml"/><Relationship Id="rId28" Type="http://schemas.openxmlformats.org/officeDocument/2006/relationships/hyperlink" Target="http://www.palyazat.gov.hu" TargetMode="External"/><Relationship Id="rId36" Type="http://schemas.openxmlformats.org/officeDocument/2006/relationships/hyperlink" Target="http://www.kozbeszerzes.hu/cikkek/vedett-munkahelyek" TargetMode="External"/><Relationship Id="rId10" Type="http://schemas.openxmlformats.org/officeDocument/2006/relationships/footnotes" Target="footnotes.xml"/><Relationship Id="rId19" Type="http://schemas.openxmlformats.org/officeDocument/2006/relationships/hyperlink" Target="http://www.kozbeszerzes.hu/kozbeszerzes-z/magyar-jogi-hatter/kozbeszerzesi-hatosag-utmutatoi/kozbeszerzesi-hatosag-utmutatoja-nyertes-ajanlattevo-kivalasztasara-szolgalo-ertekelesi-szempontrendszer-alkalmazasarol" TargetMode="External"/><Relationship Id="rId31" Type="http://schemas.openxmlformats.org/officeDocument/2006/relationships/hyperlink" Target="http://gvh.hu/sajtoszoba/sajtokozlemenyek/2017_es_sajtokozlemenyek/ujabb_lepes_a_kozbeszerzesi_kartellek_elle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ozbeszerzes.hu/kozbeszerzes-z/magyar-jogi-hatter/kozbeszerzesi-hatosag-utmutatoi/kozbeszerzesek-tanacsanak-utmutatoja-kizaro-okok-tekinteteben-benyujtando-igazolasokrol-nyilatkozatokrol-nyilvantartasokrol-es-adatokrol-magyarorszagon-letelepedett-gazdasagi-szereplok-vonatkozasaban" TargetMode="External"/><Relationship Id="rId22" Type="http://schemas.openxmlformats.org/officeDocument/2006/relationships/chart" Target="charts/chart1.xml"/><Relationship Id="rId27" Type="http://schemas.openxmlformats.org/officeDocument/2006/relationships/hyperlink" Target="https://www.palyazat.gov.hu/tmutat-a-2014-2020-programozsi-idszakban-az-egyes-eurpai-unis-alapokbl-szrmaz-tmogatsok-felhasznlsnak-rendjrl-szl-272-2014-xi-5-korm-rendelet-szerinti-ellenrzshez" TargetMode="External"/><Relationship Id="rId30" Type="http://schemas.openxmlformats.org/officeDocument/2006/relationships/hyperlink" Target="https://www.palyazat.gov.hu/download.php?objectId=64523" TargetMode="External"/><Relationship Id="rId35" Type="http://schemas.openxmlformats.org/officeDocument/2006/relationships/hyperlink" Target="http://www.kormany.hu/hu/dok?source=9&amp;type=402&amp;year=2016"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vvrcommon08\gvvrcommon08\ME_Kozbesz\_KTF\EU-s%20anyagok\ESWG-eForms%20(Public%20Procurement%20Standard%20Forms)\Monitoring%20jelent&#233;s\Statisztik&#225;k\HISZTOGRAMOK_ford&#237;t&#225;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vvrcommon08\gvvrcommon08\ME_Kozbesz\_KTF\EU-s%20anyagok\ESWG-eForms%20(Public%20Procurement%20Standard%20Forms)\Monitoring%20jelent&#233;s\Statisztik&#225;k\HISZTOGRAMOK_ford&#237;t&#225;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Book Antiqua" panose="02040602050305030304" pitchFamily="18" charset="0"/>
              </a:defRPr>
            </a:pPr>
            <a:r>
              <a:rPr lang="hu-HU" sz="1200" b="1" i="0" baseline="0">
                <a:effectLst/>
              </a:rPr>
              <a:t>Supplies and services</a:t>
            </a:r>
          </a:p>
          <a:p>
            <a:pPr>
              <a:defRPr sz="1200">
                <a:latin typeface="Book Antiqua" panose="02040602050305030304" pitchFamily="18" charset="0"/>
              </a:defRPr>
            </a:pPr>
            <a:r>
              <a:rPr lang="hu-HU" sz="1200">
                <a:effectLst/>
              </a:rPr>
              <a:t>Central contracting authorities*</a:t>
            </a:r>
          </a:p>
        </c:rich>
      </c:tx>
      <c:layout/>
      <c:overlay val="0"/>
    </c:title>
    <c:autoTitleDeleted val="0"/>
    <c:plotArea>
      <c:layout/>
      <c:barChart>
        <c:barDir val="col"/>
        <c:grouping val="clustered"/>
        <c:varyColors val="0"/>
        <c:ser>
          <c:idx val="0"/>
          <c:order val="0"/>
          <c:spPr>
            <a:solidFill>
              <a:srgbClr val="0000FF"/>
            </a:solidFill>
            <a:ln w="15875">
              <a:solidFill>
                <a:schemeClr val="bg1"/>
              </a:solidFill>
            </a:ln>
          </c:spPr>
          <c:invertIfNegative val="0"/>
          <c:dPt>
            <c:idx val="7"/>
            <c:invertIfNegative val="0"/>
            <c:bubble3D val="0"/>
            <c:spPr>
              <a:solidFill>
                <a:srgbClr val="FF0000"/>
              </a:solidFill>
              <a:ln w="15875">
                <a:solidFill>
                  <a:schemeClr val="bg1"/>
                </a:solidFill>
              </a:ln>
            </c:spPr>
            <c:extLst xmlns:c16r2="http://schemas.microsoft.com/office/drawing/2015/06/chart">
              <c:ext xmlns:c16="http://schemas.microsoft.com/office/drawing/2014/chart" uri="{C3380CC4-5D6E-409C-BE32-E72D297353CC}">
                <c16:uniqueId val="{00000001-300B-45D9-B4AA-AC249C234459}"/>
              </c:ext>
            </c:extLst>
          </c:dPt>
          <c:dPt>
            <c:idx val="13"/>
            <c:invertIfNegative val="0"/>
            <c:bubble3D val="0"/>
            <c:extLst xmlns:c16r2="http://schemas.microsoft.com/office/drawing/2015/06/chart">
              <c:ext xmlns:c16="http://schemas.microsoft.com/office/drawing/2014/chart" uri="{C3380CC4-5D6E-409C-BE32-E72D297353CC}">
                <c16:uniqueId val="{00000002-300B-45D9-B4AA-AC249C234459}"/>
              </c:ext>
            </c:extLst>
          </c:dPt>
          <c:dPt>
            <c:idx val="14"/>
            <c:invertIfNegative val="0"/>
            <c:bubble3D val="0"/>
            <c:extLst xmlns:c16r2="http://schemas.microsoft.com/office/drawing/2015/06/chart">
              <c:ext xmlns:c16="http://schemas.microsoft.com/office/drawing/2014/chart" uri="{C3380CC4-5D6E-409C-BE32-E72D297353CC}">
                <c16:uniqueId val="{00000003-300B-45D9-B4AA-AC249C234459}"/>
              </c:ext>
            </c:extLst>
          </c:dPt>
          <c:cat>
            <c:strRef>
              <c:f>'Á+SZ_Központi'!$A$1:$A$37</c:f>
              <c:strCache>
                <c:ptCount val="36"/>
                <c:pt idx="1">
                  <c:v>75000-84999</c:v>
                </c:pt>
                <c:pt idx="2">
                  <c:v>85000-94999</c:v>
                </c:pt>
                <c:pt idx="3">
                  <c:v>95000-104999</c:v>
                </c:pt>
                <c:pt idx="4">
                  <c:v>105000-114999</c:v>
                </c:pt>
                <c:pt idx="5">
                  <c:v>115000-124999</c:v>
                </c:pt>
                <c:pt idx="6">
                  <c:v>125000-134999</c:v>
                </c:pt>
                <c:pt idx="7">
                  <c:v>135000-144999</c:v>
                </c:pt>
                <c:pt idx="8">
                  <c:v>145000-154999</c:v>
                </c:pt>
                <c:pt idx="9">
                  <c:v>155000-164999</c:v>
                </c:pt>
                <c:pt idx="10">
                  <c:v>165000-174999</c:v>
                </c:pt>
                <c:pt idx="11">
                  <c:v>175000-184999</c:v>
                </c:pt>
                <c:pt idx="12">
                  <c:v>185000-194999</c:v>
                </c:pt>
                <c:pt idx="13">
                  <c:v>195000-204999</c:v>
                </c:pt>
                <c:pt idx="14">
                  <c:v>205000-214999</c:v>
                </c:pt>
                <c:pt idx="15">
                  <c:v>215000-224999</c:v>
                </c:pt>
                <c:pt idx="16">
                  <c:v>225000-234999</c:v>
                </c:pt>
                <c:pt idx="17">
                  <c:v>235000-244999</c:v>
                </c:pt>
                <c:pt idx="18">
                  <c:v>245000-254999</c:v>
                </c:pt>
                <c:pt idx="19">
                  <c:v>255000-264999</c:v>
                </c:pt>
                <c:pt idx="20">
                  <c:v>265000-274999</c:v>
                </c:pt>
                <c:pt idx="21">
                  <c:v>275000-284999</c:v>
                </c:pt>
                <c:pt idx="22">
                  <c:v>285000-294999</c:v>
                </c:pt>
                <c:pt idx="23">
                  <c:v>295000-304999</c:v>
                </c:pt>
                <c:pt idx="24">
                  <c:v>305000-314999</c:v>
                </c:pt>
                <c:pt idx="25">
                  <c:v>315000-324999</c:v>
                </c:pt>
                <c:pt idx="26">
                  <c:v>325000-334999</c:v>
                </c:pt>
                <c:pt idx="27">
                  <c:v>335000-344999</c:v>
                </c:pt>
                <c:pt idx="28">
                  <c:v>345000-354999</c:v>
                </c:pt>
                <c:pt idx="29">
                  <c:v>355000-364999</c:v>
                </c:pt>
                <c:pt idx="30">
                  <c:v>365000-374999</c:v>
                </c:pt>
                <c:pt idx="31">
                  <c:v>375000-384999</c:v>
                </c:pt>
                <c:pt idx="32">
                  <c:v>385000-394999</c:v>
                </c:pt>
                <c:pt idx="33">
                  <c:v>395000-404999</c:v>
                </c:pt>
                <c:pt idx="34">
                  <c:v>405000-414999</c:v>
                </c:pt>
                <c:pt idx="35">
                  <c:v>415000-425000</c:v>
                </c:pt>
              </c:strCache>
            </c:strRef>
          </c:cat>
          <c:val>
            <c:numRef>
              <c:f>'Á+SZ_Központi'!$B$1:$B$37</c:f>
              <c:numCache>
                <c:formatCode>0.00%</c:formatCode>
                <c:ptCount val="37"/>
                <c:pt idx="1">
                  <c:v>3.8095238095238099E-2</c:v>
                </c:pt>
                <c:pt idx="2">
                  <c:v>2.4489795918367346E-2</c:v>
                </c:pt>
                <c:pt idx="3">
                  <c:v>2.3129251700680271E-2</c:v>
                </c:pt>
                <c:pt idx="4">
                  <c:v>2.4489795918367346E-2</c:v>
                </c:pt>
                <c:pt idx="5">
                  <c:v>2.9931972789115645E-2</c:v>
                </c:pt>
                <c:pt idx="6">
                  <c:v>2.7210884353741496E-2</c:v>
                </c:pt>
                <c:pt idx="7">
                  <c:v>2.3129251700680271E-2</c:v>
                </c:pt>
                <c:pt idx="8">
                  <c:v>2.1768707482993196E-2</c:v>
                </c:pt>
                <c:pt idx="9">
                  <c:v>1.3605442176870748E-2</c:v>
                </c:pt>
                <c:pt idx="10">
                  <c:v>1.9047619047619049E-2</c:v>
                </c:pt>
                <c:pt idx="11">
                  <c:v>1.3605442176870748E-2</c:v>
                </c:pt>
                <c:pt idx="12">
                  <c:v>1.0884353741496598E-2</c:v>
                </c:pt>
                <c:pt idx="13">
                  <c:v>1.7687074829931974E-2</c:v>
                </c:pt>
                <c:pt idx="14">
                  <c:v>2.5850340136054421E-2</c:v>
                </c:pt>
                <c:pt idx="15">
                  <c:v>8.1632653061224497E-3</c:v>
                </c:pt>
                <c:pt idx="16">
                  <c:v>2.7210884353741495E-3</c:v>
                </c:pt>
                <c:pt idx="17">
                  <c:v>5.4421768707482989E-3</c:v>
                </c:pt>
                <c:pt idx="18">
                  <c:v>2.7210884353741495E-3</c:v>
                </c:pt>
                <c:pt idx="19">
                  <c:v>5.4421768707482989E-3</c:v>
                </c:pt>
                <c:pt idx="20">
                  <c:v>2.7210884353741495E-3</c:v>
                </c:pt>
                <c:pt idx="21">
                  <c:v>5.4421768707482989E-3</c:v>
                </c:pt>
                <c:pt idx="22">
                  <c:v>6.8027210884353739E-3</c:v>
                </c:pt>
                <c:pt idx="23">
                  <c:v>6.8027210884353739E-3</c:v>
                </c:pt>
                <c:pt idx="24">
                  <c:v>4.0816326530612249E-3</c:v>
                </c:pt>
                <c:pt idx="25">
                  <c:v>1.3605442176870747E-3</c:v>
                </c:pt>
                <c:pt idx="26">
                  <c:v>8.1632653061224497E-3</c:v>
                </c:pt>
                <c:pt idx="27">
                  <c:v>2.7210884353741495E-3</c:v>
                </c:pt>
                <c:pt idx="28">
                  <c:v>2.7210884353741495E-3</c:v>
                </c:pt>
                <c:pt idx="29">
                  <c:v>4.0816326530612249E-3</c:v>
                </c:pt>
                <c:pt idx="30">
                  <c:v>2.7210884353741495E-3</c:v>
                </c:pt>
                <c:pt idx="31">
                  <c:v>6.8027210884353739E-3</c:v>
                </c:pt>
                <c:pt idx="32">
                  <c:v>9.5238095238095247E-3</c:v>
                </c:pt>
                <c:pt idx="33">
                  <c:v>2.7210884353741495E-3</c:v>
                </c:pt>
                <c:pt idx="34">
                  <c:v>2.7210884353741495E-3</c:v>
                </c:pt>
                <c:pt idx="35">
                  <c:v>1.3605442176870747E-3</c:v>
                </c:pt>
              </c:numCache>
            </c:numRef>
          </c:val>
          <c:extLst xmlns:c16r2="http://schemas.microsoft.com/office/drawing/2015/06/chart">
            <c:ext xmlns:c16="http://schemas.microsoft.com/office/drawing/2014/chart" uri="{C3380CC4-5D6E-409C-BE32-E72D297353CC}">
              <c16:uniqueId val="{00000004-300B-45D9-B4AA-AC249C234459}"/>
            </c:ext>
          </c:extLst>
        </c:ser>
        <c:dLbls>
          <c:showLegendKey val="0"/>
          <c:showVal val="0"/>
          <c:showCatName val="0"/>
          <c:showSerName val="0"/>
          <c:showPercent val="0"/>
          <c:showBubbleSize val="0"/>
        </c:dLbls>
        <c:gapWidth val="0"/>
        <c:axId val="168750080"/>
        <c:axId val="170223488"/>
      </c:barChart>
      <c:catAx>
        <c:axId val="168750080"/>
        <c:scaling>
          <c:orientation val="minMax"/>
        </c:scaling>
        <c:delete val="0"/>
        <c:axPos val="b"/>
        <c:title>
          <c:tx>
            <c:rich>
              <a:bodyPr/>
              <a:lstStyle/>
              <a:p>
                <a:pPr>
                  <a:defRPr sz="800">
                    <a:latin typeface="Book Antiqua" panose="02040602050305030304" pitchFamily="18" charset="0"/>
                  </a:defRPr>
                </a:pPr>
                <a:r>
                  <a:rPr lang="hu-HU" sz="800">
                    <a:latin typeface="Book Antiqua" panose="02040602050305030304" pitchFamily="18" charset="0"/>
                  </a:rPr>
                  <a:t>Value (10 000</a:t>
                </a:r>
                <a:r>
                  <a:rPr lang="hu-HU" sz="800" baseline="0">
                    <a:latin typeface="Book Antiqua" panose="02040602050305030304" pitchFamily="18" charset="0"/>
                  </a:rPr>
                  <a:t> EUR)</a:t>
                </a:r>
                <a:endParaRPr lang="hu-HU" sz="800">
                  <a:latin typeface="Book Antiqua" panose="02040602050305030304" pitchFamily="18" charset="0"/>
                </a:endParaRPr>
              </a:p>
            </c:rich>
          </c:tx>
          <c:layout>
            <c:manualLayout>
              <c:xMode val="edge"/>
              <c:yMode val="edge"/>
              <c:x val="0.80954697329977321"/>
              <c:y val="0.9274477773376123"/>
            </c:manualLayout>
          </c:layout>
          <c:overlay val="0"/>
        </c:title>
        <c:numFmt formatCode="General" sourceLinked="1"/>
        <c:majorTickMark val="out"/>
        <c:minorTickMark val="none"/>
        <c:tickLblPos val="nextTo"/>
        <c:txPr>
          <a:bodyPr rot="-5400000" vert="horz"/>
          <a:lstStyle/>
          <a:p>
            <a:pPr>
              <a:defRPr sz="800">
                <a:latin typeface="Book Antiqua" panose="02040602050305030304" pitchFamily="18" charset="0"/>
              </a:defRPr>
            </a:pPr>
            <a:endParaRPr lang="hu-HU"/>
          </a:p>
        </c:txPr>
        <c:crossAx val="170223488"/>
        <c:crosses val="autoZero"/>
        <c:auto val="1"/>
        <c:lblAlgn val="ctr"/>
        <c:lblOffset val="100"/>
        <c:tickLblSkip val="1"/>
        <c:noMultiLvlLbl val="0"/>
      </c:catAx>
      <c:valAx>
        <c:axId val="170223488"/>
        <c:scaling>
          <c:orientation val="minMax"/>
          <c:max val="4.0000000000000008E-2"/>
        </c:scaling>
        <c:delete val="0"/>
        <c:axPos val="l"/>
        <c:majorGridlines/>
        <c:title>
          <c:tx>
            <c:rich>
              <a:bodyPr rot="-5400000" vert="horz"/>
              <a:lstStyle/>
              <a:p>
                <a:pPr>
                  <a:defRPr sz="800">
                    <a:latin typeface="Book Antiqua" panose="02040602050305030304" pitchFamily="18" charset="0"/>
                  </a:defRPr>
                </a:pPr>
                <a:r>
                  <a:rPr lang="hu-HU" sz="800">
                    <a:latin typeface="Book Antiqua" panose="02040602050305030304" pitchFamily="18" charset="0"/>
                  </a:rPr>
                  <a:t>Public procurement procedures (%)</a:t>
                </a:r>
              </a:p>
            </c:rich>
          </c:tx>
          <c:layout>
            <c:manualLayout>
              <c:xMode val="edge"/>
              <c:yMode val="edge"/>
              <c:x val="1.4215637736737737E-2"/>
              <c:y val="0.17278204837170932"/>
            </c:manualLayout>
          </c:layout>
          <c:overlay val="0"/>
        </c:title>
        <c:numFmt formatCode="0%" sourceLinked="0"/>
        <c:majorTickMark val="out"/>
        <c:minorTickMark val="none"/>
        <c:tickLblPos val="nextTo"/>
        <c:txPr>
          <a:bodyPr/>
          <a:lstStyle/>
          <a:p>
            <a:pPr>
              <a:defRPr sz="800"/>
            </a:pPr>
            <a:endParaRPr lang="hu-HU"/>
          </a:p>
        </c:txPr>
        <c:crossAx val="168750080"/>
        <c:crosses val="autoZero"/>
        <c:crossBetween val="between"/>
        <c:majorUnit val="1.0000000000000002E-2"/>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Book Antiqua" panose="02040602050305030304" pitchFamily="18" charset="0"/>
              </a:defRPr>
            </a:pPr>
            <a:r>
              <a:rPr lang="hu-HU" sz="1200" b="1" i="0" baseline="0">
                <a:effectLst/>
              </a:rPr>
              <a:t>Public works</a:t>
            </a:r>
            <a:endParaRPr lang="hu-HU" sz="1200">
              <a:effectLst/>
            </a:endParaRPr>
          </a:p>
          <a:p>
            <a:pPr>
              <a:defRPr sz="1200">
                <a:latin typeface="Book Antiqua" panose="02040602050305030304" pitchFamily="18" charset="0"/>
              </a:defRPr>
            </a:pPr>
            <a:r>
              <a:rPr lang="hu-HU" sz="1200" b="1" i="0" baseline="0">
                <a:effectLst/>
              </a:rPr>
              <a:t>All contracting authorities*</a:t>
            </a:r>
            <a:endParaRPr lang="hu-HU" sz="1200">
              <a:effectLst/>
            </a:endParaRPr>
          </a:p>
        </c:rich>
      </c:tx>
      <c:overlay val="0"/>
    </c:title>
    <c:autoTitleDeleted val="0"/>
    <c:plotArea>
      <c:layout/>
      <c:barChart>
        <c:barDir val="col"/>
        <c:grouping val="clustered"/>
        <c:varyColors val="0"/>
        <c:ser>
          <c:idx val="0"/>
          <c:order val="0"/>
          <c:spPr>
            <a:solidFill>
              <a:srgbClr val="0000FF"/>
            </a:solidFill>
            <a:ln w="15875">
              <a:solidFill>
                <a:schemeClr val="bg1"/>
              </a:solidFill>
            </a:ln>
          </c:spPr>
          <c:invertIfNegative val="0"/>
          <c:dPt>
            <c:idx val="4"/>
            <c:invertIfNegative val="0"/>
            <c:bubble3D val="0"/>
            <c:spPr>
              <a:solidFill>
                <a:srgbClr val="FF0000"/>
              </a:solidFill>
              <a:ln w="15875">
                <a:solidFill>
                  <a:schemeClr val="bg1"/>
                </a:solidFill>
              </a:ln>
            </c:spPr>
            <c:extLst xmlns:c16r2="http://schemas.microsoft.com/office/drawing/2015/06/chart">
              <c:ext xmlns:c16="http://schemas.microsoft.com/office/drawing/2014/chart" uri="{C3380CC4-5D6E-409C-BE32-E72D297353CC}">
                <c16:uniqueId val="{00000001-59CC-4333-A616-89DED6671511}"/>
              </c:ext>
            </c:extLst>
          </c:dPt>
          <c:dPt>
            <c:idx val="7"/>
            <c:invertIfNegative val="0"/>
            <c:bubble3D val="0"/>
            <c:extLst xmlns:c16r2="http://schemas.microsoft.com/office/drawing/2015/06/chart">
              <c:ext xmlns:c16="http://schemas.microsoft.com/office/drawing/2014/chart" uri="{C3380CC4-5D6E-409C-BE32-E72D297353CC}">
                <c16:uniqueId val="{00000003-59CC-4333-A616-89DED6671511}"/>
              </c:ext>
            </c:extLst>
          </c:dPt>
          <c:dPt>
            <c:idx val="13"/>
            <c:invertIfNegative val="0"/>
            <c:bubble3D val="0"/>
            <c:extLst xmlns:c16r2="http://schemas.microsoft.com/office/drawing/2015/06/chart">
              <c:ext xmlns:c16="http://schemas.microsoft.com/office/drawing/2014/chart" uri="{C3380CC4-5D6E-409C-BE32-E72D297353CC}">
                <c16:uniqueId val="{00000004-59CC-4333-A616-89DED6671511}"/>
              </c:ext>
            </c:extLst>
          </c:dPt>
          <c:dPt>
            <c:idx val="14"/>
            <c:invertIfNegative val="0"/>
            <c:bubble3D val="0"/>
            <c:extLst xmlns:c16r2="http://schemas.microsoft.com/office/drawing/2015/06/chart">
              <c:ext xmlns:c16="http://schemas.microsoft.com/office/drawing/2014/chart" uri="{C3380CC4-5D6E-409C-BE32-E72D297353CC}">
                <c16:uniqueId val="{00000005-59CC-4333-A616-89DED6671511}"/>
              </c:ext>
            </c:extLst>
          </c:dPt>
          <c:cat>
            <c:strRef>
              <c:f>'Építési_összes ajánlatkérő'!$A$1:$A$10</c:f>
              <c:strCache>
                <c:ptCount val="9"/>
                <c:pt idx="1">
                  <c:v>2525000-3524999</c:v>
                </c:pt>
                <c:pt idx="2">
                  <c:v>3525000-4524999</c:v>
                </c:pt>
                <c:pt idx="3">
                  <c:v>4525000-5524999</c:v>
                </c:pt>
                <c:pt idx="4">
                  <c:v>5525000-6524999</c:v>
                </c:pt>
                <c:pt idx="5">
                  <c:v>6525000-7524999</c:v>
                </c:pt>
                <c:pt idx="6">
                  <c:v>7525000-8524999</c:v>
                </c:pt>
                <c:pt idx="7">
                  <c:v>8525000-9524999</c:v>
                </c:pt>
                <c:pt idx="8">
                  <c:v>9525000-10525000</c:v>
                </c:pt>
              </c:strCache>
            </c:strRef>
          </c:cat>
          <c:val>
            <c:numRef>
              <c:f>'Építési_összes ajánlatkérő'!$B$1:$B$10</c:f>
              <c:numCache>
                <c:formatCode>0.00%</c:formatCode>
                <c:ptCount val="10"/>
                <c:pt idx="1">
                  <c:v>1.2271540469973891E-2</c:v>
                </c:pt>
                <c:pt idx="2">
                  <c:v>6.0052219321148825E-3</c:v>
                </c:pt>
                <c:pt idx="3">
                  <c:v>2.8720626631853785E-3</c:v>
                </c:pt>
                <c:pt idx="4">
                  <c:v>2.6109660574412533E-3</c:v>
                </c:pt>
                <c:pt idx="5">
                  <c:v>2.0887728459530026E-3</c:v>
                </c:pt>
                <c:pt idx="6">
                  <c:v>1.8276762402088772E-3</c:v>
                </c:pt>
                <c:pt idx="7">
                  <c:v>1.0443864229765013E-3</c:v>
                </c:pt>
                <c:pt idx="8">
                  <c:v>2.0887728459530026E-3</c:v>
                </c:pt>
              </c:numCache>
            </c:numRef>
          </c:val>
          <c:extLst xmlns:c16r2="http://schemas.microsoft.com/office/drawing/2015/06/chart">
            <c:ext xmlns:c16="http://schemas.microsoft.com/office/drawing/2014/chart" uri="{C3380CC4-5D6E-409C-BE32-E72D297353CC}">
              <c16:uniqueId val="{00000006-59CC-4333-A616-89DED6671511}"/>
            </c:ext>
          </c:extLst>
        </c:ser>
        <c:dLbls>
          <c:showLegendKey val="0"/>
          <c:showVal val="0"/>
          <c:showCatName val="0"/>
          <c:showSerName val="0"/>
          <c:showPercent val="0"/>
          <c:showBubbleSize val="0"/>
        </c:dLbls>
        <c:gapWidth val="0"/>
        <c:axId val="183826688"/>
        <c:axId val="194132608"/>
      </c:barChart>
      <c:catAx>
        <c:axId val="183826688"/>
        <c:scaling>
          <c:orientation val="minMax"/>
        </c:scaling>
        <c:delete val="0"/>
        <c:axPos val="b"/>
        <c:title>
          <c:tx>
            <c:rich>
              <a:bodyPr/>
              <a:lstStyle/>
              <a:p>
                <a:pPr>
                  <a:defRPr sz="800">
                    <a:latin typeface="Book Antiqua" panose="02040602050305030304" pitchFamily="18" charset="0"/>
                  </a:defRPr>
                </a:pPr>
                <a:r>
                  <a:rPr lang="hu-HU" sz="800">
                    <a:latin typeface="Book Antiqua" panose="02040602050305030304" pitchFamily="18" charset="0"/>
                  </a:rPr>
                  <a:t>Value</a:t>
                </a:r>
                <a:r>
                  <a:rPr lang="hu-HU" sz="800" baseline="0">
                    <a:latin typeface="Book Antiqua" panose="02040602050305030304" pitchFamily="18" charset="0"/>
                  </a:rPr>
                  <a:t> (Million EUR)</a:t>
                </a:r>
                <a:endParaRPr lang="hu-HU" sz="800">
                  <a:latin typeface="Book Antiqua" panose="02040602050305030304" pitchFamily="18" charset="0"/>
                </a:endParaRPr>
              </a:p>
            </c:rich>
          </c:tx>
          <c:layout>
            <c:manualLayout>
              <c:xMode val="edge"/>
              <c:yMode val="edge"/>
              <c:x val="0.80954697329977321"/>
              <c:y val="0.9274477773376123"/>
            </c:manualLayout>
          </c:layout>
          <c:overlay val="0"/>
        </c:title>
        <c:numFmt formatCode="General" sourceLinked="1"/>
        <c:majorTickMark val="out"/>
        <c:minorTickMark val="none"/>
        <c:tickLblPos val="nextTo"/>
        <c:txPr>
          <a:bodyPr rot="-5400000" vert="horz"/>
          <a:lstStyle/>
          <a:p>
            <a:pPr>
              <a:defRPr sz="800">
                <a:latin typeface="Book Antiqua" panose="02040602050305030304" pitchFamily="18" charset="0"/>
              </a:defRPr>
            </a:pPr>
            <a:endParaRPr lang="hu-HU"/>
          </a:p>
        </c:txPr>
        <c:crossAx val="194132608"/>
        <c:crosses val="autoZero"/>
        <c:auto val="1"/>
        <c:lblAlgn val="ctr"/>
        <c:lblOffset val="100"/>
        <c:tickLblSkip val="1"/>
        <c:noMultiLvlLbl val="0"/>
      </c:catAx>
      <c:valAx>
        <c:axId val="194132608"/>
        <c:scaling>
          <c:orientation val="minMax"/>
          <c:max val="1.2500000000000002E-2"/>
          <c:min val="0"/>
        </c:scaling>
        <c:delete val="0"/>
        <c:axPos val="l"/>
        <c:majorGridlines/>
        <c:title>
          <c:tx>
            <c:rich>
              <a:bodyPr rot="-5400000" vert="horz"/>
              <a:lstStyle/>
              <a:p>
                <a:pPr>
                  <a:defRPr sz="800">
                    <a:latin typeface="Book Antiqua" panose="02040602050305030304" pitchFamily="18" charset="0"/>
                  </a:defRPr>
                </a:pPr>
                <a:r>
                  <a:rPr lang="hu-HU" sz="800">
                    <a:latin typeface="Book Antiqua" panose="02040602050305030304" pitchFamily="18" charset="0"/>
                  </a:rPr>
                  <a:t>Public procurement</a:t>
                </a:r>
                <a:r>
                  <a:rPr lang="hu-HU" sz="800" baseline="0">
                    <a:latin typeface="Book Antiqua" panose="02040602050305030304" pitchFamily="18" charset="0"/>
                  </a:rPr>
                  <a:t> procedures</a:t>
                </a:r>
                <a:r>
                  <a:rPr lang="hu-HU" sz="800">
                    <a:latin typeface="Book Antiqua" panose="02040602050305030304" pitchFamily="18" charset="0"/>
                  </a:rPr>
                  <a:t> (%)</a:t>
                </a:r>
              </a:p>
            </c:rich>
          </c:tx>
          <c:layout>
            <c:manualLayout>
              <c:xMode val="edge"/>
              <c:yMode val="edge"/>
              <c:x val="1.4215637736737737E-2"/>
              <c:y val="0.17278204837170932"/>
            </c:manualLayout>
          </c:layout>
          <c:overlay val="0"/>
        </c:title>
        <c:numFmt formatCode="0.0%" sourceLinked="0"/>
        <c:majorTickMark val="out"/>
        <c:minorTickMark val="none"/>
        <c:tickLblPos val="nextTo"/>
        <c:txPr>
          <a:bodyPr/>
          <a:lstStyle/>
          <a:p>
            <a:pPr>
              <a:defRPr sz="800"/>
            </a:pPr>
            <a:endParaRPr lang="hu-HU"/>
          </a:p>
        </c:txPr>
        <c:crossAx val="183826688"/>
        <c:crosses val="autoZero"/>
        <c:crossBetween val="between"/>
        <c:majorUnit val="2.5000000000000005E-3"/>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CE50DB0DB094A96D070B1BFDF9444" ma:contentTypeVersion="0" ma:contentTypeDescription="Create a new document." ma:contentTypeScope="" ma:versionID="027926cb6e7b7cf56663ff3bc8e75ea7">
  <xsd:schema xmlns:xsd="http://www.w3.org/2001/XMLSchema" xmlns:xs="http://www.w3.org/2001/XMLSchema" xmlns:p="http://schemas.microsoft.com/office/2006/metadata/properties" targetNamespace="http://schemas.microsoft.com/office/2006/metadata/properties" ma:root="true" ma:fieldsID="3908ae204c6c644ae07194e013529a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79E7-2813-459F-AC71-1FFBD3A3CBB0}">
  <ds:schemaRef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A073A97-BAC9-4528-933A-C675FEA011C4}">
  <ds:schemaRefs>
    <ds:schemaRef ds:uri="http://schemas.microsoft.com/sharepoint/v3/contenttype/forms"/>
  </ds:schemaRefs>
</ds:datastoreItem>
</file>

<file path=customXml/itemProps3.xml><?xml version="1.0" encoding="utf-8"?>
<ds:datastoreItem xmlns:ds="http://schemas.openxmlformats.org/officeDocument/2006/customXml" ds:itemID="{DE1C294F-28E5-4786-AF46-6D57342E5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5CDB5B-FE83-4EA4-A6C5-E39F4A4D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42</Pages>
  <Words>10327</Words>
  <Characters>71262</Characters>
  <Application>Microsoft Office Word</Application>
  <DocSecurity>0</DocSecurity>
  <Lines>593</Lines>
  <Paragraphs>162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HERCHER Jachym (GROW)</dc:creator>
  <cp:lastModifiedBy>Horváth Dusán dr.</cp:lastModifiedBy>
  <cp:revision>81</cp:revision>
  <cp:lastPrinted>2018-02-14T09:14:00Z</cp:lastPrinted>
  <dcterms:created xsi:type="dcterms:W3CDTF">2018-05-18T08:49:00Z</dcterms:created>
  <dcterms:modified xsi:type="dcterms:W3CDTF">2018-05-29T15:10:00Z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0x010100FE2CE50DB0DB094A96D070B1BFDF9444</vt:lpwstr>
  </property>
  <property fmtid="{D5CDD505-2E9C-101B-9397-08002B2CF9AE}" pid="3" name="IsMyDocuments">
    <vt:bool>true</vt:bool>
  </property>
</Properties>
</file>