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8CB" w:rsidRPr="00B01372" w:rsidRDefault="00411EDE" w:rsidP="00411EDE">
      <w:pPr>
        <w:pStyle w:val="Heading1"/>
        <w:jc w:val="center"/>
        <w:rPr>
          <w:rFonts w:asciiTheme="minorHAnsi" w:hAnsiTheme="minorHAnsi"/>
          <w:sz w:val="22"/>
          <w:szCs w:val="22"/>
          <w:u w:val="single"/>
        </w:rPr>
      </w:pPr>
      <w:r w:rsidRPr="00B01372">
        <w:rPr>
          <w:rFonts w:asciiTheme="minorHAnsi" w:hAnsiTheme="minorHAnsi"/>
          <w:sz w:val="22"/>
          <w:szCs w:val="22"/>
          <w:u w:val="single"/>
        </w:rPr>
        <w:br/>
      </w:r>
      <w:r w:rsidRPr="00B01372">
        <w:rPr>
          <w:rFonts w:asciiTheme="minorHAnsi" w:hAnsiTheme="minorHAnsi"/>
          <w:sz w:val="22"/>
          <w:szCs w:val="22"/>
          <w:u w:val="single"/>
        </w:rPr>
        <w:br/>
      </w:r>
      <w:r w:rsidR="00F92DAE" w:rsidRPr="00B01372">
        <w:rPr>
          <w:rFonts w:asciiTheme="minorHAnsi" w:hAnsiTheme="minorHAnsi"/>
          <w:sz w:val="32"/>
          <w:szCs w:val="32"/>
        </w:rPr>
        <w:br/>
      </w:r>
      <w:r w:rsidR="00F92DAE" w:rsidRPr="00B01372">
        <w:rPr>
          <w:rFonts w:asciiTheme="minorHAnsi" w:hAnsiTheme="minorHAnsi"/>
          <w:sz w:val="32"/>
          <w:szCs w:val="32"/>
          <w:u w:val="single"/>
        </w:rPr>
        <w:t xml:space="preserve">Procurement </w:t>
      </w:r>
      <w:r w:rsidR="0051246A" w:rsidRPr="00B01372">
        <w:rPr>
          <w:rFonts w:asciiTheme="minorHAnsi" w:hAnsiTheme="minorHAnsi"/>
          <w:sz w:val="32"/>
          <w:szCs w:val="32"/>
          <w:u w:val="single"/>
        </w:rPr>
        <w:t xml:space="preserve">Monitoring </w:t>
      </w:r>
      <w:r w:rsidR="00F92DAE" w:rsidRPr="00B01372">
        <w:rPr>
          <w:rFonts w:asciiTheme="minorHAnsi" w:hAnsiTheme="minorHAnsi"/>
          <w:sz w:val="32"/>
          <w:szCs w:val="32"/>
          <w:u w:val="single"/>
        </w:rPr>
        <w:t xml:space="preserve">Report </w:t>
      </w:r>
    </w:p>
    <w:p w:rsidR="00BD08CB" w:rsidRPr="00B01372" w:rsidRDefault="00C314EF" w:rsidP="00F92DAE">
      <w:pPr>
        <w:pStyle w:val="NoSpacing"/>
        <w:jc w:val="center"/>
        <w:rPr>
          <w:b/>
          <w:sz w:val="32"/>
          <w:szCs w:val="32"/>
        </w:rPr>
      </w:pPr>
      <w:r w:rsidRPr="00B01372">
        <w:rPr>
          <w:b/>
          <w:sz w:val="32"/>
          <w:szCs w:val="32"/>
        </w:rPr>
        <w:t xml:space="preserve">In view of </w:t>
      </w:r>
      <w:r w:rsidR="00411EDE" w:rsidRPr="00B01372">
        <w:rPr>
          <w:b/>
          <w:sz w:val="32"/>
          <w:szCs w:val="32"/>
        </w:rPr>
        <w:t>the Member States' reporting proces</w:t>
      </w:r>
      <w:r w:rsidRPr="00B01372">
        <w:rPr>
          <w:b/>
          <w:sz w:val="32"/>
          <w:szCs w:val="32"/>
        </w:rPr>
        <w:t>s</w:t>
      </w:r>
      <w:r w:rsidR="00411EDE" w:rsidRPr="00B01372">
        <w:rPr>
          <w:b/>
          <w:sz w:val="32"/>
          <w:szCs w:val="32"/>
        </w:rPr>
        <w:t xml:space="preserve"> </w:t>
      </w:r>
      <w:r w:rsidR="00411EDE" w:rsidRPr="00B01372">
        <w:rPr>
          <w:b/>
          <w:sz w:val="32"/>
          <w:szCs w:val="32"/>
        </w:rPr>
        <w:br/>
      </w:r>
      <w:r w:rsidRPr="00B01372">
        <w:rPr>
          <w:b/>
          <w:sz w:val="32"/>
          <w:szCs w:val="32"/>
        </w:rPr>
        <w:t xml:space="preserve">under the </w:t>
      </w:r>
      <w:r w:rsidR="00411EDE" w:rsidRPr="00B01372">
        <w:rPr>
          <w:b/>
          <w:sz w:val="32"/>
          <w:szCs w:val="32"/>
        </w:rPr>
        <w:t xml:space="preserve">Directives 2014/23/EU, 2014/24/EU and 2014/25/EU   </w:t>
      </w:r>
    </w:p>
    <w:p w:rsidR="008472EB" w:rsidRPr="00524012" w:rsidRDefault="008472EB" w:rsidP="00D6180B">
      <w:pPr>
        <w:pStyle w:val="NoSpacing"/>
        <w:ind w:left="426"/>
        <w:jc w:val="both"/>
        <w:rPr>
          <w:strike/>
        </w:rPr>
      </w:pPr>
    </w:p>
    <w:p w:rsidR="00C437AF" w:rsidRPr="00B01372" w:rsidRDefault="00411EDE" w:rsidP="003F1BD0">
      <w:pPr>
        <w:pStyle w:val="Heading1"/>
        <w:tabs>
          <w:tab w:val="right" w:pos="14004"/>
        </w:tabs>
        <w:rPr>
          <w:rFonts w:asciiTheme="minorHAnsi" w:hAnsiTheme="minorHAnsi"/>
        </w:rPr>
      </w:pPr>
      <w:r w:rsidRPr="00B01372">
        <w:rPr>
          <w:rFonts w:asciiTheme="minorHAnsi" w:hAnsiTheme="minorHAnsi"/>
        </w:rPr>
        <w:t xml:space="preserve">General information </w:t>
      </w:r>
      <w:r w:rsidR="003F1BD0" w:rsidRPr="00B01372">
        <w:rPr>
          <w:rFonts w:asciiTheme="minorHAnsi" w:hAnsiTheme="minorHAnsi"/>
        </w:rPr>
        <w:tab/>
      </w:r>
    </w:p>
    <w:p w:rsidR="00411EDE" w:rsidRPr="00B01372" w:rsidRDefault="00411EDE" w:rsidP="00A051EB"/>
    <w:tbl>
      <w:tblPr>
        <w:tblStyle w:val="TableGrid"/>
        <w:tblW w:w="0" w:type="auto"/>
        <w:tblLook w:val="04A0" w:firstRow="1" w:lastRow="0" w:firstColumn="1" w:lastColumn="0" w:noHBand="0" w:noVBand="1"/>
      </w:tblPr>
      <w:tblGrid>
        <w:gridCol w:w="14220"/>
      </w:tblGrid>
      <w:tr w:rsidR="00411EDE" w:rsidRPr="00B01372" w:rsidTr="00267227">
        <w:trPr>
          <w:trHeight w:val="369"/>
        </w:trPr>
        <w:tc>
          <w:tcPr>
            <w:tcW w:w="0" w:type="auto"/>
          </w:tcPr>
          <w:p w:rsidR="00411EDE" w:rsidRPr="00B01372" w:rsidRDefault="00B6290E" w:rsidP="00A051EB">
            <w:pPr>
              <w:rPr>
                <w:b/>
                <w:sz w:val="24"/>
                <w:szCs w:val="24"/>
              </w:rPr>
            </w:pPr>
            <w:r w:rsidRPr="00B01372">
              <w:rPr>
                <w:b/>
                <w:sz w:val="24"/>
                <w:szCs w:val="24"/>
              </w:rPr>
              <w:t xml:space="preserve">Scope of </w:t>
            </w:r>
            <w:r w:rsidR="00411EDE" w:rsidRPr="00B01372">
              <w:rPr>
                <w:b/>
                <w:sz w:val="24"/>
                <w:szCs w:val="24"/>
              </w:rPr>
              <w:t>reporting</w:t>
            </w:r>
          </w:p>
        </w:tc>
      </w:tr>
      <w:tr w:rsidR="00411EDE" w:rsidRPr="00B01372" w:rsidTr="00267227">
        <w:trPr>
          <w:trHeight w:val="559"/>
        </w:trPr>
        <w:tc>
          <w:tcPr>
            <w:tcW w:w="0" w:type="auto"/>
          </w:tcPr>
          <w:p w:rsidR="00107958" w:rsidRDefault="00107958" w:rsidP="00693D77">
            <w:pPr>
              <w:pStyle w:val="NoSpacing"/>
              <w:jc w:val="both"/>
            </w:pPr>
          </w:p>
          <w:p w:rsidR="00107958" w:rsidRPr="000062C5" w:rsidRDefault="00B96CBB" w:rsidP="00693D77">
            <w:pPr>
              <w:pStyle w:val="NoSpacing"/>
              <w:jc w:val="both"/>
              <w:rPr>
                <w:rFonts w:ascii="Trebuchet MS" w:hAnsi="Trebuchet MS"/>
              </w:rPr>
            </w:pPr>
            <w:r>
              <w:rPr>
                <w:rFonts w:ascii="Trebuchet MS" w:hAnsi="Trebuchet MS"/>
              </w:rPr>
              <w:t>The purpose of t</w:t>
            </w:r>
            <w:r w:rsidR="00107958" w:rsidRPr="000062C5">
              <w:rPr>
                <w:rFonts w:ascii="Trebuchet MS" w:hAnsi="Trebuchet MS"/>
              </w:rPr>
              <w:t xml:space="preserve">his report </w:t>
            </w:r>
            <w:r>
              <w:rPr>
                <w:rFonts w:ascii="Trebuchet MS" w:hAnsi="Trebuchet MS"/>
              </w:rPr>
              <w:t xml:space="preserve">is </w:t>
            </w:r>
            <w:r w:rsidR="00107958" w:rsidRPr="000062C5">
              <w:rPr>
                <w:rFonts w:ascii="Trebuchet MS" w:hAnsi="Trebuchet MS"/>
              </w:rPr>
              <w:t xml:space="preserve">to </w:t>
            </w:r>
            <w:r>
              <w:rPr>
                <w:rFonts w:ascii="Trebuchet MS" w:hAnsi="Trebuchet MS"/>
              </w:rPr>
              <w:t xml:space="preserve">send </w:t>
            </w:r>
            <w:r w:rsidR="00107958" w:rsidRPr="000062C5">
              <w:rPr>
                <w:rFonts w:ascii="Trebuchet MS" w:hAnsi="Trebuchet MS"/>
              </w:rPr>
              <w:t>a set of infor</w:t>
            </w:r>
            <w:r w:rsidR="00F1327C">
              <w:rPr>
                <w:rFonts w:ascii="Trebuchet MS" w:hAnsi="Trebuchet MS"/>
              </w:rPr>
              <w:t>mation about public procurement conducted</w:t>
            </w:r>
            <w:r w:rsidR="00107958" w:rsidRPr="000062C5">
              <w:rPr>
                <w:rFonts w:ascii="Trebuchet MS" w:hAnsi="Trebuchet MS"/>
              </w:rPr>
              <w:t xml:space="preserve"> in Romania between 1</w:t>
            </w:r>
            <w:r w:rsidR="00F1327C" w:rsidRPr="00BF267A">
              <w:rPr>
                <w:rFonts w:ascii="Trebuchet MS" w:hAnsi="Trebuchet MS"/>
                <w:sz w:val="28"/>
                <w:vertAlign w:val="superscript"/>
              </w:rPr>
              <w:t>st</w:t>
            </w:r>
            <w:r w:rsidR="00F1327C">
              <w:rPr>
                <w:rFonts w:ascii="Trebuchet MS" w:hAnsi="Trebuchet MS"/>
              </w:rPr>
              <w:t xml:space="preserve"> of</w:t>
            </w:r>
            <w:r w:rsidR="00107958" w:rsidRPr="000062C5">
              <w:rPr>
                <w:rFonts w:ascii="Trebuchet MS" w:hAnsi="Trebuchet MS"/>
              </w:rPr>
              <w:t xml:space="preserve"> January 2017 and 31</w:t>
            </w:r>
            <w:r w:rsidR="00F1327C" w:rsidRPr="00BF267A">
              <w:rPr>
                <w:rFonts w:ascii="Trebuchet MS" w:hAnsi="Trebuchet MS"/>
                <w:vertAlign w:val="superscript"/>
              </w:rPr>
              <w:t>th</w:t>
            </w:r>
            <w:r w:rsidR="00F1327C">
              <w:rPr>
                <w:rFonts w:ascii="Trebuchet MS" w:hAnsi="Trebuchet MS"/>
              </w:rPr>
              <w:t xml:space="preserve"> of</w:t>
            </w:r>
            <w:r w:rsidR="00107958" w:rsidRPr="000062C5">
              <w:rPr>
                <w:rFonts w:ascii="Trebuchet MS" w:hAnsi="Trebuchet MS"/>
              </w:rPr>
              <w:t xml:space="preserve"> December 2017.</w:t>
            </w:r>
          </w:p>
          <w:p w:rsidR="00107958" w:rsidRPr="00B01372" w:rsidRDefault="00107958" w:rsidP="00693D77">
            <w:pPr>
              <w:pStyle w:val="NoSpacing"/>
              <w:jc w:val="both"/>
            </w:pPr>
          </w:p>
        </w:tc>
      </w:tr>
      <w:tr w:rsidR="004954F8" w:rsidRPr="00B01372" w:rsidTr="00267227">
        <w:trPr>
          <w:trHeight w:val="270"/>
        </w:trPr>
        <w:tc>
          <w:tcPr>
            <w:tcW w:w="0" w:type="auto"/>
          </w:tcPr>
          <w:p w:rsidR="004954F8" w:rsidRPr="00B01372" w:rsidRDefault="004954F8" w:rsidP="004954F8">
            <w:pPr>
              <w:pStyle w:val="NoSpacing"/>
              <w:jc w:val="both"/>
            </w:pPr>
            <w:r w:rsidRPr="00B01372">
              <w:rPr>
                <w:b/>
                <w:sz w:val="24"/>
                <w:szCs w:val="24"/>
              </w:rPr>
              <w:t>General information</w:t>
            </w:r>
          </w:p>
        </w:tc>
      </w:tr>
      <w:tr w:rsidR="004954F8" w:rsidRPr="00B01372" w:rsidTr="00267227">
        <w:trPr>
          <w:trHeight w:val="701"/>
        </w:trPr>
        <w:tc>
          <w:tcPr>
            <w:tcW w:w="0" w:type="auto"/>
            <w:vAlign w:val="center"/>
          </w:tcPr>
          <w:p w:rsidR="008B216A" w:rsidRDefault="008B216A" w:rsidP="00F20712">
            <w:pPr>
              <w:pStyle w:val="NoSpacing"/>
            </w:pPr>
          </w:p>
          <w:p w:rsidR="008B216A" w:rsidRDefault="00BF267A" w:rsidP="006A1573">
            <w:pPr>
              <w:jc w:val="both"/>
              <w:rPr>
                <w:rFonts w:ascii="Trebuchet MS" w:hAnsi="Trebuchet MS" w:cs="Times New Roman"/>
              </w:rPr>
            </w:pPr>
            <w:r>
              <w:rPr>
                <w:rFonts w:ascii="Trebuchet MS" w:hAnsi="Trebuchet MS" w:cs="Times New Roman"/>
              </w:rPr>
              <w:t>The n</w:t>
            </w:r>
            <w:r w:rsidR="00511464">
              <w:rPr>
                <w:rFonts w:ascii="Trebuchet MS" w:hAnsi="Trebuchet MS" w:cs="Times New Roman"/>
              </w:rPr>
              <w:t>umber of public procurem</w:t>
            </w:r>
            <w:r w:rsidR="00F1327C">
              <w:rPr>
                <w:rFonts w:ascii="Trebuchet MS" w:hAnsi="Trebuchet MS" w:cs="Times New Roman"/>
              </w:rPr>
              <w:t xml:space="preserve">ent procedures initiated by </w:t>
            </w:r>
            <w:r w:rsidR="00511464">
              <w:rPr>
                <w:rFonts w:ascii="Trebuchet MS" w:hAnsi="Trebuchet MS" w:cs="Times New Roman"/>
              </w:rPr>
              <w:t xml:space="preserve">publication of an </w:t>
            </w:r>
            <w:r>
              <w:rPr>
                <w:rFonts w:ascii="Trebuchet MS" w:hAnsi="Trebuchet MS" w:cs="Times New Roman"/>
              </w:rPr>
              <w:t xml:space="preserve"> contract</w:t>
            </w:r>
            <w:r w:rsidR="00F1327C">
              <w:rPr>
                <w:rFonts w:ascii="Trebuchet MS" w:hAnsi="Trebuchet MS" w:cs="Times New Roman"/>
              </w:rPr>
              <w:t xml:space="preserve"> notice (</w:t>
            </w:r>
            <w:r w:rsidR="00511464">
              <w:rPr>
                <w:rFonts w:ascii="Trebuchet MS" w:hAnsi="Trebuchet MS" w:cs="Times New Roman"/>
              </w:rPr>
              <w:t>AP</w:t>
            </w:r>
            <w:r w:rsidR="00F1327C">
              <w:rPr>
                <w:rFonts w:ascii="Trebuchet MS" w:hAnsi="Trebuchet MS" w:cs="Times New Roman"/>
              </w:rPr>
              <w:t>)</w:t>
            </w:r>
            <w:r w:rsidR="00511464">
              <w:rPr>
                <w:rFonts w:ascii="Trebuchet MS" w:hAnsi="Trebuchet MS" w:cs="Times New Roman"/>
              </w:rPr>
              <w:t>/</w:t>
            </w:r>
            <w:r w:rsidR="00F1327C">
              <w:rPr>
                <w:rFonts w:ascii="Trebuchet MS" w:hAnsi="Trebuchet MS" w:cs="Times New Roman"/>
              </w:rPr>
              <w:t xml:space="preserve"> </w:t>
            </w:r>
            <w:r w:rsidR="00151988">
              <w:rPr>
                <w:rFonts w:ascii="Trebuchet MS" w:hAnsi="Trebuchet MS" w:cs="Times New Roman"/>
              </w:rPr>
              <w:t>call for offers</w:t>
            </w:r>
            <w:r>
              <w:rPr>
                <w:rFonts w:ascii="Trebuchet MS" w:hAnsi="Trebuchet MS" w:cs="Times New Roman"/>
              </w:rPr>
              <w:t xml:space="preserve"> (</w:t>
            </w:r>
            <w:r w:rsidR="00511464">
              <w:rPr>
                <w:rFonts w:ascii="Trebuchet MS" w:hAnsi="Trebuchet MS" w:cs="Times New Roman"/>
              </w:rPr>
              <w:t>IP</w:t>
            </w:r>
            <w:r>
              <w:rPr>
                <w:rFonts w:ascii="Trebuchet MS" w:hAnsi="Trebuchet MS" w:cs="Times New Roman"/>
              </w:rPr>
              <w:t>)/</w:t>
            </w:r>
            <w:r w:rsidR="00D65261">
              <w:rPr>
                <w:rFonts w:ascii="Trebuchet MS" w:hAnsi="Trebuchet MS" w:cs="Times New Roman"/>
              </w:rPr>
              <w:t>invitation to simplified procedure (APS)</w:t>
            </w:r>
            <w:r w:rsidR="00511464">
              <w:rPr>
                <w:rFonts w:ascii="Trebuchet MS" w:hAnsi="Trebuchet MS" w:cs="Times New Roman"/>
              </w:rPr>
              <w:t>, number of contracts awarded</w:t>
            </w:r>
            <w:r w:rsidR="00344136">
              <w:rPr>
                <w:rFonts w:ascii="Trebuchet MS" w:hAnsi="Trebuchet MS" w:cs="Times New Roman"/>
              </w:rPr>
              <w:t>.</w:t>
            </w:r>
          </w:p>
          <w:p w:rsidR="00181683" w:rsidRDefault="00181683" w:rsidP="006A1573">
            <w:pPr>
              <w:jc w:val="both"/>
              <w:rPr>
                <w:rFonts w:ascii="Trebuchet MS" w:hAnsi="Trebuchet MS" w:cs="Times New Roman"/>
              </w:rPr>
            </w:pPr>
          </w:p>
          <w:p w:rsidR="00511464" w:rsidRDefault="00511464" w:rsidP="006A1573">
            <w:pPr>
              <w:jc w:val="both"/>
              <w:rPr>
                <w:rFonts w:ascii="Trebuchet MS" w:hAnsi="Trebuchet MS" w:cs="Times New Roman"/>
              </w:rPr>
            </w:pPr>
            <w:r>
              <w:rPr>
                <w:rFonts w:ascii="Trebuchet MS" w:hAnsi="Trebuchet MS" w:cs="Times New Roman"/>
              </w:rPr>
              <w:t xml:space="preserve">In 2017, </w:t>
            </w:r>
            <w:r w:rsidR="00D65261">
              <w:rPr>
                <w:rFonts w:ascii="Trebuchet MS" w:hAnsi="Trebuchet MS" w:cs="Times New Roman"/>
              </w:rPr>
              <w:t xml:space="preserve">the </w:t>
            </w:r>
            <w:r>
              <w:rPr>
                <w:rFonts w:ascii="Trebuchet MS" w:hAnsi="Trebuchet MS" w:cs="Times New Roman"/>
              </w:rPr>
              <w:t>contracting authorities / entities initiated</w:t>
            </w:r>
            <w:r w:rsidR="00197522">
              <w:rPr>
                <w:rFonts w:ascii="Trebuchet MS" w:hAnsi="Trebuchet MS" w:cs="Times New Roman"/>
              </w:rPr>
              <w:t xml:space="preserve"> </w:t>
            </w:r>
            <w:r>
              <w:rPr>
                <w:rFonts w:ascii="Trebuchet MS" w:hAnsi="Trebuchet MS" w:cs="Times New Roman"/>
              </w:rPr>
              <w:t xml:space="preserve">through the AP / APS – IP within the </w:t>
            </w:r>
            <w:r w:rsidR="0018196C">
              <w:rPr>
                <w:rFonts w:ascii="Trebuchet MS" w:hAnsi="Trebuchet MS" w:cs="Times New Roman"/>
              </w:rPr>
              <w:t>Electronic Public Procurement System (</w:t>
            </w:r>
            <w:r>
              <w:rPr>
                <w:rFonts w:ascii="Trebuchet MS" w:hAnsi="Trebuchet MS" w:cs="Times New Roman"/>
              </w:rPr>
              <w:t>SEAP</w:t>
            </w:r>
            <w:r w:rsidR="0018196C">
              <w:rPr>
                <w:rFonts w:ascii="Trebuchet MS" w:hAnsi="Trebuchet MS" w:cs="Times New Roman"/>
              </w:rPr>
              <w:t>)</w:t>
            </w:r>
            <w:r>
              <w:rPr>
                <w:rFonts w:ascii="Trebuchet MS" w:hAnsi="Trebuchet MS" w:cs="Times New Roman"/>
              </w:rPr>
              <w:t>, a number of 28,165 public procurement procedures.</w:t>
            </w:r>
          </w:p>
          <w:p w:rsidR="00D65261" w:rsidRDefault="00D65261" w:rsidP="006A1573">
            <w:pPr>
              <w:jc w:val="both"/>
              <w:rPr>
                <w:rFonts w:ascii="Trebuchet MS" w:hAnsi="Trebuchet MS" w:cs="Times New Roman"/>
              </w:rPr>
            </w:pPr>
            <w:r>
              <w:rPr>
                <w:rFonts w:ascii="Trebuchet MS" w:hAnsi="Trebuchet MS" w:cs="Times New Roman"/>
              </w:rPr>
              <w:t xml:space="preserve">A number of </w:t>
            </w:r>
            <w:r w:rsidRPr="00D65261">
              <w:rPr>
                <w:rFonts w:ascii="Trebuchet MS" w:hAnsi="Trebuchet MS" w:cs="Times New Roman"/>
              </w:rPr>
              <w:t>61,294</w:t>
            </w:r>
            <w:r>
              <w:rPr>
                <w:rFonts w:ascii="Trebuchet MS" w:hAnsi="Trebuchet MS" w:cs="Times New Roman"/>
              </w:rPr>
              <w:t xml:space="preserve"> contracts were awarded from the total public procurement procedures initiated in 2017</w:t>
            </w:r>
            <w:r w:rsidR="00181683">
              <w:rPr>
                <w:rFonts w:ascii="Trebuchet MS" w:hAnsi="Trebuchet MS" w:cs="Times New Roman"/>
              </w:rPr>
              <w:t>.</w:t>
            </w:r>
            <w:r w:rsidR="002E119B">
              <w:rPr>
                <w:rFonts w:ascii="Trebuchet MS" w:hAnsi="Trebuchet MS" w:cs="Times New Roman"/>
              </w:rPr>
              <w:t xml:space="preserve"> </w:t>
            </w:r>
          </w:p>
          <w:p w:rsidR="00D65261" w:rsidRDefault="00D65261" w:rsidP="006A1573">
            <w:pPr>
              <w:jc w:val="both"/>
              <w:rPr>
                <w:rFonts w:ascii="Trebuchet MS" w:hAnsi="Trebuchet MS" w:cs="Times New Roman"/>
              </w:rPr>
            </w:pPr>
          </w:p>
          <w:p w:rsidR="00511464" w:rsidRDefault="002E119B" w:rsidP="006A1573">
            <w:pPr>
              <w:jc w:val="both"/>
              <w:rPr>
                <w:rFonts w:ascii="Trebuchet MS" w:hAnsi="Trebuchet MS" w:cs="Times New Roman"/>
              </w:rPr>
            </w:pPr>
            <w:r>
              <w:rPr>
                <w:rFonts w:ascii="Trebuchet MS" w:hAnsi="Trebuchet MS" w:cs="Times New Roman"/>
              </w:rPr>
              <w:t>The number mentioned above is based on the information available and published by the contracting authorities/entities in SEAP in 2017,</w:t>
            </w:r>
            <w:r>
              <w:t xml:space="preserve"> </w:t>
            </w:r>
            <w:r w:rsidRPr="002E119B">
              <w:rPr>
                <w:rFonts w:ascii="Trebuchet MS" w:hAnsi="Trebuchet MS" w:cs="Times New Roman"/>
              </w:rPr>
              <w:t>until 28th of February 2018.</w:t>
            </w:r>
          </w:p>
          <w:p w:rsidR="00511464" w:rsidRPr="007C314F" w:rsidRDefault="00511464" w:rsidP="006A1573">
            <w:pPr>
              <w:jc w:val="both"/>
              <w:rPr>
                <w:rFonts w:ascii="Trebuchet MS" w:hAnsi="Trebuchet MS" w:cs="Times New Roman"/>
              </w:rPr>
            </w:pPr>
          </w:p>
          <w:p w:rsidR="008B216A" w:rsidRPr="007C314F" w:rsidRDefault="008B216A" w:rsidP="006A1573">
            <w:pPr>
              <w:jc w:val="both"/>
              <w:rPr>
                <w:rFonts w:ascii="Trebuchet MS" w:hAnsi="Trebuchet MS" w:cs="Times New Roman"/>
              </w:rPr>
            </w:pPr>
          </w:p>
          <w:p w:rsidR="008B216A" w:rsidRPr="00E25B00" w:rsidRDefault="0018196C" w:rsidP="004B0DFA">
            <w:pPr>
              <w:pStyle w:val="NoSpacing"/>
              <w:jc w:val="both"/>
              <w:rPr>
                <w:rFonts w:ascii="Trebuchet MS" w:hAnsi="Trebuchet MS"/>
                <w:lang w:val="en-US"/>
              </w:rPr>
            </w:pPr>
            <w:r w:rsidRPr="00E25B00">
              <w:rPr>
                <w:rFonts w:ascii="Trebuchet MS" w:hAnsi="Trebuchet MS"/>
              </w:rPr>
              <w:t>NOTE</w:t>
            </w:r>
            <w:r w:rsidR="003612FA" w:rsidRPr="00E25B00">
              <w:rPr>
                <w:rFonts w:ascii="Trebuchet MS" w:hAnsi="Trebuchet MS"/>
                <w:lang w:val="en-US"/>
              </w:rPr>
              <w:t>:</w:t>
            </w:r>
          </w:p>
          <w:p w:rsidR="0018196C" w:rsidRPr="00E25B00" w:rsidRDefault="002E119B" w:rsidP="004B0DFA">
            <w:pPr>
              <w:pStyle w:val="NoSpacing"/>
              <w:jc w:val="both"/>
              <w:rPr>
                <w:rFonts w:ascii="Trebuchet MS" w:hAnsi="Trebuchet MS"/>
                <w:lang w:val="en-US"/>
              </w:rPr>
            </w:pPr>
            <w:r>
              <w:rPr>
                <w:rFonts w:ascii="Trebuchet MS" w:hAnsi="Trebuchet MS"/>
                <w:lang w:val="en-US"/>
              </w:rPr>
              <w:t>T</w:t>
            </w:r>
            <w:r w:rsidR="0018196C" w:rsidRPr="00E25B00">
              <w:rPr>
                <w:rFonts w:ascii="Trebuchet MS" w:hAnsi="Trebuchet MS"/>
                <w:lang w:val="en-US"/>
              </w:rPr>
              <w:t xml:space="preserve">he number of contracts awarded in 2017 </w:t>
            </w:r>
            <w:r>
              <w:rPr>
                <w:rFonts w:ascii="Trebuchet MS" w:hAnsi="Trebuchet MS"/>
                <w:lang w:val="en-US"/>
              </w:rPr>
              <w:t>is based only on the</w:t>
            </w:r>
            <w:r w:rsidR="0018196C" w:rsidRPr="00E25B00">
              <w:rPr>
                <w:rFonts w:ascii="Trebuchet MS" w:hAnsi="Trebuchet MS"/>
                <w:lang w:val="en-US"/>
              </w:rPr>
              <w:t xml:space="preserve"> public procurement procedures initiated by </w:t>
            </w:r>
            <w:r>
              <w:rPr>
                <w:rFonts w:ascii="Trebuchet MS" w:hAnsi="Trebuchet MS"/>
                <w:lang w:val="en-US"/>
              </w:rPr>
              <w:t xml:space="preserve">an </w:t>
            </w:r>
            <w:r w:rsidR="0018196C" w:rsidRPr="00E25B00">
              <w:rPr>
                <w:rFonts w:ascii="Trebuchet MS" w:hAnsi="Trebuchet MS"/>
                <w:lang w:val="en-US"/>
              </w:rPr>
              <w:t>AP / APS-IP publi</w:t>
            </w:r>
            <w:r w:rsidR="007C69E0">
              <w:rPr>
                <w:rFonts w:ascii="Trebuchet MS" w:hAnsi="Trebuchet MS"/>
                <w:lang w:val="en-US"/>
              </w:rPr>
              <w:t>shed</w:t>
            </w:r>
            <w:r w:rsidR="0018196C" w:rsidRPr="00E25B00">
              <w:rPr>
                <w:rFonts w:ascii="Trebuchet MS" w:hAnsi="Trebuchet MS"/>
                <w:lang w:val="en-US"/>
              </w:rPr>
              <w:t xml:space="preserve"> in 2017.</w:t>
            </w:r>
          </w:p>
          <w:p w:rsidR="0018196C" w:rsidRPr="00E25B00" w:rsidRDefault="0018196C" w:rsidP="004B0DFA">
            <w:pPr>
              <w:pStyle w:val="NoSpacing"/>
              <w:jc w:val="both"/>
              <w:rPr>
                <w:rFonts w:ascii="Trebuchet MS" w:hAnsi="Trebuchet MS"/>
                <w:lang w:val="en-US"/>
              </w:rPr>
            </w:pPr>
            <w:r w:rsidRPr="00E25B00">
              <w:rPr>
                <w:rFonts w:ascii="Trebuchet MS" w:hAnsi="Trebuchet MS"/>
                <w:lang w:val="en-US"/>
              </w:rPr>
              <w:t xml:space="preserve">The situation regarding the number of contracts awarded in 2017 was made available to our institution by the SEAP </w:t>
            </w:r>
            <w:r w:rsidR="003F6D97" w:rsidRPr="00E25B00">
              <w:rPr>
                <w:rFonts w:ascii="Trebuchet MS" w:hAnsi="Trebuchet MS"/>
                <w:lang w:val="en-US"/>
              </w:rPr>
              <w:t xml:space="preserve">operator, based on the award notices published in the system </w:t>
            </w:r>
            <w:r w:rsidR="008F68EC">
              <w:rPr>
                <w:rFonts w:ascii="Trebuchet MS" w:hAnsi="Trebuchet MS"/>
                <w:lang w:val="en-US"/>
              </w:rPr>
              <w:t xml:space="preserve">until </w:t>
            </w:r>
            <w:r w:rsidR="003F6D97" w:rsidRPr="00E25B00">
              <w:rPr>
                <w:rFonts w:ascii="Trebuchet MS" w:hAnsi="Trebuchet MS"/>
                <w:lang w:val="en-US"/>
              </w:rPr>
              <w:t>February 28</w:t>
            </w:r>
            <w:r w:rsidR="008F68EC" w:rsidRPr="008F68EC">
              <w:rPr>
                <w:rFonts w:ascii="Trebuchet MS" w:hAnsi="Trebuchet MS"/>
                <w:vertAlign w:val="superscript"/>
                <w:lang w:val="en-US"/>
              </w:rPr>
              <w:t>th</w:t>
            </w:r>
            <w:r w:rsidR="003F6D97" w:rsidRPr="00E25B00">
              <w:rPr>
                <w:rFonts w:ascii="Trebuchet MS" w:hAnsi="Trebuchet MS"/>
                <w:lang w:val="en-US"/>
              </w:rPr>
              <w:t>, 2018.</w:t>
            </w:r>
          </w:p>
          <w:p w:rsidR="0018196C" w:rsidRDefault="007E257A" w:rsidP="004B0DFA">
            <w:pPr>
              <w:pStyle w:val="NoSpacing"/>
              <w:jc w:val="both"/>
              <w:rPr>
                <w:rFonts w:ascii="Trebuchet MS" w:hAnsi="Trebuchet MS"/>
                <w:lang w:val="en-US"/>
              </w:rPr>
            </w:pPr>
            <w:r>
              <w:rPr>
                <w:rFonts w:ascii="Trebuchet MS" w:hAnsi="Trebuchet MS"/>
                <w:lang w:val="en-US"/>
              </w:rPr>
              <w:t xml:space="preserve">The </w:t>
            </w:r>
            <w:r w:rsidR="007C69E0">
              <w:rPr>
                <w:rFonts w:ascii="Trebuchet MS" w:hAnsi="Trebuchet MS"/>
                <w:lang w:val="en-US"/>
              </w:rPr>
              <w:t xml:space="preserve">information </w:t>
            </w:r>
            <w:r w:rsidR="008F68EC">
              <w:rPr>
                <w:rFonts w:ascii="Trebuchet MS" w:hAnsi="Trebuchet MS"/>
                <w:lang w:val="en-US"/>
              </w:rPr>
              <w:t xml:space="preserve">is </w:t>
            </w:r>
            <w:r w:rsidR="007C69E0">
              <w:rPr>
                <w:rFonts w:ascii="Trebuchet MS" w:hAnsi="Trebuchet MS"/>
                <w:lang w:val="en-US"/>
              </w:rPr>
              <w:t xml:space="preserve"> based on the data available in </w:t>
            </w:r>
            <w:r>
              <w:rPr>
                <w:rFonts w:ascii="Trebuchet MS" w:hAnsi="Trebuchet MS"/>
                <w:lang w:val="en-US"/>
              </w:rPr>
              <w:t xml:space="preserve"> SEAP, </w:t>
            </w:r>
            <w:r w:rsidR="007C69E0">
              <w:rPr>
                <w:rFonts w:ascii="Trebuchet MS" w:hAnsi="Trebuchet MS"/>
                <w:lang w:val="en-US"/>
              </w:rPr>
              <w:t>as were</w:t>
            </w:r>
            <w:r>
              <w:rPr>
                <w:rFonts w:ascii="Trebuchet MS" w:hAnsi="Trebuchet MS"/>
                <w:lang w:val="en-US"/>
              </w:rPr>
              <w:t xml:space="preserve"> published by the contracting authorities / entities</w:t>
            </w:r>
            <w:r w:rsidR="005F6724">
              <w:rPr>
                <w:rFonts w:ascii="Trebuchet MS" w:hAnsi="Trebuchet MS"/>
                <w:lang w:val="en-US"/>
              </w:rPr>
              <w:t xml:space="preserve">; </w:t>
            </w:r>
            <w:r w:rsidR="008F68EC">
              <w:rPr>
                <w:rFonts w:ascii="Trebuchet MS" w:hAnsi="Trebuchet MS"/>
                <w:lang w:val="en-US"/>
              </w:rPr>
              <w:t>the information has</w:t>
            </w:r>
            <w:r w:rsidR="007C69E0">
              <w:rPr>
                <w:rFonts w:ascii="Trebuchet MS" w:hAnsi="Trebuchet MS"/>
                <w:lang w:val="en-US"/>
              </w:rPr>
              <w:t xml:space="preserve"> been </w:t>
            </w:r>
            <w:r w:rsidR="00957DD1">
              <w:rPr>
                <w:rFonts w:ascii="Trebuchet MS" w:hAnsi="Trebuchet MS"/>
                <w:lang w:val="en-US"/>
              </w:rPr>
              <w:t xml:space="preserve"> made available to our institution by the Agency</w:t>
            </w:r>
            <w:r w:rsidR="00EC3789">
              <w:rPr>
                <w:rFonts w:ascii="Trebuchet MS" w:hAnsi="Trebuchet MS"/>
                <w:lang w:val="en-US"/>
              </w:rPr>
              <w:t xml:space="preserve"> </w:t>
            </w:r>
            <w:r w:rsidR="00957DD1">
              <w:rPr>
                <w:rFonts w:ascii="Trebuchet MS" w:hAnsi="Trebuchet MS"/>
                <w:lang w:val="en-US"/>
              </w:rPr>
              <w:t xml:space="preserve">for the Digital Agenda of Romania – the operator of </w:t>
            </w:r>
            <w:r w:rsidR="007C69E0">
              <w:rPr>
                <w:rFonts w:ascii="Trebuchet MS" w:hAnsi="Trebuchet MS"/>
                <w:lang w:val="en-US"/>
              </w:rPr>
              <w:t>SEAP</w:t>
            </w:r>
            <w:r w:rsidR="00957DD1">
              <w:rPr>
                <w:rFonts w:ascii="Trebuchet MS" w:hAnsi="Trebuchet MS"/>
                <w:lang w:val="en-US"/>
              </w:rPr>
              <w:t>.</w:t>
            </w:r>
          </w:p>
          <w:p w:rsidR="00957DD1" w:rsidRPr="00E25B00" w:rsidRDefault="00957DD1" w:rsidP="004B0DFA">
            <w:pPr>
              <w:pStyle w:val="NoSpacing"/>
              <w:jc w:val="both"/>
              <w:rPr>
                <w:rFonts w:ascii="Trebuchet MS" w:hAnsi="Trebuchet MS"/>
                <w:lang w:val="en-US"/>
              </w:rPr>
            </w:pPr>
            <w:r>
              <w:rPr>
                <w:rFonts w:ascii="Trebuchet MS" w:hAnsi="Trebuchet MS"/>
                <w:lang w:val="en-US"/>
              </w:rPr>
              <w:t xml:space="preserve">The accuracy of the data may be affected by the material errors </w:t>
            </w:r>
            <w:r w:rsidR="001F0A9D">
              <w:rPr>
                <w:rFonts w:ascii="Trebuchet MS" w:hAnsi="Trebuchet MS"/>
                <w:lang w:val="en-US"/>
              </w:rPr>
              <w:t>araised</w:t>
            </w:r>
            <w:r w:rsidR="007C69E0">
              <w:rPr>
                <w:rFonts w:ascii="Trebuchet MS" w:hAnsi="Trebuchet MS"/>
                <w:lang w:val="en-US"/>
              </w:rPr>
              <w:t xml:space="preserve"> at</w:t>
            </w:r>
            <w:r>
              <w:rPr>
                <w:rFonts w:ascii="Trebuchet MS" w:hAnsi="Trebuchet MS"/>
                <w:lang w:val="en-US"/>
              </w:rPr>
              <w:t xml:space="preserve"> filling in / publishing </w:t>
            </w:r>
            <w:r w:rsidR="007C69E0">
              <w:rPr>
                <w:rFonts w:ascii="Trebuchet MS" w:hAnsi="Trebuchet MS"/>
                <w:lang w:val="en-US"/>
              </w:rPr>
              <w:t xml:space="preserve">of </w:t>
            </w:r>
            <w:r w:rsidR="008F68EC" w:rsidRPr="008F68EC">
              <w:rPr>
                <w:rFonts w:ascii="Trebuchet MS" w:hAnsi="Trebuchet MS"/>
                <w:lang w:val="en-US"/>
              </w:rPr>
              <w:t>contract award notice</w:t>
            </w:r>
            <w:r w:rsidR="008F68EC">
              <w:rPr>
                <w:rFonts w:ascii="Trebuchet MS" w:hAnsi="Trebuchet MS"/>
                <w:lang w:val="en-US"/>
              </w:rPr>
              <w:t>s</w:t>
            </w:r>
            <w:r w:rsidR="008F68EC" w:rsidRPr="008F68EC">
              <w:rPr>
                <w:rFonts w:ascii="Trebuchet MS" w:hAnsi="Trebuchet MS"/>
                <w:lang w:val="en-US"/>
              </w:rPr>
              <w:t xml:space="preserve"> </w:t>
            </w:r>
            <w:r>
              <w:rPr>
                <w:rFonts w:ascii="Trebuchet MS" w:hAnsi="Trebuchet MS"/>
                <w:lang w:val="en-US"/>
              </w:rPr>
              <w:t>by contracting authorities</w:t>
            </w:r>
            <w:r w:rsidR="008F68EC">
              <w:rPr>
                <w:rFonts w:ascii="Trebuchet MS" w:hAnsi="Trebuchet MS"/>
                <w:lang w:val="en-US"/>
              </w:rPr>
              <w:t>/entities</w:t>
            </w:r>
            <w:r>
              <w:rPr>
                <w:rFonts w:ascii="Trebuchet MS" w:hAnsi="Trebuchet MS"/>
                <w:lang w:val="en-US"/>
              </w:rPr>
              <w:t xml:space="preserve"> </w:t>
            </w:r>
            <w:r w:rsidR="008F68EC">
              <w:rPr>
                <w:rFonts w:ascii="Trebuchet MS" w:hAnsi="Trebuchet MS"/>
                <w:lang w:val="en-US"/>
              </w:rPr>
              <w:t>in SEAP</w:t>
            </w:r>
            <w:r>
              <w:rPr>
                <w:rFonts w:ascii="Trebuchet MS" w:hAnsi="Trebuchet MS"/>
                <w:lang w:val="en-US"/>
              </w:rPr>
              <w:t>.</w:t>
            </w:r>
          </w:p>
          <w:p w:rsidR="003612FA" w:rsidRPr="003612FA" w:rsidRDefault="003612FA" w:rsidP="00F20712">
            <w:pPr>
              <w:pStyle w:val="NoSpacing"/>
              <w:rPr>
                <w:lang w:val="ro-RO"/>
              </w:rPr>
            </w:pPr>
          </w:p>
          <w:p w:rsidR="008B216A" w:rsidRPr="00B01372" w:rsidRDefault="008B216A" w:rsidP="00F20712">
            <w:pPr>
              <w:pStyle w:val="NoSpacing"/>
            </w:pPr>
          </w:p>
        </w:tc>
      </w:tr>
      <w:tr w:rsidR="004954F8" w:rsidRPr="00B01372" w:rsidTr="00267227">
        <w:trPr>
          <w:trHeight w:val="397"/>
        </w:trPr>
        <w:tc>
          <w:tcPr>
            <w:tcW w:w="0" w:type="auto"/>
          </w:tcPr>
          <w:p w:rsidR="004954F8" w:rsidRPr="00B01372" w:rsidRDefault="004954F8" w:rsidP="00A051EB">
            <w:pPr>
              <w:rPr>
                <w:b/>
                <w:sz w:val="32"/>
                <w:szCs w:val="32"/>
              </w:rPr>
            </w:pPr>
            <w:r w:rsidRPr="00B01372">
              <w:rPr>
                <w:sz w:val="32"/>
                <w:szCs w:val="32"/>
              </w:rPr>
              <w:lastRenderedPageBreak/>
              <w:t>I</w:t>
            </w:r>
            <w:r w:rsidRPr="00B01372">
              <w:rPr>
                <w:b/>
                <w:sz w:val="24"/>
                <w:szCs w:val="24"/>
              </w:rPr>
              <w:t>nformation on monitoring and reporting bodies</w:t>
            </w:r>
          </w:p>
        </w:tc>
      </w:tr>
      <w:tr w:rsidR="004954F8" w:rsidRPr="00B01372" w:rsidTr="00267227">
        <w:trPr>
          <w:trHeight w:val="558"/>
        </w:trPr>
        <w:tc>
          <w:tcPr>
            <w:tcW w:w="0" w:type="auto"/>
          </w:tcPr>
          <w:p w:rsidR="00457B97" w:rsidRPr="007C314F" w:rsidRDefault="00181683" w:rsidP="004B0DFA">
            <w:pPr>
              <w:pStyle w:val="CommentText"/>
              <w:jc w:val="both"/>
              <w:rPr>
                <w:rFonts w:ascii="Trebuchet MS" w:hAnsi="Trebuchet MS"/>
                <w:sz w:val="22"/>
                <w:szCs w:val="22"/>
              </w:rPr>
            </w:pPr>
            <w:r>
              <w:rPr>
                <w:rFonts w:ascii="Trebuchet MS" w:hAnsi="Trebuchet MS"/>
                <w:sz w:val="22"/>
                <w:szCs w:val="22"/>
              </w:rPr>
              <w:t>We</w:t>
            </w:r>
            <w:r w:rsidR="005F7F7C">
              <w:rPr>
                <w:rFonts w:ascii="Trebuchet MS" w:hAnsi="Trebuchet MS"/>
                <w:sz w:val="22"/>
                <w:szCs w:val="22"/>
              </w:rPr>
              <w:t xml:space="preserve"> are </w:t>
            </w:r>
            <w:r>
              <w:rPr>
                <w:rFonts w:ascii="Trebuchet MS" w:hAnsi="Trebuchet MS"/>
                <w:sz w:val="22"/>
                <w:szCs w:val="22"/>
              </w:rPr>
              <w:t>analysing</w:t>
            </w:r>
            <w:r w:rsidR="005F7F7C">
              <w:rPr>
                <w:rFonts w:ascii="Trebuchet MS" w:hAnsi="Trebuchet MS"/>
                <w:sz w:val="22"/>
                <w:szCs w:val="22"/>
              </w:rPr>
              <w:t xml:space="preserve"> and elaborating the list of entities</w:t>
            </w:r>
            <w:r w:rsidR="00BA767C">
              <w:rPr>
                <w:rFonts w:ascii="Trebuchet MS" w:hAnsi="Trebuchet MS"/>
                <w:sz w:val="22"/>
                <w:szCs w:val="22"/>
              </w:rPr>
              <w:t xml:space="preserve"> in charge of the report</w:t>
            </w:r>
            <w:r w:rsidR="006C2F49">
              <w:rPr>
                <w:rFonts w:ascii="Trebuchet MS" w:hAnsi="Trebuchet MS"/>
                <w:sz w:val="22"/>
                <w:szCs w:val="22"/>
              </w:rPr>
              <w:t>. W</w:t>
            </w:r>
            <w:r w:rsidR="009B18E0">
              <w:rPr>
                <w:rFonts w:ascii="Trebuchet MS" w:hAnsi="Trebuchet MS"/>
                <w:sz w:val="22"/>
                <w:szCs w:val="22"/>
              </w:rPr>
              <w:t xml:space="preserve">e will forward </w:t>
            </w:r>
            <w:r>
              <w:rPr>
                <w:rFonts w:ascii="Trebuchet MS" w:hAnsi="Trebuchet MS"/>
                <w:sz w:val="22"/>
                <w:szCs w:val="22"/>
              </w:rPr>
              <w:t>t</w:t>
            </w:r>
            <w:r w:rsidR="009B18E0">
              <w:rPr>
                <w:rFonts w:ascii="Trebuchet MS" w:hAnsi="Trebuchet MS"/>
                <w:sz w:val="22"/>
                <w:szCs w:val="22"/>
              </w:rPr>
              <w:t>h</w:t>
            </w:r>
            <w:r>
              <w:rPr>
                <w:rFonts w:ascii="Trebuchet MS" w:hAnsi="Trebuchet MS"/>
                <w:sz w:val="22"/>
                <w:szCs w:val="22"/>
              </w:rPr>
              <w:t>e</w:t>
            </w:r>
            <w:r w:rsidR="009B18E0">
              <w:rPr>
                <w:rFonts w:ascii="Trebuchet MS" w:hAnsi="Trebuchet MS"/>
                <w:sz w:val="22"/>
                <w:szCs w:val="22"/>
              </w:rPr>
              <w:t xml:space="preserve"> information</w:t>
            </w:r>
            <w:r w:rsidR="006C2F49">
              <w:rPr>
                <w:rFonts w:ascii="Trebuchet MS" w:hAnsi="Trebuchet MS"/>
                <w:sz w:val="22"/>
                <w:szCs w:val="22"/>
              </w:rPr>
              <w:t xml:space="preserve"> </w:t>
            </w:r>
            <w:r>
              <w:rPr>
                <w:rFonts w:ascii="Trebuchet MS" w:hAnsi="Trebuchet MS"/>
                <w:sz w:val="22"/>
                <w:szCs w:val="22"/>
              </w:rPr>
              <w:t>in</w:t>
            </w:r>
            <w:r w:rsidR="006C2F49">
              <w:rPr>
                <w:rFonts w:ascii="Trebuchet MS" w:hAnsi="Trebuchet MS"/>
                <w:sz w:val="22"/>
                <w:szCs w:val="22"/>
              </w:rPr>
              <w:t xml:space="preserve"> the next report.</w:t>
            </w:r>
          </w:p>
          <w:p w:rsidR="00457B97" w:rsidRDefault="00457B97" w:rsidP="005329C9">
            <w:pPr>
              <w:pStyle w:val="NoSpacing"/>
              <w:jc w:val="both"/>
            </w:pPr>
          </w:p>
          <w:p w:rsidR="00457B97" w:rsidRPr="00B01372" w:rsidRDefault="00457B97" w:rsidP="005329C9">
            <w:pPr>
              <w:pStyle w:val="NoSpacing"/>
              <w:jc w:val="both"/>
            </w:pPr>
          </w:p>
        </w:tc>
      </w:tr>
    </w:tbl>
    <w:p w:rsidR="00E75E9D" w:rsidRPr="00B01372" w:rsidRDefault="00E75E9D" w:rsidP="00E75E9D">
      <w:pPr>
        <w:pStyle w:val="NoSpacing"/>
      </w:pPr>
    </w:p>
    <w:p w:rsidR="009B40D2" w:rsidRPr="00B01372" w:rsidRDefault="00BC4C3D" w:rsidP="00BC4C3D">
      <w:pPr>
        <w:pStyle w:val="Heading2"/>
        <w:rPr>
          <w:rFonts w:asciiTheme="minorHAnsi" w:hAnsiTheme="minorHAnsi"/>
        </w:rPr>
      </w:pPr>
      <w:r w:rsidRPr="00B01372">
        <w:rPr>
          <w:rFonts w:asciiTheme="minorHAnsi" w:hAnsiTheme="minorHAnsi"/>
        </w:rPr>
        <w:t>Estimation of the aggregated total value of procurement which would have been covered by the directives if its value had exceeded the relevant thresholds</w:t>
      </w:r>
    </w:p>
    <w:p w:rsidR="00BC4C3D" w:rsidRPr="00B01372" w:rsidRDefault="00BC4C3D" w:rsidP="009B40D2">
      <w:pPr>
        <w:pStyle w:val="NoSpacing"/>
      </w:pPr>
    </w:p>
    <w:tbl>
      <w:tblPr>
        <w:tblStyle w:val="TableGrid"/>
        <w:tblW w:w="5000" w:type="pct"/>
        <w:tblLook w:val="04A0" w:firstRow="1" w:lastRow="0" w:firstColumn="1" w:lastColumn="0" w:noHBand="0" w:noVBand="1"/>
      </w:tblPr>
      <w:tblGrid>
        <w:gridCol w:w="4644"/>
        <w:gridCol w:w="9576"/>
      </w:tblGrid>
      <w:tr w:rsidR="003F660D" w:rsidRPr="00B01372" w:rsidTr="003844FF">
        <w:trPr>
          <w:trHeight w:val="1354"/>
        </w:trPr>
        <w:tc>
          <w:tcPr>
            <w:tcW w:w="1633" w:type="pct"/>
          </w:tcPr>
          <w:p w:rsidR="003F660D" w:rsidRPr="00B01372" w:rsidRDefault="003F660D" w:rsidP="003F660D">
            <w:pPr>
              <w:rPr>
                <w:b/>
                <w:sz w:val="24"/>
                <w:szCs w:val="24"/>
              </w:rPr>
            </w:pPr>
            <w:r w:rsidRPr="00B01372">
              <w:rPr>
                <w:b/>
                <w:sz w:val="24"/>
                <w:szCs w:val="24"/>
              </w:rPr>
              <w:t>Estimation of the aggregated total value of procurement which would have been covered by the directives if its value had exceeded the relevant thresholds</w:t>
            </w:r>
          </w:p>
        </w:tc>
        <w:tc>
          <w:tcPr>
            <w:tcW w:w="3367" w:type="pct"/>
          </w:tcPr>
          <w:p w:rsidR="00F24EFC" w:rsidRPr="00F24EFC" w:rsidRDefault="00F24EFC" w:rsidP="00F24EFC">
            <w:pPr>
              <w:pStyle w:val="NoSpacing"/>
              <w:jc w:val="both"/>
              <w:rPr>
                <w:rFonts w:ascii="Trebuchet MS" w:hAnsi="Trebuchet MS" w:cs="Times New Roman"/>
              </w:rPr>
            </w:pPr>
            <w:r w:rsidRPr="00F24EFC">
              <w:rPr>
                <w:rFonts w:ascii="Trebuchet MS" w:hAnsi="Trebuchet MS" w:cs="Times New Roman"/>
              </w:rPr>
              <w:t xml:space="preserve">In the national legislation, the public procurement procedures whose estimated value is lower than the thresholds for publication in OJEU are the ”Simplified Procedure” and the ”Call for </w:t>
            </w:r>
            <w:r w:rsidR="0068717D">
              <w:rPr>
                <w:rFonts w:ascii="Trebuchet MS" w:hAnsi="Trebuchet MS" w:cs="Times New Roman"/>
              </w:rPr>
              <w:t>offers</w:t>
            </w:r>
            <w:r w:rsidRPr="00F24EFC">
              <w:rPr>
                <w:rFonts w:ascii="Trebuchet MS" w:hAnsi="Trebuchet MS" w:cs="Times New Roman"/>
              </w:rPr>
              <w:t>” (provided by GEO no. 114/2011 on defence and security procurement).</w:t>
            </w:r>
          </w:p>
          <w:p w:rsidR="00DC5BF0" w:rsidRDefault="00F24EFC" w:rsidP="00F24EFC">
            <w:pPr>
              <w:pStyle w:val="NoSpacing"/>
              <w:jc w:val="both"/>
              <w:rPr>
                <w:rFonts w:ascii="Trebuchet MS" w:hAnsi="Trebuchet MS" w:cs="Times New Roman"/>
              </w:rPr>
            </w:pPr>
            <w:r w:rsidRPr="00F24EFC">
              <w:rPr>
                <w:rFonts w:ascii="Trebuchet MS" w:hAnsi="Trebuchet MS" w:cs="Times New Roman"/>
              </w:rPr>
              <w:t>The total estimated value of the national procedures – Simplified procedures and Calls for Tenders (below the threshold for publication in OJEU) in 2017 was € 3,230,452,129.13 (estimated value of the simplified procedures initiated in 2017 - € 3,205,423,919.84, the estimated value for calls for tenders initiated in 2017 - €</w:t>
            </w:r>
            <w:r>
              <w:rPr>
                <w:rFonts w:ascii="Trebuchet MS" w:hAnsi="Trebuchet MS" w:cs="Times New Roman"/>
              </w:rPr>
              <w:t xml:space="preserve"> </w:t>
            </w:r>
            <w:r w:rsidRPr="00F24EFC">
              <w:rPr>
                <w:rFonts w:ascii="Trebuchet MS" w:hAnsi="Trebuchet MS" w:cs="Times New Roman"/>
              </w:rPr>
              <w:t>25,028,209.29).</w:t>
            </w:r>
          </w:p>
          <w:p w:rsidR="00F24EFC" w:rsidRPr="007C314F" w:rsidRDefault="00F24EFC" w:rsidP="00F24EFC">
            <w:pPr>
              <w:pStyle w:val="NoSpacing"/>
              <w:jc w:val="both"/>
              <w:rPr>
                <w:rFonts w:ascii="Trebuchet MS" w:hAnsi="Trebuchet MS" w:cs="Times New Roman"/>
              </w:rPr>
            </w:pPr>
          </w:p>
          <w:p w:rsidR="00DC5BF0" w:rsidRPr="00C339B1" w:rsidRDefault="00C339B1" w:rsidP="004B0DFA">
            <w:pPr>
              <w:pStyle w:val="NoSpacing"/>
              <w:jc w:val="both"/>
              <w:rPr>
                <w:rFonts w:ascii="Trebuchet MS" w:hAnsi="Trebuchet MS"/>
                <w:lang w:val="en-US"/>
              </w:rPr>
            </w:pPr>
            <w:r w:rsidRPr="00C339B1">
              <w:rPr>
                <w:rFonts w:ascii="Trebuchet MS" w:hAnsi="Trebuchet MS"/>
              </w:rPr>
              <w:t>NOTE</w:t>
            </w:r>
            <w:r w:rsidRPr="00C339B1">
              <w:rPr>
                <w:rFonts w:ascii="Trebuchet MS" w:hAnsi="Trebuchet MS"/>
                <w:lang w:val="en-US"/>
              </w:rPr>
              <w:t>:</w:t>
            </w:r>
          </w:p>
          <w:p w:rsidR="005F6724" w:rsidRPr="005F6724" w:rsidRDefault="005F6724" w:rsidP="004B0DFA">
            <w:pPr>
              <w:pStyle w:val="NoSpacing"/>
              <w:jc w:val="both"/>
              <w:rPr>
                <w:rFonts w:ascii="Trebuchet MS" w:hAnsi="Trebuchet MS"/>
                <w:lang w:val="en-US"/>
              </w:rPr>
            </w:pPr>
            <w:r w:rsidRPr="005F6724">
              <w:rPr>
                <w:rFonts w:ascii="Trebuchet MS" w:hAnsi="Trebuchet MS"/>
                <w:lang w:val="en-US"/>
              </w:rPr>
              <w:t xml:space="preserve">The data were taken from the Electronic Public Procurement System (SEAP), as </w:t>
            </w:r>
            <w:r w:rsidR="00F24EFC">
              <w:rPr>
                <w:rFonts w:ascii="Trebuchet MS" w:hAnsi="Trebuchet MS"/>
                <w:lang w:val="en-US"/>
              </w:rPr>
              <w:t xml:space="preserve">there were </w:t>
            </w:r>
            <w:r w:rsidRPr="005F6724">
              <w:rPr>
                <w:rFonts w:ascii="Trebuchet MS" w:hAnsi="Trebuchet MS"/>
                <w:lang w:val="en-US"/>
              </w:rPr>
              <w:t xml:space="preserve">published by the contracting authorities / entities; </w:t>
            </w:r>
          </w:p>
          <w:p w:rsidR="00F24EFC" w:rsidRPr="00F24EFC" w:rsidRDefault="00F24EFC" w:rsidP="00F24EFC">
            <w:pPr>
              <w:pStyle w:val="NoSpacing"/>
              <w:jc w:val="both"/>
              <w:rPr>
                <w:rFonts w:ascii="Trebuchet MS" w:hAnsi="Trebuchet MS"/>
              </w:rPr>
            </w:pPr>
            <w:r>
              <w:t xml:space="preserve"> </w:t>
            </w:r>
            <w:r>
              <w:rPr>
                <w:rFonts w:ascii="Trebuchet MS" w:hAnsi="Trebuchet MS"/>
              </w:rPr>
              <w:t>T</w:t>
            </w:r>
            <w:r w:rsidRPr="00F24EFC">
              <w:rPr>
                <w:rFonts w:ascii="Trebuchet MS" w:hAnsi="Trebuchet MS"/>
              </w:rPr>
              <w:t>he information has been made available to our institution by the Agency for the Digital Agenda of Romania – the operator of SEAP.</w:t>
            </w:r>
          </w:p>
          <w:p w:rsidR="006720AD" w:rsidRPr="00B01372" w:rsidRDefault="00F24EFC" w:rsidP="003C7DA6">
            <w:pPr>
              <w:pStyle w:val="NoSpacing"/>
              <w:jc w:val="both"/>
            </w:pPr>
            <w:r w:rsidRPr="00F24EFC">
              <w:rPr>
                <w:rFonts w:ascii="Trebuchet MS" w:hAnsi="Trebuchet MS"/>
              </w:rPr>
              <w:t xml:space="preserve">The accuracy of the data may be affected by the material errors </w:t>
            </w:r>
            <w:r w:rsidR="00E9641D">
              <w:rPr>
                <w:rFonts w:ascii="Trebuchet MS" w:hAnsi="Trebuchet MS"/>
              </w:rPr>
              <w:t>r</w:t>
            </w:r>
            <w:r w:rsidR="00E9641D" w:rsidRPr="00F24EFC">
              <w:rPr>
                <w:rFonts w:ascii="Trebuchet MS" w:hAnsi="Trebuchet MS"/>
              </w:rPr>
              <w:t>aised</w:t>
            </w:r>
            <w:r w:rsidRPr="00F24EFC">
              <w:rPr>
                <w:rFonts w:ascii="Trebuchet MS" w:hAnsi="Trebuchet MS"/>
              </w:rPr>
              <w:t xml:space="preserve"> at filling in / publishing of information by contracting authorities/entities in SEAP.</w:t>
            </w:r>
            <w:r w:rsidR="006720AD" w:rsidRPr="00B01372">
              <w:t xml:space="preserve"> </w:t>
            </w:r>
          </w:p>
        </w:tc>
      </w:tr>
    </w:tbl>
    <w:p w:rsidR="009B40D2" w:rsidRPr="00B01372" w:rsidRDefault="009B40D2" w:rsidP="009B40D2">
      <w:pPr>
        <w:pStyle w:val="NoSpacing"/>
      </w:pPr>
    </w:p>
    <w:p w:rsidR="002F27BC" w:rsidRPr="00B01372" w:rsidRDefault="002F27BC" w:rsidP="009B40D2">
      <w:pPr>
        <w:pStyle w:val="NoSpacing"/>
      </w:pPr>
    </w:p>
    <w:p w:rsidR="0057733C" w:rsidRPr="00B01372" w:rsidRDefault="00F122C4" w:rsidP="00B12049">
      <w:pPr>
        <w:pStyle w:val="Heading2"/>
        <w:rPr>
          <w:rFonts w:asciiTheme="minorHAnsi" w:hAnsiTheme="minorHAnsi"/>
        </w:rPr>
      </w:pPr>
      <w:r w:rsidRPr="00B01372">
        <w:rPr>
          <w:rFonts w:asciiTheme="minorHAnsi" w:hAnsiTheme="minorHAnsi"/>
        </w:rPr>
        <w:t>Most frequent sources of wrong application or of legal uncertainty, including possible structural or recurring problems in the application of the rules</w:t>
      </w:r>
    </w:p>
    <w:p w:rsidR="00A051EB" w:rsidRPr="00B01372" w:rsidRDefault="00A051EB" w:rsidP="0057733C">
      <w:pPr>
        <w:pStyle w:val="NoSpacing"/>
        <w:jc w:val="both"/>
      </w:pPr>
    </w:p>
    <w:tbl>
      <w:tblPr>
        <w:tblStyle w:val="TableGrid"/>
        <w:tblW w:w="14755" w:type="dxa"/>
        <w:tblLayout w:type="fixed"/>
        <w:tblLook w:val="04A0" w:firstRow="1" w:lastRow="0" w:firstColumn="1" w:lastColumn="0" w:noHBand="0" w:noVBand="1"/>
      </w:tblPr>
      <w:tblGrid>
        <w:gridCol w:w="2695"/>
        <w:gridCol w:w="12060"/>
      </w:tblGrid>
      <w:tr w:rsidR="00253552" w:rsidRPr="00B01372" w:rsidTr="00344136">
        <w:tc>
          <w:tcPr>
            <w:tcW w:w="2695" w:type="dxa"/>
          </w:tcPr>
          <w:p w:rsidR="00253552" w:rsidRPr="00B01372" w:rsidRDefault="00620C02" w:rsidP="001D4DCD">
            <w:pPr>
              <w:pStyle w:val="NoSpacing"/>
            </w:pPr>
            <w:r w:rsidRPr="00B01372">
              <w:rPr>
                <w:b/>
              </w:rPr>
              <w:t>II</w:t>
            </w:r>
            <w:r w:rsidR="00253552" w:rsidRPr="00B01372">
              <w:rPr>
                <w:b/>
              </w:rPr>
              <w:t>.1.</w:t>
            </w:r>
            <w:r w:rsidR="00253552" w:rsidRPr="00B01372">
              <w:t xml:space="preserve"> </w:t>
            </w:r>
            <w:r w:rsidR="00253552" w:rsidRPr="00B01372">
              <w:rPr>
                <w:b/>
              </w:rPr>
              <w:t xml:space="preserve">Qualitative reporting </w:t>
            </w:r>
            <w:r w:rsidR="001D4DCD" w:rsidRPr="00B01372">
              <w:rPr>
                <w:b/>
              </w:rPr>
              <w:t>on</w:t>
            </w:r>
            <w:r w:rsidR="00253552" w:rsidRPr="00B01372">
              <w:rPr>
                <w:b/>
              </w:rPr>
              <w:t xml:space="preserve"> application of public procurement rules</w:t>
            </w:r>
          </w:p>
        </w:tc>
        <w:tc>
          <w:tcPr>
            <w:tcW w:w="12060" w:type="dxa"/>
          </w:tcPr>
          <w:p w:rsidR="00253552" w:rsidRPr="00B01372" w:rsidRDefault="00253552" w:rsidP="005329C9">
            <w:pPr>
              <w:pStyle w:val="NoSpacing"/>
              <w:jc w:val="both"/>
            </w:pPr>
          </w:p>
        </w:tc>
      </w:tr>
      <w:tr w:rsidR="00253552" w:rsidRPr="00B01372" w:rsidTr="00344136">
        <w:tc>
          <w:tcPr>
            <w:tcW w:w="2695" w:type="dxa"/>
          </w:tcPr>
          <w:p w:rsidR="00253552" w:rsidRPr="00B01372" w:rsidRDefault="00253552" w:rsidP="00253552">
            <w:pPr>
              <w:pStyle w:val="NoSpacing"/>
            </w:pPr>
            <w:r w:rsidRPr="00B01372">
              <w:t>Main sources of wrong application or of legal uncertainty</w:t>
            </w:r>
          </w:p>
        </w:tc>
        <w:tc>
          <w:tcPr>
            <w:tcW w:w="12060" w:type="dxa"/>
          </w:tcPr>
          <w:p w:rsidR="00BA4DF7" w:rsidRDefault="00BA4DF7" w:rsidP="00BA4DF7">
            <w:pPr>
              <w:jc w:val="both"/>
            </w:pPr>
          </w:p>
          <w:p w:rsidR="00344136" w:rsidRDefault="00DF4B1C" w:rsidP="004B0DFA">
            <w:pPr>
              <w:jc w:val="both"/>
              <w:rPr>
                <w:rFonts w:ascii="Trebuchet MS" w:hAnsi="Trebuchet MS"/>
              </w:rPr>
            </w:pPr>
            <w:r w:rsidRPr="00344136">
              <w:rPr>
                <w:rFonts w:ascii="Trebuchet MS" w:hAnsi="Trebuchet MS"/>
              </w:rPr>
              <w:t>In order to avoid duplication of information, we would like to inform you that relevant data for this section are transmitted by the responsible institutions to various</w:t>
            </w:r>
            <w:r w:rsidR="00EA6310" w:rsidRPr="00344136">
              <w:rPr>
                <w:rFonts w:ascii="Trebuchet MS" w:hAnsi="Trebuchet MS"/>
              </w:rPr>
              <w:t xml:space="preserve"> European Com</w:t>
            </w:r>
            <w:r w:rsidR="000A6FCB" w:rsidRPr="00344136">
              <w:rPr>
                <w:rFonts w:ascii="Trebuchet MS" w:hAnsi="Trebuchet MS"/>
              </w:rPr>
              <w:t>m</w:t>
            </w:r>
            <w:r w:rsidR="00EA6310" w:rsidRPr="00344136">
              <w:rPr>
                <w:rFonts w:ascii="Trebuchet MS" w:hAnsi="Trebuchet MS"/>
              </w:rPr>
              <w:t xml:space="preserve">ission (EC) </w:t>
            </w:r>
            <w:r w:rsidRPr="00344136">
              <w:rPr>
                <w:rFonts w:ascii="Trebuchet MS" w:hAnsi="Trebuchet MS"/>
              </w:rPr>
              <w:t>departments</w:t>
            </w:r>
            <w:r w:rsidR="00EA6310" w:rsidRPr="00344136">
              <w:rPr>
                <w:rFonts w:ascii="Trebuchet MS" w:hAnsi="Trebuchet MS"/>
              </w:rPr>
              <w:t xml:space="preserve"> </w:t>
            </w:r>
            <w:r w:rsidRPr="00344136">
              <w:rPr>
                <w:rFonts w:ascii="Trebuchet MS" w:hAnsi="Trebuchet MS"/>
              </w:rPr>
              <w:t>through the</w:t>
            </w:r>
            <w:r w:rsidR="00344136">
              <w:rPr>
                <w:rFonts w:ascii="Trebuchet MS" w:hAnsi="Trebuchet MS"/>
              </w:rPr>
              <w:t xml:space="preserve"> following channels:</w:t>
            </w:r>
          </w:p>
          <w:p w:rsidR="00BA4DF7" w:rsidRPr="00344136" w:rsidRDefault="00DF4B1C" w:rsidP="004B0DFA">
            <w:pPr>
              <w:jc w:val="both"/>
              <w:rPr>
                <w:rFonts w:ascii="Trebuchet MS" w:hAnsi="Trebuchet MS"/>
              </w:rPr>
            </w:pPr>
            <w:r w:rsidRPr="00344136">
              <w:rPr>
                <w:rFonts w:ascii="Trebuchet MS" w:hAnsi="Trebuchet MS"/>
              </w:rPr>
              <w:t xml:space="preserve"> </w:t>
            </w:r>
            <w:r w:rsidRPr="00344136">
              <w:rPr>
                <w:rFonts w:ascii="Trebuchet MS" w:hAnsi="Trebuchet MS"/>
                <w:color w:val="FFFFFF" w:themeColor="background1"/>
              </w:rPr>
              <w:t>following channels:</w:t>
            </w:r>
          </w:p>
          <w:p w:rsidR="00DF4B1C" w:rsidRPr="00344136" w:rsidRDefault="00E9641D" w:rsidP="004B0DFA">
            <w:pPr>
              <w:jc w:val="both"/>
              <w:rPr>
                <w:rFonts w:ascii="Trebuchet MS" w:hAnsi="Trebuchet MS"/>
              </w:rPr>
            </w:pPr>
            <w:r w:rsidRPr="00344136">
              <w:rPr>
                <w:rFonts w:ascii="Trebuchet MS" w:hAnsi="Trebuchet MS"/>
              </w:rPr>
              <w:t xml:space="preserve">According to </w:t>
            </w:r>
            <w:r w:rsidR="00E42875" w:rsidRPr="00344136">
              <w:rPr>
                <w:rFonts w:ascii="Trebuchet MS" w:hAnsi="Trebuchet MS"/>
              </w:rPr>
              <w:t>the provisions of Regulation (EU, Euratom) No. 2012/966 of the European Parliament and of the Council of 25 October 2012 on financial rules applicable to the general budget of the European Union and repealing Regulation (EC, Euratom) 2002/1605 of the Council, The Audit Authority send to the European Commission, until 15</w:t>
            </w:r>
            <w:r w:rsidR="00E42875" w:rsidRPr="00344136">
              <w:rPr>
                <w:rFonts w:ascii="Trebuchet MS" w:hAnsi="Trebuchet MS"/>
                <w:vertAlign w:val="superscript"/>
              </w:rPr>
              <w:t>th</w:t>
            </w:r>
            <w:r w:rsidR="00E42875" w:rsidRPr="00344136">
              <w:rPr>
                <w:rFonts w:ascii="Trebuchet MS" w:hAnsi="Trebuchet MS"/>
              </w:rPr>
              <w:t xml:space="preserve"> February of the next financial year, an annual summary of the final audit reports and of the controls carried out, including an analysis of the nature and occurrence of errors and system failures identified at the level of the management and control system set up for the management of European non-reimbursable funds, taken or planned.</w:t>
            </w:r>
          </w:p>
          <w:p w:rsidR="00E42875" w:rsidRPr="00344136" w:rsidRDefault="00E42875" w:rsidP="004B0DFA">
            <w:pPr>
              <w:jc w:val="both"/>
              <w:rPr>
                <w:rFonts w:ascii="Trebuchet MS" w:hAnsi="Trebuchet MS"/>
              </w:rPr>
            </w:pPr>
          </w:p>
          <w:p w:rsidR="00E42875" w:rsidRPr="00344136" w:rsidRDefault="00E42875" w:rsidP="004B0DFA">
            <w:pPr>
              <w:jc w:val="both"/>
              <w:rPr>
                <w:rFonts w:ascii="Trebuchet MS" w:hAnsi="Trebuchet MS"/>
              </w:rPr>
            </w:pPr>
            <w:r w:rsidRPr="00344136">
              <w:rPr>
                <w:rFonts w:ascii="Trebuchet MS" w:hAnsi="Trebuchet MS"/>
              </w:rPr>
              <w:t>The Anti-Fraud Department (DLAF) developed in cooperation with the national institutions involved and submitted Romania's contribution to the PIF Report for 2017 in COCOLAF, which contains the legislative, administrative, organizational and optional measures adopted at national level in the year reference for the protection of the financial interests of the European Union and the progress report on the recommendations made by the European Commission in the previous year.</w:t>
            </w:r>
          </w:p>
          <w:p w:rsidR="00BA4DF7" w:rsidRPr="00B01372" w:rsidRDefault="00BA4DF7" w:rsidP="00EB186B"/>
        </w:tc>
      </w:tr>
      <w:tr w:rsidR="00253552" w:rsidRPr="00B01372" w:rsidTr="00344136">
        <w:tc>
          <w:tcPr>
            <w:tcW w:w="2695" w:type="dxa"/>
          </w:tcPr>
          <w:p w:rsidR="00253552" w:rsidRPr="00B01372" w:rsidRDefault="00253552" w:rsidP="00B36524">
            <w:pPr>
              <w:jc w:val="both"/>
            </w:pPr>
            <w:r w:rsidRPr="00B01372">
              <w:t>Specific legal provisions (from EU or national law) which appear to raise significant problems of application</w:t>
            </w:r>
          </w:p>
        </w:tc>
        <w:tc>
          <w:tcPr>
            <w:tcW w:w="12060" w:type="dxa"/>
          </w:tcPr>
          <w:p w:rsidR="00F352A8" w:rsidRPr="00847833" w:rsidRDefault="001F0A9D" w:rsidP="00847833">
            <w:pPr>
              <w:jc w:val="both"/>
              <w:rPr>
                <w:rFonts w:ascii="Trebuchet MS" w:hAnsi="Trebuchet MS"/>
              </w:rPr>
            </w:pPr>
            <w:r w:rsidRPr="00847833">
              <w:rPr>
                <w:rFonts w:ascii="Trebuchet MS" w:hAnsi="Trebuchet MS"/>
              </w:rPr>
              <w:t xml:space="preserve">Taking in consideration the relatively reduced </w:t>
            </w:r>
            <w:r w:rsidR="00F352A8" w:rsidRPr="00847833">
              <w:rPr>
                <w:rFonts w:ascii="Trebuchet MS" w:hAnsi="Trebuchet MS"/>
              </w:rPr>
              <w:t xml:space="preserve">period </w:t>
            </w:r>
            <w:r w:rsidRPr="00847833">
              <w:rPr>
                <w:rFonts w:ascii="Trebuchet MS" w:hAnsi="Trebuchet MS"/>
              </w:rPr>
              <w:t xml:space="preserve">for the application </w:t>
            </w:r>
            <w:r w:rsidR="00F352A8" w:rsidRPr="00847833">
              <w:rPr>
                <w:rFonts w:ascii="Trebuchet MS" w:hAnsi="Trebuchet MS"/>
              </w:rPr>
              <w:t xml:space="preserve">of the new legislative framework, we are in </w:t>
            </w:r>
            <w:r w:rsidRPr="00847833">
              <w:rPr>
                <w:rFonts w:ascii="Trebuchet MS" w:hAnsi="Trebuchet MS"/>
              </w:rPr>
              <w:t xml:space="preserve">the </w:t>
            </w:r>
            <w:r w:rsidR="00F352A8" w:rsidRPr="00847833">
              <w:rPr>
                <w:rFonts w:ascii="Trebuchet MS" w:hAnsi="Trebuchet MS"/>
              </w:rPr>
              <w:t>process of identif</w:t>
            </w:r>
            <w:r w:rsidR="00E14117" w:rsidRPr="00847833">
              <w:rPr>
                <w:rFonts w:ascii="Trebuchet MS" w:hAnsi="Trebuchet MS"/>
              </w:rPr>
              <w:t>ication of</w:t>
            </w:r>
            <w:r w:rsidR="00F352A8" w:rsidRPr="00847833">
              <w:rPr>
                <w:rFonts w:ascii="Trebuchet MS" w:hAnsi="Trebuchet MS"/>
              </w:rPr>
              <w:t xml:space="preserve"> significant problems caused by specific legal provisions. In the next report, we will present the first categories of identified</w:t>
            </w:r>
            <w:r w:rsidR="00E14117" w:rsidRPr="00847833">
              <w:rPr>
                <w:rFonts w:ascii="Trebuchet MS" w:hAnsi="Trebuchet MS"/>
              </w:rPr>
              <w:t xml:space="preserve"> problems</w:t>
            </w:r>
            <w:r w:rsidR="00F352A8" w:rsidRPr="00847833">
              <w:rPr>
                <w:rFonts w:ascii="Trebuchet MS" w:hAnsi="Trebuchet MS"/>
              </w:rPr>
              <w:t>.</w:t>
            </w:r>
          </w:p>
          <w:p w:rsidR="00F352A8" w:rsidRPr="00B01372" w:rsidRDefault="00F352A8" w:rsidP="00F352A8">
            <w:pPr>
              <w:shd w:val="clear" w:color="auto" w:fill="F5F5F5"/>
              <w:spacing w:after="120"/>
            </w:pPr>
          </w:p>
        </w:tc>
      </w:tr>
      <w:tr w:rsidR="00253552" w:rsidRPr="00B01372" w:rsidTr="00344136">
        <w:tc>
          <w:tcPr>
            <w:tcW w:w="2695" w:type="dxa"/>
          </w:tcPr>
          <w:p w:rsidR="00253552" w:rsidRPr="00B01372" w:rsidRDefault="0037143F" w:rsidP="0037143F">
            <w:pPr>
              <w:jc w:val="both"/>
            </w:pPr>
            <w:r>
              <w:t xml:space="preserve">An assessment on whether a wrong application of rules might exist, by </w:t>
            </w:r>
            <w:r>
              <w:lastRenderedPageBreak/>
              <w:t>observing p</w:t>
            </w:r>
            <w:r w:rsidR="00253552" w:rsidRPr="00B01372">
              <w:t>atterns of application of the rules which</w:t>
            </w:r>
            <w:r w:rsidR="00CC72D1">
              <w:t xml:space="preserve"> do not by themselves</w:t>
            </w:r>
            <w:r w:rsidR="00253552" w:rsidRPr="00B01372">
              <w:t xml:space="preserve"> constitut</w:t>
            </w:r>
            <w:r w:rsidR="00CC72D1">
              <w:t>e</w:t>
            </w:r>
            <w:r w:rsidR="00253552" w:rsidRPr="00B01372">
              <w:t xml:space="preserve"> cases of wrong application of the rules,</w:t>
            </w:r>
            <w:r w:rsidR="00CC72D1">
              <w:t xml:space="preserve"> but</w:t>
            </w:r>
            <w:r w:rsidR="00253552" w:rsidRPr="00B01372">
              <w:t xml:space="preserve"> nonetheless</w:t>
            </w:r>
            <w:r w:rsidR="00CC72D1">
              <w:t xml:space="preserve"> </w:t>
            </w:r>
            <w:r w:rsidR="00CC72D1" w:rsidRPr="00B01372">
              <w:t>point at structural or recurring problems yielding a sub-optimal outcome</w:t>
            </w:r>
            <w:r>
              <w:t>.</w:t>
            </w:r>
          </w:p>
        </w:tc>
        <w:tc>
          <w:tcPr>
            <w:tcW w:w="12060" w:type="dxa"/>
          </w:tcPr>
          <w:p w:rsidR="00643FC0" w:rsidRPr="00646C9F" w:rsidDel="00B943DE" w:rsidRDefault="00646C9F" w:rsidP="00E14117">
            <w:pPr>
              <w:jc w:val="both"/>
              <w:rPr>
                <w:rFonts w:ascii="Trebuchet MS" w:hAnsi="Trebuchet MS"/>
              </w:rPr>
            </w:pPr>
            <w:r w:rsidRPr="00646C9F">
              <w:rPr>
                <w:rFonts w:ascii="Trebuchet MS" w:hAnsi="Trebuchet MS"/>
              </w:rPr>
              <w:lastRenderedPageBreak/>
              <w:t xml:space="preserve">After finalizing the identification of the </w:t>
            </w:r>
            <w:r w:rsidR="00E14117">
              <w:rPr>
                <w:rFonts w:ascii="Trebuchet MS" w:hAnsi="Trebuchet MS"/>
              </w:rPr>
              <w:t xml:space="preserve">categories of </w:t>
            </w:r>
            <w:r w:rsidRPr="00646C9F">
              <w:rPr>
                <w:rFonts w:ascii="Trebuchet MS" w:hAnsi="Trebuchet MS"/>
              </w:rPr>
              <w:t xml:space="preserve">significant problems, we will proceed to their evaluation and </w:t>
            </w:r>
            <w:r w:rsidR="00E14117">
              <w:rPr>
                <w:rFonts w:ascii="Trebuchet MS" w:hAnsi="Trebuchet MS"/>
              </w:rPr>
              <w:t xml:space="preserve">we will </w:t>
            </w:r>
            <w:r w:rsidR="00E14117" w:rsidRPr="00646C9F">
              <w:rPr>
                <w:rFonts w:ascii="Trebuchet MS" w:hAnsi="Trebuchet MS"/>
              </w:rPr>
              <w:t>anal</w:t>
            </w:r>
            <w:r w:rsidR="00E14117">
              <w:rPr>
                <w:rFonts w:ascii="Trebuchet MS" w:hAnsi="Trebuchet MS"/>
              </w:rPr>
              <w:t>yse</w:t>
            </w:r>
            <w:r w:rsidRPr="00646C9F">
              <w:rPr>
                <w:rFonts w:ascii="Trebuchet MS" w:hAnsi="Trebuchet MS"/>
              </w:rPr>
              <w:t xml:space="preserve"> the causes that led in certain situations to achiev</w:t>
            </w:r>
            <w:r w:rsidR="00E14117">
              <w:rPr>
                <w:rFonts w:ascii="Trebuchet MS" w:hAnsi="Trebuchet MS"/>
              </w:rPr>
              <w:t>e</w:t>
            </w:r>
            <w:r w:rsidRPr="00646C9F">
              <w:rPr>
                <w:rFonts w:ascii="Trebuchet MS" w:hAnsi="Trebuchet MS"/>
              </w:rPr>
              <w:t xml:space="preserve"> results below those considered optimal. In the next report we will present the stage and possible results obtained in this respect.</w:t>
            </w:r>
          </w:p>
        </w:tc>
      </w:tr>
      <w:tr w:rsidR="00253552" w:rsidRPr="00B01372" w:rsidTr="00344136">
        <w:tc>
          <w:tcPr>
            <w:tcW w:w="2695" w:type="dxa"/>
          </w:tcPr>
          <w:p w:rsidR="00253552" w:rsidRPr="00B01372" w:rsidDel="00BC09FC" w:rsidRDefault="00620C02" w:rsidP="0037143F">
            <w:pPr>
              <w:jc w:val="both"/>
              <w:rPr>
                <w:b/>
              </w:rPr>
            </w:pPr>
            <w:r w:rsidRPr="00B01372">
              <w:rPr>
                <w:b/>
              </w:rPr>
              <w:lastRenderedPageBreak/>
              <w:t>II</w:t>
            </w:r>
            <w:r w:rsidR="00253552" w:rsidRPr="00B01372">
              <w:rPr>
                <w:b/>
              </w:rPr>
              <w:t xml:space="preserve">.2 </w:t>
            </w:r>
            <w:r w:rsidR="0037143F">
              <w:rPr>
                <w:b/>
              </w:rPr>
              <w:t>Supporting documents</w:t>
            </w:r>
          </w:p>
        </w:tc>
        <w:tc>
          <w:tcPr>
            <w:tcW w:w="12060" w:type="dxa"/>
          </w:tcPr>
          <w:p w:rsidR="00253552" w:rsidRPr="00B01372" w:rsidRDefault="00253552" w:rsidP="00CE4EFC">
            <w:pPr>
              <w:jc w:val="both"/>
            </w:pPr>
          </w:p>
        </w:tc>
      </w:tr>
      <w:tr w:rsidR="00253552" w:rsidRPr="00B01372" w:rsidTr="00344136">
        <w:tc>
          <w:tcPr>
            <w:tcW w:w="2695" w:type="dxa"/>
          </w:tcPr>
          <w:p w:rsidR="00253552" w:rsidRPr="00B01372" w:rsidRDefault="00AC7614" w:rsidP="0037143F">
            <w:pPr>
              <w:jc w:val="both"/>
            </w:pPr>
            <w:r w:rsidRPr="00B01372">
              <w:t xml:space="preserve">Please </w:t>
            </w:r>
            <w:r w:rsidR="00B72720" w:rsidRPr="00B01372">
              <w:t>provide</w:t>
            </w:r>
            <w:r w:rsidRPr="00B01372">
              <w:t xml:space="preserve"> any available evidence of the issues identified under section </w:t>
            </w:r>
            <w:r w:rsidR="00464D72" w:rsidRPr="00B01372">
              <w:t>II</w:t>
            </w:r>
            <w:r w:rsidRPr="00B01372">
              <w:t>.1.</w:t>
            </w:r>
          </w:p>
        </w:tc>
        <w:tc>
          <w:tcPr>
            <w:tcW w:w="12060" w:type="dxa"/>
          </w:tcPr>
          <w:p w:rsidR="00D10ED8" w:rsidRDefault="00D10ED8" w:rsidP="00E15370">
            <w:pPr>
              <w:jc w:val="both"/>
              <w:rPr>
                <w:i/>
              </w:rPr>
            </w:pPr>
          </w:p>
          <w:p w:rsidR="00D10ED8" w:rsidRPr="00C75FF8" w:rsidRDefault="00C75FF8" w:rsidP="00E15370">
            <w:pPr>
              <w:jc w:val="both"/>
              <w:rPr>
                <w:rFonts w:ascii="Trebuchet MS" w:hAnsi="Trebuchet MS"/>
              </w:rPr>
            </w:pPr>
            <w:r w:rsidRPr="00C75FF8">
              <w:rPr>
                <w:rFonts w:ascii="Trebuchet MS" w:hAnsi="Trebuchet MS"/>
              </w:rPr>
              <w:t xml:space="preserve">The concrete evidence for the problems </w:t>
            </w:r>
            <w:r w:rsidR="00E14117">
              <w:rPr>
                <w:rFonts w:ascii="Trebuchet MS" w:hAnsi="Trebuchet MS"/>
              </w:rPr>
              <w:t xml:space="preserve">which will be </w:t>
            </w:r>
            <w:r w:rsidRPr="00C75FF8">
              <w:rPr>
                <w:rFonts w:ascii="Trebuchet MS" w:hAnsi="Trebuchet MS"/>
              </w:rPr>
              <w:t xml:space="preserve">identified </w:t>
            </w:r>
            <w:r w:rsidR="00B96CBB">
              <w:rPr>
                <w:rFonts w:ascii="Trebuchet MS" w:hAnsi="Trebuchet MS"/>
              </w:rPr>
              <w:t xml:space="preserve">there </w:t>
            </w:r>
            <w:r w:rsidRPr="00C75FF8">
              <w:rPr>
                <w:rFonts w:ascii="Trebuchet MS" w:hAnsi="Trebuchet MS"/>
              </w:rPr>
              <w:t>will be transmitted simultaneously with those</w:t>
            </w:r>
            <w:r w:rsidR="00E14117">
              <w:rPr>
                <w:rFonts w:ascii="Trebuchet MS" w:hAnsi="Trebuchet MS"/>
              </w:rPr>
              <w:t xml:space="preserve"> provided</w:t>
            </w:r>
            <w:r w:rsidRPr="00C75FF8">
              <w:rPr>
                <w:rFonts w:ascii="Trebuchet MS" w:hAnsi="Trebuchet MS"/>
              </w:rPr>
              <w:t xml:space="preserve"> in Section II.1</w:t>
            </w:r>
            <w:r w:rsidR="00E14117">
              <w:rPr>
                <w:rFonts w:ascii="Trebuchet MS" w:hAnsi="Trebuchet MS"/>
              </w:rPr>
              <w:t>.</w:t>
            </w:r>
          </w:p>
          <w:p w:rsidR="00C75FF8" w:rsidRPr="00D10ED8" w:rsidRDefault="00C75FF8" w:rsidP="00D10ED8">
            <w:pPr>
              <w:jc w:val="both"/>
              <w:rPr>
                <w:i/>
              </w:rPr>
            </w:pPr>
          </w:p>
        </w:tc>
      </w:tr>
      <w:tr w:rsidR="00C91FDC" w:rsidRPr="00B01372" w:rsidTr="00344136">
        <w:tc>
          <w:tcPr>
            <w:tcW w:w="2695" w:type="dxa"/>
          </w:tcPr>
          <w:p w:rsidR="00C91FDC" w:rsidRPr="00B01372" w:rsidRDefault="00464D72" w:rsidP="00C91FDC">
            <w:pPr>
              <w:pStyle w:val="Heading3"/>
              <w:outlineLvl w:val="2"/>
            </w:pPr>
            <w:r w:rsidRPr="00B01372">
              <w:t>II</w:t>
            </w:r>
            <w:r w:rsidR="00C91FDC" w:rsidRPr="00B01372">
              <w:t>.3</w:t>
            </w:r>
            <w:r w:rsidR="00B72720" w:rsidRPr="00B01372">
              <w:t xml:space="preserve">. </w:t>
            </w:r>
            <w:r w:rsidR="00C91FDC" w:rsidRPr="00B01372">
              <w:t xml:space="preserve">Quantitative indicators </w:t>
            </w:r>
          </w:p>
          <w:p w:rsidR="00C91FDC" w:rsidRPr="00B01372" w:rsidRDefault="00C91FDC" w:rsidP="00C91FDC">
            <w:pPr>
              <w:jc w:val="both"/>
            </w:pPr>
          </w:p>
        </w:tc>
        <w:tc>
          <w:tcPr>
            <w:tcW w:w="12060" w:type="dxa"/>
          </w:tcPr>
          <w:p w:rsidR="00C91FDC" w:rsidRPr="00B01372" w:rsidRDefault="00C91FDC" w:rsidP="0086391B">
            <w:pPr>
              <w:jc w:val="both"/>
              <w:rPr>
                <w:i/>
              </w:rPr>
            </w:pPr>
            <w:r w:rsidRPr="00B01372">
              <w:rPr>
                <w:i/>
              </w:rPr>
              <w:t xml:space="preserve">This section contains quantitative indicators related to section </w:t>
            </w:r>
            <w:r w:rsidR="00247E16" w:rsidRPr="00B01372">
              <w:rPr>
                <w:i/>
              </w:rPr>
              <w:t>II</w:t>
            </w:r>
            <w:r w:rsidRPr="00B01372">
              <w:rPr>
                <w:i/>
              </w:rPr>
              <w:t xml:space="preserve">.1. </w:t>
            </w:r>
            <w:r w:rsidR="00AC3891" w:rsidRPr="00B01372">
              <w:rPr>
                <w:i/>
              </w:rPr>
              <w:t>Other indicators can also be included in the report.</w:t>
            </w:r>
          </w:p>
        </w:tc>
      </w:tr>
      <w:tr w:rsidR="00095252" w:rsidRPr="00B01372" w:rsidTr="00344136">
        <w:tc>
          <w:tcPr>
            <w:tcW w:w="2695" w:type="dxa"/>
          </w:tcPr>
          <w:p w:rsidR="00095252" w:rsidRDefault="00095252">
            <w:pPr>
              <w:pStyle w:val="Heading3"/>
              <w:outlineLvl w:val="2"/>
              <w:rPr>
                <w:rFonts w:ascii="Calibri" w:eastAsia="Times New Roman" w:hAnsi="Calibri"/>
                <w:b w:val="0"/>
                <w:lang w:val="en-US"/>
              </w:rPr>
            </w:pPr>
            <w:r>
              <w:rPr>
                <w:rFonts w:eastAsia="Times New Roman"/>
                <w:b w:val="0"/>
                <w:bCs/>
              </w:rPr>
              <w:t xml:space="preserve">Indicators about the national review system </w:t>
            </w:r>
          </w:p>
          <w:p w:rsidR="00095252" w:rsidRDefault="00095252"/>
          <w:p w:rsidR="00095252" w:rsidRPr="00B01372" w:rsidRDefault="00095252" w:rsidP="00A61403"/>
        </w:tc>
        <w:tc>
          <w:tcPr>
            <w:tcW w:w="12060" w:type="dxa"/>
          </w:tcPr>
          <w:p w:rsidR="00C75FF8" w:rsidRPr="00155568" w:rsidRDefault="00C75FF8" w:rsidP="009B4B25">
            <w:pPr>
              <w:pStyle w:val="CommentText"/>
              <w:rPr>
                <w:rFonts w:ascii="Trebuchet MS" w:hAnsi="Trebuchet MS"/>
                <w:sz w:val="22"/>
                <w:szCs w:val="22"/>
              </w:rPr>
            </w:pPr>
            <w:r w:rsidRPr="00155568">
              <w:rPr>
                <w:rFonts w:ascii="Trebuchet MS" w:hAnsi="Trebuchet MS"/>
                <w:sz w:val="22"/>
                <w:szCs w:val="22"/>
              </w:rPr>
              <w:t>Information and indicators on the national remedies system can be found at the following addresses:</w:t>
            </w:r>
          </w:p>
          <w:p w:rsidR="00EB186B" w:rsidRPr="009A5366" w:rsidRDefault="0008611D" w:rsidP="009B4B25">
            <w:pPr>
              <w:pStyle w:val="CommentText"/>
              <w:rPr>
                <w:rFonts w:ascii="Trebuchet MS" w:hAnsi="Trebuchet MS"/>
                <w:i/>
                <w:sz w:val="22"/>
                <w:szCs w:val="22"/>
              </w:rPr>
            </w:pPr>
            <w:hyperlink r:id="rId12" w:history="1">
              <w:r w:rsidR="003C7DA6" w:rsidRPr="00FE107A">
                <w:rPr>
                  <w:rStyle w:val="Hyperlink"/>
                  <w:rFonts w:ascii="Trebuchet MS" w:hAnsi="Trebuchet MS"/>
                  <w:i/>
                  <w:sz w:val="22"/>
                  <w:szCs w:val="22"/>
                </w:rPr>
                <w:t>http://www.cnsc.ro/wp-content/uploads/2018/raport/Raport.2017.RO.pdf</w:t>
              </w:r>
            </w:hyperlink>
            <w:r w:rsidR="003C7DA6">
              <w:rPr>
                <w:rFonts w:ascii="Trebuchet MS" w:hAnsi="Trebuchet MS"/>
                <w:i/>
                <w:sz w:val="22"/>
                <w:szCs w:val="22"/>
              </w:rPr>
              <w:t xml:space="preserve"> </w:t>
            </w:r>
          </w:p>
          <w:p w:rsidR="009B4B25" w:rsidRDefault="009B4B25" w:rsidP="00AF3A52">
            <w:pPr>
              <w:jc w:val="both"/>
              <w:rPr>
                <w:lang w:val="en-US"/>
              </w:rPr>
            </w:pPr>
          </w:p>
          <w:p w:rsidR="009B4B25" w:rsidRDefault="009B4B25" w:rsidP="00AF3A52">
            <w:pPr>
              <w:jc w:val="both"/>
              <w:rPr>
                <w:lang w:val="en-US"/>
              </w:rPr>
            </w:pPr>
          </w:p>
          <w:p w:rsidR="009B4B25" w:rsidRPr="00B01372" w:rsidRDefault="009B4B25" w:rsidP="00AF3A52">
            <w:pPr>
              <w:jc w:val="both"/>
            </w:pPr>
          </w:p>
        </w:tc>
      </w:tr>
      <w:tr w:rsidR="00BE60E9" w:rsidRPr="00B01372" w:rsidTr="00344136">
        <w:tc>
          <w:tcPr>
            <w:tcW w:w="2695" w:type="dxa"/>
          </w:tcPr>
          <w:p w:rsidR="00BE60E9" w:rsidRPr="00B01372" w:rsidRDefault="00AD5A2B" w:rsidP="00F707A7">
            <w:pPr>
              <w:pStyle w:val="Heading3"/>
              <w:outlineLvl w:val="2"/>
              <w:rPr>
                <w:b w:val="0"/>
              </w:rPr>
            </w:pPr>
            <w:r w:rsidRPr="00B01372">
              <w:rPr>
                <w:b w:val="0"/>
              </w:rPr>
              <w:t>Histogram of values</w:t>
            </w:r>
            <w:r w:rsidR="00F707A7" w:rsidRPr="00B01372">
              <w:rPr>
                <w:b w:val="0"/>
              </w:rPr>
              <w:t xml:space="preserve"> of procedures</w:t>
            </w:r>
            <w:r w:rsidRPr="00B01372">
              <w:rPr>
                <w:b w:val="0"/>
              </w:rPr>
              <w:t xml:space="preserve">, </w:t>
            </w:r>
            <w:r w:rsidR="006D4823" w:rsidRPr="00B01372">
              <w:rPr>
                <w:b w:val="0"/>
              </w:rPr>
              <w:t xml:space="preserve">covering </w:t>
            </w:r>
            <w:r w:rsidR="00933EC9" w:rsidRPr="00B01372">
              <w:rPr>
                <w:b w:val="0"/>
              </w:rPr>
              <w:t xml:space="preserve">also procedures below </w:t>
            </w:r>
            <w:r w:rsidR="000A0653" w:rsidRPr="00B01372">
              <w:rPr>
                <w:b w:val="0"/>
              </w:rPr>
              <w:t>the thresholds</w:t>
            </w:r>
          </w:p>
        </w:tc>
        <w:tc>
          <w:tcPr>
            <w:tcW w:w="12060" w:type="dxa"/>
          </w:tcPr>
          <w:p w:rsidR="00186615" w:rsidRDefault="00186615" w:rsidP="004E45FE">
            <w:pPr>
              <w:rPr>
                <w:i/>
              </w:rPr>
            </w:pPr>
          </w:p>
          <w:p w:rsidR="00C75FF8" w:rsidRDefault="00C75FF8" w:rsidP="00E15370">
            <w:pPr>
              <w:jc w:val="both"/>
              <w:rPr>
                <w:rFonts w:ascii="Trebuchet MS" w:hAnsi="Trebuchet MS" w:cs="Times New Roman"/>
                <w:lang w:val="ro-RO"/>
              </w:rPr>
            </w:pPr>
          </w:p>
          <w:p w:rsidR="00C75FF8" w:rsidRPr="00F10B7F" w:rsidRDefault="00C75FF8" w:rsidP="00E15370">
            <w:pPr>
              <w:jc w:val="both"/>
              <w:rPr>
                <w:rFonts w:ascii="Trebuchet MS" w:hAnsi="Trebuchet MS" w:cs="Times New Roman"/>
                <w:lang w:val="ro-RO"/>
              </w:rPr>
            </w:pPr>
            <w:r w:rsidRPr="00C75FF8">
              <w:rPr>
                <w:rFonts w:ascii="Trebuchet MS" w:hAnsi="Trebuchet MS" w:cs="Times New Roman"/>
                <w:lang w:val="ro-RO"/>
              </w:rPr>
              <w:t xml:space="preserve">Histograms of estimated values of public procurement procedures initiated by contracting authorities / entities by publication of APS / IP ("national" procedures with values below the </w:t>
            </w:r>
            <w:r w:rsidR="00915FD3">
              <w:rPr>
                <w:rFonts w:ascii="Trebuchet MS" w:hAnsi="Trebuchet MS" w:cs="Times New Roman"/>
                <w:lang w:val="ro-RO"/>
              </w:rPr>
              <w:t>OJEU</w:t>
            </w:r>
            <w:r w:rsidRPr="00C75FF8">
              <w:rPr>
                <w:rFonts w:ascii="Trebuchet MS" w:hAnsi="Trebuchet MS" w:cs="Times New Roman"/>
                <w:lang w:val="ro-RO"/>
              </w:rPr>
              <w:t xml:space="preserve"> threshold) within SEAP, depending on the type of contract:</w:t>
            </w:r>
          </w:p>
          <w:p w:rsidR="00186615" w:rsidRDefault="00186615" w:rsidP="004E45FE">
            <w:pPr>
              <w:rPr>
                <w:i/>
              </w:rPr>
            </w:pPr>
          </w:p>
          <w:p w:rsidR="00B36249" w:rsidRDefault="00B36249" w:rsidP="004E45FE">
            <w:pPr>
              <w:rPr>
                <w:i/>
              </w:rPr>
            </w:pPr>
          </w:p>
          <w:p w:rsidR="00186615" w:rsidRDefault="00155BCC" w:rsidP="004E45FE">
            <w:pPr>
              <w:rPr>
                <w:i/>
              </w:rPr>
            </w:pPr>
            <w:r>
              <w:rPr>
                <w:i/>
                <w:noProof/>
                <w:lang w:val="en-US" w:eastAsia="zh-CN"/>
              </w:rPr>
              <w:lastRenderedPageBreak/>
              <w:drawing>
                <wp:inline distT="0" distB="0" distL="0" distR="0" wp14:anchorId="519CB2A6" wp14:editId="4FA477E6">
                  <wp:extent cx="7552853" cy="2733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0546" cy="2740079"/>
                          </a:xfrm>
                          <a:prstGeom prst="rect">
                            <a:avLst/>
                          </a:prstGeom>
                          <a:noFill/>
                        </pic:spPr>
                      </pic:pic>
                    </a:graphicData>
                  </a:graphic>
                </wp:inline>
              </w:drawing>
            </w:r>
            <w:r>
              <w:rPr>
                <w:i/>
                <w:noProof/>
                <w:lang w:val="en-US" w:eastAsia="zh-CN"/>
              </w:rPr>
              <w:drawing>
                <wp:inline distT="0" distB="0" distL="0" distR="0" wp14:anchorId="3903D95F" wp14:editId="66D893A5">
                  <wp:extent cx="7552690" cy="2924650"/>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70977" cy="2931731"/>
                          </a:xfrm>
                          <a:prstGeom prst="rect">
                            <a:avLst/>
                          </a:prstGeom>
                          <a:noFill/>
                        </pic:spPr>
                      </pic:pic>
                    </a:graphicData>
                  </a:graphic>
                </wp:inline>
              </w:drawing>
            </w:r>
          </w:p>
          <w:p w:rsidR="00221199" w:rsidRDefault="00221199" w:rsidP="004E45FE">
            <w:pPr>
              <w:rPr>
                <w:i/>
              </w:rPr>
            </w:pPr>
          </w:p>
          <w:p w:rsidR="00221199" w:rsidRDefault="00155BCC" w:rsidP="004E45FE">
            <w:pPr>
              <w:rPr>
                <w:i/>
              </w:rPr>
            </w:pPr>
            <w:r>
              <w:rPr>
                <w:i/>
                <w:noProof/>
                <w:lang w:val="en-US" w:eastAsia="zh-CN"/>
              </w:rPr>
              <w:drawing>
                <wp:inline distT="0" distB="0" distL="0" distR="0" wp14:anchorId="77BBE152" wp14:editId="5FB99F4F">
                  <wp:extent cx="7584239" cy="3028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00808" cy="3035567"/>
                          </a:xfrm>
                          <a:prstGeom prst="rect">
                            <a:avLst/>
                          </a:prstGeom>
                          <a:noFill/>
                        </pic:spPr>
                      </pic:pic>
                    </a:graphicData>
                  </a:graphic>
                </wp:inline>
              </w:drawing>
            </w:r>
          </w:p>
          <w:p w:rsidR="00221199" w:rsidRDefault="00221199" w:rsidP="004E45FE">
            <w:pPr>
              <w:rPr>
                <w:i/>
              </w:rPr>
            </w:pPr>
          </w:p>
          <w:p w:rsidR="00221199" w:rsidRDefault="00221199" w:rsidP="004E45FE">
            <w:pPr>
              <w:rPr>
                <w:i/>
              </w:rPr>
            </w:pPr>
          </w:p>
          <w:p w:rsidR="00DF06F6" w:rsidRPr="00DF06F6" w:rsidRDefault="00DF06F6" w:rsidP="0050099A">
            <w:pPr>
              <w:jc w:val="both"/>
              <w:rPr>
                <w:rFonts w:ascii="Trebuchet MS" w:hAnsi="Trebuchet MS"/>
              </w:rPr>
            </w:pPr>
            <w:r w:rsidRPr="00DF06F6">
              <w:rPr>
                <w:rFonts w:ascii="Trebuchet MS" w:hAnsi="Trebuchet MS"/>
              </w:rPr>
              <w:t>NOTE:</w:t>
            </w:r>
          </w:p>
          <w:p w:rsidR="00DF06F6" w:rsidRPr="00DF06F6" w:rsidRDefault="00DF06F6" w:rsidP="0050099A">
            <w:pPr>
              <w:jc w:val="both"/>
              <w:rPr>
                <w:rFonts w:ascii="Trebuchet MS" w:hAnsi="Trebuchet MS"/>
              </w:rPr>
            </w:pPr>
            <w:r w:rsidRPr="00DF06F6">
              <w:rPr>
                <w:rFonts w:ascii="Trebuchet MS" w:hAnsi="Trebuchet MS"/>
              </w:rPr>
              <w:t xml:space="preserve">The histograms </w:t>
            </w:r>
            <w:r w:rsidR="00E20E21">
              <w:rPr>
                <w:rFonts w:ascii="Trebuchet MS" w:hAnsi="Trebuchet MS"/>
              </w:rPr>
              <w:t>are</w:t>
            </w:r>
            <w:r w:rsidR="00E20E21" w:rsidRPr="00DF06F6">
              <w:rPr>
                <w:rFonts w:ascii="Trebuchet MS" w:hAnsi="Trebuchet MS"/>
              </w:rPr>
              <w:t xml:space="preserve"> </w:t>
            </w:r>
            <w:r w:rsidRPr="00DF06F6">
              <w:rPr>
                <w:rFonts w:ascii="Trebuchet MS" w:hAnsi="Trebuchet MS"/>
              </w:rPr>
              <w:t xml:space="preserve">based on the estimated value of the procedure available within the </w:t>
            </w:r>
            <w:r w:rsidR="00E20E21">
              <w:rPr>
                <w:rFonts w:ascii="Trebuchet MS" w:hAnsi="Trebuchet MS"/>
              </w:rPr>
              <w:t xml:space="preserve">invitation to </w:t>
            </w:r>
            <w:r w:rsidRPr="00DF06F6">
              <w:rPr>
                <w:rFonts w:ascii="Trebuchet MS" w:hAnsi="Trebuchet MS"/>
              </w:rPr>
              <w:t xml:space="preserve">Simplified </w:t>
            </w:r>
            <w:r w:rsidR="00E20E21">
              <w:rPr>
                <w:rFonts w:ascii="Trebuchet MS" w:hAnsi="Trebuchet MS"/>
              </w:rPr>
              <w:t>procedure</w:t>
            </w:r>
            <w:r w:rsidRPr="00DF06F6">
              <w:rPr>
                <w:rFonts w:ascii="Trebuchet MS" w:hAnsi="Trebuchet MS"/>
              </w:rPr>
              <w:t xml:space="preserve"> / Invitations </w:t>
            </w:r>
            <w:r w:rsidR="00915FD3">
              <w:rPr>
                <w:rFonts w:ascii="Trebuchet MS" w:hAnsi="Trebuchet MS"/>
              </w:rPr>
              <w:t xml:space="preserve">to tender </w:t>
            </w:r>
            <w:r w:rsidRPr="00DF06F6">
              <w:rPr>
                <w:rFonts w:ascii="Trebuchet MS" w:hAnsi="Trebuchet MS"/>
              </w:rPr>
              <w:t>published by the contracti</w:t>
            </w:r>
            <w:r w:rsidR="00284941">
              <w:rPr>
                <w:rFonts w:ascii="Trebuchet MS" w:hAnsi="Trebuchet MS"/>
              </w:rPr>
              <w:t>ng authorities / entities in SEAP</w:t>
            </w:r>
            <w:r w:rsidRPr="00DF06F6">
              <w:rPr>
                <w:rFonts w:ascii="Trebuchet MS" w:hAnsi="Trebuchet MS"/>
              </w:rPr>
              <w:t>, between 01</w:t>
            </w:r>
            <w:r w:rsidR="00E20E21" w:rsidRPr="00E20E21">
              <w:rPr>
                <w:rFonts w:ascii="Trebuchet MS" w:hAnsi="Trebuchet MS"/>
                <w:vertAlign w:val="superscript"/>
              </w:rPr>
              <w:t>st</w:t>
            </w:r>
            <w:r w:rsidR="00E20E21">
              <w:rPr>
                <w:rFonts w:ascii="Trebuchet MS" w:hAnsi="Trebuchet MS"/>
              </w:rPr>
              <w:t xml:space="preserve"> </w:t>
            </w:r>
            <w:r w:rsidRPr="00DF06F6">
              <w:rPr>
                <w:rFonts w:ascii="Trebuchet MS" w:hAnsi="Trebuchet MS"/>
              </w:rPr>
              <w:t xml:space="preserve"> </w:t>
            </w:r>
            <w:r w:rsidR="00E20E21">
              <w:rPr>
                <w:rFonts w:ascii="Trebuchet MS" w:hAnsi="Trebuchet MS"/>
              </w:rPr>
              <w:t xml:space="preserve">of </w:t>
            </w:r>
            <w:r w:rsidRPr="00DF06F6">
              <w:rPr>
                <w:rFonts w:ascii="Trebuchet MS" w:hAnsi="Trebuchet MS"/>
              </w:rPr>
              <w:t>January and 31</w:t>
            </w:r>
            <w:r w:rsidR="00E20E21">
              <w:rPr>
                <w:rFonts w:ascii="Trebuchet MS" w:hAnsi="Trebuchet MS"/>
              </w:rPr>
              <w:t>th of</w:t>
            </w:r>
            <w:r w:rsidRPr="00DF06F6">
              <w:rPr>
                <w:rFonts w:ascii="Trebuchet MS" w:hAnsi="Trebuchet MS"/>
              </w:rPr>
              <w:t xml:space="preserve"> December 2017.</w:t>
            </w:r>
          </w:p>
          <w:p w:rsidR="00221199" w:rsidRPr="00DF06F6" w:rsidRDefault="00DF06F6" w:rsidP="0050099A">
            <w:pPr>
              <w:jc w:val="both"/>
              <w:rPr>
                <w:rFonts w:ascii="Trebuchet MS" w:hAnsi="Trebuchet MS"/>
              </w:rPr>
            </w:pPr>
            <w:r w:rsidRPr="00DF06F6">
              <w:rPr>
                <w:rFonts w:ascii="Trebuchet MS" w:hAnsi="Trebuchet MS"/>
              </w:rPr>
              <w:t>The value ranges for the reporting were EUR 10,000 for suppl</w:t>
            </w:r>
            <w:r w:rsidR="00E20E21">
              <w:rPr>
                <w:rFonts w:ascii="Trebuchet MS" w:hAnsi="Trebuchet MS"/>
              </w:rPr>
              <w:t>ies</w:t>
            </w:r>
            <w:r w:rsidRPr="00DF06F6">
              <w:rPr>
                <w:rFonts w:ascii="Trebuchet MS" w:hAnsi="Trebuchet MS"/>
              </w:rPr>
              <w:t xml:space="preserve"> / services contract</w:t>
            </w:r>
            <w:r w:rsidR="00E20E21">
              <w:rPr>
                <w:rFonts w:ascii="Trebuchet MS" w:hAnsi="Trebuchet MS"/>
              </w:rPr>
              <w:t>s</w:t>
            </w:r>
            <w:r w:rsidRPr="00DF06F6">
              <w:rPr>
                <w:rFonts w:ascii="Trebuchet MS" w:hAnsi="Trebuchet MS"/>
              </w:rPr>
              <w:t xml:space="preserve"> and EUR 100,000 for </w:t>
            </w:r>
            <w:r w:rsidR="00E20E21">
              <w:rPr>
                <w:rFonts w:ascii="Trebuchet MS" w:hAnsi="Trebuchet MS"/>
              </w:rPr>
              <w:t xml:space="preserve">works </w:t>
            </w:r>
            <w:r w:rsidRPr="00DF06F6">
              <w:rPr>
                <w:rFonts w:ascii="Trebuchet MS" w:hAnsi="Trebuchet MS"/>
              </w:rPr>
              <w:t>contract</w:t>
            </w:r>
            <w:r w:rsidR="00E20E21">
              <w:rPr>
                <w:rFonts w:ascii="Trebuchet MS" w:hAnsi="Trebuchet MS"/>
              </w:rPr>
              <w:t>s</w:t>
            </w:r>
            <w:r w:rsidRPr="00DF06F6">
              <w:rPr>
                <w:rFonts w:ascii="Trebuchet MS" w:hAnsi="Trebuchet MS"/>
              </w:rPr>
              <w:t xml:space="preserve"> (it was chosen to change the interval for works contracts for an optimal distribution of the "national" public procurement procedures - whose estimated value is below the threshold</w:t>
            </w:r>
            <w:r w:rsidR="00E20E21">
              <w:rPr>
                <w:rFonts w:ascii="Trebuchet MS" w:hAnsi="Trebuchet MS"/>
              </w:rPr>
              <w:t>s</w:t>
            </w:r>
            <w:r w:rsidRPr="00DF06F6">
              <w:rPr>
                <w:rFonts w:ascii="Trebuchet MS" w:hAnsi="Trebuchet MS"/>
              </w:rPr>
              <w:t xml:space="preserve"> for </w:t>
            </w:r>
            <w:r w:rsidR="00E20E21">
              <w:rPr>
                <w:rFonts w:ascii="Trebuchet MS" w:hAnsi="Trebuchet MS"/>
              </w:rPr>
              <w:t>publication</w:t>
            </w:r>
            <w:r w:rsidRPr="00DF06F6">
              <w:rPr>
                <w:rFonts w:ascii="Trebuchet MS" w:hAnsi="Trebuchet MS"/>
              </w:rPr>
              <w:t xml:space="preserve"> </w:t>
            </w:r>
            <w:r w:rsidR="00E20E21">
              <w:rPr>
                <w:rFonts w:ascii="Trebuchet MS" w:hAnsi="Trebuchet MS"/>
              </w:rPr>
              <w:t>of contract notices in</w:t>
            </w:r>
            <w:r w:rsidRPr="00DF06F6">
              <w:rPr>
                <w:rFonts w:ascii="Trebuchet MS" w:hAnsi="Trebuchet MS"/>
              </w:rPr>
              <w:t xml:space="preserve"> the </w:t>
            </w:r>
            <w:r w:rsidR="007C77CD">
              <w:rPr>
                <w:rFonts w:ascii="Trebuchet MS" w:hAnsi="Trebuchet MS"/>
              </w:rPr>
              <w:t>Official Journal of the European Union -</w:t>
            </w:r>
            <w:r w:rsidRPr="00DF06F6">
              <w:rPr>
                <w:rFonts w:ascii="Trebuchet MS" w:hAnsi="Trebuchet MS"/>
              </w:rPr>
              <w:t>OJEU).</w:t>
            </w:r>
          </w:p>
          <w:p w:rsidR="00DF06F6" w:rsidRPr="00DF06F6" w:rsidRDefault="00DF06F6" w:rsidP="0050099A">
            <w:pPr>
              <w:jc w:val="both"/>
            </w:pPr>
          </w:p>
          <w:p w:rsidR="00342370" w:rsidRPr="00342370" w:rsidRDefault="00342370" w:rsidP="0050099A">
            <w:pPr>
              <w:jc w:val="both"/>
              <w:rPr>
                <w:rFonts w:ascii="Trebuchet MS" w:hAnsi="Trebuchet MS"/>
              </w:rPr>
            </w:pPr>
            <w:r w:rsidRPr="00342370">
              <w:rPr>
                <w:rFonts w:ascii="Trebuchet MS" w:hAnsi="Trebuchet MS"/>
              </w:rPr>
              <w:t xml:space="preserve">Histograms of estimated values of public procurement procedures initiated by contracting authorities / entities by publication by AP (procedures with values above the </w:t>
            </w:r>
            <w:r w:rsidR="00E20E21">
              <w:rPr>
                <w:rFonts w:ascii="Trebuchet MS" w:hAnsi="Trebuchet MS"/>
              </w:rPr>
              <w:t>OJEU</w:t>
            </w:r>
            <w:r w:rsidRPr="00342370">
              <w:rPr>
                <w:rFonts w:ascii="Trebuchet MS" w:hAnsi="Trebuchet MS"/>
              </w:rPr>
              <w:t xml:space="preserve"> threshold) within SEAP, depending on the type of contract:</w:t>
            </w:r>
          </w:p>
          <w:p w:rsidR="00342370" w:rsidRPr="00342370" w:rsidRDefault="00342370" w:rsidP="0050099A">
            <w:pPr>
              <w:jc w:val="both"/>
              <w:rPr>
                <w:rFonts w:ascii="Trebuchet MS" w:hAnsi="Trebuchet MS"/>
              </w:rPr>
            </w:pPr>
          </w:p>
          <w:p w:rsidR="00342370" w:rsidRDefault="00342370" w:rsidP="0050099A">
            <w:pPr>
              <w:jc w:val="both"/>
              <w:rPr>
                <w:rFonts w:ascii="Trebuchet MS" w:hAnsi="Trebuchet MS"/>
              </w:rPr>
            </w:pPr>
            <w:r w:rsidRPr="00342370">
              <w:rPr>
                <w:rFonts w:ascii="Trebuchet MS" w:hAnsi="Trebuchet MS"/>
              </w:rPr>
              <w:t xml:space="preserve">The scale used </w:t>
            </w:r>
            <w:r w:rsidR="00E20E21">
              <w:rPr>
                <w:rFonts w:ascii="Trebuchet MS" w:hAnsi="Trebuchet MS"/>
              </w:rPr>
              <w:t xml:space="preserve">for </w:t>
            </w:r>
            <w:r w:rsidRPr="00342370">
              <w:rPr>
                <w:rFonts w:ascii="Trebuchet MS" w:hAnsi="Trebuchet MS"/>
              </w:rPr>
              <w:t>delimit</w:t>
            </w:r>
            <w:r w:rsidR="00E20E21">
              <w:rPr>
                <w:rFonts w:ascii="Trebuchet MS" w:hAnsi="Trebuchet MS"/>
              </w:rPr>
              <w:t>ing</w:t>
            </w:r>
            <w:r w:rsidRPr="00342370">
              <w:rPr>
                <w:rFonts w:ascii="Trebuchet MS" w:hAnsi="Trebuchet MS"/>
              </w:rPr>
              <w:t xml:space="preserve"> the value ranges is € 100,000 </w:t>
            </w:r>
            <w:r w:rsidR="00E20E21">
              <w:rPr>
                <w:rFonts w:ascii="Trebuchet MS" w:hAnsi="Trebuchet MS"/>
              </w:rPr>
              <w:t>on</w:t>
            </w:r>
            <w:r w:rsidRPr="00342370">
              <w:rPr>
                <w:rFonts w:ascii="Trebuchet MS" w:hAnsi="Trebuchet MS"/>
              </w:rPr>
              <w:t xml:space="preserve"> each type of contract.</w:t>
            </w:r>
          </w:p>
          <w:p w:rsidR="00342370" w:rsidRDefault="00342370" w:rsidP="0050099A">
            <w:pPr>
              <w:jc w:val="both"/>
              <w:rPr>
                <w:rFonts w:ascii="Trebuchet MS" w:hAnsi="Trebuchet MS"/>
              </w:rPr>
            </w:pPr>
          </w:p>
          <w:p w:rsidR="00342370" w:rsidRDefault="00342370" w:rsidP="00FA7253">
            <w:pPr>
              <w:rPr>
                <w:rFonts w:ascii="Trebuchet MS" w:hAnsi="Trebuchet MS"/>
              </w:rPr>
            </w:pPr>
          </w:p>
          <w:p w:rsidR="00342370" w:rsidRPr="00517E2F" w:rsidRDefault="00342370" w:rsidP="00FA7253">
            <w:pPr>
              <w:rPr>
                <w:rFonts w:ascii="Trebuchet MS" w:hAnsi="Trebuchet MS"/>
              </w:rPr>
            </w:pPr>
          </w:p>
          <w:p w:rsidR="00221199" w:rsidRDefault="007C3282" w:rsidP="004E45FE">
            <w:pPr>
              <w:rPr>
                <w:i/>
              </w:rPr>
            </w:pPr>
            <w:r>
              <w:rPr>
                <w:noProof/>
                <w:lang w:val="en-US" w:eastAsia="zh-CN"/>
              </w:rPr>
              <w:drawing>
                <wp:inline distT="0" distB="0" distL="0" distR="0" wp14:anchorId="620037FB" wp14:editId="6B49E96F">
                  <wp:extent cx="7608570" cy="2686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11281" cy="2687007"/>
                          </a:xfrm>
                          <a:prstGeom prst="rect">
                            <a:avLst/>
                          </a:prstGeom>
                          <a:noFill/>
                        </pic:spPr>
                      </pic:pic>
                    </a:graphicData>
                  </a:graphic>
                </wp:inline>
              </w:drawing>
            </w:r>
          </w:p>
          <w:p w:rsidR="00221199" w:rsidRDefault="007C3282" w:rsidP="004E45FE">
            <w:pPr>
              <w:rPr>
                <w:i/>
              </w:rPr>
            </w:pPr>
            <w:r>
              <w:rPr>
                <w:i/>
                <w:noProof/>
                <w:lang w:val="en-US" w:eastAsia="zh-CN"/>
              </w:rPr>
              <w:lastRenderedPageBreak/>
              <w:drawing>
                <wp:inline distT="0" distB="0" distL="0" distR="0" wp14:anchorId="3BC3668A" wp14:editId="3AA08299">
                  <wp:extent cx="7614285" cy="2931160"/>
                  <wp:effectExtent l="0" t="0" r="571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14285" cy="2931160"/>
                          </a:xfrm>
                          <a:prstGeom prst="rect">
                            <a:avLst/>
                          </a:prstGeom>
                          <a:noFill/>
                        </pic:spPr>
                      </pic:pic>
                    </a:graphicData>
                  </a:graphic>
                </wp:inline>
              </w:drawing>
            </w:r>
          </w:p>
          <w:p w:rsidR="00FA7253" w:rsidRDefault="00FA7253" w:rsidP="004E45FE">
            <w:pPr>
              <w:rPr>
                <w:i/>
              </w:rPr>
            </w:pPr>
          </w:p>
          <w:p w:rsidR="00221199" w:rsidRDefault="007C3282" w:rsidP="004E45FE">
            <w:pPr>
              <w:rPr>
                <w:i/>
              </w:rPr>
            </w:pPr>
            <w:r>
              <w:rPr>
                <w:i/>
                <w:noProof/>
                <w:lang w:val="en-US" w:eastAsia="zh-CN"/>
              </w:rPr>
              <w:lastRenderedPageBreak/>
              <w:drawing>
                <wp:inline distT="0" distB="0" distL="0" distR="0" wp14:anchorId="25279B55" wp14:editId="5B5AB5EA">
                  <wp:extent cx="7614285" cy="3057525"/>
                  <wp:effectExtent l="0" t="0" r="571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14285" cy="3057525"/>
                          </a:xfrm>
                          <a:prstGeom prst="rect">
                            <a:avLst/>
                          </a:prstGeom>
                          <a:noFill/>
                        </pic:spPr>
                      </pic:pic>
                    </a:graphicData>
                  </a:graphic>
                </wp:inline>
              </w:drawing>
            </w:r>
          </w:p>
          <w:p w:rsidR="00186615" w:rsidRDefault="00186615" w:rsidP="004E45FE">
            <w:pPr>
              <w:rPr>
                <w:i/>
              </w:rPr>
            </w:pPr>
          </w:p>
          <w:p w:rsidR="00A666E1" w:rsidRPr="00B01372" w:rsidRDefault="00A666E1" w:rsidP="004E45FE">
            <w:pPr>
              <w:rPr>
                <w:i/>
              </w:rPr>
            </w:pPr>
            <w:r>
              <w:rPr>
                <w:i/>
              </w:rPr>
              <w:t xml:space="preserve"> </w:t>
            </w:r>
          </w:p>
        </w:tc>
      </w:tr>
    </w:tbl>
    <w:p w:rsidR="000D5425" w:rsidRPr="00B01372" w:rsidRDefault="000D5425" w:rsidP="00BE433B">
      <w:pPr>
        <w:pStyle w:val="ListParagraph"/>
        <w:jc w:val="both"/>
      </w:pPr>
    </w:p>
    <w:p w:rsidR="004932A2" w:rsidRPr="00B01372" w:rsidRDefault="004932A2" w:rsidP="004932A2">
      <w:pPr>
        <w:pStyle w:val="NoSpacing"/>
      </w:pPr>
      <w:r w:rsidRPr="00B01372">
        <w:br w:type="page"/>
      </w:r>
    </w:p>
    <w:p w:rsidR="00082B68" w:rsidRPr="00B01372" w:rsidRDefault="00082B68" w:rsidP="004932A2">
      <w:pPr>
        <w:pStyle w:val="NoSpacing"/>
      </w:pPr>
    </w:p>
    <w:p w:rsidR="00A051EB" w:rsidRPr="00B01372" w:rsidRDefault="00CF260D" w:rsidP="00B12049">
      <w:pPr>
        <w:pStyle w:val="Heading2"/>
        <w:rPr>
          <w:rFonts w:asciiTheme="minorHAnsi" w:hAnsiTheme="minorHAnsi"/>
        </w:rPr>
      </w:pPr>
      <w:r w:rsidRPr="00B01372">
        <w:rPr>
          <w:rFonts w:asciiTheme="minorHAnsi" w:hAnsiTheme="minorHAnsi"/>
        </w:rPr>
        <w:t>P</w:t>
      </w:r>
      <w:r w:rsidR="005F4733" w:rsidRPr="00B01372">
        <w:rPr>
          <w:rFonts w:asciiTheme="minorHAnsi" w:hAnsiTheme="minorHAnsi"/>
        </w:rPr>
        <w:t>revention, detection and adequate reporting of cases of procurement fraud, corruption, conflict of interests and other serious irregularities</w:t>
      </w:r>
    </w:p>
    <w:p w:rsidR="005F4733" w:rsidRPr="00B01372" w:rsidRDefault="005F4733" w:rsidP="00D24317">
      <w:r w:rsidRPr="00B01372">
        <w:t xml:space="preserve"> </w:t>
      </w:r>
    </w:p>
    <w:tbl>
      <w:tblPr>
        <w:tblStyle w:val="TableGrid"/>
        <w:tblW w:w="5000" w:type="pct"/>
        <w:tblLook w:val="04A0" w:firstRow="1" w:lastRow="0" w:firstColumn="1" w:lastColumn="0" w:noHBand="0" w:noVBand="1"/>
      </w:tblPr>
      <w:tblGrid>
        <w:gridCol w:w="2494"/>
        <w:gridCol w:w="11726"/>
      </w:tblGrid>
      <w:tr w:rsidR="00253552" w:rsidRPr="00B01372" w:rsidTr="00A47B20">
        <w:tc>
          <w:tcPr>
            <w:tcW w:w="1648" w:type="pct"/>
          </w:tcPr>
          <w:p w:rsidR="00253552" w:rsidRPr="00B01372" w:rsidRDefault="002B6572" w:rsidP="001D4DCD">
            <w:pPr>
              <w:pStyle w:val="Heading3"/>
              <w:outlineLvl w:val="2"/>
            </w:pPr>
            <w:r w:rsidRPr="00B01372">
              <w:t>III</w:t>
            </w:r>
            <w:r w:rsidR="00253552" w:rsidRPr="00B01372">
              <w:t xml:space="preserve">.1. Qualitative reporting </w:t>
            </w:r>
            <w:r w:rsidR="001D4DCD" w:rsidRPr="00B01372">
              <w:t>on</w:t>
            </w:r>
            <w:r w:rsidR="00253552" w:rsidRPr="00B01372">
              <w:t xml:space="preserve"> fraud, corruption, conflict of interests etc</w:t>
            </w:r>
            <w:r w:rsidR="00AC7614" w:rsidRPr="00B01372">
              <w:t>.</w:t>
            </w:r>
          </w:p>
        </w:tc>
        <w:tc>
          <w:tcPr>
            <w:tcW w:w="3352" w:type="pct"/>
          </w:tcPr>
          <w:p w:rsidR="00253552" w:rsidRPr="00B01372" w:rsidRDefault="00253552" w:rsidP="005329C9">
            <w:pPr>
              <w:jc w:val="both"/>
            </w:pPr>
          </w:p>
        </w:tc>
      </w:tr>
      <w:tr w:rsidR="00253552" w:rsidRPr="00B01372" w:rsidTr="00A47B20">
        <w:tc>
          <w:tcPr>
            <w:tcW w:w="1648" w:type="pct"/>
          </w:tcPr>
          <w:p w:rsidR="00253552" w:rsidRPr="00B01372" w:rsidRDefault="00253552" w:rsidP="007217FF">
            <w:pPr>
              <w:jc w:val="both"/>
            </w:pPr>
            <w:r w:rsidRPr="00B01372">
              <w:t>Describe the actions undertaken and/or mechanisms put in place to ensure compliance with the new provisions on the prevention, detection and adequate reporting of public procurement irregularities</w:t>
            </w:r>
            <w:r w:rsidR="007217FF" w:rsidRPr="00B01372">
              <w:t xml:space="preserve"> including fraud and corruption</w:t>
            </w:r>
          </w:p>
        </w:tc>
        <w:tc>
          <w:tcPr>
            <w:tcW w:w="3352" w:type="pct"/>
          </w:tcPr>
          <w:p w:rsidR="004544D7" w:rsidRPr="0043642C" w:rsidRDefault="004544D7" w:rsidP="0050099A">
            <w:pPr>
              <w:pStyle w:val="CommentText"/>
              <w:jc w:val="both"/>
              <w:rPr>
                <w:rFonts w:ascii="Trebuchet MS" w:hAnsi="Trebuchet MS"/>
                <w:i/>
                <w:sz w:val="22"/>
                <w:szCs w:val="22"/>
                <w:highlight w:val="yellow"/>
              </w:rPr>
            </w:pPr>
          </w:p>
          <w:p w:rsidR="00FA7253" w:rsidRPr="0043642C" w:rsidRDefault="00FA7253" w:rsidP="0050099A">
            <w:pPr>
              <w:jc w:val="both"/>
              <w:rPr>
                <w:highlight w:val="yellow"/>
              </w:rPr>
            </w:pPr>
          </w:p>
          <w:p w:rsidR="00FA7253" w:rsidRPr="00342370" w:rsidRDefault="00342370" w:rsidP="0050099A">
            <w:pPr>
              <w:jc w:val="both"/>
              <w:rPr>
                <w:rFonts w:ascii="Trebuchet MS" w:hAnsi="Trebuchet MS"/>
              </w:rPr>
            </w:pPr>
            <w:r w:rsidRPr="00155568">
              <w:rPr>
                <w:rFonts w:ascii="Trebuchet MS" w:hAnsi="Trebuchet MS"/>
              </w:rPr>
              <w:t>The information requested in this section is available through the following communication channels:</w:t>
            </w:r>
          </w:p>
          <w:p w:rsidR="00155568" w:rsidRDefault="0008611D" w:rsidP="00155568">
            <w:pPr>
              <w:pStyle w:val="NoSpacing"/>
              <w:numPr>
                <w:ilvl w:val="0"/>
                <w:numId w:val="43"/>
              </w:numPr>
              <w:rPr>
                <w:rFonts w:ascii="Times New Roman" w:hAnsi="Times New Roman" w:cs="Times New Roman"/>
                <w:lang w:val="en-US"/>
              </w:rPr>
            </w:pPr>
            <w:hyperlink r:id="rId19" w:history="1">
              <w:r w:rsidR="00155568" w:rsidRPr="003556AB">
                <w:rPr>
                  <w:rStyle w:val="Hyperlink"/>
                  <w:rFonts w:ascii="Times New Roman" w:hAnsi="Times New Roman" w:cs="Times New Roman"/>
                  <w:lang w:val="ro-RO"/>
                </w:rPr>
                <w:t>http</w:t>
              </w:r>
              <w:r w:rsidR="00155568" w:rsidRPr="003556AB">
                <w:rPr>
                  <w:rStyle w:val="Hyperlink"/>
                  <w:rFonts w:ascii="Times New Roman" w:hAnsi="Times New Roman" w:cs="Times New Roman"/>
                  <w:lang w:val="en-US"/>
                </w:rPr>
                <w:t>://www.consiliulconcurentei.ro/uploads/docs/items/bucketI1</w:t>
              </w:r>
              <w:r w:rsidR="00155568" w:rsidRPr="003556AB">
                <w:rPr>
                  <w:rStyle w:val="Hyperlink"/>
                  <w:rFonts w:ascii="Times New Roman" w:hAnsi="Times New Roman" w:cs="Times New Roman"/>
                  <w:lang w:val="ro-RO"/>
                </w:rPr>
                <w:t>/id11013/ghid_practici_anticoncurențiale_licitații.pdf</w:t>
              </w:r>
            </w:hyperlink>
            <w:r w:rsidR="00155568">
              <w:rPr>
                <w:rFonts w:ascii="Times New Roman" w:hAnsi="Times New Roman" w:cs="Times New Roman"/>
                <w:lang w:val="en-US"/>
              </w:rPr>
              <w:t xml:space="preserve">; </w:t>
            </w:r>
          </w:p>
          <w:p w:rsidR="00155568" w:rsidRDefault="0008611D" w:rsidP="00155568">
            <w:pPr>
              <w:pStyle w:val="NoSpacing"/>
              <w:numPr>
                <w:ilvl w:val="0"/>
                <w:numId w:val="43"/>
              </w:numPr>
              <w:rPr>
                <w:rFonts w:ascii="Times New Roman" w:hAnsi="Times New Roman" w:cs="Times New Roman"/>
                <w:lang w:val="ro-RO"/>
              </w:rPr>
            </w:pPr>
            <w:hyperlink r:id="rId20" w:history="1">
              <w:r w:rsidR="00155568" w:rsidRPr="00927D10">
                <w:rPr>
                  <w:rStyle w:val="Hyperlink"/>
                  <w:rFonts w:ascii="Times New Roman" w:hAnsi="Times New Roman" w:cs="Times New Roman"/>
                  <w:lang w:val="en-US"/>
                </w:rPr>
                <w:t>http:</w:t>
              </w:r>
              <w:r w:rsidR="00155568" w:rsidRPr="00927D10">
                <w:rPr>
                  <w:rStyle w:val="Hyperlink"/>
                  <w:rFonts w:ascii="Times New Roman" w:hAnsi="Times New Roman" w:cs="Times New Roman"/>
                  <w:lang w:val="ro-RO"/>
                </w:rPr>
                <w:t>//www.consiliulconcurenței.ro/uploads/docs/items/bucket12/id12037/ghid_consortii_final.pdf</w:t>
              </w:r>
            </w:hyperlink>
            <w:r w:rsidR="00155568">
              <w:rPr>
                <w:rStyle w:val="Hyperlink"/>
                <w:rFonts w:ascii="Times New Roman" w:hAnsi="Times New Roman" w:cs="Times New Roman"/>
                <w:lang w:val="ro-RO"/>
              </w:rPr>
              <w:t xml:space="preserve"> </w:t>
            </w:r>
            <w:r w:rsidR="00155568">
              <w:rPr>
                <w:rFonts w:ascii="Times New Roman" w:hAnsi="Times New Roman" w:cs="Times New Roman"/>
                <w:lang w:val="ro-RO"/>
              </w:rPr>
              <w:t xml:space="preserve">  </w:t>
            </w:r>
          </w:p>
          <w:p w:rsidR="00155568" w:rsidRPr="00554871" w:rsidRDefault="0008611D" w:rsidP="00155568">
            <w:pPr>
              <w:pStyle w:val="NoSpacing"/>
              <w:numPr>
                <w:ilvl w:val="0"/>
                <w:numId w:val="43"/>
              </w:numPr>
              <w:rPr>
                <w:rStyle w:val="Hyperlink"/>
                <w:rFonts w:ascii="Times New Roman" w:hAnsi="Times New Roman" w:cs="Times New Roman"/>
                <w:color w:val="auto"/>
                <w:u w:val="none"/>
                <w:lang w:val="ro-RO"/>
              </w:rPr>
            </w:pPr>
            <w:hyperlink r:id="rId21" w:history="1">
              <w:r w:rsidR="00155568" w:rsidRPr="00E24A02">
                <w:rPr>
                  <w:rStyle w:val="Hyperlink"/>
                  <w:lang w:val="ro-RO"/>
                </w:rPr>
                <w:t>http</w:t>
              </w:r>
              <w:r w:rsidR="00155568" w:rsidRPr="00E24A02">
                <w:rPr>
                  <w:rStyle w:val="Hyperlink"/>
                  <w:lang w:val="en-US"/>
                </w:rPr>
                <w:t>://</w:t>
              </w:r>
              <w:r w:rsidR="00155568" w:rsidRPr="00E24A02">
                <w:rPr>
                  <w:rStyle w:val="Hyperlink"/>
                  <w:lang w:val="ro-RO"/>
                </w:rPr>
                <w:t>www.antifrauda.gov.ro/ro/despre noi/rapoarte/</w:t>
              </w:r>
            </w:hyperlink>
          </w:p>
          <w:p w:rsidR="00155568" w:rsidRPr="00B45D67" w:rsidRDefault="0008611D" w:rsidP="00155568">
            <w:pPr>
              <w:pStyle w:val="NoSpacing"/>
              <w:numPr>
                <w:ilvl w:val="0"/>
                <w:numId w:val="43"/>
              </w:numPr>
              <w:rPr>
                <w:rFonts w:ascii="Times New Roman" w:hAnsi="Times New Roman" w:cs="Times New Roman"/>
                <w:lang w:val="ro-RO"/>
              </w:rPr>
            </w:pPr>
            <w:hyperlink r:id="rId22" w:history="1">
              <w:r w:rsidR="00155568">
                <w:rPr>
                  <w:rStyle w:val="wurvib"/>
                  <w:color w:val="1A0DAB"/>
                  <w:u w:val="single"/>
                </w:rPr>
                <w:t>www.curtea deconturi.ro/AutoritateAudit.aspx</w:t>
              </w:r>
            </w:hyperlink>
          </w:p>
          <w:p w:rsidR="00342370" w:rsidRDefault="00342370" w:rsidP="0050099A">
            <w:pPr>
              <w:jc w:val="both"/>
            </w:pPr>
          </w:p>
          <w:p w:rsidR="00342370" w:rsidRDefault="00342370" w:rsidP="0050099A">
            <w:pPr>
              <w:jc w:val="both"/>
            </w:pPr>
          </w:p>
          <w:p w:rsidR="00342370" w:rsidRDefault="00342370" w:rsidP="0050099A">
            <w:pPr>
              <w:jc w:val="both"/>
            </w:pPr>
          </w:p>
          <w:p w:rsidR="00342370" w:rsidRPr="00B01372" w:rsidRDefault="00342370" w:rsidP="00FA7253">
            <w:pPr>
              <w:jc w:val="both"/>
            </w:pPr>
          </w:p>
        </w:tc>
      </w:tr>
      <w:tr w:rsidR="007217FF" w:rsidRPr="00B01372" w:rsidTr="00A47B20">
        <w:tc>
          <w:tcPr>
            <w:tcW w:w="1648" w:type="pct"/>
          </w:tcPr>
          <w:p w:rsidR="007217FF" w:rsidRPr="00B01372" w:rsidRDefault="007217FF" w:rsidP="007217FF">
            <w:pPr>
              <w:jc w:val="both"/>
            </w:pPr>
            <w:r w:rsidRPr="00B01372">
              <w:t>Describe the actions undertaken and/or mechanisms put in place to ensure compliance with the new provisions on the prevention, detection and adequate reporting of conflicts of interests</w:t>
            </w:r>
          </w:p>
        </w:tc>
        <w:tc>
          <w:tcPr>
            <w:tcW w:w="3352" w:type="pct"/>
          </w:tcPr>
          <w:p w:rsidR="00C836C7" w:rsidRPr="0043642C" w:rsidRDefault="00C836C7" w:rsidP="003743AD">
            <w:pPr>
              <w:jc w:val="both"/>
              <w:rPr>
                <w:rFonts w:ascii="Trebuchet MS" w:hAnsi="Trebuchet MS"/>
                <w:i/>
                <w:highlight w:val="yellow"/>
              </w:rPr>
            </w:pPr>
          </w:p>
          <w:p w:rsidR="00C836C7" w:rsidRPr="00F71193" w:rsidRDefault="00C836C7" w:rsidP="003743AD">
            <w:pPr>
              <w:jc w:val="both"/>
              <w:rPr>
                <w:rFonts w:ascii="Trebuchet MS" w:hAnsi="Trebuchet MS"/>
              </w:rPr>
            </w:pPr>
            <w:r w:rsidRPr="00F71193">
              <w:rPr>
                <w:rFonts w:ascii="Trebuchet MS" w:hAnsi="Trebuchet MS"/>
              </w:rPr>
              <w:t>The information requested in this section is available through the following communication channels:</w:t>
            </w:r>
          </w:p>
          <w:p w:rsidR="00554871" w:rsidRPr="00C836C7" w:rsidRDefault="0008611D" w:rsidP="003743AD">
            <w:pPr>
              <w:jc w:val="both"/>
              <w:rPr>
                <w:rFonts w:ascii="Trebuchet MS" w:hAnsi="Trebuchet MS"/>
              </w:rPr>
            </w:pPr>
            <w:hyperlink r:id="rId23" w:history="1">
              <w:r w:rsidR="00554871" w:rsidRPr="00F71193">
                <w:rPr>
                  <w:rStyle w:val="Hyperlink"/>
                </w:rPr>
                <w:t>https</w:t>
              </w:r>
              <w:r w:rsidR="00554871" w:rsidRPr="00F71193">
                <w:rPr>
                  <w:rStyle w:val="Hyperlink"/>
                  <w:lang w:val="en-US"/>
                </w:rPr>
                <w:t>://www.integritate.eu/prevent.aspx</w:t>
              </w:r>
            </w:hyperlink>
          </w:p>
          <w:p w:rsidR="00C836C7" w:rsidRDefault="00C836C7" w:rsidP="00FB1D19">
            <w:pPr>
              <w:jc w:val="both"/>
              <w:rPr>
                <w:rFonts w:ascii="Trebuchet MS" w:hAnsi="Trebuchet MS"/>
                <w:i/>
              </w:rPr>
            </w:pPr>
          </w:p>
          <w:p w:rsidR="00C836C7" w:rsidRPr="00B01372" w:rsidRDefault="00C836C7" w:rsidP="00FB1D19">
            <w:pPr>
              <w:jc w:val="both"/>
            </w:pPr>
          </w:p>
        </w:tc>
      </w:tr>
      <w:tr w:rsidR="00253552" w:rsidRPr="00B01372" w:rsidTr="00A47B20">
        <w:tc>
          <w:tcPr>
            <w:tcW w:w="1648" w:type="pct"/>
          </w:tcPr>
          <w:p w:rsidR="00253552" w:rsidRPr="00B01372" w:rsidRDefault="00524104" w:rsidP="005329C9">
            <w:pPr>
              <w:pStyle w:val="Heading3"/>
              <w:outlineLvl w:val="2"/>
            </w:pPr>
            <w:r w:rsidRPr="00B01372">
              <w:t>III</w:t>
            </w:r>
            <w:r w:rsidR="00253552" w:rsidRPr="00B01372">
              <w:t xml:space="preserve">.2. </w:t>
            </w:r>
            <w:r w:rsidR="0037143F" w:rsidRPr="0037143F">
              <w:t>Supporting documents</w:t>
            </w:r>
          </w:p>
        </w:tc>
        <w:tc>
          <w:tcPr>
            <w:tcW w:w="3352" w:type="pct"/>
          </w:tcPr>
          <w:p w:rsidR="00253552" w:rsidRPr="00B01372" w:rsidRDefault="00253552" w:rsidP="005329C9">
            <w:pPr>
              <w:rPr>
                <w:i/>
              </w:rPr>
            </w:pPr>
          </w:p>
        </w:tc>
      </w:tr>
      <w:tr w:rsidR="00253552" w:rsidRPr="00B01372" w:rsidTr="00A47B20">
        <w:tc>
          <w:tcPr>
            <w:tcW w:w="1648" w:type="pct"/>
          </w:tcPr>
          <w:p w:rsidR="00253552" w:rsidRPr="00B01372" w:rsidRDefault="00253552" w:rsidP="0037143F">
            <w:pPr>
              <w:pStyle w:val="Heading3"/>
              <w:outlineLvl w:val="2"/>
              <w:rPr>
                <w:b w:val="0"/>
              </w:rPr>
            </w:pPr>
            <w:r w:rsidRPr="00B01372">
              <w:rPr>
                <w:b w:val="0"/>
              </w:rPr>
              <w:t xml:space="preserve">Please provide any available </w:t>
            </w:r>
            <w:r w:rsidR="0037143F">
              <w:rPr>
                <w:b w:val="0"/>
              </w:rPr>
              <w:t>evidence</w:t>
            </w:r>
            <w:r w:rsidRPr="00B01372">
              <w:rPr>
                <w:b w:val="0"/>
              </w:rPr>
              <w:t xml:space="preserve"> on the </w:t>
            </w:r>
            <w:r w:rsidRPr="00B01372">
              <w:rPr>
                <w:b w:val="0"/>
              </w:rPr>
              <w:lastRenderedPageBreak/>
              <w:t xml:space="preserve">actions/mechanisms and measures described under section </w:t>
            </w:r>
            <w:r w:rsidR="00046AD1" w:rsidRPr="00B01372">
              <w:rPr>
                <w:b w:val="0"/>
              </w:rPr>
              <w:t>III</w:t>
            </w:r>
            <w:r w:rsidRPr="00B01372">
              <w:rPr>
                <w:b w:val="0"/>
              </w:rPr>
              <w:t xml:space="preserve">.1. above </w:t>
            </w:r>
            <w:r w:rsidR="00B72720" w:rsidRPr="00B01372">
              <w:rPr>
                <w:b w:val="0"/>
              </w:rPr>
              <w:t>demonstrating</w:t>
            </w:r>
            <w:r w:rsidRPr="00B01372">
              <w:rPr>
                <w:b w:val="0"/>
              </w:rPr>
              <w:t xml:space="preserve"> compliance with the new provisions on the prevention, detection and adequate reporting of public procurement irregularities and conflicts of interests  </w:t>
            </w:r>
          </w:p>
        </w:tc>
        <w:tc>
          <w:tcPr>
            <w:tcW w:w="3352" w:type="pct"/>
          </w:tcPr>
          <w:p w:rsidR="006E2B1C" w:rsidRPr="007204DE" w:rsidRDefault="006E2B1C" w:rsidP="006E2B1C">
            <w:pPr>
              <w:pStyle w:val="CommentText"/>
              <w:rPr>
                <w:rFonts w:ascii="Trebuchet MS" w:hAnsi="Trebuchet MS"/>
                <w:sz w:val="22"/>
                <w:szCs w:val="22"/>
              </w:rPr>
            </w:pPr>
            <w:r w:rsidRPr="007204DE">
              <w:rPr>
                <w:rFonts w:ascii="Trebuchet MS" w:hAnsi="Trebuchet MS"/>
                <w:i/>
                <w:sz w:val="22"/>
                <w:szCs w:val="22"/>
              </w:rPr>
              <w:lastRenderedPageBreak/>
              <w:t xml:space="preserve"> </w:t>
            </w:r>
          </w:p>
          <w:p w:rsidR="006E2B1C" w:rsidRPr="00C836C7" w:rsidRDefault="00C836C7" w:rsidP="006E2B1C">
            <w:pPr>
              <w:jc w:val="both"/>
              <w:rPr>
                <w:rFonts w:ascii="Trebuchet MS" w:hAnsi="Trebuchet MS"/>
              </w:rPr>
            </w:pPr>
            <w:r w:rsidRPr="00C836C7">
              <w:rPr>
                <w:rFonts w:ascii="Trebuchet MS" w:hAnsi="Trebuchet MS"/>
              </w:rPr>
              <w:t xml:space="preserve">The information required in this section is </w:t>
            </w:r>
            <w:r w:rsidRPr="00F71193">
              <w:rPr>
                <w:rFonts w:ascii="Trebuchet MS" w:hAnsi="Trebuchet MS"/>
              </w:rPr>
              <w:t>available at the communication channels specified in section III.1</w:t>
            </w:r>
          </w:p>
          <w:p w:rsidR="00253552" w:rsidRPr="00B01372" w:rsidRDefault="00253552" w:rsidP="00F45A00">
            <w:pPr>
              <w:jc w:val="both"/>
              <w:rPr>
                <w:i/>
              </w:rPr>
            </w:pPr>
          </w:p>
        </w:tc>
      </w:tr>
      <w:tr w:rsidR="009C6F87" w:rsidRPr="00B01372" w:rsidTr="00A47B20">
        <w:tc>
          <w:tcPr>
            <w:tcW w:w="1648" w:type="pct"/>
          </w:tcPr>
          <w:p w:rsidR="009C6F87" w:rsidRPr="00B01372" w:rsidRDefault="00A0326A" w:rsidP="00253552">
            <w:pPr>
              <w:pStyle w:val="Heading3"/>
              <w:outlineLvl w:val="2"/>
            </w:pPr>
            <w:r w:rsidRPr="00B01372">
              <w:lastRenderedPageBreak/>
              <w:t>III</w:t>
            </w:r>
            <w:r w:rsidR="009C6F87" w:rsidRPr="00B01372">
              <w:t>.3. Quantitative indicators</w:t>
            </w:r>
          </w:p>
        </w:tc>
        <w:tc>
          <w:tcPr>
            <w:tcW w:w="3352" w:type="pct"/>
          </w:tcPr>
          <w:p w:rsidR="009C6F87" w:rsidRPr="008C0CAB" w:rsidRDefault="009C6F87" w:rsidP="0086391B">
            <w:pPr>
              <w:jc w:val="both"/>
              <w:rPr>
                <w:i/>
                <w:strike/>
              </w:rPr>
            </w:pPr>
          </w:p>
        </w:tc>
      </w:tr>
      <w:tr w:rsidR="009C6F87" w:rsidRPr="00B01372" w:rsidTr="00A47B20">
        <w:tc>
          <w:tcPr>
            <w:tcW w:w="1648" w:type="pct"/>
          </w:tcPr>
          <w:p w:rsidR="009C6F87" w:rsidRPr="00B01372" w:rsidRDefault="00567DA6" w:rsidP="003236CE">
            <w:pPr>
              <w:pStyle w:val="Heading3"/>
              <w:outlineLvl w:val="2"/>
              <w:rPr>
                <w:b w:val="0"/>
              </w:rPr>
            </w:pPr>
            <w:r w:rsidRPr="00B01372">
              <w:rPr>
                <w:b w:val="0"/>
              </w:rPr>
              <w:t>Statistical d</w:t>
            </w:r>
            <w:r w:rsidR="00D50216" w:rsidRPr="00B01372">
              <w:rPr>
                <w:b w:val="0"/>
              </w:rPr>
              <w:t xml:space="preserve">istribution of </w:t>
            </w:r>
            <w:r w:rsidR="00AA74C1" w:rsidRPr="00B01372">
              <w:rPr>
                <w:b w:val="0"/>
              </w:rPr>
              <w:t xml:space="preserve">buyers by frequency of </w:t>
            </w:r>
            <w:r w:rsidR="00477293" w:rsidRPr="00B01372">
              <w:rPr>
                <w:b w:val="0"/>
              </w:rPr>
              <w:t>actual</w:t>
            </w:r>
            <w:r w:rsidR="00AA74C1" w:rsidRPr="00B01372">
              <w:rPr>
                <w:b w:val="0"/>
              </w:rPr>
              <w:t xml:space="preserve"> </w:t>
            </w:r>
            <w:r w:rsidR="00D50216" w:rsidRPr="00B01372">
              <w:rPr>
                <w:b w:val="0"/>
              </w:rPr>
              <w:t xml:space="preserve">competition </w:t>
            </w:r>
          </w:p>
        </w:tc>
        <w:tc>
          <w:tcPr>
            <w:tcW w:w="3352" w:type="pct"/>
          </w:tcPr>
          <w:p w:rsidR="006E2B1C" w:rsidRDefault="006E2B1C" w:rsidP="006E2B1C">
            <w:pPr>
              <w:pStyle w:val="NoSpacing"/>
              <w:rPr>
                <w:rFonts w:ascii="Trebuchet MS" w:hAnsi="Trebuchet MS" w:cs="Times New Roman"/>
              </w:rPr>
            </w:pPr>
          </w:p>
          <w:p w:rsidR="008A4985" w:rsidRPr="008A4985" w:rsidRDefault="008A4985" w:rsidP="008A4985">
            <w:pPr>
              <w:pStyle w:val="NoSpacing"/>
              <w:rPr>
                <w:rFonts w:ascii="Trebuchet MS" w:hAnsi="Trebuchet MS" w:cs="Times New Roman"/>
              </w:rPr>
            </w:pPr>
            <w:r w:rsidRPr="008A4985">
              <w:rPr>
                <w:rFonts w:ascii="Trebuchet MS" w:hAnsi="Trebuchet MS" w:cs="Times New Roman"/>
              </w:rPr>
              <w:t xml:space="preserve">In 2017 a number of 2,685 contracting authorities / entities </w:t>
            </w:r>
            <w:r>
              <w:rPr>
                <w:rFonts w:ascii="Trebuchet MS" w:hAnsi="Trebuchet MS" w:cs="Times New Roman"/>
              </w:rPr>
              <w:t xml:space="preserve">had </w:t>
            </w:r>
            <w:r w:rsidRPr="008A4985">
              <w:rPr>
                <w:rFonts w:ascii="Trebuchet MS" w:hAnsi="Trebuchet MS" w:cs="Times New Roman"/>
              </w:rPr>
              <w:t xml:space="preserve">initiated and awarded 20,291 procedures, </w:t>
            </w:r>
            <w:r>
              <w:rPr>
                <w:rFonts w:ascii="Trebuchet MS" w:hAnsi="Trebuchet MS" w:cs="Times New Roman"/>
              </w:rPr>
              <w:t>based on</w:t>
            </w:r>
            <w:r w:rsidRPr="008A4985">
              <w:rPr>
                <w:rFonts w:ascii="Trebuchet MS" w:hAnsi="Trebuchet MS" w:cs="Times New Roman"/>
              </w:rPr>
              <w:t xml:space="preserve"> </w:t>
            </w:r>
            <w:r>
              <w:rPr>
                <w:rFonts w:ascii="Trebuchet MS" w:hAnsi="Trebuchet MS" w:cs="Times New Roman"/>
              </w:rPr>
              <w:t xml:space="preserve">which </w:t>
            </w:r>
            <w:r w:rsidRPr="008A4985">
              <w:rPr>
                <w:rFonts w:ascii="Trebuchet MS" w:hAnsi="Trebuchet MS" w:cs="Times New Roman"/>
              </w:rPr>
              <w:t>61,284 public procurement contracts were awarded.</w:t>
            </w:r>
          </w:p>
          <w:p w:rsidR="008A4985" w:rsidRPr="008A4985" w:rsidRDefault="008A4985" w:rsidP="008A4985">
            <w:pPr>
              <w:pStyle w:val="NoSpacing"/>
              <w:rPr>
                <w:rFonts w:ascii="Trebuchet MS" w:hAnsi="Trebuchet MS" w:cs="Times New Roman"/>
              </w:rPr>
            </w:pPr>
            <w:r w:rsidRPr="008A4985">
              <w:rPr>
                <w:rFonts w:ascii="Trebuchet MS" w:hAnsi="Trebuchet MS" w:cs="Times New Roman"/>
              </w:rPr>
              <w:t xml:space="preserve">In 2017, an average of 6 tenders </w:t>
            </w:r>
            <w:r w:rsidR="0068717D">
              <w:rPr>
                <w:rFonts w:ascii="Trebuchet MS" w:hAnsi="Trebuchet MS" w:cs="Times New Roman"/>
              </w:rPr>
              <w:t xml:space="preserve">were received </w:t>
            </w:r>
            <w:r w:rsidRPr="008A4985">
              <w:rPr>
                <w:rFonts w:ascii="Trebuchet MS" w:hAnsi="Trebuchet MS" w:cs="Times New Roman"/>
              </w:rPr>
              <w:t xml:space="preserve">for public procurement procedures completed by awarding a contract / </w:t>
            </w:r>
            <w:r>
              <w:rPr>
                <w:rFonts w:ascii="Trebuchet MS" w:hAnsi="Trebuchet MS" w:cs="Times New Roman"/>
              </w:rPr>
              <w:t xml:space="preserve">framework </w:t>
            </w:r>
            <w:r w:rsidR="0068717D">
              <w:rPr>
                <w:rFonts w:ascii="Trebuchet MS" w:hAnsi="Trebuchet MS" w:cs="Times New Roman"/>
              </w:rPr>
              <w:t>agreement</w:t>
            </w:r>
            <w:r w:rsidRPr="008A4985">
              <w:rPr>
                <w:rFonts w:ascii="Trebuchet MS" w:hAnsi="Trebuchet MS" w:cs="Times New Roman"/>
              </w:rPr>
              <w:t>.</w:t>
            </w:r>
          </w:p>
          <w:p w:rsidR="008A4985" w:rsidRPr="008A4985" w:rsidRDefault="008A4985" w:rsidP="008A4985">
            <w:pPr>
              <w:pStyle w:val="NoSpacing"/>
              <w:rPr>
                <w:rFonts w:ascii="Trebuchet MS" w:hAnsi="Trebuchet MS" w:cs="Times New Roman"/>
              </w:rPr>
            </w:pPr>
            <w:r w:rsidRPr="008A4985">
              <w:rPr>
                <w:rFonts w:ascii="Trebuchet MS" w:hAnsi="Trebuchet MS" w:cs="Times New Roman"/>
              </w:rPr>
              <w:t xml:space="preserve">We mention that </w:t>
            </w:r>
            <w:r w:rsidR="0068717D">
              <w:rPr>
                <w:rFonts w:ascii="Trebuchet MS" w:hAnsi="Trebuchet MS" w:cs="Times New Roman"/>
              </w:rPr>
              <w:t xml:space="preserve">from </w:t>
            </w:r>
            <w:r w:rsidRPr="008A4985">
              <w:rPr>
                <w:rFonts w:ascii="Trebuchet MS" w:hAnsi="Trebuchet MS" w:cs="Times New Roman"/>
              </w:rPr>
              <w:t>the c</w:t>
            </w:r>
            <w:r w:rsidR="0068717D">
              <w:rPr>
                <w:rFonts w:ascii="Trebuchet MS" w:hAnsi="Trebuchet MS" w:cs="Times New Roman"/>
              </w:rPr>
              <w:t xml:space="preserve">alculation of this indicator there have been </w:t>
            </w:r>
            <w:r w:rsidRPr="008A4985">
              <w:rPr>
                <w:rFonts w:ascii="Trebuchet MS" w:hAnsi="Trebuchet MS" w:cs="Times New Roman"/>
              </w:rPr>
              <w:t xml:space="preserve">eliminated the public procurement procedures initiated by the publication of the Simplified Participation </w:t>
            </w:r>
            <w:r w:rsidR="0068717D">
              <w:rPr>
                <w:rFonts w:ascii="Trebuchet MS" w:hAnsi="Trebuchet MS" w:cs="Times New Roman"/>
              </w:rPr>
              <w:t>notices</w:t>
            </w:r>
            <w:r w:rsidRPr="008A4985">
              <w:rPr>
                <w:rFonts w:ascii="Trebuchet MS" w:hAnsi="Trebuchet MS" w:cs="Times New Roman"/>
              </w:rPr>
              <w:t xml:space="preserve">/ </w:t>
            </w:r>
            <w:r w:rsidR="0068717D">
              <w:rPr>
                <w:rFonts w:ascii="Trebuchet MS" w:hAnsi="Trebuchet MS" w:cs="Times New Roman"/>
              </w:rPr>
              <w:t>call for</w:t>
            </w:r>
            <w:r w:rsidRPr="008A4985">
              <w:rPr>
                <w:rFonts w:ascii="Trebuchet MS" w:hAnsi="Trebuchet MS" w:cs="Times New Roman"/>
              </w:rPr>
              <w:t xml:space="preserve"> </w:t>
            </w:r>
            <w:r w:rsidR="0068717D">
              <w:rPr>
                <w:rFonts w:ascii="Trebuchet MS" w:hAnsi="Trebuchet MS" w:cs="Times New Roman"/>
              </w:rPr>
              <w:t>offers because for these</w:t>
            </w:r>
            <w:r w:rsidRPr="008A4985">
              <w:rPr>
                <w:rFonts w:ascii="Trebuchet MS" w:hAnsi="Trebuchet MS" w:cs="Times New Roman"/>
              </w:rPr>
              <w:t xml:space="preserve"> </w:t>
            </w:r>
            <w:r w:rsidR="0068717D">
              <w:rPr>
                <w:rFonts w:ascii="Trebuchet MS" w:hAnsi="Trebuchet MS" w:cs="Times New Roman"/>
              </w:rPr>
              <w:t>kind</w:t>
            </w:r>
            <w:r w:rsidRPr="008A4985">
              <w:rPr>
                <w:rFonts w:ascii="Trebuchet MS" w:hAnsi="Trebuchet MS" w:cs="Times New Roman"/>
              </w:rPr>
              <w:t xml:space="preserve"> of procedures we have no data </w:t>
            </w:r>
            <w:r w:rsidR="0068717D">
              <w:rPr>
                <w:rFonts w:ascii="Trebuchet MS" w:hAnsi="Trebuchet MS" w:cs="Times New Roman"/>
              </w:rPr>
              <w:t>regarding</w:t>
            </w:r>
            <w:r w:rsidRPr="008A4985">
              <w:rPr>
                <w:rFonts w:ascii="Trebuchet MS" w:hAnsi="Trebuchet MS" w:cs="Times New Roman"/>
              </w:rPr>
              <w:t xml:space="preserve"> the number of submitted offers.</w:t>
            </w:r>
          </w:p>
          <w:p w:rsidR="008A4985" w:rsidRDefault="00774A6F" w:rsidP="008A4985">
            <w:pPr>
              <w:pStyle w:val="NoSpacing"/>
              <w:rPr>
                <w:rFonts w:ascii="Trebuchet MS" w:hAnsi="Trebuchet MS" w:cs="Times New Roman"/>
              </w:rPr>
            </w:pPr>
            <w:r>
              <w:rPr>
                <w:rFonts w:ascii="Trebuchet MS" w:hAnsi="Trebuchet MS" w:cs="Times New Roman"/>
              </w:rPr>
              <w:t xml:space="preserve">For </w:t>
            </w:r>
            <w:r w:rsidRPr="008A4985">
              <w:rPr>
                <w:rFonts w:ascii="Trebuchet MS" w:hAnsi="Trebuchet MS" w:cs="Times New Roman"/>
              </w:rPr>
              <w:t>10,271</w:t>
            </w:r>
            <w:r>
              <w:rPr>
                <w:rFonts w:ascii="Trebuchet MS" w:hAnsi="Trebuchet MS" w:cs="Times New Roman"/>
              </w:rPr>
              <w:t xml:space="preserve"> </w:t>
            </w:r>
            <w:r w:rsidR="008A4985" w:rsidRPr="008A4985">
              <w:rPr>
                <w:rFonts w:ascii="Trebuchet MS" w:hAnsi="Trebuchet MS" w:cs="Times New Roman"/>
              </w:rPr>
              <w:t>contracts awarded in 2017 the contracting authorities / entities received only one tender</w:t>
            </w:r>
            <w:r>
              <w:rPr>
                <w:rFonts w:ascii="Trebuchet MS" w:hAnsi="Trebuchet MS" w:cs="Times New Roman"/>
              </w:rPr>
              <w:t>.</w:t>
            </w:r>
          </w:p>
          <w:p w:rsidR="008A4985" w:rsidRPr="001E7D60" w:rsidRDefault="008A4985" w:rsidP="006E2B1C">
            <w:pPr>
              <w:pStyle w:val="NoSpacing"/>
              <w:rPr>
                <w:rFonts w:ascii="Trebuchet MS" w:hAnsi="Trebuchet MS" w:cs="Times New Roman"/>
              </w:rPr>
            </w:pPr>
          </w:p>
          <w:p w:rsidR="00C836C7" w:rsidRPr="00C46D0E" w:rsidRDefault="00C836C7" w:rsidP="00C836C7">
            <w:pPr>
              <w:jc w:val="both"/>
              <w:rPr>
                <w:rFonts w:ascii="Trebuchet MS" w:hAnsi="Trebuchet MS"/>
              </w:rPr>
            </w:pPr>
            <w:r w:rsidRPr="00C46D0E">
              <w:rPr>
                <w:rFonts w:ascii="Trebuchet MS" w:hAnsi="Trebuchet MS"/>
              </w:rPr>
              <w:t>NOTE:</w:t>
            </w:r>
          </w:p>
          <w:p w:rsidR="00C836C7" w:rsidRPr="00C46D0E" w:rsidRDefault="00C836C7" w:rsidP="00C836C7">
            <w:pPr>
              <w:jc w:val="both"/>
              <w:rPr>
                <w:rFonts w:ascii="Trebuchet MS" w:hAnsi="Trebuchet MS"/>
              </w:rPr>
            </w:pPr>
            <w:r w:rsidRPr="00C46D0E">
              <w:rPr>
                <w:rFonts w:ascii="Trebuchet MS" w:hAnsi="Trebuchet MS"/>
              </w:rPr>
              <w:t xml:space="preserve">The total number of contracts awarded in 2017 is related to public procurement procedures by </w:t>
            </w:r>
            <w:r w:rsidR="00774A6F">
              <w:rPr>
                <w:rFonts w:ascii="Trebuchet MS" w:hAnsi="Trebuchet MS"/>
              </w:rPr>
              <w:t xml:space="preserve">initiated by </w:t>
            </w:r>
            <w:r w:rsidRPr="00C46D0E">
              <w:rPr>
                <w:rFonts w:ascii="Trebuchet MS" w:hAnsi="Trebuchet MS"/>
              </w:rPr>
              <w:t xml:space="preserve">contracting authorities / entities by publication </w:t>
            </w:r>
            <w:r w:rsidR="00774A6F">
              <w:rPr>
                <w:rFonts w:ascii="Trebuchet MS" w:hAnsi="Trebuchet MS"/>
              </w:rPr>
              <w:t xml:space="preserve">of </w:t>
            </w:r>
            <w:r w:rsidRPr="00C46D0E">
              <w:rPr>
                <w:rFonts w:ascii="Trebuchet MS" w:hAnsi="Trebuchet MS"/>
              </w:rPr>
              <w:t>AP / APS-IP in SEAP in 2017;</w:t>
            </w:r>
          </w:p>
          <w:p w:rsidR="00C46D0E" w:rsidRDefault="00C46D0E" w:rsidP="00C46D0E">
            <w:pPr>
              <w:jc w:val="both"/>
              <w:rPr>
                <w:rFonts w:ascii="Trebuchet MS" w:hAnsi="Trebuchet MS"/>
              </w:rPr>
            </w:pPr>
            <w:r w:rsidRPr="00C46D0E">
              <w:rPr>
                <w:rFonts w:ascii="Trebuchet MS" w:hAnsi="Trebuchet MS"/>
              </w:rPr>
              <w:t xml:space="preserve">The situation regarding the number of contracts awarded in 2017 </w:t>
            </w:r>
            <w:r w:rsidR="00774A6F">
              <w:rPr>
                <w:rFonts w:ascii="Trebuchet MS" w:hAnsi="Trebuchet MS"/>
              </w:rPr>
              <w:t xml:space="preserve">has been </w:t>
            </w:r>
            <w:r w:rsidRPr="00C46D0E">
              <w:rPr>
                <w:rFonts w:ascii="Trebuchet MS" w:hAnsi="Trebuchet MS"/>
              </w:rPr>
              <w:t xml:space="preserve">made available to our institution by the SEAP operator, based on the award </w:t>
            </w:r>
            <w:r w:rsidR="00774A6F">
              <w:rPr>
                <w:rFonts w:ascii="Trebuchet MS" w:hAnsi="Trebuchet MS"/>
              </w:rPr>
              <w:t xml:space="preserve">contract </w:t>
            </w:r>
            <w:r w:rsidRPr="00C46D0E">
              <w:rPr>
                <w:rFonts w:ascii="Trebuchet MS" w:hAnsi="Trebuchet MS"/>
              </w:rPr>
              <w:t xml:space="preserve">notices published in the system </w:t>
            </w:r>
            <w:r w:rsidR="00774A6F">
              <w:rPr>
                <w:rFonts w:ascii="Trebuchet MS" w:hAnsi="Trebuchet MS"/>
              </w:rPr>
              <w:t>until 28</w:t>
            </w:r>
            <w:r w:rsidR="00774A6F" w:rsidRPr="00774A6F">
              <w:rPr>
                <w:rFonts w:ascii="Trebuchet MS" w:hAnsi="Trebuchet MS"/>
                <w:vertAlign w:val="superscript"/>
              </w:rPr>
              <w:t>th</w:t>
            </w:r>
            <w:r w:rsidR="00774A6F">
              <w:rPr>
                <w:rFonts w:ascii="Trebuchet MS" w:hAnsi="Trebuchet MS"/>
              </w:rPr>
              <w:t xml:space="preserve"> of</w:t>
            </w:r>
            <w:r w:rsidRPr="00C46D0E">
              <w:rPr>
                <w:rFonts w:ascii="Trebuchet MS" w:hAnsi="Trebuchet MS"/>
              </w:rPr>
              <w:t xml:space="preserve"> February 2018.</w:t>
            </w:r>
          </w:p>
          <w:p w:rsidR="00151988" w:rsidRPr="008A4985" w:rsidRDefault="00151988" w:rsidP="00151988">
            <w:pPr>
              <w:pStyle w:val="NoSpacing"/>
              <w:rPr>
                <w:rFonts w:ascii="Trebuchet MS" w:hAnsi="Trebuchet MS" w:cs="Times New Roman"/>
              </w:rPr>
            </w:pPr>
            <w:r w:rsidRPr="008A4985">
              <w:rPr>
                <w:rFonts w:ascii="Trebuchet MS" w:hAnsi="Trebuchet MS" w:cs="Times New Roman"/>
              </w:rPr>
              <w:t xml:space="preserve">We mention that </w:t>
            </w:r>
            <w:r w:rsidR="00B53B2D">
              <w:rPr>
                <w:rFonts w:ascii="Trebuchet MS" w:hAnsi="Trebuchet MS" w:cs="Times New Roman"/>
              </w:rPr>
              <w:t xml:space="preserve">for </w:t>
            </w:r>
            <w:r w:rsidRPr="008A4985">
              <w:rPr>
                <w:rFonts w:ascii="Trebuchet MS" w:hAnsi="Trebuchet MS" w:cs="Times New Roman"/>
              </w:rPr>
              <w:t>c</w:t>
            </w:r>
            <w:r w:rsidR="00B53B2D">
              <w:rPr>
                <w:rFonts w:ascii="Trebuchet MS" w:hAnsi="Trebuchet MS" w:cs="Times New Roman"/>
              </w:rPr>
              <w:t>alculating</w:t>
            </w:r>
            <w:r>
              <w:rPr>
                <w:rFonts w:ascii="Trebuchet MS" w:hAnsi="Trebuchet MS" w:cs="Times New Roman"/>
              </w:rPr>
              <w:t xml:space="preserve"> </w:t>
            </w:r>
            <w:r w:rsidR="00B53B2D">
              <w:rPr>
                <w:rFonts w:ascii="Trebuchet MS" w:hAnsi="Trebuchet MS" w:cs="Times New Roman"/>
              </w:rPr>
              <w:t>the number of</w:t>
            </w:r>
            <w:r>
              <w:rPr>
                <w:rFonts w:ascii="Trebuchet MS" w:hAnsi="Trebuchet MS" w:cs="Times New Roman"/>
              </w:rPr>
              <w:t xml:space="preserve"> </w:t>
            </w:r>
            <w:r w:rsidR="00B53B2D">
              <w:rPr>
                <w:rFonts w:ascii="Trebuchet MS" w:hAnsi="Trebuchet MS" w:cs="Times New Roman"/>
              </w:rPr>
              <w:t xml:space="preserve">the awarded contracts for which it was received </w:t>
            </w:r>
            <w:r w:rsidR="00B53B2D" w:rsidRPr="00B53B2D">
              <w:rPr>
                <w:rFonts w:ascii="Trebuchet MS" w:hAnsi="Trebuchet MS" w:cs="Times New Roman"/>
              </w:rPr>
              <w:t>a single bid</w:t>
            </w:r>
            <w:r w:rsidR="00B53B2D">
              <w:rPr>
                <w:rFonts w:ascii="Trebuchet MS" w:hAnsi="Trebuchet MS" w:cs="Times New Roman"/>
              </w:rPr>
              <w:t xml:space="preserve">, there have been eliminated the simplified procedures initiated </w:t>
            </w:r>
            <w:r w:rsidRPr="008A4985">
              <w:rPr>
                <w:rFonts w:ascii="Trebuchet MS" w:hAnsi="Trebuchet MS" w:cs="Times New Roman"/>
              </w:rPr>
              <w:t xml:space="preserve">by  publication of </w:t>
            </w:r>
            <w:r>
              <w:rPr>
                <w:rFonts w:ascii="Trebuchet MS" w:hAnsi="Trebuchet MS" w:cs="Times New Roman"/>
              </w:rPr>
              <w:t xml:space="preserve">an </w:t>
            </w:r>
            <w:r w:rsidR="00B53B2D">
              <w:rPr>
                <w:rFonts w:ascii="Trebuchet MS" w:hAnsi="Trebuchet MS" w:cs="Times New Roman"/>
              </w:rPr>
              <w:t>invitation,</w:t>
            </w:r>
            <w:r>
              <w:rPr>
                <w:rFonts w:ascii="Trebuchet MS" w:hAnsi="Trebuchet MS" w:cs="Times New Roman"/>
              </w:rPr>
              <w:t xml:space="preserve"> because for this</w:t>
            </w:r>
            <w:r w:rsidRPr="008A4985">
              <w:rPr>
                <w:rFonts w:ascii="Trebuchet MS" w:hAnsi="Trebuchet MS" w:cs="Times New Roman"/>
              </w:rPr>
              <w:t xml:space="preserve"> </w:t>
            </w:r>
            <w:r>
              <w:rPr>
                <w:rFonts w:ascii="Trebuchet MS" w:hAnsi="Trebuchet MS" w:cs="Times New Roman"/>
              </w:rPr>
              <w:t>kind of procedure</w:t>
            </w:r>
            <w:r w:rsidRPr="008A4985">
              <w:rPr>
                <w:rFonts w:ascii="Trebuchet MS" w:hAnsi="Trebuchet MS" w:cs="Times New Roman"/>
              </w:rPr>
              <w:t xml:space="preserve"> we have no data </w:t>
            </w:r>
            <w:r>
              <w:rPr>
                <w:rFonts w:ascii="Trebuchet MS" w:hAnsi="Trebuchet MS" w:cs="Times New Roman"/>
              </w:rPr>
              <w:t>regarding</w:t>
            </w:r>
            <w:r w:rsidRPr="008A4985">
              <w:rPr>
                <w:rFonts w:ascii="Trebuchet MS" w:hAnsi="Trebuchet MS" w:cs="Times New Roman"/>
              </w:rPr>
              <w:t xml:space="preserve"> the number of submitted offers.</w:t>
            </w:r>
          </w:p>
          <w:p w:rsidR="004D5908" w:rsidRPr="004D5908" w:rsidRDefault="004D5908" w:rsidP="004D5908">
            <w:pPr>
              <w:jc w:val="both"/>
              <w:rPr>
                <w:rFonts w:ascii="Trebuchet MS" w:hAnsi="Trebuchet MS"/>
              </w:rPr>
            </w:pPr>
            <w:r w:rsidRPr="004D5908">
              <w:rPr>
                <w:rFonts w:ascii="Trebuchet MS" w:hAnsi="Trebuchet MS"/>
              </w:rPr>
              <w:t xml:space="preserve">The data were taken from the Electronic Public Procurement System (SEAP), as there were published by the contracting authorities / entities; </w:t>
            </w:r>
          </w:p>
          <w:p w:rsidR="004D5908" w:rsidRPr="004D5908" w:rsidRDefault="004D5908" w:rsidP="004D5908">
            <w:pPr>
              <w:jc w:val="both"/>
              <w:rPr>
                <w:rFonts w:ascii="Trebuchet MS" w:hAnsi="Trebuchet MS"/>
              </w:rPr>
            </w:pPr>
            <w:r w:rsidRPr="004D5908">
              <w:rPr>
                <w:rFonts w:ascii="Trebuchet MS" w:hAnsi="Trebuchet MS"/>
              </w:rPr>
              <w:t xml:space="preserve"> The information has been made available to our institution by the Agency for the Digital Agenda of Romania – the </w:t>
            </w:r>
            <w:r w:rsidRPr="004D5908">
              <w:rPr>
                <w:rFonts w:ascii="Trebuchet MS" w:hAnsi="Trebuchet MS"/>
              </w:rPr>
              <w:lastRenderedPageBreak/>
              <w:t>operator of SEAP.</w:t>
            </w:r>
          </w:p>
          <w:p w:rsidR="004D5908" w:rsidRPr="004D5908" w:rsidRDefault="004D5908" w:rsidP="004D5908">
            <w:pPr>
              <w:jc w:val="both"/>
              <w:rPr>
                <w:rFonts w:ascii="Trebuchet MS" w:hAnsi="Trebuchet MS"/>
              </w:rPr>
            </w:pPr>
            <w:r w:rsidRPr="004D5908">
              <w:rPr>
                <w:rFonts w:ascii="Trebuchet MS" w:hAnsi="Trebuchet MS"/>
              </w:rPr>
              <w:t>The accuracy of the data may be affected by the material errors araised at filling in / publishing of information by contracting authorities/entities in SEAP.</w:t>
            </w:r>
          </w:p>
          <w:p w:rsidR="00C836C7" w:rsidRPr="004D5908" w:rsidRDefault="00C46D0E" w:rsidP="00C836C7">
            <w:pPr>
              <w:jc w:val="both"/>
              <w:rPr>
                <w:rFonts w:ascii="Trebuchet MS" w:hAnsi="Trebuchet MS"/>
              </w:rPr>
            </w:pPr>
            <w:r w:rsidRPr="004D5908">
              <w:rPr>
                <w:rFonts w:ascii="Trebuchet MS" w:hAnsi="Trebuchet MS"/>
              </w:rPr>
              <w:t xml:space="preserve">The indicator was NOT calculated </w:t>
            </w:r>
            <w:r w:rsidR="004D5908" w:rsidRPr="004D5908">
              <w:rPr>
                <w:rFonts w:ascii="Trebuchet MS" w:hAnsi="Trebuchet MS"/>
              </w:rPr>
              <w:t xml:space="preserve">for each </w:t>
            </w:r>
            <w:r w:rsidRPr="004D5908">
              <w:rPr>
                <w:rFonts w:ascii="Trebuchet MS" w:hAnsi="Trebuchet MS"/>
              </w:rPr>
              <w:t>contracting authority.</w:t>
            </w:r>
          </w:p>
          <w:p w:rsidR="004D5908" w:rsidRPr="00B01372" w:rsidRDefault="004D5908" w:rsidP="004D5908">
            <w:pPr>
              <w:jc w:val="both"/>
            </w:pPr>
          </w:p>
        </w:tc>
      </w:tr>
      <w:tr w:rsidR="00D50216" w:rsidRPr="00B01372" w:rsidTr="00A47B20">
        <w:tc>
          <w:tcPr>
            <w:tcW w:w="1648" w:type="pct"/>
          </w:tcPr>
          <w:p w:rsidR="00D50216" w:rsidRPr="00B01372" w:rsidRDefault="007C1F4F" w:rsidP="003236CE">
            <w:pPr>
              <w:pStyle w:val="Heading3"/>
              <w:outlineLvl w:val="2"/>
              <w:rPr>
                <w:b w:val="0"/>
              </w:rPr>
            </w:pPr>
            <w:r w:rsidRPr="00B01372">
              <w:rPr>
                <w:b w:val="0"/>
              </w:rPr>
              <w:lastRenderedPageBreak/>
              <w:t>Statistical distribution of buyers by frequency of using a negotiated procedure without the prior publication of a call of competition</w:t>
            </w:r>
          </w:p>
        </w:tc>
        <w:tc>
          <w:tcPr>
            <w:tcW w:w="3352" w:type="pct"/>
          </w:tcPr>
          <w:p w:rsidR="00340DCF" w:rsidRPr="00340DCF" w:rsidRDefault="00340DCF" w:rsidP="005329C9">
            <w:pPr>
              <w:jc w:val="both"/>
              <w:rPr>
                <w:strike/>
              </w:rPr>
            </w:pPr>
          </w:p>
          <w:p w:rsidR="001A2700" w:rsidRDefault="00DE5C0C" w:rsidP="000B7209">
            <w:pPr>
              <w:pStyle w:val="NoSpacing"/>
              <w:rPr>
                <w:rFonts w:ascii="Trebuchet MS" w:hAnsi="Trebuchet MS" w:cs="Times New Roman"/>
              </w:rPr>
            </w:pPr>
            <w:r>
              <w:rPr>
                <w:rFonts w:ascii="Trebuchet MS" w:hAnsi="Trebuchet MS" w:cs="Times New Roman"/>
              </w:rPr>
              <w:t xml:space="preserve">A number of </w:t>
            </w:r>
            <w:r w:rsidRPr="00DE5C0C">
              <w:rPr>
                <w:rFonts w:ascii="Trebuchet MS" w:hAnsi="Trebuchet MS" w:cs="Times New Roman"/>
              </w:rPr>
              <w:t xml:space="preserve">28,165 procurement procedures </w:t>
            </w:r>
            <w:r>
              <w:rPr>
                <w:rFonts w:ascii="Trebuchet MS" w:hAnsi="Trebuchet MS" w:cs="Times New Roman"/>
              </w:rPr>
              <w:t>had been initiated by the contracting authorities/entities i</w:t>
            </w:r>
            <w:r w:rsidRPr="000B7209">
              <w:rPr>
                <w:rFonts w:ascii="Trebuchet MS" w:hAnsi="Trebuchet MS" w:cs="Times New Roman"/>
              </w:rPr>
              <w:t>n 2017</w:t>
            </w:r>
            <w:r>
              <w:rPr>
                <w:rFonts w:ascii="Trebuchet MS" w:hAnsi="Trebuchet MS" w:cs="Times New Roman"/>
              </w:rPr>
              <w:t>,</w:t>
            </w:r>
            <w:r w:rsidRPr="000B7209">
              <w:rPr>
                <w:rFonts w:ascii="Trebuchet MS" w:hAnsi="Trebuchet MS" w:cs="Times New Roman"/>
              </w:rPr>
              <w:t xml:space="preserve"> </w:t>
            </w:r>
            <w:r>
              <w:rPr>
                <w:rFonts w:ascii="Trebuchet MS" w:hAnsi="Trebuchet MS" w:cs="Times New Roman"/>
              </w:rPr>
              <w:t>by</w:t>
            </w:r>
            <w:r w:rsidR="000B7209" w:rsidRPr="000B7209">
              <w:rPr>
                <w:rFonts w:ascii="Trebuchet MS" w:hAnsi="Trebuchet MS" w:cs="Times New Roman"/>
              </w:rPr>
              <w:t xml:space="preserve"> publication of the AP / APS-IP in SEAP and a number of 3,335 </w:t>
            </w:r>
            <w:r>
              <w:rPr>
                <w:rFonts w:ascii="Trebuchet MS" w:hAnsi="Trebuchet MS" w:cs="Times New Roman"/>
              </w:rPr>
              <w:t xml:space="preserve">awarding contract notices have been published for </w:t>
            </w:r>
            <w:r w:rsidR="000B7209" w:rsidRPr="000B7209">
              <w:rPr>
                <w:rFonts w:ascii="Trebuchet MS" w:hAnsi="Trebuchet MS" w:cs="Times New Roman"/>
              </w:rPr>
              <w:t>Negotiations without prior publication.</w:t>
            </w:r>
          </w:p>
          <w:p w:rsidR="000B7209" w:rsidRPr="000B7209" w:rsidRDefault="00DE5C0C" w:rsidP="000B7209">
            <w:pPr>
              <w:pStyle w:val="NoSpacing"/>
              <w:rPr>
                <w:rFonts w:ascii="Trebuchet MS" w:hAnsi="Trebuchet MS" w:cs="Times New Roman"/>
              </w:rPr>
            </w:pPr>
            <w:r>
              <w:rPr>
                <w:rFonts w:ascii="Trebuchet MS" w:hAnsi="Trebuchet MS" w:cs="Times New Roman"/>
              </w:rPr>
              <w:t xml:space="preserve">From </w:t>
            </w:r>
            <w:r w:rsidR="000B7209" w:rsidRPr="000B7209">
              <w:rPr>
                <w:rFonts w:ascii="Trebuchet MS" w:hAnsi="Trebuchet MS" w:cs="Times New Roman"/>
              </w:rPr>
              <w:t xml:space="preserve">the </w:t>
            </w:r>
            <w:r w:rsidR="001B6321">
              <w:rPr>
                <w:rFonts w:ascii="Trebuchet MS" w:hAnsi="Trebuchet MS" w:cs="Times New Roman"/>
              </w:rPr>
              <w:t xml:space="preserve">total number of </w:t>
            </w:r>
            <w:r w:rsidR="000B7209" w:rsidRPr="000B7209">
              <w:rPr>
                <w:rFonts w:ascii="Trebuchet MS" w:hAnsi="Trebuchet MS" w:cs="Times New Roman"/>
              </w:rPr>
              <w:t xml:space="preserve">28,165 procedures initiated in 2017, a </w:t>
            </w:r>
            <w:r>
              <w:rPr>
                <w:rFonts w:ascii="Trebuchet MS" w:hAnsi="Trebuchet MS" w:cs="Times New Roman"/>
              </w:rPr>
              <w:t xml:space="preserve">number </w:t>
            </w:r>
            <w:r w:rsidR="000B7209" w:rsidRPr="000B7209">
              <w:rPr>
                <w:rFonts w:ascii="Trebuchet MS" w:hAnsi="Trebuchet MS" w:cs="Times New Roman"/>
              </w:rPr>
              <w:t xml:space="preserve">of 16,956 </w:t>
            </w:r>
            <w:r w:rsidR="001B6321">
              <w:rPr>
                <w:rFonts w:ascii="Trebuchet MS" w:hAnsi="Trebuchet MS" w:cs="Times New Roman"/>
              </w:rPr>
              <w:t xml:space="preserve">procedures </w:t>
            </w:r>
            <w:r>
              <w:rPr>
                <w:rFonts w:ascii="Trebuchet MS" w:hAnsi="Trebuchet MS" w:cs="Times New Roman"/>
              </w:rPr>
              <w:t>have been</w:t>
            </w:r>
            <w:r w:rsidRPr="000B7209">
              <w:rPr>
                <w:rFonts w:ascii="Trebuchet MS" w:hAnsi="Trebuchet MS" w:cs="Times New Roman"/>
              </w:rPr>
              <w:t xml:space="preserve"> </w:t>
            </w:r>
            <w:r w:rsidR="001B6321">
              <w:rPr>
                <w:rFonts w:ascii="Trebuchet MS" w:hAnsi="Trebuchet MS" w:cs="Times New Roman"/>
              </w:rPr>
              <w:t xml:space="preserve">finalized by </w:t>
            </w:r>
            <w:r w:rsidR="000B7209" w:rsidRPr="000B7209">
              <w:rPr>
                <w:rFonts w:ascii="Trebuchet MS" w:hAnsi="Trebuchet MS" w:cs="Times New Roman"/>
              </w:rPr>
              <w:t>award</w:t>
            </w:r>
            <w:r w:rsidR="001B6321">
              <w:rPr>
                <w:rFonts w:ascii="Trebuchet MS" w:hAnsi="Trebuchet MS" w:cs="Times New Roman"/>
              </w:rPr>
              <w:t>ing contracts</w:t>
            </w:r>
            <w:r w:rsidR="000B7209" w:rsidRPr="000B7209">
              <w:rPr>
                <w:rFonts w:ascii="Trebuchet MS" w:hAnsi="Trebuchet MS" w:cs="Times New Roman"/>
              </w:rPr>
              <w:t xml:space="preserve"> in the same year.</w:t>
            </w:r>
          </w:p>
          <w:p w:rsidR="000B7209" w:rsidRDefault="001B6321" w:rsidP="000B7209">
            <w:pPr>
              <w:pStyle w:val="NoSpacing"/>
              <w:rPr>
                <w:rFonts w:ascii="Trebuchet MS" w:hAnsi="Trebuchet MS" w:cs="Times New Roman"/>
              </w:rPr>
            </w:pPr>
            <w:r>
              <w:rPr>
                <w:rFonts w:ascii="Trebuchet MS" w:hAnsi="Trebuchet MS" w:cs="Times New Roman"/>
              </w:rPr>
              <w:t>From</w:t>
            </w:r>
            <w:r w:rsidR="000B7209" w:rsidRPr="000B7209">
              <w:rPr>
                <w:rFonts w:ascii="Trebuchet MS" w:hAnsi="Trebuchet MS" w:cs="Times New Roman"/>
              </w:rPr>
              <w:t xml:space="preserve"> the total number of procedures awarded in 2017 (16,956 + 3335), NFPP represents 16.44%.</w:t>
            </w:r>
          </w:p>
          <w:p w:rsidR="000B7209" w:rsidRDefault="000B7209" w:rsidP="00340DCF">
            <w:pPr>
              <w:pStyle w:val="NoSpacing"/>
              <w:rPr>
                <w:rFonts w:ascii="Trebuchet MS" w:hAnsi="Trebuchet MS" w:cs="Times New Roman"/>
              </w:rPr>
            </w:pPr>
          </w:p>
          <w:p w:rsidR="00340DCF" w:rsidRDefault="00340DCF" w:rsidP="005329C9">
            <w:pPr>
              <w:jc w:val="both"/>
            </w:pPr>
          </w:p>
          <w:p w:rsidR="00E624F2" w:rsidRDefault="00E624F2" w:rsidP="00E624F2">
            <w:pPr>
              <w:jc w:val="both"/>
              <w:rPr>
                <w:rFonts w:ascii="Trebuchet MS" w:hAnsi="Trebuchet MS"/>
              </w:rPr>
            </w:pPr>
            <w:r w:rsidRPr="00E624F2">
              <w:rPr>
                <w:rFonts w:ascii="Trebuchet MS" w:hAnsi="Trebuchet MS"/>
              </w:rPr>
              <w:t>NOTE:</w:t>
            </w:r>
          </w:p>
          <w:p w:rsidR="001B6321" w:rsidRDefault="001B6321" w:rsidP="00E624F2">
            <w:pPr>
              <w:jc w:val="both"/>
              <w:rPr>
                <w:rFonts w:ascii="Trebuchet MS" w:hAnsi="Trebuchet MS"/>
              </w:rPr>
            </w:pPr>
          </w:p>
          <w:p w:rsidR="001B6321" w:rsidRDefault="001B6321" w:rsidP="001B6321">
            <w:pPr>
              <w:jc w:val="both"/>
              <w:rPr>
                <w:rFonts w:ascii="Trebuchet MS" w:hAnsi="Trebuchet MS"/>
              </w:rPr>
            </w:pPr>
            <w:r w:rsidRPr="00C46D0E">
              <w:rPr>
                <w:rFonts w:ascii="Trebuchet MS" w:hAnsi="Trebuchet MS"/>
              </w:rPr>
              <w:t xml:space="preserve">The situation regarding the number of contracts awarded in 2017 </w:t>
            </w:r>
            <w:r>
              <w:rPr>
                <w:rFonts w:ascii="Trebuchet MS" w:hAnsi="Trebuchet MS"/>
              </w:rPr>
              <w:t xml:space="preserve">has been </w:t>
            </w:r>
            <w:r w:rsidRPr="00C46D0E">
              <w:rPr>
                <w:rFonts w:ascii="Trebuchet MS" w:hAnsi="Trebuchet MS"/>
              </w:rPr>
              <w:t xml:space="preserve">made available to our institution by the SEAP operator, based on the award </w:t>
            </w:r>
            <w:r>
              <w:rPr>
                <w:rFonts w:ascii="Trebuchet MS" w:hAnsi="Trebuchet MS"/>
              </w:rPr>
              <w:t xml:space="preserve">contract </w:t>
            </w:r>
            <w:r w:rsidRPr="00C46D0E">
              <w:rPr>
                <w:rFonts w:ascii="Trebuchet MS" w:hAnsi="Trebuchet MS"/>
              </w:rPr>
              <w:t xml:space="preserve">notices published in the system </w:t>
            </w:r>
            <w:r>
              <w:rPr>
                <w:rFonts w:ascii="Trebuchet MS" w:hAnsi="Trebuchet MS"/>
              </w:rPr>
              <w:t>until 28</w:t>
            </w:r>
            <w:r w:rsidRPr="00774A6F">
              <w:rPr>
                <w:rFonts w:ascii="Trebuchet MS" w:hAnsi="Trebuchet MS"/>
                <w:vertAlign w:val="superscript"/>
              </w:rPr>
              <w:t>th</w:t>
            </w:r>
            <w:r>
              <w:rPr>
                <w:rFonts w:ascii="Trebuchet MS" w:hAnsi="Trebuchet MS"/>
              </w:rPr>
              <w:t xml:space="preserve"> of</w:t>
            </w:r>
            <w:r w:rsidRPr="00C46D0E">
              <w:rPr>
                <w:rFonts w:ascii="Trebuchet MS" w:hAnsi="Trebuchet MS"/>
              </w:rPr>
              <w:t xml:space="preserve"> February 2018.</w:t>
            </w:r>
          </w:p>
          <w:p w:rsidR="001B6321" w:rsidRPr="004D5908" w:rsidRDefault="001B6321" w:rsidP="001B6321">
            <w:pPr>
              <w:jc w:val="both"/>
              <w:rPr>
                <w:rFonts w:ascii="Trebuchet MS" w:hAnsi="Trebuchet MS"/>
              </w:rPr>
            </w:pPr>
            <w:r w:rsidRPr="004D5908">
              <w:rPr>
                <w:rFonts w:ascii="Trebuchet MS" w:hAnsi="Trebuchet MS"/>
              </w:rPr>
              <w:t xml:space="preserve">The data were taken from the Electronic Public Procurement System (SEAP), as there were published by the contracting authorities / entities; </w:t>
            </w:r>
          </w:p>
          <w:p w:rsidR="001B6321" w:rsidRPr="004D5908" w:rsidRDefault="001B6321" w:rsidP="001B6321">
            <w:pPr>
              <w:jc w:val="both"/>
              <w:rPr>
                <w:rFonts w:ascii="Trebuchet MS" w:hAnsi="Trebuchet MS"/>
              </w:rPr>
            </w:pPr>
            <w:r w:rsidRPr="004D5908">
              <w:rPr>
                <w:rFonts w:ascii="Trebuchet MS" w:hAnsi="Trebuchet MS"/>
              </w:rPr>
              <w:t xml:space="preserve"> The information has been made available to our institution by the Agency for the Digital Agenda of Romania – the operator of SEAP.</w:t>
            </w:r>
          </w:p>
          <w:p w:rsidR="001B6321" w:rsidRDefault="001B6321" w:rsidP="001B6321">
            <w:pPr>
              <w:jc w:val="both"/>
              <w:rPr>
                <w:rFonts w:ascii="Trebuchet MS" w:hAnsi="Trebuchet MS"/>
              </w:rPr>
            </w:pPr>
            <w:r w:rsidRPr="004D5908">
              <w:rPr>
                <w:rFonts w:ascii="Trebuchet MS" w:hAnsi="Trebuchet MS"/>
              </w:rPr>
              <w:t>The accuracy of the data may be affected by the material errors araised at filling in / publishing of information by contracting authorities/entities in SEA</w:t>
            </w:r>
          </w:p>
          <w:p w:rsidR="001B6321" w:rsidRPr="00E624F2" w:rsidRDefault="001B6321" w:rsidP="00E624F2">
            <w:pPr>
              <w:jc w:val="both"/>
              <w:rPr>
                <w:rFonts w:ascii="Trebuchet MS" w:hAnsi="Trebuchet MS"/>
              </w:rPr>
            </w:pPr>
          </w:p>
          <w:p w:rsidR="00340DCF" w:rsidRPr="00E624F2" w:rsidRDefault="00E624F2" w:rsidP="00E624F2">
            <w:pPr>
              <w:jc w:val="both"/>
              <w:rPr>
                <w:rFonts w:ascii="Trebuchet MS" w:hAnsi="Trebuchet MS"/>
              </w:rPr>
            </w:pPr>
            <w:r w:rsidRPr="00E624F2">
              <w:rPr>
                <w:rFonts w:ascii="Trebuchet MS" w:hAnsi="Trebuchet MS"/>
              </w:rPr>
              <w:t>The indicator was calculated at the level of the national public procurement s</w:t>
            </w:r>
            <w:r>
              <w:rPr>
                <w:rFonts w:ascii="Trebuchet MS" w:hAnsi="Trebuchet MS"/>
              </w:rPr>
              <w:t xml:space="preserve">ystem. </w:t>
            </w:r>
          </w:p>
          <w:p w:rsidR="00340DCF" w:rsidRPr="00B01372" w:rsidRDefault="00340DCF" w:rsidP="005329C9">
            <w:pPr>
              <w:jc w:val="both"/>
            </w:pPr>
          </w:p>
        </w:tc>
      </w:tr>
      <w:tr w:rsidR="00D50216" w:rsidRPr="00B01372" w:rsidTr="00A47B20">
        <w:tc>
          <w:tcPr>
            <w:tcW w:w="1648" w:type="pct"/>
          </w:tcPr>
          <w:p w:rsidR="00D50216" w:rsidRPr="00B01372" w:rsidRDefault="00517206" w:rsidP="00253552">
            <w:pPr>
              <w:pStyle w:val="Heading3"/>
              <w:outlineLvl w:val="2"/>
              <w:rPr>
                <w:b w:val="0"/>
              </w:rPr>
            </w:pPr>
            <w:r w:rsidRPr="00B01372">
              <w:rPr>
                <w:b w:val="0"/>
              </w:rPr>
              <w:t>Quantitative assessment of collusion risks</w:t>
            </w:r>
          </w:p>
        </w:tc>
        <w:tc>
          <w:tcPr>
            <w:tcW w:w="3352" w:type="pct"/>
          </w:tcPr>
          <w:p w:rsidR="00340DCF" w:rsidRDefault="00D14A4A" w:rsidP="009804B7">
            <w:pPr>
              <w:jc w:val="both"/>
              <w:rPr>
                <w:rFonts w:ascii="Trebuchet MS" w:hAnsi="Trebuchet MS"/>
                <w:color w:val="0000FF" w:themeColor="hyperlink"/>
                <w:u w:val="single"/>
              </w:rPr>
            </w:pPr>
            <w:r w:rsidRPr="00A34AA2">
              <w:rPr>
                <w:rFonts w:ascii="Trebuchet MS" w:hAnsi="Trebuchet MS"/>
              </w:rPr>
              <w:t>Information on this section is available at</w:t>
            </w:r>
            <w:r w:rsidRPr="00D14A4A">
              <w:rPr>
                <w:rFonts w:ascii="Trebuchet MS" w:hAnsi="Trebuchet MS"/>
                <w:color w:val="0000FF" w:themeColor="hyperlink"/>
                <w:u w:val="single"/>
              </w:rPr>
              <w:t>:</w:t>
            </w:r>
            <w:r w:rsidR="00B51CF1">
              <w:rPr>
                <w:rFonts w:ascii="Trebuchet MS" w:hAnsi="Trebuchet MS"/>
                <w:color w:val="0000FF" w:themeColor="hyperlink"/>
                <w:u w:val="single"/>
              </w:rPr>
              <w:t xml:space="preserve"> </w:t>
            </w:r>
            <w:hyperlink r:id="rId24" w:history="1">
              <w:r w:rsidR="00B51CF1" w:rsidRPr="00E24A02">
                <w:rPr>
                  <w:rStyle w:val="Hyperlink"/>
                </w:rPr>
                <w:t>http://www.consiliulconcurentei.ro/ro/publicatii/rapoarte-anuale.html</w:t>
              </w:r>
            </w:hyperlink>
          </w:p>
          <w:p w:rsidR="00D14A4A" w:rsidRDefault="00D14A4A" w:rsidP="009804B7">
            <w:pPr>
              <w:jc w:val="both"/>
              <w:rPr>
                <w:rFonts w:ascii="Trebuchet MS" w:hAnsi="Trebuchet MS"/>
                <w:color w:val="0000FF" w:themeColor="hyperlink"/>
                <w:u w:val="single"/>
              </w:rPr>
            </w:pPr>
          </w:p>
          <w:p w:rsidR="00D14A4A" w:rsidRPr="00D14A4A" w:rsidRDefault="00D14A4A" w:rsidP="009804B7">
            <w:pPr>
              <w:jc w:val="both"/>
              <w:rPr>
                <w:rFonts w:ascii="Trebuchet MS" w:hAnsi="Trebuchet MS"/>
                <w:color w:val="0000FF" w:themeColor="hyperlink"/>
                <w:u w:val="single"/>
              </w:rPr>
            </w:pPr>
          </w:p>
        </w:tc>
      </w:tr>
      <w:tr w:rsidR="00BD57A1" w:rsidRPr="00B01372" w:rsidTr="00A47B20">
        <w:tc>
          <w:tcPr>
            <w:tcW w:w="1648" w:type="pct"/>
          </w:tcPr>
          <w:p w:rsidR="009114CB" w:rsidRPr="00B01372" w:rsidRDefault="009114CB" w:rsidP="009114CB">
            <w:r w:rsidRPr="00B01372">
              <w:t xml:space="preserve">Risk of undiscovered conflict of interest </w:t>
            </w:r>
          </w:p>
          <w:p w:rsidR="009114CB" w:rsidRPr="00B01372" w:rsidRDefault="009114CB" w:rsidP="009114CB"/>
          <w:p w:rsidR="00BD57A1" w:rsidRPr="00B01372" w:rsidRDefault="00BD57A1" w:rsidP="006373E7"/>
        </w:tc>
        <w:tc>
          <w:tcPr>
            <w:tcW w:w="3352" w:type="pct"/>
          </w:tcPr>
          <w:p w:rsidR="00C1798A" w:rsidRPr="00C1798A" w:rsidRDefault="00C1798A" w:rsidP="003675EB">
            <w:pPr>
              <w:jc w:val="both"/>
              <w:rPr>
                <w:strike/>
              </w:rPr>
            </w:pPr>
          </w:p>
          <w:p w:rsidR="00B51CF1" w:rsidRPr="00C836C7" w:rsidRDefault="005650C4" w:rsidP="00B51CF1">
            <w:pPr>
              <w:jc w:val="both"/>
              <w:rPr>
                <w:rFonts w:ascii="Trebuchet MS" w:hAnsi="Trebuchet MS"/>
              </w:rPr>
            </w:pPr>
            <w:r w:rsidRPr="005650C4">
              <w:rPr>
                <w:rFonts w:ascii="Trebuchet MS" w:hAnsi="Trebuchet MS"/>
              </w:rPr>
              <w:t>Information on this section is available at:</w:t>
            </w:r>
            <w:r w:rsidR="00B51CF1">
              <w:rPr>
                <w:rFonts w:ascii="Trebuchet MS" w:hAnsi="Trebuchet MS"/>
              </w:rPr>
              <w:t xml:space="preserve"> </w:t>
            </w:r>
            <w:hyperlink r:id="rId25" w:history="1">
              <w:r w:rsidR="00B51CF1" w:rsidRPr="00C00868">
                <w:rPr>
                  <w:rStyle w:val="Hyperlink"/>
                </w:rPr>
                <w:t>https</w:t>
              </w:r>
              <w:r w:rsidR="00B51CF1" w:rsidRPr="00C00868">
                <w:rPr>
                  <w:rStyle w:val="Hyperlink"/>
                  <w:lang w:val="en-US"/>
                </w:rPr>
                <w:t>://www.integritate.eu/prevent.aspx</w:t>
              </w:r>
            </w:hyperlink>
          </w:p>
          <w:p w:rsidR="005650C4" w:rsidRDefault="005650C4" w:rsidP="00C1798A">
            <w:pPr>
              <w:pStyle w:val="CommentText"/>
              <w:rPr>
                <w:rFonts w:ascii="Trebuchet MS" w:hAnsi="Trebuchet MS"/>
                <w:sz w:val="22"/>
                <w:szCs w:val="22"/>
              </w:rPr>
            </w:pPr>
          </w:p>
          <w:p w:rsidR="005650C4" w:rsidRPr="00A40B07" w:rsidRDefault="005650C4" w:rsidP="00C1798A">
            <w:pPr>
              <w:pStyle w:val="CommentText"/>
              <w:rPr>
                <w:rFonts w:ascii="Trebuchet MS" w:hAnsi="Trebuchet MS"/>
                <w:i/>
                <w:sz w:val="22"/>
                <w:szCs w:val="22"/>
              </w:rPr>
            </w:pPr>
          </w:p>
          <w:p w:rsidR="00C1798A" w:rsidRPr="00B01372" w:rsidRDefault="00C1798A" w:rsidP="003675EB">
            <w:pPr>
              <w:jc w:val="both"/>
            </w:pPr>
          </w:p>
        </w:tc>
      </w:tr>
    </w:tbl>
    <w:p w:rsidR="008F3F2E" w:rsidRPr="00B01372" w:rsidRDefault="008F3F2E" w:rsidP="0095241D">
      <w:pPr>
        <w:spacing w:line="240" w:lineRule="auto"/>
        <w:jc w:val="both"/>
      </w:pPr>
    </w:p>
    <w:p w:rsidR="00D24317" w:rsidRPr="00B01372" w:rsidRDefault="00D24317" w:rsidP="00797030">
      <w:pPr>
        <w:pStyle w:val="NoSpacing"/>
        <w:ind w:left="1135"/>
      </w:pPr>
    </w:p>
    <w:p w:rsidR="002222BD" w:rsidRDefault="00C25098" w:rsidP="00B12049">
      <w:pPr>
        <w:pStyle w:val="Heading2"/>
        <w:rPr>
          <w:rFonts w:asciiTheme="minorHAnsi" w:hAnsiTheme="minorHAnsi"/>
        </w:rPr>
      </w:pPr>
      <w:r w:rsidRPr="00B01372">
        <w:rPr>
          <w:rFonts w:asciiTheme="minorHAnsi" w:hAnsiTheme="minorHAnsi"/>
        </w:rPr>
        <w:t>L</w:t>
      </w:r>
      <w:r w:rsidR="00FB6E7C" w:rsidRPr="00B01372">
        <w:rPr>
          <w:rFonts w:asciiTheme="minorHAnsi" w:hAnsiTheme="minorHAnsi"/>
        </w:rPr>
        <w:t>evel of SME</w:t>
      </w:r>
      <w:r w:rsidR="00B46F31" w:rsidRPr="00B01372">
        <w:rPr>
          <w:rFonts w:asciiTheme="minorHAnsi" w:hAnsiTheme="minorHAnsi"/>
        </w:rPr>
        <w:t>s</w:t>
      </w:r>
      <w:r w:rsidR="00B66F46">
        <w:rPr>
          <w:rFonts w:asciiTheme="minorHAnsi" w:hAnsiTheme="minorHAnsi"/>
        </w:rPr>
        <w:t>'</w:t>
      </w:r>
      <w:r w:rsidR="00FB6E7C" w:rsidRPr="00B01372">
        <w:rPr>
          <w:rFonts w:asciiTheme="minorHAnsi" w:hAnsiTheme="minorHAnsi"/>
        </w:rPr>
        <w:t xml:space="preserve"> participation in public procurement</w:t>
      </w:r>
    </w:p>
    <w:p w:rsidR="009F3F80" w:rsidRDefault="009F3F80" w:rsidP="009F3F80">
      <w:pPr>
        <w:pStyle w:val="NoSpacing"/>
      </w:pPr>
    </w:p>
    <w:p w:rsidR="00924198" w:rsidRPr="006B14AA" w:rsidRDefault="009F3F80" w:rsidP="00924198">
      <w:pPr>
        <w:pStyle w:val="NoSpacing"/>
      </w:pPr>
      <w:r w:rsidRPr="006B14AA">
        <w:rPr>
          <w:rFonts w:ascii="Arial" w:hAnsi="Arial" w:cs="Arial"/>
          <w:sz w:val="18"/>
          <w:szCs w:val="18"/>
          <w:shd w:val="clear" w:color="auto" w:fill="FFFFFF"/>
        </w:rPr>
        <w:t>SMEs are</w:t>
      </w:r>
      <w:r w:rsidR="006B14AA">
        <w:rPr>
          <w:rStyle w:val="apple-converted-space"/>
          <w:rFonts w:ascii="Arial" w:hAnsi="Arial" w:cs="Arial"/>
          <w:sz w:val="18"/>
          <w:szCs w:val="18"/>
          <w:shd w:val="clear" w:color="auto" w:fill="FFFFFF"/>
        </w:rPr>
        <w:t xml:space="preserve"> </w:t>
      </w:r>
      <w:r w:rsidRPr="006B14AA">
        <w:rPr>
          <w:rStyle w:val="Strong"/>
          <w:rFonts w:ascii="Arial" w:hAnsi="Arial" w:cs="Arial"/>
          <w:b w:val="0"/>
          <w:sz w:val="18"/>
          <w:szCs w:val="18"/>
          <w:shd w:val="clear" w:color="auto" w:fill="FFFFFF"/>
        </w:rPr>
        <w:t xml:space="preserve">defined </w:t>
      </w:r>
      <w:r w:rsidR="00924198" w:rsidRPr="006B14AA">
        <w:rPr>
          <w:rStyle w:val="Strong"/>
          <w:rFonts w:ascii="Arial" w:hAnsi="Arial" w:cs="Arial"/>
          <w:b w:val="0"/>
          <w:sz w:val="18"/>
          <w:szCs w:val="18"/>
          <w:shd w:val="clear" w:color="auto" w:fill="FFFFFF"/>
        </w:rPr>
        <w:t xml:space="preserve">in the </w:t>
      </w:r>
      <w:r w:rsidR="00924198" w:rsidRPr="006B14AA">
        <w:t xml:space="preserve">Commission Recommendation (2003/361/EC) as having less than 250 persons employed and an </w:t>
      </w:r>
      <w:r w:rsidR="006B14AA">
        <w:t xml:space="preserve">annual turnover of up to EUR 50 </w:t>
      </w:r>
      <w:r w:rsidR="00924198" w:rsidRPr="006B14AA">
        <w:t xml:space="preserve">million or a balance </w:t>
      </w:r>
      <w:r w:rsidR="006B14AA">
        <w:t xml:space="preserve">sheet total of no more than EUR 43 </w:t>
      </w:r>
      <w:r w:rsidR="00924198" w:rsidRPr="006B14AA">
        <w:t>million. Further information is available at</w:t>
      </w:r>
    </w:p>
    <w:p w:rsidR="00924198" w:rsidRDefault="0008611D" w:rsidP="00924198">
      <w:pPr>
        <w:spacing w:after="0"/>
        <w:rPr>
          <w:color w:val="1F497D"/>
        </w:rPr>
      </w:pPr>
      <w:hyperlink r:id="rId26" w:history="1">
        <w:r w:rsidR="00924198">
          <w:rPr>
            <w:rStyle w:val="Hyperlink"/>
          </w:rPr>
          <w:t>http://ec.europa.eu/growth/smes/business-friendly-environment/sme-definition_en</w:t>
        </w:r>
      </w:hyperlink>
      <w:r w:rsidR="00924198">
        <w:rPr>
          <w:color w:val="1F497D"/>
        </w:rPr>
        <w:t>.</w:t>
      </w:r>
    </w:p>
    <w:p w:rsidR="000D31E8" w:rsidRDefault="000D31E8" w:rsidP="00924198">
      <w:pPr>
        <w:spacing w:after="0"/>
        <w:rPr>
          <w:color w:val="1F497D"/>
        </w:rPr>
      </w:pPr>
    </w:p>
    <w:tbl>
      <w:tblPr>
        <w:tblStyle w:val="TableGrid"/>
        <w:tblW w:w="5000" w:type="pct"/>
        <w:tblLook w:val="04A0" w:firstRow="1" w:lastRow="0" w:firstColumn="1" w:lastColumn="0" w:noHBand="0" w:noVBand="1"/>
      </w:tblPr>
      <w:tblGrid>
        <w:gridCol w:w="4687"/>
        <w:gridCol w:w="9533"/>
      </w:tblGrid>
      <w:tr w:rsidR="00B54D84" w:rsidRPr="00B01372" w:rsidTr="00B54D84">
        <w:tc>
          <w:tcPr>
            <w:tcW w:w="1648" w:type="pct"/>
          </w:tcPr>
          <w:p w:rsidR="00B54D84" w:rsidRPr="00B01372" w:rsidRDefault="00A0723C" w:rsidP="001D4DCD">
            <w:r w:rsidRPr="00B01372">
              <w:rPr>
                <w:b/>
              </w:rPr>
              <w:t>IV</w:t>
            </w:r>
            <w:r w:rsidR="00B54D84" w:rsidRPr="00B01372">
              <w:rPr>
                <w:b/>
              </w:rPr>
              <w:t>.1</w:t>
            </w:r>
            <w:r w:rsidR="00B72720" w:rsidRPr="00B01372">
              <w:rPr>
                <w:b/>
              </w:rPr>
              <w:t>.</w:t>
            </w:r>
            <w:r w:rsidR="00B54D84" w:rsidRPr="00B01372">
              <w:rPr>
                <w:b/>
              </w:rPr>
              <w:t xml:space="preserve"> </w:t>
            </w:r>
            <w:r w:rsidR="001D4DCD" w:rsidRPr="00B01372">
              <w:rPr>
                <w:b/>
              </w:rPr>
              <w:t>Qualitative reporting on SME participation</w:t>
            </w:r>
          </w:p>
        </w:tc>
        <w:tc>
          <w:tcPr>
            <w:tcW w:w="3352" w:type="pct"/>
          </w:tcPr>
          <w:p w:rsidR="00B54D84" w:rsidRPr="00B01372" w:rsidRDefault="00B54D84" w:rsidP="00B54D84">
            <w:pPr>
              <w:jc w:val="both"/>
            </w:pPr>
          </w:p>
        </w:tc>
      </w:tr>
      <w:tr w:rsidR="001D4DCD" w:rsidRPr="00B01372" w:rsidTr="00B54D84">
        <w:tc>
          <w:tcPr>
            <w:tcW w:w="1648" w:type="pct"/>
          </w:tcPr>
          <w:p w:rsidR="001D4DCD" w:rsidRPr="00B01372" w:rsidRDefault="001D4DCD" w:rsidP="001D4DCD">
            <w:r w:rsidRPr="00B01372">
              <w:t>Key challenges encountered</w:t>
            </w:r>
          </w:p>
          <w:p w:rsidR="001D4DCD" w:rsidRPr="00B01372" w:rsidRDefault="001D4DCD" w:rsidP="00B54D84">
            <w:pPr>
              <w:rPr>
                <w:b/>
              </w:rPr>
            </w:pPr>
          </w:p>
        </w:tc>
        <w:tc>
          <w:tcPr>
            <w:tcW w:w="3352" w:type="pct"/>
          </w:tcPr>
          <w:p w:rsidR="005650C4" w:rsidRPr="005650C4" w:rsidRDefault="00BC74A9" w:rsidP="00BC74A9">
            <w:pPr>
              <w:jc w:val="both"/>
              <w:rPr>
                <w:rFonts w:ascii="Trebuchet MS" w:hAnsi="Trebuchet MS"/>
              </w:rPr>
            </w:pPr>
            <w:r>
              <w:rPr>
                <w:rFonts w:ascii="Trebuchet MS" w:hAnsi="Trebuchet MS"/>
              </w:rPr>
              <w:t>In order to provide the requested information, we are preparing the infrastructure</w:t>
            </w:r>
            <w:r>
              <w:t xml:space="preserve"> </w:t>
            </w:r>
            <w:r w:rsidRPr="00BC74A9">
              <w:rPr>
                <w:rFonts w:ascii="Trebuchet MS" w:hAnsi="Trebuchet MS"/>
              </w:rPr>
              <w:t xml:space="preserve">necessary for </w:t>
            </w:r>
            <w:r>
              <w:rPr>
                <w:rFonts w:ascii="Trebuchet MS" w:hAnsi="Trebuchet MS"/>
              </w:rPr>
              <w:t>collecting</w:t>
            </w:r>
            <w:r w:rsidRPr="00BC74A9">
              <w:rPr>
                <w:rFonts w:ascii="Trebuchet MS" w:hAnsi="Trebuchet MS"/>
              </w:rPr>
              <w:t xml:space="preserve"> and processing data</w:t>
            </w:r>
            <w:r>
              <w:rPr>
                <w:rFonts w:ascii="Trebuchet MS" w:hAnsi="Trebuchet MS"/>
              </w:rPr>
              <w:t xml:space="preserve"> for filling the report. </w:t>
            </w:r>
          </w:p>
        </w:tc>
      </w:tr>
      <w:tr w:rsidR="00B54D84" w:rsidRPr="00B01372" w:rsidTr="00B54D84">
        <w:tc>
          <w:tcPr>
            <w:tcW w:w="1648" w:type="pct"/>
          </w:tcPr>
          <w:p w:rsidR="00B54D84" w:rsidRPr="00B01372" w:rsidRDefault="00092C5B" w:rsidP="00E04DAF">
            <w:pPr>
              <w:pStyle w:val="Heading3"/>
              <w:outlineLvl w:val="2"/>
            </w:pPr>
            <w:r w:rsidRPr="00B01372">
              <w:t>IV</w:t>
            </w:r>
            <w:r w:rsidR="00E04DAF" w:rsidRPr="00B01372">
              <w:t xml:space="preserve">.2. </w:t>
            </w:r>
            <w:r w:rsidR="0037143F" w:rsidRPr="0037143F">
              <w:t>Supporting documents</w:t>
            </w:r>
          </w:p>
        </w:tc>
        <w:tc>
          <w:tcPr>
            <w:tcW w:w="3352" w:type="pct"/>
          </w:tcPr>
          <w:p w:rsidR="00B54D84" w:rsidRPr="00B01372" w:rsidRDefault="00B54D84" w:rsidP="00B54D84">
            <w:pPr>
              <w:rPr>
                <w:i/>
              </w:rPr>
            </w:pPr>
          </w:p>
        </w:tc>
      </w:tr>
      <w:tr w:rsidR="00B54D84" w:rsidRPr="00B01372" w:rsidTr="00B54D84">
        <w:tc>
          <w:tcPr>
            <w:tcW w:w="1648" w:type="pct"/>
          </w:tcPr>
          <w:p w:rsidR="00B54D84" w:rsidRPr="00B01372" w:rsidRDefault="00E04DAF" w:rsidP="0037143F">
            <w:pPr>
              <w:pStyle w:val="Heading3"/>
              <w:outlineLvl w:val="2"/>
              <w:rPr>
                <w:b w:val="0"/>
              </w:rPr>
            </w:pPr>
            <w:r w:rsidRPr="00B01372">
              <w:rPr>
                <w:b w:val="0"/>
              </w:rPr>
              <w:t xml:space="preserve">Please report any available evidence or supporting document </w:t>
            </w:r>
            <w:r w:rsidR="00B72720" w:rsidRPr="00B01372">
              <w:rPr>
                <w:b w:val="0"/>
              </w:rPr>
              <w:t xml:space="preserve">for point </w:t>
            </w:r>
            <w:r w:rsidR="00426F49" w:rsidRPr="00B01372">
              <w:rPr>
                <w:b w:val="0"/>
              </w:rPr>
              <w:t>IV</w:t>
            </w:r>
            <w:r w:rsidR="00B72720" w:rsidRPr="00B01372">
              <w:rPr>
                <w:b w:val="0"/>
              </w:rPr>
              <w:t xml:space="preserve">.1, </w:t>
            </w:r>
            <w:r w:rsidRPr="00B01372">
              <w:rPr>
                <w:b w:val="0"/>
              </w:rPr>
              <w:t>illustrating the measures, achievements or challenges faced, relating to the facilitation of the participatio</w:t>
            </w:r>
            <w:r w:rsidR="006753EC" w:rsidRPr="00B01372">
              <w:rPr>
                <w:b w:val="0"/>
              </w:rPr>
              <w:t>n of SMEs in public procurement</w:t>
            </w:r>
          </w:p>
        </w:tc>
        <w:tc>
          <w:tcPr>
            <w:tcW w:w="3352" w:type="pct"/>
          </w:tcPr>
          <w:p w:rsidR="00B54D84" w:rsidRPr="00D4777F" w:rsidRDefault="00B54D84" w:rsidP="00847833">
            <w:pPr>
              <w:pStyle w:val="Heading4"/>
              <w:numPr>
                <w:ilvl w:val="0"/>
                <w:numId w:val="0"/>
              </w:numPr>
              <w:ind w:left="720"/>
              <w:jc w:val="both"/>
              <w:outlineLvl w:val="3"/>
              <w:rPr>
                <w:i/>
                <w:strike/>
              </w:rPr>
            </w:pPr>
          </w:p>
        </w:tc>
      </w:tr>
      <w:tr w:rsidR="00B54D84" w:rsidRPr="00B01372" w:rsidTr="00B54D84">
        <w:tc>
          <w:tcPr>
            <w:tcW w:w="1648" w:type="pct"/>
          </w:tcPr>
          <w:p w:rsidR="00E04DAF" w:rsidRPr="00B01372" w:rsidRDefault="000A2192" w:rsidP="00E04DAF">
            <w:pPr>
              <w:pStyle w:val="Heading3"/>
              <w:outlineLvl w:val="2"/>
            </w:pPr>
            <w:r w:rsidRPr="00B01372">
              <w:t>IV</w:t>
            </w:r>
            <w:r w:rsidR="00E04DAF" w:rsidRPr="00B01372">
              <w:t xml:space="preserve">.3. Quantitative indicators </w:t>
            </w:r>
          </w:p>
          <w:p w:rsidR="00B54D84" w:rsidRPr="00B01372" w:rsidRDefault="00B54D84" w:rsidP="00B54D84">
            <w:pPr>
              <w:pStyle w:val="Heading3"/>
              <w:outlineLvl w:val="2"/>
              <w:rPr>
                <w:b w:val="0"/>
              </w:rPr>
            </w:pPr>
          </w:p>
        </w:tc>
        <w:tc>
          <w:tcPr>
            <w:tcW w:w="3352" w:type="pct"/>
          </w:tcPr>
          <w:p w:rsidR="00B54D84" w:rsidRPr="00D4777F" w:rsidRDefault="00B54D84" w:rsidP="00247E16">
            <w:pPr>
              <w:jc w:val="both"/>
              <w:rPr>
                <w:i/>
                <w:strike/>
              </w:rPr>
            </w:pPr>
          </w:p>
        </w:tc>
      </w:tr>
      <w:tr w:rsidR="00B54D84" w:rsidRPr="00B01372" w:rsidTr="00B54D84">
        <w:tc>
          <w:tcPr>
            <w:tcW w:w="1648" w:type="pct"/>
          </w:tcPr>
          <w:p w:rsidR="00B54D84" w:rsidRPr="00B01372" w:rsidRDefault="00E04DAF" w:rsidP="00C96DD0">
            <w:pPr>
              <w:jc w:val="both"/>
              <w:rPr>
                <w:b/>
              </w:rPr>
            </w:pPr>
            <w:r w:rsidRPr="00B01372">
              <w:t>Please provide, when available, any quantitative data (statistics, etc.) illustrating the achievements and challenges ident</w:t>
            </w:r>
            <w:r w:rsidR="006753EC" w:rsidRPr="00B01372">
              <w:t xml:space="preserve">ified under section </w:t>
            </w:r>
            <w:r w:rsidR="00426F49" w:rsidRPr="00B01372">
              <w:t>IV</w:t>
            </w:r>
            <w:r w:rsidR="006753EC" w:rsidRPr="00B01372">
              <w:t>.1. above</w:t>
            </w:r>
          </w:p>
        </w:tc>
        <w:tc>
          <w:tcPr>
            <w:tcW w:w="3352" w:type="pct"/>
          </w:tcPr>
          <w:p w:rsidR="00B54D84" w:rsidRPr="00D4777F" w:rsidRDefault="00B54D84" w:rsidP="00847833">
            <w:pPr>
              <w:ind w:left="720"/>
              <w:jc w:val="both"/>
              <w:rPr>
                <w:i/>
                <w:strike/>
              </w:rPr>
            </w:pPr>
          </w:p>
        </w:tc>
      </w:tr>
    </w:tbl>
    <w:p w:rsidR="001C5F45" w:rsidRPr="00B01372" w:rsidRDefault="001C5F45" w:rsidP="001C5F45"/>
    <w:p w:rsidR="00C9307F" w:rsidRPr="00B01372" w:rsidRDefault="00C554EC" w:rsidP="00B72720">
      <w:pPr>
        <w:pStyle w:val="Heading2"/>
        <w:rPr>
          <w:rFonts w:asciiTheme="minorHAnsi" w:hAnsiTheme="minorHAnsi"/>
        </w:rPr>
      </w:pPr>
      <w:r w:rsidRPr="00B01372">
        <w:rPr>
          <w:rFonts w:asciiTheme="minorHAnsi" w:hAnsiTheme="minorHAnsi"/>
        </w:rPr>
        <w:t>Information on the practical implementation of national strategic procurement</w:t>
      </w:r>
    </w:p>
    <w:p w:rsidR="00123723" w:rsidRPr="00B01372" w:rsidRDefault="00123723" w:rsidP="00D24317">
      <w:pPr>
        <w:spacing w:line="240" w:lineRule="auto"/>
      </w:pPr>
    </w:p>
    <w:tbl>
      <w:tblPr>
        <w:tblStyle w:val="TableGrid"/>
        <w:tblW w:w="5000" w:type="pct"/>
        <w:tblLook w:val="04A0" w:firstRow="1" w:lastRow="0" w:firstColumn="1" w:lastColumn="0" w:noHBand="0" w:noVBand="1"/>
      </w:tblPr>
      <w:tblGrid>
        <w:gridCol w:w="4687"/>
        <w:gridCol w:w="9533"/>
      </w:tblGrid>
      <w:tr w:rsidR="00994F58" w:rsidRPr="00B01372" w:rsidTr="005F0ADF">
        <w:tc>
          <w:tcPr>
            <w:tcW w:w="1648" w:type="pct"/>
          </w:tcPr>
          <w:p w:rsidR="00994F58" w:rsidRPr="00B01372" w:rsidRDefault="00994F58" w:rsidP="005F0ADF">
            <w:pPr>
              <w:pStyle w:val="Heading3"/>
              <w:outlineLvl w:val="2"/>
            </w:pPr>
            <w:r w:rsidRPr="00B01372">
              <w:t>V.1 Green procurement ('GPP')</w:t>
            </w:r>
          </w:p>
        </w:tc>
        <w:tc>
          <w:tcPr>
            <w:tcW w:w="3352" w:type="pct"/>
          </w:tcPr>
          <w:p w:rsidR="008B3CEF" w:rsidRDefault="008B3CEF" w:rsidP="005F0ADF">
            <w:pPr>
              <w:jc w:val="both"/>
            </w:pPr>
          </w:p>
          <w:p w:rsidR="00547D50" w:rsidRPr="00547D50" w:rsidRDefault="00BC74A9" w:rsidP="005F0ADF">
            <w:pPr>
              <w:jc w:val="both"/>
              <w:rPr>
                <w:rFonts w:ascii="Trebuchet MS" w:hAnsi="Trebuchet MS"/>
              </w:rPr>
            </w:pPr>
            <w:r w:rsidRPr="00BC74A9">
              <w:rPr>
                <w:rFonts w:ascii="Trebuchet MS" w:hAnsi="Trebuchet MS"/>
              </w:rPr>
              <w:t>In order to provide the requested information, we are preparing the infrastructure necessary for collecting and processing data for filling the report.</w:t>
            </w:r>
          </w:p>
          <w:p w:rsidR="00547D50" w:rsidRPr="00B01372" w:rsidRDefault="00547D50" w:rsidP="005F0ADF">
            <w:pPr>
              <w:jc w:val="both"/>
            </w:pPr>
          </w:p>
        </w:tc>
      </w:tr>
      <w:tr w:rsidR="005F0ADF" w:rsidRPr="00B01372" w:rsidTr="00994F58">
        <w:trPr>
          <w:trHeight w:val="324"/>
        </w:trPr>
        <w:tc>
          <w:tcPr>
            <w:tcW w:w="1648" w:type="pct"/>
          </w:tcPr>
          <w:p w:rsidR="005F0ADF" w:rsidRPr="00B01372" w:rsidRDefault="00F13DA8" w:rsidP="005F0ADF">
            <w:pPr>
              <w:pStyle w:val="Heading3"/>
              <w:outlineLvl w:val="2"/>
            </w:pPr>
            <w:r w:rsidRPr="00B01372">
              <w:lastRenderedPageBreak/>
              <w:t>V</w:t>
            </w:r>
            <w:r w:rsidR="005F0ADF" w:rsidRPr="00B01372">
              <w:t>.1.</w:t>
            </w:r>
            <w:r w:rsidR="00994F58" w:rsidRPr="00B01372">
              <w:t>1</w:t>
            </w:r>
            <w:r w:rsidR="005F0ADF" w:rsidRPr="00B01372">
              <w:t xml:space="preserve"> </w:t>
            </w:r>
            <w:r w:rsidR="00C96DD0" w:rsidRPr="00B01372">
              <w:t>Qualitative reporting</w:t>
            </w:r>
            <w:r w:rsidR="00C96DD0" w:rsidRPr="00B01372">
              <w:rPr>
                <w:b w:val="0"/>
              </w:rPr>
              <w:t xml:space="preserve"> </w:t>
            </w:r>
          </w:p>
        </w:tc>
        <w:tc>
          <w:tcPr>
            <w:tcW w:w="3352" w:type="pct"/>
          </w:tcPr>
          <w:p w:rsidR="005F0ADF" w:rsidRPr="00B01372" w:rsidRDefault="005F0ADF" w:rsidP="005F0ADF">
            <w:pPr>
              <w:jc w:val="both"/>
            </w:pPr>
          </w:p>
        </w:tc>
      </w:tr>
      <w:tr w:rsidR="005F0ADF" w:rsidRPr="00B01372" w:rsidTr="005F0ADF">
        <w:tc>
          <w:tcPr>
            <w:tcW w:w="1648" w:type="pct"/>
          </w:tcPr>
          <w:p w:rsidR="005F0ADF" w:rsidRPr="00B01372" w:rsidRDefault="005F0ADF" w:rsidP="008E2CAD">
            <w:r w:rsidRPr="00B01372">
              <w:t>Key challenges encountered</w:t>
            </w:r>
          </w:p>
        </w:tc>
        <w:tc>
          <w:tcPr>
            <w:tcW w:w="3352" w:type="pct"/>
          </w:tcPr>
          <w:p w:rsidR="005F0ADF" w:rsidRPr="00B01372" w:rsidRDefault="005F0ADF" w:rsidP="00956EEA">
            <w:pPr>
              <w:jc w:val="both"/>
            </w:pPr>
            <w:r w:rsidRPr="00B01372">
              <w:rPr>
                <w:i/>
              </w:rPr>
              <w:t xml:space="preserve"> </w:t>
            </w:r>
          </w:p>
        </w:tc>
      </w:tr>
      <w:tr w:rsidR="005F0ADF" w:rsidRPr="00B01372" w:rsidTr="005F0ADF">
        <w:tc>
          <w:tcPr>
            <w:tcW w:w="1648" w:type="pct"/>
          </w:tcPr>
          <w:p w:rsidR="005F0ADF" w:rsidRPr="00B01372" w:rsidRDefault="00D5004D" w:rsidP="005F0ADF">
            <w:pPr>
              <w:pStyle w:val="Heading3"/>
              <w:outlineLvl w:val="2"/>
            </w:pPr>
            <w:r w:rsidRPr="00B01372">
              <w:t>V</w:t>
            </w:r>
            <w:r w:rsidR="005F0ADF" w:rsidRPr="00B01372">
              <w:t xml:space="preserve">.1.2. </w:t>
            </w:r>
            <w:r w:rsidR="0037143F" w:rsidRPr="0037143F">
              <w:t>Supporting documents</w:t>
            </w:r>
          </w:p>
        </w:tc>
        <w:tc>
          <w:tcPr>
            <w:tcW w:w="3352" w:type="pct"/>
          </w:tcPr>
          <w:p w:rsidR="005F0ADF" w:rsidRPr="00B01372" w:rsidRDefault="005F0ADF" w:rsidP="005F0ADF">
            <w:pPr>
              <w:rPr>
                <w:i/>
              </w:rPr>
            </w:pPr>
          </w:p>
        </w:tc>
      </w:tr>
      <w:tr w:rsidR="005F0ADF" w:rsidRPr="00B01372" w:rsidTr="005F0ADF">
        <w:tc>
          <w:tcPr>
            <w:tcW w:w="1648" w:type="pct"/>
          </w:tcPr>
          <w:p w:rsidR="005F0ADF" w:rsidRPr="00B01372" w:rsidRDefault="005F0ADF" w:rsidP="0037143F">
            <w:pPr>
              <w:pStyle w:val="Heading3"/>
              <w:outlineLvl w:val="2"/>
              <w:rPr>
                <w:b w:val="0"/>
              </w:rPr>
            </w:pPr>
            <w:r w:rsidRPr="00B01372">
              <w:rPr>
                <w:b w:val="0"/>
              </w:rPr>
              <w:t xml:space="preserve">Please report any available evidence or supporting document </w:t>
            </w:r>
            <w:r w:rsidR="006753EC" w:rsidRPr="00B01372">
              <w:rPr>
                <w:b w:val="0"/>
              </w:rPr>
              <w:t xml:space="preserve">for point </w:t>
            </w:r>
            <w:r w:rsidR="00426F49" w:rsidRPr="00B01372">
              <w:rPr>
                <w:b w:val="0"/>
              </w:rPr>
              <w:t>V</w:t>
            </w:r>
            <w:r w:rsidR="006753EC" w:rsidRPr="00B01372">
              <w:rPr>
                <w:b w:val="0"/>
              </w:rPr>
              <w:t xml:space="preserve">.1, </w:t>
            </w:r>
            <w:r w:rsidRPr="00B01372">
              <w:rPr>
                <w:b w:val="0"/>
              </w:rPr>
              <w:t xml:space="preserve">illustrating the measures, achievements or challenges faced, relating to the </w:t>
            </w:r>
            <w:r w:rsidR="00C96DD0" w:rsidRPr="00B01372">
              <w:rPr>
                <w:b w:val="0"/>
              </w:rPr>
              <w:t>promotion</w:t>
            </w:r>
            <w:r w:rsidRPr="00B01372">
              <w:rPr>
                <w:b w:val="0"/>
              </w:rPr>
              <w:t xml:space="preserve"> of </w:t>
            </w:r>
            <w:r w:rsidR="003236CE" w:rsidRPr="00B01372">
              <w:rPr>
                <w:b w:val="0"/>
              </w:rPr>
              <w:t>green public</w:t>
            </w:r>
            <w:r w:rsidRPr="00B01372">
              <w:rPr>
                <w:b w:val="0"/>
              </w:rPr>
              <w:t xml:space="preserve"> procurement. </w:t>
            </w:r>
          </w:p>
        </w:tc>
        <w:tc>
          <w:tcPr>
            <w:tcW w:w="3352" w:type="pct"/>
          </w:tcPr>
          <w:p w:rsidR="005F0ADF" w:rsidRPr="0008764B" w:rsidRDefault="005F0ADF" w:rsidP="00847833">
            <w:pPr>
              <w:pStyle w:val="ListParagraph"/>
              <w:jc w:val="both"/>
              <w:rPr>
                <w:i/>
              </w:rPr>
            </w:pPr>
          </w:p>
        </w:tc>
      </w:tr>
      <w:tr w:rsidR="005F0ADF" w:rsidRPr="00B01372" w:rsidTr="005F0ADF">
        <w:tc>
          <w:tcPr>
            <w:tcW w:w="1648" w:type="pct"/>
          </w:tcPr>
          <w:p w:rsidR="005F0ADF" w:rsidRPr="00B01372" w:rsidRDefault="007C7271" w:rsidP="005F0ADF">
            <w:pPr>
              <w:pStyle w:val="Heading3"/>
              <w:outlineLvl w:val="2"/>
              <w:rPr>
                <w:b w:val="0"/>
              </w:rPr>
            </w:pPr>
            <w:r w:rsidRPr="00B01372">
              <w:t>V</w:t>
            </w:r>
            <w:r w:rsidR="005F0ADF" w:rsidRPr="00B01372">
              <w:t>.1.3. Quantitative indicators</w:t>
            </w:r>
          </w:p>
        </w:tc>
        <w:tc>
          <w:tcPr>
            <w:tcW w:w="3352" w:type="pct"/>
          </w:tcPr>
          <w:p w:rsidR="005F0ADF" w:rsidRPr="00D4777F" w:rsidRDefault="005F0ADF" w:rsidP="00247E16">
            <w:pPr>
              <w:jc w:val="both"/>
              <w:rPr>
                <w:i/>
                <w:strike/>
              </w:rPr>
            </w:pPr>
          </w:p>
        </w:tc>
      </w:tr>
      <w:tr w:rsidR="005F0ADF" w:rsidRPr="00B01372" w:rsidTr="005F0ADF">
        <w:tc>
          <w:tcPr>
            <w:tcW w:w="1648" w:type="pct"/>
          </w:tcPr>
          <w:p w:rsidR="005F0ADF" w:rsidRPr="00B01372" w:rsidRDefault="005F0ADF" w:rsidP="006753EC">
            <w:pPr>
              <w:jc w:val="both"/>
              <w:rPr>
                <w:b/>
              </w:rPr>
            </w:pPr>
            <w:r w:rsidRPr="00B01372">
              <w:t xml:space="preserve">Please provide, when available, any quantitative data (statistics, etc.) illustrating the achievements and challenges identified under section </w:t>
            </w:r>
            <w:r w:rsidR="00B34CD3" w:rsidRPr="00B01372">
              <w:t>V</w:t>
            </w:r>
            <w:r w:rsidRPr="00B01372">
              <w:t>.1.</w:t>
            </w:r>
            <w:r w:rsidR="002C131E" w:rsidRPr="00B01372">
              <w:t>1</w:t>
            </w:r>
            <w:r w:rsidRPr="00B01372">
              <w:t xml:space="preserve"> above. To the extent possible, these indicators should be further g</w:t>
            </w:r>
            <w:r w:rsidR="006753EC" w:rsidRPr="00B01372">
              <w:t>rouped by type of legal problem.</w:t>
            </w:r>
          </w:p>
        </w:tc>
        <w:tc>
          <w:tcPr>
            <w:tcW w:w="3352" w:type="pct"/>
          </w:tcPr>
          <w:p w:rsidR="005F0ADF" w:rsidRPr="00D4777F" w:rsidRDefault="005F0ADF" w:rsidP="00847833">
            <w:pPr>
              <w:pStyle w:val="ListParagraph"/>
              <w:jc w:val="both"/>
              <w:rPr>
                <w:strike/>
              </w:rPr>
            </w:pPr>
          </w:p>
        </w:tc>
      </w:tr>
      <w:tr w:rsidR="00994F58" w:rsidRPr="00B01372" w:rsidTr="00994F58">
        <w:trPr>
          <w:trHeight w:val="1248"/>
        </w:trPr>
        <w:tc>
          <w:tcPr>
            <w:tcW w:w="1648" w:type="pct"/>
          </w:tcPr>
          <w:p w:rsidR="00994F58" w:rsidRPr="00B01372" w:rsidRDefault="00994F58" w:rsidP="00994F58">
            <w:pPr>
              <w:pStyle w:val="Heading3"/>
              <w:outlineLvl w:val="2"/>
            </w:pPr>
            <w:r w:rsidRPr="00B01372">
              <w:t>V.2 Socially responsible public procurement ('SRPP')</w:t>
            </w:r>
          </w:p>
        </w:tc>
        <w:tc>
          <w:tcPr>
            <w:tcW w:w="3352" w:type="pct"/>
          </w:tcPr>
          <w:p w:rsidR="001479B2" w:rsidRDefault="001479B2" w:rsidP="006753EC">
            <w:pPr>
              <w:jc w:val="both"/>
              <w:rPr>
                <w:rFonts w:ascii="Trebuchet MS" w:hAnsi="Trebuchet MS" w:cs="Times New Roman"/>
              </w:rPr>
            </w:pPr>
          </w:p>
          <w:p w:rsidR="001479B2" w:rsidRPr="00B01372" w:rsidRDefault="00BC74A9" w:rsidP="006753EC">
            <w:pPr>
              <w:jc w:val="both"/>
            </w:pPr>
            <w:r w:rsidRPr="00BC74A9">
              <w:rPr>
                <w:rFonts w:ascii="Trebuchet MS" w:hAnsi="Trebuchet MS" w:cs="Times New Roman"/>
              </w:rPr>
              <w:t xml:space="preserve">In order to provide the requested information, we are preparing the infrastructure necessary for collecting and processing data for filling the report. </w:t>
            </w:r>
          </w:p>
        </w:tc>
      </w:tr>
      <w:tr w:rsidR="005F0ADF" w:rsidRPr="00B01372" w:rsidTr="00994F58">
        <w:trPr>
          <w:trHeight w:val="415"/>
        </w:trPr>
        <w:tc>
          <w:tcPr>
            <w:tcW w:w="1648" w:type="pct"/>
          </w:tcPr>
          <w:p w:rsidR="005F0ADF" w:rsidRPr="00B01372" w:rsidRDefault="007C7271" w:rsidP="005F0ADF">
            <w:pPr>
              <w:pStyle w:val="Heading3"/>
              <w:outlineLvl w:val="2"/>
              <w:rPr>
                <w:b w:val="0"/>
              </w:rPr>
            </w:pPr>
            <w:r w:rsidRPr="00B01372">
              <w:t>V</w:t>
            </w:r>
            <w:r w:rsidR="00DD5AB5" w:rsidRPr="00B01372">
              <w:t>.2.</w:t>
            </w:r>
            <w:r w:rsidR="00994F58" w:rsidRPr="00B01372">
              <w:t>1</w:t>
            </w:r>
            <w:r w:rsidR="00DD5AB5" w:rsidRPr="00B01372">
              <w:t xml:space="preserve"> </w:t>
            </w:r>
            <w:r w:rsidR="00C96DD0" w:rsidRPr="00B01372">
              <w:t>Qualitative reporting</w:t>
            </w:r>
          </w:p>
        </w:tc>
        <w:tc>
          <w:tcPr>
            <w:tcW w:w="3352" w:type="pct"/>
          </w:tcPr>
          <w:p w:rsidR="005F0ADF" w:rsidRPr="00B01372" w:rsidRDefault="005F0ADF" w:rsidP="006753EC">
            <w:pPr>
              <w:jc w:val="both"/>
              <w:rPr>
                <w:i/>
              </w:rPr>
            </w:pPr>
          </w:p>
        </w:tc>
      </w:tr>
      <w:tr w:rsidR="005F0ADF" w:rsidRPr="00B01372" w:rsidTr="005F0ADF">
        <w:tc>
          <w:tcPr>
            <w:tcW w:w="1648" w:type="pct"/>
          </w:tcPr>
          <w:p w:rsidR="005F0ADF" w:rsidRPr="00B01372" w:rsidRDefault="00DD5AB5" w:rsidP="007217FF">
            <w:pPr>
              <w:pStyle w:val="Heading3"/>
              <w:outlineLvl w:val="2"/>
              <w:rPr>
                <w:b w:val="0"/>
              </w:rPr>
            </w:pPr>
            <w:r w:rsidRPr="00B01372">
              <w:rPr>
                <w:b w:val="0"/>
              </w:rPr>
              <w:t>Key challenges encountered</w:t>
            </w:r>
          </w:p>
        </w:tc>
        <w:tc>
          <w:tcPr>
            <w:tcW w:w="3352" w:type="pct"/>
          </w:tcPr>
          <w:p w:rsidR="005F0ADF" w:rsidRPr="00B01372" w:rsidRDefault="005F0ADF" w:rsidP="006753EC">
            <w:pPr>
              <w:jc w:val="both"/>
              <w:rPr>
                <w:color w:val="0000FF" w:themeColor="hyperlink"/>
                <w:u w:val="single"/>
              </w:rPr>
            </w:pPr>
          </w:p>
        </w:tc>
      </w:tr>
      <w:tr w:rsidR="005F0ADF" w:rsidRPr="00B01372" w:rsidTr="005F0ADF">
        <w:tc>
          <w:tcPr>
            <w:tcW w:w="1648" w:type="pct"/>
          </w:tcPr>
          <w:p w:rsidR="005F0ADF" w:rsidRPr="00B01372" w:rsidRDefault="007C7271" w:rsidP="005F0ADF">
            <w:r w:rsidRPr="00B01372">
              <w:rPr>
                <w:b/>
              </w:rPr>
              <w:t>V</w:t>
            </w:r>
            <w:r w:rsidR="00DD5AB5" w:rsidRPr="00B01372">
              <w:rPr>
                <w:b/>
              </w:rPr>
              <w:t xml:space="preserve">.2.2. </w:t>
            </w:r>
            <w:r w:rsidR="0037143F">
              <w:rPr>
                <w:b/>
              </w:rPr>
              <w:t>Supporting documents</w:t>
            </w:r>
          </w:p>
        </w:tc>
        <w:tc>
          <w:tcPr>
            <w:tcW w:w="3352" w:type="pct"/>
          </w:tcPr>
          <w:p w:rsidR="005F0ADF" w:rsidRPr="00B01372" w:rsidRDefault="005F0ADF" w:rsidP="005F0ADF">
            <w:pPr>
              <w:jc w:val="both"/>
            </w:pPr>
            <w:r w:rsidRPr="00B01372">
              <w:t xml:space="preserve"> </w:t>
            </w:r>
          </w:p>
        </w:tc>
      </w:tr>
      <w:tr w:rsidR="00DD5AB5" w:rsidRPr="00B01372" w:rsidTr="005F0ADF">
        <w:tc>
          <w:tcPr>
            <w:tcW w:w="1648" w:type="pct"/>
          </w:tcPr>
          <w:p w:rsidR="00DD5AB5" w:rsidRPr="00B01372" w:rsidRDefault="00DD5AB5" w:rsidP="0037143F">
            <w:pPr>
              <w:rPr>
                <w:b/>
              </w:rPr>
            </w:pPr>
            <w:r w:rsidRPr="00B01372">
              <w:t>Please report any available evidence or supporting document</w:t>
            </w:r>
            <w:r w:rsidR="006753EC" w:rsidRPr="00B01372">
              <w:t xml:space="preserve"> for point </w:t>
            </w:r>
            <w:r w:rsidR="007C7271" w:rsidRPr="00B01372">
              <w:t>V</w:t>
            </w:r>
            <w:r w:rsidR="006753EC" w:rsidRPr="00B01372">
              <w:t>.2</w:t>
            </w:r>
            <w:r w:rsidR="002C131E" w:rsidRPr="00B01372">
              <w:t>.1</w:t>
            </w:r>
            <w:r w:rsidRPr="00B01372">
              <w:t xml:space="preserve"> illustrating the measures, achievements or challenges faced, relating to the promotion of SRPP. </w:t>
            </w:r>
          </w:p>
        </w:tc>
        <w:tc>
          <w:tcPr>
            <w:tcW w:w="3352" w:type="pct"/>
          </w:tcPr>
          <w:p w:rsidR="00DD5AB5" w:rsidRPr="00D4777F" w:rsidDel="00DD5AB5" w:rsidRDefault="00DD5AB5" w:rsidP="00847833">
            <w:pPr>
              <w:pStyle w:val="ListParagraph"/>
              <w:jc w:val="both"/>
              <w:rPr>
                <w:strike/>
              </w:rPr>
            </w:pPr>
          </w:p>
        </w:tc>
      </w:tr>
      <w:tr w:rsidR="00DD5AB5" w:rsidRPr="00B01372" w:rsidTr="005F0ADF">
        <w:tc>
          <w:tcPr>
            <w:tcW w:w="1648" w:type="pct"/>
          </w:tcPr>
          <w:p w:rsidR="00DD5AB5" w:rsidRPr="00B01372" w:rsidRDefault="007C7271" w:rsidP="005F0ADF">
            <w:pPr>
              <w:rPr>
                <w:b/>
              </w:rPr>
            </w:pPr>
            <w:r w:rsidRPr="00B01372">
              <w:rPr>
                <w:b/>
              </w:rPr>
              <w:t>V</w:t>
            </w:r>
            <w:r w:rsidR="00DD5AB5" w:rsidRPr="00B01372">
              <w:rPr>
                <w:b/>
              </w:rPr>
              <w:t xml:space="preserve">.2.3. Quantitative indicators  </w:t>
            </w:r>
          </w:p>
        </w:tc>
        <w:tc>
          <w:tcPr>
            <w:tcW w:w="3352" w:type="pct"/>
          </w:tcPr>
          <w:p w:rsidR="00DD5AB5" w:rsidRPr="00D4777F" w:rsidDel="00DD5AB5" w:rsidRDefault="00DD5AB5" w:rsidP="00C6144F">
            <w:pPr>
              <w:jc w:val="both"/>
              <w:rPr>
                <w:strike/>
              </w:rPr>
            </w:pPr>
          </w:p>
        </w:tc>
      </w:tr>
      <w:tr w:rsidR="00DD5AB5" w:rsidRPr="00B01372" w:rsidTr="005F0ADF">
        <w:tc>
          <w:tcPr>
            <w:tcW w:w="1648" w:type="pct"/>
          </w:tcPr>
          <w:p w:rsidR="00DD5AB5" w:rsidRPr="00B01372" w:rsidRDefault="00DD5AB5" w:rsidP="002C131E">
            <w:r w:rsidRPr="00B01372">
              <w:t xml:space="preserve">Please provide, when available, any quantitative data (statistics, etc.) illustrating the achievements and challenges identified under section </w:t>
            </w:r>
            <w:r w:rsidR="007C7271" w:rsidRPr="00B01372">
              <w:t>V</w:t>
            </w:r>
            <w:r w:rsidRPr="00B01372">
              <w:t>.2.</w:t>
            </w:r>
            <w:r w:rsidR="002C131E" w:rsidRPr="00B01372">
              <w:t xml:space="preserve">1 </w:t>
            </w:r>
            <w:r w:rsidRPr="00B01372">
              <w:lastRenderedPageBreak/>
              <w:t xml:space="preserve">above. </w:t>
            </w:r>
          </w:p>
        </w:tc>
        <w:tc>
          <w:tcPr>
            <w:tcW w:w="3352" w:type="pct"/>
          </w:tcPr>
          <w:p w:rsidR="00FF42D2" w:rsidRPr="00B01372" w:rsidDel="00DD5AB5" w:rsidRDefault="00FF42D2" w:rsidP="00DC6C32">
            <w:pPr>
              <w:pStyle w:val="ListParagraph"/>
              <w:jc w:val="both"/>
            </w:pPr>
          </w:p>
        </w:tc>
      </w:tr>
      <w:tr w:rsidR="009D79A4" w:rsidRPr="00B01372" w:rsidTr="006708CC">
        <w:tc>
          <w:tcPr>
            <w:tcW w:w="1648" w:type="pct"/>
          </w:tcPr>
          <w:p w:rsidR="009D79A4" w:rsidRPr="00B01372" w:rsidRDefault="009D79A4" w:rsidP="00DE3F88">
            <w:pPr>
              <w:pStyle w:val="Heading3"/>
              <w:outlineLvl w:val="2"/>
            </w:pPr>
            <w:r w:rsidRPr="00B01372">
              <w:lastRenderedPageBreak/>
              <w:t>V.3 Public procurement of innovati</w:t>
            </w:r>
            <w:r w:rsidR="00DE3F88" w:rsidRPr="00B01372">
              <w:t>on</w:t>
            </w:r>
          </w:p>
        </w:tc>
        <w:tc>
          <w:tcPr>
            <w:tcW w:w="3352" w:type="pct"/>
          </w:tcPr>
          <w:p w:rsidR="006C6D25" w:rsidRPr="006C6D25" w:rsidRDefault="00BC74A9" w:rsidP="00931B2C">
            <w:pPr>
              <w:rPr>
                <w:rFonts w:ascii="Trebuchet MS" w:hAnsi="Trebuchet MS"/>
              </w:rPr>
            </w:pPr>
            <w:r w:rsidRPr="00BC74A9">
              <w:rPr>
                <w:rFonts w:ascii="Trebuchet MS" w:hAnsi="Trebuchet MS"/>
              </w:rPr>
              <w:t>In order to provide the requested information, we are preparing the infrastructure necessary for collecting and processing data for filling the report.</w:t>
            </w:r>
          </w:p>
          <w:p w:rsidR="006C6D25" w:rsidRPr="00931B2C" w:rsidRDefault="006C6D25" w:rsidP="00931B2C"/>
        </w:tc>
      </w:tr>
      <w:tr w:rsidR="006708CC" w:rsidRPr="00B01372" w:rsidTr="006708CC">
        <w:tc>
          <w:tcPr>
            <w:tcW w:w="1648" w:type="pct"/>
          </w:tcPr>
          <w:p w:rsidR="006708CC" w:rsidRPr="00B01372" w:rsidRDefault="009D79A4" w:rsidP="00FE7D75">
            <w:pPr>
              <w:pStyle w:val="Heading3"/>
              <w:outlineLvl w:val="2"/>
            </w:pPr>
            <w:r w:rsidRPr="00B01372">
              <w:t>V</w:t>
            </w:r>
            <w:r w:rsidR="006708CC" w:rsidRPr="00B01372">
              <w:t>.3.</w:t>
            </w:r>
            <w:r w:rsidRPr="00B01372">
              <w:t>1</w:t>
            </w:r>
            <w:r w:rsidR="006708CC" w:rsidRPr="00B01372">
              <w:t xml:space="preserve"> </w:t>
            </w:r>
            <w:r w:rsidR="002C131E" w:rsidRPr="00B01372">
              <w:t>Qualitative reporting</w:t>
            </w:r>
          </w:p>
        </w:tc>
        <w:tc>
          <w:tcPr>
            <w:tcW w:w="3352" w:type="pct"/>
          </w:tcPr>
          <w:p w:rsidR="006708CC" w:rsidRPr="00B01372" w:rsidRDefault="006708CC" w:rsidP="006753EC">
            <w:pPr>
              <w:pStyle w:val="Heading4"/>
              <w:numPr>
                <w:ilvl w:val="0"/>
                <w:numId w:val="0"/>
              </w:numPr>
              <w:jc w:val="both"/>
              <w:outlineLvl w:val="3"/>
            </w:pPr>
          </w:p>
        </w:tc>
      </w:tr>
      <w:tr w:rsidR="006708CC" w:rsidRPr="00B01372" w:rsidTr="006708CC">
        <w:tc>
          <w:tcPr>
            <w:tcW w:w="1648" w:type="pct"/>
          </w:tcPr>
          <w:p w:rsidR="006708CC" w:rsidRPr="00B01372" w:rsidRDefault="006708CC" w:rsidP="006708CC">
            <w:r w:rsidRPr="00B01372">
              <w:t>Key challenges encountered</w:t>
            </w:r>
          </w:p>
          <w:p w:rsidR="006708CC" w:rsidRPr="00B01372" w:rsidRDefault="006708CC" w:rsidP="00FE7D75"/>
        </w:tc>
        <w:tc>
          <w:tcPr>
            <w:tcW w:w="3352" w:type="pct"/>
          </w:tcPr>
          <w:p w:rsidR="006708CC" w:rsidRPr="00B01372" w:rsidRDefault="006708CC" w:rsidP="006753EC">
            <w:pPr>
              <w:jc w:val="both"/>
            </w:pPr>
          </w:p>
        </w:tc>
      </w:tr>
      <w:tr w:rsidR="006708CC" w:rsidRPr="00B01372" w:rsidTr="006708CC">
        <w:tc>
          <w:tcPr>
            <w:tcW w:w="1648" w:type="pct"/>
          </w:tcPr>
          <w:p w:rsidR="006708CC" w:rsidRPr="00B01372" w:rsidRDefault="009D79A4" w:rsidP="00FE7D75">
            <w:pPr>
              <w:pStyle w:val="Heading3"/>
              <w:outlineLvl w:val="2"/>
            </w:pPr>
            <w:r w:rsidRPr="00B01372">
              <w:t>V</w:t>
            </w:r>
            <w:r w:rsidR="006708CC" w:rsidRPr="00B01372">
              <w:t xml:space="preserve">.3.2. </w:t>
            </w:r>
            <w:r w:rsidR="0037143F" w:rsidRPr="0037143F">
              <w:t>Supporting documents</w:t>
            </w:r>
          </w:p>
        </w:tc>
        <w:tc>
          <w:tcPr>
            <w:tcW w:w="3352" w:type="pct"/>
          </w:tcPr>
          <w:p w:rsidR="006708CC" w:rsidRPr="00B01372" w:rsidRDefault="006708CC" w:rsidP="00FE7D75">
            <w:pPr>
              <w:rPr>
                <w:i/>
              </w:rPr>
            </w:pPr>
          </w:p>
        </w:tc>
      </w:tr>
      <w:tr w:rsidR="006708CC" w:rsidRPr="00B01372" w:rsidTr="006708CC">
        <w:tc>
          <w:tcPr>
            <w:tcW w:w="1648" w:type="pct"/>
          </w:tcPr>
          <w:p w:rsidR="006708CC" w:rsidRPr="00B01372" w:rsidRDefault="006708CC" w:rsidP="0037143F">
            <w:pPr>
              <w:pStyle w:val="Heading3"/>
              <w:outlineLvl w:val="2"/>
              <w:rPr>
                <w:b w:val="0"/>
              </w:rPr>
            </w:pPr>
            <w:r w:rsidRPr="00B01372">
              <w:rPr>
                <w:b w:val="0"/>
              </w:rPr>
              <w:t xml:space="preserve">Please report any available evidence or supporting document illustrating the measures, achievements or challenges faced, relating to the promotion </w:t>
            </w:r>
            <w:r w:rsidR="00DE3F88" w:rsidRPr="00B01372">
              <w:rPr>
                <w:b w:val="0"/>
              </w:rPr>
              <w:t xml:space="preserve">and implementation </w:t>
            </w:r>
            <w:r w:rsidRPr="00B01372">
              <w:rPr>
                <w:b w:val="0"/>
              </w:rPr>
              <w:t xml:space="preserve">of </w:t>
            </w:r>
            <w:r w:rsidR="00DE3F88" w:rsidRPr="00B01372">
              <w:rPr>
                <w:b w:val="0"/>
              </w:rPr>
              <w:t>innovation procurement</w:t>
            </w:r>
            <w:r w:rsidRPr="00B01372">
              <w:rPr>
                <w:b w:val="0"/>
              </w:rPr>
              <w:t>.</w:t>
            </w:r>
          </w:p>
        </w:tc>
        <w:tc>
          <w:tcPr>
            <w:tcW w:w="3352" w:type="pct"/>
          </w:tcPr>
          <w:p w:rsidR="006708CC" w:rsidRPr="00DC6C32" w:rsidRDefault="006708CC" w:rsidP="00DC6C32">
            <w:pPr>
              <w:jc w:val="both"/>
              <w:rPr>
                <w:i/>
              </w:rPr>
            </w:pPr>
          </w:p>
        </w:tc>
      </w:tr>
    </w:tbl>
    <w:p w:rsidR="00306938" w:rsidRPr="00B01372" w:rsidRDefault="00306938" w:rsidP="00ED019E">
      <w:pPr>
        <w:pStyle w:val="ListParagraph"/>
      </w:pPr>
    </w:p>
    <w:p w:rsidR="00DA6F44" w:rsidRPr="00B01372" w:rsidRDefault="00DA6F44" w:rsidP="00DA6F44">
      <w:pPr>
        <w:pStyle w:val="ListParagraph"/>
        <w:ind w:left="709"/>
        <w:jc w:val="both"/>
      </w:pPr>
    </w:p>
    <w:p w:rsidR="00C9307F" w:rsidRPr="00B01372" w:rsidRDefault="008F56CB" w:rsidP="00B12049">
      <w:pPr>
        <w:pStyle w:val="Heading2"/>
        <w:rPr>
          <w:rFonts w:asciiTheme="minorHAnsi" w:hAnsiTheme="minorHAnsi"/>
        </w:rPr>
      </w:pPr>
      <w:r w:rsidRPr="00B01372">
        <w:rPr>
          <w:rFonts w:asciiTheme="minorHAnsi" w:hAnsiTheme="minorHAnsi"/>
        </w:rPr>
        <w:t>Replicability</w:t>
      </w:r>
    </w:p>
    <w:p w:rsidR="00BC4C3D" w:rsidRPr="00B01372" w:rsidRDefault="00BC4C3D" w:rsidP="00BC4C3D">
      <w:pPr>
        <w:pStyle w:val="NoSpacing"/>
      </w:pPr>
    </w:p>
    <w:p w:rsidR="00BD4C3B" w:rsidRPr="00B01372" w:rsidRDefault="00BD4C3B" w:rsidP="00BD4C3B">
      <w:pPr>
        <w:pStyle w:val="NoSpacing"/>
      </w:pPr>
      <w:r w:rsidRPr="00B01372">
        <w:t xml:space="preserve">This section </w:t>
      </w:r>
      <w:r w:rsidR="00807AF4" w:rsidRPr="00B01372">
        <w:t xml:space="preserve">should provide </w:t>
      </w:r>
      <w:r w:rsidRPr="00B01372">
        <w:t>information allowing any</w:t>
      </w:r>
      <w:r w:rsidR="00807AF4" w:rsidRPr="00B01372">
        <w:t>one</w:t>
      </w:r>
      <w:r w:rsidRPr="00B01372">
        <w:t xml:space="preserve"> to fully replicate </w:t>
      </w:r>
      <w:r w:rsidR="00E06A5D" w:rsidRPr="00B01372">
        <w:t xml:space="preserve">the </w:t>
      </w:r>
      <w:r w:rsidR="00BC4C3D" w:rsidRPr="00B01372">
        <w:t xml:space="preserve">quantitative </w:t>
      </w:r>
      <w:r w:rsidR="00E06A5D" w:rsidRPr="00B01372">
        <w:t>results presented in the report.</w:t>
      </w:r>
    </w:p>
    <w:p w:rsidR="00BC4C3D" w:rsidRPr="00B01372" w:rsidRDefault="00BC4C3D" w:rsidP="00BD4C3B">
      <w:pPr>
        <w:pStyle w:val="NoSpacing"/>
      </w:pPr>
    </w:p>
    <w:tbl>
      <w:tblPr>
        <w:tblStyle w:val="TableGrid"/>
        <w:tblW w:w="5000" w:type="pct"/>
        <w:tblLook w:val="04A0" w:firstRow="1" w:lastRow="0" w:firstColumn="1" w:lastColumn="0" w:noHBand="0" w:noVBand="1"/>
      </w:tblPr>
      <w:tblGrid>
        <w:gridCol w:w="4687"/>
        <w:gridCol w:w="9533"/>
      </w:tblGrid>
      <w:tr w:rsidR="00BC4C3D" w:rsidRPr="00B01372" w:rsidTr="00F249E2">
        <w:tc>
          <w:tcPr>
            <w:tcW w:w="1648" w:type="pct"/>
          </w:tcPr>
          <w:p w:rsidR="00BC4C3D" w:rsidRPr="00B01372" w:rsidRDefault="00BC4C3D" w:rsidP="00BC4C3D">
            <w:pPr>
              <w:pStyle w:val="Heading3"/>
              <w:outlineLvl w:val="2"/>
              <w:rPr>
                <w:b w:val="0"/>
              </w:rPr>
            </w:pPr>
            <w:r w:rsidRPr="00B01372">
              <w:rPr>
                <w:b w:val="0"/>
              </w:rPr>
              <w:t>Links to datasets used to prepare the report</w:t>
            </w:r>
          </w:p>
          <w:p w:rsidR="00BC4C3D" w:rsidRPr="00B01372" w:rsidRDefault="00BC4C3D" w:rsidP="00F249E2">
            <w:pPr>
              <w:pStyle w:val="Heading3"/>
              <w:outlineLvl w:val="2"/>
              <w:rPr>
                <w:b w:val="0"/>
              </w:rPr>
            </w:pPr>
          </w:p>
        </w:tc>
        <w:tc>
          <w:tcPr>
            <w:tcW w:w="3352" w:type="pct"/>
          </w:tcPr>
          <w:p w:rsidR="00F4518C" w:rsidRDefault="00F4518C" w:rsidP="001D0125">
            <w:pPr>
              <w:pStyle w:val="NoSpacing"/>
            </w:pPr>
          </w:p>
          <w:p w:rsidR="00F4518C" w:rsidRDefault="0008611D" w:rsidP="00F4518C">
            <w:pPr>
              <w:rPr>
                <w:rFonts w:ascii="Trebuchet MS" w:hAnsi="Trebuchet MS" w:cs="Times New Roman"/>
                <w:u w:val="single"/>
              </w:rPr>
            </w:pPr>
            <w:hyperlink r:id="rId27" w:history="1">
              <w:r w:rsidR="00C448F3" w:rsidRPr="00D71D2C">
                <w:rPr>
                  <w:rStyle w:val="Hyperlink"/>
                  <w:rFonts w:ascii="Trebuchet MS" w:hAnsi="Trebuchet MS" w:cs="Times New Roman"/>
                </w:rPr>
                <w:t>www.e-licitatie.ro</w:t>
              </w:r>
            </w:hyperlink>
          </w:p>
          <w:p w:rsidR="00F620FC" w:rsidRDefault="00F620FC" w:rsidP="00F4518C">
            <w:pPr>
              <w:pStyle w:val="NoSpacing"/>
              <w:rPr>
                <w:rFonts w:ascii="Trebuchet MS" w:hAnsi="Trebuchet MS" w:cs="Times New Roman"/>
              </w:rPr>
            </w:pPr>
          </w:p>
          <w:p w:rsidR="00654BBA" w:rsidRDefault="00654BBA" w:rsidP="00F4518C">
            <w:pPr>
              <w:pStyle w:val="NoSpacing"/>
              <w:rPr>
                <w:rFonts w:ascii="Trebuchet MS" w:hAnsi="Trebuchet MS" w:cs="Times New Roman"/>
              </w:rPr>
            </w:pPr>
            <w:r w:rsidRPr="00654BBA">
              <w:rPr>
                <w:rFonts w:ascii="Trebuchet MS" w:hAnsi="Trebuchet MS" w:cs="Times New Roman"/>
              </w:rPr>
              <w:t xml:space="preserve">When interested individuals or legal </w:t>
            </w:r>
            <w:r w:rsidR="00C448F3">
              <w:rPr>
                <w:rFonts w:ascii="Trebuchet MS" w:hAnsi="Trebuchet MS" w:cs="Times New Roman"/>
              </w:rPr>
              <w:t xml:space="preserve">persons wants to copy </w:t>
            </w:r>
            <w:r w:rsidRPr="00654BBA">
              <w:rPr>
                <w:rFonts w:ascii="Trebuchet MS" w:hAnsi="Trebuchet MS" w:cs="Times New Roman"/>
              </w:rPr>
              <w:t xml:space="preserve">the quantitative results presented in the report and </w:t>
            </w:r>
            <w:r w:rsidR="00C448F3">
              <w:rPr>
                <w:rFonts w:ascii="Trebuchet MS" w:hAnsi="Trebuchet MS" w:cs="Times New Roman"/>
              </w:rPr>
              <w:t>they invoke</w:t>
            </w:r>
            <w:r w:rsidRPr="00654BBA">
              <w:rPr>
                <w:rFonts w:ascii="Trebuchet MS" w:hAnsi="Trebuchet MS" w:cs="Times New Roman"/>
              </w:rPr>
              <w:t xml:space="preserve"> other sources of information than those </w:t>
            </w:r>
            <w:r w:rsidR="00C448F3">
              <w:rPr>
                <w:rFonts w:ascii="Trebuchet MS" w:hAnsi="Trebuchet MS" w:cs="Times New Roman"/>
              </w:rPr>
              <w:t>mentioned</w:t>
            </w:r>
            <w:r w:rsidRPr="00654BBA">
              <w:rPr>
                <w:rFonts w:ascii="Trebuchet MS" w:hAnsi="Trebuchet MS" w:cs="Times New Roman"/>
              </w:rPr>
              <w:t xml:space="preserve"> above (e</w:t>
            </w:r>
            <w:r w:rsidR="00C448F3">
              <w:rPr>
                <w:rFonts w:ascii="Trebuchet MS" w:hAnsi="Trebuchet MS" w:cs="Times New Roman"/>
              </w:rPr>
              <w:t>.</w:t>
            </w:r>
            <w:r w:rsidRPr="00654BBA">
              <w:rPr>
                <w:rFonts w:ascii="Trebuchet MS" w:hAnsi="Trebuchet MS" w:cs="Times New Roman"/>
              </w:rPr>
              <w:t>g</w:t>
            </w:r>
            <w:r w:rsidR="00C448F3">
              <w:rPr>
                <w:rFonts w:ascii="Trebuchet MS" w:hAnsi="Trebuchet MS" w:cs="Times New Roman"/>
              </w:rPr>
              <w:t xml:space="preserve">.: </w:t>
            </w:r>
            <w:r w:rsidRPr="00654BBA">
              <w:rPr>
                <w:rFonts w:ascii="Trebuchet MS" w:hAnsi="Trebuchet MS" w:cs="Times New Roman"/>
              </w:rPr>
              <w:t xml:space="preserve"> www.data.gov.ro), they must ensure </w:t>
            </w:r>
            <w:r w:rsidR="001567D9">
              <w:rPr>
                <w:rFonts w:ascii="Trebuchet MS" w:hAnsi="Trebuchet MS" w:cs="Times New Roman"/>
              </w:rPr>
              <w:t>themselves</w:t>
            </w:r>
            <w:r w:rsidR="00C448F3">
              <w:rPr>
                <w:rFonts w:ascii="Trebuchet MS" w:hAnsi="Trebuchet MS" w:cs="Times New Roman"/>
              </w:rPr>
              <w:t xml:space="preserve"> </w:t>
            </w:r>
            <w:r w:rsidRPr="00654BBA">
              <w:rPr>
                <w:rFonts w:ascii="Trebuchet MS" w:hAnsi="Trebuchet MS" w:cs="Times New Roman"/>
              </w:rPr>
              <w:t>that the</w:t>
            </w:r>
            <w:r w:rsidR="00C448F3">
              <w:rPr>
                <w:rFonts w:ascii="Trebuchet MS" w:hAnsi="Trebuchet MS" w:cs="Times New Roman"/>
              </w:rPr>
              <w:t xml:space="preserve">se </w:t>
            </w:r>
            <w:r w:rsidRPr="00654BBA">
              <w:rPr>
                <w:rFonts w:ascii="Trebuchet MS" w:hAnsi="Trebuchet MS" w:cs="Times New Roman"/>
              </w:rPr>
              <w:t xml:space="preserve"> do not contain  materia</w:t>
            </w:r>
            <w:r w:rsidR="007A409D">
              <w:rPr>
                <w:rFonts w:ascii="Trebuchet MS" w:hAnsi="Trebuchet MS" w:cs="Times New Roman"/>
              </w:rPr>
              <w:t xml:space="preserve">l errors that can significantly </w:t>
            </w:r>
            <w:r w:rsidR="007A409D" w:rsidRPr="007A409D">
              <w:rPr>
                <w:rFonts w:ascii="Trebuchet MS" w:hAnsi="Trebuchet MS" w:cs="Times New Roman"/>
              </w:rPr>
              <w:t>change</w:t>
            </w:r>
            <w:r w:rsidRPr="00654BBA">
              <w:rPr>
                <w:rFonts w:ascii="Trebuchet MS" w:hAnsi="Trebuchet MS" w:cs="Times New Roman"/>
              </w:rPr>
              <w:t xml:space="preserve"> the results.</w:t>
            </w:r>
          </w:p>
          <w:p w:rsidR="00F620FC" w:rsidRPr="00B01372" w:rsidRDefault="00F620FC" w:rsidP="00F4518C">
            <w:pPr>
              <w:pStyle w:val="NoSpacing"/>
            </w:pPr>
          </w:p>
        </w:tc>
      </w:tr>
      <w:tr w:rsidR="00BC4C3D" w:rsidRPr="00B01372" w:rsidTr="00F249E2">
        <w:tc>
          <w:tcPr>
            <w:tcW w:w="1648" w:type="pct"/>
          </w:tcPr>
          <w:p w:rsidR="00BC4C3D" w:rsidRPr="00B01372" w:rsidRDefault="002B0F2F" w:rsidP="002B0F2F">
            <w:pPr>
              <w:pStyle w:val="Heading3"/>
              <w:outlineLvl w:val="2"/>
              <w:rPr>
                <w:b w:val="0"/>
              </w:rPr>
            </w:pPr>
            <w:r w:rsidRPr="00B01372">
              <w:rPr>
                <w:b w:val="0"/>
              </w:rPr>
              <w:t>Files used to obtain the results from the datasets</w:t>
            </w:r>
          </w:p>
        </w:tc>
        <w:tc>
          <w:tcPr>
            <w:tcW w:w="3352" w:type="pct"/>
          </w:tcPr>
          <w:p w:rsidR="001C3065" w:rsidRPr="001C3065" w:rsidRDefault="001C3065" w:rsidP="002B0F2F">
            <w:pPr>
              <w:rPr>
                <w:rFonts w:ascii="Trebuchet MS" w:hAnsi="Trebuchet MS"/>
              </w:rPr>
            </w:pPr>
            <w:r w:rsidRPr="001C3065">
              <w:rPr>
                <w:rFonts w:ascii="Trebuchet MS" w:hAnsi="Trebuchet MS"/>
              </w:rPr>
              <w:t xml:space="preserve">Reports received by </w:t>
            </w:r>
            <w:r w:rsidR="007A409D">
              <w:rPr>
                <w:rFonts w:ascii="Trebuchet MS" w:hAnsi="Trebuchet MS"/>
              </w:rPr>
              <w:t>the National Procurement A</w:t>
            </w:r>
            <w:r w:rsidR="007A409D" w:rsidRPr="007A409D">
              <w:rPr>
                <w:rFonts w:ascii="Trebuchet MS" w:hAnsi="Trebuchet MS"/>
              </w:rPr>
              <w:t>gency</w:t>
            </w:r>
            <w:r w:rsidR="007A409D">
              <w:rPr>
                <w:rFonts w:ascii="Trebuchet MS" w:hAnsi="Trebuchet MS"/>
              </w:rPr>
              <w:t xml:space="preserve"> (</w:t>
            </w:r>
            <w:r w:rsidRPr="001C3065">
              <w:rPr>
                <w:rFonts w:ascii="Trebuchet MS" w:hAnsi="Trebuchet MS"/>
              </w:rPr>
              <w:t>ANAP</w:t>
            </w:r>
            <w:r w:rsidR="007A409D">
              <w:rPr>
                <w:rFonts w:ascii="Trebuchet MS" w:hAnsi="Trebuchet MS"/>
              </w:rPr>
              <w:t>)</w:t>
            </w:r>
            <w:r w:rsidRPr="001C3065">
              <w:rPr>
                <w:rFonts w:ascii="Trebuchet MS" w:hAnsi="Trebuchet MS"/>
              </w:rPr>
              <w:t xml:space="preserve"> from the Electronic Procurement System Operator</w:t>
            </w:r>
            <w:r w:rsidR="004941F6">
              <w:rPr>
                <w:rFonts w:ascii="Trebuchet MS" w:hAnsi="Trebuchet MS"/>
              </w:rPr>
              <w:t xml:space="preserve"> (SEAP)</w:t>
            </w:r>
            <w:r w:rsidRPr="001C3065">
              <w:rPr>
                <w:rFonts w:ascii="Trebuchet MS" w:hAnsi="Trebuchet MS"/>
              </w:rPr>
              <w:t>.</w:t>
            </w:r>
          </w:p>
        </w:tc>
      </w:tr>
    </w:tbl>
    <w:p w:rsidR="00BC4C3D" w:rsidRPr="00B01372" w:rsidRDefault="00BC4C3D" w:rsidP="00BD4C3B">
      <w:pPr>
        <w:pStyle w:val="NoSpacing"/>
      </w:pPr>
    </w:p>
    <w:p w:rsidR="00BD4C3B" w:rsidRPr="00B01372" w:rsidRDefault="00BD4C3B" w:rsidP="00BD4C3B">
      <w:pPr>
        <w:pStyle w:val="NoSpacing"/>
      </w:pPr>
    </w:p>
    <w:p w:rsidR="008F56CB" w:rsidRPr="00B01372" w:rsidRDefault="008F56CB" w:rsidP="008F56CB">
      <w:pPr>
        <w:pStyle w:val="NoSpacing"/>
      </w:pPr>
    </w:p>
    <w:p w:rsidR="00BA1A89" w:rsidRPr="00B01372" w:rsidRDefault="00BA1A89" w:rsidP="00482B9A">
      <w:pPr>
        <w:pStyle w:val="NoSpacing"/>
      </w:pPr>
    </w:p>
    <w:p w:rsidR="00482B9A" w:rsidRPr="00B01372" w:rsidRDefault="00482B9A" w:rsidP="00566A07">
      <w:pPr>
        <w:pStyle w:val="NoSpacing"/>
      </w:pPr>
    </w:p>
    <w:p w:rsidR="00F94ABC" w:rsidRPr="00B01372" w:rsidRDefault="00F94ABC" w:rsidP="00F94ABC"/>
    <w:p w:rsidR="00F94ABC" w:rsidRPr="00B01372" w:rsidRDefault="00F94ABC" w:rsidP="00F94ABC">
      <w:pPr>
        <w:pStyle w:val="NoSpacing"/>
      </w:pPr>
      <w:bookmarkStart w:id="0" w:name="_GoBack"/>
      <w:bookmarkEnd w:id="0"/>
    </w:p>
    <w:p w:rsidR="00F94ABC" w:rsidRPr="00B01372" w:rsidRDefault="00F94ABC" w:rsidP="00F94ABC">
      <w:pPr>
        <w:jc w:val="center"/>
        <w:rPr>
          <w:b/>
        </w:rPr>
      </w:pPr>
      <w:r w:rsidRPr="00B01372">
        <w:rPr>
          <w:b/>
          <w:u w:val="single"/>
        </w:rPr>
        <w:t>Annex I</w:t>
      </w:r>
      <w:r w:rsidRPr="00B01372">
        <w:rPr>
          <w:b/>
        </w:rPr>
        <w:t>:</w:t>
      </w:r>
    </w:p>
    <w:p w:rsidR="003E56A6" w:rsidRDefault="003E56A6" w:rsidP="00F94ABC">
      <w:pPr>
        <w:jc w:val="center"/>
        <w:rPr>
          <w:b/>
        </w:rPr>
      </w:pPr>
      <w:r w:rsidRPr="00B01372">
        <w:rPr>
          <w:b/>
        </w:rPr>
        <w:t xml:space="preserve">Methodology </w:t>
      </w:r>
      <w:r w:rsidR="00C314EF" w:rsidRPr="00B01372">
        <w:rPr>
          <w:b/>
        </w:rPr>
        <w:t xml:space="preserve">for </w:t>
      </w:r>
      <w:r w:rsidRPr="00B01372">
        <w:rPr>
          <w:b/>
        </w:rPr>
        <w:t>estimati</w:t>
      </w:r>
      <w:r w:rsidR="008337F4" w:rsidRPr="00B01372">
        <w:rPr>
          <w:b/>
        </w:rPr>
        <w:t>ng</w:t>
      </w:r>
      <w:r w:rsidRPr="00B01372">
        <w:rPr>
          <w:b/>
        </w:rPr>
        <w:t xml:space="preserve"> </w:t>
      </w:r>
      <w:r w:rsidR="002F225B" w:rsidRPr="00B01372">
        <w:rPr>
          <w:b/>
        </w:rPr>
        <w:t>the value of</w:t>
      </w:r>
      <w:r w:rsidR="00F94ABC" w:rsidRPr="00B01372">
        <w:rPr>
          <w:b/>
        </w:rPr>
        <w:t xml:space="preserve"> </w:t>
      </w:r>
      <w:r w:rsidRPr="00B01372">
        <w:rPr>
          <w:b/>
        </w:rPr>
        <w:t>procurement which would have been covered by the directives if its value ha</w:t>
      </w:r>
      <w:r w:rsidR="00C314EF" w:rsidRPr="00B01372">
        <w:rPr>
          <w:b/>
        </w:rPr>
        <w:t>d</w:t>
      </w:r>
      <w:r w:rsidRPr="00B01372">
        <w:rPr>
          <w:b/>
        </w:rPr>
        <w:t xml:space="preserve"> exceeded the relevant thresholds</w:t>
      </w:r>
    </w:p>
    <w:p w:rsidR="006B4597" w:rsidRPr="006B4597" w:rsidRDefault="006B4597" w:rsidP="00E440E5">
      <w:pPr>
        <w:spacing w:after="0" w:line="240" w:lineRule="auto"/>
        <w:jc w:val="both"/>
        <w:rPr>
          <w:rFonts w:ascii="Trebuchet MS" w:hAnsi="Trebuchet MS" w:cs="Times New Roman"/>
        </w:rPr>
      </w:pPr>
    </w:p>
    <w:p w:rsidR="00D24317" w:rsidRPr="00B01372" w:rsidRDefault="003C0390" w:rsidP="00A34AA2">
      <w:pPr>
        <w:jc w:val="both"/>
      </w:pPr>
      <w:r w:rsidRPr="003C0390">
        <w:rPr>
          <w:rFonts w:ascii="Trebuchet MS" w:hAnsi="Trebuchet MS"/>
        </w:rPr>
        <w:t>The s</w:t>
      </w:r>
      <w:r w:rsidR="007A409D">
        <w:rPr>
          <w:rFonts w:ascii="Trebuchet MS" w:hAnsi="Trebuchet MS"/>
        </w:rPr>
        <w:t>tatistical information transmitted</w:t>
      </w:r>
      <w:r w:rsidRPr="003C0390">
        <w:rPr>
          <w:rFonts w:ascii="Trebuchet MS" w:hAnsi="Trebuchet MS"/>
        </w:rPr>
        <w:t xml:space="preserve"> in this report was based on the data provided by the SEAP operator</w:t>
      </w:r>
      <w:r w:rsidR="001567D9">
        <w:rPr>
          <w:rFonts w:ascii="Trebuchet MS" w:hAnsi="Trebuchet MS"/>
        </w:rPr>
        <w:t>,</w:t>
      </w:r>
      <w:r w:rsidRPr="003C0390">
        <w:rPr>
          <w:rFonts w:ascii="Trebuchet MS" w:hAnsi="Trebuchet MS"/>
        </w:rPr>
        <w:t xml:space="preserve"> </w:t>
      </w:r>
      <w:r w:rsidR="001567D9">
        <w:rPr>
          <w:rFonts w:ascii="Trebuchet MS" w:hAnsi="Trebuchet MS"/>
        </w:rPr>
        <w:t>such</w:t>
      </w:r>
      <w:r w:rsidRPr="003C0390">
        <w:rPr>
          <w:rFonts w:ascii="Trebuchet MS" w:hAnsi="Trebuchet MS"/>
        </w:rPr>
        <w:t xml:space="preserve"> </w:t>
      </w:r>
      <w:r w:rsidR="001567D9">
        <w:rPr>
          <w:rFonts w:ascii="Trebuchet MS" w:hAnsi="Trebuchet MS"/>
        </w:rPr>
        <w:t xml:space="preserve">as it was </w:t>
      </w:r>
      <w:r w:rsidRPr="003C0390">
        <w:rPr>
          <w:rFonts w:ascii="Trebuchet MS" w:hAnsi="Trebuchet MS"/>
        </w:rPr>
        <w:t>submitted for publication by the contracting authorities / entities.</w:t>
      </w:r>
    </w:p>
    <w:p w:rsidR="003E56A6" w:rsidRPr="00B01372" w:rsidRDefault="00D24317" w:rsidP="003E56A6">
      <w:pPr>
        <w:pStyle w:val="Heading3"/>
      </w:pPr>
      <w:r w:rsidRPr="00B01372">
        <w:t xml:space="preserve">1. </w:t>
      </w:r>
      <w:r w:rsidR="003E56A6" w:rsidRPr="00B01372">
        <w:t xml:space="preserve">Classification and methodology </w:t>
      </w:r>
    </w:p>
    <w:p w:rsidR="003E56A6" w:rsidRPr="00B01372" w:rsidRDefault="003E56A6" w:rsidP="003E56A6">
      <w:pPr>
        <w:pStyle w:val="NoSpacing"/>
        <w:ind w:left="720"/>
      </w:pPr>
    </w:p>
    <w:p w:rsidR="003E56A6" w:rsidRPr="00B01372" w:rsidRDefault="003E56A6" w:rsidP="00A34AA2">
      <w:pPr>
        <w:pStyle w:val="NoSpacing"/>
        <w:ind w:left="720"/>
      </w:pPr>
      <w:r w:rsidRPr="00B01372">
        <w:t>Indicate the basic characteristics of the methodology used by selecting from the options below. Description of the methodology is to be given in the subsequent section.</w:t>
      </w:r>
    </w:p>
    <w:p w:rsidR="003E56A6" w:rsidRPr="00B01372" w:rsidRDefault="00D24317" w:rsidP="00A34AA2">
      <w:pPr>
        <w:pStyle w:val="Heading4"/>
        <w:numPr>
          <w:ilvl w:val="0"/>
          <w:numId w:val="0"/>
        </w:numPr>
        <w:ind w:left="947"/>
      </w:pPr>
      <w:r w:rsidRPr="00B01372">
        <w:t xml:space="preserve">1.1. </w:t>
      </w:r>
      <w:r w:rsidR="003E56A6" w:rsidRPr="00B01372">
        <w:t>General approach:</w:t>
      </w:r>
      <w:r w:rsidR="008540A7" w:rsidRPr="00B01372">
        <w:br/>
      </w:r>
      <w:r w:rsidR="003E56A6" w:rsidRPr="00B01372">
        <w:t>[data available under national publication requirements]</w:t>
      </w:r>
    </w:p>
    <w:p w:rsidR="003E56A6" w:rsidRPr="00B01372" w:rsidRDefault="003E56A6" w:rsidP="00707DFB">
      <w:pPr>
        <w:pStyle w:val="NoSpacing"/>
        <w:numPr>
          <w:ilvl w:val="0"/>
          <w:numId w:val="1"/>
        </w:numPr>
      </w:pPr>
      <w:r w:rsidRPr="00B01372">
        <w:t>[sample-based estimates]</w:t>
      </w:r>
    </w:p>
    <w:p w:rsidR="003E56A6" w:rsidRPr="00B01372" w:rsidRDefault="003E56A6" w:rsidP="00707DFB">
      <w:pPr>
        <w:pStyle w:val="NoSpacing"/>
        <w:numPr>
          <w:ilvl w:val="0"/>
          <w:numId w:val="1"/>
        </w:numPr>
      </w:pPr>
      <w:r w:rsidRPr="00B01372">
        <w:t>[combined]</w:t>
      </w:r>
    </w:p>
    <w:p w:rsidR="003E56A6" w:rsidRPr="00B01372" w:rsidRDefault="003E56A6" w:rsidP="008540A7">
      <w:pPr>
        <w:pStyle w:val="NoSpacing"/>
        <w:ind w:left="792"/>
        <w:jc w:val="both"/>
      </w:pPr>
      <w:r w:rsidRPr="00B01372">
        <w:t xml:space="preserve">Please note that in our opinion using existing administrative data is preferable, as it implies both lower administrative burden (no additional data collection is necessary) and higher data quality. </w:t>
      </w:r>
    </w:p>
    <w:p w:rsidR="003E56A6" w:rsidRPr="00B01372" w:rsidRDefault="003E56A6" w:rsidP="008540A7">
      <w:pPr>
        <w:pStyle w:val="NoSpacing"/>
        <w:ind w:left="792"/>
        <w:jc w:val="both"/>
      </w:pPr>
    </w:p>
    <w:p w:rsidR="003E56A6" w:rsidRPr="00B01372" w:rsidRDefault="003E56A6" w:rsidP="008540A7">
      <w:pPr>
        <w:pStyle w:val="NoSpacing"/>
        <w:ind w:left="792"/>
        <w:jc w:val="both"/>
      </w:pPr>
      <w:r w:rsidRPr="00B01372">
        <w:t xml:space="preserve">If a sampling approach is taken, both the source of the sample and the sampling methodology, provided in the following subsection, must be able to withstand careful scrutiny. This ensures that the estimate is representative of the whole Member State. </w:t>
      </w:r>
    </w:p>
    <w:p w:rsidR="003E56A6" w:rsidRPr="00B01372" w:rsidRDefault="00D24317" w:rsidP="00D24317">
      <w:pPr>
        <w:pStyle w:val="Heading4"/>
        <w:numPr>
          <w:ilvl w:val="0"/>
          <w:numId w:val="0"/>
        </w:numPr>
        <w:ind w:left="947"/>
      </w:pPr>
      <w:r w:rsidRPr="00B01372">
        <w:t xml:space="preserve">1.2. </w:t>
      </w:r>
      <w:r w:rsidR="003E56A6" w:rsidRPr="00B01372">
        <w:t>Source of data:</w:t>
      </w:r>
    </w:p>
    <w:tbl>
      <w:tblPr>
        <w:tblStyle w:val="TableGrid"/>
        <w:tblW w:w="0" w:type="auto"/>
        <w:tblInd w:w="360" w:type="dxa"/>
        <w:tblLook w:val="04A0" w:firstRow="1" w:lastRow="0" w:firstColumn="1" w:lastColumn="0" w:noHBand="0" w:noVBand="1"/>
      </w:tblPr>
      <w:tblGrid>
        <w:gridCol w:w="2976"/>
        <w:gridCol w:w="2976"/>
        <w:gridCol w:w="2976"/>
      </w:tblGrid>
      <w:tr w:rsidR="003E56A6" w:rsidRPr="00B01372" w:rsidTr="003E56A6">
        <w:tc>
          <w:tcPr>
            <w:tcW w:w="2976" w:type="dxa"/>
            <w:tcBorders>
              <w:tl2br w:val="single" w:sz="4" w:space="0" w:color="auto"/>
            </w:tcBorders>
          </w:tcPr>
          <w:p w:rsidR="003E56A6" w:rsidRPr="00B01372" w:rsidRDefault="003E56A6" w:rsidP="009F486E">
            <w:pPr>
              <w:pStyle w:val="NoSpacing"/>
              <w:ind w:firstLine="1908"/>
            </w:pPr>
            <w:r w:rsidRPr="00B01372">
              <w:t xml:space="preserve">     Scope:</w:t>
            </w:r>
          </w:p>
          <w:p w:rsidR="003E56A6" w:rsidRPr="00B01372" w:rsidRDefault="003E56A6" w:rsidP="009F486E">
            <w:pPr>
              <w:pStyle w:val="NoSpacing"/>
              <w:ind w:right="1"/>
            </w:pPr>
            <w:r w:rsidRPr="00B01372">
              <w:t>Source of data:</w:t>
            </w:r>
          </w:p>
        </w:tc>
        <w:tc>
          <w:tcPr>
            <w:tcW w:w="2976" w:type="dxa"/>
          </w:tcPr>
          <w:p w:rsidR="003E56A6" w:rsidRPr="00B01372" w:rsidRDefault="003E56A6" w:rsidP="009F486E">
            <w:pPr>
              <w:pStyle w:val="NoSpacing"/>
            </w:pPr>
            <w:r w:rsidRPr="00B01372">
              <w:t>above national publication thresholds [</w:t>
            </w:r>
            <w:r w:rsidRPr="00B01372">
              <w:sym w:font="Wingdings" w:char="F0FC"/>
            </w:r>
            <w:r w:rsidRPr="00B01372">
              <w:t>]</w:t>
            </w:r>
          </w:p>
        </w:tc>
        <w:tc>
          <w:tcPr>
            <w:tcW w:w="2976" w:type="dxa"/>
          </w:tcPr>
          <w:p w:rsidR="003E56A6" w:rsidRPr="00B01372" w:rsidRDefault="003E56A6" w:rsidP="009F486E">
            <w:pPr>
              <w:pStyle w:val="NoSpacing"/>
            </w:pPr>
            <w:r w:rsidRPr="00B01372">
              <w:t>below national publication thresholds [</w:t>
            </w:r>
            <w:r w:rsidRPr="00B01372">
              <w:sym w:font="Wingdings" w:char="F0FC"/>
            </w:r>
            <w:r w:rsidRPr="00B01372">
              <w:t>]</w:t>
            </w:r>
          </w:p>
        </w:tc>
      </w:tr>
      <w:tr w:rsidR="003E56A6" w:rsidRPr="00B01372" w:rsidTr="003E56A6">
        <w:tc>
          <w:tcPr>
            <w:tcW w:w="2976" w:type="dxa"/>
          </w:tcPr>
          <w:p w:rsidR="003E56A6" w:rsidRPr="00B01372" w:rsidRDefault="003E56A6" w:rsidP="009F486E">
            <w:pPr>
              <w:pStyle w:val="NoSpacing"/>
            </w:pPr>
            <w:r w:rsidRPr="00B01372">
              <w:t>[e-notification platforms]</w:t>
            </w:r>
          </w:p>
        </w:tc>
        <w:tc>
          <w:tcPr>
            <w:tcW w:w="2976" w:type="dxa"/>
          </w:tcPr>
          <w:p w:rsidR="003E56A6" w:rsidRPr="00B01372" w:rsidRDefault="003E56A6" w:rsidP="009F486E">
            <w:pPr>
              <w:pStyle w:val="NoSpacing"/>
              <w:jc w:val="center"/>
            </w:pPr>
          </w:p>
        </w:tc>
        <w:tc>
          <w:tcPr>
            <w:tcW w:w="2976" w:type="dxa"/>
          </w:tcPr>
          <w:p w:rsidR="003E56A6" w:rsidRPr="00B01372" w:rsidRDefault="003E56A6" w:rsidP="009F486E">
            <w:pPr>
              <w:pStyle w:val="NoSpacing"/>
              <w:jc w:val="center"/>
            </w:pPr>
          </w:p>
        </w:tc>
      </w:tr>
      <w:tr w:rsidR="003E56A6" w:rsidRPr="00B01372" w:rsidTr="003E56A6">
        <w:tc>
          <w:tcPr>
            <w:tcW w:w="2976" w:type="dxa"/>
          </w:tcPr>
          <w:p w:rsidR="003E56A6" w:rsidRPr="00B01372" w:rsidRDefault="003E56A6" w:rsidP="009F486E">
            <w:pPr>
              <w:pStyle w:val="NoSpacing"/>
            </w:pPr>
            <w:r w:rsidRPr="00B01372">
              <w:t>[e-submission platforms]</w:t>
            </w:r>
          </w:p>
        </w:tc>
        <w:tc>
          <w:tcPr>
            <w:tcW w:w="2976" w:type="dxa"/>
          </w:tcPr>
          <w:p w:rsidR="003E56A6" w:rsidRPr="00B01372" w:rsidRDefault="003E56A6" w:rsidP="009F486E">
            <w:pPr>
              <w:pStyle w:val="NoSpacing"/>
              <w:jc w:val="center"/>
            </w:pPr>
          </w:p>
        </w:tc>
        <w:tc>
          <w:tcPr>
            <w:tcW w:w="2976" w:type="dxa"/>
          </w:tcPr>
          <w:p w:rsidR="003E56A6" w:rsidRPr="00B01372" w:rsidRDefault="003E56A6" w:rsidP="009F486E">
            <w:pPr>
              <w:pStyle w:val="NoSpacing"/>
              <w:jc w:val="center"/>
            </w:pPr>
          </w:p>
        </w:tc>
      </w:tr>
      <w:tr w:rsidR="003E56A6" w:rsidRPr="00B01372" w:rsidTr="003E56A6">
        <w:tc>
          <w:tcPr>
            <w:tcW w:w="2976" w:type="dxa"/>
          </w:tcPr>
          <w:p w:rsidR="003E56A6" w:rsidRPr="00B01372" w:rsidRDefault="003E56A6" w:rsidP="009F486E">
            <w:pPr>
              <w:pStyle w:val="NoSpacing"/>
            </w:pPr>
            <w:r w:rsidRPr="00B01372">
              <w:t>[invoices]</w:t>
            </w:r>
          </w:p>
        </w:tc>
        <w:tc>
          <w:tcPr>
            <w:tcW w:w="2976" w:type="dxa"/>
          </w:tcPr>
          <w:p w:rsidR="003E56A6" w:rsidRPr="00B01372" w:rsidRDefault="003E56A6" w:rsidP="009F486E">
            <w:pPr>
              <w:pStyle w:val="NoSpacing"/>
              <w:jc w:val="center"/>
            </w:pPr>
          </w:p>
        </w:tc>
        <w:tc>
          <w:tcPr>
            <w:tcW w:w="2976" w:type="dxa"/>
          </w:tcPr>
          <w:p w:rsidR="003E56A6" w:rsidRPr="00B01372" w:rsidRDefault="003E56A6" w:rsidP="009F486E">
            <w:pPr>
              <w:pStyle w:val="NoSpacing"/>
              <w:jc w:val="center"/>
            </w:pPr>
          </w:p>
        </w:tc>
      </w:tr>
      <w:tr w:rsidR="003E56A6" w:rsidRPr="00B01372" w:rsidTr="003E56A6">
        <w:tc>
          <w:tcPr>
            <w:tcW w:w="2976" w:type="dxa"/>
          </w:tcPr>
          <w:p w:rsidR="003E56A6" w:rsidRPr="00B01372" w:rsidRDefault="003E56A6" w:rsidP="009F486E">
            <w:pPr>
              <w:pStyle w:val="NoSpacing"/>
            </w:pPr>
            <w:r w:rsidRPr="00B01372">
              <w:t>[budgets]</w:t>
            </w:r>
          </w:p>
        </w:tc>
        <w:tc>
          <w:tcPr>
            <w:tcW w:w="2976" w:type="dxa"/>
          </w:tcPr>
          <w:p w:rsidR="003E56A6" w:rsidRPr="00B01372" w:rsidRDefault="003E56A6" w:rsidP="009F486E">
            <w:pPr>
              <w:pStyle w:val="NoSpacing"/>
              <w:jc w:val="center"/>
            </w:pPr>
          </w:p>
        </w:tc>
        <w:tc>
          <w:tcPr>
            <w:tcW w:w="2976" w:type="dxa"/>
          </w:tcPr>
          <w:p w:rsidR="003E56A6" w:rsidRPr="00B01372" w:rsidRDefault="003E56A6" w:rsidP="009F486E">
            <w:pPr>
              <w:pStyle w:val="NoSpacing"/>
              <w:jc w:val="center"/>
            </w:pPr>
          </w:p>
        </w:tc>
      </w:tr>
      <w:tr w:rsidR="003E56A6" w:rsidRPr="00B01372" w:rsidTr="003E56A6">
        <w:tc>
          <w:tcPr>
            <w:tcW w:w="2976" w:type="dxa"/>
          </w:tcPr>
          <w:p w:rsidR="003E56A6" w:rsidRPr="00B01372" w:rsidRDefault="003E56A6" w:rsidP="009F486E">
            <w:pPr>
              <w:pStyle w:val="NoSpacing"/>
            </w:pPr>
            <w:r w:rsidRPr="00B01372">
              <w:t>[other]</w:t>
            </w:r>
          </w:p>
        </w:tc>
        <w:tc>
          <w:tcPr>
            <w:tcW w:w="2976" w:type="dxa"/>
          </w:tcPr>
          <w:p w:rsidR="003E56A6" w:rsidRPr="00B01372" w:rsidRDefault="003E56A6" w:rsidP="009F486E">
            <w:pPr>
              <w:pStyle w:val="NoSpacing"/>
              <w:jc w:val="center"/>
            </w:pPr>
          </w:p>
        </w:tc>
        <w:tc>
          <w:tcPr>
            <w:tcW w:w="2976" w:type="dxa"/>
          </w:tcPr>
          <w:p w:rsidR="003E56A6" w:rsidRPr="00B01372" w:rsidRDefault="003E56A6" w:rsidP="009F486E">
            <w:pPr>
              <w:pStyle w:val="NoSpacing"/>
              <w:jc w:val="center"/>
            </w:pPr>
          </w:p>
        </w:tc>
      </w:tr>
    </w:tbl>
    <w:p w:rsidR="003E56A6" w:rsidRPr="00B01372" w:rsidRDefault="00D24317" w:rsidP="003E56A6">
      <w:pPr>
        <w:pStyle w:val="Heading3"/>
      </w:pPr>
      <w:r w:rsidRPr="00B01372">
        <w:lastRenderedPageBreak/>
        <w:t xml:space="preserve">2. </w:t>
      </w:r>
      <w:r w:rsidR="003E56A6" w:rsidRPr="00B01372">
        <w:t xml:space="preserve">Methodology description  </w:t>
      </w:r>
    </w:p>
    <w:p w:rsidR="003E56A6" w:rsidRPr="003F1BD0" w:rsidRDefault="003E56A6" w:rsidP="0086391B">
      <w:pPr>
        <w:pStyle w:val="NoSpacing"/>
        <w:ind w:left="792"/>
        <w:jc w:val="both"/>
      </w:pPr>
      <w:r w:rsidRPr="00B01372">
        <w:t>Indicate, amongst others, information on the sources of data, approaches taken to deal with possible missing data and erroneous data, and representativ</w:t>
      </w:r>
      <w:r w:rsidR="00B97AC0">
        <w:t xml:space="preserve">eness </w:t>
      </w:r>
      <w:r w:rsidRPr="00B01372">
        <w:t>of the sample used (if a sample-based approach was taken). If methodology is different depending on the thresholds or source of data, please clearly indicate this, including the relevant thresholds.</w:t>
      </w:r>
    </w:p>
    <w:sectPr w:rsidR="003E56A6" w:rsidRPr="003F1BD0" w:rsidSect="00A47B20">
      <w:footerReference w:type="default" r:id="rId2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11D" w:rsidRDefault="0008611D" w:rsidP="00E05B18">
      <w:pPr>
        <w:spacing w:after="0" w:line="240" w:lineRule="auto"/>
      </w:pPr>
      <w:r>
        <w:separator/>
      </w:r>
    </w:p>
  </w:endnote>
  <w:endnote w:type="continuationSeparator" w:id="0">
    <w:p w:rsidR="0008611D" w:rsidRDefault="0008611D" w:rsidP="00E05B18">
      <w:pPr>
        <w:spacing w:after="0" w:line="240" w:lineRule="auto"/>
      </w:pPr>
      <w:r>
        <w:continuationSeparator/>
      </w:r>
    </w:p>
  </w:endnote>
  <w:endnote w:type="continuationNotice" w:id="1">
    <w:p w:rsidR="0008611D" w:rsidRDefault="000861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32570"/>
      <w:docPartObj>
        <w:docPartGallery w:val="Page Numbers (Bottom of Page)"/>
        <w:docPartUnique/>
      </w:docPartObj>
    </w:sdtPr>
    <w:sdtEndPr>
      <w:rPr>
        <w:noProof/>
      </w:rPr>
    </w:sdtEndPr>
    <w:sdtContent>
      <w:p w:rsidR="00D7118F" w:rsidRDefault="00D7118F">
        <w:pPr>
          <w:pStyle w:val="Footer"/>
          <w:jc w:val="center"/>
        </w:pPr>
        <w:r>
          <w:fldChar w:fldCharType="begin"/>
        </w:r>
        <w:r>
          <w:instrText xml:space="preserve"> PAGE   \* MERGEFORMAT </w:instrText>
        </w:r>
        <w:r>
          <w:fldChar w:fldCharType="separate"/>
        </w:r>
        <w:r w:rsidR="001A2700">
          <w:rPr>
            <w:noProof/>
          </w:rPr>
          <w:t>16</w:t>
        </w:r>
        <w:r>
          <w:rPr>
            <w:noProof/>
          </w:rPr>
          <w:fldChar w:fldCharType="end"/>
        </w:r>
      </w:p>
    </w:sdtContent>
  </w:sdt>
  <w:p w:rsidR="00D7118F" w:rsidRDefault="00D71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11D" w:rsidRDefault="0008611D" w:rsidP="00E05B18">
      <w:pPr>
        <w:spacing w:after="0" w:line="240" w:lineRule="auto"/>
      </w:pPr>
      <w:r>
        <w:separator/>
      </w:r>
    </w:p>
  </w:footnote>
  <w:footnote w:type="continuationSeparator" w:id="0">
    <w:p w:rsidR="0008611D" w:rsidRDefault="0008611D" w:rsidP="00E05B18">
      <w:pPr>
        <w:spacing w:after="0" w:line="240" w:lineRule="auto"/>
      </w:pPr>
      <w:r>
        <w:continuationSeparator/>
      </w:r>
    </w:p>
  </w:footnote>
  <w:footnote w:type="continuationNotice" w:id="1">
    <w:p w:rsidR="0008611D" w:rsidRDefault="0008611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EA9E"/>
      </v:shape>
    </w:pict>
  </w:numPicBullet>
  <w:abstractNum w:abstractNumId="0">
    <w:nsid w:val="00B14157"/>
    <w:multiLevelType w:val="hybridMultilevel"/>
    <w:tmpl w:val="F416B7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7700996"/>
    <w:multiLevelType w:val="hybridMultilevel"/>
    <w:tmpl w:val="C33A0E14"/>
    <w:lvl w:ilvl="0" w:tplc="08090001">
      <w:start w:val="1"/>
      <w:numFmt w:val="bullet"/>
      <w:lvlText w:val=""/>
      <w:lvlJc w:val="left"/>
      <w:pPr>
        <w:ind w:left="1342" w:hanging="360"/>
      </w:pPr>
      <w:rPr>
        <w:rFonts w:ascii="Symbol" w:hAnsi="Symbol" w:hint="default"/>
      </w:rPr>
    </w:lvl>
    <w:lvl w:ilvl="1" w:tplc="08090003" w:tentative="1">
      <w:start w:val="1"/>
      <w:numFmt w:val="bullet"/>
      <w:lvlText w:val="o"/>
      <w:lvlJc w:val="left"/>
      <w:pPr>
        <w:ind w:left="2062" w:hanging="360"/>
      </w:pPr>
      <w:rPr>
        <w:rFonts w:ascii="Courier New" w:hAnsi="Courier New" w:cs="Courier New" w:hint="default"/>
      </w:rPr>
    </w:lvl>
    <w:lvl w:ilvl="2" w:tplc="08090005" w:tentative="1">
      <w:start w:val="1"/>
      <w:numFmt w:val="bullet"/>
      <w:lvlText w:val=""/>
      <w:lvlJc w:val="left"/>
      <w:pPr>
        <w:ind w:left="2782" w:hanging="360"/>
      </w:pPr>
      <w:rPr>
        <w:rFonts w:ascii="Wingdings" w:hAnsi="Wingdings" w:hint="default"/>
      </w:rPr>
    </w:lvl>
    <w:lvl w:ilvl="3" w:tplc="08090001" w:tentative="1">
      <w:start w:val="1"/>
      <w:numFmt w:val="bullet"/>
      <w:lvlText w:val=""/>
      <w:lvlJc w:val="left"/>
      <w:pPr>
        <w:ind w:left="3502" w:hanging="360"/>
      </w:pPr>
      <w:rPr>
        <w:rFonts w:ascii="Symbol" w:hAnsi="Symbol" w:hint="default"/>
      </w:rPr>
    </w:lvl>
    <w:lvl w:ilvl="4" w:tplc="08090003" w:tentative="1">
      <w:start w:val="1"/>
      <w:numFmt w:val="bullet"/>
      <w:lvlText w:val="o"/>
      <w:lvlJc w:val="left"/>
      <w:pPr>
        <w:ind w:left="4222" w:hanging="360"/>
      </w:pPr>
      <w:rPr>
        <w:rFonts w:ascii="Courier New" w:hAnsi="Courier New" w:cs="Courier New" w:hint="default"/>
      </w:rPr>
    </w:lvl>
    <w:lvl w:ilvl="5" w:tplc="08090005" w:tentative="1">
      <w:start w:val="1"/>
      <w:numFmt w:val="bullet"/>
      <w:lvlText w:val=""/>
      <w:lvlJc w:val="left"/>
      <w:pPr>
        <w:ind w:left="4942" w:hanging="360"/>
      </w:pPr>
      <w:rPr>
        <w:rFonts w:ascii="Wingdings" w:hAnsi="Wingdings" w:hint="default"/>
      </w:rPr>
    </w:lvl>
    <w:lvl w:ilvl="6" w:tplc="08090001" w:tentative="1">
      <w:start w:val="1"/>
      <w:numFmt w:val="bullet"/>
      <w:lvlText w:val=""/>
      <w:lvlJc w:val="left"/>
      <w:pPr>
        <w:ind w:left="5662" w:hanging="360"/>
      </w:pPr>
      <w:rPr>
        <w:rFonts w:ascii="Symbol" w:hAnsi="Symbol" w:hint="default"/>
      </w:rPr>
    </w:lvl>
    <w:lvl w:ilvl="7" w:tplc="08090003" w:tentative="1">
      <w:start w:val="1"/>
      <w:numFmt w:val="bullet"/>
      <w:lvlText w:val="o"/>
      <w:lvlJc w:val="left"/>
      <w:pPr>
        <w:ind w:left="6382" w:hanging="360"/>
      </w:pPr>
      <w:rPr>
        <w:rFonts w:ascii="Courier New" w:hAnsi="Courier New" w:cs="Courier New" w:hint="default"/>
      </w:rPr>
    </w:lvl>
    <w:lvl w:ilvl="8" w:tplc="08090005" w:tentative="1">
      <w:start w:val="1"/>
      <w:numFmt w:val="bullet"/>
      <w:lvlText w:val=""/>
      <w:lvlJc w:val="left"/>
      <w:pPr>
        <w:ind w:left="7102" w:hanging="360"/>
      </w:pPr>
      <w:rPr>
        <w:rFonts w:ascii="Wingdings" w:hAnsi="Wingdings" w:hint="default"/>
      </w:rPr>
    </w:lvl>
  </w:abstractNum>
  <w:abstractNum w:abstractNumId="2">
    <w:nsid w:val="0805633C"/>
    <w:multiLevelType w:val="hybridMultilevel"/>
    <w:tmpl w:val="5BA2B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011773"/>
    <w:multiLevelType w:val="hybridMultilevel"/>
    <w:tmpl w:val="BD4A64A8"/>
    <w:lvl w:ilvl="0" w:tplc="B19AE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2A4ECD"/>
    <w:multiLevelType w:val="hybridMultilevel"/>
    <w:tmpl w:val="878202DC"/>
    <w:lvl w:ilvl="0" w:tplc="D108BC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94F8F"/>
    <w:multiLevelType w:val="multilevel"/>
    <w:tmpl w:val="D5743C9A"/>
    <w:lvl w:ilvl="0">
      <w:start w:val="1"/>
      <w:numFmt w:val="decimal"/>
      <w:lvlText w:val="%1."/>
      <w:lvlJc w:val="left"/>
      <w:pPr>
        <w:ind w:left="492" w:firstLine="76"/>
      </w:pPr>
      <w:rPr>
        <w:rFonts w:hint="default"/>
      </w:rPr>
    </w:lvl>
    <w:lvl w:ilvl="1">
      <w:start w:val="1"/>
      <w:numFmt w:val="decimal"/>
      <w:lvlText w:val="%1.%2"/>
      <w:lvlJc w:val="left"/>
      <w:pPr>
        <w:ind w:left="622" w:firstLine="51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851" w:firstLine="9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567" w:firstLine="1953"/>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771DF7"/>
    <w:multiLevelType w:val="multilevel"/>
    <w:tmpl w:val="AD16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022A8C"/>
    <w:multiLevelType w:val="hybridMultilevel"/>
    <w:tmpl w:val="E38C2D7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nsid w:val="22455E86"/>
    <w:multiLevelType w:val="hybridMultilevel"/>
    <w:tmpl w:val="2CCE3C26"/>
    <w:lvl w:ilvl="0" w:tplc="AC8E7252">
      <w:start w:val="1"/>
      <w:numFmt w:val="decimal"/>
      <w:lvlText w:val="%1."/>
      <w:lvlJc w:val="left"/>
      <w:pPr>
        <w:ind w:left="1230" w:hanging="360"/>
      </w:p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9">
    <w:nsid w:val="23291B96"/>
    <w:multiLevelType w:val="hybridMultilevel"/>
    <w:tmpl w:val="DD7446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247012F9"/>
    <w:multiLevelType w:val="hybridMultilevel"/>
    <w:tmpl w:val="F94A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0371AB"/>
    <w:multiLevelType w:val="hybridMultilevel"/>
    <w:tmpl w:val="F530EF7A"/>
    <w:lvl w:ilvl="0" w:tplc="08090001">
      <w:start w:val="1"/>
      <w:numFmt w:val="bullet"/>
      <w:lvlText w:val=""/>
      <w:lvlJc w:val="left"/>
      <w:pPr>
        <w:ind w:left="4782" w:hanging="360"/>
      </w:pPr>
      <w:rPr>
        <w:rFonts w:ascii="Symbol" w:hAnsi="Symbol" w:hint="default"/>
      </w:rPr>
    </w:lvl>
    <w:lvl w:ilvl="1" w:tplc="08090003">
      <w:start w:val="1"/>
      <w:numFmt w:val="bullet"/>
      <w:lvlText w:val="o"/>
      <w:lvlJc w:val="left"/>
      <w:pPr>
        <w:ind w:left="5502" w:hanging="360"/>
      </w:pPr>
      <w:rPr>
        <w:rFonts w:ascii="Courier New" w:hAnsi="Courier New" w:cs="Courier New" w:hint="default"/>
      </w:rPr>
    </w:lvl>
    <w:lvl w:ilvl="2" w:tplc="08090005" w:tentative="1">
      <w:start w:val="1"/>
      <w:numFmt w:val="bullet"/>
      <w:lvlText w:val=""/>
      <w:lvlJc w:val="left"/>
      <w:pPr>
        <w:ind w:left="6222" w:hanging="360"/>
      </w:pPr>
      <w:rPr>
        <w:rFonts w:ascii="Wingdings" w:hAnsi="Wingdings" w:hint="default"/>
      </w:rPr>
    </w:lvl>
    <w:lvl w:ilvl="3" w:tplc="08090001" w:tentative="1">
      <w:start w:val="1"/>
      <w:numFmt w:val="bullet"/>
      <w:lvlText w:val=""/>
      <w:lvlJc w:val="left"/>
      <w:pPr>
        <w:ind w:left="6942" w:hanging="360"/>
      </w:pPr>
      <w:rPr>
        <w:rFonts w:ascii="Symbol" w:hAnsi="Symbol" w:hint="default"/>
      </w:rPr>
    </w:lvl>
    <w:lvl w:ilvl="4" w:tplc="08090003" w:tentative="1">
      <w:start w:val="1"/>
      <w:numFmt w:val="bullet"/>
      <w:lvlText w:val="o"/>
      <w:lvlJc w:val="left"/>
      <w:pPr>
        <w:ind w:left="7662" w:hanging="360"/>
      </w:pPr>
      <w:rPr>
        <w:rFonts w:ascii="Courier New" w:hAnsi="Courier New" w:cs="Courier New" w:hint="default"/>
      </w:rPr>
    </w:lvl>
    <w:lvl w:ilvl="5" w:tplc="08090005" w:tentative="1">
      <w:start w:val="1"/>
      <w:numFmt w:val="bullet"/>
      <w:lvlText w:val=""/>
      <w:lvlJc w:val="left"/>
      <w:pPr>
        <w:ind w:left="8382" w:hanging="360"/>
      </w:pPr>
      <w:rPr>
        <w:rFonts w:ascii="Wingdings" w:hAnsi="Wingdings" w:hint="default"/>
      </w:rPr>
    </w:lvl>
    <w:lvl w:ilvl="6" w:tplc="08090001" w:tentative="1">
      <w:start w:val="1"/>
      <w:numFmt w:val="bullet"/>
      <w:lvlText w:val=""/>
      <w:lvlJc w:val="left"/>
      <w:pPr>
        <w:ind w:left="9102" w:hanging="360"/>
      </w:pPr>
      <w:rPr>
        <w:rFonts w:ascii="Symbol" w:hAnsi="Symbol" w:hint="default"/>
      </w:rPr>
    </w:lvl>
    <w:lvl w:ilvl="7" w:tplc="08090003" w:tentative="1">
      <w:start w:val="1"/>
      <w:numFmt w:val="bullet"/>
      <w:lvlText w:val="o"/>
      <w:lvlJc w:val="left"/>
      <w:pPr>
        <w:ind w:left="9822" w:hanging="360"/>
      </w:pPr>
      <w:rPr>
        <w:rFonts w:ascii="Courier New" w:hAnsi="Courier New" w:cs="Courier New" w:hint="default"/>
      </w:rPr>
    </w:lvl>
    <w:lvl w:ilvl="8" w:tplc="08090005" w:tentative="1">
      <w:start w:val="1"/>
      <w:numFmt w:val="bullet"/>
      <w:lvlText w:val=""/>
      <w:lvlJc w:val="left"/>
      <w:pPr>
        <w:ind w:left="10542" w:hanging="360"/>
      </w:pPr>
      <w:rPr>
        <w:rFonts w:ascii="Wingdings" w:hAnsi="Wingdings" w:hint="default"/>
      </w:rPr>
    </w:lvl>
  </w:abstractNum>
  <w:abstractNum w:abstractNumId="12">
    <w:nsid w:val="2A037F75"/>
    <w:multiLevelType w:val="hybridMultilevel"/>
    <w:tmpl w:val="68922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44319F"/>
    <w:multiLevelType w:val="hybridMultilevel"/>
    <w:tmpl w:val="D7A6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C919F8"/>
    <w:multiLevelType w:val="hybridMultilevel"/>
    <w:tmpl w:val="C52E12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B7E34"/>
    <w:multiLevelType w:val="hybridMultilevel"/>
    <w:tmpl w:val="CCB26A54"/>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2D4443A9"/>
    <w:multiLevelType w:val="hybridMultilevel"/>
    <w:tmpl w:val="E5269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E511176"/>
    <w:multiLevelType w:val="hybridMultilevel"/>
    <w:tmpl w:val="057C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557287"/>
    <w:multiLevelType w:val="hybridMultilevel"/>
    <w:tmpl w:val="D8F00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F62C07"/>
    <w:multiLevelType w:val="hybridMultilevel"/>
    <w:tmpl w:val="9A344C1A"/>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0">
    <w:nsid w:val="4E845E50"/>
    <w:multiLevelType w:val="hybridMultilevel"/>
    <w:tmpl w:val="EAA8B3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3C038ED"/>
    <w:multiLevelType w:val="hybridMultilevel"/>
    <w:tmpl w:val="68E22326"/>
    <w:lvl w:ilvl="0" w:tplc="08090017">
      <w:start w:val="1"/>
      <w:numFmt w:val="lowerLetter"/>
      <w:lvlText w:val="%1)"/>
      <w:lvlJc w:val="left"/>
      <w:pPr>
        <w:ind w:left="1512" w:hanging="360"/>
      </w:pPr>
      <w:rPr>
        <w:rFont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nsid w:val="54B908C3"/>
    <w:multiLevelType w:val="hybridMultilevel"/>
    <w:tmpl w:val="74C2B5C4"/>
    <w:lvl w:ilvl="0" w:tplc="E5D0161A">
      <w:start w:val="1"/>
      <w:numFmt w:val="bullet"/>
      <w:lvlText w:val=""/>
      <w:lvlJc w:val="left"/>
      <w:pPr>
        <w:ind w:left="786"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nsid w:val="57383A47"/>
    <w:multiLevelType w:val="hybridMultilevel"/>
    <w:tmpl w:val="E96C5152"/>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4">
    <w:nsid w:val="5F8668AB"/>
    <w:multiLevelType w:val="hybridMultilevel"/>
    <w:tmpl w:val="77127C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E2735"/>
    <w:multiLevelType w:val="hybridMultilevel"/>
    <w:tmpl w:val="BA2474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64363A97"/>
    <w:multiLevelType w:val="hybridMultilevel"/>
    <w:tmpl w:val="D5CEDFAE"/>
    <w:lvl w:ilvl="0" w:tplc="B19AE5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7C66F96"/>
    <w:multiLevelType w:val="multilevel"/>
    <w:tmpl w:val="3C7CBF6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8BD58A0"/>
    <w:multiLevelType w:val="hybridMultilevel"/>
    <w:tmpl w:val="6A9A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AA7D27"/>
    <w:multiLevelType w:val="hybridMultilevel"/>
    <w:tmpl w:val="4E86FD02"/>
    <w:lvl w:ilvl="0" w:tplc="19226DA6">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817BA3"/>
    <w:multiLevelType w:val="hybridMultilevel"/>
    <w:tmpl w:val="A818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AE123A"/>
    <w:multiLevelType w:val="hybridMultilevel"/>
    <w:tmpl w:val="6B4A8C5E"/>
    <w:lvl w:ilvl="0" w:tplc="90049668">
      <w:start w:val="1"/>
      <w:numFmt w:val="upperRoman"/>
      <w:pStyle w:val="Heading2"/>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750C1E66"/>
    <w:multiLevelType w:val="hybridMultilevel"/>
    <w:tmpl w:val="C712A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FC4181"/>
    <w:multiLevelType w:val="hybridMultilevel"/>
    <w:tmpl w:val="55181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A37690C"/>
    <w:multiLevelType w:val="hybridMultilevel"/>
    <w:tmpl w:val="6DEA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B0070A"/>
    <w:multiLevelType w:val="hybridMultilevel"/>
    <w:tmpl w:val="6C8CC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DE462ED"/>
    <w:multiLevelType w:val="hybridMultilevel"/>
    <w:tmpl w:val="CD1C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4D1973"/>
    <w:multiLevelType w:val="hybridMultilevel"/>
    <w:tmpl w:val="791ED8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7448F8"/>
    <w:multiLevelType w:val="hybridMultilevel"/>
    <w:tmpl w:val="4776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5"/>
  </w:num>
  <w:num w:numId="4">
    <w:abstractNumId w:val="11"/>
  </w:num>
  <w:num w:numId="5">
    <w:abstractNumId w:val="20"/>
  </w:num>
  <w:num w:numId="6">
    <w:abstractNumId w:val="22"/>
  </w:num>
  <w:num w:numId="7">
    <w:abstractNumId w:val="12"/>
  </w:num>
  <w:num w:numId="8">
    <w:abstractNumId w:val="30"/>
  </w:num>
  <w:num w:numId="9">
    <w:abstractNumId w:val="3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0"/>
  </w:num>
  <w:num w:numId="13">
    <w:abstractNumId w:val="33"/>
  </w:num>
  <w:num w:numId="14">
    <w:abstractNumId w:val="15"/>
  </w:num>
  <w:num w:numId="15">
    <w:abstractNumId w:val="23"/>
  </w:num>
  <w:num w:numId="16">
    <w:abstractNumId w:val="19"/>
  </w:num>
  <w:num w:numId="17">
    <w:abstractNumId w:val="1"/>
  </w:num>
  <w:num w:numId="18">
    <w:abstractNumId w:val="7"/>
  </w:num>
  <w:num w:numId="19">
    <w:abstractNumId w:val="16"/>
  </w:num>
  <w:num w:numId="20">
    <w:abstractNumId w:val="10"/>
  </w:num>
  <w:num w:numId="21">
    <w:abstractNumId w:val="17"/>
  </w:num>
  <w:num w:numId="22">
    <w:abstractNumId w:val="9"/>
  </w:num>
  <w:num w:numId="23">
    <w:abstractNumId w:val="13"/>
  </w:num>
  <w:num w:numId="24">
    <w:abstractNumId w:val="38"/>
  </w:num>
  <w:num w:numId="25">
    <w:abstractNumId w:val="32"/>
  </w:num>
  <w:num w:numId="26">
    <w:abstractNumId w:val="27"/>
  </w:num>
  <w:num w:numId="27">
    <w:abstractNumId w:val="37"/>
  </w:num>
  <w:num w:numId="28">
    <w:abstractNumId w:val="18"/>
  </w:num>
  <w:num w:numId="29">
    <w:abstractNumId w:val="28"/>
  </w:num>
  <w:num w:numId="30">
    <w:abstractNumId w:val="29"/>
  </w:num>
  <w:num w:numId="31">
    <w:abstractNumId w:val="8"/>
  </w:num>
  <w:num w:numId="32">
    <w:abstractNumId w:val="31"/>
  </w:num>
  <w:num w:numId="33">
    <w:abstractNumId w:val="4"/>
  </w:num>
  <w:num w:numId="34">
    <w:abstractNumId w:val="31"/>
  </w:num>
  <w:num w:numId="35">
    <w:abstractNumId w:val="31"/>
  </w:num>
  <w:num w:numId="36">
    <w:abstractNumId w:val="36"/>
  </w:num>
  <w:num w:numId="37">
    <w:abstractNumId w:val="3"/>
  </w:num>
  <w:num w:numId="38">
    <w:abstractNumId w:val="26"/>
  </w:num>
  <w:num w:numId="39">
    <w:abstractNumId w:val="2"/>
  </w:num>
  <w:num w:numId="40">
    <w:abstractNumId w:val="35"/>
  </w:num>
  <w:num w:numId="41">
    <w:abstractNumId w:val="6"/>
  </w:num>
  <w:num w:numId="42">
    <w:abstractNumId w:val="14"/>
  </w:num>
  <w:num w:numId="43">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83A80"/>
    <w:rsid w:val="000007BA"/>
    <w:rsid w:val="0000330E"/>
    <w:rsid w:val="000041F8"/>
    <w:rsid w:val="000049FB"/>
    <w:rsid w:val="00004DD1"/>
    <w:rsid w:val="000062C5"/>
    <w:rsid w:val="000078A4"/>
    <w:rsid w:val="000114AC"/>
    <w:rsid w:val="000116CF"/>
    <w:rsid w:val="00012443"/>
    <w:rsid w:val="00012BE4"/>
    <w:rsid w:val="00012E23"/>
    <w:rsid w:val="00013C6A"/>
    <w:rsid w:val="00015883"/>
    <w:rsid w:val="00017130"/>
    <w:rsid w:val="0002028B"/>
    <w:rsid w:val="000219D7"/>
    <w:rsid w:val="000224D9"/>
    <w:rsid w:val="000225BF"/>
    <w:rsid w:val="000230BA"/>
    <w:rsid w:val="000231D4"/>
    <w:rsid w:val="00024F85"/>
    <w:rsid w:val="00026CC2"/>
    <w:rsid w:val="000314DD"/>
    <w:rsid w:val="00032A16"/>
    <w:rsid w:val="00033543"/>
    <w:rsid w:val="00035954"/>
    <w:rsid w:val="00035FA6"/>
    <w:rsid w:val="000368C3"/>
    <w:rsid w:val="00043EE0"/>
    <w:rsid w:val="0004473C"/>
    <w:rsid w:val="00044CAF"/>
    <w:rsid w:val="00044D2C"/>
    <w:rsid w:val="00046AD1"/>
    <w:rsid w:val="00047441"/>
    <w:rsid w:val="00051075"/>
    <w:rsid w:val="000561EF"/>
    <w:rsid w:val="00056317"/>
    <w:rsid w:val="00057A35"/>
    <w:rsid w:val="00057BFC"/>
    <w:rsid w:val="00061269"/>
    <w:rsid w:val="000614B3"/>
    <w:rsid w:val="000620A2"/>
    <w:rsid w:val="00062364"/>
    <w:rsid w:val="000624FD"/>
    <w:rsid w:val="0006297D"/>
    <w:rsid w:val="00062BAF"/>
    <w:rsid w:val="00063D60"/>
    <w:rsid w:val="00064F6C"/>
    <w:rsid w:val="00065290"/>
    <w:rsid w:val="00066A6E"/>
    <w:rsid w:val="00071BD7"/>
    <w:rsid w:val="000720F8"/>
    <w:rsid w:val="00072A1E"/>
    <w:rsid w:val="00073D19"/>
    <w:rsid w:val="00076183"/>
    <w:rsid w:val="000762C6"/>
    <w:rsid w:val="00077074"/>
    <w:rsid w:val="00077CB7"/>
    <w:rsid w:val="00081353"/>
    <w:rsid w:val="00081F84"/>
    <w:rsid w:val="00082B68"/>
    <w:rsid w:val="000834B8"/>
    <w:rsid w:val="00084BD2"/>
    <w:rsid w:val="0008611D"/>
    <w:rsid w:val="0008764B"/>
    <w:rsid w:val="00087A7E"/>
    <w:rsid w:val="0009058C"/>
    <w:rsid w:val="00091F47"/>
    <w:rsid w:val="00092C5B"/>
    <w:rsid w:val="00094594"/>
    <w:rsid w:val="00095106"/>
    <w:rsid w:val="00095252"/>
    <w:rsid w:val="000952CA"/>
    <w:rsid w:val="00096622"/>
    <w:rsid w:val="0009765B"/>
    <w:rsid w:val="000A0653"/>
    <w:rsid w:val="000A1CB3"/>
    <w:rsid w:val="000A2192"/>
    <w:rsid w:val="000A3ECA"/>
    <w:rsid w:val="000A4C34"/>
    <w:rsid w:val="000A63F0"/>
    <w:rsid w:val="000A6465"/>
    <w:rsid w:val="000A6FCB"/>
    <w:rsid w:val="000A716C"/>
    <w:rsid w:val="000A7710"/>
    <w:rsid w:val="000B1571"/>
    <w:rsid w:val="000B4CB4"/>
    <w:rsid w:val="000B7209"/>
    <w:rsid w:val="000C1E03"/>
    <w:rsid w:val="000C1E38"/>
    <w:rsid w:val="000C38F2"/>
    <w:rsid w:val="000C3DEC"/>
    <w:rsid w:val="000C41D6"/>
    <w:rsid w:val="000C4582"/>
    <w:rsid w:val="000C50DF"/>
    <w:rsid w:val="000C57D0"/>
    <w:rsid w:val="000C7F4C"/>
    <w:rsid w:val="000D0F60"/>
    <w:rsid w:val="000D18C0"/>
    <w:rsid w:val="000D1F54"/>
    <w:rsid w:val="000D31E8"/>
    <w:rsid w:val="000D5425"/>
    <w:rsid w:val="000E1216"/>
    <w:rsid w:val="000E1B69"/>
    <w:rsid w:val="000E4EDE"/>
    <w:rsid w:val="000E51BA"/>
    <w:rsid w:val="000E7341"/>
    <w:rsid w:val="000F0224"/>
    <w:rsid w:val="000F0ABF"/>
    <w:rsid w:val="000F1493"/>
    <w:rsid w:val="000F221C"/>
    <w:rsid w:val="000F2D65"/>
    <w:rsid w:val="000F491C"/>
    <w:rsid w:val="000F4B0E"/>
    <w:rsid w:val="000F4C51"/>
    <w:rsid w:val="000F4CE6"/>
    <w:rsid w:val="000F5515"/>
    <w:rsid w:val="000F7393"/>
    <w:rsid w:val="000F7EE1"/>
    <w:rsid w:val="00100021"/>
    <w:rsid w:val="00100B60"/>
    <w:rsid w:val="0010153A"/>
    <w:rsid w:val="00101BD3"/>
    <w:rsid w:val="0010414C"/>
    <w:rsid w:val="0010540B"/>
    <w:rsid w:val="00107958"/>
    <w:rsid w:val="00110A27"/>
    <w:rsid w:val="00111284"/>
    <w:rsid w:val="001135E3"/>
    <w:rsid w:val="00113981"/>
    <w:rsid w:val="00114850"/>
    <w:rsid w:val="001202C3"/>
    <w:rsid w:val="001227DE"/>
    <w:rsid w:val="00123685"/>
    <w:rsid w:val="00123723"/>
    <w:rsid w:val="0012404E"/>
    <w:rsid w:val="001257BF"/>
    <w:rsid w:val="00125881"/>
    <w:rsid w:val="0012686F"/>
    <w:rsid w:val="00126F13"/>
    <w:rsid w:val="00130D35"/>
    <w:rsid w:val="001331BB"/>
    <w:rsid w:val="00133553"/>
    <w:rsid w:val="00134128"/>
    <w:rsid w:val="001365A6"/>
    <w:rsid w:val="00140134"/>
    <w:rsid w:val="00140DCB"/>
    <w:rsid w:val="001435EE"/>
    <w:rsid w:val="00143D4A"/>
    <w:rsid w:val="0014476E"/>
    <w:rsid w:val="00145999"/>
    <w:rsid w:val="00145C9C"/>
    <w:rsid w:val="00146208"/>
    <w:rsid w:val="00146F52"/>
    <w:rsid w:val="00146FEF"/>
    <w:rsid w:val="00147404"/>
    <w:rsid w:val="00147947"/>
    <w:rsid w:val="001479B2"/>
    <w:rsid w:val="00150A31"/>
    <w:rsid w:val="00151988"/>
    <w:rsid w:val="00151E7F"/>
    <w:rsid w:val="00151FD5"/>
    <w:rsid w:val="00155568"/>
    <w:rsid w:val="00155B8B"/>
    <w:rsid w:val="00155B9A"/>
    <w:rsid w:val="00155BCC"/>
    <w:rsid w:val="001567D9"/>
    <w:rsid w:val="001575BA"/>
    <w:rsid w:val="00160554"/>
    <w:rsid w:val="00160BFE"/>
    <w:rsid w:val="00161278"/>
    <w:rsid w:val="0016221C"/>
    <w:rsid w:val="0016242D"/>
    <w:rsid w:val="00162BA0"/>
    <w:rsid w:val="00163FF2"/>
    <w:rsid w:val="001649F6"/>
    <w:rsid w:val="00166503"/>
    <w:rsid w:val="00167C02"/>
    <w:rsid w:val="00167F08"/>
    <w:rsid w:val="00170BB8"/>
    <w:rsid w:val="001711E9"/>
    <w:rsid w:val="001716FD"/>
    <w:rsid w:val="00173739"/>
    <w:rsid w:val="00173A5E"/>
    <w:rsid w:val="00173B79"/>
    <w:rsid w:val="001741E9"/>
    <w:rsid w:val="001759BB"/>
    <w:rsid w:val="001765E2"/>
    <w:rsid w:val="00180D95"/>
    <w:rsid w:val="00181683"/>
    <w:rsid w:val="001818F8"/>
    <w:rsid w:val="0018196C"/>
    <w:rsid w:val="001819AD"/>
    <w:rsid w:val="001820C7"/>
    <w:rsid w:val="00182AC2"/>
    <w:rsid w:val="001832E2"/>
    <w:rsid w:val="0018639D"/>
    <w:rsid w:val="00186615"/>
    <w:rsid w:val="001870EB"/>
    <w:rsid w:val="001872C6"/>
    <w:rsid w:val="00192154"/>
    <w:rsid w:val="0019232F"/>
    <w:rsid w:val="00195459"/>
    <w:rsid w:val="00195547"/>
    <w:rsid w:val="00195568"/>
    <w:rsid w:val="00195B1C"/>
    <w:rsid w:val="00195D2D"/>
    <w:rsid w:val="00197395"/>
    <w:rsid w:val="00197522"/>
    <w:rsid w:val="00197C11"/>
    <w:rsid w:val="001A2700"/>
    <w:rsid w:val="001A28DD"/>
    <w:rsid w:val="001A4018"/>
    <w:rsid w:val="001A578A"/>
    <w:rsid w:val="001A6E08"/>
    <w:rsid w:val="001A7AAB"/>
    <w:rsid w:val="001B0E03"/>
    <w:rsid w:val="001B0FA5"/>
    <w:rsid w:val="001B10ED"/>
    <w:rsid w:val="001B17F0"/>
    <w:rsid w:val="001B1AC2"/>
    <w:rsid w:val="001B1BD0"/>
    <w:rsid w:val="001B2A0F"/>
    <w:rsid w:val="001B4931"/>
    <w:rsid w:val="001B51C2"/>
    <w:rsid w:val="001B5399"/>
    <w:rsid w:val="001B58D6"/>
    <w:rsid w:val="001B6321"/>
    <w:rsid w:val="001C046D"/>
    <w:rsid w:val="001C3065"/>
    <w:rsid w:val="001C3CFB"/>
    <w:rsid w:val="001C4047"/>
    <w:rsid w:val="001C4EFC"/>
    <w:rsid w:val="001C4F09"/>
    <w:rsid w:val="001C5CB7"/>
    <w:rsid w:val="001C5F45"/>
    <w:rsid w:val="001D0125"/>
    <w:rsid w:val="001D04C7"/>
    <w:rsid w:val="001D4779"/>
    <w:rsid w:val="001D4DCD"/>
    <w:rsid w:val="001D641E"/>
    <w:rsid w:val="001E23FB"/>
    <w:rsid w:val="001E2E7E"/>
    <w:rsid w:val="001E3155"/>
    <w:rsid w:val="001E32E4"/>
    <w:rsid w:val="001E450D"/>
    <w:rsid w:val="001E4671"/>
    <w:rsid w:val="001E4F66"/>
    <w:rsid w:val="001E6020"/>
    <w:rsid w:val="001F0A9D"/>
    <w:rsid w:val="001F0DC3"/>
    <w:rsid w:val="001F345B"/>
    <w:rsid w:val="001F4763"/>
    <w:rsid w:val="001F48F2"/>
    <w:rsid w:val="001F6CD4"/>
    <w:rsid w:val="001F6CE1"/>
    <w:rsid w:val="00202F67"/>
    <w:rsid w:val="002035DE"/>
    <w:rsid w:val="0020427A"/>
    <w:rsid w:val="0020711B"/>
    <w:rsid w:val="002102DA"/>
    <w:rsid w:val="00213AE5"/>
    <w:rsid w:val="00213F1D"/>
    <w:rsid w:val="00214246"/>
    <w:rsid w:val="00216FB4"/>
    <w:rsid w:val="00217F15"/>
    <w:rsid w:val="002209D3"/>
    <w:rsid w:val="00220D53"/>
    <w:rsid w:val="00221000"/>
    <w:rsid w:val="00221199"/>
    <w:rsid w:val="002222BD"/>
    <w:rsid w:val="002242F7"/>
    <w:rsid w:val="00225335"/>
    <w:rsid w:val="00230200"/>
    <w:rsid w:val="00231A1E"/>
    <w:rsid w:val="00233608"/>
    <w:rsid w:val="00235F68"/>
    <w:rsid w:val="0023752C"/>
    <w:rsid w:val="0024324D"/>
    <w:rsid w:val="002433E2"/>
    <w:rsid w:val="00243516"/>
    <w:rsid w:val="00244B6E"/>
    <w:rsid w:val="00245505"/>
    <w:rsid w:val="00245F0E"/>
    <w:rsid w:val="00247E16"/>
    <w:rsid w:val="0025040F"/>
    <w:rsid w:val="00253552"/>
    <w:rsid w:val="00254344"/>
    <w:rsid w:val="00255075"/>
    <w:rsid w:val="002568F0"/>
    <w:rsid w:val="002614C3"/>
    <w:rsid w:val="00262A1D"/>
    <w:rsid w:val="00262C9C"/>
    <w:rsid w:val="00263424"/>
    <w:rsid w:val="00263852"/>
    <w:rsid w:val="00266700"/>
    <w:rsid w:val="00267227"/>
    <w:rsid w:val="0027059B"/>
    <w:rsid w:val="00270CEF"/>
    <w:rsid w:val="00271D21"/>
    <w:rsid w:val="00272E3C"/>
    <w:rsid w:val="002754A5"/>
    <w:rsid w:val="00275538"/>
    <w:rsid w:val="00276408"/>
    <w:rsid w:val="00282CF5"/>
    <w:rsid w:val="00282E8C"/>
    <w:rsid w:val="00284941"/>
    <w:rsid w:val="00284F2C"/>
    <w:rsid w:val="002851A8"/>
    <w:rsid w:val="0028711E"/>
    <w:rsid w:val="0028781C"/>
    <w:rsid w:val="00287CC0"/>
    <w:rsid w:val="0029052F"/>
    <w:rsid w:val="002905AA"/>
    <w:rsid w:val="002920BF"/>
    <w:rsid w:val="00292D85"/>
    <w:rsid w:val="0029610F"/>
    <w:rsid w:val="00296593"/>
    <w:rsid w:val="00297002"/>
    <w:rsid w:val="002A01A2"/>
    <w:rsid w:val="002A04AA"/>
    <w:rsid w:val="002A0D57"/>
    <w:rsid w:val="002A2B65"/>
    <w:rsid w:val="002A35A5"/>
    <w:rsid w:val="002A421F"/>
    <w:rsid w:val="002B0645"/>
    <w:rsid w:val="002B0F2F"/>
    <w:rsid w:val="002B13A5"/>
    <w:rsid w:val="002B1533"/>
    <w:rsid w:val="002B2169"/>
    <w:rsid w:val="002B35A2"/>
    <w:rsid w:val="002B4176"/>
    <w:rsid w:val="002B6572"/>
    <w:rsid w:val="002B6AEB"/>
    <w:rsid w:val="002B7D35"/>
    <w:rsid w:val="002C131E"/>
    <w:rsid w:val="002C13BE"/>
    <w:rsid w:val="002C3A63"/>
    <w:rsid w:val="002C5713"/>
    <w:rsid w:val="002C5BD5"/>
    <w:rsid w:val="002D0034"/>
    <w:rsid w:val="002D4E2D"/>
    <w:rsid w:val="002D5837"/>
    <w:rsid w:val="002D5982"/>
    <w:rsid w:val="002D6DE5"/>
    <w:rsid w:val="002E119B"/>
    <w:rsid w:val="002E1A11"/>
    <w:rsid w:val="002E2B13"/>
    <w:rsid w:val="002E3097"/>
    <w:rsid w:val="002E3DEB"/>
    <w:rsid w:val="002E5FD7"/>
    <w:rsid w:val="002E657A"/>
    <w:rsid w:val="002E7EC2"/>
    <w:rsid w:val="002F0F5F"/>
    <w:rsid w:val="002F225B"/>
    <w:rsid w:val="002F27BC"/>
    <w:rsid w:val="002F2C5C"/>
    <w:rsid w:val="002F3715"/>
    <w:rsid w:val="002F6580"/>
    <w:rsid w:val="00300EB3"/>
    <w:rsid w:val="00303E8A"/>
    <w:rsid w:val="00304552"/>
    <w:rsid w:val="00306938"/>
    <w:rsid w:val="003102C0"/>
    <w:rsid w:val="003107E1"/>
    <w:rsid w:val="00310C60"/>
    <w:rsid w:val="00313158"/>
    <w:rsid w:val="003140CA"/>
    <w:rsid w:val="003145F8"/>
    <w:rsid w:val="00315248"/>
    <w:rsid w:val="00317B05"/>
    <w:rsid w:val="00317F28"/>
    <w:rsid w:val="00321429"/>
    <w:rsid w:val="00321D7F"/>
    <w:rsid w:val="00322A0C"/>
    <w:rsid w:val="003236CE"/>
    <w:rsid w:val="00323897"/>
    <w:rsid w:val="003260E4"/>
    <w:rsid w:val="003265DB"/>
    <w:rsid w:val="00327547"/>
    <w:rsid w:val="00330225"/>
    <w:rsid w:val="00330603"/>
    <w:rsid w:val="0033137B"/>
    <w:rsid w:val="00334D27"/>
    <w:rsid w:val="00336DB2"/>
    <w:rsid w:val="00336ED4"/>
    <w:rsid w:val="00340038"/>
    <w:rsid w:val="003407F6"/>
    <w:rsid w:val="00340DCF"/>
    <w:rsid w:val="0034125E"/>
    <w:rsid w:val="0034147E"/>
    <w:rsid w:val="00342370"/>
    <w:rsid w:val="003423BC"/>
    <w:rsid w:val="00344136"/>
    <w:rsid w:val="003446FB"/>
    <w:rsid w:val="00344B58"/>
    <w:rsid w:val="00350F0D"/>
    <w:rsid w:val="00351EE0"/>
    <w:rsid w:val="003544D0"/>
    <w:rsid w:val="00355492"/>
    <w:rsid w:val="00355611"/>
    <w:rsid w:val="003568B8"/>
    <w:rsid w:val="00357EAC"/>
    <w:rsid w:val="00360238"/>
    <w:rsid w:val="003612FA"/>
    <w:rsid w:val="00361401"/>
    <w:rsid w:val="00362778"/>
    <w:rsid w:val="0036283F"/>
    <w:rsid w:val="003631EC"/>
    <w:rsid w:val="003675EB"/>
    <w:rsid w:val="0037143F"/>
    <w:rsid w:val="0037272E"/>
    <w:rsid w:val="003731D1"/>
    <w:rsid w:val="003743AD"/>
    <w:rsid w:val="00375D44"/>
    <w:rsid w:val="0038013D"/>
    <w:rsid w:val="0038101A"/>
    <w:rsid w:val="0038192C"/>
    <w:rsid w:val="003829D1"/>
    <w:rsid w:val="00383C4F"/>
    <w:rsid w:val="003844FF"/>
    <w:rsid w:val="00384557"/>
    <w:rsid w:val="003845B2"/>
    <w:rsid w:val="00386646"/>
    <w:rsid w:val="0038706E"/>
    <w:rsid w:val="003876F2"/>
    <w:rsid w:val="003917A9"/>
    <w:rsid w:val="00391D64"/>
    <w:rsid w:val="003932A3"/>
    <w:rsid w:val="00394264"/>
    <w:rsid w:val="00394C30"/>
    <w:rsid w:val="00394E85"/>
    <w:rsid w:val="00396CDB"/>
    <w:rsid w:val="0039747B"/>
    <w:rsid w:val="003978C2"/>
    <w:rsid w:val="00397E16"/>
    <w:rsid w:val="003A02FB"/>
    <w:rsid w:val="003A1FCA"/>
    <w:rsid w:val="003A25B9"/>
    <w:rsid w:val="003A31F9"/>
    <w:rsid w:val="003A3DB1"/>
    <w:rsid w:val="003A4550"/>
    <w:rsid w:val="003A4EB6"/>
    <w:rsid w:val="003A6920"/>
    <w:rsid w:val="003B2239"/>
    <w:rsid w:val="003B2992"/>
    <w:rsid w:val="003B3BC6"/>
    <w:rsid w:val="003B5C2D"/>
    <w:rsid w:val="003B76FE"/>
    <w:rsid w:val="003C0293"/>
    <w:rsid w:val="003C0390"/>
    <w:rsid w:val="003C1F9B"/>
    <w:rsid w:val="003C23A0"/>
    <w:rsid w:val="003C28E5"/>
    <w:rsid w:val="003C3803"/>
    <w:rsid w:val="003C3861"/>
    <w:rsid w:val="003C42A1"/>
    <w:rsid w:val="003C503F"/>
    <w:rsid w:val="003C6035"/>
    <w:rsid w:val="003C6E5D"/>
    <w:rsid w:val="003C79C3"/>
    <w:rsid w:val="003C7DA6"/>
    <w:rsid w:val="003D1415"/>
    <w:rsid w:val="003D157E"/>
    <w:rsid w:val="003D1B74"/>
    <w:rsid w:val="003D2751"/>
    <w:rsid w:val="003D2C49"/>
    <w:rsid w:val="003D2F9D"/>
    <w:rsid w:val="003D3A65"/>
    <w:rsid w:val="003D468B"/>
    <w:rsid w:val="003D4736"/>
    <w:rsid w:val="003D563A"/>
    <w:rsid w:val="003D5DF0"/>
    <w:rsid w:val="003E0A87"/>
    <w:rsid w:val="003E4F10"/>
    <w:rsid w:val="003E56A6"/>
    <w:rsid w:val="003E78E2"/>
    <w:rsid w:val="003F1330"/>
    <w:rsid w:val="003F1BD0"/>
    <w:rsid w:val="003F33F3"/>
    <w:rsid w:val="003F3482"/>
    <w:rsid w:val="003F3F02"/>
    <w:rsid w:val="003F5887"/>
    <w:rsid w:val="003F660D"/>
    <w:rsid w:val="003F68C4"/>
    <w:rsid w:val="003F6D97"/>
    <w:rsid w:val="0040061F"/>
    <w:rsid w:val="00400FBC"/>
    <w:rsid w:val="00401632"/>
    <w:rsid w:val="0040198D"/>
    <w:rsid w:val="00402027"/>
    <w:rsid w:val="00402EDC"/>
    <w:rsid w:val="00404793"/>
    <w:rsid w:val="00404F47"/>
    <w:rsid w:val="00406703"/>
    <w:rsid w:val="00406FB9"/>
    <w:rsid w:val="00407424"/>
    <w:rsid w:val="00410883"/>
    <w:rsid w:val="00411EDE"/>
    <w:rsid w:val="004122D1"/>
    <w:rsid w:val="0041366A"/>
    <w:rsid w:val="004202C0"/>
    <w:rsid w:val="004206D0"/>
    <w:rsid w:val="00421335"/>
    <w:rsid w:val="00422146"/>
    <w:rsid w:val="004229F7"/>
    <w:rsid w:val="004232A6"/>
    <w:rsid w:val="00423647"/>
    <w:rsid w:val="00423A44"/>
    <w:rsid w:val="00424955"/>
    <w:rsid w:val="00424F8C"/>
    <w:rsid w:val="00425272"/>
    <w:rsid w:val="00426BD3"/>
    <w:rsid w:val="00426F49"/>
    <w:rsid w:val="004273B4"/>
    <w:rsid w:val="00427A54"/>
    <w:rsid w:val="004309CF"/>
    <w:rsid w:val="00431659"/>
    <w:rsid w:val="004335B3"/>
    <w:rsid w:val="0043642C"/>
    <w:rsid w:val="0043675B"/>
    <w:rsid w:val="004401ED"/>
    <w:rsid w:val="00443183"/>
    <w:rsid w:val="00444704"/>
    <w:rsid w:val="00444CCB"/>
    <w:rsid w:val="00444E14"/>
    <w:rsid w:val="004468E5"/>
    <w:rsid w:val="004469BB"/>
    <w:rsid w:val="0045064F"/>
    <w:rsid w:val="0045236D"/>
    <w:rsid w:val="004523C7"/>
    <w:rsid w:val="0045418E"/>
    <w:rsid w:val="004544D7"/>
    <w:rsid w:val="00454528"/>
    <w:rsid w:val="00457B97"/>
    <w:rsid w:val="00457DDF"/>
    <w:rsid w:val="004609F9"/>
    <w:rsid w:val="0046273A"/>
    <w:rsid w:val="0046353C"/>
    <w:rsid w:val="00464901"/>
    <w:rsid w:val="00464D72"/>
    <w:rsid w:val="00466ED4"/>
    <w:rsid w:val="00467E8D"/>
    <w:rsid w:val="0047310B"/>
    <w:rsid w:val="0047381A"/>
    <w:rsid w:val="004738C2"/>
    <w:rsid w:val="00473C17"/>
    <w:rsid w:val="0047464B"/>
    <w:rsid w:val="00475C48"/>
    <w:rsid w:val="00476BB2"/>
    <w:rsid w:val="00477293"/>
    <w:rsid w:val="004772FC"/>
    <w:rsid w:val="00477644"/>
    <w:rsid w:val="00477D28"/>
    <w:rsid w:val="0048020B"/>
    <w:rsid w:val="00480A4B"/>
    <w:rsid w:val="00481026"/>
    <w:rsid w:val="00481536"/>
    <w:rsid w:val="00482B9A"/>
    <w:rsid w:val="004835B8"/>
    <w:rsid w:val="00483B23"/>
    <w:rsid w:val="00484188"/>
    <w:rsid w:val="00485117"/>
    <w:rsid w:val="004856C3"/>
    <w:rsid w:val="00485ADB"/>
    <w:rsid w:val="00490209"/>
    <w:rsid w:val="00490486"/>
    <w:rsid w:val="00490E58"/>
    <w:rsid w:val="00491484"/>
    <w:rsid w:val="00492128"/>
    <w:rsid w:val="00492369"/>
    <w:rsid w:val="004932A2"/>
    <w:rsid w:val="004941F6"/>
    <w:rsid w:val="004946AB"/>
    <w:rsid w:val="00494CDF"/>
    <w:rsid w:val="004954F8"/>
    <w:rsid w:val="0049642C"/>
    <w:rsid w:val="00496646"/>
    <w:rsid w:val="00497590"/>
    <w:rsid w:val="004A1CFA"/>
    <w:rsid w:val="004A24FF"/>
    <w:rsid w:val="004A251E"/>
    <w:rsid w:val="004A3449"/>
    <w:rsid w:val="004A3BCB"/>
    <w:rsid w:val="004A3C08"/>
    <w:rsid w:val="004A4DCA"/>
    <w:rsid w:val="004A4DF0"/>
    <w:rsid w:val="004A6432"/>
    <w:rsid w:val="004A6BE5"/>
    <w:rsid w:val="004A7139"/>
    <w:rsid w:val="004A7347"/>
    <w:rsid w:val="004B0DFA"/>
    <w:rsid w:val="004B1681"/>
    <w:rsid w:val="004B20E1"/>
    <w:rsid w:val="004B2C13"/>
    <w:rsid w:val="004B34E0"/>
    <w:rsid w:val="004B72B7"/>
    <w:rsid w:val="004B734C"/>
    <w:rsid w:val="004B7895"/>
    <w:rsid w:val="004C1227"/>
    <w:rsid w:val="004C2337"/>
    <w:rsid w:val="004C2B2D"/>
    <w:rsid w:val="004C5F5E"/>
    <w:rsid w:val="004C6F2F"/>
    <w:rsid w:val="004D0B52"/>
    <w:rsid w:val="004D24EB"/>
    <w:rsid w:val="004D2E9F"/>
    <w:rsid w:val="004D4F0D"/>
    <w:rsid w:val="004D5908"/>
    <w:rsid w:val="004E1352"/>
    <w:rsid w:val="004E1F77"/>
    <w:rsid w:val="004E31E1"/>
    <w:rsid w:val="004E368B"/>
    <w:rsid w:val="004E4075"/>
    <w:rsid w:val="004E45FE"/>
    <w:rsid w:val="004E55E0"/>
    <w:rsid w:val="004E5D49"/>
    <w:rsid w:val="004E6F32"/>
    <w:rsid w:val="004F051A"/>
    <w:rsid w:val="004F136D"/>
    <w:rsid w:val="004F3046"/>
    <w:rsid w:val="004F4DE4"/>
    <w:rsid w:val="004F533C"/>
    <w:rsid w:val="005004C1"/>
    <w:rsid w:val="0050082D"/>
    <w:rsid w:val="0050099A"/>
    <w:rsid w:val="00500BDF"/>
    <w:rsid w:val="00502149"/>
    <w:rsid w:val="00502E8E"/>
    <w:rsid w:val="00502EBA"/>
    <w:rsid w:val="005033A6"/>
    <w:rsid w:val="005035FE"/>
    <w:rsid w:val="00503831"/>
    <w:rsid w:val="00505141"/>
    <w:rsid w:val="0050699B"/>
    <w:rsid w:val="00506C64"/>
    <w:rsid w:val="00511389"/>
    <w:rsid w:val="00511464"/>
    <w:rsid w:val="0051246A"/>
    <w:rsid w:val="00514623"/>
    <w:rsid w:val="00515A6E"/>
    <w:rsid w:val="00515DC4"/>
    <w:rsid w:val="00515EFF"/>
    <w:rsid w:val="00517206"/>
    <w:rsid w:val="0051769D"/>
    <w:rsid w:val="005202C6"/>
    <w:rsid w:val="00522832"/>
    <w:rsid w:val="00522F30"/>
    <w:rsid w:val="00523D4D"/>
    <w:rsid w:val="00524012"/>
    <w:rsid w:val="00524104"/>
    <w:rsid w:val="0052469B"/>
    <w:rsid w:val="005329C9"/>
    <w:rsid w:val="00534BF2"/>
    <w:rsid w:val="005355A8"/>
    <w:rsid w:val="005363AF"/>
    <w:rsid w:val="005368A0"/>
    <w:rsid w:val="00536FB2"/>
    <w:rsid w:val="00540FEC"/>
    <w:rsid w:val="005434D6"/>
    <w:rsid w:val="0054668F"/>
    <w:rsid w:val="00547D50"/>
    <w:rsid w:val="00550104"/>
    <w:rsid w:val="005509D3"/>
    <w:rsid w:val="00550DB0"/>
    <w:rsid w:val="0055147E"/>
    <w:rsid w:val="00551D56"/>
    <w:rsid w:val="00552762"/>
    <w:rsid w:val="00552D20"/>
    <w:rsid w:val="0055462C"/>
    <w:rsid w:val="00554871"/>
    <w:rsid w:val="005557E2"/>
    <w:rsid w:val="00556AE7"/>
    <w:rsid w:val="00557149"/>
    <w:rsid w:val="00562C3C"/>
    <w:rsid w:val="0056331F"/>
    <w:rsid w:val="00564B67"/>
    <w:rsid w:val="005650C4"/>
    <w:rsid w:val="00566A07"/>
    <w:rsid w:val="00566B3C"/>
    <w:rsid w:val="00567357"/>
    <w:rsid w:val="00567CB2"/>
    <w:rsid w:val="00567DA6"/>
    <w:rsid w:val="00567F17"/>
    <w:rsid w:val="00570FAB"/>
    <w:rsid w:val="005740E8"/>
    <w:rsid w:val="00574495"/>
    <w:rsid w:val="00574A46"/>
    <w:rsid w:val="005754FB"/>
    <w:rsid w:val="0057733C"/>
    <w:rsid w:val="00580C72"/>
    <w:rsid w:val="00580E04"/>
    <w:rsid w:val="005813B2"/>
    <w:rsid w:val="00583A80"/>
    <w:rsid w:val="005858E5"/>
    <w:rsid w:val="00586959"/>
    <w:rsid w:val="00586BBE"/>
    <w:rsid w:val="005874D8"/>
    <w:rsid w:val="00587870"/>
    <w:rsid w:val="00590695"/>
    <w:rsid w:val="00591D50"/>
    <w:rsid w:val="00596ED1"/>
    <w:rsid w:val="005A1ADC"/>
    <w:rsid w:val="005A27E1"/>
    <w:rsid w:val="005A3EFF"/>
    <w:rsid w:val="005A5B82"/>
    <w:rsid w:val="005A77F8"/>
    <w:rsid w:val="005B08F1"/>
    <w:rsid w:val="005B1888"/>
    <w:rsid w:val="005B1B3C"/>
    <w:rsid w:val="005B1B89"/>
    <w:rsid w:val="005B1FA4"/>
    <w:rsid w:val="005B3045"/>
    <w:rsid w:val="005B44F1"/>
    <w:rsid w:val="005B4DE8"/>
    <w:rsid w:val="005B52B2"/>
    <w:rsid w:val="005B633B"/>
    <w:rsid w:val="005B6D79"/>
    <w:rsid w:val="005B6FCD"/>
    <w:rsid w:val="005C0DB4"/>
    <w:rsid w:val="005C4349"/>
    <w:rsid w:val="005C5301"/>
    <w:rsid w:val="005C6556"/>
    <w:rsid w:val="005C6B20"/>
    <w:rsid w:val="005C79DA"/>
    <w:rsid w:val="005D1EC7"/>
    <w:rsid w:val="005D1EC8"/>
    <w:rsid w:val="005D22AA"/>
    <w:rsid w:val="005D3B78"/>
    <w:rsid w:val="005D4BAE"/>
    <w:rsid w:val="005D5258"/>
    <w:rsid w:val="005D55A5"/>
    <w:rsid w:val="005D59DB"/>
    <w:rsid w:val="005D5A6F"/>
    <w:rsid w:val="005D6904"/>
    <w:rsid w:val="005D7D63"/>
    <w:rsid w:val="005E08EA"/>
    <w:rsid w:val="005E2480"/>
    <w:rsid w:val="005E2AB6"/>
    <w:rsid w:val="005E4FEB"/>
    <w:rsid w:val="005E6868"/>
    <w:rsid w:val="005F0933"/>
    <w:rsid w:val="005F0ADF"/>
    <w:rsid w:val="005F1CC4"/>
    <w:rsid w:val="005F4733"/>
    <w:rsid w:val="005F574D"/>
    <w:rsid w:val="005F5E94"/>
    <w:rsid w:val="005F662D"/>
    <w:rsid w:val="005F6724"/>
    <w:rsid w:val="005F7225"/>
    <w:rsid w:val="005F7F7C"/>
    <w:rsid w:val="00602007"/>
    <w:rsid w:val="006035A7"/>
    <w:rsid w:val="006037E6"/>
    <w:rsid w:val="00604909"/>
    <w:rsid w:val="00604EE2"/>
    <w:rsid w:val="00606FD2"/>
    <w:rsid w:val="00607CE6"/>
    <w:rsid w:val="006101B1"/>
    <w:rsid w:val="00614AB3"/>
    <w:rsid w:val="00617D04"/>
    <w:rsid w:val="00620C02"/>
    <w:rsid w:val="00620FD9"/>
    <w:rsid w:val="00621719"/>
    <w:rsid w:val="00622A39"/>
    <w:rsid w:val="0062331D"/>
    <w:rsid w:val="00623A7F"/>
    <w:rsid w:val="006249D7"/>
    <w:rsid w:val="00625B26"/>
    <w:rsid w:val="006261F4"/>
    <w:rsid w:val="006279AE"/>
    <w:rsid w:val="006314F6"/>
    <w:rsid w:val="00631E75"/>
    <w:rsid w:val="006327E9"/>
    <w:rsid w:val="00632C39"/>
    <w:rsid w:val="0063404A"/>
    <w:rsid w:val="006373E7"/>
    <w:rsid w:val="0064087D"/>
    <w:rsid w:val="00640A13"/>
    <w:rsid w:val="00641828"/>
    <w:rsid w:val="00641901"/>
    <w:rsid w:val="0064283E"/>
    <w:rsid w:val="00642C72"/>
    <w:rsid w:val="0064305F"/>
    <w:rsid w:val="00643FC0"/>
    <w:rsid w:val="00644E2A"/>
    <w:rsid w:val="006450E3"/>
    <w:rsid w:val="0064577E"/>
    <w:rsid w:val="00646C9F"/>
    <w:rsid w:val="00647521"/>
    <w:rsid w:val="00654301"/>
    <w:rsid w:val="0065495C"/>
    <w:rsid w:val="00654BBA"/>
    <w:rsid w:val="00660CF4"/>
    <w:rsid w:val="006613D9"/>
    <w:rsid w:val="00662885"/>
    <w:rsid w:val="00662C3D"/>
    <w:rsid w:val="00663025"/>
    <w:rsid w:val="00663987"/>
    <w:rsid w:val="0066589D"/>
    <w:rsid w:val="00665B1C"/>
    <w:rsid w:val="00666B62"/>
    <w:rsid w:val="00666BFB"/>
    <w:rsid w:val="00666D04"/>
    <w:rsid w:val="00670083"/>
    <w:rsid w:val="006708CC"/>
    <w:rsid w:val="006720AD"/>
    <w:rsid w:val="00673125"/>
    <w:rsid w:val="00673205"/>
    <w:rsid w:val="006753EC"/>
    <w:rsid w:val="00676392"/>
    <w:rsid w:val="00677B3E"/>
    <w:rsid w:val="00677CD1"/>
    <w:rsid w:val="00680465"/>
    <w:rsid w:val="0068115A"/>
    <w:rsid w:val="0068147F"/>
    <w:rsid w:val="006834C7"/>
    <w:rsid w:val="0068369A"/>
    <w:rsid w:val="00684091"/>
    <w:rsid w:val="006845F6"/>
    <w:rsid w:val="0068502D"/>
    <w:rsid w:val="0068717D"/>
    <w:rsid w:val="0069037B"/>
    <w:rsid w:val="0069126C"/>
    <w:rsid w:val="00691901"/>
    <w:rsid w:val="00691EA6"/>
    <w:rsid w:val="00691F52"/>
    <w:rsid w:val="00693D77"/>
    <w:rsid w:val="00694FEA"/>
    <w:rsid w:val="00695836"/>
    <w:rsid w:val="006963E2"/>
    <w:rsid w:val="006965BD"/>
    <w:rsid w:val="006A0711"/>
    <w:rsid w:val="006A085F"/>
    <w:rsid w:val="006A1573"/>
    <w:rsid w:val="006A23E1"/>
    <w:rsid w:val="006A29BA"/>
    <w:rsid w:val="006A4EF0"/>
    <w:rsid w:val="006A62B9"/>
    <w:rsid w:val="006B0E4D"/>
    <w:rsid w:val="006B14AA"/>
    <w:rsid w:val="006B1ACB"/>
    <w:rsid w:val="006B4597"/>
    <w:rsid w:val="006B59BE"/>
    <w:rsid w:val="006B5C87"/>
    <w:rsid w:val="006B6F20"/>
    <w:rsid w:val="006C0795"/>
    <w:rsid w:val="006C12A3"/>
    <w:rsid w:val="006C2F49"/>
    <w:rsid w:val="006C4DDB"/>
    <w:rsid w:val="006C57E3"/>
    <w:rsid w:val="006C5B68"/>
    <w:rsid w:val="006C6D25"/>
    <w:rsid w:val="006C7259"/>
    <w:rsid w:val="006D2CFC"/>
    <w:rsid w:val="006D2F0D"/>
    <w:rsid w:val="006D4823"/>
    <w:rsid w:val="006D5C37"/>
    <w:rsid w:val="006E1E04"/>
    <w:rsid w:val="006E27CD"/>
    <w:rsid w:val="006E2B1C"/>
    <w:rsid w:val="006E55F2"/>
    <w:rsid w:val="006F067D"/>
    <w:rsid w:val="006F0CD2"/>
    <w:rsid w:val="006F1D30"/>
    <w:rsid w:val="006F358A"/>
    <w:rsid w:val="006F560B"/>
    <w:rsid w:val="006F7A6B"/>
    <w:rsid w:val="007017A2"/>
    <w:rsid w:val="00701AC7"/>
    <w:rsid w:val="007051B7"/>
    <w:rsid w:val="00705446"/>
    <w:rsid w:val="00705AC8"/>
    <w:rsid w:val="00707DFB"/>
    <w:rsid w:val="00710308"/>
    <w:rsid w:val="00710F08"/>
    <w:rsid w:val="00711655"/>
    <w:rsid w:val="00711A16"/>
    <w:rsid w:val="00711AB7"/>
    <w:rsid w:val="00711BBB"/>
    <w:rsid w:val="0071527E"/>
    <w:rsid w:val="00715320"/>
    <w:rsid w:val="00716A44"/>
    <w:rsid w:val="007217FF"/>
    <w:rsid w:val="00722834"/>
    <w:rsid w:val="007254CB"/>
    <w:rsid w:val="007267F0"/>
    <w:rsid w:val="00727268"/>
    <w:rsid w:val="007278B2"/>
    <w:rsid w:val="007309EC"/>
    <w:rsid w:val="00733660"/>
    <w:rsid w:val="00733892"/>
    <w:rsid w:val="0073694F"/>
    <w:rsid w:val="00740821"/>
    <w:rsid w:val="00740CFA"/>
    <w:rsid w:val="00742AF8"/>
    <w:rsid w:val="007432B8"/>
    <w:rsid w:val="00746133"/>
    <w:rsid w:val="00746DF9"/>
    <w:rsid w:val="00747C9D"/>
    <w:rsid w:val="00750A0D"/>
    <w:rsid w:val="007515BC"/>
    <w:rsid w:val="00751E10"/>
    <w:rsid w:val="00752535"/>
    <w:rsid w:val="00752CC8"/>
    <w:rsid w:val="007533FA"/>
    <w:rsid w:val="00753FC1"/>
    <w:rsid w:val="00755007"/>
    <w:rsid w:val="0075699A"/>
    <w:rsid w:val="007571ED"/>
    <w:rsid w:val="00757D90"/>
    <w:rsid w:val="007632C7"/>
    <w:rsid w:val="00766373"/>
    <w:rsid w:val="0076721B"/>
    <w:rsid w:val="00767BD5"/>
    <w:rsid w:val="0077151A"/>
    <w:rsid w:val="007716E2"/>
    <w:rsid w:val="007745D7"/>
    <w:rsid w:val="00774A6F"/>
    <w:rsid w:val="00775055"/>
    <w:rsid w:val="007751A4"/>
    <w:rsid w:val="00775B0C"/>
    <w:rsid w:val="00775C97"/>
    <w:rsid w:val="0078061D"/>
    <w:rsid w:val="00780AD9"/>
    <w:rsid w:val="007828FB"/>
    <w:rsid w:val="007831F7"/>
    <w:rsid w:val="0078438A"/>
    <w:rsid w:val="00786A54"/>
    <w:rsid w:val="007901BA"/>
    <w:rsid w:val="007932D4"/>
    <w:rsid w:val="0079392E"/>
    <w:rsid w:val="00793952"/>
    <w:rsid w:val="00793C49"/>
    <w:rsid w:val="0079449E"/>
    <w:rsid w:val="0079494A"/>
    <w:rsid w:val="007959D3"/>
    <w:rsid w:val="00796D13"/>
    <w:rsid w:val="00796E18"/>
    <w:rsid w:val="00797030"/>
    <w:rsid w:val="007A0DF7"/>
    <w:rsid w:val="007A3962"/>
    <w:rsid w:val="007A409D"/>
    <w:rsid w:val="007A6EA8"/>
    <w:rsid w:val="007A7403"/>
    <w:rsid w:val="007B1E60"/>
    <w:rsid w:val="007B5046"/>
    <w:rsid w:val="007B7697"/>
    <w:rsid w:val="007C1348"/>
    <w:rsid w:val="007C1A4F"/>
    <w:rsid w:val="007C1F4F"/>
    <w:rsid w:val="007C28B1"/>
    <w:rsid w:val="007C2D4E"/>
    <w:rsid w:val="007C3282"/>
    <w:rsid w:val="007C4DF1"/>
    <w:rsid w:val="007C4E02"/>
    <w:rsid w:val="007C56EA"/>
    <w:rsid w:val="007C6247"/>
    <w:rsid w:val="007C69E0"/>
    <w:rsid w:val="007C6E33"/>
    <w:rsid w:val="007C7271"/>
    <w:rsid w:val="007C77CD"/>
    <w:rsid w:val="007D3020"/>
    <w:rsid w:val="007D3B86"/>
    <w:rsid w:val="007D57F0"/>
    <w:rsid w:val="007D7087"/>
    <w:rsid w:val="007E257A"/>
    <w:rsid w:val="007E2AA1"/>
    <w:rsid w:val="007E6310"/>
    <w:rsid w:val="007F222F"/>
    <w:rsid w:val="007F37AD"/>
    <w:rsid w:val="007F37E5"/>
    <w:rsid w:val="007F474B"/>
    <w:rsid w:val="007F4BE5"/>
    <w:rsid w:val="007F654E"/>
    <w:rsid w:val="007F6EF5"/>
    <w:rsid w:val="008000B1"/>
    <w:rsid w:val="00800673"/>
    <w:rsid w:val="008020B5"/>
    <w:rsid w:val="00802C52"/>
    <w:rsid w:val="00802C6E"/>
    <w:rsid w:val="00802D75"/>
    <w:rsid w:val="00804119"/>
    <w:rsid w:val="00804513"/>
    <w:rsid w:val="00807867"/>
    <w:rsid w:val="00807AF4"/>
    <w:rsid w:val="00810346"/>
    <w:rsid w:val="008112F1"/>
    <w:rsid w:val="00814E98"/>
    <w:rsid w:val="00817FCA"/>
    <w:rsid w:val="008207F7"/>
    <w:rsid w:val="00825063"/>
    <w:rsid w:val="00825A57"/>
    <w:rsid w:val="00825C83"/>
    <w:rsid w:val="00827296"/>
    <w:rsid w:val="00832674"/>
    <w:rsid w:val="008337F4"/>
    <w:rsid w:val="00834057"/>
    <w:rsid w:val="00834BFB"/>
    <w:rsid w:val="00835955"/>
    <w:rsid w:val="00835D81"/>
    <w:rsid w:val="0083645B"/>
    <w:rsid w:val="0083686D"/>
    <w:rsid w:val="00837AA8"/>
    <w:rsid w:val="008408FA"/>
    <w:rsid w:val="008421AE"/>
    <w:rsid w:val="00844037"/>
    <w:rsid w:val="0084409B"/>
    <w:rsid w:val="008452F1"/>
    <w:rsid w:val="00845BBA"/>
    <w:rsid w:val="00845C37"/>
    <w:rsid w:val="00846B73"/>
    <w:rsid w:val="008470C6"/>
    <w:rsid w:val="008472EB"/>
    <w:rsid w:val="00847833"/>
    <w:rsid w:val="00850314"/>
    <w:rsid w:val="00853E97"/>
    <w:rsid w:val="008540A7"/>
    <w:rsid w:val="00856ACD"/>
    <w:rsid w:val="00856B06"/>
    <w:rsid w:val="00857A88"/>
    <w:rsid w:val="00857B20"/>
    <w:rsid w:val="008636E9"/>
    <w:rsid w:val="0086391B"/>
    <w:rsid w:val="00864D87"/>
    <w:rsid w:val="00865B7D"/>
    <w:rsid w:val="00867144"/>
    <w:rsid w:val="0086787A"/>
    <w:rsid w:val="00870F03"/>
    <w:rsid w:val="00871D19"/>
    <w:rsid w:val="00872B90"/>
    <w:rsid w:val="00873105"/>
    <w:rsid w:val="008769DB"/>
    <w:rsid w:val="00882023"/>
    <w:rsid w:val="00882B63"/>
    <w:rsid w:val="00882C35"/>
    <w:rsid w:val="008840C5"/>
    <w:rsid w:val="008847B1"/>
    <w:rsid w:val="00885BB4"/>
    <w:rsid w:val="008865BE"/>
    <w:rsid w:val="00887501"/>
    <w:rsid w:val="00891D9A"/>
    <w:rsid w:val="00892674"/>
    <w:rsid w:val="00892DD6"/>
    <w:rsid w:val="00895C70"/>
    <w:rsid w:val="008A03A9"/>
    <w:rsid w:val="008A0C3A"/>
    <w:rsid w:val="008A0D89"/>
    <w:rsid w:val="008A2313"/>
    <w:rsid w:val="008A2537"/>
    <w:rsid w:val="008A39DC"/>
    <w:rsid w:val="008A4246"/>
    <w:rsid w:val="008A43DA"/>
    <w:rsid w:val="008A4448"/>
    <w:rsid w:val="008A4985"/>
    <w:rsid w:val="008A6B33"/>
    <w:rsid w:val="008A7740"/>
    <w:rsid w:val="008A77ED"/>
    <w:rsid w:val="008A79B3"/>
    <w:rsid w:val="008A7C39"/>
    <w:rsid w:val="008A7D75"/>
    <w:rsid w:val="008B0490"/>
    <w:rsid w:val="008B09BB"/>
    <w:rsid w:val="008B0A04"/>
    <w:rsid w:val="008B216A"/>
    <w:rsid w:val="008B2A77"/>
    <w:rsid w:val="008B32F9"/>
    <w:rsid w:val="008B3775"/>
    <w:rsid w:val="008B3860"/>
    <w:rsid w:val="008B38A8"/>
    <w:rsid w:val="008B3CEF"/>
    <w:rsid w:val="008B5D43"/>
    <w:rsid w:val="008B76F5"/>
    <w:rsid w:val="008C0CAB"/>
    <w:rsid w:val="008C0EEF"/>
    <w:rsid w:val="008C22F0"/>
    <w:rsid w:val="008C2AE0"/>
    <w:rsid w:val="008C5EFE"/>
    <w:rsid w:val="008C7259"/>
    <w:rsid w:val="008C79C9"/>
    <w:rsid w:val="008D0A2C"/>
    <w:rsid w:val="008D1873"/>
    <w:rsid w:val="008D4E90"/>
    <w:rsid w:val="008D5542"/>
    <w:rsid w:val="008D6614"/>
    <w:rsid w:val="008D6B39"/>
    <w:rsid w:val="008E066D"/>
    <w:rsid w:val="008E2CAD"/>
    <w:rsid w:val="008E434B"/>
    <w:rsid w:val="008E4831"/>
    <w:rsid w:val="008E4880"/>
    <w:rsid w:val="008E64D4"/>
    <w:rsid w:val="008F05EE"/>
    <w:rsid w:val="008F2342"/>
    <w:rsid w:val="008F3C47"/>
    <w:rsid w:val="008F3D02"/>
    <w:rsid w:val="008F3F2E"/>
    <w:rsid w:val="008F56CB"/>
    <w:rsid w:val="008F64B6"/>
    <w:rsid w:val="008F68EC"/>
    <w:rsid w:val="008F7E88"/>
    <w:rsid w:val="0090131B"/>
    <w:rsid w:val="00901473"/>
    <w:rsid w:val="009067C8"/>
    <w:rsid w:val="009073D6"/>
    <w:rsid w:val="009103D4"/>
    <w:rsid w:val="009114CB"/>
    <w:rsid w:val="00911EBB"/>
    <w:rsid w:val="009128A7"/>
    <w:rsid w:val="00912DE1"/>
    <w:rsid w:val="00913711"/>
    <w:rsid w:val="00913A95"/>
    <w:rsid w:val="009148F8"/>
    <w:rsid w:val="00914902"/>
    <w:rsid w:val="00915FD3"/>
    <w:rsid w:val="009163C1"/>
    <w:rsid w:val="00920076"/>
    <w:rsid w:val="00922600"/>
    <w:rsid w:val="00922E02"/>
    <w:rsid w:val="00923408"/>
    <w:rsid w:val="00924198"/>
    <w:rsid w:val="00925AB9"/>
    <w:rsid w:val="00925D3A"/>
    <w:rsid w:val="00926D49"/>
    <w:rsid w:val="009272B7"/>
    <w:rsid w:val="00931618"/>
    <w:rsid w:val="00931B2C"/>
    <w:rsid w:val="009323AF"/>
    <w:rsid w:val="0093281F"/>
    <w:rsid w:val="00932B39"/>
    <w:rsid w:val="0093349E"/>
    <w:rsid w:val="00933ADC"/>
    <w:rsid w:val="00933EC9"/>
    <w:rsid w:val="00935B4E"/>
    <w:rsid w:val="00935C20"/>
    <w:rsid w:val="009375DD"/>
    <w:rsid w:val="00937988"/>
    <w:rsid w:val="00940755"/>
    <w:rsid w:val="0094258D"/>
    <w:rsid w:val="00943689"/>
    <w:rsid w:val="00944986"/>
    <w:rsid w:val="00944A3F"/>
    <w:rsid w:val="00945931"/>
    <w:rsid w:val="009467AE"/>
    <w:rsid w:val="00947400"/>
    <w:rsid w:val="00951190"/>
    <w:rsid w:val="0095241D"/>
    <w:rsid w:val="00953271"/>
    <w:rsid w:val="00953D1A"/>
    <w:rsid w:val="0095473A"/>
    <w:rsid w:val="00954BD4"/>
    <w:rsid w:val="009558FA"/>
    <w:rsid w:val="00956EEA"/>
    <w:rsid w:val="00956FDA"/>
    <w:rsid w:val="00957DD1"/>
    <w:rsid w:val="009622F6"/>
    <w:rsid w:val="00964126"/>
    <w:rsid w:val="00964C54"/>
    <w:rsid w:val="009654C5"/>
    <w:rsid w:val="00965983"/>
    <w:rsid w:val="0096654F"/>
    <w:rsid w:val="009706D9"/>
    <w:rsid w:val="00970EDC"/>
    <w:rsid w:val="0097219C"/>
    <w:rsid w:val="00972686"/>
    <w:rsid w:val="009741F9"/>
    <w:rsid w:val="00974E21"/>
    <w:rsid w:val="00975CDD"/>
    <w:rsid w:val="00976EF3"/>
    <w:rsid w:val="00980048"/>
    <w:rsid w:val="009804B7"/>
    <w:rsid w:val="00980E47"/>
    <w:rsid w:val="00981373"/>
    <w:rsid w:val="0098254D"/>
    <w:rsid w:val="00982AC3"/>
    <w:rsid w:val="009861D3"/>
    <w:rsid w:val="00986DC0"/>
    <w:rsid w:val="009904AD"/>
    <w:rsid w:val="00994F58"/>
    <w:rsid w:val="00995C8B"/>
    <w:rsid w:val="00996665"/>
    <w:rsid w:val="00996FB9"/>
    <w:rsid w:val="009970F9"/>
    <w:rsid w:val="009978C5"/>
    <w:rsid w:val="009A0C2A"/>
    <w:rsid w:val="009A1582"/>
    <w:rsid w:val="009A4561"/>
    <w:rsid w:val="009A4844"/>
    <w:rsid w:val="009B0038"/>
    <w:rsid w:val="009B18E0"/>
    <w:rsid w:val="009B1B68"/>
    <w:rsid w:val="009B1F36"/>
    <w:rsid w:val="009B21A2"/>
    <w:rsid w:val="009B2A32"/>
    <w:rsid w:val="009B2F95"/>
    <w:rsid w:val="009B40D2"/>
    <w:rsid w:val="009B4998"/>
    <w:rsid w:val="009B4B25"/>
    <w:rsid w:val="009B6324"/>
    <w:rsid w:val="009B70D2"/>
    <w:rsid w:val="009C02A5"/>
    <w:rsid w:val="009C138B"/>
    <w:rsid w:val="009C18B0"/>
    <w:rsid w:val="009C2005"/>
    <w:rsid w:val="009C4232"/>
    <w:rsid w:val="009C4FD6"/>
    <w:rsid w:val="009C5510"/>
    <w:rsid w:val="009C6275"/>
    <w:rsid w:val="009C644B"/>
    <w:rsid w:val="009C6F87"/>
    <w:rsid w:val="009C741B"/>
    <w:rsid w:val="009C7D79"/>
    <w:rsid w:val="009D3F56"/>
    <w:rsid w:val="009D5CD4"/>
    <w:rsid w:val="009D6D09"/>
    <w:rsid w:val="009D6FFC"/>
    <w:rsid w:val="009D750D"/>
    <w:rsid w:val="009D793F"/>
    <w:rsid w:val="009D79A4"/>
    <w:rsid w:val="009D7DC9"/>
    <w:rsid w:val="009E00FB"/>
    <w:rsid w:val="009E0312"/>
    <w:rsid w:val="009E0602"/>
    <w:rsid w:val="009E0A3A"/>
    <w:rsid w:val="009E2D4C"/>
    <w:rsid w:val="009E31B1"/>
    <w:rsid w:val="009E42A9"/>
    <w:rsid w:val="009E4569"/>
    <w:rsid w:val="009E4DB2"/>
    <w:rsid w:val="009E6C3B"/>
    <w:rsid w:val="009E73D4"/>
    <w:rsid w:val="009E75E5"/>
    <w:rsid w:val="009E797F"/>
    <w:rsid w:val="009F0DA0"/>
    <w:rsid w:val="009F1548"/>
    <w:rsid w:val="009F211D"/>
    <w:rsid w:val="009F2ABE"/>
    <w:rsid w:val="009F3CA1"/>
    <w:rsid w:val="009F3F80"/>
    <w:rsid w:val="009F486E"/>
    <w:rsid w:val="009F4FAE"/>
    <w:rsid w:val="00A0026A"/>
    <w:rsid w:val="00A00CE2"/>
    <w:rsid w:val="00A01340"/>
    <w:rsid w:val="00A0326A"/>
    <w:rsid w:val="00A040B7"/>
    <w:rsid w:val="00A051EB"/>
    <w:rsid w:val="00A06B66"/>
    <w:rsid w:val="00A0723C"/>
    <w:rsid w:val="00A075A6"/>
    <w:rsid w:val="00A07FE7"/>
    <w:rsid w:val="00A1002A"/>
    <w:rsid w:val="00A10386"/>
    <w:rsid w:val="00A1129C"/>
    <w:rsid w:val="00A11FC4"/>
    <w:rsid w:val="00A13BB3"/>
    <w:rsid w:val="00A14892"/>
    <w:rsid w:val="00A165A6"/>
    <w:rsid w:val="00A16A75"/>
    <w:rsid w:val="00A16C93"/>
    <w:rsid w:val="00A17817"/>
    <w:rsid w:val="00A17D1B"/>
    <w:rsid w:val="00A20655"/>
    <w:rsid w:val="00A22A1F"/>
    <w:rsid w:val="00A242A8"/>
    <w:rsid w:val="00A25631"/>
    <w:rsid w:val="00A25C3C"/>
    <w:rsid w:val="00A26C23"/>
    <w:rsid w:val="00A27760"/>
    <w:rsid w:val="00A27AA7"/>
    <w:rsid w:val="00A33F12"/>
    <w:rsid w:val="00A340E4"/>
    <w:rsid w:val="00A34AA2"/>
    <w:rsid w:val="00A35685"/>
    <w:rsid w:val="00A3691C"/>
    <w:rsid w:val="00A376A9"/>
    <w:rsid w:val="00A37AEB"/>
    <w:rsid w:val="00A44EF2"/>
    <w:rsid w:val="00A47B20"/>
    <w:rsid w:val="00A50F7B"/>
    <w:rsid w:val="00A514D0"/>
    <w:rsid w:val="00A51838"/>
    <w:rsid w:val="00A526DC"/>
    <w:rsid w:val="00A5279A"/>
    <w:rsid w:val="00A530F7"/>
    <w:rsid w:val="00A544BC"/>
    <w:rsid w:val="00A5797A"/>
    <w:rsid w:val="00A57FB6"/>
    <w:rsid w:val="00A61403"/>
    <w:rsid w:val="00A62818"/>
    <w:rsid w:val="00A63426"/>
    <w:rsid w:val="00A642AE"/>
    <w:rsid w:val="00A646EB"/>
    <w:rsid w:val="00A647E0"/>
    <w:rsid w:val="00A666E1"/>
    <w:rsid w:val="00A67479"/>
    <w:rsid w:val="00A67903"/>
    <w:rsid w:val="00A67C1D"/>
    <w:rsid w:val="00A67DA5"/>
    <w:rsid w:val="00A70393"/>
    <w:rsid w:val="00A70782"/>
    <w:rsid w:val="00A727FB"/>
    <w:rsid w:val="00A760D4"/>
    <w:rsid w:val="00A7688B"/>
    <w:rsid w:val="00A77019"/>
    <w:rsid w:val="00A7773B"/>
    <w:rsid w:val="00A82333"/>
    <w:rsid w:val="00A8474E"/>
    <w:rsid w:val="00A86892"/>
    <w:rsid w:val="00A87569"/>
    <w:rsid w:val="00A90CCE"/>
    <w:rsid w:val="00A943DA"/>
    <w:rsid w:val="00A94C94"/>
    <w:rsid w:val="00A96C25"/>
    <w:rsid w:val="00A972CB"/>
    <w:rsid w:val="00A97D4F"/>
    <w:rsid w:val="00AA113E"/>
    <w:rsid w:val="00AA2C9E"/>
    <w:rsid w:val="00AA3DBE"/>
    <w:rsid w:val="00AA4053"/>
    <w:rsid w:val="00AA5122"/>
    <w:rsid w:val="00AA64D6"/>
    <w:rsid w:val="00AA6A39"/>
    <w:rsid w:val="00AA6F02"/>
    <w:rsid w:val="00AA74C1"/>
    <w:rsid w:val="00AB44D1"/>
    <w:rsid w:val="00AB4F56"/>
    <w:rsid w:val="00AB4F90"/>
    <w:rsid w:val="00AB6D0B"/>
    <w:rsid w:val="00AB6F10"/>
    <w:rsid w:val="00AB7874"/>
    <w:rsid w:val="00AC237A"/>
    <w:rsid w:val="00AC2E1D"/>
    <w:rsid w:val="00AC3891"/>
    <w:rsid w:val="00AC5870"/>
    <w:rsid w:val="00AC6504"/>
    <w:rsid w:val="00AC6A36"/>
    <w:rsid w:val="00AC7614"/>
    <w:rsid w:val="00AC7B93"/>
    <w:rsid w:val="00AD0D30"/>
    <w:rsid w:val="00AD13D2"/>
    <w:rsid w:val="00AD4FC0"/>
    <w:rsid w:val="00AD5A2B"/>
    <w:rsid w:val="00AD6230"/>
    <w:rsid w:val="00AD77BC"/>
    <w:rsid w:val="00AD77E2"/>
    <w:rsid w:val="00AD789C"/>
    <w:rsid w:val="00AE011F"/>
    <w:rsid w:val="00AE18CC"/>
    <w:rsid w:val="00AE3822"/>
    <w:rsid w:val="00AE3F8C"/>
    <w:rsid w:val="00AE5061"/>
    <w:rsid w:val="00AE57EE"/>
    <w:rsid w:val="00AE59EE"/>
    <w:rsid w:val="00AE670E"/>
    <w:rsid w:val="00AE7C00"/>
    <w:rsid w:val="00AF2DD4"/>
    <w:rsid w:val="00AF305F"/>
    <w:rsid w:val="00AF3A52"/>
    <w:rsid w:val="00AF475F"/>
    <w:rsid w:val="00AF7762"/>
    <w:rsid w:val="00AF7A28"/>
    <w:rsid w:val="00B01372"/>
    <w:rsid w:val="00B01C7A"/>
    <w:rsid w:val="00B020B2"/>
    <w:rsid w:val="00B04F2C"/>
    <w:rsid w:val="00B05C9C"/>
    <w:rsid w:val="00B07009"/>
    <w:rsid w:val="00B0769F"/>
    <w:rsid w:val="00B10B9E"/>
    <w:rsid w:val="00B10EBD"/>
    <w:rsid w:val="00B11DB1"/>
    <w:rsid w:val="00B12049"/>
    <w:rsid w:val="00B12D84"/>
    <w:rsid w:val="00B14CC0"/>
    <w:rsid w:val="00B1566C"/>
    <w:rsid w:val="00B16705"/>
    <w:rsid w:val="00B2440C"/>
    <w:rsid w:val="00B24BAC"/>
    <w:rsid w:val="00B25FC5"/>
    <w:rsid w:val="00B2767F"/>
    <w:rsid w:val="00B279C4"/>
    <w:rsid w:val="00B27FEA"/>
    <w:rsid w:val="00B3175A"/>
    <w:rsid w:val="00B317F8"/>
    <w:rsid w:val="00B330F7"/>
    <w:rsid w:val="00B333ED"/>
    <w:rsid w:val="00B34CD3"/>
    <w:rsid w:val="00B35E06"/>
    <w:rsid w:val="00B36249"/>
    <w:rsid w:val="00B36524"/>
    <w:rsid w:val="00B367EB"/>
    <w:rsid w:val="00B36A66"/>
    <w:rsid w:val="00B37832"/>
    <w:rsid w:val="00B43E82"/>
    <w:rsid w:val="00B45800"/>
    <w:rsid w:val="00B461E9"/>
    <w:rsid w:val="00B46F31"/>
    <w:rsid w:val="00B50D39"/>
    <w:rsid w:val="00B513EA"/>
    <w:rsid w:val="00B51C87"/>
    <w:rsid w:val="00B51CF1"/>
    <w:rsid w:val="00B525A3"/>
    <w:rsid w:val="00B5323D"/>
    <w:rsid w:val="00B5388E"/>
    <w:rsid w:val="00B53B2D"/>
    <w:rsid w:val="00B53DED"/>
    <w:rsid w:val="00B53E02"/>
    <w:rsid w:val="00B541D8"/>
    <w:rsid w:val="00B54A06"/>
    <w:rsid w:val="00B54D84"/>
    <w:rsid w:val="00B56861"/>
    <w:rsid w:val="00B576A0"/>
    <w:rsid w:val="00B60556"/>
    <w:rsid w:val="00B61A8D"/>
    <w:rsid w:val="00B61D99"/>
    <w:rsid w:val="00B61E24"/>
    <w:rsid w:val="00B6290E"/>
    <w:rsid w:val="00B632FF"/>
    <w:rsid w:val="00B63481"/>
    <w:rsid w:val="00B6377E"/>
    <w:rsid w:val="00B654ED"/>
    <w:rsid w:val="00B668A5"/>
    <w:rsid w:val="00B66A16"/>
    <w:rsid w:val="00B66F46"/>
    <w:rsid w:val="00B670EE"/>
    <w:rsid w:val="00B67281"/>
    <w:rsid w:val="00B72086"/>
    <w:rsid w:val="00B72720"/>
    <w:rsid w:val="00B7298A"/>
    <w:rsid w:val="00B737F9"/>
    <w:rsid w:val="00B742BF"/>
    <w:rsid w:val="00B7501F"/>
    <w:rsid w:val="00B753F4"/>
    <w:rsid w:val="00B77E29"/>
    <w:rsid w:val="00B810C7"/>
    <w:rsid w:val="00B81A73"/>
    <w:rsid w:val="00B82A36"/>
    <w:rsid w:val="00B83C9B"/>
    <w:rsid w:val="00B841F0"/>
    <w:rsid w:val="00B84857"/>
    <w:rsid w:val="00B879D6"/>
    <w:rsid w:val="00B9221D"/>
    <w:rsid w:val="00B92253"/>
    <w:rsid w:val="00B96076"/>
    <w:rsid w:val="00B96826"/>
    <w:rsid w:val="00B96CBB"/>
    <w:rsid w:val="00B96E95"/>
    <w:rsid w:val="00B97AC0"/>
    <w:rsid w:val="00B97E02"/>
    <w:rsid w:val="00BA0A3A"/>
    <w:rsid w:val="00BA0ADF"/>
    <w:rsid w:val="00BA13C9"/>
    <w:rsid w:val="00BA1A89"/>
    <w:rsid w:val="00BA487C"/>
    <w:rsid w:val="00BA4DF7"/>
    <w:rsid w:val="00BA54F4"/>
    <w:rsid w:val="00BA62E5"/>
    <w:rsid w:val="00BA767C"/>
    <w:rsid w:val="00BB00A4"/>
    <w:rsid w:val="00BB017E"/>
    <w:rsid w:val="00BB0A4F"/>
    <w:rsid w:val="00BB0CD0"/>
    <w:rsid w:val="00BB0DAE"/>
    <w:rsid w:val="00BB30CC"/>
    <w:rsid w:val="00BB47F8"/>
    <w:rsid w:val="00BB4B68"/>
    <w:rsid w:val="00BB6BBA"/>
    <w:rsid w:val="00BC04FF"/>
    <w:rsid w:val="00BC0F9C"/>
    <w:rsid w:val="00BC16E2"/>
    <w:rsid w:val="00BC17F0"/>
    <w:rsid w:val="00BC19C8"/>
    <w:rsid w:val="00BC1E92"/>
    <w:rsid w:val="00BC21F2"/>
    <w:rsid w:val="00BC2BC1"/>
    <w:rsid w:val="00BC4C3D"/>
    <w:rsid w:val="00BC576A"/>
    <w:rsid w:val="00BC59FE"/>
    <w:rsid w:val="00BC5BE9"/>
    <w:rsid w:val="00BC74A9"/>
    <w:rsid w:val="00BC7DBC"/>
    <w:rsid w:val="00BD02F3"/>
    <w:rsid w:val="00BD08CB"/>
    <w:rsid w:val="00BD10E9"/>
    <w:rsid w:val="00BD1A2B"/>
    <w:rsid w:val="00BD496E"/>
    <w:rsid w:val="00BD4C3B"/>
    <w:rsid w:val="00BD57A1"/>
    <w:rsid w:val="00BE1CCB"/>
    <w:rsid w:val="00BE3109"/>
    <w:rsid w:val="00BE41EF"/>
    <w:rsid w:val="00BE433B"/>
    <w:rsid w:val="00BE5705"/>
    <w:rsid w:val="00BE5DC4"/>
    <w:rsid w:val="00BE60E9"/>
    <w:rsid w:val="00BE7666"/>
    <w:rsid w:val="00BF0331"/>
    <w:rsid w:val="00BF0DB5"/>
    <w:rsid w:val="00BF0F85"/>
    <w:rsid w:val="00BF19A1"/>
    <w:rsid w:val="00BF267A"/>
    <w:rsid w:val="00BF26AF"/>
    <w:rsid w:val="00BF28FF"/>
    <w:rsid w:val="00BF5F0E"/>
    <w:rsid w:val="00BF6066"/>
    <w:rsid w:val="00C00509"/>
    <w:rsid w:val="00C00563"/>
    <w:rsid w:val="00C00784"/>
    <w:rsid w:val="00C03F17"/>
    <w:rsid w:val="00C04868"/>
    <w:rsid w:val="00C04CD9"/>
    <w:rsid w:val="00C050EC"/>
    <w:rsid w:val="00C07565"/>
    <w:rsid w:val="00C07761"/>
    <w:rsid w:val="00C10C45"/>
    <w:rsid w:val="00C1102F"/>
    <w:rsid w:val="00C12B63"/>
    <w:rsid w:val="00C13464"/>
    <w:rsid w:val="00C16F26"/>
    <w:rsid w:val="00C1798A"/>
    <w:rsid w:val="00C17AD4"/>
    <w:rsid w:val="00C17C3F"/>
    <w:rsid w:val="00C21020"/>
    <w:rsid w:val="00C222A6"/>
    <w:rsid w:val="00C22E68"/>
    <w:rsid w:val="00C230CB"/>
    <w:rsid w:val="00C23743"/>
    <w:rsid w:val="00C25098"/>
    <w:rsid w:val="00C26127"/>
    <w:rsid w:val="00C26B3E"/>
    <w:rsid w:val="00C27C36"/>
    <w:rsid w:val="00C3004E"/>
    <w:rsid w:val="00C309E8"/>
    <w:rsid w:val="00C30B0C"/>
    <w:rsid w:val="00C30E79"/>
    <w:rsid w:val="00C314EF"/>
    <w:rsid w:val="00C32417"/>
    <w:rsid w:val="00C3249F"/>
    <w:rsid w:val="00C32D54"/>
    <w:rsid w:val="00C32E07"/>
    <w:rsid w:val="00C335CB"/>
    <w:rsid w:val="00C339B1"/>
    <w:rsid w:val="00C33C12"/>
    <w:rsid w:val="00C34372"/>
    <w:rsid w:val="00C361BF"/>
    <w:rsid w:val="00C3628C"/>
    <w:rsid w:val="00C3727E"/>
    <w:rsid w:val="00C42225"/>
    <w:rsid w:val="00C4253C"/>
    <w:rsid w:val="00C437AF"/>
    <w:rsid w:val="00C43FC3"/>
    <w:rsid w:val="00C448F3"/>
    <w:rsid w:val="00C46D0E"/>
    <w:rsid w:val="00C472DF"/>
    <w:rsid w:val="00C50C1B"/>
    <w:rsid w:val="00C5398E"/>
    <w:rsid w:val="00C5450C"/>
    <w:rsid w:val="00C554EC"/>
    <w:rsid w:val="00C55C35"/>
    <w:rsid w:val="00C57987"/>
    <w:rsid w:val="00C6144F"/>
    <w:rsid w:val="00C6463A"/>
    <w:rsid w:val="00C664FD"/>
    <w:rsid w:val="00C71850"/>
    <w:rsid w:val="00C73F70"/>
    <w:rsid w:val="00C747DE"/>
    <w:rsid w:val="00C75FF8"/>
    <w:rsid w:val="00C7656C"/>
    <w:rsid w:val="00C7671E"/>
    <w:rsid w:val="00C8304D"/>
    <w:rsid w:val="00C836C7"/>
    <w:rsid w:val="00C83D78"/>
    <w:rsid w:val="00C877AD"/>
    <w:rsid w:val="00C90C12"/>
    <w:rsid w:val="00C91FDC"/>
    <w:rsid w:val="00C921AA"/>
    <w:rsid w:val="00C92C1F"/>
    <w:rsid w:val="00C9307F"/>
    <w:rsid w:val="00C93FD8"/>
    <w:rsid w:val="00C95338"/>
    <w:rsid w:val="00C957FC"/>
    <w:rsid w:val="00C96137"/>
    <w:rsid w:val="00C96A89"/>
    <w:rsid w:val="00C96DD0"/>
    <w:rsid w:val="00C97899"/>
    <w:rsid w:val="00CA03AE"/>
    <w:rsid w:val="00CA33C1"/>
    <w:rsid w:val="00CA3DE8"/>
    <w:rsid w:val="00CA6963"/>
    <w:rsid w:val="00CA6DDF"/>
    <w:rsid w:val="00CA7D32"/>
    <w:rsid w:val="00CB1154"/>
    <w:rsid w:val="00CB19ED"/>
    <w:rsid w:val="00CB4243"/>
    <w:rsid w:val="00CB4D2F"/>
    <w:rsid w:val="00CB4F9B"/>
    <w:rsid w:val="00CB736C"/>
    <w:rsid w:val="00CC0477"/>
    <w:rsid w:val="00CC0F54"/>
    <w:rsid w:val="00CC291A"/>
    <w:rsid w:val="00CC37BD"/>
    <w:rsid w:val="00CC3FFA"/>
    <w:rsid w:val="00CC4F2D"/>
    <w:rsid w:val="00CC56EF"/>
    <w:rsid w:val="00CC64AC"/>
    <w:rsid w:val="00CC72D1"/>
    <w:rsid w:val="00CD121D"/>
    <w:rsid w:val="00CD2900"/>
    <w:rsid w:val="00CD3A1C"/>
    <w:rsid w:val="00CD79FD"/>
    <w:rsid w:val="00CE0E59"/>
    <w:rsid w:val="00CE3E79"/>
    <w:rsid w:val="00CE4EFC"/>
    <w:rsid w:val="00CE546A"/>
    <w:rsid w:val="00CE5EEC"/>
    <w:rsid w:val="00CE69B2"/>
    <w:rsid w:val="00CF0092"/>
    <w:rsid w:val="00CF260D"/>
    <w:rsid w:val="00CF34CF"/>
    <w:rsid w:val="00CF35E6"/>
    <w:rsid w:val="00CF77DB"/>
    <w:rsid w:val="00D05BC9"/>
    <w:rsid w:val="00D071DE"/>
    <w:rsid w:val="00D07343"/>
    <w:rsid w:val="00D10ED8"/>
    <w:rsid w:val="00D110AF"/>
    <w:rsid w:val="00D11364"/>
    <w:rsid w:val="00D1227F"/>
    <w:rsid w:val="00D12F71"/>
    <w:rsid w:val="00D14A4A"/>
    <w:rsid w:val="00D15EE5"/>
    <w:rsid w:val="00D17869"/>
    <w:rsid w:val="00D24317"/>
    <w:rsid w:val="00D2471E"/>
    <w:rsid w:val="00D24B8D"/>
    <w:rsid w:val="00D258F4"/>
    <w:rsid w:val="00D2746B"/>
    <w:rsid w:val="00D31091"/>
    <w:rsid w:val="00D31B03"/>
    <w:rsid w:val="00D323DB"/>
    <w:rsid w:val="00D33658"/>
    <w:rsid w:val="00D35D51"/>
    <w:rsid w:val="00D37C42"/>
    <w:rsid w:val="00D41F3B"/>
    <w:rsid w:val="00D43FA5"/>
    <w:rsid w:val="00D440A4"/>
    <w:rsid w:val="00D45DFE"/>
    <w:rsid w:val="00D4777F"/>
    <w:rsid w:val="00D47D05"/>
    <w:rsid w:val="00D5004D"/>
    <w:rsid w:val="00D50216"/>
    <w:rsid w:val="00D50425"/>
    <w:rsid w:val="00D51508"/>
    <w:rsid w:val="00D51789"/>
    <w:rsid w:val="00D548B1"/>
    <w:rsid w:val="00D55789"/>
    <w:rsid w:val="00D576FE"/>
    <w:rsid w:val="00D60309"/>
    <w:rsid w:val="00D60B85"/>
    <w:rsid w:val="00D60BE5"/>
    <w:rsid w:val="00D60D0A"/>
    <w:rsid w:val="00D6180B"/>
    <w:rsid w:val="00D62185"/>
    <w:rsid w:val="00D63EAA"/>
    <w:rsid w:val="00D64825"/>
    <w:rsid w:val="00D6487F"/>
    <w:rsid w:val="00D64D79"/>
    <w:rsid w:val="00D65261"/>
    <w:rsid w:val="00D6566C"/>
    <w:rsid w:val="00D7118F"/>
    <w:rsid w:val="00D71BF6"/>
    <w:rsid w:val="00D73E31"/>
    <w:rsid w:val="00D75500"/>
    <w:rsid w:val="00D757B2"/>
    <w:rsid w:val="00D76BB7"/>
    <w:rsid w:val="00D77037"/>
    <w:rsid w:val="00D82802"/>
    <w:rsid w:val="00D82882"/>
    <w:rsid w:val="00D82B02"/>
    <w:rsid w:val="00D8368A"/>
    <w:rsid w:val="00D838F8"/>
    <w:rsid w:val="00D8550B"/>
    <w:rsid w:val="00D85E87"/>
    <w:rsid w:val="00D8754F"/>
    <w:rsid w:val="00D9020F"/>
    <w:rsid w:val="00D9039B"/>
    <w:rsid w:val="00D90921"/>
    <w:rsid w:val="00D9323A"/>
    <w:rsid w:val="00D942C9"/>
    <w:rsid w:val="00D952D9"/>
    <w:rsid w:val="00D96FEE"/>
    <w:rsid w:val="00D97883"/>
    <w:rsid w:val="00DA0A17"/>
    <w:rsid w:val="00DA0E7A"/>
    <w:rsid w:val="00DA1EED"/>
    <w:rsid w:val="00DA24BC"/>
    <w:rsid w:val="00DA3005"/>
    <w:rsid w:val="00DA3A0D"/>
    <w:rsid w:val="00DA3A76"/>
    <w:rsid w:val="00DA3EB8"/>
    <w:rsid w:val="00DA4BE1"/>
    <w:rsid w:val="00DA6F44"/>
    <w:rsid w:val="00DB0F7A"/>
    <w:rsid w:val="00DB18D9"/>
    <w:rsid w:val="00DB29CD"/>
    <w:rsid w:val="00DB2E99"/>
    <w:rsid w:val="00DB30CF"/>
    <w:rsid w:val="00DB677E"/>
    <w:rsid w:val="00DC003F"/>
    <w:rsid w:val="00DC0CE2"/>
    <w:rsid w:val="00DC239E"/>
    <w:rsid w:val="00DC2ADE"/>
    <w:rsid w:val="00DC4450"/>
    <w:rsid w:val="00DC56FF"/>
    <w:rsid w:val="00DC5BF0"/>
    <w:rsid w:val="00DC6B9D"/>
    <w:rsid w:val="00DC6C32"/>
    <w:rsid w:val="00DC7DB5"/>
    <w:rsid w:val="00DD021C"/>
    <w:rsid w:val="00DD0247"/>
    <w:rsid w:val="00DD4D06"/>
    <w:rsid w:val="00DD4F9C"/>
    <w:rsid w:val="00DD59B6"/>
    <w:rsid w:val="00DD5AB5"/>
    <w:rsid w:val="00DD5BF5"/>
    <w:rsid w:val="00DD718B"/>
    <w:rsid w:val="00DE042A"/>
    <w:rsid w:val="00DE0D14"/>
    <w:rsid w:val="00DE24C3"/>
    <w:rsid w:val="00DE39A6"/>
    <w:rsid w:val="00DE3F88"/>
    <w:rsid w:val="00DE408E"/>
    <w:rsid w:val="00DE5C0C"/>
    <w:rsid w:val="00DE703F"/>
    <w:rsid w:val="00DE728D"/>
    <w:rsid w:val="00DE79BC"/>
    <w:rsid w:val="00DE7D4F"/>
    <w:rsid w:val="00DF06F6"/>
    <w:rsid w:val="00DF0DCD"/>
    <w:rsid w:val="00DF14C8"/>
    <w:rsid w:val="00DF30C7"/>
    <w:rsid w:val="00DF4B1C"/>
    <w:rsid w:val="00DF6028"/>
    <w:rsid w:val="00DF73D4"/>
    <w:rsid w:val="00DF7B93"/>
    <w:rsid w:val="00E00C9B"/>
    <w:rsid w:val="00E0161D"/>
    <w:rsid w:val="00E01D32"/>
    <w:rsid w:val="00E02A0D"/>
    <w:rsid w:val="00E02B92"/>
    <w:rsid w:val="00E03641"/>
    <w:rsid w:val="00E04DAF"/>
    <w:rsid w:val="00E05B18"/>
    <w:rsid w:val="00E05D07"/>
    <w:rsid w:val="00E05E78"/>
    <w:rsid w:val="00E06810"/>
    <w:rsid w:val="00E06A5D"/>
    <w:rsid w:val="00E07A3C"/>
    <w:rsid w:val="00E106CA"/>
    <w:rsid w:val="00E10D63"/>
    <w:rsid w:val="00E111E7"/>
    <w:rsid w:val="00E1311B"/>
    <w:rsid w:val="00E137A4"/>
    <w:rsid w:val="00E14117"/>
    <w:rsid w:val="00E14ECD"/>
    <w:rsid w:val="00E14F65"/>
    <w:rsid w:val="00E15370"/>
    <w:rsid w:val="00E20E21"/>
    <w:rsid w:val="00E2199B"/>
    <w:rsid w:val="00E221A5"/>
    <w:rsid w:val="00E22B5F"/>
    <w:rsid w:val="00E25B00"/>
    <w:rsid w:val="00E27389"/>
    <w:rsid w:val="00E3098B"/>
    <w:rsid w:val="00E31E16"/>
    <w:rsid w:val="00E33BB7"/>
    <w:rsid w:val="00E34377"/>
    <w:rsid w:val="00E344ED"/>
    <w:rsid w:val="00E34CF8"/>
    <w:rsid w:val="00E4160A"/>
    <w:rsid w:val="00E42875"/>
    <w:rsid w:val="00E429C8"/>
    <w:rsid w:val="00E42DA4"/>
    <w:rsid w:val="00E440E5"/>
    <w:rsid w:val="00E444F3"/>
    <w:rsid w:val="00E45EA0"/>
    <w:rsid w:val="00E45EC8"/>
    <w:rsid w:val="00E47711"/>
    <w:rsid w:val="00E47E68"/>
    <w:rsid w:val="00E50B3F"/>
    <w:rsid w:val="00E52788"/>
    <w:rsid w:val="00E53C7D"/>
    <w:rsid w:val="00E53EA9"/>
    <w:rsid w:val="00E60BD4"/>
    <w:rsid w:val="00E624F2"/>
    <w:rsid w:val="00E62A4E"/>
    <w:rsid w:val="00E63858"/>
    <w:rsid w:val="00E6461C"/>
    <w:rsid w:val="00E6603C"/>
    <w:rsid w:val="00E66758"/>
    <w:rsid w:val="00E70F16"/>
    <w:rsid w:val="00E7155B"/>
    <w:rsid w:val="00E71571"/>
    <w:rsid w:val="00E722CE"/>
    <w:rsid w:val="00E72A7E"/>
    <w:rsid w:val="00E72C04"/>
    <w:rsid w:val="00E73243"/>
    <w:rsid w:val="00E73D4A"/>
    <w:rsid w:val="00E754A1"/>
    <w:rsid w:val="00E75E9D"/>
    <w:rsid w:val="00E76711"/>
    <w:rsid w:val="00E77715"/>
    <w:rsid w:val="00E80332"/>
    <w:rsid w:val="00E81F92"/>
    <w:rsid w:val="00E821EC"/>
    <w:rsid w:val="00E8268D"/>
    <w:rsid w:val="00E8400E"/>
    <w:rsid w:val="00E85086"/>
    <w:rsid w:val="00E90038"/>
    <w:rsid w:val="00E90BAE"/>
    <w:rsid w:val="00E90EF9"/>
    <w:rsid w:val="00E93B22"/>
    <w:rsid w:val="00E946DD"/>
    <w:rsid w:val="00E9622E"/>
    <w:rsid w:val="00E962BD"/>
    <w:rsid w:val="00E9641D"/>
    <w:rsid w:val="00E976EA"/>
    <w:rsid w:val="00EA0856"/>
    <w:rsid w:val="00EA2931"/>
    <w:rsid w:val="00EA2CF6"/>
    <w:rsid w:val="00EA3303"/>
    <w:rsid w:val="00EA547E"/>
    <w:rsid w:val="00EA62F1"/>
    <w:rsid w:val="00EA6310"/>
    <w:rsid w:val="00EA63E4"/>
    <w:rsid w:val="00EB1687"/>
    <w:rsid w:val="00EB186B"/>
    <w:rsid w:val="00EB2333"/>
    <w:rsid w:val="00EB2C56"/>
    <w:rsid w:val="00EB2F2F"/>
    <w:rsid w:val="00EC1093"/>
    <w:rsid w:val="00EC2C0B"/>
    <w:rsid w:val="00EC3789"/>
    <w:rsid w:val="00EC4642"/>
    <w:rsid w:val="00EC5140"/>
    <w:rsid w:val="00EC5956"/>
    <w:rsid w:val="00EC59B1"/>
    <w:rsid w:val="00EC686F"/>
    <w:rsid w:val="00EC6C99"/>
    <w:rsid w:val="00EC7C0C"/>
    <w:rsid w:val="00ED019E"/>
    <w:rsid w:val="00ED3187"/>
    <w:rsid w:val="00ED3DF3"/>
    <w:rsid w:val="00ED580A"/>
    <w:rsid w:val="00ED5B02"/>
    <w:rsid w:val="00ED6380"/>
    <w:rsid w:val="00ED6CF9"/>
    <w:rsid w:val="00ED71F7"/>
    <w:rsid w:val="00EE0CDF"/>
    <w:rsid w:val="00EE1363"/>
    <w:rsid w:val="00EE59C5"/>
    <w:rsid w:val="00EE6542"/>
    <w:rsid w:val="00EE7126"/>
    <w:rsid w:val="00EF04BC"/>
    <w:rsid w:val="00EF0906"/>
    <w:rsid w:val="00EF10E9"/>
    <w:rsid w:val="00EF22F8"/>
    <w:rsid w:val="00EF2A73"/>
    <w:rsid w:val="00EF2B09"/>
    <w:rsid w:val="00EF33D4"/>
    <w:rsid w:val="00EF3FC8"/>
    <w:rsid w:val="00EF56E1"/>
    <w:rsid w:val="00EF57F2"/>
    <w:rsid w:val="00EF5D67"/>
    <w:rsid w:val="00EF6118"/>
    <w:rsid w:val="00EF6393"/>
    <w:rsid w:val="00EF774D"/>
    <w:rsid w:val="00EF7867"/>
    <w:rsid w:val="00F025A1"/>
    <w:rsid w:val="00F03695"/>
    <w:rsid w:val="00F04A97"/>
    <w:rsid w:val="00F122C4"/>
    <w:rsid w:val="00F12D6F"/>
    <w:rsid w:val="00F1327C"/>
    <w:rsid w:val="00F134F8"/>
    <w:rsid w:val="00F13DA8"/>
    <w:rsid w:val="00F161BB"/>
    <w:rsid w:val="00F16BA1"/>
    <w:rsid w:val="00F16EA7"/>
    <w:rsid w:val="00F1710C"/>
    <w:rsid w:val="00F20712"/>
    <w:rsid w:val="00F20A82"/>
    <w:rsid w:val="00F2158F"/>
    <w:rsid w:val="00F21C0C"/>
    <w:rsid w:val="00F21F88"/>
    <w:rsid w:val="00F2252F"/>
    <w:rsid w:val="00F2457F"/>
    <w:rsid w:val="00F249E2"/>
    <w:rsid w:val="00F24CFD"/>
    <w:rsid w:val="00F24EFC"/>
    <w:rsid w:val="00F262A2"/>
    <w:rsid w:val="00F26FC1"/>
    <w:rsid w:val="00F27B85"/>
    <w:rsid w:val="00F30293"/>
    <w:rsid w:val="00F32EDF"/>
    <w:rsid w:val="00F33350"/>
    <w:rsid w:val="00F33E20"/>
    <w:rsid w:val="00F346C9"/>
    <w:rsid w:val="00F348DE"/>
    <w:rsid w:val="00F34EA9"/>
    <w:rsid w:val="00F352A8"/>
    <w:rsid w:val="00F35660"/>
    <w:rsid w:val="00F356F1"/>
    <w:rsid w:val="00F369F7"/>
    <w:rsid w:val="00F36D82"/>
    <w:rsid w:val="00F40386"/>
    <w:rsid w:val="00F4518C"/>
    <w:rsid w:val="00F45A00"/>
    <w:rsid w:val="00F478A4"/>
    <w:rsid w:val="00F50B89"/>
    <w:rsid w:val="00F5222F"/>
    <w:rsid w:val="00F53F6A"/>
    <w:rsid w:val="00F562D9"/>
    <w:rsid w:val="00F56449"/>
    <w:rsid w:val="00F5788A"/>
    <w:rsid w:val="00F57C68"/>
    <w:rsid w:val="00F60E74"/>
    <w:rsid w:val="00F612DC"/>
    <w:rsid w:val="00F6169E"/>
    <w:rsid w:val="00F620FC"/>
    <w:rsid w:val="00F62F67"/>
    <w:rsid w:val="00F635BC"/>
    <w:rsid w:val="00F63898"/>
    <w:rsid w:val="00F65C40"/>
    <w:rsid w:val="00F666F1"/>
    <w:rsid w:val="00F67C8E"/>
    <w:rsid w:val="00F707A7"/>
    <w:rsid w:val="00F70CC3"/>
    <w:rsid w:val="00F71193"/>
    <w:rsid w:val="00F717B3"/>
    <w:rsid w:val="00F72EEF"/>
    <w:rsid w:val="00F7318D"/>
    <w:rsid w:val="00F7351D"/>
    <w:rsid w:val="00F74766"/>
    <w:rsid w:val="00F74E22"/>
    <w:rsid w:val="00F7556A"/>
    <w:rsid w:val="00F75C54"/>
    <w:rsid w:val="00F77F6C"/>
    <w:rsid w:val="00F8040E"/>
    <w:rsid w:val="00F81609"/>
    <w:rsid w:val="00F83581"/>
    <w:rsid w:val="00F84AAB"/>
    <w:rsid w:val="00F86455"/>
    <w:rsid w:val="00F87EB7"/>
    <w:rsid w:val="00F87EB9"/>
    <w:rsid w:val="00F92558"/>
    <w:rsid w:val="00F92CAB"/>
    <w:rsid w:val="00F92DAE"/>
    <w:rsid w:val="00F94ABC"/>
    <w:rsid w:val="00F94DE7"/>
    <w:rsid w:val="00F94E2E"/>
    <w:rsid w:val="00F9645C"/>
    <w:rsid w:val="00F96E5B"/>
    <w:rsid w:val="00F97DA1"/>
    <w:rsid w:val="00FA0029"/>
    <w:rsid w:val="00FA03AE"/>
    <w:rsid w:val="00FA12AC"/>
    <w:rsid w:val="00FA14E0"/>
    <w:rsid w:val="00FA1C40"/>
    <w:rsid w:val="00FA4755"/>
    <w:rsid w:val="00FA5D65"/>
    <w:rsid w:val="00FA7253"/>
    <w:rsid w:val="00FA7A16"/>
    <w:rsid w:val="00FA7F86"/>
    <w:rsid w:val="00FB0BB5"/>
    <w:rsid w:val="00FB1D19"/>
    <w:rsid w:val="00FB4962"/>
    <w:rsid w:val="00FB49A1"/>
    <w:rsid w:val="00FB5546"/>
    <w:rsid w:val="00FB64C5"/>
    <w:rsid w:val="00FB6E7C"/>
    <w:rsid w:val="00FB7006"/>
    <w:rsid w:val="00FB7020"/>
    <w:rsid w:val="00FC1176"/>
    <w:rsid w:val="00FC2757"/>
    <w:rsid w:val="00FC2EA2"/>
    <w:rsid w:val="00FC37E4"/>
    <w:rsid w:val="00FC3D02"/>
    <w:rsid w:val="00FC46CA"/>
    <w:rsid w:val="00FC476F"/>
    <w:rsid w:val="00FC4C09"/>
    <w:rsid w:val="00FC5429"/>
    <w:rsid w:val="00FC77D7"/>
    <w:rsid w:val="00FD3ECE"/>
    <w:rsid w:val="00FD404E"/>
    <w:rsid w:val="00FD5228"/>
    <w:rsid w:val="00FD56E8"/>
    <w:rsid w:val="00FD5E38"/>
    <w:rsid w:val="00FD611E"/>
    <w:rsid w:val="00FD7D2E"/>
    <w:rsid w:val="00FD7E84"/>
    <w:rsid w:val="00FE0886"/>
    <w:rsid w:val="00FE1113"/>
    <w:rsid w:val="00FE2C2A"/>
    <w:rsid w:val="00FE2F87"/>
    <w:rsid w:val="00FE4493"/>
    <w:rsid w:val="00FE4BEC"/>
    <w:rsid w:val="00FE51E5"/>
    <w:rsid w:val="00FE59A2"/>
    <w:rsid w:val="00FE6116"/>
    <w:rsid w:val="00FE7D75"/>
    <w:rsid w:val="00FF10D1"/>
    <w:rsid w:val="00FF2693"/>
    <w:rsid w:val="00FF2956"/>
    <w:rsid w:val="00FF4109"/>
    <w:rsid w:val="00FF42D2"/>
    <w:rsid w:val="00FF5D38"/>
    <w:rsid w:val="00FF5E0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23"/>
  </w:style>
  <w:style w:type="paragraph" w:styleId="Heading1">
    <w:name w:val="heading 1"/>
    <w:basedOn w:val="NoSpacing"/>
    <w:next w:val="NoSpacing"/>
    <w:link w:val="Heading1Char"/>
    <w:uiPriority w:val="9"/>
    <w:qFormat/>
    <w:rsid w:val="00454528"/>
    <w:pPr>
      <w:keepNext/>
      <w:keepLines/>
      <w:spacing w:before="480"/>
      <w:outlineLvl w:val="0"/>
    </w:pPr>
    <w:rPr>
      <w:rFonts w:asciiTheme="majorHAnsi" w:eastAsiaTheme="majorEastAsia" w:hAnsiTheme="majorHAnsi" w:cstheme="majorBidi"/>
      <w:b/>
      <w:bCs/>
      <w:sz w:val="28"/>
      <w:szCs w:val="28"/>
    </w:rPr>
  </w:style>
  <w:style w:type="paragraph" w:styleId="Heading2">
    <w:name w:val="heading 2"/>
    <w:next w:val="NoSpacing"/>
    <w:link w:val="Heading2Char"/>
    <w:autoRedefine/>
    <w:uiPriority w:val="9"/>
    <w:unhideWhenUsed/>
    <w:qFormat/>
    <w:rsid w:val="00B12049"/>
    <w:pPr>
      <w:numPr>
        <w:numId w:val="32"/>
      </w:numPr>
      <w:spacing w:after="0" w:line="240" w:lineRule="auto"/>
      <w:outlineLvl w:val="1"/>
    </w:pPr>
    <w:rPr>
      <w:rFonts w:asciiTheme="majorHAnsi" w:eastAsiaTheme="majorEastAsia" w:hAnsiTheme="majorHAnsi" w:cstheme="majorBidi"/>
      <w:b/>
      <w:bCs/>
      <w:u w:val="single"/>
    </w:rPr>
  </w:style>
  <w:style w:type="paragraph" w:styleId="Heading3">
    <w:name w:val="heading 3"/>
    <w:basedOn w:val="NoSpacing"/>
    <w:next w:val="Normal"/>
    <w:link w:val="Heading3Char"/>
    <w:uiPriority w:val="9"/>
    <w:unhideWhenUsed/>
    <w:qFormat/>
    <w:rsid w:val="00D24317"/>
    <w:pPr>
      <w:outlineLvl w:val="2"/>
    </w:pPr>
    <w:rPr>
      <w:b/>
    </w:rPr>
  </w:style>
  <w:style w:type="paragraph" w:styleId="Heading4">
    <w:name w:val="heading 4"/>
    <w:basedOn w:val="NoSpacing"/>
    <w:next w:val="Normal"/>
    <w:link w:val="Heading4Char"/>
    <w:uiPriority w:val="9"/>
    <w:unhideWhenUsed/>
    <w:qFormat/>
    <w:rsid w:val="00CF260D"/>
    <w:pPr>
      <w:numPr>
        <w:ilvl w:val="2"/>
        <w:numId w:val="3"/>
      </w:numPr>
      <w:ind w:left="0" w:firstLine="947"/>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B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5B18"/>
  </w:style>
  <w:style w:type="paragraph" w:styleId="Footer">
    <w:name w:val="footer"/>
    <w:basedOn w:val="NoSpacing"/>
    <w:link w:val="FooterChar"/>
    <w:uiPriority w:val="99"/>
    <w:unhideWhenUsed/>
    <w:rsid w:val="00E05B18"/>
    <w:pPr>
      <w:tabs>
        <w:tab w:val="center" w:pos="4536"/>
        <w:tab w:val="right" w:pos="9072"/>
      </w:tabs>
    </w:pPr>
  </w:style>
  <w:style w:type="character" w:customStyle="1" w:styleId="FooterChar">
    <w:name w:val="Footer Char"/>
    <w:basedOn w:val="DefaultParagraphFont"/>
    <w:link w:val="Footer"/>
    <w:uiPriority w:val="99"/>
    <w:rsid w:val="00A26C23"/>
  </w:style>
  <w:style w:type="paragraph" w:styleId="BalloonText">
    <w:name w:val="Balloon Text"/>
    <w:basedOn w:val="Normal"/>
    <w:link w:val="BalloonTextChar"/>
    <w:uiPriority w:val="99"/>
    <w:semiHidden/>
    <w:unhideWhenUsed/>
    <w:rsid w:val="00E05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B18"/>
    <w:rPr>
      <w:rFonts w:ascii="Tahoma" w:hAnsi="Tahoma" w:cs="Tahoma"/>
      <w:sz w:val="16"/>
      <w:szCs w:val="16"/>
    </w:rPr>
  </w:style>
  <w:style w:type="paragraph" w:styleId="NoSpacing">
    <w:name w:val="No Spacing"/>
    <w:uiPriority w:val="1"/>
    <w:qFormat/>
    <w:rsid w:val="00A37AEB"/>
    <w:pPr>
      <w:spacing w:after="0" w:line="240" w:lineRule="auto"/>
    </w:pPr>
  </w:style>
  <w:style w:type="paragraph" w:styleId="Title">
    <w:name w:val="Title"/>
    <w:basedOn w:val="NoSpacing"/>
    <w:next w:val="NoSpacing"/>
    <w:link w:val="TitleChar"/>
    <w:uiPriority w:val="10"/>
    <w:qFormat/>
    <w:rsid w:val="00D71B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735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5452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12049"/>
    <w:rPr>
      <w:rFonts w:asciiTheme="majorHAnsi" w:eastAsiaTheme="majorEastAsia" w:hAnsiTheme="majorHAnsi" w:cstheme="majorBidi"/>
      <w:b/>
      <w:bCs/>
      <w:u w:val="single"/>
    </w:rPr>
  </w:style>
  <w:style w:type="paragraph" w:styleId="Subtitle">
    <w:name w:val="Subtitle"/>
    <w:basedOn w:val="NoSpacing"/>
    <w:next w:val="NoSpacing"/>
    <w:link w:val="SubtitleChar"/>
    <w:uiPriority w:val="11"/>
    <w:qFormat/>
    <w:rsid w:val="005673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357"/>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Spacing"/>
    <w:next w:val="NoSpacing"/>
    <w:link w:val="IntenseQuoteChar"/>
    <w:uiPriority w:val="30"/>
    <w:qFormat/>
    <w:rsid w:val="005673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7357"/>
    <w:rPr>
      <w:b/>
      <w:bCs/>
      <w:i/>
      <w:iCs/>
      <w:color w:val="4F81BD" w:themeColor="accent1"/>
    </w:rPr>
  </w:style>
  <w:style w:type="table" w:styleId="TableGrid">
    <w:name w:val="Table Grid"/>
    <w:basedOn w:val="TableNormal"/>
    <w:uiPriority w:val="59"/>
    <w:rsid w:val="00ED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Spacing"/>
    <w:next w:val="NoSpacing"/>
    <w:uiPriority w:val="35"/>
    <w:unhideWhenUsed/>
    <w:qFormat/>
    <w:rsid w:val="00ED71F7"/>
    <w:rPr>
      <w:b/>
      <w:bCs/>
      <w:szCs w:val="18"/>
    </w:rPr>
  </w:style>
  <w:style w:type="paragraph" w:styleId="Quote">
    <w:name w:val="Quote"/>
    <w:basedOn w:val="NoSpacing"/>
    <w:next w:val="NoSpacing"/>
    <w:link w:val="QuoteChar"/>
    <w:uiPriority w:val="29"/>
    <w:qFormat/>
    <w:rsid w:val="009C4FD6"/>
    <w:rPr>
      <w:i/>
      <w:iCs/>
      <w:color w:val="000000" w:themeColor="text1"/>
    </w:rPr>
  </w:style>
  <w:style w:type="character" w:customStyle="1" w:styleId="QuoteChar">
    <w:name w:val="Quote Char"/>
    <w:basedOn w:val="DefaultParagraphFont"/>
    <w:link w:val="Quote"/>
    <w:uiPriority w:val="29"/>
    <w:rsid w:val="009C4FD6"/>
    <w:rPr>
      <w:i/>
      <w:iCs/>
      <w:color w:val="000000" w:themeColor="text1"/>
    </w:rPr>
  </w:style>
  <w:style w:type="paragraph" w:styleId="ListParagraph">
    <w:name w:val="List Paragraph"/>
    <w:basedOn w:val="NoSpacing"/>
    <w:uiPriority w:val="34"/>
    <w:qFormat/>
    <w:rsid w:val="009C4FD6"/>
    <w:pPr>
      <w:ind w:left="720"/>
      <w:contextualSpacing/>
    </w:pPr>
  </w:style>
  <w:style w:type="paragraph" w:styleId="FootnoteText">
    <w:name w:val="footnote text"/>
    <w:basedOn w:val="NoSpacing"/>
    <w:link w:val="FootnoteTextChar"/>
    <w:uiPriority w:val="99"/>
    <w:semiHidden/>
    <w:unhideWhenUsed/>
    <w:rsid w:val="00A26C23"/>
    <w:rPr>
      <w:sz w:val="20"/>
      <w:szCs w:val="20"/>
    </w:rPr>
  </w:style>
  <w:style w:type="character" w:customStyle="1" w:styleId="FootnoteTextChar">
    <w:name w:val="Footnote Text Char"/>
    <w:basedOn w:val="DefaultParagraphFont"/>
    <w:link w:val="FootnoteText"/>
    <w:uiPriority w:val="99"/>
    <w:semiHidden/>
    <w:rsid w:val="00A26C23"/>
    <w:rPr>
      <w:sz w:val="20"/>
      <w:szCs w:val="20"/>
    </w:rPr>
  </w:style>
  <w:style w:type="character" w:styleId="CommentReference">
    <w:name w:val="annotation reference"/>
    <w:basedOn w:val="DefaultParagraphFont"/>
    <w:uiPriority w:val="99"/>
    <w:unhideWhenUsed/>
    <w:rsid w:val="00CC291A"/>
    <w:rPr>
      <w:sz w:val="16"/>
      <w:szCs w:val="16"/>
    </w:rPr>
  </w:style>
  <w:style w:type="paragraph" w:styleId="CommentText">
    <w:name w:val="annotation text"/>
    <w:basedOn w:val="Normal"/>
    <w:link w:val="CommentTextChar"/>
    <w:uiPriority w:val="99"/>
    <w:unhideWhenUsed/>
    <w:rsid w:val="00CC291A"/>
    <w:pPr>
      <w:spacing w:line="240" w:lineRule="auto"/>
    </w:pPr>
    <w:rPr>
      <w:sz w:val="20"/>
      <w:szCs w:val="20"/>
    </w:rPr>
  </w:style>
  <w:style w:type="character" w:customStyle="1" w:styleId="CommentTextChar">
    <w:name w:val="Comment Text Char"/>
    <w:basedOn w:val="DefaultParagraphFont"/>
    <w:link w:val="CommentText"/>
    <w:uiPriority w:val="99"/>
    <w:rsid w:val="00CC291A"/>
    <w:rPr>
      <w:sz w:val="20"/>
      <w:szCs w:val="20"/>
    </w:rPr>
  </w:style>
  <w:style w:type="paragraph" w:styleId="CommentSubject">
    <w:name w:val="annotation subject"/>
    <w:basedOn w:val="CommentText"/>
    <w:next w:val="CommentText"/>
    <w:link w:val="CommentSubjectChar"/>
    <w:uiPriority w:val="99"/>
    <w:semiHidden/>
    <w:unhideWhenUsed/>
    <w:rsid w:val="00CC291A"/>
    <w:rPr>
      <w:b/>
      <w:bCs/>
    </w:rPr>
  </w:style>
  <w:style w:type="character" w:customStyle="1" w:styleId="CommentSubjectChar">
    <w:name w:val="Comment Subject Char"/>
    <w:basedOn w:val="CommentTextChar"/>
    <w:link w:val="CommentSubject"/>
    <w:uiPriority w:val="99"/>
    <w:semiHidden/>
    <w:rsid w:val="00CC291A"/>
    <w:rPr>
      <w:b/>
      <w:bCs/>
      <w:sz w:val="20"/>
      <w:szCs w:val="20"/>
    </w:rPr>
  </w:style>
  <w:style w:type="paragraph" w:customStyle="1" w:styleId="Char1">
    <w:name w:val="Char1"/>
    <w:basedOn w:val="Normal"/>
    <w:rsid w:val="00901473"/>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617D04"/>
    <w:rPr>
      <w:color w:val="0000FF" w:themeColor="hyperlink"/>
      <w:u w:val="single"/>
    </w:rPr>
  </w:style>
  <w:style w:type="table" w:styleId="LightShading-Accent1">
    <w:name w:val="Light Shading Accent 1"/>
    <w:basedOn w:val="TableNormal"/>
    <w:uiPriority w:val="60"/>
    <w:rsid w:val="00F53F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AB4F90"/>
    <w:rPr>
      <w:color w:val="800080" w:themeColor="followedHyperlink"/>
      <w:u w:val="single"/>
    </w:rPr>
  </w:style>
  <w:style w:type="character" w:styleId="FootnoteReference">
    <w:name w:val="footnote reference"/>
    <w:basedOn w:val="DefaultParagraphFont"/>
    <w:uiPriority w:val="99"/>
    <w:semiHidden/>
    <w:unhideWhenUsed/>
    <w:rsid w:val="00F262A2"/>
    <w:rPr>
      <w:vertAlign w:val="superscript"/>
    </w:rPr>
  </w:style>
  <w:style w:type="character" w:styleId="Emphasis">
    <w:name w:val="Emphasis"/>
    <w:uiPriority w:val="20"/>
    <w:qFormat/>
    <w:rsid w:val="000F0ABF"/>
    <w:rPr>
      <w:b/>
      <w:u w:val="single"/>
    </w:rPr>
  </w:style>
  <w:style w:type="character" w:styleId="SubtleEmphasis">
    <w:name w:val="Subtle Emphasis"/>
    <w:uiPriority w:val="19"/>
    <w:qFormat/>
    <w:rsid w:val="000F0ABF"/>
    <w:rPr>
      <w:b/>
    </w:rPr>
  </w:style>
  <w:style w:type="character" w:customStyle="1" w:styleId="Heading3Char">
    <w:name w:val="Heading 3 Char"/>
    <w:basedOn w:val="DefaultParagraphFont"/>
    <w:link w:val="Heading3"/>
    <w:uiPriority w:val="9"/>
    <w:rsid w:val="00D24317"/>
    <w:rPr>
      <w:b/>
    </w:rPr>
  </w:style>
  <w:style w:type="character" w:customStyle="1" w:styleId="Heading4Char">
    <w:name w:val="Heading 4 Char"/>
    <w:basedOn w:val="DefaultParagraphFont"/>
    <w:link w:val="Heading4"/>
    <w:uiPriority w:val="9"/>
    <w:rsid w:val="00CF260D"/>
    <w:rPr>
      <w:b/>
    </w:rPr>
  </w:style>
  <w:style w:type="paragraph" w:customStyle="1" w:styleId="Default">
    <w:name w:val="Default"/>
    <w:rsid w:val="00864D87"/>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864D87"/>
    <w:pPr>
      <w:spacing w:line="201" w:lineRule="atLeast"/>
    </w:pPr>
    <w:rPr>
      <w:rFonts w:cstheme="minorBidi"/>
      <w:color w:val="auto"/>
    </w:rPr>
  </w:style>
  <w:style w:type="paragraph" w:customStyle="1" w:styleId="Pa34">
    <w:name w:val="Pa34"/>
    <w:basedOn w:val="Default"/>
    <w:next w:val="Default"/>
    <w:uiPriority w:val="99"/>
    <w:rsid w:val="00864D87"/>
    <w:pPr>
      <w:spacing w:line="201" w:lineRule="atLeast"/>
    </w:pPr>
    <w:rPr>
      <w:rFonts w:cstheme="minorBidi"/>
      <w:color w:val="auto"/>
    </w:rPr>
  </w:style>
  <w:style w:type="paragraph" w:styleId="Revision">
    <w:name w:val="Revision"/>
    <w:hidden/>
    <w:uiPriority w:val="99"/>
    <w:semiHidden/>
    <w:rsid w:val="0009058C"/>
    <w:pPr>
      <w:spacing w:after="0" w:line="240" w:lineRule="auto"/>
    </w:pPr>
  </w:style>
  <w:style w:type="character" w:customStyle="1" w:styleId="apple-converted-space">
    <w:name w:val="apple-converted-space"/>
    <w:basedOn w:val="DefaultParagraphFont"/>
    <w:rsid w:val="009F3F80"/>
  </w:style>
  <w:style w:type="character" w:styleId="Strong">
    <w:name w:val="Strong"/>
    <w:basedOn w:val="DefaultParagraphFont"/>
    <w:uiPriority w:val="22"/>
    <w:qFormat/>
    <w:rsid w:val="009F3F80"/>
    <w:rPr>
      <w:b/>
      <w:bCs/>
    </w:rPr>
  </w:style>
  <w:style w:type="character" w:customStyle="1" w:styleId="shorttext">
    <w:name w:val="short_text"/>
    <w:basedOn w:val="DefaultParagraphFont"/>
    <w:rsid w:val="00EC6C99"/>
  </w:style>
  <w:style w:type="character" w:customStyle="1" w:styleId="wurvib">
    <w:name w:val="wurvib"/>
    <w:basedOn w:val="DefaultParagraphFont"/>
    <w:rsid w:val="003F3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23"/>
  </w:style>
  <w:style w:type="paragraph" w:styleId="Heading1">
    <w:name w:val="heading 1"/>
    <w:basedOn w:val="NoSpacing"/>
    <w:next w:val="NoSpacing"/>
    <w:link w:val="Heading1Char"/>
    <w:uiPriority w:val="9"/>
    <w:qFormat/>
    <w:rsid w:val="00454528"/>
    <w:pPr>
      <w:keepNext/>
      <w:keepLines/>
      <w:spacing w:before="480"/>
      <w:outlineLvl w:val="0"/>
    </w:pPr>
    <w:rPr>
      <w:rFonts w:asciiTheme="majorHAnsi" w:eastAsiaTheme="majorEastAsia" w:hAnsiTheme="majorHAnsi" w:cstheme="majorBidi"/>
      <w:b/>
      <w:bCs/>
      <w:sz w:val="28"/>
      <w:szCs w:val="28"/>
    </w:rPr>
  </w:style>
  <w:style w:type="paragraph" w:styleId="Heading2">
    <w:name w:val="heading 2"/>
    <w:next w:val="NoSpacing"/>
    <w:link w:val="Heading2Char"/>
    <w:autoRedefine/>
    <w:uiPriority w:val="9"/>
    <w:unhideWhenUsed/>
    <w:qFormat/>
    <w:rsid w:val="00B12049"/>
    <w:pPr>
      <w:numPr>
        <w:numId w:val="32"/>
      </w:numPr>
      <w:spacing w:after="0" w:line="240" w:lineRule="auto"/>
      <w:outlineLvl w:val="1"/>
    </w:pPr>
    <w:rPr>
      <w:rFonts w:asciiTheme="majorHAnsi" w:eastAsiaTheme="majorEastAsia" w:hAnsiTheme="majorHAnsi" w:cstheme="majorBidi"/>
      <w:b/>
      <w:bCs/>
      <w:u w:val="single"/>
    </w:rPr>
  </w:style>
  <w:style w:type="paragraph" w:styleId="Heading3">
    <w:name w:val="heading 3"/>
    <w:basedOn w:val="NoSpacing"/>
    <w:next w:val="Normal"/>
    <w:link w:val="Heading3Char"/>
    <w:uiPriority w:val="9"/>
    <w:unhideWhenUsed/>
    <w:qFormat/>
    <w:rsid w:val="00D24317"/>
    <w:pPr>
      <w:outlineLvl w:val="2"/>
    </w:pPr>
    <w:rPr>
      <w:b/>
    </w:rPr>
  </w:style>
  <w:style w:type="paragraph" w:styleId="Heading4">
    <w:name w:val="heading 4"/>
    <w:basedOn w:val="NoSpacing"/>
    <w:next w:val="Normal"/>
    <w:link w:val="Heading4Char"/>
    <w:uiPriority w:val="9"/>
    <w:unhideWhenUsed/>
    <w:qFormat/>
    <w:rsid w:val="00CF260D"/>
    <w:pPr>
      <w:numPr>
        <w:ilvl w:val="2"/>
        <w:numId w:val="3"/>
      </w:numPr>
      <w:ind w:left="0" w:firstLine="947"/>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B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5B18"/>
  </w:style>
  <w:style w:type="paragraph" w:styleId="Footer">
    <w:name w:val="footer"/>
    <w:basedOn w:val="NoSpacing"/>
    <w:link w:val="FooterChar"/>
    <w:uiPriority w:val="99"/>
    <w:unhideWhenUsed/>
    <w:rsid w:val="00E05B18"/>
    <w:pPr>
      <w:tabs>
        <w:tab w:val="center" w:pos="4536"/>
        <w:tab w:val="right" w:pos="9072"/>
      </w:tabs>
    </w:pPr>
  </w:style>
  <w:style w:type="character" w:customStyle="1" w:styleId="FooterChar">
    <w:name w:val="Footer Char"/>
    <w:basedOn w:val="DefaultParagraphFont"/>
    <w:link w:val="Footer"/>
    <w:uiPriority w:val="99"/>
    <w:rsid w:val="00A26C23"/>
  </w:style>
  <w:style w:type="paragraph" w:styleId="BalloonText">
    <w:name w:val="Balloon Text"/>
    <w:basedOn w:val="Normal"/>
    <w:link w:val="BalloonTextChar"/>
    <w:uiPriority w:val="99"/>
    <w:semiHidden/>
    <w:unhideWhenUsed/>
    <w:rsid w:val="00E05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B18"/>
    <w:rPr>
      <w:rFonts w:ascii="Tahoma" w:hAnsi="Tahoma" w:cs="Tahoma"/>
      <w:sz w:val="16"/>
      <w:szCs w:val="16"/>
    </w:rPr>
  </w:style>
  <w:style w:type="paragraph" w:styleId="NoSpacing">
    <w:name w:val="No Spacing"/>
    <w:uiPriority w:val="1"/>
    <w:qFormat/>
    <w:rsid w:val="00A37AEB"/>
    <w:pPr>
      <w:spacing w:after="0" w:line="240" w:lineRule="auto"/>
    </w:pPr>
  </w:style>
  <w:style w:type="paragraph" w:styleId="Title">
    <w:name w:val="Title"/>
    <w:basedOn w:val="NoSpacing"/>
    <w:next w:val="NoSpacing"/>
    <w:link w:val="TitleChar"/>
    <w:uiPriority w:val="10"/>
    <w:qFormat/>
    <w:rsid w:val="00D71B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735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5452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12049"/>
    <w:rPr>
      <w:rFonts w:asciiTheme="majorHAnsi" w:eastAsiaTheme="majorEastAsia" w:hAnsiTheme="majorHAnsi" w:cstheme="majorBidi"/>
      <w:b/>
      <w:bCs/>
      <w:u w:val="single"/>
    </w:rPr>
  </w:style>
  <w:style w:type="paragraph" w:styleId="Subtitle">
    <w:name w:val="Subtitle"/>
    <w:basedOn w:val="NoSpacing"/>
    <w:next w:val="NoSpacing"/>
    <w:link w:val="SubtitleChar"/>
    <w:uiPriority w:val="11"/>
    <w:qFormat/>
    <w:rsid w:val="005673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357"/>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Spacing"/>
    <w:next w:val="NoSpacing"/>
    <w:link w:val="IntenseQuoteChar"/>
    <w:uiPriority w:val="30"/>
    <w:qFormat/>
    <w:rsid w:val="005673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7357"/>
    <w:rPr>
      <w:b/>
      <w:bCs/>
      <w:i/>
      <w:iCs/>
      <w:color w:val="4F81BD" w:themeColor="accent1"/>
    </w:rPr>
  </w:style>
  <w:style w:type="table" w:styleId="TableGrid">
    <w:name w:val="Table Grid"/>
    <w:basedOn w:val="TableNormal"/>
    <w:uiPriority w:val="59"/>
    <w:rsid w:val="00ED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Spacing"/>
    <w:next w:val="NoSpacing"/>
    <w:uiPriority w:val="35"/>
    <w:unhideWhenUsed/>
    <w:qFormat/>
    <w:rsid w:val="00ED71F7"/>
    <w:rPr>
      <w:b/>
      <w:bCs/>
      <w:szCs w:val="18"/>
    </w:rPr>
  </w:style>
  <w:style w:type="paragraph" w:styleId="Quote">
    <w:name w:val="Quote"/>
    <w:basedOn w:val="NoSpacing"/>
    <w:next w:val="NoSpacing"/>
    <w:link w:val="QuoteChar"/>
    <w:uiPriority w:val="29"/>
    <w:qFormat/>
    <w:rsid w:val="009C4FD6"/>
    <w:rPr>
      <w:i/>
      <w:iCs/>
      <w:color w:val="000000" w:themeColor="text1"/>
    </w:rPr>
  </w:style>
  <w:style w:type="character" w:customStyle="1" w:styleId="QuoteChar">
    <w:name w:val="Quote Char"/>
    <w:basedOn w:val="DefaultParagraphFont"/>
    <w:link w:val="Quote"/>
    <w:uiPriority w:val="29"/>
    <w:rsid w:val="009C4FD6"/>
    <w:rPr>
      <w:i/>
      <w:iCs/>
      <w:color w:val="000000" w:themeColor="text1"/>
    </w:rPr>
  </w:style>
  <w:style w:type="paragraph" w:styleId="ListParagraph">
    <w:name w:val="List Paragraph"/>
    <w:basedOn w:val="NoSpacing"/>
    <w:uiPriority w:val="34"/>
    <w:qFormat/>
    <w:rsid w:val="009C4FD6"/>
    <w:pPr>
      <w:ind w:left="720"/>
      <w:contextualSpacing/>
    </w:pPr>
  </w:style>
  <w:style w:type="paragraph" w:styleId="FootnoteText">
    <w:name w:val="footnote text"/>
    <w:basedOn w:val="NoSpacing"/>
    <w:link w:val="FootnoteTextChar"/>
    <w:uiPriority w:val="99"/>
    <w:semiHidden/>
    <w:unhideWhenUsed/>
    <w:rsid w:val="00A26C23"/>
    <w:rPr>
      <w:sz w:val="20"/>
      <w:szCs w:val="20"/>
    </w:rPr>
  </w:style>
  <w:style w:type="character" w:customStyle="1" w:styleId="FootnoteTextChar">
    <w:name w:val="Footnote Text Char"/>
    <w:basedOn w:val="DefaultParagraphFont"/>
    <w:link w:val="FootnoteText"/>
    <w:uiPriority w:val="99"/>
    <w:semiHidden/>
    <w:rsid w:val="00A26C23"/>
    <w:rPr>
      <w:sz w:val="20"/>
      <w:szCs w:val="20"/>
    </w:rPr>
  </w:style>
  <w:style w:type="character" w:styleId="CommentReference">
    <w:name w:val="annotation reference"/>
    <w:basedOn w:val="DefaultParagraphFont"/>
    <w:uiPriority w:val="99"/>
    <w:unhideWhenUsed/>
    <w:rsid w:val="00CC291A"/>
    <w:rPr>
      <w:sz w:val="16"/>
      <w:szCs w:val="16"/>
    </w:rPr>
  </w:style>
  <w:style w:type="paragraph" w:styleId="CommentText">
    <w:name w:val="annotation text"/>
    <w:basedOn w:val="Normal"/>
    <w:link w:val="CommentTextChar"/>
    <w:uiPriority w:val="99"/>
    <w:unhideWhenUsed/>
    <w:rsid w:val="00CC291A"/>
    <w:pPr>
      <w:spacing w:line="240" w:lineRule="auto"/>
    </w:pPr>
    <w:rPr>
      <w:sz w:val="20"/>
      <w:szCs w:val="20"/>
    </w:rPr>
  </w:style>
  <w:style w:type="character" w:customStyle="1" w:styleId="CommentTextChar">
    <w:name w:val="Comment Text Char"/>
    <w:basedOn w:val="DefaultParagraphFont"/>
    <w:link w:val="CommentText"/>
    <w:uiPriority w:val="99"/>
    <w:rsid w:val="00CC291A"/>
    <w:rPr>
      <w:sz w:val="20"/>
      <w:szCs w:val="20"/>
    </w:rPr>
  </w:style>
  <w:style w:type="paragraph" w:styleId="CommentSubject">
    <w:name w:val="annotation subject"/>
    <w:basedOn w:val="CommentText"/>
    <w:next w:val="CommentText"/>
    <w:link w:val="CommentSubjectChar"/>
    <w:uiPriority w:val="99"/>
    <w:semiHidden/>
    <w:unhideWhenUsed/>
    <w:rsid w:val="00CC291A"/>
    <w:rPr>
      <w:b/>
      <w:bCs/>
    </w:rPr>
  </w:style>
  <w:style w:type="character" w:customStyle="1" w:styleId="CommentSubjectChar">
    <w:name w:val="Comment Subject Char"/>
    <w:basedOn w:val="CommentTextChar"/>
    <w:link w:val="CommentSubject"/>
    <w:uiPriority w:val="99"/>
    <w:semiHidden/>
    <w:rsid w:val="00CC291A"/>
    <w:rPr>
      <w:b/>
      <w:bCs/>
      <w:sz w:val="20"/>
      <w:szCs w:val="20"/>
    </w:rPr>
  </w:style>
  <w:style w:type="paragraph" w:customStyle="1" w:styleId="Char1">
    <w:name w:val="Char1"/>
    <w:basedOn w:val="Normal"/>
    <w:rsid w:val="00901473"/>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617D04"/>
    <w:rPr>
      <w:color w:val="0000FF" w:themeColor="hyperlink"/>
      <w:u w:val="single"/>
    </w:rPr>
  </w:style>
  <w:style w:type="table" w:styleId="LightShading-Accent1">
    <w:name w:val="Light Shading Accent 1"/>
    <w:basedOn w:val="TableNormal"/>
    <w:uiPriority w:val="60"/>
    <w:rsid w:val="00F53F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AB4F90"/>
    <w:rPr>
      <w:color w:val="800080" w:themeColor="followedHyperlink"/>
      <w:u w:val="single"/>
    </w:rPr>
  </w:style>
  <w:style w:type="character" w:styleId="FootnoteReference">
    <w:name w:val="footnote reference"/>
    <w:basedOn w:val="DefaultParagraphFont"/>
    <w:uiPriority w:val="99"/>
    <w:semiHidden/>
    <w:unhideWhenUsed/>
    <w:rsid w:val="00F262A2"/>
    <w:rPr>
      <w:vertAlign w:val="superscript"/>
    </w:rPr>
  </w:style>
  <w:style w:type="character" w:styleId="Emphasis">
    <w:name w:val="Emphasis"/>
    <w:uiPriority w:val="20"/>
    <w:qFormat/>
    <w:rsid w:val="000F0ABF"/>
    <w:rPr>
      <w:b/>
      <w:u w:val="single"/>
    </w:rPr>
  </w:style>
  <w:style w:type="character" w:styleId="SubtleEmphasis">
    <w:name w:val="Subtle Emphasis"/>
    <w:uiPriority w:val="19"/>
    <w:qFormat/>
    <w:rsid w:val="000F0ABF"/>
    <w:rPr>
      <w:b/>
    </w:rPr>
  </w:style>
  <w:style w:type="character" w:customStyle="1" w:styleId="Heading3Char">
    <w:name w:val="Heading 3 Char"/>
    <w:basedOn w:val="DefaultParagraphFont"/>
    <w:link w:val="Heading3"/>
    <w:uiPriority w:val="9"/>
    <w:rsid w:val="00D24317"/>
    <w:rPr>
      <w:b/>
    </w:rPr>
  </w:style>
  <w:style w:type="character" w:customStyle="1" w:styleId="Heading4Char">
    <w:name w:val="Heading 4 Char"/>
    <w:basedOn w:val="DefaultParagraphFont"/>
    <w:link w:val="Heading4"/>
    <w:uiPriority w:val="9"/>
    <w:rsid w:val="00CF260D"/>
    <w:rPr>
      <w:b/>
    </w:rPr>
  </w:style>
  <w:style w:type="paragraph" w:customStyle="1" w:styleId="Default">
    <w:name w:val="Default"/>
    <w:rsid w:val="00864D87"/>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864D87"/>
    <w:pPr>
      <w:spacing w:line="201" w:lineRule="atLeast"/>
    </w:pPr>
    <w:rPr>
      <w:rFonts w:cstheme="minorBidi"/>
      <w:color w:val="auto"/>
    </w:rPr>
  </w:style>
  <w:style w:type="paragraph" w:customStyle="1" w:styleId="Pa34">
    <w:name w:val="Pa34"/>
    <w:basedOn w:val="Default"/>
    <w:next w:val="Default"/>
    <w:uiPriority w:val="99"/>
    <w:rsid w:val="00864D87"/>
    <w:pPr>
      <w:spacing w:line="201" w:lineRule="atLeast"/>
    </w:pPr>
    <w:rPr>
      <w:rFonts w:cstheme="minorBidi"/>
      <w:color w:val="auto"/>
    </w:rPr>
  </w:style>
  <w:style w:type="paragraph" w:styleId="Revision">
    <w:name w:val="Revision"/>
    <w:hidden/>
    <w:uiPriority w:val="99"/>
    <w:semiHidden/>
    <w:rsid w:val="0009058C"/>
    <w:pPr>
      <w:spacing w:after="0" w:line="240" w:lineRule="auto"/>
    </w:pPr>
  </w:style>
  <w:style w:type="character" w:customStyle="1" w:styleId="apple-converted-space">
    <w:name w:val="apple-converted-space"/>
    <w:basedOn w:val="DefaultParagraphFont"/>
    <w:rsid w:val="009F3F80"/>
  </w:style>
  <w:style w:type="character" w:styleId="Strong">
    <w:name w:val="Strong"/>
    <w:basedOn w:val="DefaultParagraphFont"/>
    <w:uiPriority w:val="22"/>
    <w:qFormat/>
    <w:rsid w:val="009F3F80"/>
    <w:rPr>
      <w:b/>
      <w:bCs/>
    </w:rPr>
  </w:style>
  <w:style w:type="character" w:customStyle="1" w:styleId="shorttext">
    <w:name w:val="short_text"/>
    <w:basedOn w:val="DefaultParagraphFont"/>
    <w:rsid w:val="00EC6C99"/>
  </w:style>
  <w:style w:type="character" w:customStyle="1" w:styleId="wurvib">
    <w:name w:val="wurvib"/>
    <w:basedOn w:val="DefaultParagraphFont"/>
    <w:rsid w:val="003F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523">
      <w:bodyDiv w:val="1"/>
      <w:marLeft w:val="0"/>
      <w:marRight w:val="0"/>
      <w:marTop w:val="0"/>
      <w:marBottom w:val="0"/>
      <w:divBdr>
        <w:top w:val="none" w:sz="0" w:space="0" w:color="auto"/>
        <w:left w:val="none" w:sz="0" w:space="0" w:color="auto"/>
        <w:bottom w:val="none" w:sz="0" w:space="0" w:color="auto"/>
        <w:right w:val="none" w:sz="0" w:space="0" w:color="auto"/>
      </w:divBdr>
    </w:div>
    <w:div w:id="74790089">
      <w:bodyDiv w:val="1"/>
      <w:marLeft w:val="0"/>
      <w:marRight w:val="0"/>
      <w:marTop w:val="0"/>
      <w:marBottom w:val="0"/>
      <w:divBdr>
        <w:top w:val="none" w:sz="0" w:space="0" w:color="auto"/>
        <w:left w:val="none" w:sz="0" w:space="0" w:color="auto"/>
        <w:bottom w:val="none" w:sz="0" w:space="0" w:color="auto"/>
        <w:right w:val="none" w:sz="0" w:space="0" w:color="auto"/>
      </w:divBdr>
    </w:div>
    <w:div w:id="159010485">
      <w:bodyDiv w:val="1"/>
      <w:marLeft w:val="0"/>
      <w:marRight w:val="0"/>
      <w:marTop w:val="0"/>
      <w:marBottom w:val="0"/>
      <w:divBdr>
        <w:top w:val="none" w:sz="0" w:space="0" w:color="auto"/>
        <w:left w:val="none" w:sz="0" w:space="0" w:color="auto"/>
        <w:bottom w:val="none" w:sz="0" w:space="0" w:color="auto"/>
        <w:right w:val="none" w:sz="0" w:space="0" w:color="auto"/>
      </w:divBdr>
    </w:div>
    <w:div w:id="228927475">
      <w:bodyDiv w:val="1"/>
      <w:marLeft w:val="0"/>
      <w:marRight w:val="0"/>
      <w:marTop w:val="0"/>
      <w:marBottom w:val="0"/>
      <w:divBdr>
        <w:top w:val="none" w:sz="0" w:space="0" w:color="auto"/>
        <w:left w:val="none" w:sz="0" w:space="0" w:color="auto"/>
        <w:bottom w:val="none" w:sz="0" w:space="0" w:color="auto"/>
        <w:right w:val="none" w:sz="0" w:space="0" w:color="auto"/>
      </w:divBdr>
    </w:div>
    <w:div w:id="511913276">
      <w:bodyDiv w:val="1"/>
      <w:marLeft w:val="0"/>
      <w:marRight w:val="0"/>
      <w:marTop w:val="0"/>
      <w:marBottom w:val="0"/>
      <w:divBdr>
        <w:top w:val="none" w:sz="0" w:space="0" w:color="auto"/>
        <w:left w:val="none" w:sz="0" w:space="0" w:color="auto"/>
        <w:bottom w:val="none" w:sz="0" w:space="0" w:color="auto"/>
        <w:right w:val="none" w:sz="0" w:space="0" w:color="auto"/>
      </w:divBdr>
    </w:div>
    <w:div w:id="562527775">
      <w:bodyDiv w:val="1"/>
      <w:marLeft w:val="0"/>
      <w:marRight w:val="0"/>
      <w:marTop w:val="0"/>
      <w:marBottom w:val="0"/>
      <w:divBdr>
        <w:top w:val="none" w:sz="0" w:space="0" w:color="auto"/>
        <w:left w:val="none" w:sz="0" w:space="0" w:color="auto"/>
        <w:bottom w:val="none" w:sz="0" w:space="0" w:color="auto"/>
        <w:right w:val="none" w:sz="0" w:space="0" w:color="auto"/>
      </w:divBdr>
    </w:div>
    <w:div w:id="574359037">
      <w:bodyDiv w:val="1"/>
      <w:marLeft w:val="0"/>
      <w:marRight w:val="0"/>
      <w:marTop w:val="0"/>
      <w:marBottom w:val="0"/>
      <w:divBdr>
        <w:top w:val="none" w:sz="0" w:space="0" w:color="auto"/>
        <w:left w:val="none" w:sz="0" w:space="0" w:color="auto"/>
        <w:bottom w:val="none" w:sz="0" w:space="0" w:color="auto"/>
        <w:right w:val="none" w:sz="0" w:space="0" w:color="auto"/>
      </w:divBdr>
      <w:divsChild>
        <w:div w:id="1112702963">
          <w:marLeft w:val="0"/>
          <w:marRight w:val="0"/>
          <w:marTop w:val="0"/>
          <w:marBottom w:val="0"/>
          <w:divBdr>
            <w:top w:val="none" w:sz="0" w:space="0" w:color="auto"/>
            <w:left w:val="none" w:sz="0" w:space="0" w:color="auto"/>
            <w:bottom w:val="none" w:sz="0" w:space="0" w:color="auto"/>
            <w:right w:val="none" w:sz="0" w:space="0" w:color="auto"/>
          </w:divBdr>
          <w:divsChild>
            <w:div w:id="1200974030">
              <w:marLeft w:val="0"/>
              <w:marRight w:val="60"/>
              <w:marTop w:val="0"/>
              <w:marBottom w:val="0"/>
              <w:divBdr>
                <w:top w:val="none" w:sz="0" w:space="0" w:color="auto"/>
                <w:left w:val="none" w:sz="0" w:space="0" w:color="auto"/>
                <w:bottom w:val="none" w:sz="0" w:space="0" w:color="auto"/>
                <w:right w:val="none" w:sz="0" w:space="0" w:color="auto"/>
              </w:divBdr>
              <w:divsChild>
                <w:div w:id="1262375753">
                  <w:marLeft w:val="0"/>
                  <w:marRight w:val="0"/>
                  <w:marTop w:val="0"/>
                  <w:marBottom w:val="120"/>
                  <w:divBdr>
                    <w:top w:val="single" w:sz="6" w:space="0" w:color="C0C0C0"/>
                    <w:left w:val="single" w:sz="6" w:space="0" w:color="D9D9D9"/>
                    <w:bottom w:val="single" w:sz="6" w:space="0" w:color="D9D9D9"/>
                    <w:right w:val="single" w:sz="6" w:space="0" w:color="D9D9D9"/>
                  </w:divBdr>
                  <w:divsChild>
                    <w:div w:id="540551718">
                      <w:marLeft w:val="0"/>
                      <w:marRight w:val="0"/>
                      <w:marTop w:val="0"/>
                      <w:marBottom w:val="0"/>
                      <w:divBdr>
                        <w:top w:val="none" w:sz="0" w:space="0" w:color="auto"/>
                        <w:left w:val="none" w:sz="0" w:space="0" w:color="auto"/>
                        <w:bottom w:val="none" w:sz="0" w:space="0" w:color="auto"/>
                        <w:right w:val="none" w:sz="0" w:space="0" w:color="auto"/>
                      </w:divBdr>
                    </w:div>
                    <w:div w:id="20497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1301">
          <w:marLeft w:val="0"/>
          <w:marRight w:val="0"/>
          <w:marTop w:val="0"/>
          <w:marBottom w:val="0"/>
          <w:divBdr>
            <w:top w:val="none" w:sz="0" w:space="0" w:color="auto"/>
            <w:left w:val="none" w:sz="0" w:space="0" w:color="auto"/>
            <w:bottom w:val="none" w:sz="0" w:space="0" w:color="auto"/>
            <w:right w:val="none" w:sz="0" w:space="0" w:color="auto"/>
          </w:divBdr>
          <w:divsChild>
            <w:div w:id="947587718">
              <w:marLeft w:val="60"/>
              <w:marRight w:val="0"/>
              <w:marTop w:val="0"/>
              <w:marBottom w:val="0"/>
              <w:divBdr>
                <w:top w:val="none" w:sz="0" w:space="0" w:color="auto"/>
                <w:left w:val="none" w:sz="0" w:space="0" w:color="auto"/>
                <w:bottom w:val="none" w:sz="0" w:space="0" w:color="auto"/>
                <w:right w:val="none" w:sz="0" w:space="0" w:color="auto"/>
              </w:divBdr>
              <w:divsChild>
                <w:div w:id="1310985135">
                  <w:marLeft w:val="0"/>
                  <w:marRight w:val="0"/>
                  <w:marTop w:val="0"/>
                  <w:marBottom w:val="0"/>
                  <w:divBdr>
                    <w:top w:val="none" w:sz="0" w:space="0" w:color="auto"/>
                    <w:left w:val="none" w:sz="0" w:space="0" w:color="auto"/>
                    <w:bottom w:val="none" w:sz="0" w:space="0" w:color="auto"/>
                    <w:right w:val="none" w:sz="0" w:space="0" w:color="auto"/>
                  </w:divBdr>
                  <w:divsChild>
                    <w:div w:id="2128618294">
                      <w:marLeft w:val="0"/>
                      <w:marRight w:val="0"/>
                      <w:marTop w:val="0"/>
                      <w:marBottom w:val="120"/>
                      <w:divBdr>
                        <w:top w:val="single" w:sz="6" w:space="0" w:color="F5F5F5"/>
                        <w:left w:val="single" w:sz="6" w:space="0" w:color="F5F5F5"/>
                        <w:bottom w:val="single" w:sz="6" w:space="0" w:color="F5F5F5"/>
                        <w:right w:val="single" w:sz="6" w:space="0" w:color="F5F5F5"/>
                      </w:divBdr>
                      <w:divsChild>
                        <w:div w:id="1247496490">
                          <w:marLeft w:val="0"/>
                          <w:marRight w:val="0"/>
                          <w:marTop w:val="0"/>
                          <w:marBottom w:val="0"/>
                          <w:divBdr>
                            <w:top w:val="none" w:sz="0" w:space="0" w:color="auto"/>
                            <w:left w:val="none" w:sz="0" w:space="0" w:color="auto"/>
                            <w:bottom w:val="none" w:sz="0" w:space="0" w:color="auto"/>
                            <w:right w:val="none" w:sz="0" w:space="0" w:color="auto"/>
                          </w:divBdr>
                          <w:divsChild>
                            <w:div w:id="12639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369471">
      <w:bodyDiv w:val="1"/>
      <w:marLeft w:val="0"/>
      <w:marRight w:val="0"/>
      <w:marTop w:val="0"/>
      <w:marBottom w:val="0"/>
      <w:divBdr>
        <w:top w:val="none" w:sz="0" w:space="0" w:color="auto"/>
        <w:left w:val="none" w:sz="0" w:space="0" w:color="auto"/>
        <w:bottom w:val="none" w:sz="0" w:space="0" w:color="auto"/>
        <w:right w:val="none" w:sz="0" w:space="0" w:color="auto"/>
      </w:divBdr>
    </w:div>
    <w:div w:id="1188985882">
      <w:bodyDiv w:val="1"/>
      <w:marLeft w:val="0"/>
      <w:marRight w:val="0"/>
      <w:marTop w:val="0"/>
      <w:marBottom w:val="0"/>
      <w:divBdr>
        <w:top w:val="none" w:sz="0" w:space="0" w:color="auto"/>
        <w:left w:val="none" w:sz="0" w:space="0" w:color="auto"/>
        <w:bottom w:val="none" w:sz="0" w:space="0" w:color="auto"/>
        <w:right w:val="none" w:sz="0" w:space="0" w:color="auto"/>
      </w:divBdr>
    </w:div>
    <w:div w:id="1478111510">
      <w:bodyDiv w:val="1"/>
      <w:marLeft w:val="0"/>
      <w:marRight w:val="0"/>
      <w:marTop w:val="0"/>
      <w:marBottom w:val="0"/>
      <w:divBdr>
        <w:top w:val="none" w:sz="0" w:space="0" w:color="auto"/>
        <w:left w:val="none" w:sz="0" w:space="0" w:color="auto"/>
        <w:bottom w:val="none" w:sz="0" w:space="0" w:color="auto"/>
        <w:right w:val="none" w:sz="0" w:space="0" w:color="auto"/>
      </w:divBdr>
    </w:div>
    <w:div w:id="1525972944">
      <w:bodyDiv w:val="1"/>
      <w:marLeft w:val="0"/>
      <w:marRight w:val="0"/>
      <w:marTop w:val="0"/>
      <w:marBottom w:val="0"/>
      <w:divBdr>
        <w:top w:val="none" w:sz="0" w:space="0" w:color="auto"/>
        <w:left w:val="none" w:sz="0" w:space="0" w:color="auto"/>
        <w:bottom w:val="none" w:sz="0" w:space="0" w:color="auto"/>
        <w:right w:val="none" w:sz="0" w:space="0" w:color="auto"/>
      </w:divBdr>
    </w:div>
    <w:div w:id="1610043683">
      <w:bodyDiv w:val="1"/>
      <w:marLeft w:val="0"/>
      <w:marRight w:val="0"/>
      <w:marTop w:val="0"/>
      <w:marBottom w:val="0"/>
      <w:divBdr>
        <w:top w:val="none" w:sz="0" w:space="0" w:color="auto"/>
        <w:left w:val="none" w:sz="0" w:space="0" w:color="auto"/>
        <w:bottom w:val="none" w:sz="0" w:space="0" w:color="auto"/>
        <w:right w:val="none" w:sz="0" w:space="0" w:color="auto"/>
      </w:divBdr>
    </w:div>
    <w:div w:id="1642879809">
      <w:bodyDiv w:val="1"/>
      <w:marLeft w:val="0"/>
      <w:marRight w:val="0"/>
      <w:marTop w:val="0"/>
      <w:marBottom w:val="0"/>
      <w:divBdr>
        <w:top w:val="none" w:sz="0" w:space="0" w:color="auto"/>
        <w:left w:val="none" w:sz="0" w:space="0" w:color="auto"/>
        <w:bottom w:val="none" w:sz="0" w:space="0" w:color="auto"/>
        <w:right w:val="none" w:sz="0" w:space="0" w:color="auto"/>
      </w:divBdr>
    </w:div>
    <w:div w:id="1669477012">
      <w:bodyDiv w:val="1"/>
      <w:marLeft w:val="0"/>
      <w:marRight w:val="0"/>
      <w:marTop w:val="0"/>
      <w:marBottom w:val="0"/>
      <w:divBdr>
        <w:top w:val="none" w:sz="0" w:space="0" w:color="auto"/>
        <w:left w:val="none" w:sz="0" w:space="0" w:color="auto"/>
        <w:bottom w:val="none" w:sz="0" w:space="0" w:color="auto"/>
        <w:right w:val="none" w:sz="0" w:space="0" w:color="auto"/>
      </w:divBdr>
    </w:div>
    <w:div w:id="1845708577">
      <w:bodyDiv w:val="1"/>
      <w:marLeft w:val="0"/>
      <w:marRight w:val="0"/>
      <w:marTop w:val="0"/>
      <w:marBottom w:val="0"/>
      <w:divBdr>
        <w:top w:val="none" w:sz="0" w:space="0" w:color="auto"/>
        <w:left w:val="none" w:sz="0" w:space="0" w:color="auto"/>
        <w:bottom w:val="none" w:sz="0" w:space="0" w:color="auto"/>
        <w:right w:val="none" w:sz="0" w:space="0" w:color="auto"/>
      </w:divBdr>
    </w:div>
    <w:div w:id="1876457809">
      <w:bodyDiv w:val="1"/>
      <w:marLeft w:val="0"/>
      <w:marRight w:val="0"/>
      <w:marTop w:val="0"/>
      <w:marBottom w:val="0"/>
      <w:divBdr>
        <w:top w:val="none" w:sz="0" w:space="0" w:color="auto"/>
        <w:left w:val="none" w:sz="0" w:space="0" w:color="auto"/>
        <w:bottom w:val="none" w:sz="0" w:space="0" w:color="auto"/>
        <w:right w:val="none" w:sz="0" w:space="0" w:color="auto"/>
      </w:divBdr>
    </w:div>
    <w:div w:id="1915627580">
      <w:bodyDiv w:val="1"/>
      <w:marLeft w:val="0"/>
      <w:marRight w:val="0"/>
      <w:marTop w:val="0"/>
      <w:marBottom w:val="0"/>
      <w:divBdr>
        <w:top w:val="none" w:sz="0" w:space="0" w:color="auto"/>
        <w:left w:val="none" w:sz="0" w:space="0" w:color="auto"/>
        <w:bottom w:val="none" w:sz="0" w:space="0" w:color="auto"/>
        <w:right w:val="none" w:sz="0" w:space="0" w:color="auto"/>
      </w:divBdr>
    </w:div>
    <w:div w:id="1919747748">
      <w:bodyDiv w:val="1"/>
      <w:marLeft w:val="0"/>
      <w:marRight w:val="0"/>
      <w:marTop w:val="0"/>
      <w:marBottom w:val="0"/>
      <w:divBdr>
        <w:top w:val="none" w:sz="0" w:space="0" w:color="auto"/>
        <w:left w:val="none" w:sz="0" w:space="0" w:color="auto"/>
        <w:bottom w:val="none" w:sz="0" w:space="0" w:color="auto"/>
        <w:right w:val="none" w:sz="0" w:space="0" w:color="auto"/>
      </w:divBdr>
    </w:div>
    <w:div w:id="2036539632">
      <w:bodyDiv w:val="1"/>
      <w:marLeft w:val="0"/>
      <w:marRight w:val="0"/>
      <w:marTop w:val="0"/>
      <w:marBottom w:val="0"/>
      <w:divBdr>
        <w:top w:val="none" w:sz="0" w:space="0" w:color="auto"/>
        <w:left w:val="none" w:sz="0" w:space="0" w:color="auto"/>
        <w:bottom w:val="none" w:sz="0" w:space="0" w:color="auto"/>
        <w:right w:val="none" w:sz="0" w:space="0" w:color="auto"/>
      </w:divBdr>
      <w:divsChild>
        <w:div w:id="1100954955">
          <w:marLeft w:val="45"/>
          <w:marRight w:val="45"/>
          <w:marTop w:val="15"/>
          <w:marBottom w:val="0"/>
          <w:divBdr>
            <w:top w:val="none" w:sz="0" w:space="0" w:color="auto"/>
            <w:left w:val="none" w:sz="0" w:space="0" w:color="auto"/>
            <w:bottom w:val="none" w:sz="0" w:space="0" w:color="auto"/>
            <w:right w:val="none" w:sz="0" w:space="0" w:color="auto"/>
          </w:divBdr>
          <w:divsChild>
            <w:div w:id="8668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1756">
      <w:bodyDiv w:val="1"/>
      <w:marLeft w:val="0"/>
      <w:marRight w:val="0"/>
      <w:marTop w:val="0"/>
      <w:marBottom w:val="0"/>
      <w:divBdr>
        <w:top w:val="none" w:sz="0" w:space="0" w:color="auto"/>
        <w:left w:val="none" w:sz="0" w:space="0" w:color="auto"/>
        <w:bottom w:val="none" w:sz="0" w:space="0" w:color="auto"/>
        <w:right w:val="none" w:sz="0" w:space="0" w:color="auto"/>
      </w:divBdr>
    </w:div>
    <w:div w:id="2091655367">
      <w:bodyDiv w:val="1"/>
      <w:marLeft w:val="0"/>
      <w:marRight w:val="0"/>
      <w:marTop w:val="0"/>
      <w:marBottom w:val="0"/>
      <w:divBdr>
        <w:top w:val="none" w:sz="0" w:space="0" w:color="auto"/>
        <w:left w:val="none" w:sz="0" w:space="0" w:color="auto"/>
        <w:bottom w:val="none" w:sz="0" w:space="0" w:color="auto"/>
        <w:right w:val="none" w:sz="0" w:space="0" w:color="auto"/>
      </w:divBdr>
    </w:div>
    <w:div w:id="2094423705">
      <w:bodyDiv w:val="1"/>
      <w:marLeft w:val="0"/>
      <w:marRight w:val="0"/>
      <w:marTop w:val="0"/>
      <w:marBottom w:val="0"/>
      <w:divBdr>
        <w:top w:val="none" w:sz="0" w:space="0" w:color="auto"/>
        <w:left w:val="none" w:sz="0" w:space="0" w:color="auto"/>
        <w:bottom w:val="none" w:sz="0" w:space="0" w:color="auto"/>
        <w:right w:val="none" w:sz="0" w:space="0" w:color="auto"/>
      </w:divBdr>
    </w:div>
    <w:div w:id="2142729174">
      <w:bodyDiv w:val="1"/>
      <w:marLeft w:val="0"/>
      <w:marRight w:val="0"/>
      <w:marTop w:val="0"/>
      <w:marBottom w:val="0"/>
      <w:divBdr>
        <w:top w:val="none" w:sz="0" w:space="0" w:color="auto"/>
        <w:left w:val="none" w:sz="0" w:space="0" w:color="auto"/>
        <w:bottom w:val="none" w:sz="0" w:space="0" w:color="auto"/>
        <w:right w:val="none" w:sz="0" w:space="0" w:color="auto"/>
      </w:divBdr>
      <w:divsChild>
        <w:div w:id="1418553672">
          <w:marLeft w:val="0"/>
          <w:marRight w:val="0"/>
          <w:marTop w:val="0"/>
          <w:marBottom w:val="0"/>
          <w:divBdr>
            <w:top w:val="none" w:sz="0" w:space="0" w:color="auto"/>
            <w:left w:val="none" w:sz="0" w:space="0" w:color="auto"/>
            <w:bottom w:val="none" w:sz="0" w:space="0" w:color="auto"/>
            <w:right w:val="none" w:sz="0" w:space="0" w:color="auto"/>
          </w:divBdr>
          <w:divsChild>
            <w:div w:id="579752568">
              <w:marLeft w:val="0"/>
              <w:marRight w:val="60"/>
              <w:marTop w:val="0"/>
              <w:marBottom w:val="0"/>
              <w:divBdr>
                <w:top w:val="none" w:sz="0" w:space="0" w:color="auto"/>
                <w:left w:val="none" w:sz="0" w:space="0" w:color="auto"/>
                <w:bottom w:val="none" w:sz="0" w:space="0" w:color="auto"/>
                <w:right w:val="none" w:sz="0" w:space="0" w:color="auto"/>
              </w:divBdr>
              <w:divsChild>
                <w:div w:id="838692659">
                  <w:marLeft w:val="0"/>
                  <w:marRight w:val="0"/>
                  <w:marTop w:val="0"/>
                  <w:marBottom w:val="120"/>
                  <w:divBdr>
                    <w:top w:val="single" w:sz="6" w:space="0" w:color="C0C0C0"/>
                    <w:left w:val="single" w:sz="6" w:space="0" w:color="D9D9D9"/>
                    <w:bottom w:val="single" w:sz="6" w:space="0" w:color="D9D9D9"/>
                    <w:right w:val="single" w:sz="6" w:space="0" w:color="D9D9D9"/>
                  </w:divBdr>
                  <w:divsChild>
                    <w:div w:id="1391535683">
                      <w:marLeft w:val="0"/>
                      <w:marRight w:val="0"/>
                      <w:marTop w:val="0"/>
                      <w:marBottom w:val="0"/>
                      <w:divBdr>
                        <w:top w:val="none" w:sz="0" w:space="0" w:color="auto"/>
                        <w:left w:val="none" w:sz="0" w:space="0" w:color="auto"/>
                        <w:bottom w:val="none" w:sz="0" w:space="0" w:color="auto"/>
                        <w:right w:val="none" w:sz="0" w:space="0" w:color="auto"/>
                      </w:divBdr>
                    </w:div>
                    <w:div w:id="17399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41523">
          <w:marLeft w:val="0"/>
          <w:marRight w:val="0"/>
          <w:marTop w:val="0"/>
          <w:marBottom w:val="0"/>
          <w:divBdr>
            <w:top w:val="none" w:sz="0" w:space="0" w:color="auto"/>
            <w:left w:val="none" w:sz="0" w:space="0" w:color="auto"/>
            <w:bottom w:val="none" w:sz="0" w:space="0" w:color="auto"/>
            <w:right w:val="none" w:sz="0" w:space="0" w:color="auto"/>
          </w:divBdr>
          <w:divsChild>
            <w:div w:id="859125962">
              <w:marLeft w:val="60"/>
              <w:marRight w:val="0"/>
              <w:marTop w:val="0"/>
              <w:marBottom w:val="0"/>
              <w:divBdr>
                <w:top w:val="none" w:sz="0" w:space="0" w:color="auto"/>
                <w:left w:val="none" w:sz="0" w:space="0" w:color="auto"/>
                <w:bottom w:val="none" w:sz="0" w:space="0" w:color="auto"/>
                <w:right w:val="none" w:sz="0" w:space="0" w:color="auto"/>
              </w:divBdr>
              <w:divsChild>
                <w:div w:id="1371145181">
                  <w:marLeft w:val="0"/>
                  <w:marRight w:val="0"/>
                  <w:marTop w:val="0"/>
                  <w:marBottom w:val="0"/>
                  <w:divBdr>
                    <w:top w:val="none" w:sz="0" w:space="0" w:color="auto"/>
                    <w:left w:val="none" w:sz="0" w:space="0" w:color="auto"/>
                    <w:bottom w:val="none" w:sz="0" w:space="0" w:color="auto"/>
                    <w:right w:val="none" w:sz="0" w:space="0" w:color="auto"/>
                  </w:divBdr>
                  <w:divsChild>
                    <w:div w:id="1731344990">
                      <w:marLeft w:val="0"/>
                      <w:marRight w:val="0"/>
                      <w:marTop w:val="0"/>
                      <w:marBottom w:val="120"/>
                      <w:divBdr>
                        <w:top w:val="single" w:sz="6" w:space="0" w:color="F5F5F5"/>
                        <w:left w:val="single" w:sz="6" w:space="0" w:color="F5F5F5"/>
                        <w:bottom w:val="single" w:sz="6" w:space="0" w:color="F5F5F5"/>
                        <w:right w:val="single" w:sz="6" w:space="0" w:color="F5F5F5"/>
                      </w:divBdr>
                      <w:divsChild>
                        <w:div w:id="1585337970">
                          <w:marLeft w:val="0"/>
                          <w:marRight w:val="0"/>
                          <w:marTop w:val="0"/>
                          <w:marBottom w:val="0"/>
                          <w:divBdr>
                            <w:top w:val="none" w:sz="0" w:space="0" w:color="auto"/>
                            <w:left w:val="none" w:sz="0" w:space="0" w:color="auto"/>
                            <w:bottom w:val="none" w:sz="0" w:space="0" w:color="auto"/>
                            <w:right w:val="none" w:sz="0" w:space="0" w:color="auto"/>
                          </w:divBdr>
                          <w:divsChild>
                            <w:div w:id="5408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hyperlink" Target="http://www.antifrauda.gov.ro/ro/despre%20noi/rapoarte/" TargetMode="External"/><Relationship Id="rId7" Type="http://schemas.microsoft.com/office/2007/relationships/stylesWithEffects" Target="stylesWithEffects.xml"/><Relationship Id="rId12" Type="http://schemas.openxmlformats.org/officeDocument/2006/relationships/hyperlink" Target="http://www.cnsc.ro/wp-content/uploads/2018/raport/Raport.2017.RO.pdf" TargetMode="External"/><Relationship Id="rId17" Type="http://schemas.openxmlformats.org/officeDocument/2006/relationships/image" Target="media/image6.png"/><Relationship Id="rId25" Type="http://schemas.openxmlformats.org/officeDocument/2006/relationships/hyperlink" Target="https://www.integritate.eu/prevent.aspx"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onsiliulconcuren&#539;ei.ro/uploads/docs/items/bucket12/id12037/ghid_consortii_fin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consiliulconcurentei.ro/ro/publicatii/rapoarte-anuale.html"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integritate.eu/prevent.aspx"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consiliulconcurentei.ro/uploads/docs/items/bucketI1/id11013/ghid_practici_anticoncuren&#539;iale_licita&#539;ii.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google.ro/search?q=www.curtea+deconturi.ro/AutoritateAudit.aspx&amp;biw=1855&amp;bih=947&amp;tbm=isch&amp;tbo=u&amp;source=univ&amp;sa=X&amp;ved=0ahUKEwjg0dGC4JbbAhXShaYKHRgqBlAQ7AkIWg" TargetMode="External"/><Relationship Id="rId27" Type="http://schemas.openxmlformats.org/officeDocument/2006/relationships/hyperlink" Target="http://www.e-licitatie.ro"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2CE50DB0DB094A96D070B1BFDF9444" ma:contentTypeVersion="0" ma:contentTypeDescription="Create a new document." ma:contentTypeScope="" ma:versionID="027926cb6e7b7cf56663ff3bc8e75ea7">
  <xsd:schema xmlns:xsd="http://www.w3.org/2001/XMLSchema" xmlns:xs="http://www.w3.org/2001/XMLSchema" xmlns:p="http://schemas.microsoft.com/office/2006/metadata/properties" targetNamespace="http://schemas.microsoft.com/office/2006/metadata/properties" ma:root="true" ma:fieldsID="3908ae204c6c644ae07194e013529a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3A97-BAC9-4528-933A-C675FEA011C4}">
  <ds:schemaRefs>
    <ds:schemaRef ds:uri="http://schemas.microsoft.com/sharepoint/v3/contenttype/forms"/>
  </ds:schemaRefs>
</ds:datastoreItem>
</file>

<file path=customXml/itemProps2.xml><?xml version="1.0" encoding="utf-8"?>
<ds:datastoreItem xmlns:ds="http://schemas.openxmlformats.org/officeDocument/2006/customXml" ds:itemID="{F97A79E7-2813-459F-AC71-1FFBD3A3CB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1C294F-28E5-4786-AF46-6D57342E5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E73AE3-3EA9-4939-AA1C-242D9A4A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2949</Words>
  <Characters>16811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HERCHER Jachym (GROW)</dc:creator>
  <cp:lastModifiedBy>RM</cp:lastModifiedBy>
  <cp:revision>2</cp:revision>
  <cp:lastPrinted>2016-12-19T14:35:00Z</cp:lastPrinted>
  <dcterms:created xsi:type="dcterms:W3CDTF">2018-06-06T11:47:00Z</dcterms:created>
  <dcterms:modified xsi:type="dcterms:W3CDTF">2018-06-06T11:47:00Z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0x010100FE2CE50DB0DB094A96D070B1BFDF9444</vt:lpwstr>
  </property>
  <property fmtid="{D5CDD505-2E9C-101B-9397-08002B2CF9AE}" pid="3" name="IsMyDocuments">
    <vt:bool>true</vt:bool>
  </property>
</Properties>
</file>