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C8DD93" w14:textId="511D9813" w:rsidR="002A2338" w:rsidRDefault="002A2338" w:rsidP="00BC0A81">
      <w:pPr>
        <w:pStyle w:val="Nadpis1"/>
        <w:spacing w:before="0"/>
        <w:jc w:val="center"/>
        <w:rPr>
          <w:rFonts w:asciiTheme="minorHAnsi" w:hAnsiTheme="minorHAnsi"/>
          <w:sz w:val="32"/>
          <w:szCs w:val="32"/>
          <w:u w:val="single"/>
        </w:rPr>
      </w:pPr>
    </w:p>
    <w:p w14:paraId="775FF694" w14:textId="37837843" w:rsidR="006F0567" w:rsidRDefault="006F0567" w:rsidP="006F0567">
      <w:pPr>
        <w:pStyle w:val="Bezriadkovania"/>
      </w:pPr>
    </w:p>
    <w:p w14:paraId="49A97CC7" w14:textId="0624C15A" w:rsidR="006F0567" w:rsidRDefault="006F0567" w:rsidP="006F0567">
      <w:pPr>
        <w:pStyle w:val="Bezriadkovania"/>
      </w:pPr>
    </w:p>
    <w:p w14:paraId="4B1A521E" w14:textId="4BCD1A1F" w:rsidR="006F0567" w:rsidRDefault="006F0567" w:rsidP="006F0567">
      <w:pPr>
        <w:pStyle w:val="Bezriadkovania"/>
      </w:pPr>
    </w:p>
    <w:p w14:paraId="166FED35" w14:textId="5EEBCAD7" w:rsidR="006F0567" w:rsidRDefault="006F0567" w:rsidP="006F0567">
      <w:pPr>
        <w:pStyle w:val="Bezriadkovania"/>
      </w:pPr>
    </w:p>
    <w:p w14:paraId="16D189FA" w14:textId="7FA6F68F" w:rsidR="006F0567" w:rsidRDefault="006F0567" w:rsidP="006F0567">
      <w:pPr>
        <w:pStyle w:val="Bezriadkovania"/>
      </w:pPr>
    </w:p>
    <w:p w14:paraId="434DDBBD" w14:textId="1CF3AB04" w:rsidR="006F0567" w:rsidRDefault="006F0567" w:rsidP="006F0567">
      <w:pPr>
        <w:pStyle w:val="Bezriadkovania"/>
      </w:pPr>
    </w:p>
    <w:p w14:paraId="4AF48BA0" w14:textId="229D446E" w:rsidR="006F0567" w:rsidRDefault="006F0567" w:rsidP="006F0567">
      <w:pPr>
        <w:pStyle w:val="Bezriadkovania"/>
      </w:pPr>
    </w:p>
    <w:p w14:paraId="0656F87F" w14:textId="5187CD05" w:rsidR="006F0567" w:rsidRDefault="006F0567" w:rsidP="006F0567">
      <w:pPr>
        <w:pStyle w:val="Bezriadkovania"/>
      </w:pPr>
    </w:p>
    <w:p w14:paraId="61D10B16" w14:textId="2BA335C4" w:rsidR="006F0567" w:rsidRDefault="006F0567" w:rsidP="006F0567">
      <w:pPr>
        <w:pStyle w:val="Bezriadkovania"/>
      </w:pPr>
    </w:p>
    <w:p w14:paraId="2F5273D3" w14:textId="09323468" w:rsidR="006F0567" w:rsidRDefault="006F0567" w:rsidP="006F0567">
      <w:pPr>
        <w:pStyle w:val="Bezriadkovania"/>
      </w:pPr>
    </w:p>
    <w:p w14:paraId="66112995" w14:textId="3B7534FC" w:rsidR="006F0567" w:rsidRDefault="006F0567" w:rsidP="006F0567">
      <w:pPr>
        <w:pStyle w:val="Bezriadkovania"/>
      </w:pPr>
    </w:p>
    <w:p w14:paraId="1A7E8B0E" w14:textId="77777777" w:rsidR="006F0567" w:rsidRPr="006F0567" w:rsidRDefault="006F0567" w:rsidP="006F0567">
      <w:pPr>
        <w:pStyle w:val="Bezriadkovania"/>
      </w:pPr>
    </w:p>
    <w:p w14:paraId="34AB7EBD" w14:textId="4FDE1C77" w:rsidR="00BD08CB" w:rsidRPr="00B01372" w:rsidRDefault="00F92DAE" w:rsidP="00BC0A81">
      <w:pPr>
        <w:pStyle w:val="Nadpis1"/>
        <w:spacing w:before="0"/>
        <w:jc w:val="center"/>
        <w:rPr>
          <w:rFonts w:asciiTheme="minorHAnsi" w:hAnsiTheme="minorHAnsi"/>
          <w:sz w:val="22"/>
          <w:szCs w:val="22"/>
          <w:u w:val="single"/>
        </w:rPr>
      </w:pPr>
      <w:r w:rsidRPr="00B01372">
        <w:rPr>
          <w:rFonts w:asciiTheme="minorHAnsi" w:hAnsiTheme="minorHAnsi"/>
          <w:sz w:val="32"/>
          <w:szCs w:val="32"/>
          <w:u w:val="single"/>
        </w:rPr>
        <w:t xml:space="preserve">Procurement </w:t>
      </w:r>
      <w:r w:rsidR="0051246A" w:rsidRPr="00B01372">
        <w:rPr>
          <w:rFonts w:asciiTheme="minorHAnsi" w:hAnsiTheme="minorHAnsi"/>
          <w:sz w:val="32"/>
          <w:szCs w:val="32"/>
          <w:u w:val="single"/>
        </w:rPr>
        <w:t xml:space="preserve">Monitoring </w:t>
      </w:r>
      <w:r w:rsidRPr="00B01372">
        <w:rPr>
          <w:rFonts w:asciiTheme="minorHAnsi" w:hAnsiTheme="minorHAnsi"/>
          <w:sz w:val="32"/>
          <w:szCs w:val="32"/>
          <w:u w:val="single"/>
        </w:rPr>
        <w:t>Report</w:t>
      </w:r>
      <w:r w:rsidR="00E947C9">
        <w:rPr>
          <w:rFonts w:asciiTheme="minorHAnsi" w:hAnsiTheme="minorHAnsi"/>
          <w:sz w:val="32"/>
          <w:szCs w:val="32"/>
          <w:u w:val="single"/>
        </w:rPr>
        <w:t xml:space="preserve"> - SLOVAKIA</w:t>
      </w:r>
      <w:r w:rsidRPr="00B01372">
        <w:rPr>
          <w:rFonts w:asciiTheme="minorHAnsi" w:hAnsiTheme="minorHAnsi"/>
          <w:sz w:val="32"/>
          <w:szCs w:val="32"/>
        </w:rPr>
        <w:t xml:space="preserve"> </w:t>
      </w:r>
    </w:p>
    <w:p w14:paraId="34AB7EBE" w14:textId="6326E333" w:rsidR="00BD08CB" w:rsidRPr="00B01372" w:rsidRDefault="00C314EF" w:rsidP="00F92DAE">
      <w:pPr>
        <w:pStyle w:val="Bezriadkovania"/>
        <w:jc w:val="center"/>
        <w:rPr>
          <w:b/>
          <w:sz w:val="32"/>
          <w:szCs w:val="32"/>
        </w:rPr>
      </w:pPr>
      <w:r w:rsidRPr="00B01372">
        <w:rPr>
          <w:b/>
          <w:sz w:val="32"/>
          <w:szCs w:val="32"/>
        </w:rPr>
        <w:t xml:space="preserve">In view of </w:t>
      </w:r>
      <w:r w:rsidR="00411EDE" w:rsidRPr="00B01372">
        <w:rPr>
          <w:b/>
          <w:sz w:val="32"/>
          <w:szCs w:val="32"/>
        </w:rPr>
        <w:t>the reporting proces</w:t>
      </w:r>
      <w:r w:rsidRPr="00B01372">
        <w:rPr>
          <w:b/>
          <w:sz w:val="32"/>
          <w:szCs w:val="32"/>
        </w:rPr>
        <w:t>s</w:t>
      </w:r>
      <w:r w:rsidR="00411EDE" w:rsidRPr="00B01372">
        <w:rPr>
          <w:b/>
          <w:sz w:val="32"/>
          <w:szCs w:val="32"/>
        </w:rPr>
        <w:t xml:space="preserve"> </w:t>
      </w:r>
      <w:r w:rsidR="00411EDE" w:rsidRPr="00B01372">
        <w:rPr>
          <w:b/>
          <w:sz w:val="32"/>
          <w:szCs w:val="32"/>
        </w:rPr>
        <w:br/>
      </w:r>
      <w:r w:rsidRPr="00B01372">
        <w:rPr>
          <w:b/>
          <w:sz w:val="32"/>
          <w:szCs w:val="32"/>
        </w:rPr>
        <w:t xml:space="preserve">under the </w:t>
      </w:r>
      <w:r w:rsidR="00411EDE" w:rsidRPr="00B01372">
        <w:rPr>
          <w:b/>
          <w:sz w:val="32"/>
          <w:szCs w:val="32"/>
        </w:rPr>
        <w:t xml:space="preserve">Directives 2014/23/EU, 2014/24/EU and 2014/25/EU   </w:t>
      </w:r>
    </w:p>
    <w:p w14:paraId="34AB7ED3" w14:textId="033B4570" w:rsidR="00411EDE" w:rsidRDefault="00411EDE" w:rsidP="00A051EB"/>
    <w:p w14:paraId="13E397A8" w14:textId="43027965" w:rsidR="001E1A57" w:rsidRDefault="001E1A57" w:rsidP="00A051EB"/>
    <w:p w14:paraId="50F800E4" w14:textId="0EEEB48B" w:rsidR="001E1A57" w:rsidRDefault="001E1A57" w:rsidP="00A051EB"/>
    <w:p w14:paraId="7690E573" w14:textId="03A953F5" w:rsidR="001E1A57" w:rsidRDefault="001E1A57" w:rsidP="00A051EB"/>
    <w:p w14:paraId="12069681" w14:textId="21C884B1" w:rsidR="006F0567" w:rsidRDefault="006F0567" w:rsidP="00A051EB"/>
    <w:p w14:paraId="24974C20" w14:textId="77777777" w:rsidR="006F0567" w:rsidRPr="00B01372" w:rsidRDefault="006F0567" w:rsidP="00A051EB"/>
    <w:p w14:paraId="34AB7EE5" w14:textId="330ACF69" w:rsidR="00E75E9D" w:rsidRPr="00B01372" w:rsidRDefault="00E75E9D" w:rsidP="00E75E9D">
      <w:pPr>
        <w:pStyle w:val="Bezriadkovania"/>
      </w:pPr>
    </w:p>
    <w:p w14:paraId="5EA484A3" w14:textId="53D61F1D" w:rsidR="00E67A95" w:rsidRDefault="00E67A95" w:rsidP="00E67A95">
      <w:pPr>
        <w:pStyle w:val="Bezriadkovania"/>
      </w:pPr>
    </w:p>
    <w:p w14:paraId="5874747A" w14:textId="799F074A" w:rsidR="001E1A57" w:rsidRDefault="001E1A57" w:rsidP="00E67A95">
      <w:pPr>
        <w:pStyle w:val="Bezriadkovania"/>
      </w:pPr>
    </w:p>
    <w:p w14:paraId="6A2FDC55" w14:textId="0DC251E1" w:rsidR="009B40D2" w:rsidRPr="00B01372" w:rsidRDefault="0038784C" w:rsidP="001E1A57">
      <w:pPr>
        <w:pStyle w:val="Nadpis2"/>
      </w:pPr>
      <w:r>
        <w:t>Key</w:t>
      </w:r>
      <w:r w:rsidR="00343110">
        <w:t xml:space="preserve"> quantitative indicators </w:t>
      </w:r>
    </w:p>
    <w:p w14:paraId="148F7BBB" w14:textId="77777777" w:rsidR="00BC4C3D" w:rsidRPr="00B01372" w:rsidRDefault="00BC4C3D" w:rsidP="009B40D2">
      <w:pPr>
        <w:pStyle w:val="Bezriadkovania"/>
      </w:pPr>
    </w:p>
    <w:tbl>
      <w:tblPr>
        <w:tblStyle w:val="Mriekatabuky"/>
        <w:tblW w:w="5000" w:type="pct"/>
        <w:tblLook w:val="04A0" w:firstRow="1" w:lastRow="0" w:firstColumn="1" w:lastColumn="0" w:noHBand="0" w:noVBand="1"/>
      </w:tblPr>
      <w:tblGrid>
        <w:gridCol w:w="3212"/>
        <w:gridCol w:w="10782"/>
      </w:tblGrid>
      <w:tr w:rsidR="00343110" w:rsidRPr="00B01372" w14:paraId="31CBF4DB" w14:textId="77777777" w:rsidTr="003844FF">
        <w:trPr>
          <w:trHeight w:val="1354"/>
        </w:trPr>
        <w:tc>
          <w:tcPr>
            <w:tcW w:w="1633" w:type="pct"/>
          </w:tcPr>
          <w:p w14:paraId="081A606C" w14:textId="237DA7DE" w:rsidR="00343110" w:rsidRPr="00343110" w:rsidRDefault="00343110" w:rsidP="00343110">
            <w:pPr>
              <w:pStyle w:val="Bezriadkovania"/>
              <w:rPr>
                <w:b/>
                <w:sz w:val="24"/>
                <w:szCs w:val="24"/>
              </w:rPr>
            </w:pPr>
            <w:r>
              <w:rPr>
                <w:b/>
                <w:sz w:val="24"/>
                <w:szCs w:val="24"/>
              </w:rPr>
              <w:t xml:space="preserve">I.1. </w:t>
            </w:r>
            <w:r w:rsidR="0038784C">
              <w:rPr>
                <w:b/>
                <w:sz w:val="24"/>
                <w:szCs w:val="24"/>
              </w:rPr>
              <w:t>The n</w:t>
            </w:r>
            <w:r w:rsidRPr="00343110">
              <w:rPr>
                <w:b/>
                <w:sz w:val="24"/>
                <w:szCs w:val="24"/>
              </w:rPr>
              <w:t xml:space="preserve">umber of procurement procedures </w:t>
            </w:r>
          </w:p>
          <w:p w14:paraId="151E5863" w14:textId="003D6349" w:rsidR="00343110" w:rsidRDefault="00343110" w:rsidP="003F660D">
            <w:pPr>
              <w:rPr>
                <w:b/>
                <w:sz w:val="24"/>
                <w:szCs w:val="24"/>
              </w:rPr>
            </w:pPr>
          </w:p>
        </w:tc>
        <w:tc>
          <w:tcPr>
            <w:tcW w:w="3367" w:type="pct"/>
          </w:tcPr>
          <w:p w14:paraId="4476A932" w14:textId="77777777" w:rsidR="00454AC2" w:rsidRPr="001038EC" w:rsidRDefault="00454AC2">
            <w:pPr>
              <w:rPr>
                <w:lang w:val="en-US"/>
              </w:rPr>
            </w:pPr>
          </w:p>
          <w:tbl>
            <w:tblPr>
              <w:tblW w:w="10545" w:type="dxa"/>
              <w:tblCellMar>
                <w:left w:w="70" w:type="dxa"/>
                <w:right w:w="70" w:type="dxa"/>
              </w:tblCellMar>
              <w:tblLook w:val="04A0" w:firstRow="1" w:lastRow="0" w:firstColumn="1" w:lastColumn="0" w:noHBand="0" w:noVBand="1"/>
            </w:tblPr>
            <w:tblGrid>
              <w:gridCol w:w="2980"/>
              <w:gridCol w:w="1720"/>
              <w:gridCol w:w="320"/>
              <w:gridCol w:w="1400"/>
              <w:gridCol w:w="440"/>
              <w:gridCol w:w="1280"/>
              <w:gridCol w:w="560"/>
              <w:gridCol w:w="400"/>
              <w:gridCol w:w="1445"/>
            </w:tblGrid>
            <w:tr w:rsidR="006A206B" w:rsidRPr="001038EC" w14:paraId="79198F31" w14:textId="77777777" w:rsidTr="00454AC2">
              <w:trPr>
                <w:trHeight w:val="315"/>
              </w:trPr>
              <w:tc>
                <w:tcPr>
                  <w:tcW w:w="5020" w:type="dxa"/>
                  <w:gridSpan w:val="3"/>
                  <w:tcBorders>
                    <w:top w:val="single" w:sz="4" w:space="0" w:color="auto"/>
                    <w:left w:val="single" w:sz="4" w:space="0" w:color="auto"/>
                    <w:bottom w:val="single" w:sz="4" w:space="0" w:color="auto"/>
                    <w:right w:val="single" w:sz="4" w:space="0" w:color="auto"/>
                  </w:tcBorders>
                  <w:shd w:val="clear" w:color="000000" w:fill="002060"/>
                  <w:vAlign w:val="center"/>
                  <w:hideMark/>
                </w:tcPr>
                <w:p w14:paraId="753D7590" w14:textId="77777777" w:rsidR="006A206B" w:rsidRPr="001038EC" w:rsidRDefault="006A206B" w:rsidP="006A206B">
                  <w:pPr>
                    <w:spacing w:after="0" w:line="240" w:lineRule="auto"/>
                    <w:rPr>
                      <w:rFonts w:ascii="Calibri" w:eastAsia="Times New Roman" w:hAnsi="Calibri" w:cs="Calibri"/>
                      <w:color w:val="FFFFFF"/>
                      <w:lang w:val="en-US" w:eastAsia="sk-SK"/>
                    </w:rPr>
                  </w:pPr>
                  <w:r w:rsidRPr="001038EC">
                    <w:rPr>
                      <w:rFonts w:ascii="Calibri" w:eastAsia="Times New Roman" w:hAnsi="Calibri" w:cs="Calibri"/>
                      <w:color w:val="FFFFFF"/>
                      <w:lang w:val="en-US" w:eastAsia="sk-SK"/>
                    </w:rPr>
                    <w:t> </w:t>
                  </w:r>
                </w:p>
              </w:tc>
              <w:tc>
                <w:tcPr>
                  <w:tcW w:w="1840" w:type="dxa"/>
                  <w:gridSpan w:val="2"/>
                  <w:tcBorders>
                    <w:top w:val="single" w:sz="4" w:space="0" w:color="auto"/>
                    <w:left w:val="nil"/>
                    <w:bottom w:val="single" w:sz="4" w:space="0" w:color="auto"/>
                    <w:right w:val="single" w:sz="4" w:space="0" w:color="auto"/>
                  </w:tcBorders>
                  <w:shd w:val="clear" w:color="000000" w:fill="002060"/>
                  <w:noWrap/>
                  <w:vAlign w:val="center"/>
                  <w:hideMark/>
                </w:tcPr>
                <w:p w14:paraId="51D3FAEA" w14:textId="5831FE5B" w:rsidR="006A206B" w:rsidRPr="001038EC" w:rsidRDefault="006A206B" w:rsidP="006A206B">
                  <w:pPr>
                    <w:spacing w:after="0" w:line="240" w:lineRule="auto"/>
                    <w:jc w:val="center"/>
                    <w:rPr>
                      <w:rFonts w:ascii="Calibri" w:eastAsia="Times New Roman" w:hAnsi="Calibri" w:cs="Calibri"/>
                      <w:b/>
                      <w:bCs/>
                      <w:color w:val="FFFFFF"/>
                      <w:lang w:val="en-US" w:eastAsia="sk-SK"/>
                    </w:rPr>
                  </w:pPr>
                  <w:r w:rsidRPr="001038EC">
                    <w:rPr>
                      <w:rFonts w:ascii="Calibri" w:eastAsia="Times New Roman" w:hAnsi="Calibri" w:cs="Calibri"/>
                      <w:b/>
                      <w:bCs/>
                      <w:color w:val="FFFFFF"/>
                      <w:lang w:val="en-US" w:eastAsia="sk-SK"/>
                    </w:rPr>
                    <w:t>2018</w:t>
                  </w:r>
                </w:p>
              </w:tc>
              <w:tc>
                <w:tcPr>
                  <w:tcW w:w="1840" w:type="dxa"/>
                  <w:gridSpan w:val="2"/>
                  <w:tcBorders>
                    <w:top w:val="single" w:sz="4" w:space="0" w:color="auto"/>
                    <w:left w:val="nil"/>
                    <w:bottom w:val="single" w:sz="4" w:space="0" w:color="auto"/>
                    <w:right w:val="single" w:sz="4" w:space="0" w:color="auto"/>
                  </w:tcBorders>
                  <w:shd w:val="clear" w:color="000000" w:fill="002060"/>
                  <w:noWrap/>
                  <w:vAlign w:val="center"/>
                  <w:hideMark/>
                </w:tcPr>
                <w:p w14:paraId="4C4DC889" w14:textId="77777777" w:rsidR="006A206B" w:rsidRPr="001038EC" w:rsidRDefault="006A206B" w:rsidP="006A206B">
                  <w:pPr>
                    <w:spacing w:after="0" w:line="240" w:lineRule="auto"/>
                    <w:jc w:val="center"/>
                    <w:rPr>
                      <w:rFonts w:ascii="Calibri" w:eastAsia="Times New Roman" w:hAnsi="Calibri" w:cs="Calibri"/>
                      <w:b/>
                      <w:bCs/>
                      <w:color w:val="FFFFFF"/>
                      <w:lang w:val="en-US" w:eastAsia="sk-SK"/>
                    </w:rPr>
                  </w:pPr>
                  <w:r w:rsidRPr="001038EC">
                    <w:rPr>
                      <w:rFonts w:ascii="Calibri" w:eastAsia="Times New Roman" w:hAnsi="Calibri" w:cs="Calibri"/>
                      <w:b/>
                      <w:bCs/>
                      <w:color w:val="FFFFFF"/>
                      <w:lang w:val="en-US" w:eastAsia="sk-SK"/>
                    </w:rPr>
                    <w:t>2019</w:t>
                  </w:r>
                </w:p>
              </w:tc>
              <w:tc>
                <w:tcPr>
                  <w:tcW w:w="1845" w:type="dxa"/>
                  <w:gridSpan w:val="2"/>
                  <w:tcBorders>
                    <w:top w:val="single" w:sz="4" w:space="0" w:color="auto"/>
                    <w:left w:val="nil"/>
                    <w:bottom w:val="single" w:sz="4" w:space="0" w:color="auto"/>
                    <w:right w:val="single" w:sz="4" w:space="0" w:color="auto"/>
                  </w:tcBorders>
                  <w:shd w:val="clear" w:color="000000" w:fill="002060"/>
                  <w:noWrap/>
                  <w:vAlign w:val="center"/>
                  <w:hideMark/>
                </w:tcPr>
                <w:p w14:paraId="5F130E54" w14:textId="77777777" w:rsidR="006A206B" w:rsidRPr="001038EC" w:rsidRDefault="006A206B" w:rsidP="006A206B">
                  <w:pPr>
                    <w:spacing w:after="0" w:line="240" w:lineRule="auto"/>
                    <w:jc w:val="center"/>
                    <w:rPr>
                      <w:rFonts w:ascii="Calibri" w:eastAsia="Times New Roman" w:hAnsi="Calibri" w:cs="Calibri"/>
                      <w:b/>
                      <w:bCs/>
                      <w:color w:val="FFFFFF"/>
                      <w:lang w:val="en-US" w:eastAsia="sk-SK"/>
                    </w:rPr>
                  </w:pPr>
                  <w:r w:rsidRPr="001038EC">
                    <w:rPr>
                      <w:rFonts w:ascii="Calibri" w:eastAsia="Times New Roman" w:hAnsi="Calibri" w:cs="Calibri"/>
                      <w:b/>
                      <w:bCs/>
                      <w:color w:val="FFFFFF"/>
                      <w:lang w:val="en-US" w:eastAsia="sk-SK"/>
                    </w:rPr>
                    <w:t>2020</w:t>
                  </w:r>
                </w:p>
              </w:tc>
            </w:tr>
            <w:tr w:rsidR="006A206B" w:rsidRPr="001038EC" w14:paraId="04A50237" w14:textId="77777777" w:rsidTr="007822FE">
              <w:trPr>
                <w:trHeight w:val="430"/>
              </w:trPr>
              <w:tc>
                <w:tcPr>
                  <w:tcW w:w="5020" w:type="dxa"/>
                  <w:gridSpan w:val="3"/>
                  <w:tcBorders>
                    <w:top w:val="nil"/>
                    <w:left w:val="single" w:sz="4" w:space="0" w:color="auto"/>
                    <w:bottom w:val="single" w:sz="4" w:space="0" w:color="auto"/>
                    <w:right w:val="single" w:sz="4" w:space="0" w:color="auto"/>
                  </w:tcBorders>
                  <w:shd w:val="clear" w:color="auto" w:fill="auto"/>
                  <w:vAlign w:val="center"/>
                  <w:hideMark/>
                </w:tcPr>
                <w:p w14:paraId="64975378" w14:textId="208EFE15" w:rsidR="006A206B" w:rsidRPr="001038EC" w:rsidRDefault="001038EC" w:rsidP="006A206B">
                  <w:pPr>
                    <w:spacing w:after="0" w:line="240" w:lineRule="auto"/>
                    <w:rPr>
                      <w:rFonts w:ascii="Calibri" w:eastAsia="Times New Roman" w:hAnsi="Calibri" w:cs="Calibri"/>
                      <w:bCs/>
                      <w:color w:val="000000"/>
                      <w:lang w:val="en-US" w:eastAsia="sk-SK"/>
                    </w:rPr>
                  </w:pPr>
                  <w:r w:rsidRPr="001038EC">
                    <w:rPr>
                      <w:rFonts w:ascii="Calibri" w:eastAsia="Times New Roman" w:hAnsi="Calibri" w:cs="Calibri"/>
                      <w:bCs/>
                      <w:color w:val="000000"/>
                      <w:lang w:val="en-US" w:eastAsia="sk-SK"/>
                    </w:rPr>
                    <w:t>Number of notices announcing a call for competition above thresholds</w:t>
                  </w:r>
                  <w:r w:rsidR="006A206B" w:rsidRPr="001038EC">
                    <w:rPr>
                      <w:rFonts w:ascii="Calibri" w:eastAsia="Times New Roman" w:hAnsi="Calibri" w:cs="Calibri"/>
                      <w:bCs/>
                      <w:color w:val="000000"/>
                      <w:lang w:val="en-US" w:eastAsia="sk-SK"/>
                    </w:rPr>
                    <w:t xml:space="preserve"> </w:t>
                  </w:r>
                </w:p>
              </w:tc>
              <w:tc>
                <w:tcPr>
                  <w:tcW w:w="1840" w:type="dxa"/>
                  <w:gridSpan w:val="2"/>
                  <w:tcBorders>
                    <w:top w:val="nil"/>
                    <w:left w:val="nil"/>
                    <w:bottom w:val="single" w:sz="4" w:space="0" w:color="auto"/>
                    <w:right w:val="single" w:sz="4" w:space="0" w:color="auto"/>
                  </w:tcBorders>
                  <w:shd w:val="clear" w:color="auto" w:fill="auto"/>
                  <w:noWrap/>
                  <w:vAlign w:val="center"/>
                  <w:hideMark/>
                </w:tcPr>
                <w:p w14:paraId="1C6A086C" w14:textId="77777777" w:rsidR="006A206B" w:rsidRPr="001038EC" w:rsidRDefault="006A206B" w:rsidP="006A206B">
                  <w:pPr>
                    <w:spacing w:after="0" w:line="240" w:lineRule="auto"/>
                    <w:jc w:val="center"/>
                    <w:rPr>
                      <w:rFonts w:ascii="Calibri" w:eastAsia="Times New Roman" w:hAnsi="Calibri" w:cs="Calibri"/>
                      <w:color w:val="000000"/>
                      <w:lang w:val="en-US" w:eastAsia="sk-SK"/>
                    </w:rPr>
                  </w:pPr>
                  <w:r w:rsidRPr="001038EC">
                    <w:rPr>
                      <w:rFonts w:ascii="Calibri" w:eastAsia="Times New Roman" w:hAnsi="Calibri" w:cs="Calibri"/>
                      <w:color w:val="000000"/>
                      <w:lang w:val="en-US" w:eastAsia="sk-SK"/>
                    </w:rPr>
                    <w:t xml:space="preserve">                 1 835   </w:t>
                  </w:r>
                </w:p>
              </w:tc>
              <w:tc>
                <w:tcPr>
                  <w:tcW w:w="1840" w:type="dxa"/>
                  <w:gridSpan w:val="2"/>
                  <w:tcBorders>
                    <w:top w:val="nil"/>
                    <w:left w:val="nil"/>
                    <w:bottom w:val="single" w:sz="4" w:space="0" w:color="auto"/>
                    <w:right w:val="single" w:sz="4" w:space="0" w:color="auto"/>
                  </w:tcBorders>
                  <w:shd w:val="clear" w:color="auto" w:fill="auto"/>
                  <w:noWrap/>
                  <w:vAlign w:val="center"/>
                  <w:hideMark/>
                </w:tcPr>
                <w:p w14:paraId="2AD1EB4E" w14:textId="77777777" w:rsidR="006A206B" w:rsidRPr="001038EC" w:rsidRDefault="006A206B" w:rsidP="006A206B">
                  <w:pPr>
                    <w:spacing w:after="0" w:line="240" w:lineRule="auto"/>
                    <w:jc w:val="center"/>
                    <w:rPr>
                      <w:rFonts w:ascii="Calibri" w:eastAsia="Times New Roman" w:hAnsi="Calibri" w:cs="Calibri"/>
                      <w:color w:val="000000"/>
                      <w:lang w:val="en-US" w:eastAsia="sk-SK"/>
                    </w:rPr>
                  </w:pPr>
                  <w:r w:rsidRPr="001038EC">
                    <w:rPr>
                      <w:rFonts w:ascii="Calibri" w:eastAsia="Times New Roman" w:hAnsi="Calibri" w:cs="Calibri"/>
                      <w:color w:val="000000"/>
                      <w:lang w:val="en-US" w:eastAsia="sk-SK"/>
                    </w:rPr>
                    <w:t xml:space="preserve">                 1 582   </w:t>
                  </w:r>
                </w:p>
              </w:tc>
              <w:tc>
                <w:tcPr>
                  <w:tcW w:w="1845" w:type="dxa"/>
                  <w:gridSpan w:val="2"/>
                  <w:tcBorders>
                    <w:top w:val="nil"/>
                    <w:left w:val="nil"/>
                    <w:bottom w:val="single" w:sz="4" w:space="0" w:color="auto"/>
                    <w:right w:val="single" w:sz="4" w:space="0" w:color="auto"/>
                  </w:tcBorders>
                  <w:shd w:val="clear" w:color="auto" w:fill="auto"/>
                  <w:noWrap/>
                  <w:vAlign w:val="center"/>
                  <w:hideMark/>
                </w:tcPr>
                <w:p w14:paraId="523CE188" w14:textId="77777777" w:rsidR="006A206B" w:rsidRPr="001038EC" w:rsidRDefault="006A206B" w:rsidP="006A206B">
                  <w:pPr>
                    <w:spacing w:after="0" w:line="240" w:lineRule="auto"/>
                    <w:jc w:val="center"/>
                    <w:rPr>
                      <w:rFonts w:ascii="Calibri" w:eastAsia="Times New Roman" w:hAnsi="Calibri" w:cs="Calibri"/>
                      <w:color w:val="000000"/>
                      <w:lang w:val="en-US" w:eastAsia="sk-SK"/>
                    </w:rPr>
                  </w:pPr>
                  <w:r w:rsidRPr="001038EC">
                    <w:rPr>
                      <w:rFonts w:ascii="Calibri" w:eastAsia="Times New Roman" w:hAnsi="Calibri" w:cs="Calibri"/>
                      <w:color w:val="000000"/>
                      <w:lang w:val="en-US" w:eastAsia="sk-SK"/>
                    </w:rPr>
                    <w:t xml:space="preserve">                 1 696   </w:t>
                  </w:r>
                </w:p>
              </w:tc>
            </w:tr>
            <w:tr w:rsidR="006A206B" w:rsidRPr="001038EC" w14:paraId="2756E4E4" w14:textId="77777777" w:rsidTr="007822FE">
              <w:trPr>
                <w:trHeight w:val="421"/>
              </w:trPr>
              <w:tc>
                <w:tcPr>
                  <w:tcW w:w="5020" w:type="dxa"/>
                  <w:gridSpan w:val="3"/>
                  <w:tcBorders>
                    <w:top w:val="nil"/>
                    <w:left w:val="single" w:sz="4" w:space="0" w:color="auto"/>
                    <w:bottom w:val="single" w:sz="4" w:space="0" w:color="auto"/>
                    <w:right w:val="single" w:sz="4" w:space="0" w:color="auto"/>
                  </w:tcBorders>
                  <w:shd w:val="clear" w:color="auto" w:fill="auto"/>
                  <w:vAlign w:val="center"/>
                  <w:hideMark/>
                </w:tcPr>
                <w:p w14:paraId="4952A95C" w14:textId="28B621A7" w:rsidR="006A206B" w:rsidRPr="001038EC" w:rsidRDefault="001038EC" w:rsidP="00681FC8">
                  <w:pPr>
                    <w:spacing w:after="0" w:line="240" w:lineRule="auto"/>
                    <w:rPr>
                      <w:rFonts w:ascii="Calibri" w:eastAsia="Times New Roman" w:hAnsi="Calibri" w:cs="Calibri"/>
                      <w:bCs/>
                      <w:color w:val="000000"/>
                      <w:lang w:val="en-US" w:eastAsia="sk-SK"/>
                    </w:rPr>
                  </w:pPr>
                  <w:r w:rsidRPr="001038EC">
                    <w:rPr>
                      <w:rFonts w:ascii="Calibri" w:eastAsia="Times New Roman" w:hAnsi="Calibri" w:cs="Calibri"/>
                      <w:bCs/>
                      <w:color w:val="000000"/>
                      <w:lang w:val="en-US" w:eastAsia="sk-SK"/>
                    </w:rPr>
                    <w:t>Number of notices announcing a call for competition below thresholds</w:t>
                  </w:r>
                </w:p>
              </w:tc>
              <w:tc>
                <w:tcPr>
                  <w:tcW w:w="1840" w:type="dxa"/>
                  <w:gridSpan w:val="2"/>
                  <w:tcBorders>
                    <w:top w:val="nil"/>
                    <w:left w:val="nil"/>
                    <w:bottom w:val="single" w:sz="4" w:space="0" w:color="auto"/>
                    <w:right w:val="single" w:sz="4" w:space="0" w:color="auto"/>
                  </w:tcBorders>
                  <w:shd w:val="clear" w:color="auto" w:fill="auto"/>
                  <w:noWrap/>
                  <w:vAlign w:val="center"/>
                  <w:hideMark/>
                </w:tcPr>
                <w:p w14:paraId="0337FCCD" w14:textId="77777777" w:rsidR="006A206B" w:rsidRPr="001038EC" w:rsidRDefault="006A206B" w:rsidP="006A206B">
                  <w:pPr>
                    <w:spacing w:after="0" w:line="240" w:lineRule="auto"/>
                    <w:jc w:val="center"/>
                    <w:rPr>
                      <w:rFonts w:ascii="Calibri" w:eastAsia="Times New Roman" w:hAnsi="Calibri" w:cs="Calibri"/>
                      <w:color w:val="000000"/>
                      <w:lang w:val="en-US" w:eastAsia="sk-SK"/>
                    </w:rPr>
                  </w:pPr>
                  <w:r w:rsidRPr="001038EC">
                    <w:rPr>
                      <w:rFonts w:ascii="Calibri" w:eastAsia="Times New Roman" w:hAnsi="Calibri" w:cs="Calibri"/>
                      <w:color w:val="000000"/>
                      <w:lang w:val="en-US" w:eastAsia="sk-SK"/>
                    </w:rPr>
                    <w:t xml:space="preserve">                 2 907   </w:t>
                  </w:r>
                </w:p>
              </w:tc>
              <w:tc>
                <w:tcPr>
                  <w:tcW w:w="1840" w:type="dxa"/>
                  <w:gridSpan w:val="2"/>
                  <w:tcBorders>
                    <w:top w:val="nil"/>
                    <w:left w:val="nil"/>
                    <w:bottom w:val="single" w:sz="4" w:space="0" w:color="auto"/>
                    <w:right w:val="single" w:sz="4" w:space="0" w:color="auto"/>
                  </w:tcBorders>
                  <w:shd w:val="clear" w:color="auto" w:fill="auto"/>
                  <w:noWrap/>
                  <w:vAlign w:val="center"/>
                  <w:hideMark/>
                </w:tcPr>
                <w:p w14:paraId="15E9F7CD" w14:textId="77777777" w:rsidR="006A206B" w:rsidRPr="001038EC" w:rsidRDefault="006A206B" w:rsidP="006A206B">
                  <w:pPr>
                    <w:spacing w:after="0" w:line="240" w:lineRule="auto"/>
                    <w:jc w:val="center"/>
                    <w:rPr>
                      <w:rFonts w:ascii="Calibri" w:eastAsia="Times New Roman" w:hAnsi="Calibri" w:cs="Calibri"/>
                      <w:color w:val="000000"/>
                      <w:lang w:val="en-US" w:eastAsia="sk-SK"/>
                    </w:rPr>
                  </w:pPr>
                  <w:r w:rsidRPr="001038EC">
                    <w:rPr>
                      <w:rFonts w:ascii="Calibri" w:eastAsia="Times New Roman" w:hAnsi="Calibri" w:cs="Calibri"/>
                      <w:color w:val="000000"/>
                      <w:lang w:val="en-US" w:eastAsia="sk-SK"/>
                    </w:rPr>
                    <w:t xml:space="preserve">                 1 825   </w:t>
                  </w:r>
                </w:p>
              </w:tc>
              <w:tc>
                <w:tcPr>
                  <w:tcW w:w="1845" w:type="dxa"/>
                  <w:gridSpan w:val="2"/>
                  <w:tcBorders>
                    <w:top w:val="nil"/>
                    <w:left w:val="nil"/>
                    <w:bottom w:val="single" w:sz="4" w:space="0" w:color="auto"/>
                    <w:right w:val="single" w:sz="4" w:space="0" w:color="auto"/>
                  </w:tcBorders>
                  <w:shd w:val="clear" w:color="auto" w:fill="auto"/>
                  <w:noWrap/>
                  <w:vAlign w:val="center"/>
                  <w:hideMark/>
                </w:tcPr>
                <w:p w14:paraId="4BD43736" w14:textId="77777777" w:rsidR="006A206B" w:rsidRPr="001038EC" w:rsidRDefault="006A206B" w:rsidP="006A206B">
                  <w:pPr>
                    <w:spacing w:after="0" w:line="240" w:lineRule="auto"/>
                    <w:jc w:val="center"/>
                    <w:rPr>
                      <w:rFonts w:ascii="Calibri" w:eastAsia="Times New Roman" w:hAnsi="Calibri" w:cs="Calibri"/>
                      <w:color w:val="000000"/>
                      <w:lang w:val="en-US" w:eastAsia="sk-SK"/>
                    </w:rPr>
                  </w:pPr>
                  <w:r w:rsidRPr="001038EC">
                    <w:rPr>
                      <w:rFonts w:ascii="Calibri" w:eastAsia="Times New Roman" w:hAnsi="Calibri" w:cs="Calibri"/>
                      <w:color w:val="000000"/>
                      <w:lang w:val="en-US" w:eastAsia="sk-SK"/>
                    </w:rPr>
                    <w:t xml:space="preserve">                 1 578   </w:t>
                  </w:r>
                </w:p>
              </w:tc>
            </w:tr>
            <w:tr w:rsidR="006A206B" w:rsidRPr="001038EC" w14:paraId="7AA863C4" w14:textId="77777777" w:rsidTr="007822FE">
              <w:trPr>
                <w:trHeight w:val="414"/>
              </w:trPr>
              <w:tc>
                <w:tcPr>
                  <w:tcW w:w="5020" w:type="dxa"/>
                  <w:gridSpan w:val="3"/>
                  <w:tcBorders>
                    <w:top w:val="nil"/>
                    <w:left w:val="single" w:sz="4" w:space="0" w:color="auto"/>
                    <w:bottom w:val="single" w:sz="4" w:space="0" w:color="auto"/>
                    <w:right w:val="single" w:sz="4" w:space="0" w:color="auto"/>
                  </w:tcBorders>
                  <w:shd w:val="clear" w:color="auto" w:fill="auto"/>
                  <w:vAlign w:val="center"/>
                  <w:hideMark/>
                </w:tcPr>
                <w:p w14:paraId="4B97C33D" w14:textId="2348F85C" w:rsidR="006A206B" w:rsidRPr="001038EC" w:rsidRDefault="001038EC" w:rsidP="00681FC8">
                  <w:pPr>
                    <w:spacing w:after="0" w:line="240" w:lineRule="auto"/>
                    <w:rPr>
                      <w:rFonts w:ascii="Calibri" w:eastAsia="Times New Roman" w:hAnsi="Calibri" w:cs="Calibri"/>
                      <w:bCs/>
                      <w:color w:val="000000"/>
                      <w:lang w:val="en-US" w:eastAsia="sk-SK"/>
                    </w:rPr>
                  </w:pPr>
                  <w:r w:rsidRPr="001038EC">
                    <w:rPr>
                      <w:rFonts w:ascii="Calibri" w:eastAsia="Times New Roman" w:hAnsi="Calibri" w:cs="Calibri"/>
                      <w:bCs/>
                      <w:color w:val="000000"/>
                      <w:lang w:val="en-US" w:eastAsia="sk-SK"/>
                    </w:rPr>
                    <w:t>Number of awarded contracts above thresholds</w:t>
                  </w:r>
                </w:p>
              </w:tc>
              <w:tc>
                <w:tcPr>
                  <w:tcW w:w="1840" w:type="dxa"/>
                  <w:gridSpan w:val="2"/>
                  <w:tcBorders>
                    <w:top w:val="nil"/>
                    <w:left w:val="nil"/>
                    <w:bottom w:val="single" w:sz="4" w:space="0" w:color="auto"/>
                    <w:right w:val="single" w:sz="4" w:space="0" w:color="auto"/>
                  </w:tcBorders>
                  <w:shd w:val="clear" w:color="auto" w:fill="auto"/>
                  <w:noWrap/>
                  <w:vAlign w:val="center"/>
                  <w:hideMark/>
                </w:tcPr>
                <w:p w14:paraId="1829CEC8" w14:textId="77777777" w:rsidR="006A206B" w:rsidRPr="001038EC" w:rsidRDefault="006A206B" w:rsidP="006A206B">
                  <w:pPr>
                    <w:spacing w:after="0" w:line="240" w:lineRule="auto"/>
                    <w:jc w:val="center"/>
                    <w:rPr>
                      <w:rFonts w:ascii="Calibri" w:eastAsia="Times New Roman" w:hAnsi="Calibri" w:cs="Calibri"/>
                      <w:color w:val="000000"/>
                      <w:lang w:val="en-US" w:eastAsia="sk-SK"/>
                    </w:rPr>
                  </w:pPr>
                  <w:r w:rsidRPr="001038EC">
                    <w:rPr>
                      <w:rFonts w:ascii="Calibri" w:eastAsia="Times New Roman" w:hAnsi="Calibri" w:cs="Calibri"/>
                      <w:color w:val="000000"/>
                      <w:lang w:val="en-US" w:eastAsia="sk-SK"/>
                    </w:rPr>
                    <w:t xml:space="preserve">                 1 384   </w:t>
                  </w:r>
                </w:p>
              </w:tc>
              <w:tc>
                <w:tcPr>
                  <w:tcW w:w="1840" w:type="dxa"/>
                  <w:gridSpan w:val="2"/>
                  <w:tcBorders>
                    <w:top w:val="nil"/>
                    <w:left w:val="nil"/>
                    <w:bottom w:val="single" w:sz="4" w:space="0" w:color="auto"/>
                    <w:right w:val="single" w:sz="4" w:space="0" w:color="auto"/>
                  </w:tcBorders>
                  <w:shd w:val="clear" w:color="auto" w:fill="auto"/>
                  <w:noWrap/>
                  <w:vAlign w:val="center"/>
                  <w:hideMark/>
                </w:tcPr>
                <w:p w14:paraId="16EE9D69" w14:textId="77777777" w:rsidR="006A206B" w:rsidRPr="001038EC" w:rsidRDefault="006A206B" w:rsidP="006A206B">
                  <w:pPr>
                    <w:spacing w:after="0" w:line="240" w:lineRule="auto"/>
                    <w:jc w:val="center"/>
                    <w:rPr>
                      <w:rFonts w:ascii="Calibri" w:eastAsia="Times New Roman" w:hAnsi="Calibri" w:cs="Calibri"/>
                      <w:color w:val="000000"/>
                      <w:lang w:val="en-US" w:eastAsia="sk-SK"/>
                    </w:rPr>
                  </w:pPr>
                  <w:r w:rsidRPr="001038EC">
                    <w:rPr>
                      <w:rFonts w:ascii="Calibri" w:eastAsia="Times New Roman" w:hAnsi="Calibri" w:cs="Calibri"/>
                      <w:color w:val="000000"/>
                      <w:lang w:val="en-US" w:eastAsia="sk-SK"/>
                    </w:rPr>
                    <w:t xml:space="preserve">                 1 462   </w:t>
                  </w:r>
                </w:p>
              </w:tc>
              <w:tc>
                <w:tcPr>
                  <w:tcW w:w="1845" w:type="dxa"/>
                  <w:gridSpan w:val="2"/>
                  <w:tcBorders>
                    <w:top w:val="nil"/>
                    <w:left w:val="nil"/>
                    <w:bottom w:val="single" w:sz="4" w:space="0" w:color="auto"/>
                    <w:right w:val="single" w:sz="4" w:space="0" w:color="auto"/>
                  </w:tcBorders>
                  <w:shd w:val="clear" w:color="auto" w:fill="auto"/>
                  <w:noWrap/>
                  <w:vAlign w:val="center"/>
                  <w:hideMark/>
                </w:tcPr>
                <w:p w14:paraId="5B1974F3" w14:textId="77777777" w:rsidR="006A206B" w:rsidRPr="001038EC" w:rsidRDefault="006A206B" w:rsidP="006A206B">
                  <w:pPr>
                    <w:spacing w:after="0" w:line="240" w:lineRule="auto"/>
                    <w:jc w:val="center"/>
                    <w:rPr>
                      <w:rFonts w:ascii="Calibri" w:eastAsia="Times New Roman" w:hAnsi="Calibri" w:cs="Calibri"/>
                      <w:color w:val="000000"/>
                      <w:lang w:val="en-US" w:eastAsia="sk-SK"/>
                    </w:rPr>
                  </w:pPr>
                  <w:r w:rsidRPr="001038EC">
                    <w:rPr>
                      <w:rFonts w:ascii="Calibri" w:eastAsia="Times New Roman" w:hAnsi="Calibri" w:cs="Calibri"/>
                      <w:color w:val="000000"/>
                      <w:lang w:val="en-US" w:eastAsia="sk-SK"/>
                    </w:rPr>
                    <w:t xml:space="preserve">                 1 582   </w:t>
                  </w:r>
                </w:p>
              </w:tc>
            </w:tr>
            <w:tr w:rsidR="006A206B" w:rsidRPr="001038EC" w14:paraId="12F33835" w14:textId="77777777" w:rsidTr="007822FE">
              <w:trPr>
                <w:trHeight w:val="420"/>
              </w:trPr>
              <w:tc>
                <w:tcPr>
                  <w:tcW w:w="5020" w:type="dxa"/>
                  <w:gridSpan w:val="3"/>
                  <w:tcBorders>
                    <w:top w:val="nil"/>
                    <w:left w:val="single" w:sz="4" w:space="0" w:color="auto"/>
                    <w:bottom w:val="single" w:sz="4" w:space="0" w:color="auto"/>
                    <w:right w:val="single" w:sz="4" w:space="0" w:color="auto"/>
                  </w:tcBorders>
                  <w:shd w:val="clear" w:color="auto" w:fill="auto"/>
                  <w:vAlign w:val="center"/>
                  <w:hideMark/>
                </w:tcPr>
                <w:p w14:paraId="29086013" w14:textId="416C9619" w:rsidR="006A206B" w:rsidRPr="001038EC" w:rsidRDefault="001038EC" w:rsidP="00681FC8">
                  <w:pPr>
                    <w:spacing w:after="0" w:line="240" w:lineRule="auto"/>
                    <w:rPr>
                      <w:rFonts w:ascii="Calibri" w:eastAsia="Times New Roman" w:hAnsi="Calibri" w:cs="Calibri"/>
                      <w:bCs/>
                      <w:color w:val="000000"/>
                      <w:lang w:val="en-US" w:eastAsia="sk-SK"/>
                    </w:rPr>
                  </w:pPr>
                  <w:r w:rsidRPr="001038EC">
                    <w:rPr>
                      <w:rFonts w:ascii="Calibri" w:eastAsia="Times New Roman" w:hAnsi="Calibri" w:cs="Calibri"/>
                      <w:bCs/>
                      <w:color w:val="000000"/>
                      <w:lang w:val="en-US" w:eastAsia="sk-SK"/>
                    </w:rPr>
                    <w:t>Number of awarded contracts below thresholds</w:t>
                  </w:r>
                  <w:r w:rsidR="006A206B" w:rsidRPr="001038EC">
                    <w:rPr>
                      <w:rFonts w:ascii="Calibri" w:eastAsia="Times New Roman" w:hAnsi="Calibri" w:cs="Calibri"/>
                      <w:bCs/>
                      <w:color w:val="000000"/>
                      <w:lang w:val="en-US" w:eastAsia="sk-SK"/>
                    </w:rPr>
                    <w:t xml:space="preserve"> </w:t>
                  </w:r>
                </w:p>
              </w:tc>
              <w:tc>
                <w:tcPr>
                  <w:tcW w:w="1840" w:type="dxa"/>
                  <w:gridSpan w:val="2"/>
                  <w:tcBorders>
                    <w:top w:val="nil"/>
                    <w:left w:val="nil"/>
                    <w:bottom w:val="single" w:sz="4" w:space="0" w:color="auto"/>
                    <w:right w:val="single" w:sz="4" w:space="0" w:color="auto"/>
                  </w:tcBorders>
                  <w:shd w:val="clear" w:color="auto" w:fill="auto"/>
                  <w:noWrap/>
                  <w:vAlign w:val="center"/>
                  <w:hideMark/>
                </w:tcPr>
                <w:p w14:paraId="415A74C5" w14:textId="77777777" w:rsidR="006A206B" w:rsidRPr="001038EC" w:rsidRDefault="006A206B" w:rsidP="006A206B">
                  <w:pPr>
                    <w:spacing w:after="0" w:line="240" w:lineRule="auto"/>
                    <w:jc w:val="center"/>
                    <w:rPr>
                      <w:rFonts w:ascii="Calibri" w:eastAsia="Times New Roman" w:hAnsi="Calibri" w:cs="Calibri"/>
                      <w:color w:val="000000"/>
                      <w:lang w:val="en-US" w:eastAsia="sk-SK"/>
                    </w:rPr>
                  </w:pPr>
                  <w:r w:rsidRPr="001038EC">
                    <w:rPr>
                      <w:rFonts w:ascii="Calibri" w:eastAsia="Times New Roman" w:hAnsi="Calibri" w:cs="Calibri"/>
                      <w:color w:val="000000"/>
                      <w:lang w:val="en-US" w:eastAsia="sk-SK"/>
                    </w:rPr>
                    <w:t xml:space="preserve">                 1 778   </w:t>
                  </w:r>
                </w:p>
              </w:tc>
              <w:tc>
                <w:tcPr>
                  <w:tcW w:w="1840" w:type="dxa"/>
                  <w:gridSpan w:val="2"/>
                  <w:tcBorders>
                    <w:top w:val="nil"/>
                    <w:left w:val="nil"/>
                    <w:bottom w:val="single" w:sz="4" w:space="0" w:color="auto"/>
                    <w:right w:val="single" w:sz="4" w:space="0" w:color="auto"/>
                  </w:tcBorders>
                  <w:shd w:val="clear" w:color="auto" w:fill="auto"/>
                  <w:noWrap/>
                  <w:vAlign w:val="center"/>
                  <w:hideMark/>
                </w:tcPr>
                <w:p w14:paraId="463E886D" w14:textId="77777777" w:rsidR="006A206B" w:rsidRPr="001038EC" w:rsidRDefault="006A206B" w:rsidP="006A206B">
                  <w:pPr>
                    <w:spacing w:after="0" w:line="240" w:lineRule="auto"/>
                    <w:jc w:val="center"/>
                    <w:rPr>
                      <w:rFonts w:ascii="Calibri" w:eastAsia="Times New Roman" w:hAnsi="Calibri" w:cs="Calibri"/>
                      <w:color w:val="000000"/>
                      <w:lang w:val="en-US" w:eastAsia="sk-SK"/>
                    </w:rPr>
                  </w:pPr>
                  <w:r w:rsidRPr="001038EC">
                    <w:rPr>
                      <w:rFonts w:ascii="Calibri" w:eastAsia="Times New Roman" w:hAnsi="Calibri" w:cs="Calibri"/>
                      <w:color w:val="000000"/>
                      <w:lang w:val="en-US" w:eastAsia="sk-SK"/>
                    </w:rPr>
                    <w:t xml:space="preserve">                 1 399   </w:t>
                  </w:r>
                </w:p>
              </w:tc>
              <w:tc>
                <w:tcPr>
                  <w:tcW w:w="1845" w:type="dxa"/>
                  <w:gridSpan w:val="2"/>
                  <w:tcBorders>
                    <w:top w:val="nil"/>
                    <w:left w:val="nil"/>
                    <w:bottom w:val="single" w:sz="4" w:space="0" w:color="auto"/>
                    <w:right w:val="single" w:sz="4" w:space="0" w:color="auto"/>
                  </w:tcBorders>
                  <w:shd w:val="clear" w:color="auto" w:fill="auto"/>
                  <w:noWrap/>
                  <w:vAlign w:val="center"/>
                  <w:hideMark/>
                </w:tcPr>
                <w:p w14:paraId="680495C9" w14:textId="77777777" w:rsidR="006A206B" w:rsidRPr="001038EC" w:rsidRDefault="006A206B" w:rsidP="006A206B">
                  <w:pPr>
                    <w:spacing w:after="0" w:line="240" w:lineRule="auto"/>
                    <w:jc w:val="center"/>
                    <w:rPr>
                      <w:rFonts w:ascii="Calibri" w:eastAsia="Times New Roman" w:hAnsi="Calibri" w:cs="Calibri"/>
                      <w:color w:val="000000"/>
                      <w:lang w:val="en-US" w:eastAsia="sk-SK"/>
                    </w:rPr>
                  </w:pPr>
                  <w:r w:rsidRPr="001038EC">
                    <w:rPr>
                      <w:rFonts w:ascii="Calibri" w:eastAsia="Times New Roman" w:hAnsi="Calibri" w:cs="Calibri"/>
                      <w:color w:val="000000"/>
                      <w:lang w:val="en-US" w:eastAsia="sk-SK"/>
                    </w:rPr>
                    <w:t xml:space="preserve">                 1 198   </w:t>
                  </w:r>
                </w:p>
              </w:tc>
            </w:tr>
            <w:tr w:rsidR="006A206B" w:rsidRPr="001038EC" w14:paraId="68B84EC8" w14:textId="77777777" w:rsidTr="00454AC2">
              <w:trPr>
                <w:trHeight w:val="315"/>
              </w:trPr>
              <w:tc>
                <w:tcPr>
                  <w:tcW w:w="5020" w:type="dxa"/>
                  <w:gridSpan w:val="3"/>
                  <w:tcBorders>
                    <w:top w:val="nil"/>
                    <w:left w:val="nil"/>
                    <w:bottom w:val="nil"/>
                    <w:right w:val="nil"/>
                  </w:tcBorders>
                  <w:shd w:val="clear" w:color="auto" w:fill="auto"/>
                  <w:vAlign w:val="center"/>
                  <w:hideMark/>
                </w:tcPr>
                <w:p w14:paraId="6E71F3EF" w14:textId="207EC562" w:rsidR="006A206B" w:rsidRPr="001038EC" w:rsidRDefault="001038EC" w:rsidP="006A206B">
                  <w:pPr>
                    <w:spacing w:after="0" w:line="240" w:lineRule="auto"/>
                    <w:rPr>
                      <w:rFonts w:ascii="Calibri" w:eastAsia="Times New Roman" w:hAnsi="Calibri" w:cs="Calibri"/>
                      <w:color w:val="000000"/>
                      <w:lang w:val="en-US" w:eastAsia="sk-SK"/>
                    </w:rPr>
                  </w:pPr>
                  <w:r w:rsidRPr="001038EC">
                    <w:rPr>
                      <w:rFonts w:ascii="Calibri" w:eastAsia="Times New Roman" w:hAnsi="Calibri" w:cs="Calibri"/>
                      <w:color w:val="000000"/>
                      <w:lang w:val="en-US" w:eastAsia="sk-SK"/>
                    </w:rPr>
                    <w:t>* w/o concessions and design competitions</w:t>
                  </w:r>
                </w:p>
                <w:p w14:paraId="17C00A38" w14:textId="011F5E9E" w:rsidR="0053069E" w:rsidRPr="001038EC" w:rsidRDefault="0053069E" w:rsidP="0053069E">
                  <w:pPr>
                    <w:spacing w:after="0" w:line="240" w:lineRule="auto"/>
                    <w:rPr>
                      <w:rFonts w:ascii="Calibri" w:eastAsia="Times New Roman" w:hAnsi="Calibri" w:cs="Calibri"/>
                      <w:color w:val="000000"/>
                      <w:lang w:val="en-US" w:eastAsia="sk-SK"/>
                    </w:rPr>
                  </w:pPr>
                </w:p>
              </w:tc>
              <w:tc>
                <w:tcPr>
                  <w:tcW w:w="1840" w:type="dxa"/>
                  <w:gridSpan w:val="2"/>
                  <w:tcBorders>
                    <w:top w:val="nil"/>
                    <w:left w:val="nil"/>
                    <w:bottom w:val="nil"/>
                    <w:right w:val="nil"/>
                  </w:tcBorders>
                  <w:shd w:val="clear" w:color="auto" w:fill="auto"/>
                  <w:noWrap/>
                  <w:vAlign w:val="bottom"/>
                  <w:hideMark/>
                </w:tcPr>
                <w:p w14:paraId="3D54CC54" w14:textId="77777777" w:rsidR="006A206B" w:rsidRPr="001038EC" w:rsidRDefault="006A206B" w:rsidP="006A206B">
                  <w:pPr>
                    <w:spacing w:after="0" w:line="240" w:lineRule="auto"/>
                    <w:rPr>
                      <w:rFonts w:ascii="Calibri" w:eastAsia="Times New Roman" w:hAnsi="Calibri" w:cs="Calibri"/>
                      <w:color w:val="000000"/>
                      <w:lang w:val="en-US" w:eastAsia="sk-SK"/>
                    </w:rPr>
                  </w:pPr>
                </w:p>
              </w:tc>
              <w:tc>
                <w:tcPr>
                  <w:tcW w:w="1840" w:type="dxa"/>
                  <w:gridSpan w:val="2"/>
                  <w:tcBorders>
                    <w:top w:val="nil"/>
                    <w:left w:val="nil"/>
                    <w:bottom w:val="nil"/>
                    <w:right w:val="nil"/>
                  </w:tcBorders>
                  <w:shd w:val="clear" w:color="auto" w:fill="auto"/>
                  <w:noWrap/>
                  <w:vAlign w:val="bottom"/>
                  <w:hideMark/>
                </w:tcPr>
                <w:p w14:paraId="792F7F04" w14:textId="77777777" w:rsidR="006A206B" w:rsidRPr="001038EC" w:rsidRDefault="006A206B" w:rsidP="006A206B">
                  <w:pPr>
                    <w:spacing w:after="0" w:line="240" w:lineRule="auto"/>
                    <w:rPr>
                      <w:rFonts w:ascii="Times New Roman" w:eastAsia="Times New Roman" w:hAnsi="Times New Roman" w:cs="Times New Roman"/>
                      <w:lang w:val="en-US" w:eastAsia="sk-SK"/>
                    </w:rPr>
                  </w:pPr>
                </w:p>
              </w:tc>
              <w:tc>
                <w:tcPr>
                  <w:tcW w:w="1845" w:type="dxa"/>
                  <w:gridSpan w:val="2"/>
                  <w:tcBorders>
                    <w:top w:val="nil"/>
                    <w:left w:val="nil"/>
                    <w:bottom w:val="nil"/>
                    <w:right w:val="nil"/>
                  </w:tcBorders>
                  <w:shd w:val="clear" w:color="auto" w:fill="auto"/>
                  <w:noWrap/>
                  <w:vAlign w:val="bottom"/>
                  <w:hideMark/>
                </w:tcPr>
                <w:p w14:paraId="2E28A7C0" w14:textId="77777777" w:rsidR="006A206B" w:rsidRPr="001038EC" w:rsidRDefault="006A206B" w:rsidP="006A206B">
                  <w:pPr>
                    <w:spacing w:after="0" w:line="240" w:lineRule="auto"/>
                    <w:rPr>
                      <w:rFonts w:ascii="Times New Roman" w:eastAsia="Times New Roman" w:hAnsi="Times New Roman" w:cs="Times New Roman"/>
                      <w:lang w:val="en-US" w:eastAsia="sk-SK"/>
                    </w:rPr>
                  </w:pPr>
                </w:p>
              </w:tc>
            </w:tr>
            <w:tr w:rsidR="00454AC2" w:rsidRPr="001038EC" w14:paraId="5E2D0B79" w14:textId="77777777" w:rsidTr="00454AC2">
              <w:trPr>
                <w:gridAfter w:val="1"/>
                <w:wAfter w:w="1445" w:type="dxa"/>
                <w:trHeight w:val="300"/>
              </w:trPr>
              <w:tc>
                <w:tcPr>
                  <w:tcW w:w="2980" w:type="dxa"/>
                  <w:tcBorders>
                    <w:top w:val="single" w:sz="4" w:space="0" w:color="auto"/>
                    <w:left w:val="single" w:sz="4" w:space="0" w:color="auto"/>
                    <w:bottom w:val="single" w:sz="4" w:space="0" w:color="auto"/>
                    <w:right w:val="single" w:sz="4" w:space="0" w:color="auto"/>
                  </w:tcBorders>
                  <w:shd w:val="clear" w:color="000000" w:fill="002060"/>
                  <w:noWrap/>
                  <w:vAlign w:val="bottom"/>
                  <w:hideMark/>
                </w:tcPr>
                <w:p w14:paraId="16436CF7" w14:textId="77777777" w:rsidR="00454AC2" w:rsidRPr="001038EC" w:rsidRDefault="00454AC2" w:rsidP="00454AC2">
                  <w:pPr>
                    <w:spacing w:after="0" w:line="240" w:lineRule="auto"/>
                    <w:jc w:val="center"/>
                    <w:rPr>
                      <w:rFonts w:ascii="Calibri" w:eastAsia="Times New Roman" w:hAnsi="Calibri" w:cs="Calibri"/>
                      <w:b/>
                      <w:bCs/>
                      <w:color w:val="FFFFFF"/>
                      <w:lang w:val="en-US" w:eastAsia="sk-SK"/>
                    </w:rPr>
                  </w:pPr>
                  <w:r w:rsidRPr="001038EC">
                    <w:rPr>
                      <w:rFonts w:ascii="Calibri" w:eastAsia="Times New Roman" w:hAnsi="Calibri" w:cs="Calibri"/>
                      <w:b/>
                      <w:bCs/>
                      <w:color w:val="FFFFFF"/>
                      <w:lang w:val="en-US" w:eastAsia="sk-SK"/>
                    </w:rPr>
                    <w:t> </w:t>
                  </w:r>
                </w:p>
              </w:tc>
              <w:tc>
                <w:tcPr>
                  <w:tcW w:w="1720" w:type="dxa"/>
                  <w:tcBorders>
                    <w:top w:val="single" w:sz="4" w:space="0" w:color="auto"/>
                    <w:left w:val="nil"/>
                    <w:bottom w:val="single" w:sz="4" w:space="0" w:color="auto"/>
                    <w:right w:val="single" w:sz="4" w:space="0" w:color="auto"/>
                  </w:tcBorders>
                  <w:shd w:val="clear" w:color="000000" w:fill="002060"/>
                  <w:noWrap/>
                  <w:vAlign w:val="bottom"/>
                  <w:hideMark/>
                </w:tcPr>
                <w:p w14:paraId="33B7F1DC" w14:textId="77777777" w:rsidR="00454AC2" w:rsidRPr="001038EC" w:rsidRDefault="00454AC2" w:rsidP="00454AC2">
                  <w:pPr>
                    <w:spacing w:after="0" w:line="240" w:lineRule="auto"/>
                    <w:jc w:val="center"/>
                    <w:rPr>
                      <w:rFonts w:ascii="Calibri" w:eastAsia="Times New Roman" w:hAnsi="Calibri" w:cs="Calibri"/>
                      <w:b/>
                      <w:bCs/>
                      <w:color w:val="FFFFFF"/>
                      <w:lang w:val="en-US" w:eastAsia="sk-SK"/>
                    </w:rPr>
                  </w:pPr>
                  <w:r w:rsidRPr="001038EC">
                    <w:rPr>
                      <w:rFonts w:ascii="Calibri" w:eastAsia="Times New Roman" w:hAnsi="Calibri" w:cs="Calibri"/>
                      <w:b/>
                      <w:bCs/>
                      <w:color w:val="FFFFFF"/>
                      <w:lang w:val="en-US" w:eastAsia="sk-SK"/>
                    </w:rPr>
                    <w:t>2018</w:t>
                  </w:r>
                </w:p>
              </w:tc>
              <w:tc>
                <w:tcPr>
                  <w:tcW w:w="1720" w:type="dxa"/>
                  <w:gridSpan w:val="2"/>
                  <w:tcBorders>
                    <w:top w:val="single" w:sz="4" w:space="0" w:color="auto"/>
                    <w:left w:val="nil"/>
                    <w:bottom w:val="single" w:sz="4" w:space="0" w:color="auto"/>
                    <w:right w:val="single" w:sz="4" w:space="0" w:color="auto"/>
                  </w:tcBorders>
                  <w:shd w:val="clear" w:color="000000" w:fill="002060"/>
                  <w:noWrap/>
                  <w:vAlign w:val="bottom"/>
                  <w:hideMark/>
                </w:tcPr>
                <w:p w14:paraId="32C64C41" w14:textId="77777777" w:rsidR="00454AC2" w:rsidRPr="001038EC" w:rsidRDefault="00454AC2" w:rsidP="00454AC2">
                  <w:pPr>
                    <w:spacing w:after="0" w:line="240" w:lineRule="auto"/>
                    <w:jc w:val="center"/>
                    <w:rPr>
                      <w:rFonts w:ascii="Calibri" w:eastAsia="Times New Roman" w:hAnsi="Calibri" w:cs="Calibri"/>
                      <w:b/>
                      <w:bCs/>
                      <w:color w:val="FFFFFF"/>
                      <w:lang w:val="en-US" w:eastAsia="sk-SK"/>
                    </w:rPr>
                  </w:pPr>
                  <w:r w:rsidRPr="001038EC">
                    <w:rPr>
                      <w:rFonts w:ascii="Calibri" w:eastAsia="Times New Roman" w:hAnsi="Calibri" w:cs="Calibri"/>
                      <w:b/>
                      <w:bCs/>
                      <w:color w:val="FFFFFF"/>
                      <w:lang w:val="en-US" w:eastAsia="sk-SK"/>
                    </w:rPr>
                    <w:t>2019</w:t>
                  </w:r>
                </w:p>
              </w:tc>
              <w:tc>
                <w:tcPr>
                  <w:tcW w:w="1720" w:type="dxa"/>
                  <w:gridSpan w:val="2"/>
                  <w:tcBorders>
                    <w:top w:val="single" w:sz="4" w:space="0" w:color="auto"/>
                    <w:left w:val="nil"/>
                    <w:bottom w:val="single" w:sz="4" w:space="0" w:color="auto"/>
                    <w:right w:val="single" w:sz="4" w:space="0" w:color="auto"/>
                  </w:tcBorders>
                  <w:shd w:val="clear" w:color="000000" w:fill="002060"/>
                  <w:noWrap/>
                  <w:vAlign w:val="bottom"/>
                  <w:hideMark/>
                </w:tcPr>
                <w:p w14:paraId="7C683074" w14:textId="77777777" w:rsidR="00454AC2" w:rsidRPr="001038EC" w:rsidRDefault="00454AC2" w:rsidP="00454AC2">
                  <w:pPr>
                    <w:spacing w:after="0" w:line="240" w:lineRule="auto"/>
                    <w:jc w:val="center"/>
                    <w:rPr>
                      <w:rFonts w:ascii="Calibri" w:eastAsia="Times New Roman" w:hAnsi="Calibri" w:cs="Calibri"/>
                      <w:b/>
                      <w:bCs/>
                      <w:color w:val="FFFFFF"/>
                      <w:lang w:val="en-US" w:eastAsia="sk-SK"/>
                    </w:rPr>
                  </w:pPr>
                  <w:r w:rsidRPr="001038EC">
                    <w:rPr>
                      <w:rFonts w:ascii="Calibri" w:eastAsia="Times New Roman" w:hAnsi="Calibri" w:cs="Calibri"/>
                      <w:b/>
                      <w:bCs/>
                      <w:color w:val="FFFFFF"/>
                      <w:lang w:val="en-US" w:eastAsia="sk-SK"/>
                    </w:rPr>
                    <w:t>2020</w:t>
                  </w:r>
                </w:p>
              </w:tc>
              <w:tc>
                <w:tcPr>
                  <w:tcW w:w="960" w:type="dxa"/>
                  <w:gridSpan w:val="2"/>
                  <w:tcBorders>
                    <w:top w:val="nil"/>
                    <w:left w:val="nil"/>
                    <w:bottom w:val="nil"/>
                    <w:right w:val="nil"/>
                  </w:tcBorders>
                  <w:shd w:val="clear" w:color="auto" w:fill="auto"/>
                  <w:noWrap/>
                  <w:vAlign w:val="bottom"/>
                  <w:hideMark/>
                </w:tcPr>
                <w:p w14:paraId="4417BFFC" w14:textId="77777777" w:rsidR="00454AC2" w:rsidRPr="001038EC" w:rsidRDefault="00454AC2" w:rsidP="00454AC2">
                  <w:pPr>
                    <w:spacing w:after="0" w:line="240" w:lineRule="auto"/>
                    <w:jc w:val="center"/>
                    <w:rPr>
                      <w:rFonts w:ascii="Calibri" w:eastAsia="Times New Roman" w:hAnsi="Calibri" w:cs="Calibri"/>
                      <w:b/>
                      <w:bCs/>
                      <w:color w:val="FFFFFF"/>
                      <w:lang w:val="en-US" w:eastAsia="sk-SK"/>
                    </w:rPr>
                  </w:pPr>
                </w:p>
              </w:tc>
            </w:tr>
            <w:tr w:rsidR="00454AC2" w:rsidRPr="001038EC" w14:paraId="04524BF0" w14:textId="77777777" w:rsidTr="00454AC2">
              <w:trPr>
                <w:gridAfter w:val="1"/>
                <w:wAfter w:w="1445" w:type="dxa"/>
                <w:trHeight w:val="600"/>
              </w:trPr>
              <w:tc>
                <w:tcPr>
                  <w:tcW w:w="2980" w:type="dxa"/>
                  <w:tcBorders>
                    <w:top w:val="nil"/>
                    <w:left w:val="single" w:sz="4" w:space="0" w:color="auto"/>
                    <w:bottom w:val="single" w:sz="4" w:space="0" w:color="auto"/>
                    <w:right w:val="single" w:sz="4" w:space="0" w:color="auto"/>
                  </w:tcBorders>
                  <w:shd w:val="clear" w:color="auto" w:fill="auto"/>
                  <w:vAlign w:val="center"/>
                  <w:hideMark/>
                </w:tcPr>
                <w:p w14:paraId="011E1480" w14:textId="1D2118BF" w:rsidR="00454AC2" w:rsidRPr="001038EC" w:rsidRDefault="001038EC" w:rsidP="001038EC">
                  <w:pPr>
                    <w:spacing w:after="0" w:line="240" w:lineRule="auto"/>
                    <w:jc w:val="right"/>
                    <w:rPr>
                      <w:rFonts w:ascii="Calibri" w:eastAsia="Times New Roman" w:hAnsi="Calibri" w:cs="Calibri"/>
                      <w:color w:val="000000"/>
                      <w:lang w:val="en-US" w:eastAsia="sk-SK"/>
                    </w:rPr>
                  </w:pPr>
                  <w:r w:rsidRPr="001038EC">
                    <w:rPr>
                      <w:rFonts w:ascii="Calibri" w:eastAsia="Times New Roman" w:hAnsi="Calibri" w:cs="Calibri"/>
                      <w:color w:val="000000"/>
                      <w:lang w:val="en-US" w:eastAsia="sk-SK"/>
                    </w:rPr>
                    <w:t>Number of awarded contracts below thresholds via</w:t>
                  </w:r>
                  <w:r w:rsidR="00454AC2" w:rsidRPr="001038EC">
                    <w:rPr>
                      <w:rFonts w:ascii="Calibri" w:eastAsia="Times New Roman" w:hAnsi="Calibri" w:cs="Calibri"/>
                      <w:color w:val="000000"/>
                      <w:lang w:val="en-US" w:eastAsia="sk-SK"/>
                    </w:rPr>
                    <w:t xml:space="preserve"> E</w:t>
                  </w:r>
                  <w:r w:rsidRPr="001038EC">
                    <w:rPr>
                      <w:rFonts w:ascii="Calibri" w:eastAsia="Times New Roman" w:hAnsi="Calibri" w:cs="Calibri"/>
                      <w:color w:val="000000"/>
                      <w:lang w:val="en-US" w:eastAsia="sk-SK"/>
                    </w:rPr>
                    <w:t>lectronic contract system</w:t>
                  </w:r>
                </w:p>
              </w:tc>
              <w:tc>
                <w:tcPr>
                  <w:tcW w:w="1720" w:type="dxa"/>
                  <w:tcBorders>
                    <w:top w:val="nil"/>
                    <w:left w:val="nil"/>
                    <w:bottom w:val="single" w:sz="4" w:space="0" w:color="auto"/>
                    <w:right w:val="single" w:sz="4" w:space="0" w:color="auto"/>
                  </w:tcBorders>
                  <w:shd w:val="clear" w:color="auto" w:fill="auto"/>
                  <w:noWrap/>
                  <w:vAlign w:val="center"/>
                  <w:hideMark/>
                </w:tcPr>
                <w:p w14:paraId="7A05296B" w14:textId="0FBB8F0C" w:rsidR="00454AC2" w:rsidRPr="001038EC" w:rsidRDefault="00454AC2" w:rsidP="00454AC2">
                  <w:pPr>
                    <w:spacing w:after="0" w:line="240" w:lineRule="auto"/>
                    <w:rPr>
                      <w:rFonts w:ascii="Calibri" w:eastAsia="Times New Roman" w:hAnsi="Calibri" w:cs="Calibri"/>
                      <w:color w:val="000000"/>
                      <w:lang w:val="en-US" w:eastAsia="sk-SK"/>
                    </w:rPr>
                  </w:pPr>
                  <w:r w:rsidRPr="001038EC">
                    <w:rPr>
                      <w:rFonts w:ascii="Calibri" w:eastAsia="Times New Roman" w:hAnsi="Calibri" w:cs="Calibri"/>
                      <w:color w:val="000000"/>
                      <w:lang w:val="en-US" w:eastAsia="sk-SK"/>
                    </w:rPr>
                    <w:t xml:space="preserve">                 20 742   </w:t>
                  </w:r>
                </w:p>
              </w:tc>
              <w:tc>
                <w:tcPr>
                  <w:tcW w:w="1720" w:type="dxa"/>
                  <w:gridSpan w:val="2"/>
                  <w:tcBorders>
                    <w:top w:val="nil"/>
                    <w:left w:val="nil"/>
                    <w:bottom w:val="single" w:sz="4" w:space="0" w:color="auto"/>
                    <w:right w:val="single" w:sz="4" w:space="0" w:color="auto"/>
                  </w:tcBorders>
                  <w:shd w:val="clear" w:color="auto" w:fill="auto"/>
                  <w:noWrap/>
                  <w:vAlign w:val="center"/>
                  <w:hideMark/>
                </w:tcPr>
                <w:p w14:paraId="3312F38C" w14:textId="2AC43B05" w:rsidR="00454AC2" w:rsidRPr="001038EC" w:rsidRDefault="00454AC2" w:rsidP="00454AC2">
                  <w:pPr>
                    <w:spacing w:after="0" w:line="240" w:lineRule="auto"/>
                    <w:rPr>
                      <w:rFonts w:ascii="Calibri" w:eastAsia="Times New Roman" w:hAnsi="Calibri" w:cs="Calibri"/>
                      <w:color w:val="000000"/>
                      <w:lang w:val="en-US" w:eastAsia="sk-SK"/>
                    </w:rPr>
                  </w:pPr>
                  <w:r w:rsidRPr="001038EC">
                    <w:rPr>
                      <w:rFonts w:ascii="Calibri" w:eastAsia="Times New Roman" w:hAnsi="Calibri" w:cs="Calibri"/>
                      <w:color w:val="000000"/>
                      <w:lang w:val="en-US" w:eastAsia="sk-SK"/>
                    </w:rPr>
                    <w:t xml:space="preserve">                 16 186   </w:t>
                  </w:r>
                </w:p>
              </w:tc>
              <w:tc>
                <w:tcPr>
                  <w:tcW w:w="1720" w:type="dxa"/>
                  <w:gridSpan w:val="2"/>
                  <w:tcBorders>
                    <w:top w:val="nil"/>
                    <w:left w:val="nil"/>
                    <w:bottom w:val="single" w:sz="4" w:space="0" w:color="auto"/>
                    <w:right w:val="single" w:sz="4" w:space="0" w:color="auto"/>
                  </w:tcBorders>
                  <w:shd w:val="clear" w:color="auto" w:fill="auto"/>
                  <w:noWrap/>
                  <w:vAlign w:val="center"/>
                  <w:hideMark/>
                </w:tcPr>
                <w:p w14:paraId="791602AB" w14:textId="3A16E1C2" w:rsidR="00454AC2" w:rsidRPr="001038EC" w:rsidRDefault="00454AC2" w:rsidP="00454AC2">
                  <w:pPr>
                    <w:spacing w:after="0" w:line="240" w:lineRule="auto"/>
                    <w:rPr>
                      <w:rFonts w:ascii="Calibri" w:eastAsia="Times New Roman" w:hAnsi="Calibri" w:cs="Calibri"/>
                      <w:color w:val="000000"/>
                      <w:lang w:val="en-US" w:eastAsia="sk-SK"/>
                    </w:rPr>
                  </w:pPr>
                  <w:r w:rsidRPr="001038EC">
                    <w:rPr>
                      <w:rFonts w:ascii="Calibri" w:eastAsia="Times New Roman" w:hAnsi="Calibri" w:cs="Calibri"/>
                      <w:color w:val="000000"/>
                      <w:lang w:val="en-US" w:eastAsia="sk-SK"/>
                    </w:rPr>
                    <w:t xml:space="preserve">                 15 379   </w:t>
                  </w:r>
                </w:p>
              </w:tc>
              <w:tc>
                <w:tcPr>
                  <w:tcW w:w="960" w:type="dxa"/>
                  <w:gridSpan w:val="2"/>
                  <w:tcBorders>
                    <w:top w:val="nil"/>
                    <w:left w:val="nil"/>
                    <w:bottom w:val="nil"/>
                    <w:right w:val="nil"/>
                  </w:tcBorders>
                  <w:shd w:val="clear" w:color="auto" w:fill="auto"/>
                  <w:noWrap/>
                  <w:vAlign w:val="bottom"/>
                  <w:hideMark/>
                </w:tcPr>
                <w:p w14:paraId="5C715EE5" w14:textId="77777777" w:rsidR="00454AC2" w:rsidRPr="001038EC" w:rsidRDefault="00454AC2" w:rsidP="00454AC2">
                  <w:pPr>
                    <w:spacing w:after="0" w:line="240" w:lineRule="auto"/>
                    <w:rPr>
                      <w:rFonts w:ascii="Calibri" w:eastAsia="Times New Roman" w:hAnsi="Calibri" w:cs="Calibri"/>
                      <w:color w:val="000000"/>
                      <w:lang w:val="en-US" w:eastAsia="sk-SK"/>
                    </w:rPr>
                  </w:pPr>
                </w:p>
              </w:tc>
            </w:tr>
            <w:tr w:rsidR="00454AC2" w:rsidRPr="00454AC2" w14:paraId="528CF397" w14:textId="77777777" w:rsidTr="00454AC2">
              <w:trPr>
                <w:gridAfter w:val="1"/>
                <w:wAfter w:w="1445" w:type="dxa"/>
                <w:trHeight w:val="315"/>
              </w:trPr>
              <w:tc>
                <w:tcPr>
                  <w:tcW w:w="9100" w:type="dxa"/>
                  <w:gridSpan w:val="8"/>
                  <w:tcBorders>
                    <w:top w:val="nil"/>
                    <w:left w:val="nil"/>
                    <w:bottom w:val="nil"/>
                    <w:right w:val="nil"/>
                  </w:tcBorders>
                  <w:shd w:val="clear" w:color="auto" w:fill="auto"/>
                  <w:noWrap/>
                  <w:vAlign w:val="center"/>
                  <w:hideMark/>
                </w:tcPr>
                <w:p w14:paraId="6437FA5F" w14:textId="0DB13BCB" w:rsidR="00454AC2" w:rsidRPr="00454AC2" w:rsidRDefault="00454AC2" w:rsidP="00454AC2">
                  <w:pPr>
                    <w:spacing w:after="0" w:line="240" w:lineRule="auto"/>
                    <w:rPr>
                      <w:rFonts w:ascii="Calibri" w:eastAsia="Times New Roman" w:hAnsi="Calibri" w:cs="Calibri"/>
                      <w:color w:val="000000"/>
                      <w:lang w:val="sk-SK" w:eastAsia="sk-SK"/>
                    </w:rPr>
                  </w:pPr>
                </w:p>
              </w:tc>
            </w:tr>
          </w:tbl>
          <w:p w14:paraId="4831991E" w14:textId="261E7426" w:rsidR="00343110" w:rsidRPr="00AD6737" w:rsidRDefault="00343110" w:rsidP="006A206B">
            <w:pPr>
              <w:pStyle w:val="Bezriadkovania"/>
              <w:ind w:left="360"/>
              <w:jc w:val="both"/>
            </w:pPr>
          </w:p>
        </w:tc>
      </w:tr>
      <w:tr w:rsidR="003F660D" w:rsidRPr="00B01372" w14:paraId="277A2679" w14:textId="344A3042" w:rsidTr="006A206B">
        <w:trPr>
          <w:trHeight w:val="2352"/>
        </w:trPr>
        <w:tc>
          <w:tcPr>
            <w:tcW w:w="1633" w:type="pct"/>
          </w:tcPr>
          <w:p w14:paraId="70AFE892" w14:textId="77CF9CB7" w:rsidR="003F660D" w:rsidRPr="00526795" w:rsidRDefault="0038784C" w:rsidP="006600FE">
            <w:pPr>
              <w:rPr>
                <w:b/>
                <w:sz w:val="24"/>
                <w:szCs w:val="24"/>
                <w:lang w:val="en-US"/>
              </w:rPr>
            </w:pPr>
            <w:r w:rsidRPr="00526795">
              <w:rPr>
                <w:b/>
                <w:sz w:val="24"/>
                <w:szCs w:val="24"/>
                <w:lang w:val="en-US"/>
              </w:rPr>
              <w:t>I.2. The total value of procurement</w:t>
            </w:r>
          </w:p>
        </w:tc>
        <w:tc>
          <w:tcPr>
            <w:tcW w:w="3367" w:type="pct"/>
          </w:tcPr>
          <w:p w14:paraId="465FBE30" w14:textId="77777777" w:rsidR="00454AC2" w:rsidRPr="00526795" w:rsidRDefault="00454AC2">
            <w:pPr>
              <w:rPr>
                <w:lang w:val="en-US"/>
              </w:rPr>
            </w:pPr>
          </w:p>
          <w:tbl>
            <w:tblPr>
              <w:tblW w:w="10556" w:type="dxa"/>
              <w:tblCellMar>
                <w:left w:w="70" w:type="dxa"/>
                <w:right w:w="70" w:type="dxa"/>
              </w:tblCellMar>
              <w:tblLook w:val="04A0" w:firstRow="1" w:lastRow="0" w:firstColumn="1" w:lastColumn="0" w:noHBand="0" w:noVBand="1"/>
            </w:tblPr>
            <w:tblGrid>
              <w:gridCol w:w="5020"/>
              <w:gridCol w:w="63"/>
              <w:gridCol w:w="1780"/>
              <w:gridCol w:w="1840"/>
              <w:gridCol w:w="1840"/>
              <w:gridCol w:w="13"/>
            </w:tblGrid>
            <w:tr w:rsidR="006A206B" w:rsidRPr="00526795" w14:paraId="73737EB9" w14:textId="77777777" w:rsidTr="00454AC2">
              <w:trPr>
                <w:gridAfter w:val="1"/>
                <w:wAfter w:w="13" w:type="dxa"/>
                <w:trHeight w:val="315"/>
              </w:trPr>
              <w:tc>
                <w:tcPr>
                  <w:tcW w:w="5020"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7109B887" w14:textId="77777777" w:rsidR="006A206B" w:rsidRPr="00526795" w:rsidRDefault="006A206B" w:rsidP="006A206B">
                  <w:pPr>
                    <w:spacing w:after="0" w:line="240" w:lineRule="auto"/>
                    <w:rPr>
                      <w:rFonts w:ascii="Calibri" w:eastAsia="Times New Roman" w:hAnsi="Calibri" w:cs="Calibri"/>
                      <w:color w:val="FFFFFF"/>
                      <w:lang w:val="en-US" w:eastAsia="sk-SK"/>
                    </w:rPr>
                  </w:pPr>
                  <w:r w:rsidRPr="00526795">
                    <w:rPr>
                      <w:rFonts w:ascii="Calibri" w:eastAsia="Times New Roman" w:hAnsi="Calibri" w:cs="Calibri"/>
                      <w:color w:val="FFFFFF"/>
                      <w:lang w:val="en-US" w:eastAsia="sk-SK"/>
                    </w:rPr>
                    <w:t> </w:t>
                  </w:r>
                </w:p>
              </w:tc>
              <w:tc>
                <w:tcPr>
                  <w:tcW w:w="1843" w:type="dxa"/>
                  <w:gridSpan w:val="2"/>
                  <w:tcBorders>
                    <w:top w:val="single" w:sz="4" w:space="0" w:color="auto"/>
                    <w:left w:val="nil"/>
                    <w:bottom w:val="single" w:sz="4" w:space="0" w:color="auto"/>
                    <w:right w:val="single" w:sz="4" w:space="0" w:color="auto"/>
                  </w:tcBorders>
                  <w:shd w:val="clear" w:color="000000" w:fill="002060"/>
                  <w:noWrap/>
                  <w:vAlign w:val="center"/>
                  <w:hideMark/>
                </w:tcPr>
                <w:p w14:paraId="1CF90589" w14:textId="77777777" w:rsidR="006A206B" w:rsidRPr="00526795" w:rsidRDefault="006A206B" w:rsidP="006A206B">
                  <w:pPr>
                    <w:spacing w:after="0" w:line="240" w:lineRule="auto"/>
                    <w:jc w:val="center"/>
                    <w:rPr>
                      <w:rFonts w:ascii="Calibri" w:eastAsia="Times New Roman" w:hAnsi="Calibri" w:cs="Calibri"/>
                      <w:b/>
                      <w:bCs/>
                      <w:color w:val="FFFFFF"/>
                      <w:lang w:val="en-US" w:eastAsia="sk-SK"/>
                    </w:rPr>
                  </w:pPr>
                  <w:r w:rsidRPr="00526795">
                    <w:rPr>
                      <w:rFonts w:ascii="Calibri" w:eastAsia="Times New Roman" w:hAnsi="Calibri" w:cs="Calibri"/>
                      <w:b/>
                      <w:bCs/>
                      <w:color w:val="FFFFFF"/>
                      <w:lang w:val="en-US" w:eastAsia="sk-SK"/>
                    </w:rPr>
                    <w:t>2018</w:t>
                  </w:r>
                </w:p>
              </w:tc>
              <w:tc>
                <w:tcPr>
                  <w:tcW w:w="1840" w:type="dxa"/>
                  <w:tcBorders>
                    <w:top w:val="single" w:sz="4" w:space="0" w:color="auto"/>
                    <w:left w:val="nil"/>
                    <w:bottom w:val="single" w:sz="4" w:space="0" w:color="auto"/>
                    <w:right w:val="single" w:sz="4" w:space="0" w:color="auto"/>
                  </w:tcBorders>
                  <w:shd w:val="clear" w:color="000000" w:fill="002060"/>
                  <w:noWrap/>
                  <w:vAlign w:val="center"/>
                  <w:hideMark/>
                </w:tcPr>
                <w:p w14:paraId="1856213A" w14:textId="77777777" w:rsidR="006A206B" w:rsidRPr="00526795" w:rsidRDefault="006A206B" w:rsidP="006A206B">
                  <w:pPr>
                    <w:spacing w:after="0" w:line="240" w:lineRule="auto"/>
                    <w:jc w:val="center"/>
                    <w:rPr>
                      <w:rFonts w:ascii="Calibri" w:eastAsia="Times New Roman" w:hAnsi="Calibri" w:cs="Calibri"/>
                      <w:b/>
                      <w:bCs/>
                      <w:color w:val="FFFFFF"/>
                      <w:lang w:val="en-US" w:eastAsia="sk-SK"/>
                    </w:rPr>
                  </w:pPr>
                  <w:r w:rsidRPr="00526795">
                    <w:rPr>
                      <w:rFonts w:ascii="Calibri" w:eastAsia="Times New Roman" w:hAnsi="Calibri" w:cs="Calibri"/>
                      <w:b/>
                      <w:bCs/>
                      <w:color w:val="FFFFFF"/>
                      <w:lang w:val="en-US" w:eastAsia="sk-SK"/>
                    </w:rPr>
                    <w:t>2019</w:t>
                  </w:r>
                </w:p>
              </w:tc>
              <w:tc>
                <w:tcPr>
                  <w:tcW w:w="1840" w:type="dxa"/>
                  <w:tcBorders>
                    <w:top w:val="single" w:sz="4" w:space="0" w:color="auto"/>
                    <w:left w:val="nil"/>
                    <w:bottom w:val="single" w:sz="4" w:space="0" w:color="auto"/>
                    <w:right w:val="single" w:sz="4" w:space="0" w:color="auto"/>
                  </w:tcBorders>
                  <w:shd w:val="clear" w:color="000000" w:fill="002060"/>
                  <w:noWrap/>
                  <w:vAlign w:val="center"/>
                  <w:hideMark/>
                </w:tcPr>
                <w:p w14:paraId="3B457A59" w14:textId="77777777" w:rsidR="006A206B" w:rsidRPr="00526795" w:rsidRDefault="006A206B" w:rsidP="006A206B">
                  <w:pPr>
                    <w:spacing w:after="0" w:line="240" w:lineRule="auto"/>
                    <w:jc w:val="center"/>
                    <w:rPr>
                      <w:rFonts w:ascii="Calibri" w:eastAsia="Times New Roman" w:hAnsi="Calibri" w:cs="Calibri"/>
                      <w:b/>
                      <w:bCs/>
                      <w:color w:val="FFFFFF"/>
                      <w:lang w:val="en-US" w:eastAsia="sk-SK"/>
                    </w:rPr>
                  </w:pPr>
                  <w:r w:rsidRPr="00526795">
                    <w:rPr>
                      <w:rFonts w:ascii="Calibri" w:eastAsia="Times New Roman" w:hAnsi="Calibri" w:cs="Calibri"/>
                      <w:b/>
                      <w:bCs/>
                      <w:color w:val="FFFFFF"/>
                      <w:lang w:val="en-US" w:eastAsia="sk-SK"/>
                    </w:rPr>
                    <w:t>2020</w:t>
                  </w:r>
                </w:p>
              </w:tc>
            </w:tr>
            <w:tr w:rsidR="006A206B" w:rsidRPr="00526795" w14:paraId="367181C9" w14:textId="77777777" w:rsidTr="007822FE">
              <w:trPr>
                <w:gridAfter w:val="1"/>
                <w:wAfter w:w="13" w:type="dxa"/>
                <w:trHeight w:val="485"/>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0D1699B" w14:textId="19BF20BF" w:rsidR="006A206B" w:rsidRPr="00526795" w:rsidRDefault="006A206B" w:rsidP="00681FC8">
                  <w:pPr>
                    <w:spacing w:after="0" w:line="240" w:lineRule="auto"/>
                    <w:rPr>
                      <w:rFonts w:ascii="Calibri" w:eastAsia="Times New Roman" w:hAnsi="Calibri" w:cs="Calibri"/>
                      <w:bCs/>
                      <w:color w:val="000000"/>
                      <w:lang w:val="en-US" w:eastAsia="sk-SK"/>
                    </w:rPr>
                  </w:pPr>
                  <w:r w:rsidRPr="00526795">
                    <w:rPr>
                      <w:rFonts w:ascii="Calibri" w:eastAsia="Times New Roman" w:hAnsi="Calibri" w:cs="Calibri"/>
                      <w:bCs/>
                      <w:color w:val="000000"/>
                      <w:lang w:val="en-US" w:eastAsia="sk-SK"/>
                    </w:rPr>
                    <w:t xml:space="preserve"> </w:t>
                  </w:r>
                  <w:r w:rsidR="001038EC" w:rsidRPr="00526795">
                    <w:rPr>
                      <w:rFonts w:ascii="Calibri" w:eastAsia="Times New Roman" w:hAnsi="Calibri" w:cs="Calibri"/>
                      <w:bCs/>
                      <w:color w:val="000000"/>
                      <w:lang w:val="en-US" w:eastAsia="sk-SK"/>
                    </w:rPr>
                    <w:t>Total value of procurement above EU thresholds (EUR)</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6CCD3673" w14:textId="77777777" w:rsidR="006A206B" w:rsidRPr="00526795" w:rsidRDefault="006A206B" w:rsidP="006A206B">
                  <w:pPr>
                    <w:spacing w:after="0" w:line="240" w:lineRule="auto"/>
                    <w:jc w:val="center"/>
                    <w:rPr>
                      <w:rFonts w:ascii="Calibri" w:eastAsia="Times New Roman" w:hAnsi="Calibri" w:cs="Calibri"/>
                      <w:color w:val="000000"/>
                      <w:lang w:val="en-US" w:eastAsia="sk-SK"/>
                    </w:rPr>
                  </w:pPr>
                  <w:r w:rsidRPr="00526795">
                    <w:rPr>
                      <w:rFonts w:ascii="Calibri" w:eastAsia="Times New Roman" w:hAnsi="Calibri" w:cs="Calibri"/>
                      <w:color w:val="000000"/>
                      <w:lang w:val="en-US" w:eastAsia="sk-SK"/>
                    </w:rPr>
                    <w:t xml:space="preserve">   3 964 565 589   </w:t>
                  </w:r>
                </w:p>
              </w:tc>
              <w:tc>
                <w:tcPr>
                  <w:tcW w:w="1840" w:type="dxa"/>
                  <w:tcBorders>
                    <w:top w:val="nil"/>
                    <w:left w:val="nil"/>
                    <w:bottom w:val="single" w:sz="4" w:space="0" w:color="auto"/>
                    <w:right w:val="single" w:sz="4" w:space="0" w:color="auto"/>
                  </w:tcBorders>
                  <w:shd w:val="clear" w:color="auto" w:fill="auto"/>
                  <w:noWrap/>
                  <w:vAlign w:val="center"/>
                  <w:hideMark/>
                </w:tcPr>
                <w:p w14:paraId="17AEBD23" w14:textId="77777777" w:rsidR="006A206B" w:rsidRPr="00526795" w:rsidRDefault="006A206B" w:rsidP="006A206B">
                  <w:pPr>
                    <w:spacing w:after="0" w:line="240" w:lineRule="auto"/>
                    <w:jc w:val="center"/>
                    <w:rPr>
                      <w:rFonts w:ascii="Calibri" w:eastAsia="Times New Roman" w:hAnsi="Calibri" w:cs="Calibri"/>
                      <w:color w:val="000000"/>
                      <w:lang w:val="en-US" w:eastAsia="sk-SK"/>
                    </w:rPr>
                  </w:pPr>
                  <w:r w:rsidRPr="00526795">
                    <w:rPr>
                      <w:rFonts w:ascii="Calibri" w:eastAsia="Times New Roman" w:hAnsi="Calibri" w:cs="Calibri"/>
                      <w:color w:val="000000"/>
                      <w:lang w:val="en-US" w:eastAsia="sk-SK"/>
                    </w:rPr>
                    <w:t xml:space="preserve">   3 940 341 698   </w:t>
                  </w:r>
                </w:p>
              </w:tc>
              <w:tc>
                <w:tcPr>
                  <w:tcW w:w="1840" w:type="dxa"/>
                  <w:tcBorders>
                    <w:top w:val="nil"/>
                    <w:left w:val="nil"/>
                    <w:bottom w:val="single" w:sz="4" w:space="0" w:color="auto"/>
                    <w:right w:val="single" w:sz="4" w:space="0" w:color="auto"/>
                  </w:tcBorders>
                  <w:shd w:val="clear" w:color="auto" w:fill="auto"/>
                  <w:noWrap/>
                  <w:vAlign w:val="center"/>
                  <w:hideMark/>
                </w:tcPr>
                <w:p w14:paraId="259A95CC" w14:textId="77777777" w:rsidR="006A206B" w:rsidRPr="00526795" w:rsidRDefault="006A206B" w:rsidP="006A206B">
                  <w:pPr>
                    <w:spacing w:after="0" w:line="240" w:lineRule="auto"/>
                    <w:jc w:val="center"/>
                    <w:rPr>
                      <w:rFonts w:ascii="Calibri" w:eastAsia="Times New Roman" w:hAnsi="Calibri" w:cs="Calibri"/>
                      <w:color w:val="000000"/>
                      <w:lang w:val="en-US" w:eastAsia="sk-SK"/>
                    </w:rPr>
                  </w:pPr>
                  <w:r w:rsidRPr="00526795">
                    <w:rPr>
                      <w:rFonts w:ascii="Calibri" w:eastAsia="Times New Roman" w:hAnsi="Calibri" w:cs="Calibri"/>
                      <w:color w:val="000000"/>
                      <w:lang w:val="en-US" w:eastAsia="sk-SK"/>
                    </w:rPr>
                    <w:t xml:space="preserve">   4 053 411 245   </w:t>
                  </w:r>
                </w:p>
              </w:tc>
            </w:tr>
            <w:tr w:rsidR="006A206B" w:rsidRPr="00526795" w14:paraId="04A2F4EA" w14:textId="77777777" w:rsidTr="007822FE">
              <w:trPr>
                <w:gridAfter w:val="1"/>
                <w:wAfter w:w="13" w:type="dxa"/>
                <w:trHeight w:val="496"/>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B8CCB38" w14:textId="5457EC31" w:rsidR="006A206B" w:rsidRPr="00526795" w:rsidRDefault="001038EC" w:rsidP="00681FC8">
                  <w:pPr>
                    <w:spacing w:after="0" w:line="240" w:lineRule="auto"/>
                    <w:rPr>
                      <w:rFonts w:ascii="Calibri" w:eastAsia="Times New Roman" w:hAnsi="Calibri" w:cs="Calibri"/>
                      <w:bCs/>
                      <w:color w:val="000000"/>
                      <w:lang w:val="en-US" w:eastAsia="sk-SK"/>
                    </w:rPr>
                  </w:pPr>
                  <w:r w:rsidRPr="00526795">
                    <w:rPr>
                      <w:rFonts w:ascii="Calibri" w:eastAsia="Times New Roman" w:hAnsi="Calibri" w:cs="Calibri"/>
                      <w:bCs/>
                      <w:color w:val="000000"/>
                      <w:lang w:val="en-US" w:eastAsia="sk-SK"/>
                    </w:rPr>
                    <w:t>Total value of procurement below EU thresholds  (EUR)</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235CFCF6" w14:textId="77777777" w:rsidR="006A206B" w:rsidRPr="00526795" w:rsidRDefault="006A206B" w:rsidP="006A206B">
                  <w:pPr>
                    <w:spacing w:after="0" w:line="240" w:lineRule="auto"/>
                    <w:jc w:val="center"/>
                    <w:rPr>
                      <w:rFonts w:ascii="Calibri" w:eastAsia="Times New Roman" w:hAnsi="Calibri" w:cs="Calibri"/>
                      <w:color w:val="000000"/>
                      <w:lang w:val="en-US" w:eastAsia="sk-SK"/>
                    </w:rPr>
                  </w:pPr>
                  <w:r w:rsidRPr="00526795">
                    <w:rPr>
                      <w:rFonts w:ascii="Calibri" w:eastAsia="Times New Roman" w:hAnsi="Calibri" w:cs="Calibri"/>
                      <w:color w:val="000000"/>
                      <w:lang w:val="en-US" w:eastAsia="sk-SK"/>
                    </w:rPr>
                    <w:t xml:space="preserve">      856 300 669   </w:t>
                  </w:r>
                </w:p>
              </w:tc>
              <w:tc>
                <w:tcPr>
                  <w:tcW w:w="1840" w:type="dxa"/>
                  <w:tcBorders>
                    <w:top w:val="nil"/>
                    <w:left w:val="nil"/>
                    <w:bottom w:val="single" w:sz="4" w:space="0" w:color="auto"/>
                    <w:right w:val="single" w:sz="4" w:space="0" w:color="auto"/>
                  </w:tcBorders>
                  <w:shd w:val="clear" w:color="auto" w:fill="auto"/>
                  <w:noWrap/>
                  <w:vAlign w:val="center"/>
                  <w:hideMark/>
                </w:tcPr>
                <w:p w14:paraId="41612622" w14:textId="77777777" w:rsidR="006A206B" w:rsidRPr="00526795" w:rsidRDefault="006A206B" w:rsidP="006A206B">
                  <w:pPr>
                    <w:spacing w:after="0" w:line="240" w:lineRule="auto"/>
                    <w:jc w:val="center"/>
                    <w:rPr>
                      <w:rFonts w:ascii="Calibri" w:eastAsia="Times New Roman" w:hAnsi="Calibri" w:cs="Calibri"/>
                      <w:color w:val="000000"/>
                      <w:lang w:val="en-US" w:eastAsia="sk-SK"/>
                    </w:rPr>
                  </w:pPr>
                  <w:r w:rsidRPr="00526795">
                    <w:rPr>
                      <w:rFonts w:ascii="Calibri" w:eastAsia="Times New Roman" w:hAnsi="Calibri" w:cs="Calibri"/>
                      <w:color w:val="000000"/>
                      <w:lang w:val="en-US" w:eastAsia="sk-SK"/>
                    </w:rPr>
                    <w:t xml:space="preserve">      695 104 967   </w:t>
                  </w:r>
                </w:p>
              </w:tc>
              <w:tc>
                <w:tcPr>
                  <w:tcW w:w="1840" w:type="dxa"/>
                  <w:tcBorders>
                    <w:top w:val="nil"/>
                    <w:left w:val="nil"/>
                    <w:bottom w:val="single" w:sz="4" w:space="0" w:color="auto"/>
                    <w:right w:val="single" w:sz="4" w:space="0" w:color="auto"/>
                  </w:tcBorders>
                  <w:shd w:val="clear" w:color="auto" w:fill="auto"/>
                  <w:noWrap/>
                  <w:vAlign w:val="center"/>
                  <w:hideMark/>
                </w:tcPr>
                <w:p w14:paraId="4700CC1B" w14:textId="77777777" w:rsidR="006A206B" w:rsidRPr="00526795" w:rsidRDefault="006A206B" w:rsidP="006A206B">
                  <w:pPr>
                    <w:spacing w:after="0" w:line="240" w:lineRule="auto"/>
                    <w:jc w:val="center"/>
                    <w:rPr>
                      <w:rFonts w:ascii="Calibri" w:eastAsia="Times New Roman" w:hAnsi="Calibri" w:cs="Calibri"/>
                      <w:color w:val="000000"/>
                      <w:lang w:val="en-US" w:eastAsia="sk-SK"/>
                    </w:rPr>
                  </w:pPr>
                  <w:r w:rsidRPr="00526795">
                    <w:rPr>
                      <w:rFonts w:ascii="Calibri" w:eastAsia="Times New Roman" w:hAnsi="Calibri" w:cs="Calibri"/>
                      <w:color w:val="000000"/>
                      <w:lang w:val="en-US" w:eastAsia="sk-SK"/>
                    </w:rPr>
                    <w:t xml:space="preserve">      575 528 670   </w:t>
                  </w:r>
                </w:p>
              </w:tc>
            </w:tr>
            <w:tr w:rsidR="006A206B" w:rsidRPr="00526795" w14:paraId="7CAC5F7A" w14:textId="77777777" w:rsidTr="00454AC2">
              <w:trPr>
                <w:gridAfter w:val="1"/>
                <w:wAfter w:w="13" w:type="dxa"/>
                <w:trHeight w:val="315"/>
              </w:trPr>
              <w:tc>
                <w:tcPr>
                  <w:tcW w:w="5020" w:type="dxa"/>
                  <w:tcBorders>
                    <w:top w:val="nil"/>
                    <w:left w:val="nil"/>
                    <w:bottom w:val="nil"/>
                    <w:right w:val="nil"/>
                  </w:tcBorders>
                  <w:shd w:val="clear" w:color="auto" w:fill="auto"/>
                  <w:vAlign w:val="center"/>
                  <w:hideMark/>
                </w:tcPr>
                <w:p w14:paraId="4EAE49F5" w14:textId="77777777" w:rsidR="00526795" w:rsidRPr="001038EC" w:rsidRDefault="00526795" w:rsidP="00526795">
                  <w:pPr>
                    <w:spacing w:after="0" w:line="240" w:lineRule="auto"/>
                    <w:rPr>
                      <w:rFonts w:ascii="Calibri" w:eastAsia="Times New Roman" w:hAnsi="Calibri" w:cs="Calibri"/>
                      <w:color w:val="000000"/>
                      <w:lang w:val="en-US" w:eastAsia="sk-SK"/>
                    </w:rPr>
                  </w:pPr>
                  <w:r w:rsidRPr="001038EC">
                    <w:rPr>
                      <w:rFonts w:ascii="Calibri" w:eastAsia="Times New Roman" w:hAnsi="Calibri" w:cs="Calibri"/>
                      <w:color w:val="000000"/>
                      <w:lang w:val="en-US" w:eastAsia="sk-SK"/>
                    </w:rPr>
                    <w:t>* w/o concessions and design competitions</w:t>
                  </w:r>
                </w:p>
                <w:p w14:paraId="7A9A64F5" w14:textId="4EEA0439" w:rsidR="00681FC8" w:rsidRPr="00526795" w:rsidRDefault="00681FC8" w:rsidP="006A206B">
                  <w:pPr>
                    <w:spacing w:after="0" w:line="240" w:lineRule="auto"/>
                    <w:rPr>
                      <w:rFonts w:ascii="Calibri" w:eastAsia="Times New Roman" w:hAnsi="Calibri" w:cs="Calibri"/>
                      <w:color w:val="000000"/>
                      <w:sz w:val="24"/>
                      <w:szCs w:val="24"/>
                      <w:lang w:val="en-US" w:eastAsia="sk-SK"/>
                    </w:rPr>
                  </w:pPr>
                </w:p>
              </w:tc>
              <w:tc>
                <w:tcPr>
                  <w:tcW w:w="1843" w:type="dxa"/>
                  <w:gridSpan w:val="2"/>
                  <w:tcBorders>
                    <w:top w:val="nil"/>
                    <w:left w:val="nil"/>
                    <w:bottom w:val="nil"/>
                    <w:right w:val="nil"/>
                  </w:tcBorders>
                  <w:shd w:val="clear" w:color="auto" w:fill="auto"/>
                  <w:noWrap/>
                  <w:vAlign w:val="bottom"/>
                  <w:hideMark/>
                </w:tcPr>
                <w:p w14:paraId="102014CD" w14:textId="77777777" w:rsidR="006A206B" w:rsidRPr="00526795" w:rsidRDefault="006A206B" w:rsidP="006A206B">
                  <w:pPr>
                    <w:spacing w:after="0" w:line="240" w:lineRule="auto"/>
                    <w:rPr>
                      <w:rFonts w:ascii="Calibri" w:eastAsia="Times New Roman" w:hAnsi="Calibri" w:cs="Calibri"/>
                      <w:color w:val="000000"/>
                      <w:sz w:val="24"/>
                      <w:szCs w:val="24"/>
                      <w:lang w:val="en-US" w:eastAsia="sk-SK"/>
                    </w:rPr>
                  </w:pPr>
                </w:p>
              </w:tc>
              <w:tc>
                <w:tcPr>
                  <w:tcW w:w="1840" w:type="dxa"/>
                  <w:tcBorders>
                    <w:top w:val="nil"/>
                    <w:left w:val="nil"/>
                    <w:bottom w:val="nil"/>
                    <w:right w:val="nil"/>
                  </w:tcBorders>
                  <w:shd w:val="clear" w:color="auto" w:fill="auto"/>
                  <w:noWrap/>
                  <w:vAlign w:val="bottom"/>
                  <w:hideMark/>
                </w:tcPr>
                <w:p w14:paraId="39CAB173" w14:textId="77777777" w:rsidR="006A206B" w:rsidRPr="00526795" w:rsidRDefault="006A206B" w:rsidP="006A206B">
                  <w:pPr>
                    <w:spacing w:after="0" w:line="240" w:lineRule="auto"/>
                    <w:rPr>
                      <w:rFonts w:ascii="Times New Roman" w:eastAsia="Times New Roman" w:hAnsi="Times New Roman" w:cs="Times New Roman"/>
                      <w:sz w:val="20"/>
                      <w:szCs w:val="20"/>
                      <w:lang w:val="en-US" w:eastAsia="sk-SK"/>
                    </w:rPr>
                  </w:pPr>
                </w:p>
              </w:tc>
              <w:tc>
                <w:tcPr>
                  <w:tcW w:w="1840" w:type="dxa"/>
                  <w:tcBorders>
                    <w:top w:val="nil"/>
                    <w:left w:val="nil"/>
                    <w:bottom w:val="nil"/>
                    <w:right w:val="nil"/>
                  </w:tcBorders>
                  <w:shd w:val="clear" w:color="auto" w:fill="auto"/>
                  <w:noWrap/>
                  <w:vAlign w:val="bottom"/>
                  <w:hideMark/>
                </w:tcPr>
                <w:p w14:paraId="30064C5D" w14:textId="77777777" w:rsidR="006A206B" w:rsidRPr="00526795" w:rsidRDefault="006A206B" w:rsidP="006A206B">
                  <w:pPr>
                    <w:spacing w:after="0" w:line="240" w:lineRule="auto"/>
                    <w:rPr>
                      <w:rFonts w:ascii="Times New Roman" w:eastAsia="Times New Roman" w:hAnsi="Times New Roman" w:cs="Times New Roman"/>
                      <w:sz w:val="20"/>
                      <w:szCs w:val="20"/>
                      <w:lang w:val="en-US" w:eastAsia="sk-SK"/>
                    </w:rPr>
                  </w:pPr>
                </w:p>
              </w:tc>
            </w:tr>
            <w:tr w:rsidR="00454AC2" w:rsidRPr="00526795" w14:paraId="71B3F200" w14:textId="77777777" w:rsidTr="00454AC2">
              <w:trPr>
                <w:trHeight w:val="300"/>
              </w:trPr>
              <w:tc>
                <w:tcPr>
                  <w:tcW w:w="5083" w:type="dxa"/>
                  <w:gridSpan w:val="2"/>
                  <w:tcBorders>
                    <w:top w:val="single" w:sz="4" w:space="0" w:color="auto"/>
                    <w:left w:val="single" w:sz="4" w:space="0" w:color="auto"/>
                    <w:bottom w:val="single" w:sz="4" w:space="0" w:color="auto"/>
                    <w:right w:val="single" w:sz="4" w:space="0" w:color="auto"/>
                  </w:tcBorders>
                  <w:shd w:val="clear" w:color="000000" w:fill="002060"/>
                  <w:noWrap/>
                  <w:vAlign w:val="bottom"/>
                  <w:hideMark/>
                </w:tcPr>
                <w:p w14:paraId="082196A9" w14:textId="77777777" w:rsidR="00454AC2" w:rsidRPr="00526795" w:rsidRDefault="00454AC2" w:rsidP="00454AC2">
                  <w:pPr>
                    <w:spacing w:after="0" w:line="240" w:lineRule="auto"/>
                    <w:jc w:val="center"/>
                    <w:rPr>
                      <w:rFonts w:ascii="Calibri" w:eastAsia="Times New Roman" w:hAnsi="Calibri" w:cs="Calibri"/>
                      <w:b/>
                      <w:bCs/>
                      <w:color w:val="FFFFFF"/>
                      <w:lang w:val="en-US" w:eastAsia="sk-SK"/>
                    </w:rPr>
                  </w:pPr>
                  <w:r w:rsidRPr="00526795">
                    <w:rPr>
                      <w:rFonts w:ascii="Calibri" w:eastAsia="Times New Roman" w:hAnsi="Calibri" w:cs="Calibri"/>
                      <w:b/>
                      <w:bCs/>
                      <w:color w:val="FFFFFF"/>
                      <w:lang w:val="en-US" w:eastAsia="sk-SK"/>
                    </w:rPr>
                    <w:t> </w:t>
                  </w:r>
                </w:p>
              </w:tc>
              <w:tc>
                <w:tcPr>
                  <w:tcW w:w="1780" w:type="dxa"/>
                  <w:tcBorders>
                    <w:top w:val="single" w:sz="4" w:space="0" w:color="auto"/>
                    <w:left w:val="nil"/>
                    <w:bottom w:val="single" w:sz="4" w:space="0" w:color="auto"/>
                    <w:right w:val="single" w:sz="4" w:space="0" w:color="auto"/>
                  </w:tcBorders>
                  <w:shd w:val="clear" w:color="000000" w:fill="002060"/>
                  <w:noWrap/>
                  <w:vAlign w:val="bottom"/>
                  <w:hideMark/>
                </w:tcPr>
                <w:p w14:paraId="0B9D7B48" w14:textId="77777777" w:rsidR="00454AC2" w:rsidRPr="00526795" w:rsidRDefault="00454AC2" w:rsidP="00454AC2">
                  <w:pPr>
                    <w:spacing w:after="0" w:line="240" w:lineRule="auto"/>
                    <w:jc w:val="center"/>
                    <w:rPr>
                      <w:rFonts w:ascii="Calibri" w:eastAsia="Times New Roman" w:hAnsi="Calibri" w:cs="Calibri"/>
                      <w:b/>
                      <w:bCs/>
                      <w:color w:val="FFFFFF"/>
                      <w:lang w:val="en-US" w:eastAsia="sk-SK"/>
                    </w:rPr>
                  </w:pPr>
                  <w:r w:rsidRPr="00526795">
                    <w:rPr>
                      <w:rFonts w:ascii="Calibri" w:eastAsia="Times New Roman" w:hAnsi="Calibri" w:cs="Calibri"/>
                      <w:b/>
                      <w:bCs/>
                      <w:color w:val="FFFFFF"/>
                      <w:lang w:val="en-US" w:eastAsia="sk-SK"/>
                    </w:rPr>
                    <w:t>2018</w:t>
                  </w:r>
                </w:p>
              </w:tc>
              <w:tc>
                <w:tcPr>
                  <w:tcW w:w="1840" w:type="dxa"/>
                  <w:tcBorders>
                    <w:top w:val="single" w:sz="4" w:space="0" w:color="auto"/>
                    <w:left w:val="nil"/>
                    <w:bottom w:val="single" w:sz="4" w:space="0" w:color="auto"/>
                    <w:right w:val="single" w:sz="4" w:space="0" w:color="auto"/>
                  </w:tcBorders>
                  <w:shd w:val="clear" w:color="000000" w:fill="002060"/>
                  <w:noWrap/>
                  <w:vAlign w:val="bottom"/>
                  <w:hideMark/>
                </w:tcPr>
                <w:p w14:paraId="338F413D" w14:textId="77777777" w:rsidR="00454AC2" w:rsidRPr="00526795" w:rsidRDefault="00454AC2" w:rsidP="00454AC2">
                  <w:pPr>
                    <w:spacing w:after="0" w:line="240" w:lineRule="auto"/>
                    <w:jc w:val="center"/>
                    <w:rPr>
                      <w:rFonts w:ascii="Calibri" w:eastAsia="Times New Roman" w:hAnsi="Calibri" w:cs="Calibri"/>
                      <w:b/>
                      <w:bCs/>
                      <w:color w:val="FFFFFF"/>
                      <w:lang w:val="en-US" w:eastAsia="sk-SK"/>
                    </w:rPr>
                  </w:pPr>
                  <w:r w:rsidRPr="00526795">
                    <w:rPr>
                      <w:rFonts w:ascii="Calibri" w:eastAsia="Times New Roman" w:hAnsi="Calibri" w:cs="Calibri"/>
                      <w:b/>
                      <w:bCs/>
                      <w:color w:val="FFFFFF"/>
                      <w:lang w:val="en-US" w:eastAsia="sk-SK"/>
                    </w:rPr>
                    <w:t>2019</w:t>
                  </w:r>
                </w:p>
              </w:tc>
              <w:tc>
                <w:tcPr>
                  <w:tcW w:w="1853" w:type="dxa"/>
                  <w:gridSpan w:val="2"/>
                  <w:tcBorders>
                    <w:top w:val="single" w:sz="4" w:space="0" w:color="auto"/>
                    <w:left w:val="nil"/>
                    <w:bottom w:val="single" w:sz="4" w:space="0" w:color="auto"/>
                    <w:right w:val="single" w:sz="4" w:space="0" w:color="auto"/>
                  </w:tcBorders>
                  <w:shd w:val="clear" w:color="000000" w:fill="002060"/>
                  <w:noWrap/>
                  <w:vAlign w:val="bottom"/>
                  <w:hideMark/>
                </w:tcPr>
                <w:p w14:paraId="19C690F6" w14:textId="77777777" w:rsidR="00454AC2" w:rsidRPr="00526795" w:rsidRDefault="00454AC2" w:rsidP="00454AC2">
                  <w:pPr>
                    <w:spacing w:after="0" w:line="240" w:lineRule="auto"/>
                    <w:jc w:val="center"/>
                    <w:rPr>
                      <w:rFonts w:ascii="Calibri" w:eastAsia="Times New Roman" w:hAnsi="Calibri" w:cs="Calibri"/>
                      <w:b/>
                      <w:bCs/>
                      <w:color w:val="FFFFFF"/>
                      <w:lang w:val="en-US" w:eastAsia="sk-SK"/>
                    </w:rPr>
                  </w:pPr>
                  <w:r w:rsidRPr="00526795">
                    <w:rPr>
                      <w:rFonts w:ascii="Calibri" w:eastAsia="Times New Roman" w:hAnsi="Calibri" w:cs="Calibri"/>
                      <w:b/>
                      <w:bCs/>
                      <w:color w:val="FFFFFF"/>
                      <w:lang w:val="en-US" w:eastAsia="sk-SK"/>
                    </w:rPr>
                    <w:t>2020</w:t>
                  </w:r>
                </w:p>
              </w:tc>
            </w:tr>
            <w:tr w:rsidR="00454AC2" w:rsidRPr="00526795" w14:paraId="2B97E6D4" w14:textId="77777777" w:rsidTr="00454AC2">
              <w:trPr>
                <w:trHeight w:val="300"/>
              </w:trPr>
              <w:tc>
                <w:tcPr>
                  <w:tcW w:w="5083" w:type="dxa"/>
                  <w:gridSpan w:val="2"/>
                  <w:tcBorders>
                    <w:top w:val="nil"/>
                    <w:left w:val="single" w:sz="4" w:space="0" w:color="auto"/>
                    <w:bottom w:val="single" w:sz="4" w:space="0" w:color="auto"/>
                    <w:right w:val="single" w:sz="4" w:space="0" w:color="auto"/>
                  </w:tcBorders>
                  <w:shd w:val="clear" w:color="auto" w:fill="auto"/>
                  <w:noWrap/>
                  <w:vAlign w:val="bottom"/>
                  <w:hideMark/>
                </w:tcPr>
                <w:p w14:paraId="1F57D287" w14:textId="67CE1567" w:rsidR="00454AC2" w:rsidRPr="00526795" w:rsidRDefault="001038EC" w:rsidP="001038EC">
                  <w:pPr>
                    <w:spacing w:after="0" w:line="240" w:lineRule="auto"/>
                    <w:jc w:val="right"/>
                    <w:rPr>
                      <w:rFonts w:ascii="Calibri" w:eastAsia="Times New Roman" w:hAnsi="Calibri" w:cs="Calibri"/>
                      <w:color w:val="000000"/>
                      <w:lang w:val="en-US" w:eastAsia="sk-SK"/>
                    </w:rPr>
                  </w:pPr>
                  <w:r w:rsidRPr="00526795">
                    <w:rPr>
                      <w:rFonts w:ascii="Calibri" w:eastAsia="Times New Roman" w:hAnsi="Calibri" w:cs="Calibri"/>
                      <w:color w:val="000000"/>
                      <w:lang w:val="en-US" w:eastAsia="sk-SK"/>
                    </w:rPr>
                    <w:t>Total value of procurement via Electronic contract system</w:t>
                  </w:r>
                  <w:r w:rsidR="00591995" w:rsidRPr="00526795">
                    <w:rPr>
                      <w:rFonts w:ascii="Calibri" w:eastAsia="Times New Roman" w:hAnsi="Calibri" w:cs="Calibri"/>
                      <w:color w:val="000000"/>
                      <w:lang w:val="en-US" w:eastAsia="sk-SK"/>
                    </w:rPr>
                    <w:t xml:space="preserve"> (EUR)</w:t>
                  </w:r>
                </w:p>
              </w:tc>
              <w:tc>
                <w:tcPr>
                  <w:tcW w:w="1780" w:type="dxa"/>
                  <w:tcBorders>
                    <w:top w:val="nil"/>
                    <w:left w:val="nil"/>
                    <w:bottom w:val="single" w:sz="4" w:space="0" w:color="auto"/>
                    <w:right w:val="single" w:sz="4" w:space="0" w:color="auto"/>
                  </w:tcBorders>
                  <w:shd w:val="clear" w:color="auto" w:fill="auto"/>
                  <w:noWrap/>
                  <w:vAlign w:val="bottom"/>
                  <w:hideMark/>
                </w:tcPr>
                <w:p w14:paraId="07344782" w14:textId="77777777" w:rsidR="00454AC2" w:rsidRPr="00526795" w:rsidRDefault="00454AC2" w:rsidP="00454AC2">
                  <w:pPr>
                    <w:spacing w:after="0" w:line="240" w:lineRule="auto"/>
                    <w:rPr>
                      <w:rFonts w:ascii="Calibri" w:eastAsia="Times New Roman" w:hAnsi="Calibri" w:cs="Calibri"/>
                      <w:color w:val="000000"/>
                      <w:lang w:val="en-US" w:eastAsia="sk-SK"/>
                    </w:rPr>
                  </w:pPr>
                  <w:r w:rsidRPr="00526795">
                    <w:rPr>
                      <w:rFonts w:ascii="Calibri" w:eastAsia="Times New Roman" w:hAnsi="Calibri" w:cs="Calibri"/>
                      <w:color w:val="000000"/>
                      <w:lang w:val="en-US" w:eastAsia="sk-SK"/>
                    </w:rPr>
                    <w:t xml:space="preserve">          364 516 198   </w:t>
                  </w:r>
                </w:p>
              </w:tc>
              <w:tc>
                <w:tcPr>
                  <w:tcW w:w="1840" w:type="dxa"/>
                  <w:tcBorders>
                    <w:top w:val="nil"/>
                    <w:left w:val="nil"/>
                    <w:bottom w:val="single" w:sz="4" w:space="0" w:color="auto"/>
                    <w:right w:val="single" w:sz="4" w:space="0" w:color="auto"/>
                  </w:tcBorders>
                  <w:shd w:val="clear" w:color="auto" w:fill="auto"/>
                  <w:noWrap/>
                  <w:vAlign w:val="bottom"/>
                  <w:hideMark/>
                </w:tcPr>
                <w:p w14:paraId="7BA7FE1F" w14:textId="77777777" w:rsidR="00454AC2" w:rsidRPr="00526795" w:rsidRDefault="00454AC2" w:rsidP="00454AC2">
                  <w:pPr>
                    <w:spacing w:after="0" w:line="240" w:lineRule="auto"/>
                    <w:rPr>
                      <w:rFonts w:ascii="Calibri" w:eastAsia="Times New Roman" w:hAnsi="Calibri" w:cs="Calibri"/>
                      <w:color w:val="000000"/>
                      <w:lang w:val="en-US" w:eastAsia="sk-SK"/>
                    </w:rPr>
                  </w:pPr>
                  <w:r w:rsidRPr="00526795">
                    <w:rPr>
                      <w:rFonts w:ascii="Calibri" w:eastAsia="Times New Roman" w:hAnsi="Calibri" w:cs="Calibri"/>
                      <w:color w:val="000000"/>
                      <w:lang w:val="en-US" w:eastAsia="sk-SK"/>
                    </w:rPr>
                    <w:t xml:space="preserve">          274 348 467   </w:t>
                  </w:r>
                </w:p>
              </w:tc>
              <w:tc>
                <w:tcPr>
                  <w:tcW w:w="1853" w:type="dxa"/>
                  <w:gridSpan w:val="2"/>
                  <w:tcBorders>
                    <w:top w:val="nil"/>
                    <w:left w:val="nil"/>
                    <w:bottom w:val="single" w:sz="4" w:space="0" w:color="auto"/>
                    <w:right w:val="single" w:sz="4" w:space="0" w:color="auto"/>
                  </w:tcBorders>
                  <w:shd w:val="clear" w:color="auto" w:fill="auto"/>
                  <w:noWrap/>
                  <w:vAlign w:val="bottom"/>
                  <w:hideMark/>
                </w:tcPr>
                <w:p w14:paraId="76CCD86E" w14:textId="782E63D5" w:rsidR="00454AC2" w:rsidRPr="00526795" w:rsidRDefault="00454AC2" w:rsidP="00454AC2">
                  <w:pPr>
                    <w:spacing w:after="0" w:line="240" w:lineRule="auto"/>
                    <w:rPr>
                      <w:rFonts w:ascii="Calibri" w:eastAsia="Times New Roman" w:hAnsi="Calibri" w:cs="Calibri"/>
                      <w:color w:val="000000"/>
                      <w:lang w:val="en-US" w:eastAsia="sk-SK"/>
                    </w:rPr>
                  </w:pPr>
                  <w:r w:rsidRPr="00526795">
                    <w:rPr>
                      <w:rFonts w:ascii="Calibri" w:eastAsia="Times New Roman" w:hAnsi="Calibri" w:cs="Calibri"/>
                      <w:color w:val="000000"/>
                      <w:lang w:val="en-US" w:eastAsia="sk-SK"/>
                    </w:rPr>
                    <w:t xml:space="preserve">          229</w:t>
                  </w:r>
                  <w:r w:rsidR="009C3BC9">
                    <w:rPr>
                      <w:rFonts w:ascii="Calibri" w:eastAsia="Times New Roman" w:hAnsi="Calibri" w:cs="Calibri"/>
                      <w:color w:val="000000"/>
                      <w:lang w:val="en-US" w:eastAsia="sk-SK"/>
                    </w:rPr>
                    <w:t> </w:t>
                  </w:r>
                  <w:r w:rsidRPr="00526795">
                    <w:rPr>
                      <w:rFonts w:ascii="Calibri" w:eastAsia="Times New Roman" w:hAnsi="Calibri" w:cs="Calibri"/>
                      <w:color w:val="000000"/>
                      <w:lang w:val="en-US" w:eastAsia="sk-SK"/>
                    </w:rPr>
                    <w:t xml:space="preserve">319 266   </w:t>
                  </w:r>
                </w:p>
              </w:tc>
            </w:tr>
          </w:tbl>
          <w:p w14:paraId="1D2A3370" w14:textId="242E0C7A" w:rsidR="00454AC2" w:rsidRPr="00526795" w:rsidRDefault="00454AC2" w:rsidP="00454AC2">
            <w:pPr>
              <w:pStyle w:val="Bezriadkovania"/>
              <w:rPr>
                <w:lang w:val="en-US"/>
              </w:rPr>
            </w:pPr>
          </w:p>
        </w:tc>
      </w:tr>
    </w:tbl>
    <w:p w14:paraId="55CB2D39" w14:textId="68180C46" w:rsidR="00FB6711" w:rsidRDefault="00FB6711" w:rsidP="009B40D2">
      <w:pPr>
        <w:pStyle w:val="Bezriadkovania"/>
      </w:pPr>
    </w:p>
    <w:p w14:paraId="34AB7EE8" w14:textId="77777777" w:rsidR="0057733C" w:rsidRPr="00B01372" w:rsidRDefault="00F122C4" w:rsidP="001E1A57">
      <w:pPr>
        <w:pStyle w:val="Nadpis2"/>
      </w:pPr>
      <w:r w:rsidRPr="00B01372">
        <w:t>Most frequent sources of wrong application or of legal uncertainty, including possible structural or recurring problems in the application of the rules</w:t>
      </w:r>
    </w:p>
    <w:p w14:paraId="34AB7EE9" w14:textId="77777777" w:rsidR="00A051EB" w:rsidRPr="00311484" w:rsidRDefault="00A051EB" w:rsidP="0057733C">
      <w:pPr>
        <w:pStyle w:val="Bezriadkovania"/>
        <w:jc w:val="both"/>
        <w:rPr>
          <w:i/>
        </w:rPr>
      </w:pPr>
    </w:p>
    <w:tbl>
      <w:tblPr>
        <w:tblStyle w:val="Mriekatabuky"/>
        <w:tblW w:w="0" w:type="auto"/>
        <w:tblLook w:val="04A0" w:firstRow="1" w:lastRow="0" w:firstColumn="1" w:lastColumn="0" w:noHBand="0" w:noVBand="1"/>
      </w:tblPr>
      <w:tblGrid>
        <w:gridCol w:w="4504"/>
        <w:gridCol w:w="9490"/>
      </w:tblGrid>
      <w:tr w:rsidR="00253552" w:rsidRPr="00B01372" w14:paraId="3550B523" w14:textId="77777777" w:rsidTr="00095252">
        <w:tc>
          <w:tcPr>
            <w:tcW w:w="4606" w:type="dxa"/>
          </w:tcPr>
          <w:p w14:paraId="0C1AA974" w14:textId="25DBEC5D" w:rsidR="00253552" w:rsidRPr="00B01372" w:rsidRDefault="00620C02" w:rsidP="001D4DCD">
            <w:pPr>
              <w:pStyle w:val="Bezriadkovania"/>
            </w:pPr>
            <w:r w:rsidRPr="00B01372">
              <w:rPr>
                <w:b/>
              </w:rPr>
              <w:t>II</w:t>
            </w:r>
            <w:r w:rsidR="00253552" w:rsidRPr="00B01372">
              <w:rPr>
                <w:b/>
              </w:rPr>
              <w:t>.1.</w:t>
            </w:r>
            <w:r w:rsidR="00253552" w:rsidRPr="00B01372">
              <w:t xml:space="preserve"> </w:t>
            </w:r>
            <w:r w:rsidR="00253552" w:rsidRPr="00B01372">
              <w:rPr>
                <w:b/>
              </w:rPr>
              <w:t xml:space="preserve">Qualitative reporting </w:t>
            </w:r>
            <w:r w:rsidR="001D4DCD" w:rsidRPr="00B01372">
              <w:rPr>
                <w:b/>
              </w:rPr>
              <w:t>on</w:t>
            </w:r>
            <w:r w:rsidR="00253552" w:rsidRPr="00B01372">
              <w:rPr>
                <w:b/>
              </w:rPr>
              <w:t xml:space="preserve"> application of public procurement rules</w:t>
            </w:r>
          </w:p>
        </w:tc>
        <w:tc>
          <w:tcPr>
            <w:tcW w:w="9509" w:type="dxa"/>
          </w:tcPr>
          <w:p w14:paraId="75E38ACC" w14:textId="77777777" w:rsidR="00253552" w:rsidRPr="00B01372" w:rsidRDefault="00253552" w:rsidP="005329C9">
            <w:pPr>
              <w:pStyle w:val="Bezriadkovania"/>
              <w:jc w:val="both"/>
            </w:pPr>
          </w:p>
        </w:tc>
      </w:tr>
      <w:tr w:rsidR="00253552" w:rsidRPr="00B01372" w14:paraId="1AEF9F61" w14:textId="77777777" w:rsidTr="00095252">
        <w:tc>
          <w:tcPr>
            <w:tcW w:w="4606" w:type="dxa"/>
          </w:tcPr>
          <w:p w14:paraId="24EB57A5" w14:textId="169C6581" w:rsidR="00253552" w:rsidRPr="00B01372" w:rsidRDefault="00253552" w:rsidP="00253552">
            <w:pPr>
              <w:pStyle w:val="Bezriadkovania"/>
            </w:pPr>
            <w:r w:rsidRPr="00B01372">
              <w:t>Main sources of wrong application or of legal uncertainty</w:t>
            </w:r>
          </w:p>
        </w:tc>
        <w:tc>
          <w:tcPr>
            <w:tcW w:w="9509" w:type="dxa"/>
          </w:tcPr>
          <w:p w14:paraId="76174CC1" w14:textId="77777777" w:rsidR="00F60D61" w:rsidRPr="00F60D61" w:rsidRDefault="00F60D61" w:rsidP="00F60D61">
            <w:pPr>
              <w:pStyle w:val="Bezriadkovania"/>
              <w:jc w:val="both"/>
              <w:rPr>
                <w:lang w:val="en-US"/>
              </w:rPr>
            </w:pPr>
            <w:r w:rsidRPr="00F60D61">
              <w:rPr>
                <w:lang w:val="en-US"/>
              </w:rPr>
              <w:t>As part of the methodological work, intensive work is being done on some challenges, such as:</w:t>
            </w:r>
          </w:p>
          <w:p w14:paraId="76E8811F" w14:textId="61DC675D" w:rsidR="00F60D61" w:rsidRPr="00F60D61" w:rsidRDefault="00F60D61" w:rsidP="00F60D61">
            <w:pPr>
              <w:pStyle w:val="Bezriadkovania"/>
              <w:jc w:val="both"/>
              <w:rPr>
                <w:lang w:val="en-US"/>
              </w:rPr>
            </w:pPr>
            <w:r>
              <w:rPr>
                <w:lang w:val="en-US"/>
              </w:rPr>
              <w:t xml:space="preserve">- </w:t>
            </w:r>
            <w:r w:rsidRPr="00F60D61">
              <w:rPr>
                <w:lang w:val="en-US"/>
              </w:rPr>
              <w:t xml:space="preserve"> division of the contract into lots (Article 46 of Directive 2014/24/EU), </w:t>
            </w:r>
          </w:p>
          <w:p w14:paraId="50AE6996" w14:textId="5F763380" w:rsidR="00F60D61" w:rsidRPr="00F60D61" w:rsidRDefault="00F60D61" w:rsidP="00F60D61">
            <w:pPr>
              <w:pStyle w:val="Bezriadkovania"/>
              <w:jc w:val="both"/>
              <w:rPr>
                <w:lang w:val="en-US"/>
              </w:rPr>
            </w:pPr>
            <w:r w:rsidRPr="00F60D61">
              <w:rPr>
                <w:lang w:val="en-US"/>
              </w:rPr>
              <w:t>-</w:t>
            </w:r>
            <w:r>
              <w:rPr>
                <w:lang w:val="en-US"/>
              </w:rPr>
              <w:t xml:space="preserve"> </w:t>
            </w:r>
            <w:r w:rsidRPr="00F60D61">
              <w:rPr>
                <w:lang w:val="en-US"/>
              </w:rPr>
              <w:t xml:space="preserve"> conflict of interest (Article 24 of Directive 2014/24/EU), </w:t>
            </w:r>
          </w:p>
          <w:p w14:paraId="33352168" w14:textId="78983D73" w:rsidR="00F60D61" w:rsidRDefault="00F60D61" w:rsidP="00F60D61">
            <w:pPr>
              <w:pStyle w:val="Bezriadkovania"/>
              <w:jc w:val="both"/>
              <w:rPr>
                <w:lang w:val="en-US"/>
              </w:rPr>
            </w:pPr>
            <w:r w:rsidRPr="00F60D61">
              <w:rPr>
                <w:lang w:val="en-US"/>
              </w:rPr>
              <w:t xml:space="preserve">- </w:t>
            </w:r>
            <w:r>
              <w:rPr>
                <w:lang w:val="en-US"/>
              </w:rPr>
              <w:t xml:space="preserve"> </w:t>
            </w:r>
            <w:r w:rsidRPr="00F60D61">
              <w:rPr>
                <w:lang w:val="en-US"/>
              </w:rPr>
              <w:t>description of the subject of the contract through performance or functional requirements a</w:t>
            </w:r>
            <w:r>
              <w:rPr>
                <w:lang w:val="en-US"/>
              </w:rPr>
              <w:t>nd</w:t>
            </w:r>
          </w:p>
          <w:p w14:paraId="4E158BEA" w14:textId="06254987" w:rsidR="00F60D61" w:rsidRPr="00F60D61" w:rsidRDefault="00F60D61" w:rsidP="00F60D61">
            <w:pPr>
              <w:pStyle w:val="Bezriadkovania"/>
              <w:jc w:val="both"/>
              <w:rPr>
                <w:lang w:val="en-US"/>
              </w:rPr>
            </w:pPr>
            <w:r>
              <w:rPr>
                <w:lang w:val="en-US"/>
              </w:rPr>
              <w:t xml:space="preserve">   </w:t>
            </w:r>
            <w:r w:rsidRPr="00F60D61">
              <w:rPr>
                <w:lang w:val="en-US"/>
              </w:rPr>
              <w:t xml:space="preserve">acceptance of an equivalent solution (Article 42 of Directive 2014/24/EU), </w:t>
            </w:r>
          </w:p>
          <w:p w14:paraId="1CE6314A" w14:textId="77777777" w:rsidR="00F60D61" w:rsidRDefault="00F60D61" w:rsidP="00F60D61">
            <w:pPr>
              <w:pStyle w:val="Bezriadkovania"/>
              <w:jc w:val="both"/>
              <w:rPr>
                <w:lang w:val="en-US"/>
              </w:rPr>
            </w:pPr>
            <w:r w:rsidRPr="00F60D61">
              <w:rPr>
                <w:lang w:val="en-US"/>
              </w:rPr>
              <w:t xml:space="preserve">- </w:t>
            </w:r>
            <w:r>
              <w:rPr>
                <w:lang w:val="en-US"/>
              </w:rPr>
              <w:t xml:space="preserve"> </w:t>
            </w:r>
            <w:r w:rsidRPr="00F60D61">
              <w:rPr>
                <w:lang w:val="en-US"/>
              </w:rPr>
              <w:t>the adequacy of the evidence of compliance with the conditions for participation (Article 58 of Directive</w:t>
            </w:r>
          </w:p>
          <w:p w14:paraId="2BA5637B" w14:textId="2DFD6693" w:rsidR="00F60D61" w:rsidRPr="00F60D61" w:rsidRDefault="00F60D61" w:rsidP="00F60D61">
            <w:pPr>
              <w:pStyle w:val="Bezriadkovania"/>
              <w:jc w:val="both"/>
              <w:rPr>
                <w:lang w:val="en-US"/>
              </w:rPr>
            </w:pPr>
            <w:r>
              <w:rPr>
                <w:lang w:val="en-US"/>
              </w:rPr>
              <w:t xml:space="preserve">  </w:t>
            </w:r>
            <w:r w:rsidRPr="00F60D61">
              <w:rPr>
                <w:lang w:val="en-US"/>
              </w:rPr>
              <w:t xml:space="preserve"> 2014/24/EU in conjunction with Annex XII to Directive 2014/24/EU), </w:t>
            </w:r>
          </w:p>
          <w:p w14:paraId="2127D917" w14:textId="77777777" w:rsidR="00F60D61" w:rsidRDefault="00F60D61" w:rsidP="00F60D61">
            <w:pPr>
              <w:pStyle w:val="Bezriadkovania"/>
              <w:jc w:val="both"/>
              <w:rPr>
                <w:lang w:val="en-US"/>
              </w:rPr>
            </w:pPr>
            <w:r w:rsidRPr="00F60D61">
              <w:rPr>
                <w:lang w:val="en-US"/>
              </w:rPr>
              <w:t xml:space="preserve">- </w:t>
            </w:r>
            <w:r>
              <w:rPr>
                <w:lang w:val="en-US"/>
              </w:rPr>
              <w:t xml:space="preserve"> </w:t>
            </w:r>
            <w:r w:rsidRPr="00F60D61">
              <w:rPr>
                <w:lang w:val="en-US"/>
              </w:rPr>
              <w:t>completion of missing documents by tenderers after the deadline for submission of tenders (Article 56</w:t>
            </w:r>
          </w:p>
          <w:p w14:paraId="1C109D3A" w14:textId="77777777" w:rsidR="00F60D61" w:rsidRDefault="00F60D61" w:rsidP="00F60D61">
            <w:pPr>
              <w:pStyle w:val="Bezriadkovania"/>
              <w:jc w:val="both"/>
              <w:rPr>
                <w:lang w:val="en-US"/>
              </w:rPr>
            </w:pPr>
            <w:r>
              <w:rPr>
                <w:lang w:val="en-US"/>
              </w:rPr>
              <w:t xml:space="preserve">  </w:t>
            </w:r>
            <w:r w:rsidRPr="00F60D61">
              <w:rPr>
                <w:lang w:val="en-US"/>
              </w:rPr>
              <w:t xml:space="preserve"> (3) of Directive 2014/24/EU, especially in connection with the formalistic interpretation of Section 40</w:t>
            </w:r>
          </w:p>
          <w:p w14:paraId="02E62680" w14:textId="136AAF38" w:rsidR="00F60D61" w:rsidRPr="00F60D61" w:rsidRDefault="00F60D61" w:rsidP="00F60D61">
            <w:pPr>
              <w:pStyle w:val="Bezriadkovania"/>
              <w:jc w:val="both"/>
              <w:rPr>
                <w:lang w:val="en-US"/>
              </w:rPr>
            </w:pPr>
            <w:r>
              <w:rPr>
                <w:lang w:val="en-US"/>
              </w:rPr>
              <w:t xml:space="preserve">  </w:t>
            </w:r>
            <w:r w:rsidRPr="00F60D61">
              <w:rPr>
                <w:lang w:val="en-US"/>
              </w:rPr>
              <w:t xml:space="preserve"> (4) of Slovak Act No. 343/2015 Coll. on Public Procurement),</w:t>
            </w:r>
          </w:p>
          <w:p w14:paraId="58898AC1" w14:textId="1C431600" w:rsidR="00F15A33" w:rsidRPr="00F60D61" w:rsidRDefault="00F60D61" w:rsidP="00F60D61">
            <w:pPr>
              <w:pStyle w:val="Bezriadkovania"/>
              <w:jc w:val="both"/>
              <w:rPr>
                <w:lang w:val="en-US"/>
              </w:rPr>
            </w:pPr>
            <w:r w:rsidRPr="00F60D61">
              <w:rPr>
                <w:lang w:val="en-US"/>
              </w:rPr>
              <w:t xml:space="preserve">- </w:t>
            </w:r>
            <w:r>
              <w:rPr>
                <w:lang w:val="en-US"/>
              </w:rPr>
              <w:t xml:space="preserve"> </w:t>
            </w:r>
            <w:r w:rsidRPr="00F60D61">
              <w:rPr>
                <w:lang w:val="en-US"/>
              </w:rPr>
              <w:t>non-price / qualitative criteria for the evaluation of tenders (Article 67 of Directive 2014/2 /EU).</w:t>
            </w:r>
          </w:p>
          <w:p w14:paraId="2F9CEAE0" w14:textId="0E573934" w:rsidR="00F15A33" w:rsidRPr="00F60D61" w:rsidRDefault="00F15A33" w:rsidP="00F15A33">
            <w:pPr>
              <w:pStyle w:val="Bezriadkovania"/>
              <w:jc w:val="both"/>
              <w:rPr>
                <w:highlight w:val="lightGray"/>
                <w:lang w:val="en-US"/>
              </w:rPr>
            </w:pPr>
          </w:p>
          <w:p w14:paraId="523478A4" w14:textId="58F65D34" w:rsidR="00C35AC3" w:rsidRPr="003B02B7" w:rsidRDefault="003B02B7" w:rsidP="00F15A33">
            <w:pPr>
              <w:pStyle w:val="Bezriadkovania"/>
              <w:jc w:val="both"/>
              <w:rPr>
                <w:highlight w:val="lightGray"/>
                <w:lang w:val="en-US"/>
              </w:rPr>
            </w:pPr>
            <w:r w:rsidRPr="003B02B7">
              <w:rPr>
                <w:lang w:val="en-US"/>
              </w:rPr>
              <w:t xml:space="preserve">The harmonization of the interpretation of these provisions is being complicated by uncertainty, and inconsistency in the interpretation of individual provisions by EU and SK inspection bodies respectively. This uncertainty is also a consequence of the dynamically evolving public procurement environment in connection with a larger amount of interested methodological </w:t>
            </w:r>
            <w:r w:rsidR="005D02FC">
              <w:rPr>
                <w:lang w:val="en-US"/>
              </w:rPr>
              <w:t xml:space="preserve">and control </w:t>
            </w:r>
            <w:r w:rsidRPr="003B02B7">
              <w:rPr>
                <w:lang w:val="en-US"/>
              </w:rPr>
              <w:t xml:space="preserve">bodies. The diversity of interpretation resulting from the various methodological guidelines issued by various bodies is the subject of a national discussion, which is and has been directed towards the centralization of the institutes at the Ministry of Investment, Regional Development and </w:t>
            </w:r>
            <w:proofErr w:type="spellStart"/>
            <w:r w:rsidRPr="003B02B7">
              <w:rPr>
                <w:lang w:val="en-US"/>
              </w:rPr>
              <w:t>Informatization</w:t>
            </w:r>
            <w:proofErr w:type="spellEnd"/>
            <w:r w:rsidRPr="003B02B7">
              <w:rPr>
                <w:lang w:val="en-US"/>
              </w:rPr>
              <w:t xml:space="preserve"> of the Slovak Republic. A similar solution, in connection with the harmonization of decision-making practice, is planned within the framework of the involvement of Public procurement office</w:t>
            </w:r>
            <w:r w:rsidR="009C3BC9">
              <w:rPr>
                <w:lang w:val="en-US"/>
              </w:rPr>
              <w:t xml:space="preserve"> (PPO)</w:t>
            </w:r>
            <w:r w:rsidRPr="003B02B7">
              <w:rPr>
                <w:lang w:val="en-US"/>
              </w:rPr>
              <w:t xml:space="preserve"> into the euro fund system and the creation of “SO”, and single inspection body respectively.</w:t>
            </w:r>
          </w:p>
          <w:p w14:paraId="562E6C5D" w14:textId="77777777" w:rsidR="003B02B7" w:rsidRDefault="003B02B7" w:rsidP="00F15A33">
            <w:pPr>
              <w:pStyle w:val="Bezriadkovania"/>
              <w:jc w:val="both"/>
              <w:rPr>
                <w:highlight w:val="lightGray"/>
                <w:lang w:val="sk-SK"/>
              </w:rPr>
            </w:pPr>
          </w:p>
          <w:p w14:paraId="765C434C" w14:textId="66A11BC7" w:rsidR="00C35AC3" w:rsidRPr="005D02FC" w:rsidRDefault="005D02FC" w:rsidP="00F15A33">
            <w:pPr>
              <w:pStyle w:val="Bezriadkovania"/>
              <w:jc w:val="both"/>
              <w:rPr>
                <w:highlight w:val="lightGray"/>
                <w:lang w:val="en-US"/>
              </w:rPr>
            </w:pPr>
            <w:r w:rsidRPr="005D02FC">
              <w:rPr>
                <w:lang w:val="en-US"/>
              </w:rPr>
              <w:t>In the future, it will be necessary to improve the interpretation of the provisions of Directive 2014/24/EU or Slovak Act 343/2015 Coll. on Public Procurement and extend it with practical examples that can bring the participants in</w:t>
            </w:r>
            <w:r w:rsidR="009C3BC9">
              <w:rPr>
                <w:lang w:val="en-US"/>
              </w:rPr>
              <w:t>to</w:t>
            </w:r>
            <w:r w:rsidRPr="005D02FC">
              <w:rPr>
                <w:lang w:val="en-US"/>
              </w:rPr>
              <w:t xml:space="preserve"> the public procurement process closer and explain the issues of individual institutes </w:t>
            </w:r>
            <w:r w:rsidRPr="005D02FC">
              <w:rPr>
                <w:lang w:val="en-US"/>
              </w:rPr>
              <w:lastRenderedPageBreak/>
              <w:t>of the public procurement process. As part of the planning of the agenda, it is envisaged to link the individual practical examples with expert analyzes and discussions with experts within the individual areas concerned. The aim is to achieve a linkage of knowledge and experience between technical specialists, economists, lawyers and experts in the public procurement process.</w:t>
            </w:r>
          </w:p>
          <w:p w14:paraId="51637116" w14:textId="77777777" w:rsidR="00C35AC3" w:rsidRDefault="00C35AC3" w:rsidP="00F15A33">
            <w:pPr>
              <w:pStyle w:val="Bezriadkovania"/>
              <w:jc w:val="both"/>
              <w:rPr>
                <w:highlight w:val="lightGray"/>
                <w:lang w:val="sk-SK"/>
              </w:rPr>
            </w:pPr>
          </w:p>
          <w:p w14:paraId="0C4F831F" w14:textId="1683FF5B" w:rsidR="00E24794" w:rsidRPr="00933C22" w:rsidRDefault="00933C22" w:rsidP="005329C9">
            <w:pPr>
              <w:pStyle w:val="Bezriadkovania"/>
              <w:jc w:val="both"/>
              <w:rPr>
                <w:lang w:val="en-US"/>
              </w:rPr>
            </w:pPr>
            <w:r>
              <w:rPr>
                <w:lang w:val="en-US"/>
              </w:rPr>
              <w:t>Public</w:t>
            </w:r>
            <w:r w:rsidR="00784F83" w:rsidRPr="00933C22">
              <w:rPr>
                <w:lang w:val="en-US"/>
              </w:rPr>
              <w:t xml:space="preserve"> </w:t>
            </w:r>
            <w:r>
              <w:rPr>
                <w:lang w:val="en-US"/>
              </w:rPr>
              <w:t xml:space="preserve">Procurement Office </w:t>
            </w:r>
            <w:r w:rsidR="00784F83" w:rsidRPr="00933C22">
              <w:rPr>
                <w:lang w:val="en-US"/>
              </w:rPr>
              <w:t>(</w:t>
            </w:r>
            <w:r>
              <w:rPr>
                <w:lang w:val="en-US"/>
              </w:rPr>
              <w:t>PPO</w:t>
            </w:r>
            <w:r w:rsidR="00784F83" w:rsidRPr="00933C22">
              <w:rPr>
                <w:lang w:val="en-US"/>
              </w:rPr>
              <w:t>)</w:t>
            </w:r>
            <w:r w:rsidR="00E24794" w:rsidRPr="00933C22">
              <w:rPr>
                <w:lang w:val="en-US"/>
              </w:rPr>
              <w:t xml:space="preserve"> - </w:t>
            </w:r>
            <w:r>
              <w:rPr>
                <w:lang w:val="en-US"/>
              </w:rPr>
              <w:t>d</w:t>
            </w:r>
            <w:r w:rsidRPr="00933C22">
              <w:rPr>
                <w:lang w:val="en-US"/>
              </w:rPr>
              <w:t xml:space="preserve">ivision of Structural funds and European agenda published The Analysis of the most common infringements in public procurement. It is focusing on selected parts of public procurement where contracting authority or contracting entity often makes mistakes. The main </w:t>
            </w:r>
            <w:r>
              <w:rPr>
                <w:lang w:val="en-US"/>
              </w:rPr>
              <w:t>figures</w:t>
            </w:r>
            <w:r w:rsidRPr="00933C22">
              <w:rPr>
                <w:lang w:val="en-US"/>
              </w:rPr>
              <w:t xml:space="preserve"> and information that frame the whole analysis came from data compilation collected by this division. The main results are that these subjects (CA/CE) mostly forget to apply an institute of explanation, they make mistakes in a description of the </w:t>
            </w:r>
            <w:r w:rsidR="009C3BC9">
              <w:rPr>
                <w:lang w:val="en-US"/>
              </w:rPr>
              <w:t>subject</w:t>
            </w:r>
            <w:r w:rsidRPr="00933C22">
              <w:rPr>
                <w:lang w:val="en-US"/>
              </w:rPr>
              <w:t xml:space="preserve"> of the contract or they wrongly set the selection criteria. This analysis is published on website of PPO. We personally perceive that the mistakes stem from the lack of attention paid to the preparatory phase and the knowledge of the contracting authorities and entities.</w:t>
            </w:r>
          </w:p>
          <w:p w14:paraId="6EB1FACF" w14:textId="23E5DA12" w:rsidR="001817F5" w:rsidRDefault="001817F5" w:rsidP="005329C9">
            <w:pPr>
              <w:pStyle w:val="Bezriadkovania"/>
              <w:jc w:val="both"/>
            </w:pPr>
          </w:p>
          <w:p w14:paraId="47213962" w14:textId="77777777" w:rsidR="00E947C9" w:rsidRPr="00E947C9" w:rsidRDefault="00E947C9" w:rsidP="00E947C9">
            <w:pPr>
              <w:pStyle w:val="Bezriadkovania"/>
              <w:jc w:val="both"/>
              <w:rPr>
                <w:lang w:val="en-US"/>
              </w:rPr>
            </w:pPr>
            <w:r w:rsidRPr="00E947C9">
              <w:rPr>
                <w:lang w:val="en-US"/>
              </w:rPr>
              <w:t xml:space="preserve">In 2018, Public Procurement Office (PPO) led and completed: </w:t>
            </w:r>
          </w:p>
          <w:p w14:paraId="76E33AEF" w14:textId="77777777" w:rsidR="00E947C9" w:rsidRDefault="00E947C9" w:rsidP="00E947C9">
            <w:pPr>
              <w:pStyle w:val="Bezriadkovania"/>
              <w:jc w:val="both"/>
              <w:rPr>
                <w:lang w:val="en-US"/>
              </w:rPr>
            </w:pPr>
            <w:r w:rsidRPr="00E947C9">
              <w:rPr>
                <w:lang w:val="en-US"/>
              </w:rPr>
              <w:t>- 35 administrative proceedings concerning the imposition of a fine on the contracting authority / entity</w:t>
            </w:r>
          </w:p>
          <w:p w14:paraId="1434181E" w14:textId="77777777" w:rsidR="00E947C9" w:rsidRDefault="00E947C9" w:rsidP="00E947C9">
            <w:pPr>
              <w:pStyle w:val="Bezriadkovania"/>
              <w:jc w:val="both"/>
              <w:rPr>
                <w:lang w:val="en-US"/>
              </w:rPr>
            </w:pPr>
            <w:r>
              <w:rPr>
                <w:lang w:val="en-US"/>
              </w:rPr>
              <w:t xml:space="preserve">  </w:t>
            </w:r>
            <w:r w:rsidRPr="00E947C9">
              <w:rPr>
                <w:lang w:val="en-US"/>
              </w:rPr>
              <w:t>for breaching the Public Procurement Act. 15 cases represented the most serious violation of the Public</w:t>
            </w:r>
          </w:p>
          <w:p w14:paraId="46D41072" w14:textId="02C3D229" w:rsidR="00E947C9" w:rsidRDefault="00E947C9" w:rsidP="00E947C9">
            <w:pPr>
              <w:pStyle w:val="Bezriadkovania"/>
              <w:jc w:val="both"/>
              <w:rPr>
                <w:lang w:val="en-US"/>
              </w:rPr>
            </w:pPr>
            <w:r>
              <w:rPr>
                <w:lang w:val="en-US"/>
              </w:rPr>
              <w:t xml:space="preserve"> </w:t>
            </w:r>
            <w:r w:rsidRPr="00E947C9">
              <w:rPr>
                <w:lang w:val="en-US"/>
              </w:rPr>
              <w:t xml:space="preserve"> Procurement Act as avoidance of the obligation to proceed under the Public Procurement Act </w:t>
            </w:r>
            <w:r>
              <w:rPr>
                <w:lang w:val="en-US"/>
              </w:rPr>
              <w:t>–</w:t>
            </w:r>
          </w:p>
          <w:p w14:paraId="7C332B74" w14:textId="77777777" w:rsidR="00E947C9" w:rsidRDefault="00E947C9" w:rsidP="00E947C9">
            <w:pPr>
              <w:pStyle w:val="Bezriadkovania"/>
              <w:jc w:val="both"/>
              <w:rPr>
                <w:lang w:val="en-US"/>
              </w:rPr>
            </w:pPr>
            <w:r>
              <w:rPr>
                <w:lang w:val="en-US"/>
              </w:rPr>
              <w:t xml:space="preserve"> </w:t>
            </w:r>
            <w:r w:rsidRPr="00E947C9">
              <w:rPr>
                <w:lang w:val="en-US"/>
              </w:rPr>
              <w:t xml:space="preserve"> avoidance of the procedure under the Public Procurement Act (10 sanctioned cases), division of the</w:t>
            </w:r>
          </w:p>
          <w:p w14:paraId="1C8A2D15" w14:textId="77777777" w:rsidR="00E947C9" w:rsidRDefault="00E947C9" w:rsidP="00E947C9">
            <w:pPr>
              <w:pStyle w:val="Bezriadkovania"/>
              <w:jc w:val="both"/>
              <w:rPr>
                <w:lang w:val="en-US"/>
              </w:rPr>
            </w:pPr>
            <w:r>
              <w:rPr>
                <w:lang w:val="en-US"/>
              </w:rPr>
              <w:t xml:space="preserve"> </w:t>
            </w:r>
            <w:r w:rsidRPr="00E947C9">
              <w:rPr>
                <w:lang w:val="en-US"/>
              </w:rPr>
              <w:t xml:space="preserve"> contract to avoid the procedure under the Public Procurement Act (1 sanctioned case) and breach of</w:t>
            </w:r>
          </w:p>
          <w:p w14:paraId="2A36F14C" w14:textId="77777777" w:rsidR="00E947C9" w:rsidRDefault="00E947C9" w:rsidP="00E947C9">
            <w:pPr>
              <w:pStyle w:val="Bezriadkovania"/>
              <w:jc w:val="both"/>
              <w:rPr>
                <w:lang w:val="en-US"/>
              </w:rPr>
            </w:pPr>
            <w:r>
              <w:rPr>
                <w:lang w:val="en-US"/>
              </w:rPr>
              <w:t xml:space="preserve"> </w:t>
            </w:r>
            <w:r w:rsidRPr="00E947C9">
              <w:rPr>
                <w:lang w:val="en-US"/>
              </w:rPr>
              <w:t xml:space="preserve"> the basic principles of public procurement with a possible significant impact on the result of public</w:t>
            </w:r>
          </w:p>
          <w:p w14:paraId="0B351A37" w14:textId="5D1BBB27" w:rsidR="00E947C9" w:rsidRDefault="00E947C9" w:rsidP="00E947C9">
            <w:pPr>
              <w:pStyle w:val="Bezriadkovania"/>
              <w:jc w:val="both"/>
              <w:rPr>
                <w:lang w:val="en-US"/>
              </w:rPr>
            </w:pPr>
            <w:r>
              <w:rPr>
                <w:lang w:val="en-US"/>
              </w:rPr>
              <w:t xml:space="preserve"> </w:t>
            </w:r>
            <w:r w:rsidRPr="00E947C9">
              <w:rPr>
                <w:lang w:val="en-US"/>
              </w:rPr>
              <w:t xml:space="preserve"> procurement (4 sanctioned cases). In other cases, the Office identified less serious violations of the </w:t>
            </w:r>
          </w:p>
          <w:p w14:paraId="34BE77D6" w14:textId="77777777" w:rsidR="00E947C9" w:rsidRDefault="00E947C9" w:rsidP="00E947C9">
            <w:pPr>
              <w:pStyle w:val="Bezriadkovania"/>
              <w:jc w:val="both"/>
              <w:rPr>
                <w:lang w:val="en-US"/>
              </w:rPr>
            </w:pPr>
            <w:r>
              <w:rPr>
                <w:lang w:val="en-US"/>
              </w:rPr>
              <w:t xml:space="preserve">  </w:t>
            </w:r>
            <w:r w:rsidRPr="00E947C9">
              <w:rPr>
                <w:lang w:val="en-US"/>
              </w:rPr>
              <w:t>Public Procurement Act, in particular incorrect evaluation of tenders in cases where the criterion for</w:t>
            </w:r>
          </w:p>
          <w:p w14:paraId="736B3207" w14:textId="0A08278F" w:rsidR="00E947C9" w:rsidRPr="00E947C9" w:rsidRDefault="00E947C9" w:rsidP="00E947C9">
            <w:pPr>
              <w:pStyle w:val="Bezriadkovania"/>
              <w:jc w:val="both"/>
              <w:rPr>
                <w:lang w:val="en-US"/>
              </w:rPr>
            </w:pPr>
            <w:r>
              <w:rPr>
                <w:lang w:val="en-US"/>
              </w:rPr>
              <w:t xml:space="preserve"> </w:t>
            </w:r>
            <w:r w:rsidRPr="00E947C9">
              <w:rPr>
                <w:lang w:val="en-US"/>
              </w:rPr>
              <w:t xml:space="preserve"> evaluating tenders is the most economically advantageous tender, </w:t>
            </w:r>
          </w:p>
          <w:p w14:paraId="03D270E2" w14:textId="77777777" w:rsidR="00E947C9" w:rsidRDefault="00E947C9" w:rsidP="00E947C9">
            <w:pPr>
              <w:pStyle w:val="Bezriadkovania"/>
              <w:jc w:val="both"/>
              <w:rPr>
                <w:lang w:val="en-US"/>
              </w:rPr>
            </w:pPr>
            <w:r>
              <w:rPr>
                <w:lang w:val="en-US"/>
              </w:rPr>
              <w:t>-</w:t>
            </w:r>
            <w:r w:rsidRPr="00E947C9">
              <w:rPr>
                <w:lang w:val="en-US"/>
              </w:rPr>
              <w:t>10 administrative proceedings (legally terminated) in the matter of imposing a fine or prohibiting</w:t>
            </w:r>
          </w:p>
          <w:p w14:paraId="3510C95E" w14:textId="77777777" w:rsidR="00E947C9" w:rsidRDefault="00E947C9" w:rsidP="00E947C9">
            <w:pPr>
              <w:pStyle w:val="Bezriadkovania"/>
              <w:jc w:val="both"/>
              <w:rPr>
                <w:lang w:val="en-US"/>
              </w:rPr>
            </w:pPr>
            <w:r>
              <w:rPr>
                <w:lang w:val="en-US"/>
              </w:rPr>
              <w:t xml:space="preserve"> </w:t>
            </w:r>
            <w:r w:rsidRPr="00E947C9">
              <w:rPr>
                <w:lang w:val="en-US"/>
              </w:rPr>
              <w:t xml:space="preserve"> participation in public procurement for an economic entity for breaching the obligations arising from</w:t>
            </w:r>
          </w:p>
          <w:p w14:paraId="43EBA953" w14:textId="6009F150" w:rsidR="00E947C9" w:rsidRPr="00E947C9" w:rsidRDefault="00E947C9" w:rsidP="00E947C9">
            <w:pPr>
              <w:pStyle w:val="Bezriadkovania"/>
              <w:jc w:val="both"/>
              <w:rPr>
                <w:lang w:val="en-US"/>
              </w:rPr>
            </w:pPr>
            <w:r>
              <w:rPr>
                <w:lang w:val="en-US"/>
              </w:rPr>
              <w:t xml:space="preserve"> </w:t>
            </w:r>
            <w:r w:rsidRPr="00E947C9">
              <w:rPr>
                <w:lang w:val="en-US"/>
              </w:rPr>
              <w:t xml:space="preserve"> the Public Procurement Act, and business conditions of the electronic marketplace respectively.</w:t>
            </w:r>
          </w:p>
          <w:p w14:paraId="0847E514" w14:textId="77777777" w:rsidR="001D21C3" w:rsidRPr="009A304E" w:rsidRDefault="001D21C3" w:rsidP="001D21C3">
            <w:pPr>
              <w:rPr>
                <w:highlight w:val="lightGray"/>
                <w:lang w:val="sk-SK"/>
              </w:rPr>
            </w:pPr>
          </w:p>
          <w:p w14:paraId="286601B0" w14:textId="77777777" w:rsidR="003F2A40" w:rsidRDefault="003F2A40" w:rsidP="003F2A40">
            <w:pPr>
              <w:rPr>
                <w:lang w:val="en-US"/>
              </w:rPr>
            </w:pPr>
          </w:p>
          <w:p w14:paraId="1063A597" w14:textId="77777777" w:rsidR="003F2A40" w:rsidRDefault="003F2A40" w:rsidP="003F2A40">
            <w:pPr>
              <w:rPr>
                <w:lang w:val="en-US"/>
              </w:rPr>
            </w:pPr>
          </w:p>
          <w:p w14:paraId="45CBD3D2" w14:textId="76416F87" w:rsidR="003F2A40" w:rsidRPr="003F2A40" w:rsidRDefault="003F2A40" w:rsidP="003F2A40">
            <w:pPr>
              <w:rPr>
                <w:lang w:val="en-US"/>
              </w:rPr>
            </w:pPr>
            <w:r w:rsidRPr="003F2A40">
              <w:rPr>
                <w:lang w:val="en-US"/>
              </w:rPr>
              <w:lastRenderedPageBreak/>
              <w:t xml:space="preserve">In 2019, Public Procurement Office </w:t>
            </w:r>
            <w:r w:rsidR="009C3BC9">
              <w:rPr>
                <w:lang w:val="en-US"/>
              </w:rPr>
              <w:t xml:space="preserve">(PPO) </w:t>
            </w:r>
            <w:r w:rsidRPr="003F2A40">
              <w:rPr>
                <w:lang w:val="en-US"/>
              </w:rPr>
              <w:t xml:space="preserve">led and completed: </w:t>
            </w:r>
          </w:p>
          <w:p w14:paraId="3F749F8D" w14:textId="77777777" w:rsidR="003F2A40" w:rsidRDefault="003F2A40" w:rsidP="003F2A40">
            <w:pPr>
              <w:rPr>
                <w:lang w:val="en-US"/>
              </w:rPr>
            </w:pPr>
            <w:r w:rsidRPr="003F2A40">
              <w:rPr>
                <w:lang w:val="en-US"/>
              </w:rPr>
              <w:t>- 47 administrative proceedings concerning the imposition of a fine on the contracting authority / entity</w:t>
            </w:r>
          </w:p>
          <w:p w14:paraId="2BA61C18" w14:textId="77777777" w:rsidR="003F2A40" w:rsidRDefault="003F2A40" w:rsidP="003F2A40">
            <w:pPr>
              <w:rPr>
                <w:lang w:val="en-US"/>
              </w:rPr>
            </w:pPr>
            <w:r>
              <w:rPr>
                <w:lang w:val="en-US"/>
              </w:rPr>
              <w:t xml:space="preserve"> </w:t>
            </w:r>
            <w:r w:rsidRPr="003F2A40">
              <w:rPr>
                <w:lang w:val="en-US"/>
              </w:rPr>
              <w:t xml:space="preserve"> for breaching the Public Procurement Act. 14 cases represented the most serious violation of the</w:t>
            </w:r>
          </w:p>
          <w:p w14:paraId="6C9716E1" w14:textId="77777777" w:rsidR="003F2A40" w:rsidRDefault="003F2A40" w:rsidP="003F2A40">
            <w:pPr>
              <w:rPr>
                <w:lang w:val="en-US"/>
              </w:rPr>
            </w:pPr>
            <w:r>
              <w:rPr>
                <w:lang w:val="en-US"/>
              </w:rPr>
              <w:t xml:space="preserve"> </w:t>
            </w:r>
            <w:r w:rsidRPr="003F2A40">
              <w:rPr>
                <w:lang w:val="en-US"/>
              </w:rPr>
              <w:t xml:space="preserve"> Public Procurement Act as an avoidance of the obligation to proceed according to the Public</w:t>
            </w:r>
            <w:r>
              <w:rPr>
                <w:lang w:val="en-US"/>
              </w:rPr>
              <w:t xml:space="preserve"> </w:t>
            </w:r>
          </w:p>
          <w:p w14:paraId="0CCD83CC" w14:textId="77777777" w:rsidR="003F2A40" w:rsidRDefault="003F2A40" w:rsidP="003F2A40">
            <w:pPr>
              <w:rPr>
                <w:lang w:val="en-US"/>
              </w:rPr>
            </w:pPr>
            <w:r>
              <w:rPr>
                <w:lang w:val="en-US"/>
              </w:rPr>
              <w:t xml:space="preserve"> </w:t>
            </w:r>
            <w:r w:rsidRPr="003F2A40">
              <w:rPr>
                <w:lang w:val="en-US"/>
              </w:rPr>
              <w:t xml:space="preserve"> Procurement Act (14 sanctioned cases) together with a violation of basic public procurement</w:t>
            </w:r>
          </w:p>
          <w:p w14:paraId="217CC394" w14:textId="77777777" w:rsidR="003F2A40" w:rsidRDefault="003F2A40" w:rsidP="003F2A40">
            <w:pPr>
              <w:rPr>
                <w:lang w:val="en-US"/>
              </w:rPr>
            </w:pPr>
            <w:r>
              <w:rPr>
                <w:lang w:val="en-US"/>
              </w:rPr>
              <w:t xml:space="preserve"> </w:t>
            </w:r>
            <w:r w:rsidRPr="003F2A40">
              <w:rPr>
                <w:lang w:val="en-US"/>
              </w:rPr>
              <w:t xml:space="preserve"> principles with a possible significant impact on the public procurement result (11 sanctioned cases). In</w:t>
            </w:r>
          </w:p>
          <w:p w14:paraId="23447922" w14:textId="77777777" w:rsidR="003F2A40" w:rsidRDefault="003F2A40" w:rsidP="003F2A40">
            <w:pPr>
              <w:rPr>
                <w:lang w:val="en-US"/>
              </w:rPr>
            </w:pPr>
            <w:r>
              <w:rPr>
                <w:lang w:val="en-US"/>
              </w:rPr>
              <w:t xml:space="preserve"> </w:t>
            </w:r>
            <w:r w:rsidRPr="003F2A40">
              <w:rPr>
                <w:lang w:val="en-US"/>
              </w:rPr>
              <w:t xml:space="preserve"> other cases, the Office identified less serious breaches of the Public Procurement Act, in particular</w:t>
            </w:r>
          </w:p>
          <w:p w14:paraId="1DD0761B" w14:textId="77777777" w:rsidR="003F2A40" w:rsidRDefault="003F2A40" w:rsidP="003F2A40">
            <w:pPr>
              <w:rPr>
                <w:lang w:val="en-US"/>
              </w:rPr>
            </w:pPr>
            <w:r>
              <w:rPr>
                <w:lang w:val="en-US"/>
              </w:rPr>
              <w:t xml:space="preserve"> </w:t>
            </w:r>
            <w:r w:rsidRPr="003F2A40">
              <w:rPr>
                <w:lang w:val="en-US"/>
              </w:rPr>
              <w:t xml:space="preserve"> non-compliance with the obligation to document the entire course of public procurement, with</w:t>
            </w:r>
          </w:p>
          <w:p w14:paraId="378A051E" w14:textId="614FA23A" w:rsidR="003F2A40" w:rsidRPr="003F2A40" w:rsidRDefault="003F2A40" w:rsidP="003F2A40">
            <w:pPr>
              <w:rPr>
                <w:lang w:val="en-US"/>
              </w:rPr>
            </w:pPr>
            <w:r>
              <w:rPr>
                <w:lang w:val="en-US"/>
              </w:rPr>
              <w:t xml:space="preserve"> </w:t>
            </w:r>
            <w:r w:rsidRPr="003F2A40">
              <w:rPr>
                <w:lang w:val="en-US"/>
              </w:rPr>
              <w:t xml:space="preserve"> emphasis on the reviewability of decisions taken at all stages of public procurement, </w:t>
            </w:r>
          </w:p>
          <w:p w14:paraId="168C3052" w14:textId="77777777" w:rsidR="003F2A40" w:rsidRDefault="003F2A40" w:rsidP="003F2A40">
            <w:pPr>
              <w:rPr>
                <w:lang w:val="en-US"/>
              </w:rPr>
            </w:pPr>
            <w:r w:rsidRPr="003F2A40">
              <w:rPr>
                <w:lang w:val="en-US"/>
              </w:rPr>
              <w:t>- 8 administrative proceedings (legally terminated) in the matter of imposing a fine or prohibition of</w:t>
            </w:r>
          </w:p>
          <w:p w14:paraId="62B8DEF6" w14:textId="77777777" w:rsidR="003F2A40" w:rsidRDefault="003F2A40" w:rsidP="003F2A40">
            <w:pPr>
              <w:rPr>
                <w:lang w:val="en-US"/>
              </w:rPr>
            </w:pPr>
            <w:r>
              <w:rPr>
                <w:lang w:val="en-US"/>
              </w:rPr>
              <w:t xml:space="preserve"> </w:t>
            </w:r>
            <w:r w:rsidRPr="003F2A40">
              <w:rPr>
                <w:lang w:val="en-US"/>
              </w:rPr>
              <w:t xml:space="preserve"> participation in public procurement for an economic entity for breaching the obligations arising from</w:t>
            </w:r>
          </w:p>
          <w:p w14:paraId="3AF81337" w14:textId="38220A2E" w:rsidR="001D21C3" w:rsidRPr="003F2A40" w:rsidRDefault="003F2A40" w:rsidP="003F2A40">
            <w:pPr>
              <w:rPr>
                <w:highlight w:val="lightGray"/>
                <w:lang w:val="en-US"/>
              </w:rPr>
            </w:pPr>
            <w:r>
              <w:rPr>
                <w:lang w:val="en-US"/>
              </w:rPr>
              <w:t xml:space="preserve">  the Public Procurement Act, </w:t>
            </w:r>
            <w:r w:rsidRPr="003F2A40">
              <w:rPr>
                <w:lang w:val="en-US"/>
              </w:rPr>
              <w:t>and business conditions of the electronic marketplace respectively.</w:t>
            </w:r>
          </w:p>
          <w:p w14:paraId="5628FC3C" w14:textId="77777777" w:rsidR="003F2A40" w:rsidRPr="009A304E" w:rsidRDefault="003F2A40" w:rsidP="001D21C3">
            <w:pPr>
              <w:pStyle w:val="Odsekzoznamu"/>
              <w:ind w:left="405"/>
              <w:rPr>
                <w:highlight w:val="lightGray"/>
                <w:lang w:val="sk-SK"/>
              </w:rPr>
            </w:pPr>
          </w:p>
          <w:p w14:paraId="7D79857C" w14:textId="05E48CA7" w:rsidR="003F2A40" w:rsidRPr="003F2A40" w:rsidRDefault="003F2A40" w:rsidP="003F2A40">
            <w:pPr>
              <w:rPr>
                <w:lang w:val="en-US"/>
              </w:rPr>
            </w:pPr>
            <w:r w:rsidRPr="003F2A40">
              <w:rPr>
                <w:lang w:val="en-US"/>
              </w:rPr>
              <w:t xml:space="preserve">In 2020, Public Procurement Office </w:t>
            </w:r>
            <w:r w:rsidR="009C3BC9">
              <w:rPr>
                <w:lang w:val="en-US"/>
              </w:rPr>
              <w:t xml:space="preserve">(PPO) </w:t>
            </w:r>
            <w:r w:rsidRPr="003F2A40">
              <w:rPr>
                <w:lang w:val="en-US"/>
              </w:rPr>
              <w:t xml:space="preserve">led and completed: </w:t>
            </w:r>
          </w:p>
          <w:p w14:paraId="2FD89EED" w14:textId="77777777" w:rsidR="003F2A40" w:rsidRDefault="003F2A40" w:rsidP="003F2A40">
            <w:pPr>
              <w:rPr>
                <w:lang w:val="en-US"/>
              </w:rPr>
            </w:pPr>
            <w:r w:rsidRPr="003F2A40">
              <w:rPr>
                <w:lang w:val="en-US"/>
              </w:rPr>
              <w:t>- 13 administrative proceedings concerning the imposition of a fine on the contracting authority / entity</w:t>
            </w:r>
          </w:p>
          <w:p w14:paraId="3A02CFFF" w14:textId="093F2061" w:rsidR="003F2A40" w:rsidRPr="003F2A40" w:rsidRDefault="003F2A40" w:rsidP="003F2A40">
            <w:pPr>
              <w:rPr>
                <w:lang w:val="en-US"/>
              </w:rPr>
            </w:pPr>
            <w:r>
              <w:rPr>
                <w:lang w:val="en-US"/>
              </w:rPr>
              <w:t xml:space="preserve">  </w:t>
            </w:r>
            <w:r w:rsidRPr="003F2A40">
              <w:rPr>
                <w:lang w:val="en-US"/>
              </w:rPr>
              <w:t xml:space="preserve"> for breaching the Public Procurement Act, </w:t>
            </w:r>
          </w:p>
          <w:p w14:paraId="067CB8DB" w14:textId="77777777" w:rsidR="003F2A40" w:rsidRDefault="003F2A40" w:rsidP="003F2A40">
            <w:pPr>
              <w:rPr>
                <w:lang w:val="en-US"/>
              </w:rPr>
            </w:pPr>
            <w:r w:rsidRPr="003F2A40">
              <w:rPr>
                <w:lang w:val="en-US"/>
              </w:rPr>
              <w:t>-</w:t>
            </w:r>
            <w:r>
              <w:rPr>
                <w:lang w:val="en-US"/>
              </w:rPr>
              <w:t xml:space="preserve"> </w:t>
            </w:r>
            <w:r w:rsidRPr="003F2A40">
              <w:rPr>
                <w:lang w:val="en-US"/>
              </w:rPr>
              <w:t xml:space="preserve"> 5 administrative proceedings (legally terminated) in the matter of imposing a fine or prohibition of</w:t>
            </w:r>
          </w:p>
          <w:p w14:paraId="441A28CB" w14:textId="77777777" w:rsidR="003F2A40" w:rsidRDefault="003F2A40" w:rsidP="003F2A40">
            <w:pPr>
              <w:rPr>
                <w:lang w:val="en-US"/>
              </w:rPr>
            </w:pPr>
            <w:r>
              <w:rPr>
                <w:lang w:val="en-US"/>
              </w:rPr>
              <w:t xml:space="preserve">  </w:t>
            </w:r>
            <w:r w:rsidRPr="003F2A40">
              <w:rPr>
                <w:lang w:val="en-US"/>
              </w:rPr>
              <w:t xml:space="preserve"> participation in public procurement for an economic entity for breaching the obligations arising from</w:t>
            </w:r>
          </w:p>
          <w:p w14:paraId="18F23D7C" w14:textId="07898C65" w:rsidR="003F2A40" w:rsidRPr="003F2A40" w:rsidRDefault="003F2A40" w:rsidP="003F2A40">
            <w:pPr>
              <w:rPr>
                <w:lang w:val="en-US"/>
              </w:rPr>
            </w:pPr>
            <w:r>
              <w:rPr>
                <w:lang w:val="en-US"/>
              </w:rPr>
              <w:t xml:space="preserve">  </w:t>
            </w:r>
            <w:r w:rsidRPr="003F2A40">
              <w:rPr>
                <w:lang w:val="en-US"/>
              </w:rPr>
              <w:t xml:space="preserve"> the Public Procurement Act, and business conditions of the electronic marketplace respectively</w:t>
            </w:r>
          </w:p>
          <w:p w14:paraId="7F46A4B3" w14:textId="7383E8E1" w:rsidR="003F2A40" w:rsidRDefault="003F2A40" w:rsidP="001D21C3">
            <w:pPr>
              <w:rPr>
                <w:lang w:val="en-US"/>
              </w:rPr>
            </w:pPr>
            <w:r w:rsidRPr="003F2A40">
              <w:rPr>
                <w:lang w:val="en-US"/>
              </w:rPr>
              <w:t xml:space="preserve">- </w:t>
            </w:r>
            <w:r>
              <w:rPr>
                <w:lang w:val="en-US"/>
              </w:rPr>
              <w:t xml:space="preserve"> </w:t>
            </w:r>
            <w:r w:rsidRPr="003F2A40">
              <w:rPr>
                <w:lang w:val="en-US"/>
              </w:rPr>
              <w:t xml:space="preserve">69 administrative proceedings concerning the imposition of a fine on an economic </w:t>
            </w:r>
            <w:r w:rsidR="00933429">
              <w:rPr>
                <w:lang w:val="en-US"/>
              </w:rPr>
              <w:t>entity</w:t>
            </w:r>
            <w:r w:rsidR="00933429" w:rsidRPr="003F2A40">
              <w:rPr>
                <w:lang w:val="en-US"/>
              </w:rPr>
              <w:t xml:space="preserve"> </w:t>
            </w:r>
            <w:r w:rsidRPr="003F2A40">
              <w:rPr>
                <w:lang w:val="en-US"/>
              </w:rPr>
              <w:t>for</w:t>
            </w:r>
          </w:p>
          <w:p w14:paraId="5C0A0E7B" w14:textId="6828F38D" w:rsidR="001D21C3" w:rsidRDefault="003F2A40" w:rsidP="001D21C3">
            <w:pPr>
              <w:rPr>
                <w:highlight w:val="lightGray"/>
                <w:lang w:val="sk-SK"/>
              </w:rPr>
            </w:pPr>
            <w:r>
              <w:rPr>
                <w:lang w:val="en-US"/>
              </w:rPr>
              <w:t xml:space="preserve">  </w:t>
            </w:r>
            <w:r w:rsidRPr="003F2A40">
              <w:rPr>
                <w:lang w:val="en-US"/>
              </w:rPr>
              <w:t xml:space="preserve"> breaching the obligation to notify.</w:t>
            </w:r>
          </w:p>
          <w:p w14:paraId="517AE5E0" w14:textId="77777777" w:rsidR="003F2A40" w:rsidRPr="009A304E" w:rsidRDefault="003F2A40" w:rsidP="001D21C3">
            <w:pPr>
              <w:rPr>
                <w:highlight w:val="lightGray"/>
                <w:lang w:val="sk-SK"/>
              </w:rPr>
            </w:pPr>
          </w:p>
          <w:p w14:paraId="0E103AA5" w14:textId="18075B8C" w:rsidR="00255FFF" w:rsidRPr="003F2A40" w:rsidRDefault="003F2A40" w:rsidP="005329C9">
            <w:pPr>
              <w:pStyle w:val="Bezriadkovania"/>
              <w:jc w:val="both"/>
              <w:rPr>
                <w:sz w:val="18"/>
                <w:szCs w:val="18"/>
                <w:lang w:val="en-US"/>
              </w:rPr>
            </w:pPr>
            <w:r w:rsidRPr="003F2A40">
              <w:rPr>
                <w:lang w:val="en-US"/>
              </w:rPr>
              <w:t>In comparison with previous years, PPO points to the tendency that more serious cases of breaching the obligations arising from the Public Procurement Act are gradually decreasing. In regards to the nature of public procurers, there is a tendency for breaching the basic obligations arising from the Public Procurement Act by state bodies and local government units, especially in the award of below-threshold contracts.</w:t>
            </w:r>
          </w:p>
          <w:p w14:paraId="1FF87D67" w14:textId="5FAFB83F" w:rsidR="00253552" w:rsidRPr="00B01372" w:rsidRDefault="00253552" w:rsidP="00255FFF">
            <w:r w:rsidRPr="00B01372">
              <w:t xml:space="preserve"> </w:t>
            </w:r>
          </w:p>
        </w:tc>
      </w:tr>
      <w:tr w:rsidR="00253552" w:rsidRPr="00B01372" w14:paraId="1F5C36BD" w14:textId="77777777" w:rsidTr="00095252">
        <w:tc>
          <w:tcPr>
            <w:tcW w:w="4606" w:type="dxa"/>
          </w:tcPr>
          <w:p w14:paraId="75C2003C" w14:textId="70EADB38" w:rsidR="00253552" w:rsidRPr="00B01372" w:rsidRDefault="00253552" w:rsidP="00B36524">
            <w:pPr>
              <w:jc w:val="both"/>
            </w:pPr>
            <w:r w:rsidRPr="00B01372">
              <w:lastRenderedPageBreak/>
              <w:t>Specific legal provisions (from EU or national law) which appear to raise significant problems of application</w:t>
            </w:r>
          </w:p>
        </w:tc>
        <w:tc>
          <w:tcPr>
            <w:tcW w:w="9509" w:type="dxa"/>
          </w:tcPr>
          <w:p w14:paraId="6ED612C2" w14:textId="6BBEE879" w:rsidR="0095784C" w:rsidRPr="0095784C" w:rsidRDefault="0095784C" w:rsidP="001817F5">
            <w:pPr>
              <w:pStyle w:val="Bezriadkovania"/>
              <w:jc w:val="both"/>
              <w:rPr>
                <w:lang w:val="en-US"/>
              </w:rPr>
            </w:pPr>
            <w:r w:rsidRPr="0095784C">
              <w:rPr>
                <w:lang w:val="en-US"/>
              </w:rPr>
              <w:t>Undoubtedly, such a provision or institute of P</w:t>
            </w:r>
            <w:r w:rsidR="00933429">
              <w:rPr>
                <w:lang w:val="en-US"/>
              </w:rPr>
              <w:t xml:space="preserve">ublic </w:t>
            </w:r>
            <w:r w:rsidRPr="0095784C">
              <w:rPr>
                <w:lang w:val="en-US"/>
              </w:rPr>
              <w:t>P</w:t>
            </w:r>
            <w:r w:rsidR="00933429">
              <w:rPr>
                <w:lang w:val="en-US"/>
              </w:rPr>
              <w:t xml:space="preserve">rocurement </w:t>
            </w:r>
            <w:r w:rsidRPr="0095784C">
              <w:rPr>
                <w:lang w:val="en-US"/>
              </w:rPr>
              <w:t>A</w:t>
            </w:r>
            <w:r w:rsidR="00933429">
              <w:rPr>
                <w:lang w:val="en-US"/>
              </w:rPr>
              <w:t>ct</w:t>
            </w:r>
            <w:r w:rsidRPr="0095784C">
              <w:rPr>
                <w:lang w:val="en-US"/>
              </w:rPr>
              <w:t xml:space="preserve"> can be marked the MEAT criteria, which are very little used by contracting authorities and entities in Slovakia. The reason is little knowledge </w:t>
            </w:r>
            <w:r w:rsidRPr="0095784C">
              <w:rPr>
                <w:lang w:val="en-US"/>
              </w:rPr>
              <w:lastRenderedPageBreak/>
              <w:t xml:space="preserve">of the correct application and setting of this type of award criteria. For this reason, the lowest price criteria approach </w:t>
            </w:r>
            <w:r w:rsidR="00933429">
              <w:rPr>
                <w:lang w:val="en-US"/>
              </w:rPr>
              <w:t xml:space="preserve">is </w:t>
            </w:r>
            <w:r w:rsidRPr="0095784C">
              <w:rPr>
                <w:lang w:val="en-US"/>
              </w:rPr>
              <w:t>a simpler application and therefore it is more used.</w:t>
            </w:r>
          </w:p>
          <w:p w14:paraId="2554AF76" w14:textId="77777777" w:rsidR="005B32F7" w:rsidRPr="0095784C" w:rsidRDefault="005B32F7" w:rsidP="001817F5">
            <w:pPr>
              <w:pStyle w:val="Bezriadkovania"/>
              <w:jc w:val="both"/>
              <w:rPr>
                <w:highlight w:val="lightGray"/>
                <w:lang w:val="en-US"/>
              </w:rPr>
            </w:pPr>
          </w:p>
          <w:p w14:paraId="659DEBF8" w14:textId="77777777" w:rsidR="0095784C" w:rsidRPr="0095784C" w:rsidRDefault="0095784C" w:rsidP="00784F83">
            <w:pPr>
              <w:pStyle w:val="Bezriadkovania"/>
              <w:jc w:val="both"/>
              <w:rPr>
                <w:lang w:val="en-US"/>
              </w:rPr>
            </w:pPr>
            <w:r w:rsidRPr="0095784C">
              <w:rPr>
                <w:lang w:val="en-US"/>
              </w:rPr>
              <w:t>In connection with this issue, the Responsible Public Procurement project was created, financed from the EEA and Norway Funds. Its main goal is to increase awareness of MEAT criteria through methodologies and training, to help competition announcers set all the conditions correctly and thus raise the principle of value for money.</w:t>
            </w:r>
          </w:p>
          <w:p w14:paraId="28DC1D49" w14:textId="032404B9" w:rsidR="00253552" w:rsidRPr="00B01372" w:rsidRDefault="00253552" w:rsidP="00784F83">
            <w:pPr>
              <w:pStyle w:val="Bezriadkovania"/>
              <w:jc w:val="both"/>
            </w:pPr>
          </w:p>
        </w:tc>
      </w:tr>
      <w:tr w:rsidR="00253552" w:rsidRPr="00B01372" w14:paraId="28261C74" w14:textId="77777777" w:rsidTr="00095252">
        <w:tc>
          <w:tcPr>
            <w:tcW w:w="4606" w:type="dxa"/>
          </w:tcPr>
          <w:p w14:paraId="0F6EE9E1" w14:textId="1364CC68" w:rsidR="00253552" w:rsidRPr="00B01372" w:rsidRDefault="0037143F" w:rsidP="00255FFF">
            <w:pPr>
              <w:jc w:val="both"/>
            </w:pPr>
            <w:r>
              <w:lastRenderedPageBreak/>
              <w:t xml:space="preserve">An assessment </w:t>
            </w:r>
            <w:r w:rsidR="00255FFF">
              <w:t>of patterns and behaviours that are not illegal or non-compliant, but still indicate possible problems</w:t>
            </w:r>
          </w:p>
        </w:tc>
        <w:tc>
          <w:tcPr>
            <w:tcW w:w="9509" w:type="dxa"/>
          </w:tcPr>
          <w:p w14:paraId="32FEC74B" w14:textId="1335F8F3" w:rsidR="00DC0D0D" w:rsidRPr="00DC0D0D" w:rsidRDefault="00DC0D0D" w:rsidP="00DC0D0D">
            <w:pPr>
              <w:pStyle w:val="Bezriadkovania"/>
              <w:jc w:val="both"/>
              <w:rPr>
                <w:highlight w:val="lightGray"/>
                <w:lang w:val="en-US"/>
              </w:rPr>
            </w:pPr>
            <w:r w:rsidRPr="00DC0D0D">
              <w:rPr>
                <w:lang w:val="en-US"/>
              </w:rPr>
              <w:t xml:space="preserve">Persistent weak planning of the public procurement process itself </w:t>
            </w:r>
            <w:r>
              <w:rPr>
                <w:lang w:val="en-US"/>
              </w:rPr>
              <w:t xml:space="preserve">and </w:t>
            </w:r>
            <w:r w:rsidRPr="00DC0D0D">
              <w:rPr>
                <w:lang w:val="en-US"/>
              </w:rPr>
              <w:t>associated subsequent breach</w:t>
            </w:r>
            <w:r>
              <w:rPr>
                <w:lang w:val="en-US"/>
              </w:rPr>
              <w:t>es</w:t>
            </w:r>
            <w:r w:rsidRPr="00DC0D0D">
              <w:rPr>
                <w:lang w:val="en-US"/>
              </w:rPr>
              <w:t xml:space="preserve"> of obligations arising from the Public Procurement Act, which results in inefficient use of public funds, e.g. weak consideration of the social criterion in public procurement, or the issue of green public procurement.</w:t>
            </w:r>
            <w:r>
              <w:rPr>
                <w:lang w:val="en-US"/>
              </w:rPr>
              <w:t xml:space="preserve"> </w:t>
            </w:r>
            <w:r w:rsidRPr="00DC0D0D">
              <w:rPr>
                <w:lang w:val="en-US"/>
              </w:rPr>
              <w:t xml:space="preserve">As part of the elimination of these challenges, in 2020 </w:t>
            </w:r>
            <w:r>
              <w:rPr>
                <w:lang w:val="en-US"/>
              </w:rPr>
              <w:t>PPO</w:t>
            </w:r>
            <w:r w:rsidRPr="00DC0D0D">
              <w:rPr>
                <w:lang w:val="en-US"/>
              </w:rPr>
              <w:t xml:space="preserve"> launched the project "Increasing the efficiency of public procurement in Slovakia", which aims to support sustainable public procurement. As part of strengthening the pre-procurement phase of the above-mentioned "Responsible Public Procurement" project, the project team is also focusing on the pre-procurement phase, in particular the "preparatory market consultation" institute.</w:t>
            </w:r>
          </w:p>
          <w:p w14:paraId="2007D07F" w14:textId="77777777" w:rsidR="00DC0D0D" w:rsidRDefault="00DC0D0D" w:rsidP="00E33510">
            <w:pPr>
              <w:pStyle w:val="Bezriadkovania"/>
              <w:jc w:val="both"/>
              <w:rPr>
                <w:highlight w:val="lightGray"/>
                <w:lang w:val="sk-SK"/>
              </w:rPr>
            </w:pPr>
          </w:p>
          <w:p w14:paraId="73F8CB81" w14:textId="5360B235" w:rsidR="00314C74" w:rsidRPr="00E33510" w:rsidRDefault="00236013" w:rsidP="00236013">
            <w:pPr>
              <w:jc w:val="both"/>
              <w:rPr>
                <w:highlight w:val="lightGray"/>
                <w:lang w:val="sk-SK"/>
              </w:rPr>
            </w:pPr>
            <w:r w:rsidRPr="00236013">
              <w:rPr>
                <w:lang w:val="en-US"/>
              </w:rPr>
              <w:t>As mentioned above, one of these problems is the application of the lowest price criterion to a much greater extent than the MEAT criterion (for the years 2018-2020, the ratio is 9: 1).</w:t>
            </w:r>
            <w:r w:rsidR="00314C74" w:rsidRPr="00E33510">
              <w:rPr>
                <w:highlight w:val="lightGray"/>
                <w:lang w:val="sk-SK"/>
              </w:rPr>
              <w:t xml:space="preserve"> </w:t>
            </w:r>
          </w:p>
          <w:p w14:paraId="2AA40E99" w14:textId="2FAF6D9F" w:rsidR="00314C74" w:rsidRDefault="00314C74" w:rsidP="00D3401B">
            <w:pPr>
              <w:jc w:val="both"/>
              <w:rPr>
                <w:sz w:val="18"/>
                <w:szCs w:val="18"/>
              </w:rPr>
            </w:pPr>
          </w:p>
          <w:p w14:paraId="5594D30C" w14:textId="22D97D64" w:rsidR="00DC0D0D" w:rsidRDefault="004F2500" w:rsidP="00DC0D0D">
            <w:pPr>
              <w:jc w:val="both"/>
            </w:pPr>
            <w:r w:rsidRPr="004F2500">
              <w:t xml:space="preserve">The </w:t>
            </w:r>
            <w:r w:rsidR="0075777C">
              <w:t>PPO</w:t>
            </w:r>
            <w:r w:rsidR="0075777C" w:rsidRPr="004F2500">
              <w:t xml:space="preserve"> </w:t>
            </w:r>
            <w:r w:rsidRPr="004F2500">
              <w:t>records number of concluded contracts, where only single – bid was submitted, to minimize the number of single – bid submissions the Office has prepared the change of public procurement act (§ 57 section 2 PPA). Also the European Commission has in 2019 audited Slovakia within the scope of single – bid submissions</w:t>
            </w:r>
            <w:r>
              <w:t xml:space="preserve">. </w:t>
            </w:r>
            <w:r w:rsidR="00DC0D0D" w:rsidRPr="00DC0D0D">
              <w:t xml:space="preserve">Therefore, we are taking certain steps (such as increasing </w:t>
            </w:r>
            <w:r w:rsidR="00DC0D0D">
              <w:t xml:space="preserve">the </w:t>
            </w:r>
            <w:r w:rsidR="00DC0D0D" w:rsidRPr="00DC0D0D">
              <w:t>transparency in the public procurement process, increasing the efficiency of communication between the CA and other control bodies through the sign</w:t>
            </w:r>
            <w:r w:rsidR="00DC0D0D">
              <w:t xml:space="preserve">ature </w:t>
            </w:r>
            <w:r w:rsidR="00DC0D0D" w:rsidRPr="00DC0D0D">
              <w:t>of bilateral cooperation agreements, increasing the effectiveness of communication is also reflected in public relations through the establishment of regional offices and writing and publishing useful methodology, which also thematically focuses on a non-discriminatory description of the subject of the contract) in order to guide contracting authorities and public authorities and help them to set up public procurement so that such situations occur as little as possible.</w:t>
            </w:r>
            <w:r w:rsidR="00DC0D0D">
              <w:t xml:space="preserve"> </w:t>
            </w:r>
          </w:p>
          <w:p w14:paraId="20A2FF3A" w14:textId="5DFC4892" w:rsidR="00314C74" w:rsidRPr="00E67A95" w:rsidDel="00B943DE" w:rsidRDefault="00314C74" w:rsidP="00DC0D0D">
            <w:pPr>
              <w:jc w:val="both"/>
              <w:rPr>
                <w:b/>
                <w:u w:val="single"/>
              </w:rPr>
            </w:pPr>
          </w:p>
        </w:tc>
      </w:tr>
      <w:tr w:rsidR="00253552" w:rsidRPr="00B01372" w14:paraId="356029E8" w14:textId="77777777" w:rsidTr="00095252">
        <w:tc>
          <w:tcPr>
            <w:tcW w:w="4606" w:type="dxa"/>
          </w:tcPr>
          <w:p w14:paraId="2F9A9575" w14:textId="77777777" w:rsidR="00781896" w:rsidRDefault="00781896" w:rsidP="0037143F">
            <w:pPr>
              <w:jc w:val="both"/>
              <w:rPr>
                <w:b/>
              </w:rPr>
            </w:pPr>
          </w:p>
          <w:p w14:paraId="591E5373" w14:textId="76A83F8A" w:rsidR="00253552" w:rsidRPr="00B01372" w:rsidDel="00BC09FC" w:rsidRDefault="00620C02" w:rsidP="0037143F">
            <w:pPr>
              <w:jc w:val="both"/>
              <w:rPr>
                <w:b/>
              </w:rPr>
            </w:pPr>
            <w:r w:rsidRPr="00B01372">
              <w:rPr>
                <w:b/>
              </w:rPr>
              <w:lastRenderedPageBreak/>
              <w:t>II</w:t>
            </w:r>
            <w:r w:rsidR="00253552" w:rsidRPr="00B01372">
              <w:rPr>
                <w:b/>
              </w:rPr>
              <w:t xml:space="preserve">.2 </w:t>
            </w:r>
            <w:r w:rsidR="0037143F">
              <w:rPr>
                <w:b/>
              </w:rPr>
              <w:t>Supporting documents</w:t>
            </w:r>
          </w:p>
        </w:tc>
        <w:tc>
          <w:tcPr>
            <w:tcW w:w="9509" w:type="dxa"/>
          </w:tcPr>
          <w:p w14:paraId="7B743D4A" w14:textId="77777777" w:rsidR="00253552" w:rsidRPr="00B01372" w:rsidRDefault="00253552" w:rsidP="00CE4EFC">
            <w:pPr>
              <w:jc w:val="both"/>
            </w:pPr>
          </w:p>
        </w:tc>
      </w:tr>
      <w:tr w:rsidR="00253552" w:rsidRPr="00B01372" w14:paraId="30910821" w14:textId="77777777" w:rsidTr="00095252">
        <w:tc>
          <w:tcPr>
            <w:tcW w:w="4606" w:type="dxa"/>
          </w:tcPr>
          <w:p w14:paraId="45348405" w14:textId="65903456" w:rsidR="00253552" w:rsidRPr="00B01372" w:rsidRDefault="00AC7614" w:rsidP="0037143F">
            <w:pPr>
              <w:jc w:val="both"/>
            </w:pPr>
            <w:r w:rsidRPr="00B01372">
              <w:lastRenderedPageBreak/>
              <w:t xml:space="preserve">Please </w:t>
            </w:r>
            <w:r w:rsidR="00B72720" w:rsidRPr="00B01372">
              <w:t>provide</w:t>
            </w:r>
            <w:r w:rsidRPr="00B01372">
              <w:t xml:space="preserve"> any available evidence of the issues identified under section </w:t>
            </w:r>
            <w:r w:rsidR="00464D72" w:rsidRPr="00B01372">
              <w:t>II</w:t>
            </w:r>
            <w:r w:rsidRPr="00B01372">
              <w:t>.1.</w:t>
            </w:r>
          </w:p>
        </w:tc>
        <w:tc>
          <w:tcPr>
            <w:tcW w:w="9509" w:type="dxa"/>
          </w:tcPr>
          <w:p w14:paraId="4A6E0AFB" w14:textId="4A5E10DD" w:rsidR="00A84C42" w:rsidRPr="00A84C42" w:rsidRDefault="00A84C42" w:rsidP="00A84C42">
            <w:pPr>
              <w:pStyle w:val="Bezriadkovania"/>
              <w:rPr>
                <w:lang w:val="en-US"/>
              </w:rPr>
            </w:pPr>
            <w:r w:rsidRPr="00A84C42">
              <w:rPr>
                <w:lang w:val="en-US"/>
              </w:rPr>
              <w:t>In order to assist in the correct application of the law and public procurement institutes (SME, MEAT criteria, responsible public procurement, preliminary market consultations, etc.), Public Procurement Office (PPO) issued specific materials (videos, infographics, etc.) and at the same time answered questions from contracting authorities and economic entities (this is a standard activity of PPO). In 2020, PPO issued 46 educational materials for the announcers of competitions and</w:t>
            </w:r>
            <w:r>
              <w:rPr>
                <w:lang w:val="en-US"/>
              </w:rPr>
              <w:t xml:space="preserve"> </w:t>
            </w:r>
            <w:r w:rsidRPr="00A84C42">
              <w:rPr>
                <w:lang w:val="en-US"/>
              </w:rPr>
              <w:t>provided more than 600 methodological guidelines.</w:t>
            </w:r>
          </w:p>
          <w:p w14:paraId="1F337D13" w14:textId="77777777" w:rsidR="00A84C42" w:rsidRDefault="00A84C42" w:rsidP="009E1987">
            <w:pPr>
              <w:pStyle w:val="Bezriadkovania"/>
              <w:rPr>
                <w:i/>
                <w:lang w:val="en-US"/>
              </w:rPr>
            </w:pPr>
          </w:p>
          <w:p w14:paraId="6478E471" w14:textId="7AA82229" w:rsidR="00255852" w:rsidRPr="009E1987" w:rsidRDefault="009E1987" w:rsidP="009E1987">
            <w:pPr>
              <w:pStyle w:val="Bezriadkovania"/>
              <w:rPr>
                <w:i/>
                <w:lang w:val="en-US"/>
              </w:rPr>
            </w:pPr>
            <w:r w:rsidRPr="009E1987">
              <w:rPr>
                <w:i/>
                <w:lang w:val="en-US"/>
              </w:rPr>
              <w:t>The Public Procurement Office (PPO) has published on its website:</w:t>
            </w:r>
            <w:r w:rsidRPr="009E1987" w:rsidDel="009E1987">
              <w:rPr>
                <w:i/>
                <w:lang w:val="en-US"/>
              </w:rPr>
              <w:t xml:space="preserve"> </w:t>
            </w:r>
          </w:p>
          <w:p w14:paraId="07E6FEBC" w14:textId="77777777" w:rsidR="00FF31D9" w:rsidRPr="009E1987" w:rsidRDefault="00FF31D9" w:rsidP="00BF332E">
            <w:pPr>
              <w:pStyle w:val="Bezriadkovania"/>
              <w:rPr>
                <w:i/>
                <w:lang w:val="en-US"/>
              </w:rPr>
            </w:pPr>
          </w:p>
          <w:p w14:paraId="673DF341" w14:textId="7B9E6DCB" w:rsidR="00BF332E" w:rsidRPr="009E1987" w:rsidRDefault="00BF332E" w:rsidP="00BF332E">
            <w:pPr>
              <w:pStyle w:val="Bezriadkovania"/>
              <w:rPr>
                <w:i/>
                <w:lang w:val="en-US"/>
              </w:rPr>
            </w:pPr>
            <w:r w:rsidRPr="009E1987">
              <w:rPr>
                <w:i/>
                <w:lang w:val="en-US"/>
              </w:rPr>
              <w:t xml:space="preserve">The Analysis of the most common infringements in public procurement - </w:t>
            </w:r>
            <w:hyperlink r:id="rId11" w:history="1">
              <w:r w:rsidRPr="009E1987">
                <w:rPr>
                  <w:rStyle w:val="Hypertextovprepojenie"/>
                  <w:i/>
                  <w:color w:val="0070C0"/>
                  <w:lang w:val="en-US"/>
                </w:rPr>
                <w:t>https://www.uvo.gov.sk/extdoc/2452/analyza_najcastejsich_poruseni_vo_verejnom_obstaravani</w:t>
              </w:r>
            </w:hyperlink>
          </w:p>
          <w:p w14:paraId="4EA9FAD9" w14:textId="77777777" w:rsidR="00BF332E" w:rsidRPr="009E1987" w:rsidRDefault="00BF332E" w:rsidP="00BF332E">
            <w:pPr>
              <w:pStyle w:val="Bezriadkovania"/>
              <w:rPr>
                <w:i/>
                <w:lang w:val="en-US"/>
              </w:rPr>
            </w:pPr>
            <w:r w:rsidRPr="009E1987">
              <w:rPr>
                <w:i/>
                <w:lang w:val="en-US"/>
              </w:rPr>
              <w:t xml:space="preserve">The Analysis of the most common violations of the Public Procurement Act - </w:t>
            </w:r>
            <w:hyperlink r:id="rId12" w:history="1">
              <w:r w:rsidRPr="009E1987">
                <w:rPr>
                  <w:rStyle w:val="Hypertextovprepojenie"/>
                  <w:i/>
                  <w:color w:val="0070C0"/>
                  <w:lang w:val="en-US"/>
                </w:rPr>
                <w:t>https://www.uvo.gov.sk/extdoc/2972/Najcastejsie_porusenia_zakona_o_VO_I</w:t>
              </w:r>
            </w:hyperlink>
          </w:p>
          <w:p w14:paraId="39FF8B73" w14:textId="6A0948CC" w:rsidR="00BF332E" w:rsidRPr="009E1987" w:rsidRDefault="00BF332E" w:rsidP="00BF332E">
            <w:pPr>
              <w:rPr>
                <w:iCs/>
                <w:lang w:val="en-US"/>
              </w:rPr>
            </w:pPr>
            <w:r w:rsidRPr="009E1987">
              <w:rPr>
                <w:lang w:val="en-US"/>
              </w:rPr>
              <w:t xml:space="preserve">Great methodology , 4th version - </w:t>
            </w:r>
            <w:hyperlink r:id="rId13" w:history="1">
              <w:r w:rsidRPr="009E1987">
                <w:rPr>
                  <w:rStyle w:val="Hypertextovprepojenie"/>
                  <w:color w:val="0070C0"/>
                  <w:lang w:val="en-US"/>
                </w:rPr>
                <w:t>https://www.uvo.gov.sk/extdoc/2641/Metodika%20zad%C3%A1vania%20z%C3%A1kaziek%20-%204_verzia</w:t>
              </w:r>
            </w:hyperlink>
          </w:p>
          <w:p w14:paraId="570EE614" w14:textId="3BABE704" w:rsidR="00BF332E" w:rsidRDefault="00BF332E" w:rsidP="00F15A33">
            <w:pPr>
              <w:jc w:val="both"/>
              <w:rPr>
                <w:iCs/>
                <w:highlight w:val="green"/>
                <w:lang w:val="sk-SK"/>
              </w:rPr>
            </w:pPr>
          </w:p>
          <w:p w14:paraId="7F87303A" w14:textId="70A384EF" w:rsidR="004168F2" w:rsidRPr="004168F2" w:rsidRDefault="004168F2" w:rsidP="004168F2">
            <w:pPr>
              <w:jc w:val="both"/>
              <w:rPr>
                <w:lang w:val="en-US"/>
              </w:rPr>
            </w:pPr>
            <w:r w:rsidRPr="004168F2">
              <w:rPr>
                <w:iCs/>
                <w:lang w:val="en-US"/>
              </w:rPr>
              <w:t xml:space="preserve">PPO also publishes on its website methodological guidelines for participants in the public procurement process, including public procurers and procurers </w:t>
            </w:r>
            <w:r w:rsidR="00290B5A" w:rsidRPr="004168F2">
              <w:rPr>
                <w:lang w:val="en-US"/>
              </w:rPr>
              <w:t>*:</w:t>
            </w:r>
            <w:r w:rsidR="00255852" w:rsidRPr="004168F2">
              <w:rPr>
                <w:lang w:val="en-US"/>
              </w:rPr>
              <w:t xml:space="preserve"> </w:t>
            </w:r>
          </w:p>
          <w:p w14:paraId="1BF0BB82" w14:textId="1583E224" w:rsidR="00255852" w:rsidRPr="004168F2" w:rsidRDefault="00EE7BA2" w:rsidP="004168F2">
            <w:pPr>
              <w:jc w:val="both"/>
              <w:rPr>
                <w:i/>
                <w:lang w:val="sk-SK"/>
              </w:rPr>
            </w:pPr>
            <w:hyperlink r:id="rId14" w:history="1">
              <w:r w:rsidR="00255852" w:rsidRPr="004168F2">
                <w:rPr>
                  <w:rStyle w:val="Hypertextovprepojenie"/>
                  <w:i/>
                  <w:color w:val="0070C0"/>
                  <w:lang w:val="sk-SK"/>
                </w:rPr>
                <w:t>https://www.uvo.gov.sk/legislativametodika-dohlad/zakon-o-verejnom-obstaravani-c-3432015-z-z-4f8.html</w:t>
              </w:r>
            </w:hyperlink>
          </w:p>
          <w:p w14:paraId="7D5636CD" w14:textId="601F51F5" w:rsidR="00255852" w:rsidRDefault="00255852" w:rsidP="00255852">
            <w:pPr>
              <w:pStyle w:val="Bezriadkovania"/>
              <w:jc w:val="both"/>
              <w:rPr>
                <w:i/>
                <w:highlight w:val="lightGray"/>
                <w:lang w:val="sk-SK"/>
              </w:rPr>
            </w:pPr>
          </w:p>
          <w:p w14:paraId="6F8148BC" w14:textId="23679253" w:rsidR="00255852" w:rsidRPr="004168F2" w:rsidRDefault="004168F2" w:rsidP="00255852">
            <w:pPr>
              <w:pStyle w:val="Bezriadkovania"/>
              <w:jc w:val="both"/>
              <w:rPr>
                <w:lang w:val="en-US"/>
              </w:rPr>
            </w:pPr>
            <w:r w:rsidRPr="004168F2">
              <w:rPr>
                <w:i/>
                <w:lang w:val="en-US"/>
              </w:rPr>
              <w:t xml:space="preserve">PPO also publishes on its website decisions on the imposition of fines to public contracting authorities, which ensures that other entities are continuously informed about detected violations of the law </w:t>
            </w:r>
            <w:r w:rsidR="00290B5A" w:rsidRPr="004168F2">
              <w:rPr>
                <w:lang w:val="en-US"/>
              </w:rPr>
              <w:t>*:</w:t>
            </w:r>
            <w:r w:rsidR="00255852" w:rsidRPr="004168F2">
              <w:rPr>
                <w:lang w:val="en-US"/>
              </w:rPr>
              <w:t xml:space="preserve"> </w:t>
            </w:r>
          </w:p>
          <w:p w14:paraId="4DD054A6" w14:textId="77777777" w:rsidR="00255852" w:rsidRPr="004168F2" w:rsidRDefault="00EE7BA2" w:rsidP="00255852">
            <w:pPr>
              <w:pStyle w:val="Bezriadkovania"/>
              <w:jc w:val="both"/>
              <w:rPr>
                <w:i/>
                <w:lang w:val="en-US"/>
              </w:rPr>
            </w:pPr>
            <w:hyperlink r:id="rId15" w:history="1">
              <w:r w:rsidR="00255852" w:rsidRPr="004168F2">
                <w:rPr>
                  <w:rStyle w:val="Hypertextovprepojenie"/>
                  <w:i/>
                  <w:color w:val="0070C0"/>
                  <w:lang w:val="en-US"/>
                </w:rPr>
                <w:t>https://www.uvo.gov.sk/legislativametodika-dohlad/spravne-delikty/prehlad-rozhodnuti-o-ulozeni-pokuty-pre-verejneho-obstaravatela-a-obstaravatela-49b.html</w:t>
              </w:r>
            </w:hyperlink>
            <w:r w:rsidR="00255852" w:rsidRPr="004168F2">
              <w:rPr>
                <w:i/>
                <w:color w:val="0070C0"/>
                <w:lang w:val="en-US"/>
              </w:rPr>
              <w:t xml:space="preserve"> </w:t>
            </w:r>
          </w:p>
          <w:p w14:paraId="5FCDD765" w14:textId="77777777" w:rsidR="00E33510" w:rsidRDefault="00E33510" w:rsidP="00F15A33">
            <w:pPr>
              <w:jc w:val="both"/>
              <w:rPr>
                <w:iCs/>
                <w:highlight w:val="lightGray"/>
                <w:lang w:val="sk-SK"/>
              </w:rPr>
            </w:pPr>
          </w:p>
          <w:p w14:paraId="6C98E871" w14:textId="2236C360" w:rsidR="00FF31D9" w:rsidRDefault="00DB5014" w:rsidP="00DB5014">
            <w:pPr>
              <w:jc w:val="both"/>
              <w:rPr>
                <w:iCs/>
                <w:highlight w:val="lightGray"/>
                <w:lang w:val="sk-SK"/>
              </w:rPr>
            </w:pPr>
            <w:r w:rsidRPr="00DB5014">
              <w:rPr>
                <w:iCs/>
                <w:lang w:val="en-US"/>
              </w:rPr>
              <w:t xml:space="preserve">The Ministry of Investment, Regional Development and </w:t>
            </w:r>
            <w:proofErr w:type="spellStart"/>
            <w:r w:rsidRPr="00DB5014">
              <w:rPr>
                <w:iCs/>
                <w:lang w:val="en-US"/>
              </w:rPr>
              <w:t>Informatization</w:t>
            </w:r>
            <w:proofErr w:type="spellEnd"/>
            <w:r w:rsidRPr="00DB5014">
              <w:rPr>
                <w:iCs/>
                <w:lang w:val="en-US"/>
              </w:rPr>
              <w:t xml:space="preserve"> of the Slovak Republic is most often confronted with the findings of the managing authorities (in case of </w:t>
            </w:r>
            <w:r>
              <w:rPr>
                <w:iCs/>
                <w:lang w:val="en-US"/>
              </w:rPr>
              <w:t>contracts financed from the ESI</w:t>
            </w:r>
            <w:r w:rsidRPr="00DB5014">
              <w:rPr>
                <w:iCs/>
                <w:lang w:val="en-US"/>
              </w:rPr>
              <w:t>F</w:t>
            </w:r>
            <w:r>
              <w:rPr>
                <w:iCs/>
                <w:lang w:val="en-US"/>
              </w:rPr>
              <w:t xml:space="preserve"> f</w:t>
            </w:r>
            <w:r w:rsidRPr="00DB5014">
              <w:rPr>
                <w:iCs/>
                <w:lang w:val="en-US"/>
              </w:rPr>
              <w:t xml:space="preserve">unds) and the </w:t>
            </w:r>
            <w:r>
              <w:rPr>
                <w:iCs/>
                <w:lang w:val="en-US"/>
              </w:rPr>
              <w:t>PPO</w:t>
            </w:r>
            <w:r w:rsidRPr="00DB5014">
              <w:rPr>
                <w:iCs/>
                <w:lang w:val="en-US"/>
              </w:rPr>
              <w:t xml:space="preserve"> (</w:t>
            </w:r>
            <w:proofErr w:type="spellStart"/>
            <w:r w:rsidRPr="00DB5014">
              <w:rPr>
                <w:iCs/>
                <w:lang w:val="en-US"/>
              </w:rPr>
              <w:t>ex</w:t>
            </w:r>
            <w:r w:rsidR="0075777C">
              <w:rPr>
                <w:iCs/>
                <w:lang w:val="en-US"/>
              </w:rPr>
              <w:t xml:space="preserve"> </w:t>
            </w:r>
            <w:r w:rsidRPr="00DB5014">
              <w:rPr>
                <w:iCs/>
                <w:lang w:val="en-US"/>
              </w:rPr>
              <w:t>ante</w:t>
            </w:r>
            <w:proofErr w:type="spellEnd"/>
            <w:r w:rsidRPr="00DB5014">
              <w:rPr>
                <w:iCs/>
                <w:lang w:val="en-US"/>
              </w:rPr>
              <w:t xml:space="preserve"> assessment, control</w:t>
            </w:r>
            <w:r w:rsidR="0075777C">
              <w:rPr>
                <w:iCs/>
                <w:lang w:val="en-US"/>
              </w:rPr>
              <w:t>s</w:t>
            </w:r>
            <w:r w:rsidRPr="00DB5014">
              <w:rPr>
                <w:iCs/>
                <w:lang w:val="en-US"/>
              </w:rPr>
              <w:t>, objection proceedings).</w:t>
            </w:r>
            <w:r w:rsidR="00F15A33" w:rsidRPr="00FF31D9">
              <w:rPr>
                <w:iCs/>
                <w:highlight w:val="lightGray"/>
                <w:lang w:val="sk-SK"/>
              </w:rPr>
              <w:t xml:space="preserve"> </w:t>
            </w:r>
          </w:p>
          <w:p w14:paraId="7DC32F72" w14:textId="17508CC4" w:rsidR="00FF31D9" w:rsidRDefault="00FF31D9" w:rsidP="00F15A33">
            <w:pPr>
              <w:jc w:val="both"/>
              <w:rPr>
                <w:iCs/>
                <w:highlight w:val="lightGray"/>
                <w:lang w:val="sk-SK"/>
              </w:rPr>
            </w:pPr>
          </w:p>
          <w:p w14:paraId="0DD6C3AB" w14:textId="65E6FDE8" w:rsidR="00F15A33" w:rsidRDefault="00DB5014" w:rsidP="00DB5014">
            <w:pPr>
              <w:jc w:val="both"/>
              <w:rPr>
                <w:iCs/>
                <w:highlight w:val="lightGray"/>
                <w:lang w:val="sk-SK"/>
              </w:rPr>
            </w:pPr>
            <w:r w:rsidRPr="00DB5014">
              <w:rPr>
                <w:iCs/>
                <w:lang w:val="en-US"/>
              </w:rPr>
              <w:t xml:space="preserve">Decisions of Public Procurement Office are published on </w:t>
            </w:r>
            <w:r>
              <w:rPr>
                <w:iCs/>
                <w:lang w:val="en-US"/>
              </w:rPr>
              <w:t>its</w:t>
            </w:r>
            <w:r w:rsidRPr="00DB5014">
              <w:rPr>
                <w:iCs/>
                <w:lang w:val="en-US"/>
              </w:rPr>
              <w:t xml:space="preserve"> </w:t>
            </w:r>
            <w:proofErr w:type="gramStart"/>
            <w:r w:rsidRPr="00DB5014">
              <w:rPr>
                <w:iCs/>
                <w:lang w:val="en-US"/>
              </w:rPr>
              <w:t>website,</w:t>
            </w:r>
            <w:proofErr w:type="gramEnd"/>
            <w:r w:rsidRPr="00DB5014">
              <w:rPr>
                <w:iCs/>
                <w:lang w:val="en-US"/>
              </w:rPr>
              <w:t xml:space="preserve"> the findings of the managing authorities are not published. However, some managing authorities publish a list of the most common deficiencies on their websites.</w:t>
            </w:r>
          </w:p>
          <w:p w14:paraId="0F30A4DC" w14:textId="583136DB" w:rsidR="00DB5014" w:rsidRDefault="00DB5014" w:rsidP="00DB5014">
            <w:pPr>
              <w:jc w:val="both"/>
              <w:rPr>
                <w:iCs/>
                <w:highlight w:val="lightGray"/>
                <w:lang w:val="sk-SK"/>
              </w:rPr>
            </w:pPr>
          </w:p>
          <w:p w14:paraId="7DD8EFAE" w14:textId="5DC9B30D" w:rsidR="00B4519A" w:rsidRPr="00B4519A" w:rsidRDefault="00B4519A" w:rsidP="00B4519A">
            <w:pPr>
              <w:jc w:val="both"/>
              <w:rPr>
                <w:iCs/>
                <w:lang w:val="en-US"/>
              </w:rPr>
            </w:pPr>
            <w:r w:rsidRPr="00B4519A">
              <w:rPr>
                <w:iCs/>
                <w:lang w:val="en-US"/>
              </w:rPr>
              <w:t xml:space="preserve">These most common deficiencies include: </w:t>
            </w:r>
          </w:p>
          <w:p w14:paraId="11D4EF2D" w14:textId="46EAAC9D" w:rsidR="00B4519A" w:rsidRPr="00B4519A" w:rsidRDefault="00B4519A" w:rsidP="00B4519A">
            <w:pPr>
              <w:pStyle w:val="Odsekzoznamu"/>
              <w:numPr>
                <w:ilvl w:val="0"/>
                <w:numId w:val="16"/>
              </w:numPr>
              <w:ind w:left="201" w:hanging="201"/>
              <w:jc w:val="both"/>
              <w:rPr>
                <w:iCs/>
                <w:lang w:val="en-US"/>
              </w:rPr>
            </w:pPr>
            <w:r w:rsidRPr="00B4519A">
              <w:rPr>
                <w:iCs/>
                <w:lang w:val="en-US"/>
              </w:rPr>
              <w:t>discriminatory and unreasonable conditions of participation (e.g.  unreasonable requirements for</w:t>
            </w:r>
          </w:p>
          <w:p w14:paraId="11A112CC" w14:textId="772E1760" w:rsidR="00B4519A" w:rsidRDefault="00B4519A" w:rsidP="00B4519A">
            <w:pPr>
              <w:jc w:val="both"/>
              <w:rPr>
                <w:iCs/>
                <w:lang w:val="en-US"/>
              </w:rPr>
            </w:pPr>
            <w:r>
              <w:rPr>
                <w:iCs/>
                <w:lang w:val="en-US"/>
              </w:rPr>
              <w:t xml:space="preserve"> </w:t>
            </w:r>
            <w:r w:rsidRPr="00B4519A">
              <w:rPr>
                <w:iCs/>
                <w:lang w:val="en-US"/>
              </w:rPr>
              <w:t xml:space="preserve"> </w:t>
            </w:r>
            <w:r>
              <w:rPr>
                <w:iCs/>
                <w:lang w:val="en-US"/>
              </w:rPr>
              <w:t xml:space="preserve">  </w:t>
            </w:r>
            <w:r w:rsidRPr="00B4519A">
              <w:rPr>
                <w:iCs/>
                <w:lang w:val="en-US"/>
              </w:rPr>
              <w:t>references and key experts responsible for th</w:t>
            </w:r>
            <w:r>
              <w:rPr>
                <w:iCs/>
                <w:lang w:val="en-US"/>
              </w:rPr>
              <w:t>e performance of the contract)</w:t>
            </w:r>
            <w:r w:rsidR="009E6088">
              <w:rPr>
                <w:iCs/>
                <w:lang w:val="en-US"/>
              </w:rPr>
              <w:t>,</w:t>
            </w:r>
            <w:r>
              <w:rPr>
                <w:iCs/>
                <w:lang w:val="en-US"/>
              </w:rPr>
              <w:t xml:space="preserve"> </w:t>
            </w:r>
          </w:p>
          <w:p w14:paraId="72BFA962" w14:textId="12327942" w:rsidR="00B4519A" w:rsidRDefault="00B4519A" w:rsidP="00B4519A">
            <w:pPr>
              <w:jc w:val="both"/>
              <w:rPr>
                <w:iCs/>
                <w:lang w:val="en-US"/>
              </w:rPr>
            </w:pPr>
            <w:r>
              <w:rPr>
                <w:iCs/>
                <w:lang w:val="en-US"/>
              </w:rPr>
              <w:t xml:space="preserve">-   </w:t>
            </w:r>
            <w:r w:rsidRPr="00B4519A">
              <w:rPr>
                <w:iCs/>
                <w:lang w:val="en-US"/>
              </w:rPr>
              <w:t>discriminatory description of the subject of the contract, which is not described on the basis of</w:t>
            </w:r>
          </w:p>
          <w:p w14:paraId="0B6EDEB6" w14:textId="3E43BC34" w:rsidR="00B4519A" w:rsidRPr="00B4519A" w:rsidRDefault="00B4519A" w:rsidP="00B4519A">
            <w:pPr>
              <w:jc w:val="both"/>
              <w:rPr>
                <w:iCs/>
                <w:lang w:val="en-US"/>
              </w:rPr>
            </w:pPr>
            <w:r>
              <w:rPr>
                <w:iCs/>
                <w:lang w:val="en-US"/>
              </w:rPr>
              <w:t xml:space="preserve">    </w:t>
            </w:r>
            <w:r w:rsidRPr="00B4519A">
              <w:rPr>
                <w:iCs/>
                <w:lang w:val="en-US"/>
              </w:rPr>
              <w:t>performance and functional characteristics</w:t>
            </w:r>
            <w:r w:rsidR="009E6088">
              <w:rPr>
                <w:iCs/>
                <w:lang w:val="en-US"/>
              </w:rPr>
              <w:t>,</w:t>
            </w:r>
            <w:r w:rsidRPr="00B4519A">
              <w:rPr>
                <w:iCs/>
                <w:lang w:val="en-US"/>
              </w:rPr>
              <w:t xml:space="preserve"> </w:t>
            </w:r>
          </w:p>
          <w:p w14:paraId="37629807" w14:textId="4797FA52" w:rsidR="00B4519A" w:rsidRDefault="00B4519A" w:rsidP="00B4519A">
            <w:pPr>
              <w:jc w:val="both"/>
              <w:rPr>
                <w:iCs/>
                <w:lang w:val="en-US"/>
              </w:rPr>
            </w:pPr>
            <w:r w:rsidRPr="00B4519A">
              <w:rPr>
                <w:iCs/>
                <w:lang w:val="en-US"/>
              </w:rPr>
              <w:t xml:space="preserve">- </w:t>
            </w:r>
            <w:r>
              <w:rPr>
                <w:iCs/>
                <w:lang w:val="en-US"/>
              </w:rPr>
              <w:t xml:space="preserve"> </w:t>
            </w:r>
            <w:r w:rsidRPr="00B4519A">
              <w:rPr>
                <w:iCs/>
                <w:lang w:val="en-US"/>
              </w:rPr>
              <w:t>the division of contracts into lots, which has the effect of circumventing the procurement procedure</w:t>
            </w:r>
            <w:r w:rsidR="009E6088">
              <w:rPr>
                <w:iCs/>
                <w:lang w:val="en-US"/>
              </w:rPr>
              <w:t>,</w:t>
            </w:r>
            <w:r w:rsidRPr="00B4519A">
              <w:rPr>
                <w:iCs/>
                <w:lang w:val="en-US"/>
              </w:rPr>
              <w:t xml:space="preserve"> </w:t>
            </w:r>
          </w:p>
          <w:p w14:paraId="5C6F08F3" w14:textId="2C6AF70E" w:rsidR="00B4519A" w:rsidRPr="00B4519A" w:rsidRDefault="00B4519A" w:rsidP="00B4519A">
            <w:pPr>
              <w:jc w:val="both"/>
              <w:rPr>
                <w:iCs/>
                <w:lang w:val="en-US"/>
              </w:rPr>
            </w:pPr>
            <w:r w:rsidRPr="00B4519A">
              <w:rPr>
                <w:iCs/>
                <w:lang w:val="en-US"/>
              </w:rPr>
              <w:t>-</w:t>
            </w:r>
            <w:r>
              <w:rPr>
                <w:iCs/>
                <w:lang w:val="en-US"/>
              </w:rPr>
              <w:t xml:space="preserve"> </w:t>
            </w:r>
            <w:r w:rsidRPr="00B4519A">
              <w:rPr>
                <w:iCs/>
                <w:lang w:val="en-US"/>
              </w:rPr>
              <w:t xml:space="preserve"> failure to deal with a possible conflict of interest</w:t>
            </w:r>
            <w:r w:rsidR="009E6088">
              <w:rPr>
                <w:iCs/>
                <w:lang w:val="en-US"/>
              </w:rPr>
              <w:t>,</w:t>
            </w:r>
            <w:r w:rsidRPr="00B4519A">
              <w:rPr>
                <w:iCs/>
                <w:lang w:val="en-US"/>
              </w:rPr>
              <w:t xml:space="preserve"> </w:t>
            </w:r>
          </w:p>
          <w:p w14:paraId="2B83DB61" w14:textId="1E9490B5" w:rsidR="00B4519A" w:rsidRPr="00B4519A" w:rsidRDefault="00B4519A" w:rsidP="00B4519A">
            <w:pPr>
              <w:jc w:val="both"/>
              <w:rPr>
                <w:iCs/>
                <w:lang w:val="en-US"/>
              </w:rPr>
            </w:pPr>
            <w:r w:rsidRPr="00B4519A">
              <w:rPr>
                <w:iCs/>
                <w:lang w:val="en-US"/>
              </w:rPr>
              <w:t xml:space="preserve">- </w:t>
            </w:r>
            <w:r>
              <w:rPr>
                <w:iCs/>
                <w:lang w:val="en-US"/>
              </w:rPr>
              <w:t xml:space="preserve"> </w:t>
            </w:r>
            <w:r w:rsidRPr="00B4519A">
              <w:rPr>
                <w:iCs/>
                <w:lang w:val="en-US"/>
              </w:rPr>
              <w:t>evaluation of tenders in contravention with the rules set out in the tender documents</w:t>
            </w:r>
            <w:r w:rsidR="009E6088">
              <w:rPr>
                <w:iCs/>
                <w:lang w:val="en-US"/>
              </w:rPr>
              <w:t>,</w:t>
            </w:r>
            <w:r w:rsidRPr="00B4519A">
              <w:rPr>
                <w:iCs/>
                <w:lang w:val="en-US"/>
              </w:rPr>
              <w:t xml:space="preserve"> </w:t>
            </w:r>
          </w:p>
          <w:p w14:paraId="4F585759" w14:textId="29F2016F" w:rsidR="00B4519A" w:rsidRDefault="00B4519A" w:rsidP="00B4519A">
            <w:pPr>
              <w:jc w:val="both"/>
              <w:rPr>
                <w:iCs/>
                <w:lang w:val="en-US"/>
              </w:rPr>
            </w:pPr>
            <w:r>
              <w:rPr>
                <w:iCs/>
                <w:lang w:val="en-US"/>
              </w:rPr>
              <w:t xml:space="preserve">-  </w:t>
            </w:r>
            <w:r w:rsidRPr="00B4519A">
              <w:rPr>
                <w:iCs/>
                <w:lang w:val="en-US"/>
              </w:rPr>
              <w:t xml:space="preserve">the conclusion of an addendum to the contract in breach </w:t>
            </w:r>
            <w:r w:rsidR="009E6088">
              <w:rPr>
                <w:iCs/>
                <w:lang w:val="en-US"/>
              </w:rPr>
              <w:t>with</w:t>
            </w:r>
            <w:r w:rsidR="009E6088" w:rsidRPr="00B4519A">
              <w:rPr>
                <w:iCs/>
                <w:lang w:val="en-US"/>
              </w:rPr>
              <w:t xml:space="preserve"> </w:t>
            </w:r>
            <w:r w:rsidRPr="00B4519A">
              <w:rPr>
                <w:iCs/>
                <w:lang w:val="en-US"/>
              </w:rPr>
              <w:t>the rules laid down by the Public</w:t>
            </w:r>
          </w:p>
          <w:p w14:paraId="43825A39" w14:textId="478CE348" w:rsidR="00B4519A" w:rsidRPr="00B4519A" w:rsidRDefault="00B4519A" w:rsidP="00B4519A">
            <w:pPr>
              <w:jc w:val="both"/>
              <w:rPr>
                <w:iCs/>
                <w:highlight w:val="lightGray"/>
                <w:lang w:val="sk-SK"/>
              </w:rPr>
            </w:pPr>
            <w:r>
              <w:rPr>
                <w:iCs/>
                <w:lang w:val="en-US"/>
              </w:rPr>
              <w:t xml:space="preserve">  </w:t>
            </w:r>
            <w:r w:rsidRPr="00B4519A">
              <w:rPr>
                <w:iCs/>
                <w:lang w:val="en-US"/>
              </w:rPr>
              <w:t xml:space="preserve"> Procurement Act (e.g. substantial changes to the contract, etc.)</w:t>
            </w:r>
          </w:p>
          <w:p w14:paraId="116BB545" w14:textId="0EA4FBB4" w:rsidR="00F15A33" w:rsidRDefault="00F15A33" w:rsidP="00F15A33">
            <w:pPr>
              <w:jc w:val="both"/>
              <w:rPr>
                <w:iCs/>
                <w:highlight w:val="green"/>
                <w:lang w:val="sk-SK"/>
              </w:rPr>
            </w:pPr>
          </w:p>
          <w:p w14:paraId="6A58D69E" w14:textId="5842B3CD" w:rsidR="00B4519A" w:rsidRPr="00B4519A" w:rsidRDefault="00B4519A" w:rsidP="00F15A33">
            <w:pPr>
              <w:jc w:val="both"/>
              <w:rPr>
                <w:iCs/>
                <w:highlight w:val="green"/>
                <w:lang w:val="en-US"/>
              </w:rPr>
            </w:pPr>
            <w:r w:rsidRPr="00B4519A">
              <w:rPr>
                <w:iCs/>
                <w:lang w:val="en-US"/>
              </w:rPr>
              <w:t>In the area of EU funds, several methodological guidelines have been issued in the area of public procurement, which regulate specific areas at a level of greater detail, such as:</w:t>
            </w:r>
          </w:p>
          <w:p w14:paraId="5737D8A0" w14:textId="3C677D09" w:rsidR="006C0F54" w:rsidRPr="006C0F54" w:rsidRDefault="006C0F54" w:rsidP="006C0F54">
            <w:pPr>
              <w:jc w:val="both"/>
              <w:rPr>
                <w:iCs/>
                <w:lang w:val="en-US"/>
              </w:rPr>
            </w:pPr>
            <w:r w:rsidRPr="006C0F54">
              <w:rPr>
                <w:iCs/>
                <w:lang w:val="en-US"/>
              </w:rPr>
              <w:t>- Methodical instruction CKO no. 5 to determine financial corrections</w:t>
            </w:r>
            <w:r>
              <w:rPr>
                <w:iCs/>
                <w:lang w:val="en-US"/>
              </w:rPr>
              <w:t>,</w:t>
            </w:r>
          </w:p>
          <w:p w14:paraId="147E637F" w14:textId="6934A7CC" w:rsidR="006C0F54" w:rsidRPr="006C0F54" w:rsidRDefault="006C0F54" w:rsidP="006C0F54">
            <w:pPr>
              <w:jc w:val="both"/>
              <w:rPr>
                <w:iCs/>
                <w:lang w:val="en-US"/>
              </w:rPr>
            </w:pPr>
            <w:r w:rsidRPr="006C0F54">
              <w:rPr>
                <w:iCs/>
                <w:lang w:val="en-US"/>
              </w:rPr>
              <w:t>- Methodical instruction CKO no. 12 to contracts not covered by the Public Procurement Act</w:t>
            </w:r>
            <w:r>
              <w:rPr>
                <w:iCs/>
                <w:lang w:val="en-US"/>
              </w:rPr>
              <w:t>,</w:t>
            </w:r>
          </w:p>
          <w:p w14:paraId="4FBBABCB" w14:textId="24161BAC" w:rsidR="006C0F54" w:rsidRPr="006C0F54" w:rsidRDefault="006C0F54" w:rsidP="006C0F54">
            <w:pPr>
              <w:jc w:val="both"/>
              <w:rPr>
                <w:iCs/>
                <w:lang w:val="en-US"/>
              </w:rPr>
            </w:pPr>
            <w:r w:rsidRPr="006C0F54">
              <w:rPr>
                <w:iCs/>
                <w:lang w:val="en-US"/>
              </w:rPr>
              <w:t>- Methodical instruction CKO no. 13 to conflicts of interest in public procurement</w:t>
            </w:r>
            <w:r>
              <w:rPr>
                <w:iCs/>
                <w:lang w:val="en-US"/>
              </w:rPr>
              <w:t>,</w:t>
            </w:r>
          </w:p>
          <w:p w14:paraId="6DBA6E79" w14:textId="7BBF07C6" w:rsidR="006C0F54" w:rsidRPr="006C0F54" w:rsidRDefault="006C0F54" w:rsidP="006C0F54">
            <w:pPr>
              <w:jc w:val="both"/>
              <w:rPr>
                <w:iCs/>
                <w:lang w:val="en-US"/>
              </w:rPr>
            </w:pPr>
            <w:r w:rsidRPr="006C0F54">
              <w:rPr>
                <w:iCs/>
                <w:lang w:val="en-US"/>
              </w:rPr>
              <w:t>- Methodical instruction CKO no. 18 to verify the cost-effectiveness of expenditure</w:t>
            </w:r>
            <w:r>
              <w:rPr>
                <w:iCs/>
                <w:lang w:val="en-US"/>
              </w:rPr>
              <w:t>s,</w:t>
            </w:r>
          </w:p>
          <w:p w14:paraId="30449FE2" w14:textId="77777777" w:rsidR="006C0F54" w:rsidRDefault="006C0F54" w:rsidP="006C0F54">
            <w:pPr>
              <w:jc w:val="both"/>
              <w:rPr>
                <w:iCs/>
                <w:lang w:val="en-US"/>
              </w:rPr>
            </w:pPr>
            <w:r w:rsidRPr="006C0F54">
              <w:rPr>
                <w:iCs/>
                <w:lang w:val="en-US"/>
              </w:rPr>
              <w:t>- Methodical instruction CKO no. 35 to cooperat</w:t>
            </w:r>
            <w:r>
              <w:rPr>
                <w:iCs/>
                <w:lang w:val="en-US"/>
              </w:rPr>
              <w:t>ion</w:t>
            </w:r>
            <w:r w:rsidRPr="006C0F54">
              <w:rPr>
                <w:iCs/>
                <w:lang w:val="en-US"/>
              </w:rPr>
              <w:t xml:space="preserve"> with the Antimonopoly Office of the Slovak Republic</w:t>
            </w:r>
          </w:p>
          <w:p w14:paraId="242D0F18" w14:textId="04D3A848" w:rsidR="006C0F54" w:rsidRDefault="006C0F54" w:rsidP="006C0F54">
            <w:pPr>
              <w:jc w:val="both"/>
              <w:rPr>
                <w:iCs/>
                <w:lang w:val="en-US"/>
              </w:rPr>
            </w:pPr>
            <w:r>
              <w:rPr>
                <w:iCs/>
                <w:lang w:val="en-US"/>
              </w:rPr>
              <w:t xml:space="preserve"> </w:t>
            </w:r>
            <w:r w:rsidRPr="006C0F54">
              <w:rPr>
                <w:iCs/>
                <w:lang w:val="en-US"/>
              </w:rPr>
              <w:t xml:space="preserve"> (concerns cart</w:t>
            </w:r>
            <w:r>
              <w:rPr>
                <w:iCs/>
                <w:lang w:val="en-US"/>
              </w:rPr>
              <w:t>el agreements)</w:t>
            </w:r>
          </w:p>
          <w:p w14:paraId="46EB78D2" w14:textId="77777777" w:rsidR="006C0F54" w:rsidRPr="006C0F54" w:rsidRDefault="006C0F54" w:rsidP="006C0F54">
            <w:pPr>
              <w:jc w:val="both"/>
              <w:rPr>
                <w:iCs/>
                <w:lang w:val="en-US"/>
              </w:rPr>
            </w:pPr>
          </w:p>
          <w:p w14:paraId="72394CC5" w14:textId="389EB1B9" w:rsidR="00F15A33" w:rsidRPr="00D677C6" w:rsidRDefault="006C0F54" w:rsidP="006C0F54">
            <w:pPr>
              <w:rPr>
                <w:highlight w:val="lightGray"/>
                <w:lang w:val="sk-SK"/>
              </w:rPr>
            </w:pPr>
            <w:r w:rsidRPr="006C0F54">
              <w:rPr>
                <w:iCs/>
                <w:lang w:val="en-US"/>
              </w:rPr>
              <w:t>- Methodological instructions are freely available on the website</w:t>
            </w:r>
            <w:r w:rsidR="00A27C40">
              <w:rPr>
                <w:iCs/>
                <w:lang w:val="en-US"/>
              </w:rPr>
              <w:t>:</w:t>
            </w:r>
            <w:r w:rsidRPr="006C0F54">
              <w:rPr>
                <w:iCs/>
                <w:lang w:val="sk-SK"/>
              </w:rPr>
              <w:t xml:space="preserve"> </w:t>
            </w:r>
          </w:p>
          <w:p w14:paraId="1B4314D0" w14:textId="5FB0834E" w:rsidR="00F15A33" w:rsidRPr="006C0F54" w:rsidRDefault="00D677C6" w:rsidP="00F15A33">
            <w:pPr>
              <w:jc w:val="both"/>
              <w:rPr>
                <w:iCs/>
                <w:lang w:val="sk-SK"/>
              </w:rPr>
            </w:pPr>
            <w:r w:rsidRPr="006C0F54">
              <w:t xml:space="preserve">       </w:t>
            </w:r>
            <w:hyperlink r:id="rId16" w:history="1">
              <w:r w:rsidR="00F15A33" w:rsidRPr="006C0F54">
                <w:rPr>
                  <w:rStyle w:val="Hypertextovprepojenie"/>
                  <w:iCs/>
                  <w:lang w:val="sk-SK"/>
                </w:rPr>
                <w:t>www.partnerskadohoda.gov.sk</w:t>
              </w:r>
            </w:hyperlink>
            <w:r w:rsidR="00F15A33" w:rsidRPr="006C0F54">
              <w:rPr>
                <w:iCs/>
                <w:lang w:val="sk-SK"/>
              </w:rPr>
              <w:t xml:space="preserve"> </w:t>
            </w:r>
          </w:p>
          <w:p w14:paraId="778221B0" w14:textId="16569182" w:rsidR="00F15A33" w:rsidRPr="005B274E" w:rsidRDefault="00D677C6" w:rsidP="00F15A33">
            <w:pPr>
              <w:jc w:val="both"/>
              <w:rPr>
                <w:iCs/>
                <w:lang w:val="sk-SK"/>
              </w:rPr>
            </w:pPr>
            <w:r w:rsidRPr="006C0F54">
              <w:t xml:space="preserve">       </w:t>
            </w:r>
            <w:hyperlink r:id="rId17" w:history="1">
              <w:r w:rsidR="00F15A33" w:rsidRPr="006C0F54">
                <w:rPr>
                  <w:rStyle w:val="Hypertextovprepojenie"/>
                  <w:iCs/>
                  <w:lang w:val="sk-SK"/>
                </w:rPr>
                <w:t>https://www.partnerskadohoda.gov.sk/metodicke-pokyny-cko-a-uv-sr/</w:t>
              </w:r>
            </w:hyperlink>
            <w:r w:rsidR="00F15A33">
              <w:rPr>
                <w:iCs/>
                <w:lang w:val="sk-SK"/>
              </w:rPr>
              <w:t xml:space="preserve"> </w:t>
            </w:r>
          </w:p>
          <w:p w14:paraId="25ECB704" w14:textId="1DDA6E6C" w:rsidR="00F15A33" w:rsidRDefault="00F15A33" w:rsidP="005329C9">
            <w:pPr>
              <w:jc w:val="both"/>
              <w:rPr>
                <w:i/>
              </w:rPr>
            </w:pPr>
          </w:p>
          <w:p w14:paraId="5FCAEBBE" w14:textId="7DB73852" w:rsidR="00B4519A" w:rsidRPr="006C0F54" w:rsidRDefault="00B4519A" w:rsidP="005329C9">
            <w:pPr>
              <w:jc w:val="both"/>
            </w:pPr>
            <w:r w:rsidRPr="006C0F54">
              <w:t>Audit reports are not published on web sites.</w:t>
            </w:r>
          </w:p>
          <w:p w14:paraId="62213F94" w14:textId="2AE0353D" w:rsidR="00253552" w:rsidRPr="00B01372" w:rsidRDefault="00D677C6" w:rsidP="009E6088">
            <w:pPr>
              <w:jc w:val="both"/>
              <w:rPr>
                <w:i/>
              </w:rPr>
            </w:pPr>
            <w:r w:rsidRPr="006C0F54">
              <w:rPr>
                <w:lang w:val="en-US"/>
              </w:rPr>
              <w:t xml:space="preserve">* </w:t>
            </w:r>
            <w:r w:rsidR="00B4519A" w:rsidRPr="006C0F54">
              <w:rPr>
                <w:lang w:val="en-US"/>
              </w:rPr>
              <w:t xml:space="preserve">PPO </w:t>
            </w:r>
            <w:r w:rsidR="009E6088" w:rsidRPr="006C0F54">
              <w:rPr>
                <w:lang w:val="en-US"/>
              </w:rPr>
              <w:t>d</w:t>
            </w:r>
            <w:r w:rsidR="009E6088">
              <w:rPr>
                <w:lang w:val="en-US"/>
              </w:rPr>
              <w:t>oes</w:t>
            </w:r>
            <w:r w:rsidR="009E6088" w:rsidRPr="006C0F54">
              <w:rPr>
                <w:lang w:val="en-US"/>
              </w:rPr>
              <w:t xml:space="preserve"> </w:t>
            </w:r>
            <w:r w:rsidR="00B4519A" w:rsidRPr="006C0F54">
              <w:rPr>
                <w:lang w:val="en-US"/>
              </w:rPr>
              <w:t>not possess translations of these documents in</w:t>
            </w:r>
            <w:r w:rsidR="009E6088">
              <w:rPr>
                <w:lang w:val="en-US"/>
              </w:rPr>
              <w:t>to</w:t>
            </w:r>
            <w:r w:rsidR="00B4519A" w:rsidRPr="006C0F54">
              <w:rPr>
                <w:lang w:val="en-US"/>
              </w:rPr>
              <w:t xml:space="preserve"> </w:t>
            </w:r>
            <w:r w:rsidR="009E6088">
              <w:rPr>
                <w:lang w:val="en-US"/>
              </w:rPr>
              <w:t>E</w:t>
            </w:r>
            <w:r w:rsidR="009E6088" w:rsidRPr="006C0F54">
              <w:rPr>
                <w:lang w:val="en-US"/>
              </w:rPr>
              <w:t>nglish</w:t>
            </w:r>
            <w:r w:rsidR="006C0F54" w:rsidRPr="006C0F54">
              <w:rPr>
                <w:lang w:val="en-US"/>
              </w:rPr>
              <w:t>.</w:t>
            </w:r>
          </w:p>
        </w:tc>
      </w:tr>
      <w:tr w:rsidR="00C91FDC" w:rsidRPr="00B01372" w14:paraId="1B195211" w14:textId="77777777" w:rsidTr="00095252">
        <w:tc>
          <w:tcPr>
            <w:tcW w:w="4606" w:type="dxa"/>
          </w:tcPr>
          <w:p w14:paraId="0F2E16FB" w14:textId="6A94DC2E" w:rsidR="00C91FDC" w:rsidRPr="00B01372" w:rsidRDefault="00464D72" w:rsidP="00C91FDC">
            <w:pPr>
              <w:pStyle w:val="Nadpis3"/>
              <w:outlineLvl w:val="2"/>
            </w:pPr>
            <w:r w:rsidRPr="00B01372">
              <w:lastRenderedPageBreak/>
              <w:t>II</w:t>
            </w:r>
            <w:r w:rsidR="00C91FDC" w:rsidRPr="00B01372">
              <w:t>.3</w:t>
            </w:r>
            <w:r w:rsidR="00B72720" w:rsidRPr="00B01372">
              <w:t xml:space="preserve">. </w:t>
            </w:r>
            <w:r w:rsidR="00C91FDC" w:rsidRPr="00B01372">
              <w:t xml:space="preserve">Quantitative indicators </w:t>
            </w:r>
          </w:p>
          <w:p w14:paraId="0EFDD4F3" w14:textId="77777777" w:rsidR="00C91FDC" w:rsidRPr="00B01372" w:rsidRDefault="00C91FDC" w:rsidP="00C91FDC">
            <w:pPr>
              <w:jc w:val="both"/>
            </w:pPr>
          </w:p>
        </w:tc>
        <w:tc>
          <w:tcPr>
            <w:tcW w:w="9509" w:type="dxa"/>
          </w:tcPr>
          <w:p w14:paraId="3ADF1444" w14:textId="53414D3C" w:rsidR="00C91FDC" w:rsidRPr="00B01372" w:rsidRDefault="00C91FDC" w:rsidP="0086391B">
            <w:pPr>
              <w:jc w:val="both"/>
              <w:rPr>
                <w:i/>
              </w:rPr>
            </w:pPr>
          </w:p>
        </w:tc>
      </w:tr>
      <w:tr w:rsidR="00095252" w:rsidRPr="00B01372" w14:paraId="69EC1028" w14:textId="77777777" w:rsidTr="00095252">
        <w:tc>
          <w:tcPr>
            <w:tcW w:w="4606" w:type="dxa"/>
          </w:tcPr>
          <w:p w14:paraId="29E065ED" w14:textId="77777777" w:rsidR="00095252" w:rsidRDefault="00095252">
            <w:pPr>
              <w:pStyle w:val="Nadpis3"/>
              <w:outlineLvl w:val="2"/>
              <w:rPr>
                <w:rFonts w:ascii="Calibri" w:eastAsia="Times New Roman" w:hAnsi="Calibri"/>
                <w:b w:val="0"/>
                <w:lang w:val="en-US"/>
              </w:rPr>
            </w:pPr>
            <w:r>
              <w:rPr>
                <w:rFonts w:eastAsia="Times New Roman"/>
                <w:b w:val="0"/>
                <w:bCs/>
              </w:rPr>
              <w:t xml:space="preserve">Indicators about the national review system </w:t>
            </w:r>
          </w:p>
          <w:p w14:paraId="20B30B6B" w14:textId="77777777" w:rsidR="00095252" w:rsidRDefault="00095252"/>
          <w:p w14:paraId="5F0023A7" w14:textId="6056C412" w:rsidR="00095252" w:rsidRPr="00B01372" w:rsidRDefault="00095252" w:rsidP="00A61403"/>
        </w:tc>
        <w:tc>
          <w:tcPr>
            <w:tcW w:w="9509" w:type="dxa"/>
          </w:tcPr>
          <w:p w14:paraId="147D5459" w14:textId="3D5E416E" w:rsidR="0004214E" w:rsidRDefault="0004214E" w:rsidP="0002147E">
            <w:pPr>
              <w:jc w:val="both"/>
              <w:rPr>
                <w:highlight w:val="lightGray"/>
                <w:lang w:val="en-US"/>
              </w:rPr>
            </w:pPr>
            <w:r w:rsidRPr="0004214E">
              <w:rPr>
                <w:lang w:val="en-US"/>
              </w:rPr>
              <w:t xml:space="preserve">Relevant data from </w:t>
            </w:r>
            <w:r>
              <w:rPr>
                <w:lang w:val="en-US"/>
              </w:rPr>
              <w:t xml:space="preserve">the </w:t>
            </w:r>
            <w:r w:rsidRPr="0004214E">
              <w:rPr>
                <w:lang w:val="en-US"/>
              </w:rPr>
              <w:t>reports on the activities of the PPO:</w:t>
            </w:r>
          </w:p>
          <w:p w14:paraId="5C549120" w14:textId="77777777" w:rsidR="00E33510" w:rsidRPr="00D37E04" w:rsidRDefault="00E33510" w:rsidP="0002147E">
            <w:pPr>
              <w:jc w:val="both"/>
              <w:rPr>
                <w:highlight w:val="lightGray"/>
                <w:lang w:val="sk-SK"/>
              </w:rPr>
            </w:pPr>
          </w:p>
          <w:p w14:paraId="534EAF3B" w14:textId="77777777" w:rsidR="0004214E" w:rsidRPr="0004214E" w:rsidRDefault="0004214E" w:rsidP="0004214E">
            <w:pPr>
              <w:jc w:val="both"/>
              <w:rPr>
                <w:lang w:val="en-US"/>
              </w:rPr>
            </w:pPr>
            <w:r w:rsidRPr="0004214E">
              <w:rPr>
                <w:lang w:val="en-US"/>
              </w:rPr>
              <w:t>In 2018, 949 requests for review were received</w:t>
            </w:r>
          </w:p>
          <w:p w14:paraId="0CA55942" w14:textId="77777777" w:rsidR="0004214E" w:rsidRPr="0004214E" w:rsidRDefault="0004214E" w:rsidP="0004214E">
            <w:pPr>
              <w:jc w:val="both"/>
              <w:rPr>
                <w:lang w:val="en-US"/>
              </w:rPr>
            </w:pPr>
            <w:r w:rsidRPr="0004214E">
              <w:rPr>
                <w:lang w:val="en-US"/>
              </w:rPr>
              <w:t>•</w:t>
            </w:r>
            <w:r w:rsidRPr="0004214E">
              <w:rPr>
                <w:lang w:val="en-US"/>
              </w:rPr>
              <w:tab/>
              <w:t xml:space="preserve">535 of the submitted complaints concerned contracts before the contract signature </w:t>
            </w:r>
          </w:p>
          <w:p w14:paraId="3E5DDEE4" w14:textId="77777777" w:rsidR="0004214E" w:rsidRPr="0004214E" w:rsidRDefault="0004214E" w:rsidP="0004214E">
            <w:pPr>
              <w:jc w:val="both"/>
              <w:rPr>
                <w:lang w:val="en-US"/>
              </w:rPr>
            </w:pPr>
            <w:r w:rsidRPr="0004214E">
              <w:rPr>
                <w:lang w:val="en-US"/>
              </w:rPr>
              <w:t>•</w:t>
            </w:r>
            <w:r w:rsidRPr="0004214E">
              <w:rPr>
                <w:lang w:val="en-US"/>
              </w:rPr>
              <w:tab/>
              <w:t>192 of the submitted complaints concerned contracts after the contract signature</w:t>
            </w:r>
          </w:p>
          <w:p w14:paraId="323CA739" w14:textId="77777777" w:rsidR="0004214E" w:rsidRPr="0004214E" w:rsidRDefault="0004214E" w:rsidP="0004214E">
            <w:pPr>
              <w:jc w:val="both"/>
              <w:rPr>
                <w:lang w:val="en-US"/>
              </w:rPr>
            </w:pPr>
            <w:r w:rsidRPr="0004214E">
              <w:rPr>
                <w:lang w:val="en-US"/>
              </w:rPr>
              <w:t>•</w:t>
            </w:r>
            <w:r w:rsidRPr="0004214E">
              <w:rPr>
                <w:lang w:val="en-US"/>
              </w:rPr>
              <w:tab/>
              <w:t>926 reviews were carried out</w:t>
            </w:r>
          </w:p>
          <w:p w14:paraId="1477E840" w14:textId="77777777" w:rsidR="0004214E" w:rsidRDefault="0004214E" w:rsidP="0004214E">
            <w:pPr>
              <w:jc w:val="both"/>
              <w:rPr>
                <w:lang w:val="en-US"/>
              </w:rPr>
            </w:pPr>
            <w:r w:rsidRPr="0004214E">
              <w:rPr>
                <w:lang w:val="en-US"/>
              </w:rPr>
              <w:t>•</w:t>
            </w:r>
            <w:r w:rsidRPr="0004214E">
              <w:rPr>
                <w:lang w:val="en-US"/>
              </w:rPr>
              <w:tab/>
              <w:t xml:space="preserve">The average length of proceedings for those public procurement controls that were financed </w:t>
            </w:r>
          </w:p>
          <w:p w14:paraId="5BE7F9BE" w14:textId="1B0BF85F" w:rsidR="0004214E" w:rsidRPr="0004214E" w:rsidRDefault="0004214E" w:rsidP="0004214E">
            <w:pPr>
              <w:jc w:val="both"/>
              <w:rPr>
                <w:lang w:val="en-US"/>
              </w:rPr>
            </w:pPr>
            <w:r>
              <w:rPr>
                <w:lang w:val="en-US"/>
              </w:rPr>
              <w:t xml:space="preserve">               </w:t>
            </w:r>
            <w:r w:rsidRPr="0004214E">
              <w:rPr>
                <w:lang w:val="en-US"/>
              </w:rPr>
              <w:t>from EU funds was on average 73.93 days in 2018</w:t>
            </w:r>
          </w:p>
          <w:p w14:paraId="6D64C52A" w14:textId="77777777" w:rsidR="0004214E" w:rsidRPr="0004214E" w:rsidRDefault="0004214E" w:rsidP="0004214E">
            <w:pPr>
              <w:jc w:val="both"/>
              <w:rPr>
                <w:lang w:val="en-US"/>
              </w:rPr>
            </w:pPr>
          </w:p>
          <w:p w14:paraId="4DECBF9D" w14:textId="77777777" w:rsidR="0004214E" w:rsidRPr="0004214E" w:rsidRDefault="0004214E" w:rsidP="0004214E">
            <w:pPr>
              <w:jc w:val="both"/>
              <w:rPr>
                <w:lang w:val="en-US"/>
              </w:rPr>
            </w:pPr>
            <w:r w:rsidRPr="0004214E">
              <w:rPr>
                <w:lang w:val="en-US"/>
              </w:rPr>
              <w:t>In 2019, 842 requests for review were received</w:t>
            </w:r>
          </w:p>
          <w:p w14:paraId="0E7FBE7C" w14:textId="77777777" w:rsidR="0004214E" w:rsidRPr="0004214E" w:rsidRDefault="0004214E" w:rsidP="0004214E">
            <w:pPr>
              <w:jc w:val="both"/>
              <w:rPr>
                <w:lang w:val="en-US"/>
              </w:rPr>
            </w:pPr>
            <w:r w:rsidRPr="0004214E">
              <w:rPr>
                <w:lang w:val="en-US"/>
              </w:rPr>
              <w:t>•</w:t>
            </w:r>
            <w:r w:rsidRPr="0004214E">
              <w:rPr>
                <w:lang w:val="en-US"/>
              </w:rPr>
              <w:tab/>
              <w:t>329 of the submitted complaints concerned contracts before the contract signature</w:t>
            </w:r>
          </w:p>
          <w:p w14:paraId="55BB435B" w14:textId="77777777" w:rsidR="0004214E" w:rsidRPr="0004214E" w:rsidRDefault="0004214E" w:rsidP="0004214E">
            <w:pPr>
              <w:jc w:val="both"/>
              <w:rPr>
                <w:lang w:val="en-US"/>
              </w:rPr>
            </w:pPr>
            <w:r w:rsidRPr="0004214E">
              <w:rPr>
                <w:lang w:val="en-US"/>
              </w:rPr>
              <w:t>•</w:t>
            </w:r>
            <w:r w:rsidRPr="0004214E">
              <w:rPr>
                <w:lang w:val="en-US"/>
              </w:rPr>
              <w:tab/>
              <w:t>376 of the submitted complaints concerned contracts after the contract signature</w:t>
            </w:r>
          </w:p>
          <w:p w14:paraId="0C13EFA0" w14:textId="77777777" w:rsidR="0004214E" w:rsidRPr="0004214E" w:rsidRDefault="0004214E" w:rsidP="0004214E">
            <w:pPr>
              <w:jc w:val="both"/>
              <w:rPr>
                <w:lang w:val="en-US"/>
              </w:rPr>
            </w:pPr>
            <w:r w:rsidRPr="0004214E">
              <w:rPr>
                <w:lang w:val="en-US"/>
              </w:rPr>
              <w:t>•</w:t>
            </w:r>
            <w:r w:rsidRPr="0004214E">
              <w:rPr>
                <w:lang w:val="en-US"/>
              </w:rPr>
              <w:tab/>
              <w:t>840 reviews were carried out</w:t>
            </w:r>
          </w:p>
          <w:p w14:paraId="0E43C2F7" w14:textId="77777777" w:rsidR="0004214E" w:rsidRDefault="0004214E" w:rsidP="0004214E">
            <w:pPr>
              <w:jc w:val="both"/>
              <w:rPr>
                <w:lang w:val="en-US"/>
              </w:rPr>
            </w:pPr>
            <w:r w:rsidRPr="0004214E">
              <w:rPr>
                <w:lang w:val="en-US"/>
              </w:rPr>
              <w:t>•</w:t>
            </w:r>
            <w:r w:rsidRPr="0004214E">
              <w:rPr>
                <w:lang w:val="en-US"/>
              </w:rPr>
              <w:tab/>
              <w:t xml:space="preserve">The average length of proceedings for those public procurement controls that were financed </w:t>
            </w:r>
          </w:p>
          <w:p w14:paraId="73DC8060" w14:textId="5CD82C51" w:rsidR="0004214E" w:rsidRPr="0004214E" w:rsidRDefault="0004214E" w:rsidP="0004214E">
            <w:pPr>
              <w:jc w:val="both"/>
              <w:rPr>
                <w:lang w:val="en-US"/>
              </w:rPr>
            </w:pPr>
            <w:r>
              <w:rPr>
                <w:lang w:val="en-US"/>
              </w:rPr>
              <w:t xml:space="preserve">               </w:t>
            </w:r>
            <w:r w:rsidRPr="0004214E">
              <w:rPr>
                <w:lang w:val="en-US"/>
              </w:rPr>
              <w:t>from EU funds was on average 72.39 days in 2019</w:t>
            </w:r>
          </w:p>
          <w:p w14:paraId="6D35C601" w14:textId="77777777" w:rsidR="0004214E" w:rsidRPr="0004214E" w:rsidRDefault="0004214E" w:rsidP="0004214E">
            <w:pPr>
              <w:jc w:val="both"/>
              <w:rPr>
                <w:lang w:val="en-US"/>
              </w:rPr>
            </w:pPr>
          </w:p>
          <w:p w14:paraId="42F9FA31" w14:textId="77777777" w:rsidR="0004214E" w:rsidRPr="0004214E" w:rsidRDefault="0004214E" w:rsidP="0004214E">
            <w:pPr>
              <w:jc w:val="both"/>
              <w:rPr>
                <w:lang w:val="en-US"/>
              </w:rPr>
            </w:pPr>
            <w:r w:rsidRPr="0004214E">
              <w:rPr>
                <w:lang w:val="en-US"/>
              </w:rPr>
              <w:t>In 2020, 766 requests for review were received</w:t>
            </w:r>
          </w:p>
          <w:p w14:paraId="0AFFFDF3" w14:textId="77777777" w:rsidR="0004214E" w:rsidRPr="0004214E" w:rsidRDefault="0004214E" w:rsidP="0004214E">
            <w:pPr>
              <w:jc w:val="both"/>
              <w:rPr>
                <w:lang w:val="en-US"/>
              </w:rPr>
            </w:pPr>
            <w:r w:rsidRPr="0004214E">
              <w:rPr>
                <w:lang w:val="en-US"/>
              </w:rPr>
              <w:t>•</w:t>
            </w:r>
            <w:r w:rsidRPr="0004214E">
              <w:rPr>
                <w:lang w:val="en-US"/>
              </w:rPr>
              <w:tab/>
              <w:t>414 of the submitted complaints concerned contracts before the contract signature</w:t>
            </w:r>
          </w:p>
          <w:p w14:paraId="19BE0615" w14:textId="77777777" w:rsidR="0004214E" w:rsidRPr="0004214E" w:rsidRDefault="0004214E" w:rsidP="0004214E">
            <w:pPr>
              <w:jc w:val="both"/>
              <w:rPr>
                <w:lang w:val="en-US"/>
              </w:rPr>
            </w:pPr>
            <w:r w:rsidRPr="0004214E">
              <w:rPr>
                <w:lang w:val="en-US"/>
              </w:rPr>
              <w:t>•</w:t>
            </w:r>
            <w:r w:rsidRPr="0004214E">
              <w:rPr>
                <w:lang w:val="en-US"/>
              </w:rPr>
              <w:tab/>
              <w:t>265 of the submitted complaints concerned contracts after the contract signature</w:t>
            </w:r>
          </w:p>
          <w:p w14:paraId="29FC0CF3" w14:textId="77777777" w:rsidR="0004214E" w:rsidRPr="0004214E" w:rsidRDefault="0004214E" w:rsidP="0004214E">
            <w:pPr>
              <w:jc w:val="both"/>
              <w:rPr>
                <w:lang w:val="en-US"/>
              </w:rPr>
            </w:pPr>
            <w:r w:rsidRPr="0004214E">
              <w:rPr>
                <w:lang w:val="en-US"/>
              </w:rPr>
              <w:t>•</w:t>
            </w:r>
            <w:r w:rsidRPr="0004214E">
              <w:rPr>
                <w:lang w:val="en-US"/>
              </w:rPr>
              <w:tab/>
              <w:t>864 reviews were carried out</w:t>
            </w:r>
          </w:p>
          <w:p w14:paraId="7B990FBE" w14:textId="77777777" w:rsidR="0004214E" w:rsidRDefault="0004214E" w:rsidP="0004214E">
            <w:pPr>
              <w:jc w:val="both"/>
              <w:rPr>
                <w:lang w:val="en-US"/>
              </w:rPr>
            </w:pPr>
            <w:r w:rsidRPr="0004214E">
              <w:rPr>
                <w:lang w:val="en-US"/>
              </w:rPr>
              <w:t>•</w:t>
            </w:r>
            <w:r w:rsidRPr="0004214E">
              <w:rPr>
                <w:lang w:val="en-US"/>
              </w:rPr>
              <w:tab/>
              <w:t xml:space="preserve">The average length of proceedings for those public procurement controls that were financed </w:t>
            </w:r>
          </w:p>
          <w:p w14:paraId="45899E65" w14:textId="35A7099F" w:rsidR="0004214E" w:rsidRPr="0004214E" w:rsidRDefault="0004214E" w:rsidP="0004214E">
            <w:pPr>
              <w:jc w:val="both"/>
              <w:rPr>
                <w:lang w:val="en-US"/>
              </w:rPr>
            </w:pPr>
            <w:r>
              <w:rPr>
                <w:lang w:val="en-US"/>
              </w:rPr>
              <w:t xml:space="preserve">               </w:t>
            </w:r>
            <w:r w:rsidRPr="0004214E">
              <w:rPr>
                <w:lang w:val="en-US"/>
              </w:rPr>
              <w:t>from EU funds was on average 78.72 days in 2020</w:t>
            </w:r>
          </w:p>
          <w:p w14:paraId="6F9E546C" w14:textId="77777777" w:rsidR="0004214E" w:rsidRDefault="0004214E" w:rsidP="0002147E">
            <w:pPr>
              <w:jc w:val="both"/>
              <w:rPr>
                <w:lang w:val="en-US"/>
              </w:rPr>
            </w:pPr>
          </w:p>
          <w:p w14:paraId="04C06C34" w14:textId="48819C6C" w:rsidR="00506D1E" w:rsidRPr="0004214E" w:rsidRDefault="0004214E" w:rsidP="0002147E">
            <w:pPr>
              <w:jc w:val="both"/>
              <w:rPr>
                <w:highlight w:val="lightGray"/>
                <w:lang w:val="en-US"/>
              </w:rPr>
            </w:pPr>
            <w:r w:rsidRPr="0004214E">
              <w:rPr>
                <w:lang w:val="en-US"/>
              </w:rPr>
              <w:t>In 2020, 313 initiatives were completed to control public procurement, which were even partially financed by the ESI Funds, in the total amount of funds of EUR 5,234.2 million and 218 initiatives were completed to control below EU thresholds contracts.</w:t>
            </w:r>
          </w:p>
          <w:p w14:paraId="2364B7CE" w14:textId="235F731B" w:rsidR="00095252" w:rsidRPr="00B01372" w:rsidRDefault="00095252" w:rsidP="006F0567">
            <w:pPr>
              <w:jc w:val="both"/>
            </w:pPr>
          </w:p>
        </w:tc>
      </w:tr>
      <w:tr w:rsidR="00C63AFD" w:rsidRPr="00B01372" w14:paraId="3C765DF7" w14:textId="77777777" w:rsidTr="00095252">
        <w:tc>
          <w:tcPr>
            <w:tcW w:w="4606" w:type="dxa"/>
          </w:tcPr>
          <w:p w14:paraId="69AFFC6E" w14:textId="77777777" w:rsidR="00C63AFD" w:rsidRDefault="00C63AFD">
            <w:pPr>
              <w:pStyle w:val="Nadpis3"/>
              <w:outlineLvl w:val="2"/>
              <w:rPr>
                <w:rFonts w:eastAsia="Times New Roman"/>
                <w:b w:val="0"/>
                <w:bCs/>
              </w:rPr>
            </w:pPr>
          </w:p>
        </w:tc>
        <w:tc>
          <w:tcPr>
            <w:tcW w:w="9509" w:type="dxa"/>
          </w:tcPr>
          <w:p w14:paraId="1F73E71F" w14:textId="77777777" w:rsidR="00C63AFD" w:rsidRPr="00D37E04" w:rsidRDefault="00C63AFD" w:rsidP="0002147E">
            <w:pPr>
              <w:jc w:val="both"/>
              <w:rPr>
                <w:highlight w:val="lightGray"/>
                <w:lang w:val="sk-SK"/>
              </w:rPr>
            </w:pPr>
          </w:p>
        </w:tc>
      </w:tr>
    </w:tbl>
    <w:p w14:paraId="327E8365" w14:textId="6C206FBC" w:rsidR="00FB6711" w:rsidRDefault="00FB6711" w:rsidP="00FB6711">
      <w:pPr>
        <w:pStyle w:val="Bezriadkovania"/>
      </w:pPr>
    </w:p>
    <w:p w14:paraId="13167FBD" w14:textId="77777777" w:rsidR="009E6088" w:rsidRDefault="009E6088" w:rsidP="00FB6711">
      <w:pPr>
        <w:pStyle w:val="Bezriadkovania"/>
      </w:pPr>
    </w:p>
    <w:p w14:paraId="3971A3D0" w14:textId="77777777" w:rsidR="006F0567" w:rsidRDefault="006F0567" w:rsidP="00FB6711">
      <w:pPr>
        <w:pStyle w:val="Bezriadkovania"/>
      </w:pPr>
    </w:p>
    <w:p w14:paraId="07560F9D" w14:textId="77777777" w:rsidR="00FB6711" w:rsidRDefault="00FB6711" w:rsidP="00FB6711">
      <w:pPr>
        <w:pStyle w:val="Nadpis2"/>
      </w:pPr>
      <w:r w:rsidRPr="00B01372">
        <w:t>Prevention, detection and adequate reporting of cases of procurement fraud, corruption, conflict of interests and other serious irregularities</w:t>
      </w:r>
    </w:p>
    <w:p w14:paraId="34AB7F16" w14:textId="77777777" w:rsidR="005F4733" w:rsidRPr="00B01372" w:rsidRDefault="005F4733" w:rsidP="00D24317">
      <w:r w:rsidRPr="00B01372">
        <w:t xml:space="preserve"> </w:t>
      </w:r>
    </w:p>
    <w:tbl>
      <w:tblPr>
        <w:tblStyle w:val="Mriekatabuky"/>
        <w:tblW w:w="5000" w:type="pct"/>
        <w:tblLook w:val="04A0" w:firstRow="1" w:lastRow="0" w:firstColumn="1" w:lastColumn="0" w:noHBand="0" w:noVBand="1"/>
      </w:tblPr>
      <w:tblGrid>
        <w:gridCol w:w="4612"/>
        <w:gridCol w:w="9382"/>
      </w:tblGrid>
      <w:tr w:rsidR="00253552" w:rsidRPr="00B01372" w14:paraId="732EAE05" w14:textId="77777777" w:rsidTr="00A47B20">
        <w:tc>
          <w:tcPr>
            <w:tcW w:w="1648" w:type="pct"/>
          </w:tcPr>
          <w:p w14:paraId="0DA192FE" w14:textId="3D616F19" w:rsidR="00253552" w:rsidRPr="00B01372" w:rsidRDefault="002B6572" w:rsidP="001D4DCD">
            <w:pPr>
              <w:pStyle w:val="Nadpis3"/>
              <w:outlineLvl w:val="2"/>
            </w:pPr>
            <w:r w:rsidRPr="00B01372">
              <w:t>III</w:t>
            </w:r>
            <w:r w:rsidR="00253552" w:rsidRPr="00B01372">
              <w:t xml:space="preserve">.1. Qualitative reporting </w:t>
            </w:r>
            <w:r w:rsidR="001D4DCD" w:rsidRPr="00B01372">
              <w:t>on</w:t>
            </w:r>
            <w:r w:rsidR="00253552" w:rsidRPr="00B01372">
              <w:t xml:space="preserve"> fraud, corruption, conflict of interests etc</w:t>
            </w:r>
            <w:r w:rsidR="00AC7614" w:rsidRPr="00B01372">
              <w:t>.</w:t>
            </w:r>
          </w:p>
        </w:tc>
        <w:tc>
          <w:tcPr>
            <w:tcW w:w="3352" w:type="pct"/>
          </w:tcPr>
          <w:p w14:paraId="0A90E1AF" w14:textId="77777777" w:rsidR="00253552" w:rsidRPr="00B01372" w:rsidRDefault="00253552" w:rsidP="005329C9">
            <w:pPr>
              <w:jc w:val="both"/>
            </w:pPr>
          </w:p>
        </w:tc>
      </w:tr>
      <w:tr w:rsidR="00253552" w:rsidRPr="00B01372" w14:paraId="7514108B" w14:textId="77777777" w:rsidTr="00A47B20">
        <w:tc>
          <w:tcPr>
            <w:tcW w:w="1648" w:type="pct"/>
          </w:tcPr>
          <w:p w14:paraId="60D6DF8A" w14:textId="4EAA46DC" w:rsidR="00253552" w:rsidRPr="00B01372" w:rsidRDefault="00253552" w:rsidP="00EF2113">
            <w:pPr>
              <w:jc w:val="both"/>
            </w:pPr>
            <w:r w:rsidRPr="00B01372">
              <w:t>Describe the actions undertaken and/or mechanisms put in place to ensure compliance with the new provisions on the prevention, detection and adequate reporting of public procurement irregularities</w:t>
            </w:r>
            <w:r w:rsidR="007217FF" w:rsidRPr="00B01372">
              <w:t xml:space="preserve"> including fraud and corruption</w:t>
            </w:r>
            <w:r w:rsidR="00EF2113" w:rsidRPr="00B01372">
              <w:t xml:space="preserve"> </w:t>
            </w:r>
            <w:r w:rsidR="00EF2113">
              <w:t>and</w:t>
            </w:r>
            <w:r w:rsidR="00EF2113" w:rsidRPr="00B01372">
              <w:t xml:space="preserve"> conflicts of interests</w:t>
            </w:r>
            <w:r w:rsidR="00EF2113">
              <w:t>.</w:t>
            </w:r>
          </w:p>
        </w:tc>
        <w:tc>
          <w:tcPr>
            <w:tcW w:w="3352" w:type="pct"/>
          </w:tcPr>
          <w:p w14:paraId="5EA7D6D6" w14:textId="677047B9" w:rsidR="008F55DB" w:rsidRPr="008F55DB" w:rsidRDefault="008F55DB" w:rsidP="008F55DB">
            <w:pPr>
              <w:pStyle w:val="Bezriadkovania"/>
              <w:jc w:val="both"/>
              <w:rPr>
                <w:rFonts w:cstheme="minorHAnsi"/>
                <w:lang w:val="en-US"/>
              </w:rPr>
            </w:pPr>
            <w:r w:rsidRPr="008F55DB">
              <w:rPr>
                <w:rFonts w:cstheme="minorHAnsi"/>
                <w:lang w:val="en-US"/>
              </w:rPr>
              <w:t xml:space="preserve">Measures that ensure no fraud, corruption or conflict of interest occurs: </w:t>
            </w:r>
          </w:p>
          <w:p w14:paraId="67E9C54D" w14:textId="77777777" w:rsidR="008F55DB" w:rsidRPr="008F55DB" w:rsidRDefault="008F55DB" w:rsidP="008F55DB">
            <w:pPr>
              <w:pStyle w:val="Bezriadkovania"/>
              <w:jc w:val="both"/>
              <w:rPr>
                <w:rFonts w:cstheme="minorHAnsi"/>
                <w:lang w:val="en-US"/>
              </w:rPr>
            </w:pPr>
            <w:r w:rsidRPr="008F55DB">
              <w:rPr>
                <w:rFonts w:cstheme="minorHAnsi"/>
                <w:lang w:val="en-US"/>
              </w:rPr>
              <w:t xml:space="preserve">• general anti-corruption rules in criminal law (starting with Section 328 of Criminal Code no. 300/2005), </w:t>
            </w:r>
          </w:p>
          <w:p w14:paraId="0E431AF4" w14:textId="1E9750C2" w:rsidR="008F55DB" w:rsidRPr="008F55DB" w:rsidRDefault="008F55DB" w:rsidP="008F55DB">
            <w:pPr>
              <w:pStyle w:val="Bezriadkovania"/>
              <w:jc w:val="both"/>
              <w:rPr>
                <w:rFonts w:cstheme="minorHAnsi"/>
                <w:lang w:val="en-US"/>
              </w:rPr>
            </w:pPr>
            <w:r w:rsidRPr="008F55DB">
              <w:rPr>
                <w:rFonts w:cstheme="minorHAnsi"/>
                <w:lang w:val="en-US"/>
              </w:rPr>
              <w:t>• Act no. 54/2019 Coll. on the protection of whistle</w:t>
            </w:r>
            <w:r w:rsidR="00CF10E7">
              <w:rPr>
                <w:rFonts w:cstheme="minorHAnsi"/>
                <w:lang w:val="en-US"/>
              </w:rPr>
              <w:t xml:space="preserve"> </w:t>
            </w:r>
            <w:r w:rsidRPr="008F55DB">
              <w:rPr>
                <w:rFonts w:cstheme="minorHAnsi"/>
                <w:lang w:val="en-US"/>
              </w:rPr>
              <w:t xml:space="preserve">blowers, </w:t>
            </w:r>
          </w:p>
          <w:p w14:paraId="41ECEF6D" w14:textId="77777777" w:rsidR="00084699" w:rsidRDefault="008F55DB" w:rsidP="008F55DB">
            <w:pPr>
              <w:pStyle w:val="Bezriadkovania"/>
              <w:jc w:val="both"/>
              <w:rPr>
                <w:rFonts w:cstheme="minorHAnsi"/>
                <w:lang w:val="en-US"/>
              </w:rPr>
            </w:pPr>
            <w:r w:rsidRPr="008F55DB">
              <w:rPr>
                <w:rFonts w:cstheme="minorHAnsi"/>
                <w:lang w:val="en-US"/>
              </w:rPr>
              <w:t>• a ban on participation in public procurement for a candidate who has been convicted of a criminal</w:t>
            </w:r>
          </w:p>
          <w:p w14:paraId="3F6DBF68" w14:textId="4A183544" w:rsidR="008F55DB" w:rsidRPr="008F55DB" w:rsidRDefault="00084699" w:rsidP="008F55DB">
            <w:pPr>
              <w:pStyle w:val="Bezriadkovania"/>
              <w:jc w:val="both"/>
              <w:rPr>
                <w:rFonts w:cstheme="minorHAnsi"/>
                <w:lang w:val="en-US"/>
              </w:rPr>
            </w:pPr>
            <w:r>
              <w:rPr>
                <w:rFonts w:cstheme="minorHAnsi"/>
                <w:lang w:val="en-US"/>
              </w:rPr>
              <w:t xml:space="preserve">  </w:t>
            </w:r>
            <w:r w:rsidR="008F55DB" w:rsidRPr="008F55DB">
              <w:rPr>
                <w:rFonts w:cstheme="minorHAnsi"/>
                <w:lang w:val="en-US"/>
              </w:rPr>
              <w:t xml:space="preserve"> offense of corruption in general conditions of participation, </w:t>
            </w:r>
          </w:p>
          <w:p w14:paraId="73A0965E" w14:textId="77777777" w:rsidR="00084699" w:rsidRDefault="008F55DB" w:rsidP="008F55DB">
            <w:pPr>
              <w:pStyle w:val="Bezriadkovania"/>
              <w:jc w:val="both"/>
              <w:rPr>
                <w:rFonts w:cstheme="minorHAnsi"/>
                <w:lang w:val="en-US"/>
              </w:rPr>
            </w:pPr>
            <w:r w:rsidRPr="008F55DB">
              <w:rPr>
                <w:rFonts w:cstheme="minorHAnsi"/>
                <w:lang w:val="en-US"/>
              </w:rPr>
              <w:t>• Public Procurement Act no. 343/2015 (PPA) also contains an anti-conflict of interest regulation (§ 23</w:t>
            </w:r>
          </w:p>
          <w:p w14:paraId="7054DE88" w14:textId="1607042E" w:rsidR="008F55DB" w:rsidRPr="008F55DB" w:rsidRDefault="00084699" w:rsidP="008F55DB">
            <w:pPr>
              <w:pStyle w:val="Bezriadkovania"/>
              <w:jc w:val="both"/>
              <w:rPr>
                <w:rFonts w:cstheme="minorHAnsi"/>
                <w:lang w:val="en-US"/>
              </w:rPr>
            </w:pPr>
            <w:r>
              <w:rPr>
                <w:rFonts w:cstheme="minorHAnsi"/>
                <w:lang w:val="en-US"/>
              </w:rPr>
              <w:t xml:space="preserve">   </w:t>
            </w:r>
            <w:r w:rsidR="008F55DB" w:rsidRPr="008F55DB">
              <w:rPr>
                <w:rFonts w:cstheme="minorHAnsi"/>
                <w:lang w:val="en-US"/>
              </w:rPr>
              <w:t xml:space="preserve"> PPA), </w:t>
            </w:r>
          </w:p>
          <w:p w14:paraId="02E9FAE0" w14:textId="77777777" w:rsidR="008F55DB" w:rsidRPr="008F55DB" w:rsidRDefault="008F55DB" w:rsidP="008F55DB">
            <w:pPr>
              <w:pStyle w:val="Bezriadkovania"/>
              <w:jc w:val="both"/>
              <w:rPr>
                <w:rFonts w:cstheme="minorHAnsi"/>
                <w:lang w:val="en-US"/>
              </w:rPr>
            </w:pPr>
            <w:r w:rsidRPr="008F55DB">
              <w:rPr>
                <w:rFonts w:cstheme="minorHAnsi"/>
                <w:lang w:val="en-US"/>
              </w:rPr>
              <w:t xml:space="preserve">• Central Registry of Contracts and Act no. 315/2016 on the register of public sector partners, </w:t>
            </w:r>
          </w:p>
          <w:p w14:paraId="7B033573" w14:textId="77777777" w:rsidR="00F65F9D" w:rsidRDefault="008F55DB" w:rsidP="008F55DB">
            <w:pPr>
              <w:pStyle w:val="Bezriadkovania"/>
              <w:jc w:val="both"/>
              <w:rPr>
                <w:rFonts w:cstheme="minorHAnsi"/>
                <w:lang w:val="en-US"/>
              </w:rPr>
            </w:pPr>
            <w:r w:rsidRPr="008F55DB">
              <w:rPr>
                <w:rFonts w:cstheme="minorHAnsi"/>
                <w:lang w:val="en-US"/>
              </w:rPr>
              <w:t xml:space="preserve">• the Government of the Slovak Republic by Resolution no. 585/2018 Coll. approved Slovakia's </w:t>
            </w:r>
            <w:r w:rsidR="00F65F9D">
              <w:rPr>
                <w:rFonts w:cstheme="minorHAnsi"/>
                <w:lang w:val="en-US"/>
              </w:rPr>
              <w:t xml:space="preserve">        </w:t>
            </w:r>
          </w:p>
          <w:p w14:paraId="01C18D2C" w14:textId="28113EB1" w:rsidR="00084699" w:rsidRDefault="00F65F9D" w:rsidP="008F55DB">
            <w:pPr>
              <w:pStyle w:val="Bezriadkovania"/>
              <w:jc w:val="both"/>
              <w:rPr>
                <w:rFonts w:cstheme="minorHAnsi"/>
                <w:lang w:val="en-US"/>
              </w:rPr>
            </w:pPr>
            <w:r>
              <w:rPr>
                <w:rFonts w:cstheme="minorHAnsi"/>
                <w:lang w:val="en-US"/>
              </w:rPr>
              <w:t xml:space="preserve">    </w:t>
            </w:r>
            <w:r w:rsidR="008F55DB" w:rsidRPr="008F55DB">
              <w:rPr>
                <w:rFonts w:cstheme="minorHAnsi"/>
                <w:lang w:val="en-US"/>
              </w:rPr>
              <w:t>Anti</w:t>
            </w:r>
            <w:r>
              <w:rPr>
                <w:rFonts w:cstheme="minorHAnsi"/>
                <w:lang w:val="en-US"/>
              </w:rPr>
              <w:t>-</w:t>
            </w:r>
            <w:r w:rsidR="008F55DB" w:rsidRPr="008F55DB">
              <w:rPr>
                <w:rFonts w:cstheme="minorHAnsi"/>
                <w:lang w:val="en-US"/>
              </w:rPr>
              <w:t>Corruption Policy for the years 2019 - 2023. This anti-corruption policy is followed by the national</w:t>
            </w:r>
          </w:p>
          <w:p w14:paraId="654A1367" w14:textId="52428178" w:rsidR="008F55DB" w:rsidRPr="008F55DB" w:rsidRDefault="00084699" w:rsidP="008F55DB">
            <w:pPr>
              <w:pStyle w:val="Bezriadkovania"/>
              <w:jc w:val="both"/>
              <w:rPr>
                <w:rFonts w:cstheme="minorHAnsi"/>
                <w:lang w:val="en-US"/>
              </w:rPr>
            </w:pPr>
            <w:r>
              <w:rPr>
                <w:rFonts w:cstheme="minorHAnsi"/>
                <w:lang w:val="en-US"/>
              </w:rPr>
              <w:t xml:space="preserve">   </w:t>
            </w:r>
            <w:r w:rsidR="008F55DB" w:rsidRPr="008F55DB">
              <w:rPr>
                <w:rFonts w:cstheme="minorHAnsi"/>
                <w:lang w:val="en-US"/>
              </w:rPr>
              <w:t xml:space="preserve"> anti-corruption program.</w:t>
            </w:r>
          </w:p>
          <w:p w14:paraId="7931E92C" w14:textId="77777777" w:rsidR="00084699" w:rsidRDefault="00084699" w:rsidP="008F55DB">
            <w:pPr>
              <w:pStyle w:val="Bezriadkovania"/>
              <w:jc w:val="both"/>
              <w:rPr>
                <w:rFonts w:cstheme="minorHAnsi"/>
                <w:lang w:val="en-US"/>
              </w:rPr>
            </w:pPr>
          </w:p>
          <w:p w14:paraId="65D740D1" w14:textId="5C6DBE7F" w:rsidR="008F55DB" w:rsidRPr="008F55DB" w:rsidRDefault="008F55DB" w:rsidP="008F55DB">
            <w:pPr>
              <w:pStyle w:val="Bezriadkovania"/>
              <w:jc w:val="both"/>
              <w:rPr>
                <w:rFonts w:cstheme="minorHAnsi"/>
                <w:lang w:val="en-US"/>
              </w:rPr>
            </w:pPr>
            <w:r w:rsidRPr="008F55DB">
              <w:rPr>
                <w:rFonts w:cstheme="minorHAnsi"/>
                <w:lang w:val="en-US"/>
              </w:rPr>
              <w:t xml:space="preserve">Public Procurement Office (PPO) also has its own anti-corruption policy and last year obtained the Certificate of Bribery Management System (ISO 37001: 2016), which includes regular training on how to avoid or solve corruption. </w:t>
            </w:r>
          </w:p>
          <w:p w14:paraId="3033E091" w14:textId="77777777" w:rsidR="00084699" w:rsidRDefault="00084699" w:rsidP="008F55DB">
            <w:pPr>
              <w:pStyle w:val="Bezriadkovania"/>
              <w:jc w:val="both"/>
              <w:rPr>
                <w:rFonts w:cstheme="minorHAnsi"/>
                <w:lang w:val="en-US"/>
              </w:rPr>
            </w:pPr>
          </w:p>
          <w:p w14:paraId="0DDE8013" w14:textId="0ACB316D" w:rsidR="008F55DB" w:rsidRPr="008F55DB" w:rsidRDefault="008F55DB" w:rsidP="008F55DB">
            <w:pPr>
              <w:pStyle w:val="Bezriadkovania"/>
              <w:jc w:val="both"/>
              <w:rPr>
                <w:rFonts w:cstheme="minorHAnsi"/>
                <w:lang w:val="en-US"/>
              </w:rPr>
            </w:pPr>
            <w:r w:rsidRPr="008F55DB">
              <w:rPr>
                <w:rFonts w:cstheme="minorHAnsi"/>
                <w:lang w:val="en-US"/>
              </w:rPr>
              <w:t xml:space="preserve">Within its competence, Public Procurement Office maintains a list of economic entities and a register of economic entities who have been banned from participation in public procurement and also imposes fines for violations of the Public Procurement Act. </w:t>
            </w:r>
          </w:p>
          <w:p w14:paraId="5942917C" w14:textId="77777777" w:rsidR="00084699" w:rsidRDefault="00084699" w:rsidP="008F55DB">
            <w:pPr>
              <w:pStyle w:val="Bezriadkovania"/>
              <w:jc w:val="both"/>
              <w:rPr>
                <w:rFonts w:cstheme="minorHAnsi"/>
                <w:lang w:val="en-US"/>
              </w:rPr>
            </w:pPr>
          </w:p>
          <w:p w14:paraId="746F494B" w14:textId="513AD678" w:rsidR="008F55DB" w:rsidRPr="008F55DB" w:rsidRDefault="008F55DB" w:rsidP="008F55DB">
            <w:pPr>
              <w:pStyle w:val="Bezriadkovania"/>
              <w:jc w:val="both"/>
              <w:rPr>
                <w:rFonts w:cstheme="minorHAnsi"/>
                <w:highlight w:val="lightGray"/>
                <w:lang w:val="en-US"/>
              </w:rPr>
            </w:pPr>
            <w:r w:rsidRPr="008F55DB">
              <w:rPr>
                <w:rFonts w:cstheme="minorHAnsi"/>
                <w:lang w:val="en-US"/>
              </w:rPr>
              <w:t>The Public Procurement Act stipulates several institutes and regulates procedures and measures for passing conflicts of interest in the public procurement process (and restrictions on competition and corruption respectively).</w:t>
            </w:r>
          </w:p>
          <w:p w14:paraId="1B5897EF" w14:textId="77777777" w:rsidR="001C00AD" w:rsidRPr="001C00AD" w:rsidRDefault="001C00AD" w:rsidP="001C00AD">
            <w:pPr>
              <w:pStyle w:val="Bezriadkovania"/>
              <w:jc w:val="both"/>
              <w:rPr>
                <w:highlight w:val="lightGray"/>
                <w:lang w:val="sk-SK" w:eastAsia="sk-SK"/>
              </w:rPr>
            </w:pPr>
          </w:p>
          <w:p w14:paraId="35C10320" w14:textId="77777777" w:rsidR="00DD09E8" w:rsidRDefault="00DD09E8" w:rsidP="001C00AD">
            <w:pPr>
              <w:pStyle w:val="Bezriadkovania"/>
              <w:jc w:val="both"/>
              <w:rPr>
                <w:highlight w:val="lightGray"/>
                <w:lang w:val="sk-SK" w:eastAsia="sk-SK"/>
              </w:rPr>
            </w:pPr>
          </w:p>
          <w:p w14:paraId="7CCE352C" w14:textId="2C75F5D5" w:rsidR="00DD09E8" w:rsidRPr="009F37F6" w:rsidRDefault="00DD09E8" w:rsidP="001C00AD">
            <w:pPr>
              <w:pStyle w:val="Bezriadkovania"/>
              <w:jc w:val="both"/>
              <w:rPr>
                <w:lang w:val="en-US" w:eastAsia="sk-SK"/>
              </w:rPr>
            </w:pPr>
            <w:r w:rsidRPr="009F37F6">
              <w:rPr>
                <w:lang w:val="en-US" w:eastAsia="sk-SK"/>
              </w:rPr>
              <w:t>The Public Procurement Act defines a conflict of interest and at the same time establishes the tortious liability of the public procurer as well as the person concerned for the identified conflict of interest, not only at the time when the conflict of interest was detected, but also at the time when the public procurer was obliged to introduce prevention mechanisms and detection of conflicts of interest.</w:t>
            </w:r>
          </w:p>
          <w:p w14:paraId="4464C325" w14:textId="689F4951" w:rsidR="00DD09E8" w:rsidRPr="009F37F6" w:rsidRDefault="00DD09E8" w:rsidP="001C00AD">
            <w:pPr>
              <w:pStyle w:val="Bezriadkovania"/>
              <w:jc w:val="both"/>
              <w:rPr>
                <w:lang w:val="en-US" w:eastAsia="sk-SK"/>
              </w:rPr>
            </w:pPr>
          </w:p>
          <w:p w14:paraId="41CC9153" w14:textId="496DACD0" w:rsidR="00DD09E8" w:rsidRPr="009F37F6" w:rsidRDefault="00DD09E8" w:rsidP="00DD09E8">
            <w:pPr>
              <w:pStyle w:val="Bezriadkovania"/>
              <w:jc w:val="both"/>
              <w:rPr>
                <w:lang w:val="en-US" w:eastAsia="sk-SK"/>
              </w:rPr>
            </w:pPr>
            <w:r w:rsidRPr="009F37F6">
              <w:rPr>
                <w:lang w:val="en-US" w:eastAsia="sk-SK"/>
              </w:rPr>
              <w:t xml:space="preserve">PPO states that, under the Public Procurement Act, a conflict of interest includes, in particular, a situation where an interested party who may influence the outcome or course of a public procurement has a direct or indirect financial interest, economic interest or other personal interest that may be considered a threat to </w:t>
            </w:r>
            <w:r w:rsidR="00CF10E7">
              <w:rPr>
                <w:lang w:val="en-US" w:eastAsia="sk-SK"/>
              </w:rPr>
              <w:t>their</w:t>
            </w:r>
            <w:r w:rsidRPr="009F37F6">
              <w:rPr>
                <w:lang w:val="en-US" w:eastAsia="sk-SK"/>
              </w:rPr>
              <w:t xml:space="preserve"> impartiality and independence in public procurement. According to the </w:t>
            </w:r>
            <w:r w:rsidR="00CF10E7">
              <w:rPr>
                <w:lang w:val="en-US" w:eastAsia="sk-SK"/>
              </w:rPr>
              <w:t>PPO</w:t>
            </w:r>
            <w:r w:rsidRPr="009F37F6">
              <w:rPr>
                <w:lang w:val="en-US" w:eastAsia="sk-SK"/>
              </w:rPr>
              <w:t>, the fulfillment of the obligation to notify a conflict of interest by an interested party is crucial for the effective functioning of the legal mechanism designed against conflicts of interest in public procurement, which also acts as a prevention against corruption and machinations in public procurement.</w:t>
            </w:r>
          </w:p>
          <w:p w14:paraId="388D2951" w14:textId="77777777" w:rsidR="00DD09E8" w:rsidRPr="009F37F6" w:rsidRDefault="00DD09E8" w:rsidP="001C00AD">
            <w:pPr>
              <w:pStyle w:val="Bezriadkovania"/>
              <w:jc w:val="both"/>
              <w:rPr>
                <w:rFonts w:cstheme="minorHAnsi"/>
                <w:highlight w:val="lightGray"/>
                <w:lang w:val="en-US"/>
              </w:rPr>
            </w:pPr>
          </w:p>
          <w:p w14:paraId="662C0D95" w14:textId="34867383" w:rsidR="00703EB8" w:rsidRPr="009F37F6" w:rsidRDefault="00703EB8" w:rsidP="001C00AD">
            <w:pPr>
              <w:pStyle w:val="Bezriadkovania"/>
              <w:jc w:val="both"/>
              <w:rPr>
                <w:rFonts w:cstheme="minorHAnsi"/>
                <w:highlight w:val="lightGray"/>
                <w:lang w:val="en-US"/>
              </w:rPr>
            </w:pPr>
            <w:r w:rsidRPr="009F37F6">
              <w:rPr>
                <w:rFonts w:cstheme="minorHAnsi"/>
                <w:lang w:val="en-US"/>
              </w:rPr>
              <w:t>Within the monitored period (from 1 January 2018 to 31 December 2020), several amendments to the Public Procurement Act were adopted, which extended the PPO power to sanction liable persons (public contracting authority, contracting authority, economic entities). At the same time, in relation to the conflict of interests, the act introduced a delict and misconduct against the person concerned, who does not report a conflict of interest.</w:t>
            </w:r>
          </w:p>
          <w:p w14:paraId="1B708C20" w14:textId="77777777" w:rsidR="001C00AD" w:rsidRPr="009F37F6" w:rsidRDefault="001C00AD" w:rsidP="001C00AD">
            <w:pPr>
              <w:pStyle w:val="Bezriadkovania"/>
              <w:jc w:val="both"/>
              <w:rPr>
                <w:highlight w:val="lightGray"/>
                <w:lang w:val="en-US"/>
              </w:rPr>
            </w:pPr>
          </w:p>
          <w:p w14:paraId="282BEA4E" w14:textId="5F05362F" w:rsidR="00703EB8" w:rsidRPr="009F37F6" w:rsidRDefault="00703EB8" w:rsidP="00703EB8">
            <w:pPr>
              <w:pStyle w:val="Bezriadkovania"/>
              <w:jc w:val="both"/>
              <w:rPr>
                <w:lang w:val="en-US"/>
              </w:rPr>
            </w:pPr>
            <w:r w:rsidRPr="009F37F6">
              <w:rPr>
                <w:lang w:val="en-US"/>
              </w:rPr>
              <w:t>If the PPO finds that the detected violations are also a criminal offense (the criminal offense of machinations in public procurement), it shall notify the law enforcement authorities.</w:t>
            </w:r>
          </w:p>
          <w:p w14:paraId="12DE5894" w14:textId="445870D9" w:rsidR="00703EB8" w:rsidRPr="009F37F6" w:rsidRDefault="00703EB8" w:rsidP="00703EB8">
            <w:pPr>
              <w:pStyle w:val="Bezriadkovania"/>
              <w:jc w:val="both"/>
              <w:rPr>
                <w:highlight w:val="lightGray"/>
                <w:lang w:val="en-US"/>
              </w:rPr>
            </w:pPr>
            <w:r w:rsidRPr="009F37F6">
              <w:rPr>
                <w:lang w:val="en-US"/>
              </w:rPr>
              <w:t>The Office also cooperates with the Antimonopoly Office. It informs them about suspicions of anti-competitive agreements.</w:t>
            </w:r>
          </w:p>
          <w:p w14:paraId="7F5CB597" w14:textId="77777777" w:rsidR="00703EB8" w:rsidRPr="009F37F6" w:rsidRDefault="00703EB8" w:rsidP="00F15A33">
            <w:pPr>
              <w:rPr>
                <w:highlight w:val="lightGray"/>
                <w:lang w:val="en-US"/>
              </w:rPr>
            </w:pPr>
          </w:p>
          <w:p w14:paraId="3C0719FE" w14:textId="76CCE949" w:rsidR="00703EB8" w:rsidRDefault="00703EB8" w:rsidP="00F15A33">
            <w:pPr>
              <w:rPr>
                <w:highlight w:val="lightGray"/>
                <w:lang w:val="sk-SK"/>
              </w:rPr>
            </w:pPr>
            <w:r w:rsidRPr="009F37F6">
              <w:rPr>
                <w:lang w:val="en-US"/>
              </w:rPr>
              <w:t xml:space="preserve">In addition to the provisions of the Public Procurement Act (e.g. § 23 regulating conflicts of interest) and other relevant laws (e.g. Criminal Act), the Ministry of Investment, Regional Development and </w:t>
            </w:r>
            <w:proofErr w:type="spellStart"/>
            <w:r w:rsidRPr="009F37F6">
              <w:rPr>
                <w:lang w:val="en-US"/>
              </w:rPr>
              <w:t>Informatization</w:t>
            </w:r>
            <w:proofErr w:type="spellEnd"/>
            <w:r w:rsidRPr="009F37F6">
              <w:rPr>
                <w:lang w:val="en-US"/>
              </w:rPr>
              <w:t xml:space="preserve"> of the Slovak Republic applies the rules that are the subject of the CKO Methodological Instruction no. 13 to the conflict of interest (affidavit on the absence of a conflict of interests, setting rules for distinguishing between possible and potential conflicts of interest), in the </w:t>
            </w:r>
            <w:r w:rsidRPr="009F37F6">
              <w:rPr>
                <w:lang w:val="en-US"/>
              </w:rPr>
              <w:lastRenderedPageBreak/>
              <w:t>Methodological Instruction CKO no. 35 (risk indicators that could indicate a breach of competition rules), in the ESIF Funds Management System (cooperation with law enforcement authorities). These documents are adequately transposed into the manuals for beneficiaries in the context of contracts financed by EU funds.</w:t>
            </w:r>
          </w:p>
          <w:p w14:paraId="274DF746" w14:textId="29E14C4C" w:rsidR="00253552" w:rsidRPr="00B01372" w:rsidRDefault="00253552" w:rsidP="009F37F6">
            <w:pPr>
              <w:jc w:val="both"/>
            </w:pPr>
          </w:p>
        </w:tc>
      </w:tr>
      <w:tr w:rsidR="00253552" w:rsidRPr="00B01372" w14:paraId="4CDE2A28" w14:textId="77777777" w:rsidTr="00A47B20">
        <w:tc>
          <w:tcPr>
            <w:tcW w:w="1648" w:type="pct"/>
          </w:tcPr>
          <w:p w14:paraId="1DCB95B7" w14:textId="123EA8CA" w:rsidR="00253552" w:rsidRPr="00B01372" w:rsidRDefault="00524104" w:rsidP="005329C9">
            <w:pPr>
              <w:pStyle w:val="Nadpis3"/>
              <w:outlineLvl w:val="2"/>
            </w:pPr>
            <w:r w:rsidRPr="00B01372">
              <w:lastRenderedPageBreak/>
              <w:t>III</w:t>
            </w:r>
            <w:r w:rsidR="00253552" w:rsidRPr="00B01372">
              <w:t xml:space="preserve">.2. </w:t>
            </w:r>
            <w:r w:rsidR="0037143F" w:rsidRPr="0037143F">
              <w:t>Supporting documents</w:t>
            </w:r>
          </w:p>
        </w:tc>
        <w:tc>
          <w:tcPr>
            <w:tcW w:w="3352" w:type="pct"/>
          </w:tcPr>
          <w:p w14:paraId="263B52A4" w14:textId="77777777" w:rsidR="00253552" w:rsidRPr="00B01372" w:rsidRDefault="00253552" w:rsidP="005329C9">
            <w:pPr>
              <w:rPr>
                <w:i/>
              </w:rPr>
            </w:pPr>
          </w:p>
        </w:tc>
      </w:tr>
      <w:tr w:rsidR="00253552" w:rsidRPr="00B01372" w14:paraId="02400CED" w14:textId="77777777" w:rsidTr="00A47B20">
        <w:tc>
          <w:tcPr>
            <w:tcW w:w="1648" w:type="pct"/>
          </w:tcPr>
          <w:p w14:paraId="02040C70" w14:textId="43CA30F6" w:rsidR="00253552" w:rsidRPr="00B01372" w:rsidRDefault="00253552" w:rsidP="0037143F">
            <w:pPr>
              <w:pStyle w:val="Nadpis3"/>
              <w:outlineLvl w:val="2"/>
              <w:rPr>
                <w:b w:val="0"/>
              </w:rPr>
            </w:pPr>
            <w:r w:rsidRPr="00B01372">
              <w:rPr>
                <w:b w:val="0"/>
              </w:rPr>
              <w:t xml:space="preserve">Please provide any available </w:t>
            </w:r>
            <w:r w:rsidR="0037143F">
              <w:rPr>
                <w:b w:val="0"/>
              </w:rPr>
              <w:t>evidence</w:t>
            </w:r>
            <w:r w:rsidRPr="00B01372">
              <w:rPr>
                <w:b w:val="0"/>
              </w:rPr>
              <w:t xml:space="preserve"> on the actions/mechanisms and measures described under section </w:t>
            </w:r>
            <w:r w:rsidR="00046AD1" w:rsidRPr="00B01372">
              <w:rPr>
                <w:b w:val="0"/>
              </w:rPr>
              <w:t>III</w:t>
            </w:r>
            <w:r w:rsidRPr="00B01372">
              <w:rPr>
                <w:b w:val="0"/>
              </w:rPr>
              <w:t xml:space="preserve">.1. above </w:t>
            </w:r>
            <w:r w:rsidR="00B72720" w:rsidRPr="00B01372">
              <w:rPr>
                <w:b w:val="0"/>
              </w:rPr>
              <w:t>demonstrating</w:t>
            </w:r>
            <w:r w:rsidRPr="00B01372">
              <w:rPr>
                <w:b w:val="0"/>
              </w:rPr>
              <w:t xml:space="preserve"> compliance with the new provisions on the prevention, detection and adequate reporting of public procurement irregularities and conflicts of interests</w:t>
            </w:r>
            <w:r w:rsidR="00C34D4D">
              <w:rPr>
                <w:b w:val="0"/>
              </w:rPr>
              <w:t>.</w:t>
            </w:r>
            <w:r w:rsidRPr="00B01372">
              <w:rPr>
                <w:b w:val="0"/>
              </w:rPr>
              <w:t xml:space="preserve">  </w:t>
            </w:r>
          </w:p>
        </w:tc>
        <w:tc>
          <w:tcPr>
            <w:tcW w:w="3352" w:type="pct"/>
          </w:tcPr>
          <w:p w14:paraId="764B55D9" w14:textId="01ED37D0" w:rsidR="00F11911" w:rsidRDefault="00F11911" w:rsidP="009F37F6">
            <w:pPr>
              <w:pStyle w:val="Bezriadkovania"/>
              <w:jc w:val="both"/>
            </w:pPr>
            <w:r>
              <w:t xml:space="preserve">Public Procurement Office </w:t>
            </w:r>
            <w:r w:rsidRPr="00F11911">
              <w:t>considers it important and therefore places emphasis on training on the topic of conflict of interest</w:t>
            </w:r>
            <w:r>
              <w:t>:</w:t>
            </w:r>
          </w:p>
          <w:p w14:paraId="0482C92F" w14:textId="7C3F4243" w:rsidR="00F11911" w:rsidRDefault="00EE7BA2" w:rsidP="009F37F6">
            <w:pPr>
              <w:pStyle w:val="Bezriadkovania"/>
              <w:jc w:val="both"/>
              <w:rPr>
                <w:rFonts w:ascii="Segoe UI" w:hAnsi="Segoe UI" w:cs="Segoe UI"/>
                <w:sz w:val="21"/>
                <w:szCs w:val="21"/>
              </w:rPr>
            </w:pPr>
            <w:hyperlink r:id="rId18" w:tgtFrame="_blank" w:tooltip="https://www.uvo.gov.sk/legislativametodika-dohlad/metodika-zadavania-zakaziek-5ae.html" w:history="1">
              <w:r w:rsidR="00F11911">
                <w:rPr>
                  <w:rStyle w:val="Hypertextovprepojenie"/>
                  <w:rFonts w:ascii="Segoe UI" w:hAnsi="Segoe UI" w:cs="Segoe UI"/>
                  <w:sz w:val="21"/>
                  <w:szCs w:val="21"/>
                </w:rPr>
                <w:t>https://www.uvo.gov.sk/legislativametodika-dohlad/metodika-zadavania-zakaziek-5ae.html</w:t>
              </w:r>
            </w:hyperlink>
          </w:p>
          <w:p w14:paraId="56858532" w14:textId="77777777" w:rsidR="00F11911" w:rsidRDefault="00EE7BA2" w:rsidP="00F11911">
            <w:pPr>
              <w:rPr>
                <w:rFonts w:ascii="Segoe UI" w:hAnsi="Segoe UI" w:cs="Segoe UI"/>
                <w:sz w:val="21"/>
                <w:szCs w:val="21"/>
              </w:rPr>
            </w:pPr>
            <w:hyperlink r:id="rId19" w:tgtFrame="_blank" w:tooltip="https://www.uvo.gov.sk/extdoc/2772/konflikt%20z%c3%a1ujmov" w:history="1">
              <w:r w:rsidR="00F11911">
                <w:rPr>
                  <w:rStyle w:val="Hypertextovprepojenie"/>
                  <w:rFonts w:ascii="Segoe UI" w:hAnsi="Segoe UI" w:cs="Segoe UI"/>
                  <w:sz w:val="21"/>
                  <w:szCs w:val="21"/>
                </w:rPr>
                <w:t>https://www.uvo.gov.sk/extdoc/2772/Konflikt%20z%C3%A1ujmov</w:t>
              </w:r>
            </w:hyperlink>
          </w:p>
          <w:p w14:paraId="25C09E81" w14:textId="1BEB816F" w:rsidR="00F11911" w:rsidRDefault="00F11911" w:rsidP="009F37F6">
            <w:pPr>
              <w:pStyle w:val="Bezriadkovania"/>
              <w:jc w:val="both"/>
              <w:rPr>
                <w:i/>
              </w:rPr>
            </w:pPr>
          </w:p>
          <w:p w14:paraId="0C326EDE" w14:textId="17F7EE2A" w:rsidR="00F11911" w:rsidRDefault="00F11911" w:rsidP="00F11911">
            <w:pPr>
              <w:pStyle w:val="Bezriadkovania"/>
              <w:jc w:val="both"/>
            </w:pPr>
            <w:r w:rsidRPr="00F11911">
              <w:t>+ link to answers to practical questions</w:t>
            </w:r>
            <w:r>
              <w:t xml:space="preserve">: </w:t>
            </w:r>
          </w:p>
          <w:p w14:paraId="1D7881B3" w14:textId="246FA087" w:rsidR="00F11911" w:rsidRPr="00F11911" w:rsidRDefault="00EE7BA2" w:rsidP="00F11911">
            <w:pPr>
              <w:pStyle w:val="Bezriadkovania"/>
              <w:jc w:val="both"/>
            </w:pPr>
            <w:hyperlink r:id="rId20" w:history="1">
              <w:proofErr w:type="spellStart"/>
              <w:r w:rsidR="00F11911">
                <w:rPr>
                  <w:rStyle w:val="Hypertextovprepojenie"/>
                </w:rPr>
                <w:t>Metodické</w:t>
              </w:r>
              <w:proofErr w:type="spellEnd"/>
              <w:r w:rsidR="00F11911">
                <w:rPr>
                  <w:rStyle w:val="Hypertextovprepojenie"/>
                </w:rPr>
                <w:t xml:space="preserve"> </w:t>
              </w:r>
              <w:proofErr w:type="spellStart"/>
              <w:r w:rsidR="00F11911">
                <w:rPr>
                  <w:rStyle w:val="Hypertextovprepojenie"/>
                </w:rPr>
                <w:t>usmernenia</w:t>
              </w:r>
              <w:proofErr w:type="spellEnd"/>
              <w:r w:rsidR="00F11911">
                <w:rPr>
                  <w:rStyle w:val="Hypertextovprepojenie"/>
                </w:rPr>
                <w:t xml:space="preserve"> – </w:t>
              </w:r>
              <w:proofErr w:type="spellStart"/>
              <w:r w:rsidR="00F11911">
                <w:rPr>
                  <w:rStyle w:val="Hypertextovprepojenie"/>
                </w:rPr>
                <w:t>zákon</w:t>
              </w:r>
              <w:proofErr w:type="spellEnd"/>
              <w:r w:rsidR="00F11911">
                <w:rPr>
                  <w:rStyle w:val="Hypertextovprepojenie"/>
                </w:rPr>
                <w:t xml:space="preserve"> č. 343/2015 Z. z. - </w:t>
              </w:r>
              <w:proofErr w:type="spellStart"/>
              <w:r w:rsidR="00F11911">
                <w:rPr>
                  <w:rStyle w:val="Hypertextovprepojenie"/>
                </w:rPr>
                <w:t>Úrad</w:t>
              </w:r>
              <w:proofErr w:type="spellEnd"/>
              <w:r w:rsidR="00F11911">
                <w:rPr>
                  <w:rStyle w:val="Hypertextovprepojenie"/>
                </w:rPr>
                <w:t xml:space="preserve"> pre </w:t>
              </w:r>
              <w:proofErr w:type="spellStart"/>
              <w:r w:rsidR="00F11911">
                <w:rPr>
                  <w:rStyle w:val="Hypertextovprepojenie"/>
                </w:rPr>
                <w:t>verejné</w:t>
              </w:r>
              <w:proofErr w:type="spellEnd"/>
              <w:r w:rsidR="00F11911">
                <w:rPr>
                  <w:rStyle w:val="Hypertextovprepojenie"/>
                </w:rPr>
                <w:t xml:space="preserve"> </w:t>
              </w:r>
              <w:proofErr w:type="spellStart"/>
              <w:r w:rsidR="00F11911">
                <w:rPr>
                  <w:rStyle w:val="Hypertextovprepojenie"/>
                </w:rPr>
                <w:t>obstarávanie</w:t>
              </w:r>
              <w:proofErr w:type="spellEnd"/>
              <w:r w:rsidR="00F11911">
                <w:rPr>
                  <w:rStyle w:val="Hypertextovprepojenie"/>
                </w:rPr>
                <w:t xml:space="preserve"> (gov.sk)</w:t>
              </w:r>
            </w:hyperlink>
          </w:p>
          <w:p w14:paraId="1D6E61C3" w14:textId="77777777" w:rsidR="00F11911" w:rsidRDefault="00F11911" w:rsidP="009F37F6">
            <w:pPr>
              <w:pStyle w:val="Bezriadkovania"/>
              <w:jc w:val="both"/>
              <w:rPr>
                <w:i/>
              </w:rPr>
            </w:pPr>
          </w:p>
          <w:p w14:paraId="3A167F6C" w14:textId="432962D0" w:rsidR="009F37F6" w:rsidRPr="009F37F6" w:rsidRDefault="009F37F6" w:rsidP="009F37F6">
            <w:pPr>
              <w:pStyle w:val="Bezriadkovania"/>
              <w:jc w:val="both"/>
              <w:rPr>
                <w:i/>
              </w:rPr>
            </w:pPr>
            <w:r w:rsidRPr="009F37F6">
              <w:rPr>
                <w:i/>
              </w:rPr>
              <w:t>• Act no. 300/2005 - Criminal Code</w:t>
            </w:r>
          </w:p>
          <w:p w14:paraId="0C233033" w14:textId="44DA8263" w:rsidR="009F37F6" w:rsidRPr="009F37F6" w:rsidRDefault="009F37F6" w:rsidP="009F37F6">
            <w:pPr>
              <w:pStyle w:val="Bezriadkovania"/>
              <w:jc w:val="both"/>
              <w:rPr>
                <w:i/>
              </w:rPr>
            </w:pPr>
            <w:r w:rsidRPr="009F37F6">
              <w:rPr>
                <w:i/>
              </w:rPr>
              <w:t>• Act no. 54/2019 Coll. on the protection of whistle blowers</w:t>
            </w:r>
          </w:p>
          <w:p w14:paraId="3CFCBF76" w14:textId="77777777" w:rsidR="009F37F6" w:rsidRPr="009F37F6" w:rsidRDefault="009F37F6" w:rsidP="009F37F6">
            <w:pPr>
              <w:pStyle w:val="Bezriadkovania"/>
              <w:jc w:val="both"/>
              <w:rPr>
                <w:i/>
              </w:rPr>
            </w:pPr>
            <w:r w:rsidRPr="009F37F6">
              <w:rPr>
                <w:i/>
              </w:rPr>
              <w:t>• Act no. 343/2015 Coll. on public procurement</w:t>
            </w:r>
          </w:p>
          <w:p w14:paraId="4749EEC7" w14:textId="77777777" w:rsidR="009F37F6" w:rsidRPr="009F37F6" w:rsidRDefault="009F37F6" w:rsidP="009F37F6">
            <w:pPr>
              <w:pStyle w:val="Bezriadkovania"/>
              <w:jc w:val="both"/>
              <w:rPr>
                <w:i/>
              </w:rPr>
            </w:pPr>
            <w:r w:rsidRPr="009F37F6">
              <w:rPr>
                <w:i/>
              </w:rPr>
              <w:t>• Resolution of the Government of the Slovak Republic no. 585/2018</w:t>
            </w:r>
          </w:p>
          <w:p w14:paraId="480E86FC" w14:textId="4DDDD9F4" w:rsidR="004957A0" w:rsidRPr="009F37F6" w:rsidRDefault="009F37F6" w:rsidP="009F37F6">
            <w:pPr>
              <w:pStyle w:val="Bezriadkovania"/>
              <w:jc w:val="both"/>
              <w:rPr>
                <w:rFonts w:cstheme="minorHAnsi"/>
                <w:lang w:val="sk-SK"/>
              </w:rPr>
            </w:pPr>
            <w:r w:rsidRPr="009F37F6">
              <w:rPr>
                <w:i/>
              </w:rPr>
              <w:t>• ISO certificate - ISO 37001: 2016</w:t>
            </w:r>
            <w:r w:rsidR="004957A0" w:rsidRPr="009F37F6">
              <w:rPr>
                <w:lang w:val="sk-SK"/>
              </w:rPr>
              <w:t xml:space="preserve"> (</w:t>
            </w:r>
            <w:r w:rsidRPr="00CF10E7">
              <w:rPr>
                <w:lang w:val="en-US"/>
              </w:rPr>
              <w:t>available on</w:t>
            </w:r>
            <w:r w:rsidR="004957A0" w:rsidRPr="00CF10E7">
              <w:rPr>
                <w:lang w:val="en-US"/>
              </w:rPr>
              <w:t>:</w:t>
            </w:r>
            <w:r w:rsidR="004957A0" w:rsidRPr="009F37F6">
              <w:rPr>
                <w:lang w:val="sk-SK"/>
              </w:rPr>
              <w:t xml:space="preserve"> </w:t>
            </w:r>
            <w:hyperlink r:id="rId21" w:history="1">
              <w:r w:rsidR="004957A0" w:rsidRPr="009F37F6">
                <w:rPr>
                  <w:rStyle w:val="Hypertextovprepojenie"/>
                  <w:lang w:val="sk-SK"/>
                </w:rPr>
                <w:t>https://www.uvo.gov.sk/korupcia-61c.html</w:t>
              </w:r>
            </w:hyperlink>
            <w:r w:rsidR="004957A0" w:rsidRPr="009F37F6">
              <w:rPr>
                <w:lang w:val="sk-SK"/>
              </w:rPr>
              <w:t>)</w:t>
            </w:r>
          </w:p>
          <w:p w14:paraId="4E9CC5B2" w14:textId="3A451D54" w:rsidR="004957A0" w:rsidRDefault="004957A0" w:rsidP="001C00AD">
            <w:pPr>
              <w:pStyle w:val="Bezriadkovania"/>
              <w:jc w:val="both"/>
              <w:rPr>
                <w:rFonts w:cstheme="minorHAnsi"/>
                <w:lang w:val="sk-SK"/>
              </w:rPr>
            </w:pPr>
          </w:p>
          <w:p w14:paraId="0882ED4B" w14:textId="5C1A3635" w:rsidR="009F37F6" w:rsidRPr="009F37F6" w:rsidRDefault="009F37F6" w:rsidP="001C00AD">
            <w:pPr>
              <w:pStyle w:val="Bezriadkovania"/>
              <w:jc w:val="both"/>
              <w:rPr>
                <w:rFonts w:cstheme="minorHAnsi"/>
                <w:lang w:val="en-US"/>
              </w:rPr>
            </w:pPr>
            <w:r w:rsidRPr="009F37F6">
              <w:rPr>
                <w:rFonts w:cstheme="minorHAnsi"/>
                <w:lang w:val="en-US"/>
              </w:rPr>
              <w:t>Within the reviewed period, the Public Procurement Act was amended, on the basis of which mechanisms were adjusted in order to prevent, detect, process the identification of conflicts of interest, corruption and restriction of competition. Last but not least, the tortious liability for breaching the established obligations was regulated.</w:t>
            </w:r>
          </w:p>
          <w:p w14:paraId="08E140EC" w14:textId="4484485E" w:rsidR="009F37F6" w:rsidRDefault="009F37F6" w:rsidP="001C00AD">
            <w:pPr>
              <w:pStyle w:val="Bezriadkovania"/>
              <w:jc w:val="both"/>
              <w:rPr>
                <w:rFonts w:cstheme="minorHAnsi"/>
                <w:lang w:val="sk-SK"/>
              </w:rPr>
            </w:pPr>
          </w:p>
          <w:p w14:paraId="33417128" w14:textId="77777777" w:rsidR="009F37F6" w:rsidRPr="000059B3" w:rsidRDefault="009F37F6" w:rsidP="009F37F6">
            <w:pPr>
              <w:pStyle w:val="Bezriadkovania"/>
              <w:jc w:val="both"/>
              <w:rPr>
                <w:rFonts w:cstheme="minorHAnsi"/>
                <w:lang w:val="en-US"/>
              </w:rPr>
            </w:pPr>
            <w:r w:rsidRPr="000059B3">
              <w:rPr>
                <w:rFonts w:cstheme="minorHAnsi"/>
                <w:lang w:val="en-US"/>
              </w:rPr>
              <w:t>Such mechanisms may include:</w:t>
            </w:r>
          </w:p>
          <w:p w14:paraId="23C9AFF1" w14:textId="2D617A96" w:rsidR="009F37F6" w:rsidRPr="000059B3" w:rsidRDefault="009F37F6" w:rsidP="009F37F6">
            <w:pPr>
              <w:pStyle w:val="Bezriadkovania"/>
              <w:jc w:val="both"/>
              <w:rPr>
                <w:rFonts w:cstheme="minorHAnsi"/>
                <w:lang w:val="en-US"/>
              </w:rPr>
            </w:pPr>
            <w:r w:rsidRPr="000059B3">
              <w:rPr>
                <w:rFonts w:cstheme="minorHAnsi"/>
                <w:lang w:val="en-US"/>
              </w:rPr>
              <w:t xml:space="preserve">  - </w:t>
            </w:r>
            <w:r w:rsidR="00C72E28" w:rsidRPr="000059B3">
              <w:rPr>
                <w:rFonts w:cstheme="minorHAnsi"/>
                <w:lang w:val="en-US"/>
              </w:rPr>
              <w:t xml:space="preserve">   </w:t>
            </w:r>
            <w:r w:rsidRPr="000059B3">
              <w:rPr>
                <w:rFonts w:cstheme="minorHAnsi"/>
                <w:lang w:val="en-US"/>
              </w:rPr>
              <w:t xml:space="preserve">the obligation to publish quarterly summary reports on contracts with a value of more than EUR </w:t>
            </w:r>
          </w:p>
          <w:p w14:paraId="21D9258D" w14:textId="20425FCA" w:rsidR="009F37F6" w:rsidRPr="000059B3" w:rsidRDefault="009F37F6" w:rsidP="009F37F6">
            <w:pPr>
              <w:pStyle w:val="Bezriadkovania"/>
              <w:jc w:val="both"/>
              <w:rPr>
                <w:rFonts w:cstheme="minorHAnsi"/>
                <w:lang w:val="en-US"/>
              </w:rPr>
            </w:pPr>
            <w:r w:rsidRPr="000059B3">
              <w:rPr>
                <w:rFonts w:cstheme="minorHAnsi"/>
                <w:lang w:val="en-US"/>
              </w:rPr>
              <w:t xml:space="preserve">    </w:t>
            </w:r>
            <w:r w:rsidR="00C72E28" w:rsidRPr="000059B3">
              <w:rPr>
                <w:rFonts w:cstheme="minorHAnsi"/>
                <w:lang w:val="en-US"/>
              </w:rPr>
              <w:t xml:space="preserve">   </w:t>
            </w:r>
            <w:r w:rsidRPr="000059B3">
              <w:rPr>
                <w:rFonts w:cstheme="minorHAnsi"/>
                <w:lang w:val="en-US"/>
              </w:rPr>
              <w:t>1000,</w:t>
            </w:r>
          </w:p>
          <w:p w14:paraId="65A21097" w14:textId="00A71735" w:rsidR="00C72E28" w:rsidRPr="000059B3" w:rsidRDefault="009F37F6" w:rsidP="00C72E28">
            <w:pPr>
              <w:pStyle w:val="Bezriadkovania"/>
              <w:numPr>
                <w:ilvl w:val="0"/>
                <w:numId w:val="16"/>
              </w:numPr>
              <w:ind w:hanging="264"/>
              <w:jc w:val="both"/>
              <w:rPr>
                <w:rFonts w:cstheme="minorHAnsi"/>
                <w:lang w:val="en-US"/>
              </w:rPr>
            </w:pPr>
            <w:r w:rsidRPr="000059B3">
              <w:rPr>
                <w:rFonts w:cstheme="minorHAnsi"/>
                <w:lang w:val="en-US"/>
              </w:rPr>
              <w:t>increasing the period of mandatory archiving of public procurement documentation to 10 years to provide control authorities, including law enforcement authorities</w:t>
            </w:r>
            <w:r w:rsidR="00C72E28" w:rsidRPr="000059B3">
              <w:rPr>
                <w:rFonts w:cstheme="minorHAnsi"/>
                <w:lang w:val="en-US"/>
              </w:rPr>
              <w:t xml:space="preserve">, </w:t>
            </w:r>
            <w:r w:rsidRPr="000059B3">
              <w:rPr>
                <w:rFonts w:cstheme="minorHAnsi"/>
                <w:lang w:val="en-US"/>
              </w:rPr>
              <w:t xml:space="preserve">sufficient time for the performance of control activities </w:t>
            </w:r>
            <w:r w:rsidR="00C72E28" w:rsidRPr="000059B3">
              <w:rPr>
                <w:rFonts w:cstheme="minorHAnsi"/>
                <w:lang w:val="en-US"/>
              </w:rPr>
              <w:t>or</w:t>
            </w:r>
            <w:r w:rsidRPr="000059B3">
              <w:rPr>
                <w:rFonts w:cstheme="minorHAnsi"/>
                <w:lang w:val="en-US"/>
              </w:rPr>
              <w:t xml:space="preserve"> investigations,</w:t>
            </w:r>
          </w:p>
          <w:p w14:paraId="7737373A" w14:textId="65E2601C" w:rsidR="00C72E28" w:rsidRPr="000059B3" w:rsidRDefault="00E8684B" w:rsidP="00C72E28">
            <w:pPr>
              <w:pStyle w:val="Bezriadkovania"/>
              <w:jc w:val="both"/>
              <w:rPr>
                <w:rFonts w:cstheme="minorHAnsi"/>
                <w:color w:val="000000"/>
                <w:shd w:val="clear" w:color="auto" w:fill="FCFCFA"/>
                <w:lang w:val="en-US"/>
              </w:rPr>
            </w:pPr>
            <w:r w:rsidRPr="000059B3">
              <w:rPr>
                <w:rFonts w:cstheme="minorHAnsi"/>
                <w:color w:val="000000"/>
                <w:shd w:val="clear" w:color="auto" w:fill="FCFCFA"/>
                <w:lang w:val="en-US"/>
              </w:rPr>
              <w:lastRenderedPageBreak/>
              <w:t xml:space="preserve"> </w:t>
            </w:r>
            <w:r w:rsidR="00C72E28" w:rsidRPr="000059B3">
              <w:rPr>
                <w:rFonts w:cstheme="minorHAnsi"/>
                <w:color w:val="000000"/>
                <w:shd w:val="clear" w:color="auto" w:fill="FCFCFA"/>
                <w:lang w:val="en-US"/>
              </w:rPr>
              <w:t xml:space="preserve"> -    the introduction of an obligation to provide details of the person, who prepared the tender and the </w:t>
            </w:r>
          </w:p>
          <w:p w14:paraId="01A329CB" w14:textId="53482686" w:rsidR="00C72E28" w:rsidRPr="000059B3" w:rsidRDefault="00C72E28" w:rsidP="00C72E28">
            <w:pPr>
              <w:pStyle w:val="Bezriadkovania"/>
              <w:jc w:val="both"/>
              <w:rPr>
                <w:rFonts w:cstheme="minorHAnsi"/>
                <w:color w:val="000000"/>
                <w:shd w:val="clear" w:color="auto" w:fill="FCFCFA"/>
                <w:lang w:val="en-US"/>
              </w:rPr>
            </w:pPr>
            <w:r w:rsidRPr="000059B3">
              <w:rPr>
                <w:rFonts w:cstheme="minorHAnsi"/>
                <w:color w:val="000000"/>
                <w:shd w:val="clear" w:color="auto" w:fill="FCFCFA"/>
                <w:lang w:val="en-US"/>
              </w:rPr>
              <w:t xml:space="preserve">       imposition of a sanction in case of breaching this obligation,</w:t>
            </w:r>
          </w:p>
          <w:p w14:paraId="4CFB77F7" w14:textId="18C73C87" w:rsidR="00C72E28" w:rsidRPr="000059B3" w:rsidRDefault="00C72E28" w:rsidP="00C72E28">
            <w:pPr>
              <w:pStyle w:val="Bezriadkovania"/>
              <w:numPr>
                <w:ilvl w:val="0"/>
                <w:numId w:val="16"/>
              </w:numPr>
              <w:jc w:val="both"/>
              <w:rPr>
                <w:rFonts w:cstheme="minorHAnsi"/>
                <w:color w:val="000000"/>
                <w:shd w:val="clear" w:color="auto" w:fill="FCFCFA"/>
                <w:lang w:val="en-US"/>
              </w:rPr>
            </w:pPr>
            <w:r w:rsidRPr="000059B3">
              <w:rPr>
                <w:rFonts w:cstheme="minorHAnsi"/>
                <w:color w:val="000000"/>
                <w:shd w:val="clear" w:color="auto" w:fill="FCFCFA"/>
                <w:lang w:val="en-US"/>
              </w:rPr>
              <w:t>inferring tort and delict liability against the person concerned who fails to notify</w:t>
            </w:r>
          </w:p>
          <w:p w14:paraId="57AB9A88" w14:textId="27611AA6" w:rsidR="00C72E28" w:rsidRPr="000059B3" w:rsidRDefault="00C72E28" w:rsidP="00C72E28">
            <w:pPr>
              <w:pStyle w:val="Bezriadkovania"/>
              <w:jc w:val="both"/>
              <w:rPr>
                <w:rFonts w:cstheme="minorHAnsi"/>
                <w:color w:val="000000"/>
                <w:shd w:val="clear" w:color="auto" w:fill="FCFCFA"/>
                <w:lang w:val="en-US"/>
              </w:rPr>
            </w:pPr>
            <w:r w:rsidRPr="000059B3">
              <w:rPr>
                <w:rFonts w:cstheme="minorHAnsi"/>
                <w:color w:val="000000"/>
                <w:shd w:val="clear" w:color="auto" w:fill="FCFCFA"/>
                <w:lang w:val="en-US"/>
              </w:rPr>
              <w:t xml:space="preserve">       their conflict of interest (e.g. in relation to the tenderer) to the contracting authority</w:t>
            </w:r>
          </w:p>
          <w:p w14:paraId="5EDF9818" w14:textId="3026C5F0" w:rsidR="00C72E28" w:rsidRPr="000059B3" w:rsidRDefault="00C72E28" w:rsidP="00C72E28">
            <w:pPr>
              <w:pStyle w:val="Bezriadkovania"/>
              <w:numPr>
                <w:ilvl w:val="0"/>
                <w:numId w:val="16"/>
              </w:numPr>
              <w:jc w:val="both"/>
              <w:rPr>
                <w:rFonts w:cstheme="minorHAnsi"/>
                <w:color w:val="000000"/>
                <w:shd w:val="clear" w:color="auto" w:fill="FCFCFA"/>
                <w:lang w:val="en-US"/>
              </w:rPr>
            </w:pPr>
            <w:r w:rsidRPr="000059B3">
              <w:rPr>
                <w:rFonts w:cstheme="minorHAnsi"/>
                <w:color w:val="000000"/>
                <w:shd w:val="clear" w:color="auto" w:fill="FCFCFA"/>
                <w:lang w:val="en-US"/>
              </w:rPr>
              <w:t>the statutory liability of the contracting authority for failure to comply with the obligation to publish documents, which should contribute not only to a higher degree of publicity in the public procurement process, but also to the services provided to the contracting authority,</w:t>
            </w:r>
          </w:p>
          <w:p w14:paraId="1FEB6E11" w14:textId="0426B621" w:rsidR="001C00AD" w:rsidRPr="000059B3" w:rsidRDefault="001C00AD" w:rsidP="00C72E28">
            <w:pPr>
              <w:pStyle w:val="Bezriadkovania"/>
              <w:jc w:val="both"/>
              <w:rPr>
                <w:rFonts w:cstheme="minorHAnsi"/>
                <w:color w:val="000000"/>
                <w:shd w:val="clear" w:color="auto" w:fill="FCFCFA"/>
                <w:lang w:val="en-US"/>
              </w:rPr>
            </w:pPr>
          </w:p>
          <w:p w14:paraId="27693EB3" w14:textId="15CB6705" w:rsidR="001C00AD" w:rsidRPr="000059B3" w:rsidRDefault="001C00AD" w:rsidP="00044EEB">
            <w:pPr>
              <w:pStyle w:val="Bezriadkovania"/>
              <w:numPr>
                <w:ilvl w:val="0"/>
                <w:numId w:val="16"/>
              </w:numPr>
              <w:jc w:val="both"/>
              <w:rPr>
                <w:rFonts w:cstheme="minorHAnsi"/>
                <w:color w:val="000000"/>
                <w:shd w:val="clear" w:color="auto" w:fill="FCFCFA"/>
                <w:lang w:val="en-US"/>
              </w:rPr>
            </w:pPr>
            <w:r w:rsidRPr="000059B3">
              <w:rPr>
                <w:rFonts w:cstheme="minorHAnsi"/>
                <w:color w:val="000000"/>
                <w:shd w:val="clear" w:color="auto" w:fill="FCFCFA"/>
                <w:lang w:val="en-US"/>
              </w:rPr>
              <w:t xml:space="preserve"> </w:t>
            </w:r>
            <w:r w:rsidR="00C72E28" w:rsidRPr="000059B3">
              <w:rPr>
                <w:rFonts w:cstheme="minorHAnsi"/>
                <w:color w:val="000000"/>
                <w:shd w:val="clear" w:color="auto" w:fill="FCFCFA"/>
                <w:lang w:val="en-US"/>
              </w:rPr>
              <w:t>the introduction of the power of PPO to request from those bodies the information obtained by them on the basis of special regulations and, in particular, to look at the files kept in criminal proceedings, make extracts from files</w:t>
            </w:r>
          </w:p>
          <w:p w14:paraId="271F63EB" w14:textId="77777777" w:rsidR="000059B3" w:rsidRPr="000059B3" w:rsidRDefault="000059B3" w:rsidP="00F15A33">
            <w:pPr>
              <w:jc w:val="both"/>
              <w:rPr>
                <w:rFonts w:cstheme="minorHAnsi"/>
                <w:color w:val="000000"/>
                <w:highlight w:val="lightGray"/>
                <w:shd w:val="clear" w:color="auto" w:fill="FCFCFA"/>
                <w:lang w:val="en-US"/>
              </w:rPr>
            </w:pPr>
          </w:p>
          <w:p w14:paraId="42586C3A" w14:textId="71DC8173" w:rsidR="00F15A33" w:rsidRPr="0079323F" w:rsidRDefault="000059B3" w:rsidP="00AC74DE">
            <w:pPr>
              <w:rPr>
                <w:iCs/>
                <w:lang w:val="en-US"/>
              </w:rPr>
            </w:pPr>
            <w:r w:rsidRPr="000059B3">
              <w:rPr>
                <w:rFonts w:cstheme="minorHAnsi"/>
                <w:color w:val="000000"/>
                <w:shd w:val="clear" w:color="auto" w:fill="FCFCFA"/>
                <w:lang w:val="en-US"/>
              </w:rPr>
              <w:t xml:space="preserve">At the level of EU funds, several methodological guidelines have been adopted in the field of public procurement, e.g. methodological guidelines mentioned above, which are published on </w:t>
            </w:r>
            <w:r w:rsidRPr="0079323F">
              <w:rPr>
                <w:rFonts w:cstheme="minorHAnsi"/>
                <w:color w:val="000000"/>
                <w:shd w:val="clear" w:color="auto" w:fill="FCFCFA"/>
                <w:lang w:val="en-US"/>
              </w:rPr>
              <w:t>the website:</w:t>
            </w:r>
          </w:p>
          <w:p w14:paraId="5B3D74CD" w14:textId="0DB67489" w:rsidR="00253552" w:rsidRPr="003C16EA" w:rsidRDefault="00EE7BA2" w:rsidP="003C16EA">
            <w:pPr>
              <w:rPr>
                <w:iCs/>
              </w:rPr>
            </w:pPr>
            <w:hyperlink r:id="rId22" w:history="1">
              <w:r w:rsidR="00F15A33" w:rsidRPr="0079323F">
                <w:rPr>
                  <w:rStyle w:val="Hypertextovprepojenie"/>
                  <w:iCs/>
                </w:rPr>
                <w:t>https://www.partnerskadohoda.gov.sk/metodicke-pokyny-cko-a-uv-sr/</w:t>
              </w:r>
            </w:hyperlink>
            <w:r w:rsidR="004957A0" w:rsidRPr="0079323F">
              <w:rPr>
                <w:iCs/>
              </w:rPr>
              <w:t xml:space="preserve"> </w:t>
            </w:r>
            <w:r w:rsidR="009F59DA" w:rsidRPr="0079323F">
              <w:t xml:space="preserve"> </w:t>
            </w:r>
          </w:p>
          <w:p w14:paraId="5FB6C8BE" w14:textId="77777777" w:rsidR="00253552" w:rsidRPr="00B01372" w:rsidRDefault="00253552" w:rsidP="005329C9">
            <w:pPr>
              <w:rPr>
                <w:i/>
              </w:rPr>
            </w:pPr>
          </w:p>
        </w:tc>
      </w:tr>
      <w:tr w:rsidR="009C6F87" w:rsidRPr="00B01372" w14:paraId="2F7CD515" w14:textId="77777777" w:rsidTr="00A47B20">
        <w:tc>
          <w:tcPr>
            <w:tcW w:w="1648" w:type="pct"/>
          </w:tcPr>
          <w:p w14:paraId="7F372948" w14:textId="1887E523" w:rsidR="009C6F87" w:rsidRPr="00B01372" w:rsidRDefault="00A0326A" w:rsidP="00253552">
            <w:pPr>
              <w:pStyle w:val="Nadpis3"/>
              <w:outlineLvl w:val="2"/>
            </w:pPr>
            <w:r w:rsidRPr="00B01372">
              <w:lastRenderedPageBreak/>
              <w:t>III</w:t>
            </w:r>
            <w:r w:rsidR="009C6F87" w:rsidRPr="00B01372">
              <w:t>.3. Quantitative indicators</w:t>
            </w:r>
          </w:p>
        </w:tc>
        <w:tc>
          <w:tcPr>
            <w:tcW w:w="3352" w:type="pct"/>
          </w:tcPr>
          <w:p w14:paraId="0237BDE6" w14:textId="6879558E" w:rsidR="009C6F87" w:rsidRPr="00B01372" w:rsidRDefault="009C6F87" w:rsidP="0086391B">
            <w:pPr>
              <w:jc w:val="both"/>
              <w:rPr>
                <w:i/>
              </w:rPr>
            </w:pPr>
          </w:p>
        </w:tc>
      </w:tr>
      <w:tr w:rsidR="00D50216" w:rsidRPr="00B01372" w14:paraId="01D829E3" w14:textId="77777777" w:rsidTr="00A47B20">
        <w:tc>
          <w:tcPr>
            <w:tcW w:w="1648" w:type="pct"/>
          </w:tcPr>
          <w:p w14:paraId="01B6334F" w14:textId="59DDB241" w:rsidR="00D50216" w:rsidRPr="00B01372" w:rsidRDefault="00517206" w:rsidP="00253552">
            <w:pPr>
              <w:pStyle w:val="Nadpis3"/>
              <w:outlineLvl w:val="2"/>
              <w:rPr>
                <w:b w:val="0"/>
              </w:rPr>
            </w:pPr>
            <w:r w:rsidRPr="00B01372">
              <w:rPr>
                <w:b w:val="0"/>
              </w:rPr>
              <w:t>Quantitative assessment of collusion risks</w:t>
            </w:r>
          </w:p>
        </w:tc>
        <w:tc>
          <w:tcPr>
            <w:tcW w:w="3352" w:type="pct"/>
          </w:tcPr>
          <w:p w14:paraId="4A09CAE1" w14:textId="513F5AB5" w:rsidR="000059B3" w:rsidRPr="000059B3" w:rsidRDefault="000059B3" w:rsidP="00F15A33">
            <w:pPr>
              <w:jc w:val="both"/>
              <w:rPr>
                <w:rFonts w:cstheme="minorHAnsi"/>
                <w:highlight w:val="lightGray"/>
                <w:shd w:val="clear" w:color="auto" w:fill="FFFFFF"/>
                <w:lang w:val="en-US"/>
              </w:rPr>
            </w:pPr>
            <w:r w:rsidRPr="000059B3">
              <w:rPr>
                <w:rFonts w:cstheme="minorHAnsi"/>
                <w:shd w:val="clear" w:color="auto" w:fill="FFFFFF"/>
                <w:lang w:val="en-US"/>
              </w:rPr>
              <w:t>For the period from 1 January 2018 to 31 December 2020, Public Procurement Office submitted several suggestions to the Supreme Audit Office and the Antimonopoly Office to verify the economy or review compliance with the competition rules.</w:t>
            </w:r>
          </w:p>
          <w:p w14:paraId="45DB1C44" w14:textId="01979427" w:rsidR="00D1227F" w:rsidRPr="00B01372" w:rsidRDefault="00D1227F" w:rsidP="009804B7">
            <w:pPr>
              <w:jc w:val="both"/>
              <w:rPr>
                <w:color w:val="0000FF" w:themeColor="hyperlink"/>
                <w:u w:val="single"/>
              </w:rPr>
            </w:pPr>
          </w:p>
        </w:tc>
      </w:tr>
      <w:tr w:rsidR="00BD57A1" w:rsidRPr="00B01372" w14:paraId="1B9F93D1" w14:textId="77777777" w:rsidTr="00A47B20">
        <w:tc>
          <w:tcPr>
            <w:tcW w:w="1648" w:type="pct"/>
          </w:tcPr>
          <w:p w14:paraId="0D055B74" w14:textId="77777777" w:rsidR="009114CB" w:rsidRPr="00B01372" w:rsidRDefault="009114CB" w:rsidP="009114CB">
            <w:r w:rsidRPr="00B01372">
              <w:t xml:space="preserve">Risk of undiscovered conflict of interest </w:t>
            </w:r>
          </w:p>
          <w:p w14:paraId="01D24DB3" w14:textId="77777777" w:rsidR="009114CB" w:rsidRPr="00B01372" w:rsidRDefault="009114CB" w:rsidP="009114CB"/>
          <w:p w14:paraId="5601A529" w14:textId="77777777" w:rsidR="00BD57A1" w:rsidRPr="00B01372" w:rsidRDefault="00BD57A1" w:rsidP="006373E7"/>
        </w:tc>
        <w:tc>
          <w:tcPr>
            <w:tcW w:w="3352" w:type="pct"/>
          </w:tcPr>
          <w:p w14:paraId="62CB9C59" w14:textId="2D54FEB3" w:rsidR="000059B3" w:rsidRPr="000059B3" w:rsidRDefault="000059B3" w:rsidP="00E8684B">
            <w:pPr>
              <w:jc w:val="both"/>
              <w:rPr>
                <w:highlight w:val="lightGray"/>
                <w:lang w:val="en-US"/>
              </w:rPr>
            </w:pPr>
            <w:r w:rsidRPr="000059B3">
              <w:rPr>
                <w:lang w:val="en-US"/>
              </w:rPr>
              <w:t>The Public Procurement Act defines, among other things, administrative offenses for violating conflicts of interest. PPO, as an administrative body in administrative proceedings, is obliged to obtain the necessary documents to determine the exact and complete actual situation.</w:t>
            </w:r>
          </w:p>
          <w:p w14:paraId="7D210FC9" w14:textId="77777777" w:rsidR="000059B3" w:rsidRPr="000059B3" w:rsidRDefault="000059B3" w:rsidP="00E8684B">
            <w:pPr>
              <w:jc w:val="both"/>
              <w:rPr>
                <w:highlight w:val="lightGray"/>
                <w:lang w:val="en-US"/>
              </w:rPr>
            </w:pPr>
          </w:p>
          <w:p w14:paraId="399218BF" w14:textId="76899ED3" w:rsidR="000059B3" w:rsidRPr="000059B3" w:rsidRDefault="000059B3" w:rsidP="00E8684B">
            <w:pPr>
              <w:jc w:val="both"/>
              <w:rPr>
                <w:highlight w:val="lightGray"/>
                <w:lang w:val="en-US"/>
              </w:rPr>
            </w:pPr>
            <w:r w:rsidRPr="000059B3">
              <w:rPr>
                <w:lang w:val="en-US"/>
              </w:rPr>
              <w:t xml:space="preserve">PPO obtains data from publicly available sources, such as data from the Commercial Register, the Register of Public Sector Partners, and the list of economic entities. At the same time, </w:t>
            </w:r>
            <w:r w:rsidR="00CF10E7">
              <w:rPr>
                <w:lang w:val="en-US"/>
              </w:rPr>
              <w:t>PPO</w:t>
            </w:r>
            <w:r w:rsidRPr="000059B3">
              <w:rPr>
                <w:lang w:val="en-US"/>
              </w:rPr>
              <w:t>, as an administrative body, is entitled to request state bodies, local self-government bodies, physical and legal persons to report facts that are relevant to the proceedings and decisions.</w:t>
            </w:r>
          </w:p>
          <w:p w14:paraId="17AE49A9" w14:textId="77777777" w:rsidR="000059B3" w:rsidRPr="000059B3" w:rsidRDefault="000059B3" w:rsidP="00F15A33">
            <w:pPr>
              <w:jc w:val="both"/>
              <w:rPr>
                <w:highlight w:val="lightGray"/>
                <w:lang w:val="en-US"/>
              </w:rPr>
            </w:pPr>
          </w:p>
          <w:p w14:paraId="5BE8CA48" w14:textId="2EA8E9CD" w:rsidR="000059B3" w:rsidRPr="000059B3" w:rsidRDefault="000059B3" w:rsidP="00F15A33">
            <w:pPr>
              <w:jc w:val="both"/>
              <w:rPr>
                <w:highlight w:val="lightGray"/>
                <w:lang w:val="en-US"/>
              </w:rPr>
            </w:pPr>
            <w:r w:rsidRPr="000059B3">
              <w:rPr>
                <w:lang w:val="en-US"/>
              </w:rPr>
              <w:lastRenderedPageBreak/>
              <w:t xml:space="preserve">The Ministry of Investment, Regional Development and </w:t>
            </w:r>
            <w:proofErr w:type="spellStart"/>
            <w:r w:rsidRPr="000059B3">
              <w:rPr>
                <w:lang w:val="en-US"/>
              </w:rPr>
              <w:t>Informatization</w:t>
            </w:r>
            <w:proofErr w:type="spellEnd"/>
            <w:r w:rsidRPr="000059B3">
              <w:rPr>
                <w:lang w:val="en-US"/>
              </w:rPr>
              <w:t xml:space="preserve"> of the Slovak Republic uses, as an auxiliary tool, the elaboration of an affidavit on the absence of a conflict of interest, which is signed by the persons concerned. At the same time, the Public Procurement Department uses auxiliary tools, such as foaf.sk network, commercial register, mediated information, etc.</w:t>
            </w:r>
          </w:p>
          <w:p w14:paraId="1829EE16" w14:textId="2EE2A251" w:rsidR="004229F7" w:rsidRPr="00B01372" w:rsidRDefault="00E8684B" w:rsidP="000059B3">
            <w:pPr>
              <w:jc w:val="both"/>
            </w:pPr>
            <w:r w:rsidRPr="000059B3">
              <w:rPr>
                <w:highlight w:val="lightGray"/>
                <w:lang w:val="en-US"/>
              </w:rPr>
              <w:t xml:space="preserve"> </w:t>
            </w:r>
          </w:p>
        </w:tc>
      </w:tr>
    </w:tbl>
    <w:p w14:paraId="34AB7F2A" w14:textId="189EF1FA" w:rsidR="0010153A" w:rsidRDefault="0010153A" w:rsidP="006373E7">
      <w:pPr>
        <w:spacing w:line="240" w:lineRule="auto"/>
        <w:jc w:val="both"/>
      </w:pPr>
    </w:p>
    <w:p w14:paraId="19F542B3" w14:textId="77777777" w:rsidR="00CF10E7" w:rsidRPr="00B01372" w:rsidRDefault="00CF10E7" w:rsidP="006373E7">
      <w:pPr>
        <w:spacing w:line="240" w:lineRule="auto"/>
        <w:jc w:val="both"/>
      </w:pPr>
    </w:p>
    <w:p w14:paraId="34AB7F32" w14:textId="23B0DD75" w:rsidR="002222BD" w:rsidRDefault="00C25098" w:rsidP="001E1A57">
      <w:pPr>
        <w:pStyle w:val="Nadpis2"/>
      </w:pPr>
      <w:r w:rsidRPr="00B01372">
        <w:t>L</w:t>
      </w:r>
      <w:r w:rsidR="00FB6E7C" w:rsidRPr="00B01372">
        <w:t>evel of SME</w:t>
      </w:r>
      <w:r w:rsidR="00B46F31" w:rsidRPr="00B01372">
        <w:t>s</w:t>
      </w:r>
      <w:r w:rsidR="00B66F46">
        <w:t>'</w:t>
      </w:r>
      <w:r w:rsidR="00FB6E7C" w:rsidRPr="00B01372">
        <w:t xml:space="preserve"> participation in public procurement</w:t>
      </w:r>
    </w:p>
    <w:p w14:paraId="4F435E74" w14:textId="77777777" w:rsidR="009F3F80" w:rsidRDefault="009F3F80" w:rsidP="009F3F80">
      <w:pPr>
        <w:pStyle w:val="Bezriadkovania"/>
      </w:pPr>
    </w:p>
    <w:p w14:paraId="269D9606" w14:textId="77777777" w:rsidR="000D31E8" w:rsidRDefault="000D31E8" w:rsidP="00924198">
      <w:pPr>
        <w:spacing w:after="0"/>
        <w:rPr>
          <w:color w:val="1F497D"/>
        </w:rPr>
      </w:pPr>
    </w:p>
    <w:tbl>
      <w:tblPr>
        <w:tblStyle w:val="Mriekatabuky"/>
        <w:tblW w:w="5000" w:type="pct"/>
        <w:tblLook w:val="04A0" w:firstRow="1" w:lastRow="0" w:firstColumn="1" w:lastColumn="0" w:noHBand="0" w:noVBand="1"/>
      </w:tblPr>
      <w:tblGrid>
        <w:gridCol w:w="4448"/>
        <w:gridCol w:w="9546"/>
      </w:tblGrid>
      <w:tr w:rsidR="00B54D84" w:rsidRPr="00B01372" w14:paraId="48222DAF" w14:textId="77777777" w:rsidTr="00B54D84">
        <w:tc>
          <w:tcPr>
            <w:tcW w:w="1648" w:type="pct"/>
          </w:tcPr>
          <w:p w14:paraId="5A956443" w14:textId="18F76D96" w:rsidR="00B54D84" w:rsidRPr="00B01372" w:rsidRDefault="00A0723C" w:rsidP="001D4DCD">
            <w:r w:rsidRPr="00B01372">
              <w:rPr>
                <w:b/>
              </w:rPr>
              <w:t>IV</w:t>
            </w:r>
            <w:r w:rsidR="00B54D84" w:rsidRPr="00B01372">
              <w:rPr>
                <w:b/>
              </w:rPr>
              <w:t>.1</w:t>
            </w:r>
            <w:r w:rsidR="00B72720" w:rsidRPr="00B01372">
              <w:rPr>
                <w:b/>
              </w:rPr>
              <w:t>.</w:t>
            </w:r>
            <w:r w:rsidR="00B54D84" w:rsidRPr="00B01372">
              <w:rPr>
                <w:b/>
              </w:rPr>
              <w:t xml:space="preserve"> </w:t>
            </w:r>
            <w:r w:rsidR="001D4DCD" w:rsidRPr="00B01372">
              <w:rPr>
                <w:b/>
              </w:rPr>
              <w:t>Qualitative reporting on SME participation</w:t>
            </w:r>
          </w:p>
        </w:tc>
        <w:tc>
          <w:tcPr>
            <w:tcW w:w="3352" w:type="pct"/>
          </w:tcPr>
          <w:p w14:paraId="511FB2FB" w14:textId="2C532248" w:rsidR="00B54D84" w:rsidRPr="00B01372" w:rsidRDefault="00B54D84" w:rsidP="00B54D84">
            <w:pPr>
              <w:jc w:val="both"/>
            </w:pPr>
          </w:p>
        </w:tc>
      </w:tr>
      <w:tr w:rsidR="001D4DCD" w:rsidRPr="00B01372" w14:paraId="6AE7F73F" w14:textId="77777777" w:rsidTr="00B54D84">
        <w:tc>
          <w:tcPr>
            <w:tcW w:w="1648" w:type="pct"/>
          </w:tcPr>
          <w:p w14:paraId="4118229E" w14:textId="406E6C9B" w:rsidR="001D4DCD" w:rsidRPr="00B01372" w:rsidRDefault="005D6740" w:rsidP="001D4DCD">
            <w:r>
              <w:t xml:space="preserve">New developments </w:t>
            </w:r>
          </w:p>
          <w:p w14:paraId="180C718F" w14:textId="77777777" w:rsidR="001D4DCD" w:rsidRPr="00B01372" w:rsidRDefault="001D4DCD" w:rsidP="00B54D84">
            <w:pPr>
              <w:rPr>
                <w:b/>
              </w:rPr>
            </w:pPr>
          </w:p>
        </w:tc>
        <w:tc>
          <w:tcPr>
            <w:tcW w:w="3352" w:type="pct"/>
          </w:tcPr>
          <w:p w14:paraId="2C6FC22B" w14:textId="03C953AB" w:rsidR="00F30D30" w:rsidRPr="00F30D30" w:rsidRDefault="00F30D30" w:rsidP="00F30D30">
            <w:pPr>
              <w:jc w:val="both"/>
              <w:rPr>
                <w:lang w:val="en-US"/>
              </w:rPr>
            </w:pPr>
            <w:r w:rsidRPr="00F30D30">
              <w:rPr>
                <w:lang w:val="en-US"/>
              </w:rPr>
              <w:t>The Public Procurement Office (PPO), as the central body of state administration in the field of public procurement, does not have direct possibilities to provide program assistance and support to small and medium-sized enterprises (SMEs).</w:t>
            </w:r>
          </w:p>
          <w:p w14:paraId="5678BDBE" w14:textId="77777777" w:rsidR="00F30D30" w:rsidRPr="00F30D30" w:rsidRDefault="00F30D30" w:rsidP="00F30D30">
            <w:pPr>
              <w:jc w:val="both"/>
              <w:rPr>
                <w:lang w:val="en-US"/>
              </w:rPr>
            </w:pPr>
          </w:p>
          <w:p w14:paraId="42A26CB1" w14:textId="0B521EF0" w:rsidR="00F30D30" w:rsidRPr="00F30D30" w:rsidRDefault="00F30D30" w:rsidP="00F30D30">
            <w:pPr>
              <w:jc w:val="both"/>
              <w:rPr>
                <w:highlight w:val="lightGray"/>
                <w:lang w:val="en-US"/>
              </w:rPr>
            </w:pPr>
            <w:r w:rsidRPr="00F30D30">
              <w:rPr>
                <w:lang w:val="en-US"/>
              </w:rPr>
              <w:t>In line with the economic importance of SMEs and the current pandemic situation related to COVID-19, PPO has prepared two comprehensive documents entitled "What do you need to know about doing business with the state?" and "How to do business with SMEs". These documents were issued in May and June 2020.</w:t>
            </w:r>
          </w:p>
          <w:p w14:paraId="351740DD" w14:textId="77777777" w:rsidR="00F30D30" w:rsidRPr="00F30D30" w:rsidRDefault="00F30D30" w:rsidP="001606D4">
            <w:pPr>
              <w:jc w:val="both"/>
              <w:rPr>
                <w:highlight w:val="lightGray"/>
                <w:lang w:val="en-US"/>
              </w:rPr>
            </w:pPr>
          </w:p>
          <w:p w14:paraId="671E94E8" w14:textId="1F611047" w:rsidR="00F30D30" w:rsidRPr="00F30D30" w:rsidRDefault="00F30D30" w:rsidP="001606D4">
            <w:pPr>
              <w:jc w:val="both"/>
              <w:rPr>
                <w:highlight w:val="lightGray"/>
                <w:lang w:val="en-US"/>
              </w:rPr>
            </w:pPr>
            <w:r w:rsidRPr="00F30D30">
              <w:rPr>
                <w:lang w:val="en-US"/>
              </w:rPr>
              <w:t>The aim of first document entitled "What do you need to know about doing business with the state?" is to educate, provide a comprehensive elaboration of possibilities, individual legal institutes of the public procurement process and at the same time to provide guidance to SMEs in order to help them improve, and strengthen their position in the public procurement process. It is a comprehensive document that provides answers to basic questions about how to do business with the state, and seeks to motivate SMEs to participate in public procurement, thus contributing to a wide range of possible competition.</w:t>
            </w:r>
          </w:p>
          <w:p w14:paraId="0D0BF131" w14:textId="77777777" w:rsidR="00F30D30" w:rsidRPr="00F30D30" w:rsidRDefault="00F30D30" w:rsidP="001606D4">
            <w:pPr>
              <w:jc w:val="both"/>
              <w:rPr>
                <w:highlight w:val="lightGray"/>
                <w:lang w:val="en-US"/>
              </w:rPr>
            </w:pPr>
          </w:p>
          <w:p w14:paraId="198DEE93" w14:textId="5C25754A" w:rsidR="00F30D30" w:rsidRDefault="00F30D30" w:rsidP="001606D4">
            <w:pPr>
              <w:jc w:val="both"/>
              <w:rPr>
                <w:sz w:val="23"/>
                <w:szCs w:val="23"/>
                <w:highlight w:val="lightGray"/>
                <w:lang w:val="sk-SK"/>
              </w:rPr>
            </w:pPr>
            <w:r w:rsidRPr="00F30D30">
              <w:rPr>
                <w:lang w:val="en-US"/>
              </w:rPr>
              <w:t xml:space="preserve">Second document, entitled "How to do business with SMEs", focuses on contracting authorities encouraging them to use all legal institutes and opportunities to facilitate SMEs' access to the public </w:t>
            </w:r>
            <w:r w:rsidRPr="00F30D30">
              <w:rPr>
                <w:lang w:val="en-US"/>
              </w:rPr>
              <w:lastRenderedPageBreak/>
              <w:t>procurement process and increase their participation in public procurement. Among all of above mentioned, for example, pre-market consultations, the division of contracts into lots or the method of setting selection criteria, etc. will apply.</w:t>
            </w:r>
            <w:r w:rsidRPr="00F30D30">
              <w:rPr>
                <w:lang w:val="sk-SK"/>
              </w:rPr>
              <w:t xml:space="preserve"> </w:t>
            </w:r>
          </w:p>
          <w:p w14:paraId="7CD0C5CA" w14:textId="4510BF7F" w:rsidR="004E7D5F" w:rsidRPr="004E7D5F" w:rsidRDefault="004E7D5F" w:rsidP="00D3401B">
            <w:pPr>
              <w:jc w:val="both"/>
              <w:rPr>
                <w:sz w:val="23"/>
                <w:szCs w:val="23"/>
                <w:highlight w:val="lightGray"/>
                <w:lang w:val="en-US"/>
              </w:rPr>
            </w:pPr>
            <w:r w:rsidRPr="004E7D5F">
              <w:rPr>
                <w:sz w:val="23"/>
                <w:szCs w:val="23"/>
                <w:lang w:val="en-US"/>
              </w:rPr>
              <w:t>Through these activities, the Public Procurement Office seeks to help SMEs, which are the most vulnerable group of economic subjects in the current unfavorable situation. SMEs are the backbone of the Slovak economy, and therefore it is essential that they are assisted in public policies.</w:t>
            </w:r>
          </w:p>
          <w:p w14:paraId="5FB1B244" w14:textId="61C30655" w:rsidR="004E7D5F" w:rsidRDefault="004E7D5F" w:rsidP="00D3401B">
            <w:pPr>
              <w:jc w:val="both"/>
              <w:rPr>
                <w:sz w:val="23"/>
                <w:szCs w:val="23"/>
                <w:highlight w:val="lightGray"/>
                <w:lang w:val="en-US"/>
              </w:rPr>
            </w:pPr>
          </w:p>
          <w:p w14:paraId="11D6E324" w14:textId="735DCD70" w:rsidR="006D3FDB" w:rsidRDefault="006D3FDB" w:rsidP="00D3401B">
            <w:pPr>
              <w:jc w:val="both"/>
              <w:rPr>
                <w:sz w:val="23"/>
                <w:szCs w:val="23"/>
                <w:lang w:val="en-US"/>
              </w:rPr>
            </w:pPr>
            <w:r>
              <w:rPr>
                <w:sz w:val="23"/>
                <w:szCs w:val="23"/>
                <w:lang w:val="en-US"/>
              </w:rPr>
              <w:t>Public Procurement</w:t>
            </w:r>
            <w:r w:rsidRPr="006D3FDB">
              <w:rPr>
                <w:sz w:val="23"/>
                <w:szCs w:val="23"/>
                <w:lang w:val="en-US"/>
              </w:rPr>
              <w:t xml:space="preserve"> Office trains and emphasizes that SMEs should consider the possibilities of dividing the contract and in 2018 issued an interpretative opinion on the topic</w:t>
            </w:r>
            <w:r>
              <w:rPr>
                <w:sz w:val="23"/>
                <w:szCs w:val="23"/>
                <w:lang w:val="en-US"/>
              </w:rPr>
              <w:t>:</w:t>
            </w:r>
          </w:p>
          <w:p w14:paraId="709F2BDC" w14:textId="71841954" w:rsidR="006D3FDB" w:rsidRDefault="00EE7BA2" w:rsidP="00D3401B">
            <w:pPr>
              <w:jc w:val="both"/>
              <w:rPr>
                <w:rFonts w:ascii="Segoe UI" w:hAnsi="Segoe UI" w:cs="Segoe UI"/>
                <w:sz w:val="21"/>
                <w:szCs w:val="21"/>
              </w:rPr>
            </w:pPr>
            <w:hyperlink r:id="rId23" w:tooltip="https://www.uvo.gov.sk/legislativametodika-dohlad/vykladove-stanoviska-uradu/prehlad-vykladovych-stanovisk/prehlad-vykladovych-stanovisk-uradu-zakon-c-3432015-z-z-57f.html" w:history="1">
              <w:r w:rsidR="006D3FDB">
                <w:rPr>
                  <w:rStyle w:val="Hypertextovprepojenie"/>
                  <w:rFonts w:ascii="Segoe UI" w:hAnsi="Segoe UI" w:cs="Segoe UI"/>
                  <w:sz w:val="21"/>
                  <w:szCs w:val="21"/>
                </w:rPr>
                <w:t>https://www.uvo.gov.sk/legislativametodika-dohlad/vykladove-stanoviska-uradu/prehlad-vykladovych-stanovisk/prehlad-vykladovych-stanovisk-uradu-zakon-c-3432015-z-z-57f.html</w:t>
              </w:r>
            </w:hyperlink>
          </w:p>
          <w:p w14:paraId="73CC9FF4" w14:textId="018CAC09" w:rsidR="006D3FDB" w:rsidRDefault="00EE7BA2" w:rsidP="00D3401B">
            <w:pPr>
              <w:jc w:val="both"/>
              <w:rPr>
                <w:sz w:val="23"/>
                <w:szCs w:val="23"/>
                <w:highlight w:val="lightGray"/>
                <w:lang w:val="en-US"/>
              </w:rPr>
            </w:pPr>
            <w:hyperlink r:id="rId24" w:tooltip="https://www.uvo.gov.sk/app/lists/file/row/1442/col/col_0" w:history="1">
              <w:r w:rsidR="006D3FDB">
                <w:rPr>
                  <w:rStyle w:val="Hypertextovprepojenie"/>
                  <w:rFonts w:ascii="Segoe UI" w:hAnsi="Segoe UI" w:cs="Segoe UI"/>
                  <w:sz w:val="21"/>
                  <w:szCs w:val="21"/>
                </w:rPr>
                <w:t>https://www.uvo.gov.sk/app/Lists/file/row/1442/col/col_0</w:t>
              </w:r>
            </w:hyperlink>
          </w:p>
          <w:p w14:paraId="55C674A2" w14:textId="77777777" w:rsidR="006E3BA2" w:rsidRDefault="006E3BA2" w:rsidP="00D3401B">
            <w:pPr>
              <w:jc w:val="both"/>
              <w:rPr>
                <w:sz w:val="23"/>
                <w:szCs w:val="23"/>
                <w:lang w:val="en-US"/>
              </w:rPr>
            </w:pPr>
          </w:p>
          <w:p w14:paraId="02E49C64" w14:textId="6A80443B" w:rsidR="004E7D5F" w:rsidRPr="004E7D5F" w:rsidRDefault="004E7D5F" w:rsidP="00D3401B">
            <w:pPr>
              <w:jc w:val="both"/>
              <w:rPr>
                <w:sz w:val="23"/>
                <w:szCs w:val="23"/>
                <w:highlight w:val="lightGray"/>
                <w:lang w:val="en-US"/>
              </w:rPr>
            </w:pPr>
            <w:r w:rsidRPr="004E7D5F">
              <w:rPr>
                <w:sz w:val="23"/>
                <w:szCs w:val="23"/>
                <w:lang w:val="en-US"/>
              </w:rPr>
              <w:t>Measures concerning payments to subcontractors are set out in Article 41 (7) of the Public Procurement Act, which allows a contracting authority or entity to stipulate in a draft contract or framework agreement that it will pay for goods, works or services directly to the subcontractor who supplied, performed or provided to the contractor if the subcontractor so requests.</w:t>
            </w:r>
          </w:p>
          <w:p w14:paraId="29029B62" w14:textId="77777777" w:rsidR="004E7D5F" w:rsidRPr="004E7D5F" w:rsidRDefault="004E7D5F" w:rsidP="001606D4">
            <w:pPr>
              <w:jc w:val="both"/>
              <w:rPr>
                <w:sz w:val="23"/>
                <w:szCs w:val="23"/>
                <w:highlight w:val="lightGray"/>
                <w:lang w:val="en-US"/>
              </w:rPr>
            </w:pPr>
          </w:p>
          <w:p w14:paraId="306D4475" w14:textId="7175BCCD" w:rsidR="008D5C23" w:rsidRPr="00B01372" w:rsidRDefault="004E7D5F" w:rsidP="00A525D1">
            <w:pPr>
              <w:jc w:val="both"/>
            </w:pPr>
            <w:r w:rsidRPr="004E7D5F">
              <w:rPr>
                <w:sz w:val="23"/>
                <w:szCs w:val="23"/>
                <w:lang w:val="en-US"/>
              </w:rPr>
              <w:t>Measures to ensure that payments for public contracts are made in a timely manner are set out in Article 340b (1) of the Commercial Code, if the debtor is subject to public law under Article 261 para. 3 and 5, they are obliged to fulfill the monetary obligation from the delivery of goods or provision of services within 30 days from the date of delivery of the document or within 30 days from the date of proper performance by the creditor, whichever occurs later.</w:t>
            </w:r>
          </w:p>
        </w:tc>
      </w:tr>
      <w:tr w:rsidR="00B54D84" w:rsidRPr="00B01372" w14:paraId="0055167D" w14:textId="77777777" w:rsidTr="004E7D5F">
        <w:trPr>
          <w:trHeight w:val="314"/>
        </w:trPr>
        <w:tc>
          <w:tcPr>
            <w:tcW w:w="1648" w:type="pct"/>
          </w:tcPr>
          <w:p w14:paraId="62FB8A6B" w14:textId="4B3ABC2C" w:rsidR="006E3BA2" w:rsidRDefault="006E3BA2" w:rsidP="00B54D84">
            <w:pPr>
              <w:pStyle w:val="Nadpis3"/>
              <w:outlineLvl w:val="2"/>
            </w:pPr>
          </w:p>
          <w:p w14:paraId="2751B642" w14:textId="04C9C664" w:rsidR="00494D50" w:rsidRDefault="00494D50" w:rsidP="00494D50"/>
          <w:p w14:paraId="4BCC9796" w14:textId="77777777" w:rsidR="00494D50" w:rsidRPr="00494D50" w:rsidRDefault="00494D50" w:rsidP="00494D50"/>
          <w:p w14:paraId="24989D7E" w14:textId="77777777" w:rsidR="006E3BA2" w:rsidRDefault="006E3BA2" w:rsidP="00B54D84">
            <w:pPr>
              <w:pStyle w:val="Nadpis3"/>
              <w:outlineLvl w:val="2"/>
            </w:pPr>
          </w:p>
          <w:p w14:paraId="3377ABBF" w14:textId="73E518B3" w:rsidR="006E3BA2" w:rsidRDefault="006E3BA2" w:rsidP="00B54D84">
            <w:pPr>
              <w:pStyle w:val="Nadpis3"/>
              <w:outlineLvl w:val="2"/>
            </w:pPr>
          </w:p>
          <w:p w14:paraId="36F17414" w14:textId="67FEF037" w:rsidR="00640790" w:rsidRDefault="00640790" w:rsidP="00640790"/>
          <w:p w14:paraId="3A525CBA" w14:textId="04BC10E2" w:rsidR="00640790" w:rsidRDefault="00640790" w:rsidP="00640790"/>
          <w:p w14:paraId="3DE06241" w14:textId="77777777" w:rsidR="00640790" w:rsidRPr="00640790" w:rsidRDefault="00640790" w:rsidP="00640790"/>
          <w:p w14:paraId="1DC9BE04" w14:textId="0DDEB2A2" w:rsidR="00B54D84" w:rsidRPr="00B01372" w:rsidRDefault="000A2192" w:rsidP="00B54D84">
            <w:pPr>
              <w:pStyle w:val="Nadpis3"/>
              <w:outlineLvl w:val="2"/>
              <w:rPr>
                <w:b w:val="0"/>
              </w:rPr>
            </w:pPr>
            <w:r w:rsidRPr="00B01372">
              <w:lastRenderedPageBreak/>
              <w:t>IV</w:t>
            </w:r>
            <w:r w:rsidR="00E04DAF" w:rsidRPr="00B01372">
              <w:t>.</w:t>
            </w:r>
            <w:r w:rsidR="005D6740">
              <w:t>2</w:t>
            </w:r>
            <w:r w:rsidR="00E04DAF" w:rsidRPr="00B01372">
              <w:t xml:space="preserve">. Quantitative indicators </w:t>
            </w:r>
          </w:p>
        </w:tc>
        <w:tc>
          <w:tcPr>
            <w:tcW w:w="3352" w:type="pct"/>
          </w:tcPr>
          <w:p w14:paraId="5F8B5BFE" w14:textId="36428B8E" w:rsidR="00B54D84" w:rsidRPr="00B01372" w:rsidRDefault="00B54D84" w:rsidP="00247E16">
            <w:pPr>
              <w:jc w:val="both"/>
              <w:rPr>
                <w:i/>
              </w:rPr>
            </w:pPr>
          </w:p>
        </w:tc>
      </w:tr>
      <w:tr w:rsidR="00B54D84" w:rsidRPr="00B01372" w14:paraId="379D2F6D" w14:textId="77777777" w:rsidTr="00B54D84">
        <w:tc>
          <w:tcPr>
            <w:tcW w:w="1648" w:type="pct"/>
          </w:tcPr>
          <w:p w14:paraId="4AE4E044" w14:textId="77777777" w:rsidR="005D6740" w:rsidRDefault="00E04DAF" w:rsidP="005D6740">
            <w:pPr>
              <w:jc w:val="both"/>
            </w:pPr>
            <w:r w:rsidRPr="00B01372">
              <w:lastRenderedPageBreak/>
              <w:t xml:space="preserve">Please provide, when available, any quantitative data (statistics, etc.) </w:t>
            </w:r>
            <w:r w:rsidR="005D6740">
              <w:t>regarding SMEs’ participation in public procurement</w:t>
            </w:r>
          </w:p>
          <w:p w14:paraId="1DEBB2CA" w14:textId="3C906F94" w:rsidR="00B54D84" w:rsidRPr="00B01372" w:rsidRDefault="00B54D84" w:rsidP="005D6740">
            <w:pPr>
              <w:jc w:val="both"/>
              <w:rPr>
                <w:b/>
              </w:rPr>
            </w:pPr>
          </w:p>
        </w:tc>
        <w:tc>
          <w:tcPr>
            <w:tcW w:w="3352" w:type="pct"/>
          </w:tcPr>
          <w:tbl>
            <w:tblPr>
              <w:tblW w:w="9320" w:type="dxa"/>
              <w:tblCellMar>
                <w:left w:w="70" w:type="dxa"/>
                <w:right w:w="70" w:type="dxa"/>
              </w:tblCellMar>
              <w:tblLook w:val="04A0" w:firstRow="1" w:lastRow="0" w:firstColumn="1" w:lastColumn="0" w:noHBand="0" w:noVBand="1"/>
            </w:tblPr>
            <w:tblGrid>
              <w:gridCol w:w="6440"/>
              <w:gridCol w:w="960"/>
              <w:gridCol w:w="960"/>
              <w:gridCol w:w="960"/>
            </w:tblGrid>
            <w:tr w:rsidR="00FB53F4" w:rsidRPr="00FB53F4" w14:paraId="454A6589" w14:textId="77777777" w:rsidTr="00FB53F4">
              <w:trPr>
                <w:trHeight w:val="300"/>
              </w:trPr>
              <w:tc>
                <w:tcPr>
                  <w:tcW w:w="6440" w:type="dxa"/>
                  <w:tcBorders>
                    <w:top w:val="single" w:sz="4" w:space="0" w:color="auto"/>
                    <w:left w:val="single" w:sz="4" w:space="0" w:color="auto"/>
                    <w:bottom w:val="single" w:sz="4" w:space="0" w:color="auto"/>
                    <w:right w:val="single" w:sz="4" w:space="0" w:color="auto"/>
                  </w:tcBorders>
                  <w:shd w:val="clear" w:color="000000" w:fill="002060"/>
                  <w:vAlign w:val="bottom"/>
                  <w:hideMark/>
                </w:tcPr>
                <w:p w14:paraId="3AD32EA1" w14:textId="77777777" w:rsidR="00FB53F4" w:rsidRPr="00FB53F4" w:rsidRDefault="00FB53F4" w:rsidP="00FB53F4">
                  <w:pPr>
                    <w:spacing w:after="0" w:line="240" w:lineRule="auto"/>
                    <w:rPr>
                      <w:rFonts w:ascii="Calibri" w:eastAsia="Times New Roman" w:hAnsi="Calibri" w:cs="Calibri"/>
                      <w:b/>
                      <w:bCs/>
                      <w:color w:val="FFFFFF"/>
                      <w:lang w:val="sk-SK" w:eastAsia="sk-SK"/>
                    </w:rPr>
                  </w:pPr>
                  <w:r w:rsidRPr="00FB53F4">
                    <w:rPr>
                      <w:rFonts w:ascii="Calibri" w:eastAsia="Times New Roman" w:hAnsi="Calibri" w:cs="Calibri"/>
                      <w:b/>
                      <w:bCs/>
                      <w:color w:val="FFFFFF"/>
                      <w:lang w:val="sk-SK" w:eastAsia="sk-SK"/>
                    </w:rPr>
                    <w:t> </w:t>
                  </w:r>
                </w:p>
              </w:tc>
              <w:tc>
                <w:tcPr>
                  <w:tcW w:w="960" w:type="dxa"/>
                  <w:tcBorders>
                    <w:top w:val="single" w:sz="4" w:space="0" w:color="auto"/>
                    <w:left w:val="nil"/>
                    <w:bottom w:val="single" w:sz="4" w:space="0" w:color="auto"/>
                    <w:right w:val="single" w:sz="4" w:space="0" w:color="auto"/>
                  </w:tcBorders>
                  <w:shd w:val="clear" w:color="000000" w:fill="002060"/>
                  <w:noWrap/>
                  <w:vAlign w:val="bottom"/>
                  <w:hideMark/>
                </w:tcPr>
                <w:p w14:paraId="52B0AD7B" w14:textId="77777777" w:rsidR="00FB53F4" w:rsidRPr="00FB53F4" w:rsidRDefault="00FB53F4" w:rsidP="00FB53F4">
                  <w:pPr>
                    <w:spacing w:after="0" w:line="240" w:lineRule="auto"/>
                    <w:jc w:val="center"/>
                    <w:rPr>
                      <w:rFonts w:ascii="Calibri" w:eastAsia="Times New Roman" w:hAnsi="Calibri" w:cs="Calibri"/>
                      <w:b/>
                      <w:bCs/>
                      <w:color w:val="FFFFFF"/>
                      <w:lang w:val="sk-SK" w:eastAsia="sk-SK"/>
                    </w:rPr>
                  </w:pPr>
                  <w:r w:rsidRPr="00FB53F4">
                    <w:rPr>
                      <w:rFonts w:ascii="Calibri" w:eastAsia="Times New Roman" w:hAnsi="Calibri" w:cs="Calibri"/>
                      <w:b/>
                      <w:bCs/>
                      <w:color w:val="FFFFFF"/>
                      <w:lang w:val="sk-SK" w:eastAsia="sk-SK"/>
                    </w:rPr>
                    <w:t>2018</w:t>
                  </w:r>
                </w:p>
              </w:tc>
              <w:tc>
                <w:tcPr>
                  <w:tcW w:w="960" w:type="dxa"/>
                  <w:tcBorders>
                    <w:top w:val="single" w:sz="4" w:space="0" w:color="auto"/>
                    <w:left w:val="nil"/>
                    <w:bottom w:val="single" w:sz="4" w:space="0" w:color="auto"/>
                    <w:right w:val="single" w:sz="4" w:space="0" w:color="auto"/>
                  </w:tcBorders>
                  <w:shd w:val="clear" w:color="000000" w:fill="002060"/>
                  <w:noWrap/>
                  <w:vAlign w:val="bottom"/>
                  <w:hideMark/>
                </w:tcPr>
                <w:p w14:paraId="5EFC1D1A" w14:textId="77777777" w:rsidR="00FB53F4" w:rsidRPr="00FB53F4" w:rsidRDefault="00FB53F4" w:rsidP="00FB53F4">
                  <w:pPr>
                    <w:spacing w:after="0" w:line="240" w:lineRule="auto"/>
                    <w:jc w:val="center"/>
                    <w:rPr>
                      <w:rFonts w:ascii="Calibri" w:eastAsia="Times New Roman" w:hAnsi="Calibri" w:cs="Calibri"/>
                      <w:b/>
                      <w:bCs/>
                      <w:color w:val="FFFFFF"/>
                      <w:lang w:val="sk-SK" w:eastAsia="sk-SK"/>
                    </w:rPr>
                  </w:pPr>
                  <w:r w:rsidRPr="00FB53F4">
                    <w:rPr>
                      <w:rFonts w:ascii="Calibri" w:eastAsia="Times New Roman" w:hAnsi="Calibri" w:cs="Calibri"/>
                      <w:b/>
                      <w:bCs/>
                      <w:color w:val="FFFFFF"/>
                      <w:lang w:val="sk-SK" w:eastAsia="sk-SK"/>
                    </w:rPr>
                    <w:t>2019</w:t>
                  </w:r>
                </w:p>
              </w:tc>
              <w:tc>
                <w:tcPr>
                  <w:tcW w:w="960" w:type="dxa"/>
                  <w:tcBorders>
                    <w:top w:val="single" w:sz="4" w:space="0" w:color="auto"/>
                    <w:left w:val="nil"/>
                    <w:bottom w:val="single" w:sz="4" w:space="0" w:color="auto"/>
                    <w:right w:val="single" w:sz="4" w:space="0" w:color="auto"/>
                  </w:tcBorders>
                  <w:shd w:val="clear" w:color="000000" w:fill="002060"/>
                  <w:noWrap/>
                  <w:vAlign w:val="bottom"/>
                  <w:hideMark/>
                </w:tcPr>
                <w:p w14:paraId="08F54AFC" w14:textId="77777777" w:rsidR="00FB53F4" w:rsidRPr="00FB53F4" w:rsidRDefault="00FB53F4" w:rsidP="00FB53F4">
                  <w:pPr>
                    <w:spacing w:after="0" w:line="240" w:lineRule="auto"/>
                    <w:jc w:val="center"/>
                    <w:rPr>
                      <w:rFonts w:ascii="Calibri" w:eastAsia="Times New Roman" w:hAnsi="Calibri" w:cs="Calibri"/>
                      <w:b/>
                      <w:bCs/>
                      <w:color w:val="FFFFFF"/>
                      <w:lang w:val="sk-SK" w:eastAsia="sk-SK"/>
                    </w:rPr>
                  </w:pPr>
                  <w:r w:rsidRPr="00FB53F4">
                    <w:rPr>
                      <w:rFonts w:ascii="Calibri" w:eastAsia="Times New Roman" w:hAnsi="Calibri" w:cs="Calibri"/>
                      <w:b/>
                      <w:bCs/>
                      <w:color w:val="FFFFFF"/>
                      <w:lang w:val="sk-SK" w:eastAsia="sk-SK"/>
                    </w:rPr>
                    <w:t>2020</w:t>
                  </w:r>
                </w:p>
              </w:tc>
            </w:tr>
            <w:tr w:rsidR="00FB53F4" w:rsidRPr="00FB53F4" w14:paraId="14E7FA95" w14:textId="77777777" w:rsidTr="00FB53F4">
              <w:trPr>
                <w:trHeight w:val="300"/>
              </w:trPr>
              <w:tc>
                <w:tcPr>
                  <w:tcW w:w="6440" w:type="dxa"/>
                  <w:tcBorders>
                    <w:top w:val="nil"/>
                    <w:left w:val="single" w:sz="4" w:space="0" w:color="auto"/>
                    <w:bottom w:val="single" w:sz="4" w:space="0" w:color="auto"/>
                    <w:right w:val="single" w:sz="4" w:space="0" w:color="auto"/>
                  </w:tcBorders>
                  <w:shd w:val="clear" w:color="auto" w:fill="auto"/>
                  <w:vAlign w:val="bottom"/>
                  <w:hideMark/>
                </w:tcPr>
                <w:p w14:paraId="52261741" w14:textId="3C27F782" w:rsidR="00FB53F4" w:rsidRPr="004E7D5F" w:rsidRDefault="00FB53F4" w:rsidP="00645C93">
                  <w:pPr>
                    <w:spacing w:after="0" w:line="240" w:lineRule="auto"/>
                    <w:rPr>
                      <w:rFonts w:ascii="Calibri" w:eastAsia="Times New Roman" w:hAnsi="Calibri" w:cs="Calibri"/>
                      <w:color w:val="000000"/>
                      <w:lang w:val="en-US" w:eastAsia="sk-SK"/>
                    </w:rPr>
                  </w:pPr>
                  <w:r w:rsidRPr="004E7D5F">
                    <w:rPr>
                      <w:rFonts w:ascii="Calibri" w:eastAsia="Times New Roman" w:hAnsi="Calibri" w:cs="Calibri"/>
                      <w:color w:val="000000"/>
                      <w:lang w:val="en-US" w:eastAsia="sk-SK"/>
                    </w:rPr>
                    <w:t xml:space="preserve">·    </w:t>
                  </w:r>
                  <w:r w:rsidR="004E7D5F" w:rsidRPr="004E7D5F">
                    <w:rPr>
                      <w:rFonts w:ascii="Calibri" w:eastAsia="Times New Roman" w:hAnsi="Calibri" w:cs="Calibri"/>
                      <w:color w:val="000000"/>
                      <w:lang w:val="en-US" w:eastAsia="sk-SK"/>
                    </w:rPr>
                    <w:t>SMEs winning in above EU threshold procurement</w:t>
                  </w:r>
                  <w:r w:rsidRPr="004E7D5F">
                    <w:rPr>
                      <w:rFonts w:ascii="Calibri" w:eastAsia="Times New Roman" w:hAnsi="Calibri" w:cs="Calibri"/>
                      <w:color w:val="000000"/>
                      <w:lang w:val="en-US" w:eastAsia="sk-SK"/>
                    </w:rPr>
                    <w:t>:</w:t>
                  </w:r>
                </w:p>
              </w:tc>
              <w:tc>
                <w:tcPr>
                  <w:tcW w:w="288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1A56F454" w14:textId="77777777" w:rsidR="00FB53F4" w:rsidRPr="00FB53F4" w:rsidRDefault="00FB53F4" w:rsidP="00FB53F4">
                  <w:pPr>
                    <w:spacing w:after="0" w:line="240" w:lineRule="auto"/>
                    <w:jc w:val="center"/>
                    <w:rPr>
                      <w:rFonts w:ascii="Calibri" w:eastAsia="Times New Roman" w:hAnsi="Calibri" w:cs="Calibri"/>
                      <w:color w:val="000000"/>
                      <w:lang w:val="sk-SK" w:eastAsia="sk-SK"/>
                    </w:rPr>
                  </w:pPr>
                  <w:r w:rsidRPr="00FB53F4">
                    <w:rPr>
                      <w:rFonts w:ascii="Calibri" w:eastAsia="Times New Roman" w:hAnsi="Calibri" w:cs="Calibri"/>
                      <w:color w:val="000000"/>
                      <w:lang w:val="sk-SK" w:eastAsia="sk-SK"/>
                    </w:rPr>
                    <w:t> </w:t>
                  </w:r>
                </w:p>
              </w:tc>
            </w:tr>
            <w:tr w:rsidR="00FB53F4" w:rsidRPr="00FB53F4" w14:paraId="4E99B96F" w14:textId="77777777" w:rsidTr="00FB53F4">
              <w:trPr>
                <w:trHeight w:val="600"/>
              </w:trPr>
              <w:tc>
                <w:tcPr>
                  <w:tcW w:w="6440" w:type="dxa"/>
                  <w:tcBorders>
                    <w:top w:val="nil"/>
                    <w:left w:val="single" w:sz="4" w:space="0" w:color="auto"/>
                    <w:bottom w:val="single" w:sz="4" w:space="0" w:color="auto"/>
                    <w:right w:val="single" w:sz="4" w:space="0" w:color="auto"/>
                  </w:tcBorders>
                  <w:shd w:val="clear" w:color="auto" w:fill="auto"/>
                  <w:vAlign w:val="center"/>
                  <w:hideMark/>
                </w:tcPr>
                <w:p w14:paraId="2284E538" w14:textId="499AFD2A" w:rsidR="00FB53F4" w:rsidRPr="004E7D5F" w:rsidRDefault="00FB53F4" w:rsidP="00645C93">
                  <w:pPr>
                    <w:spacing w:after="0" w:line="240" w:lineRule="auto"/>
                    <w:rPr>
                      <w:rFonts w:ascii="Calibri" w:eastAsia="Times New Roman" w:hAnsi="Calibri" w:cs="Calibri"/>
                      <w:color w:val="000000"/>
                      <w:lang w:val="en-US" w:eastAsia="sk-SK"/>
                    </w:rPr>
                  </w:pPr>
                  <w:r w:rsidRPr="004E7D5F">
                    <w:rPr>
                      <w:rFonts w:ascii="Calibri" w:eastAsia="Times New Roman" w:hAnsi="Calibri" w:cs="Calibri"/>
                      <w:color w:val="000000"/>
                      <w:lang w:val="en-US" w:eastAsia="sk-SK"/>
                    </w:rPr>
                    <w:t xml:space="preserve">o   </w:t>
                  </w:r>
                  <w:r w:rsidR="004E7D5F" w:rsidRPr="004E7D5F">
                    <w:rPr>
                      <w:rFonts w:ascii="Calibri" w:eastAsia="Times New Roman" w:hAnsi="Calibri" w:cs="Calibri"/>
                      <w:color w:val="000000"/>
                      <w:lang w:val="en-US" w:eastAsia="sk-SK"/>
                    </w:rPr>
                    <w:t>the number of contracts awarded to SMEs over the total number of contracts awarded irrespective of bidder’s size class;</w:t>
                  </w:r>
                </w:p>
              </w:tc>
              <w:tc>
                <w:tcPr>
                  <w:tcW w:w="960" w:type="dxa"/>
                  <w:tcBorders>
                    <w:top w:val="nil"/>
                    <w:left w:val="nil"/>
                    <w:bottom w:val="single" w:sz="4" w:space="0" w:color="auto"/>
                    <w:right w:val="single" w:sz="4" w:space="0" w:color="auto"/>
                  </w:tcBorders>
                  <w:shd w:val="clear" w:color="auto" w:fill="auto"/>
                  <w:noWrap/>
                  <w:vAlign w:val="center"/>
                  <w:hideMark/>
                </w:tcPr>
                <w:p w14:paraId="5F5A6CEF" w14:textId="77777777" w:rsidR="00FB53F4" w:rsidRPr="00FB53F4" w:rsidRDefault="00FB53F4" w:rsidP="00FB53F4">
                  <w:pPr>
                    <w:spacing w:after="0" w:line="240" w:lineRule="auto"/>
                    <w:jc w:val="center"/>
                    <w:rPr>
                      <w:rFonts w:ascii="Calibri" w:eastAsia="Times New Roman" w:hAnsi="Calibri" w:cs="Calibri"/>
                      <w:color w:val="000000"/>
                      <w:lang w:val="sk-SK" w:eastAsia="sk-SK"/>
                    </w:rPr>
                  </w:pPr>
                  <w:r w:rsidRPr="00FB53F4">
                    <w:rPr>
                      <w:rFonts w:ascii="Calibri" w:eastAsia="Times New Roman" w:hAnsi="Calibri" w:cs="Calibri"/>
                      <w:color w:val="000000"/>
                      <w:lang w:val="sk-SK" w:eastAsia="sk-SK"/>
                    </w:rPr>
                    <w:t>70%</w:t>
                  </w:r>
                </w:p>
              </w:tc>
              <w:tc>
                <w:tcPr>
                  <w:tcW w:w="960" w:type="dxa"/>
                  <w:tcBorders>
                    <w:top w:val="nil"/>
                    <w:left w:val="nil"/>
                    <w:bottom w:val="single" w:sz="4" w:space="0" w:color="auto"/>
                    <w:right w:val="single" w:sz="4" w:space="0" w:color="auto"/>
                  </w:tcBorders>
                  <w:shd w:val="clear" w:color="auto" w:fill="auto"/>
                  <w:noWrap/>
                  <w:vAlign w:val="center"/>
                  <w:hideMark/>
                </w:tcPr>
                <w:p w14:paraId="2B11F3A1" w14:textId="77777777" w:rsidR="00FB53F4" w:rsidRPr="00FB53F4" w:rsidRDefault="00FB53F4" w:rsidP="00FB53F4">
                  <w:pPr>
                    <w:spacing w:after="0" w:line="240" w:lineRule="auto"/>
                    <w:jc w:val="center"/>
                    <w:rPr>
                      <w:rFonts w:ascii="Calibri" w:eastAsia="Times New Roman" w:hAnsi="Calibri" w:cs="Calibri"/>
                      <w:color w:val="000000"/>
                      <w:lang w:val="sk-SK" w:eastAsia="sk-SK"/>
                    </w:rPr>
                  </w:pPr>
                  <w:r w:rsidRPr="00FB53F4">
                    <w:rPr>
                      <w:rFonts w:ascii="Calibri" w:eastAsia="Times New Roman" w:hAnsi="Calibri" w:cs="Calibri"/>
                      <w:color w:val="000000"/>
                      <w:lang w:val="sk-SK" w:eastAsia="sk-SK"/>
                    </w:rPr>
                    <w:t>77%</w:t>
                  </w:r>
                </w:p>
              </w:tc>
              <w:tc>
                <w:tcPr>
                  <w:tcW w:w="960" w:type="dxa"/>
                  <w:tcBorders>
                    <w:top w:val="nil"/>
                    <w:left w:val="nil"/>
                    <w:bottom w:val="single" w:sz="4" w:space="0" w:color="auto"/>
                    <w:right w:val="single" w:sz="4" w:space="0" w:color="auto"/>
                  </w:tcBorders>
                  <w:shd w:val="clear" w:color="auto" w:fill="auto"/>
                  <w:noWrap/>
                  <w:vAlign w:val="center"/>
                  <w:hideMark/>
                </w:tcPr>
                <w:p w14:paraId="6ABC230E" w14:textId="77777777" w:rsidR="00FB53F4" w:rsidRPr="00FB53F4" w:rsidRDefault="00FB53F4" w:rsidP="00FB53F4">
                  <w:pPr>
                    <w:spacing w:after="0" w:line="240" w:lineRule="auto"/>
                    <w:jc w:val="center"/>
                    <w:rPr>
                      <w:rFonts w:ascii="Calibri" w:eastAsia="Times New Roman" w:hAnsi="Calibri" w:cs="Calibri"/>
                      <w:color w:val="000000"/>
                      <w:lang w:val="sk-SK" w:eastAsia="sk-SK"/>
                    </w:rPr>
                  </w:pPr>
                  <w:r w:rsidRPr="00FB53F4">
                    <w:rPr>
                      <w:rFonts w:ascii="Calibri" w:eastAsia="Times New Roman" w:hAnsi="Calibri" w:cs="Calibri"/>
                      <w:color w:val="000000"/>
                      <w:lang w:val="sk-SK" w:eastAsia="sk-SK"/>
                    </w:rPr>
                    <w:t>77%</w:t>
                  </w:r>
                </w:p>
              </w:tc>
            </w:tr>
            <w:tr w:rsidR="00FB53F4" w:rsidRPr="00FB53F4" w14:paraId="312E6B0D" w14:textId="77777777" w:rsidTr="00FB53F4">
              <w:trPr>
                <w:trHeight w:val="600"/>
              </w:trPr>
              <w:tc>
                <w:tcPr>
                  <w:tcW w:w="6440" w:type="dxa"/>
                  <w:tcBorders>
                    <w:top w:val="nil"/>
                    <w:left w:val="single" w:sz="4" w:space="0" w:color="auto"/>
                    <w:bottom w:val="single" w:sz="4" w:space="0" w:color="auto"/>
                    <w:right w:val="single" w:sz="4" w:space="0" w:color="auto"/>
                  </w:tcBorders>
                  <w:shd w:val="clear" w:color="auto" w:fill="auto"/>
                  <w:vAlign w:val="center"/>
                  <w:hideMark/>
                </w:tcPr>
                <w:p w14:paraId="7A6BBFFF" w14:textId="4E03CA2D" w:rsidR="00FB53F4" w:rsidRPr="004E7D5F" w:rsidRDefault="00FB53F4" w:rsidP="00645C93">
                  <w:pPr>
                    <w:spacing w:after="0" w:line="240" w:lineRule="auto"/>
                    <w:rPr>
                      <w:rFonts w:ascii="Calibri" w:eastAsia="Times New Roman" w:hAnsi="Calibri" w:cs="Calibri"/>
                      <w:color w:val="000000"/>
                      <w:lang w:val="en-US" w:eastAsia="sk-SK"/>
                    </w:rPr>
                  </w:pPr>
                  <w:r w:rsidRPr="004E7D5F">
                    <w:rPr>
                      <w:rFonts w:ascii="Calibri" w:eastAsia="Times New Roman" w:hAnsi="Calibri" w:cs="Calibri"/>
                      <w:color w:val="000000"/>
                      <w:lang w:val="en-US" w:eastAsia="sk-SK"/>
                    </w:rPr>
                    <w:t xml:space="preserve">o   </w:t>
                  </w:r>
                  <w:r w:rsidR="004E7D5F" w:rsidRPr="004E7D5F">
                    <w:rPr>
                      <w:rFonts w:ascii="Calibri" w:eastAsia="Times New Roman" w:hAnsi="Calibri" w:cs="Calibri"/>
                      <w:color w:val="000000"/>
                      <w:lang w:val="en-US" w:eastAsia="sk-SK"/>
                    </w:rPr>
                    <w:t>the value of contracts awarded to SMEs over the total value of contracts awarded irrespective of bidder’s size class;</w:t>
                  </w:r>
                </w:p>
              </w:tc>
              <w:tc>
                <w:tcPr>
                  <w:tcW w:w="960" w:type="dxa"/>
                  <w:tcBorders>
                    <w:top w:val="nil"/>
                    <w:left w:val="nil"/>
                    <w:bottom w:val="single" w:sz="4" w:space="0" w:color="auto"/>
                    <w:right w:val="single" w:sz="4" w:space="0" w:color="auto"/>
                  </w:tcBorders>
                  <w:shd w:val="clear" w:color="auto" w:fill="auto"/>
                  <w:noWrap/>
                  <w:vAlign w:val="center"/>
                  <w:hideMark/>
                </w:tcPr>
                <w:p w14:paraId="12B19054" w14:textId="77777777" w:rsidR="00FB53F4" w:rsidRPr="00FB53F4" w:rsidRDefault="00FB53F4" w:rsidP="00FB53F4">
                  <w:pPr>
                    <w:spacing w:after="0" w:line="240" w:lineRule="auto"/>
                    <w:jc w:val="center"/>
                    <w:rPr>
                      <w:rFonts w:ascii="Calibri" w:eastAsia="Times New Roman" w:hAnsi="Calibri" w:cs="Calibri"/>
                      <w:color w:val="000000"/>
                      <w:lang w:val="sk-SK" w:eastAsia="sk-SK"/>
                    </w:rPr>
                  </w:pPr>
                  <w:r w:rsidRPr="00FB53F4">
                    <w:rPr>
                      <w:rFonts w:ascii="Calibri" w:eastAsia="Times New Roman" w:hAnsi="Calibri" w:cs="Calibri"/>
                      <w:color w:val="000000"/>
                      <w:lang w:val="sk-SK" w:eastAsia="sk-SK"/>
                    </w:rPr>
                    <w:t>43%</w:t>
                  </w:r>
                </w:p>
              </w:tc>
              <w:tc>
                <w:tcPr>
                  <w:tcW w:w="960" w:type="dxa"/>
                  <w:tcBorders>
                    <w:top w:val="nil"/>
                    <w:left w:val="nil"/>
                    <w:bottom w:val="single" w:sz="4" w:space="0" w:color="auto"/>
                    <w:right w:val="single" w:sz="4" w:space="0" w:color="auto"/>
                  </w:tcBorders>
                  <w:shd w:val="clear" w:color="auto" w:fill="auto"/>
                  <w:noWrap/>
                  <w:vAlign w:val="center"/>
                  <w:hideMark/>
                </w:tcPr>
                <w:p w14:paraId="40FA8F34" w14:textId="77777777" w:rsidR="00FB53F4" w:rsidRPr="00FB53F4" w:rsidRDefault="00FB53F4" w:rsidP="00FB53F4">
                  <w:pPr>
                    <w:spacing w:after="0" w:line="240" w:lineRule="auto"/>
                    <w:jc w:val="center"/>
                    <w:rPr>
                      <w:rFonts w:ascii="Calibri" w:eastAsia="Times New Roman" w:hAnsi="Calibri" w:cs="Calibri"/>
                      <w:color w:val="000000"/>
                      <w:lang w:val="sk-SK" w:eastAsia="sk-SK"/>
                    </w:rPr>
                  </w:pPr>
                  <w:r w:rsidRPr="00FB53F4">
                    <w:rPr>
                      <w:rFonts w:ascii="Calibri" w:eastAsia="Times New Roman" w:hAnsi="Calibri" w:cs="Calibri"/>
                      <w:color w:val="000000"/>
                      <w:lang w:val="sk-SK" w:eastAsia="sk-SK"/>
                    </w:rPr>
                    <w:t>53%</w:t>
                  </w:r>
                </w:p>
              </w:tc>
              <w:tc>
                <w:tcPr>
                  <w:tcW w:w="960" w:type="dxa"/>
                  <w:tcBorders>
                    <w:top w:val="nil"/>
                    <w:left w:val="nil"/>
                    <w:bottom w:val="single" w:sz="4" w:space="0" w:color="auto"/>
                    <w:right w:val="single" w:sz="4" w:space="0" w:color="auto"/>
                  </w:tcBorders>
                  <w:shd w:val="clear" w:color="auto" w:fill="auto"/>
                  <w:noWrap/>
                  <w:vAlign w:val="center"/>
                  <w:hideMark/>
                </w:tcPr>
                <w:p w14:paraId="67548991" w14:textId="77777777" w:rsidR="00FB53F4" w:rsidRPr="00FB53F4" w:rsidRDefault="00FB53F4" w:rsidP="00FB53F4">
                  <w:pPr>
                    <w:spacing w:after="0" w:line="240" w:lineRule="auto"/>
                    <w:jc w:val="center"/>
                    <w:rPr>
                      <w:rFonts w:ascii="Calibri" w:eastAsia="Times New Roman" w:hAnsi="Calibri" w:cs="Calibri"/>
                      <w:color w:val="000000"/>
                      <w:lang w:val="sk-SK" w:eastAsia="sk-SK"/>
                    </w:rPr>
                  </w:pPr>
                  <w:r w:rsidRPr="00FB53F4">
                    <w:rPr>
                      <w:rFonts w:ascii="Calibri" w:eastAsia="Times New Roman" w:hAnsi="Calibri" w:cs="Calibri"/>
                      <w:color w:val="000000"/>
                      <w:lang w:val="sk-SK" w:eastAsia="sk-SK"/>
                    </w:rPr>
                    <w:t>43%</w:t>
                  </w:r>
                </w:p>
              </w:tc>
            </w:tr>
            <w:tr w:rsidR="00FB53F4" w:rsidRPr="00FB53F4" w14:paraId="552813EE" w14:textId="77777777" w:rsidTr="00FB53F4">
              <w:trPr>
                <w:trHeight w:val="300"/>
              </w:trPr>
              <w:tc>
                <w:tcPr>
                  <w:tcW w:w="932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CCD905C" w14:textId="77777777" w:rsidR="00FB53F4" w:rsidRPr="004E7D5F" w:rsidRDefault="00FB53F4" w:rsidP="00FB53F4">
                  <w:pPr>
                    <w:spacing w:after="0" w:line="240" w:lineRule="auto"/>
                    <w:jc w:val="center"/>
                    <w:rPr>
                      <w:rFonts w:ascii="Calibri" w:eastAsia="Times New Roman" w:hAnsi="Calibri" w:cs="Calibri"/>
                      <w:color w:val="000000"/>
                      <w:lang w:val="en-US" w:eastAsia="sk-SK"/>
                    </w:rPr>
                  </w:pPr>
                  <w:r w:rsidRPr="004E7D5F">
                    <w:rPr>
                      <w:rFonts w:ascii="Calibri" w:eastAsia="Times New Roman" w:hAnsi="Calibri" w:cs="Calibri"/>
                      <w:color w:val="000000"/>
                      <w:lang w:val="en-US" w:eastAsia="sk-SK"/>
                    </w:rPr>
                    <w:t> </w:t>
                  </w:r>
                </w:p>
              </w:tc>
            </w:tr>
            <w:tr w:rsidR="00FB53F4" w:rsidRPr="00FB53F4" w14:paraId="20F7BB22" w14:textId="77777777" w:rsidTr="00FB53F4">
              <w:trPr>
                <w:trHeight w:val="300"/>
              </w:trPr>
              <w:tc>
                <w:tcPr>
                  <w:tcW w:w="6440" w:type="dxa"/>
                  <w:tcBorders>
                    <w:top w:val="nil"/>
                    <w:left w:val="single" w:sz="4" w:space="0" w:color="auto"/>
                    <w:bottom w:val="single" w:sz="4" w:space="0" w:color="auto"/>
                    <w:right w:val="single" w:sz="4" w:space="0" w:color="auto"/>
                  </w:tcBorders>
                  <w:shd w:val="clear" w:color="auto" w:fill="auto"/>
                  <w:vAlign w:val="center"/>
                  <w:hideMark/>
                </w:tcPr>
                <w:p w14:paraId="7D916A9F" w14:textId="027007AE" w:rsidR="00FB53F4" w:rsidRPr="004E7D5F" w:rsidRDefault="00FB53F4" w:rsidP="00645C93">
                  <w:pPr>
                    <w:spacing w:after="0" w:line="240" w:lineRule="auto"/>
                    <w:rPr>
                      <w:rFonts w:ascii="Calibri" w:eastAsia="Times New Roman" w:hAnsi="Calibri" w:cs="Calibri"/>
                      <w:color w:val="000000"/>
                      <w:lang w:val="en-US" w:eastAsia="sk-SK"/>
                    </w:rPr>
                  </w:pPr>
                  <w:r w:rsidRPr="004E7D5F">
                    <w:rPr>
                      <w:rFonts w:ascii="Calibri" w:eastAsia="Times New Roman" w:hAnsi="Calibri" w:cs="Calibri"/>
                      <w:color w:val="000000"/>
                      <w:lang w:val="en-US" w:eastAsia="sk-SK"/>
                    </w:rPr>
                    <w:t xml:space="preserve">·    </w:t>
                  </w:r>
                  <w:r w:rsidR="004E7D5F" w:rsidRPr="004E7D5F">
                    <w:rPr>
                      <w:rFonts w:ascii="Calibri" w:eastAsia="Times New Roman" w:hAnsi="Calibri" w:cs="Calibri"/>
                      <w:color w:val="000000"/>
                      <w:lang w:val="en-US" w:eastAsia="sk-SK"/>
                    </w:rPr>
                    <w:t>SMEs winning in below EU threshold procurement:</w:t>
                  </w:r>
                </w:p>
              </w:tc>
              <w:tc>
                <w:tcPr>
                  <w:tcW w:w="960" w:type="dxa"/>
                  <w:tcBorders>
                    <w:top w:val="nil"/>
                    <w:left w:val="nil"/>
                    <w:bottom w:val="single" w:sz="4" w:space="0" w:color="auto"/>
                    <w:right w:val="nil"/>
                  </w:tcBorders>
                  <w:shd w:val="clear" w:color="auto" w:fill="auto"/>
                  <w:noWrap/>
                  <w:vAlign w:val="center"/>
                  <w:hideMark/>
                </w:tcPr>
                <w:p w14:paraId="4EB45BCF" w14:textId="77777777" w:rsidR="00FB53F4" w:rsidRPr="00FB53F4" w:rsidRDefault="00FB53F4" w:rsidP="00FB53F4">
                  <w:pPr>
                    <w:spacing w:after="0" w:line="240" w:lineRule="auto"/>
                    <w:rPr>
                      <w:rFonts w:ascii="Calibri" w:eastAsia="Times New Roman" w:hAnsi="Calibri" w:cs="Calibri"/>
                      <w:color w:val="000000"/>
                      <w:lang w:val="sk-SK" w:eastAsia="sk-SK"/>
                    </w:rPr>
                  </w:pPr>
                  <w:r w:rsidRPr="00FB53F4">
                    <w:rPr>
                      <w:rFonts w:ascii="Calibri" w:eastAsia="Times New Roman" w:hAnsi="Calibri" w:cs="Calibri"/>
                      <w:color w:val="000000"/>
                      <w:lang w:val="sk-SK" w:eastAsia="sk-SK"/>
                    </w:rPr>
                    <w:t> </w:t>
                  </w:r>
                </w:p>
              </w:tc>
              <w:tc>
                <w:tcPr>
                  <w:tcW w:w="960" w:type="dxa"/>
                  <w:tcBorders>
                    <w:top w:val="nil"/>
                    <w:left w:val="nil"/>
                    <w:bottom w:val="single" w:sz="4" w:space="0" w:color="auto"/>
                    <w:right w:val="nil"/>
                  </w:tcBorders>
                  <w:shd w:val="clear" w:color="auto" w:fill="auto"/>
                  <w:noWrap/>
                  <w:vAlign w:val="center"/>
                  <w:hideMark/>
                </w:tcPr>
                <w:p w14:paraId="7832EC63" w14:textId="77777777" w:rsidR="00FB53F4" w:rsidRPr="00FB53F4" w:rsidRDefault="00FB53F4" w:rsidP="00FB53F4">
                  <w:pPr>
                    <w:spacing w:after="0" w:line="240" w:lineRule="auto"/>
                    <w:rPr>
                      <w:rFonts w:ascii="Calibri" w:eastAsia="Times New Roman" w:hAnsi="Calibri" w:cs="Calibri"/>
                      <w:color w:val="000000"/>
                      <w:lang w:val="sk-SK" w:eastAsia="sk-SK"/>
                    </w:rPr>
                  </w:pPr>
                  <w:r w:rsidRPr="00FB53F4">
                    <w:rPr>
                      <w:rFonts w:ascii="Calibri" w:eastAsia="Times New Roman" w:hAnsi="Calibri" w:cs="Calibri"/>
                      <w:color w:val="000000"/>
                      <w:lang w:val="sk-SK" w:eastAsia="sk-SK"/>
                    </w:rPr>
                    <w:t> </w:t>
                  </w:r>
                </w:p>
              </w:tc>
              <w:tc>
                <w:tcPr>
                  <w:tcW w:w="960" w:type="dxa"/>
                  <w:tcBorders>
                    <w:top w:val="nil"/>
                    <w:left w:val="nil"/>
                    <w:bottom w:val="single" w:sz="4" w:space="0" w:color="auto"/>
                    <w:right w:val="single" w:sz="4" w:space="0" w:color="auto"/>
                  </w:tcBorders>
                  <w:shd w:val="clear" w:color="auto" w:fill="auto"/>
                  <w:noWrap/>
                  <w:vAlign w:val="center"/>
                  <w:hideMark/>
                </w:tcPr>
                <w:p w14:paraId="54A38A26" w14:textId="77777777" w:rsidR="00FB53F4" w:rsidRPr="00FB53F4" w:rsidRDefault="00FB53F4" w:rsidP="00FB53F4">
                  <w:pPr>
                    <w:spacing w:after="0" w:line="240" w:lineRule="auto"/>
                    <w:rPr>
                      <w:rFonts w:ascii="Calibri" w:eastAsia="Times New Roman" w:hAnsi="Calibri" w:cs="Calibri"/>
                      <w:color w:val="000000"/>
                      <w:lang w:val="sk-SK" w:eastAsia="sk-SK"/>
                    </w:rPr>
                  </w:pPr>
                  <w:r w:rsidRPr="00FB53F4">
                    <w:rPr>
                      <w:rFonts w:ascii="Calibri" w:eastAsia="Times New Roman" w:hAnsi="Calibri" w:cs="Calibri"/>
                      <w:color w:val="000000"/>
                      <w:lang w:val="sk-SK" w:eastAsia="sk-SK"/>
                    </w:rPr>
                    <w:t> </w:t>
                  </w:r>
                </w:p>
              </w:tc>
            </w:tr>
            <w:tr w:rsidR="00FB53F4" w:rsidRPr="00FB53F4" w14:paraId="1939EDEC" w14:textId="77777777" w:rsidTr="00FB53F4">
              <w:trPr>
                <w:trHeight w:val="600"/>
              </w:trPr>
              <w:tc>
                <w:tcPr>
                  <w:tcW w:w="6440" w:type="dxa"/>
                  <w:tcBorders>
                    <w:top w:val="nil"/>
                    <w:left w:val="single" w:sz="4" w:space="0" w:color="auto"/>
                    <w:bottom w:val="single" w:sz="4" w:space="0" w:color="auto"/>
                    <w:right w:val="single" w:sz="4" w:space="0" w:color="auto"/>
                  </w:tcBorders>
                  <w:shd w:val="clear" w:color="auto" w:fill="auto"/>
                  <w:vAlign w:val="center"/>
                  <w:hideMark/>
                </w:tcPr>
                <w:p w14:paraId="5AD2CD55" w14:textId="0EC7E0E3" w:rsidR="00FB53F4" w:rsidRPr="004E7D5F" w:rsidRDefault="00FB53F4" w:rsidP="00645C93">
                  <w:pPr>
                    <w:spacing w:after="0" w:line="240" w:lineRule="auto"/>
                    <w:rPr>
                      <w:rFonts w:ascii="Calibri" w:eastAsia="Times New Roman" w:hAnsi="Calibri" w:cs="Calibri"/>
                      <w:color w:val="000000"/>
                      <w:lang w:val="en-US" w:eastAsia="sk-SK"/>
                    </w:rPr>
                  </w:pPr>
                  <w:r w:rsidRPr="004E7D5F">
                    <w:rPr>
                      <w:rFonts w:ascii="Calibri" w:eastAsia="Times New Roman" w:hAnsi="Calibri" w:cs="Calibri"/>
                      <w:color w:val="000000"/>
                      <w:lang w:val="en-US" w:eastAsia="sk-SK"/>
                    </w:rPr>
                    <w:t xml:space="preserve">o   </w:t>
                  </w:r>
                  <w:r w:rsidR="004E7D5F" w:rsidRPr="004E7D5F">
                    <w:rPr>
                      <w:rFonts w:ascii="Calibri" w:eastAsia="Times New Roman" w:hAnsi="Calibri" w:cs="Calibri"/>
                      <w:color w:val="000000"/>
                      <w:lang w:val="en-US" w:eastAsia="sk-SK"/>
                    </w:rPr>
                    <w:t>the number of contracts awarded to SMEs over the total number of contracts awarded irrespective of bidder’s size class;</w:t>
                  </w:r>
                </w:p>
              </w:tc>
              <w:tc>
                <w:tcPr>
                  <w:tcW w:w="960" w:type="dxa"/>
                  <w:tcBorders>
                    <w:top w:val="nil"/>
                    <w:left w:val="nil"/>
                    <w:bottom w:val="single" w:sz="4" w:space="0" w:color="auto"/>
                    <w:right w:val="single" w:sz="4" w:space="0" w:color="auto"/>
                  </w:tcBorders>
                  <w:shd w:val="clear" w:color="auto" w:fill="auto"/>
                  <w:noWrap/>
                  <w:vAlign w:val="center"/>
                  <w:hideMark/>
                </w:tcPr>
                <w:p w14:paraId="641C28BE" w14:textId="77777777" w:rsidR="00FB53F4" w:rsidRPr="00FB53F4" w:rsidRDefault="00FB53F4" w:rsidP="00FB53F4">
                  <w:pPr>
                    <w:spacing w:after="0" w:line="240" w:lineRule="auto"/>
                    <w:jc w:val="center"/>
                    <w:rPr>
                      <w:rFonts w:ascii="Calibri" w:eastAsia="Times New Roman" w:hAnsi="Calibri" w:cs="Calibri"/>
                      <w:color w:val="000000"/>
                      <w:lang w:val="sk-SK" w:eastAsia="sk-SK"/>
                    </w:rPr>
                  </w:pPr>
                  <w:r w:rsidRPr="00FB53F4">
                    <w:rPr>
                      <w:rFonts w:ascii="Calibri" w:eastAsia="Times New Roman" w:hAnsi="Calibri" w:cs="Calibri"/>
                      <w:color w:val="000000"/>
                      <w:lang w:val="sk-SK" w:eastAsia="sk-SK"/>
                    </w:rPr>
                    <w:t>85%</w:t>
                  </w:r>
                </w:p>
              </w:tc>
              <w:tc>
                <w:tcPr>
                  <w:tcW w:w="960" w:type="dxa"/>
                  <w:tcBorders>
                    <w:top w:val="nil"/>
                    <w:left w:val="nil"/>
                    <w:bottom w:val="single" w:sz="4" w:space="0" w:color="auto"/>
                    <w:right w:val="single" w:sz="4" w:space="0" w:color="auto"/>
                  </w:tcBorders>
                  <w:shd w:val="clear" w:color="auto" w:fill="auto"/>
                  <w:noWrap/>
                  <w:vAlign w:val="center"/>
                  <w:hideMark/>
                </w:tcPr>
                <w:p w14:paraId="2753EC53" w14:textId="77777777" w:rsidR="00FB53F4" w:rsidRPr="00FB53F4" w:rsidRDefault="00FB53F4" w:rsidP="00FB53F4">
                  <w:pPr>
                    <w:spacing w:after="0" w:line="240" w:lineRule="auto"/>
                    <w:jc w:val="center"/>
                    <w:rPr>
                      <w:rFonts w:ascii="Calibri" w:eastAsia="Times New Roman" w:hAnsi="Calibri" w:cs="Calibri"/>
                      <w:color w:val="000000"/>
                      <w:lang w:val="sk-SK" w:eastAsia="sk-SK"/>
                    </w:rPr>
                  </w:pPr>
                  <w:r w:rsidRPr="00FB53F4">
                    <w:rPr>
                      <w:rFonts w:ascii="Calibri" w:eastAsia="Times New Roman" w:hAnsi="Calibri" w:cs="Calibri"/>
                      <w:color w:val="000000"/>
                      <w:lang w:val="sk-SK" w:eastAsia="sk-SK"/>
                    </w:rPr>
                    <w:t>87%</w:t>
                  </w:r>
                </w:p>
              </w:tc>
              <w:tc>
                <w:tcPr>
                  <w:tcW w:w="960" w:type="dxa"/>
                  <w:tcBorders>
                    <w:top w:val="nil"/>
                    <w:left w:val="nil"/>
                    <w:bottom w:val="single" w:sz="4" w:space="0" w:color="auto"/>
                    <w:right w:val="single" w:sz="4" w:space="0" w:color="auto"/>
                  </w:tcBorders>
                  <w:shd w:val="clear" w:color="auto" w:fill="auto"/>
                  <w:noWrap/>
                  <w:vAlign w:val="center"/>
                  <w:hideMark/>
                </w:tcPr>
                <w:p w14:paraId="599DE3D3" w14:textId="77777777" w:rsidR="00FB53F4" w:rsidRPr="00FB53F4" w:rsidRDefault="00FB53F4" w:rsidP="00FB53F4">
                  <w:pPr>
                    <w:spacing w:after="0" w:line="240" w:lineRule="auto"/>
                    <w:jc w:val="center"/>
                    <w:rPr>
                      <w:rFonts w:ascii="Calibri" w:eastAsia="Times New Roman" w:hAnsi="Calibri" w:cs="Calibri"/>
                      <w:color w:val="000000"/>
                      <w:lang w:val="sk-SK" w:eastAsia="sk-SK"/>
                    </w:rPr>
                  </w:pPr>
                  <w:r w:rsidRPr="00FB53F4">
                    <w:rPr>
                      <w:rFonts w:ascii="Calibri" w:eastAsia="Times New Roman" w:hAnsi="Calibri" w:cs="Calibri"/>
                      <w:color w:val="000000"/>
                      <w:lang w:val="sk-SK" w:eastAsia="sk-SK"/>
                    </w:rPr>
                    <w:t>87%</w:t>
                  </w:r>
                </w:p>
              </w:tc>
            </w:tr>
            <w:tr w:rsidR="00FB53F4" w:rsidRPr="00FB53F4" w14:paraId="191FB79F" w14:textId="77777777" w:rsidTr="00FB53F4">
              <w:trPr>
                <w:trHeight w:val="600"/>
              </w:trPr>
              <w:tc>
                <w:tcPr>
                  <w:tcW w:w="6440" w:type="dxa"/>
                  <w:tcBorders>
                    <w:top w:val="nil"/>
                    <w:left w:val="single" w:sz="4" w:space="0" w:color="auto"/>
                    <w:bottom w:val="single" w:sz="4" w:space="0" w:color="auto"/>
                    <w:right w:val="single" w:sz="4" w:space="0" w:color="auto"/>
                  </w:tcBorders>
                  <w:shd w:val="clear" w:color="auto" w:fill="auto"/>
                  <w:vAlign w:val="center"/>
                  <w:hideMark/>
                </w:tcPr>
                <w:p w14:paraId="5E692929" w14:textId="35F2C69A" w:rsidR="00FB53F4" w:rsidRPr="004E7D5F" w:rsidRDefault="00FB53F4" w:rsidP="00645C93">
                  <w:pPr>
                    <w:spacing w:after="0" w:line="240" w:lineRule="auto"/>
                    <w:rPr>
                      <w:rFonts w:ascii="Calibri" w:eastAsia="Times New Roman" w:hAnsi="Calibri" w:cs="Calibri"/>
                      <w:color w:val="000000"/>
                      <w:lang w:val="en-US" w:eastAsia="sk-SK"/>
                    </w:rPr>
                  </w:pPr>
                  <w:r w:rsidRPr="004E7D5F">
                    <w:rPr>
                      <w:rFonts w:ascii="Calibri" w:eastAsia="Times New Roman" w:hAnsi="Calibri" w:cs="Calibri"/>
                      <w:color w:val="000000"/>
                      <w:lang w:val="en-US" w:eastAsia="sk-SK"/>
                    </w:rPr>
                    <w:t xml:space="preserve">o   </w:t>
                  </w:r>
                  <w:r w:rsidR="004E7D5F" w:rsidRPr="004E7D5F">
                    <w:rPr>
                      <w:rFonts w:ascii="Calibri" w:eastAsia="Times New Roman" w:hAnsi="Calibri" w:cs="Calibri"/>
                      <w:color w:val="000000"/>
                      <w:lang w:val="en-US" w:eastAsia="sk-SK"/>
                    </w:rPr>
                    <w:t>the value of contracts awarded to SMEs over the total value of contracts awarded irrespective of bidder’s size class.</w:t>
                  </w:r>
                </w:p>
              </w:tc>
              <w:tc>
                <w:tcPr>
                  <w:tcW w:w="960" w:type="dxa"/>
                  <w:tcBorders>
                    <w:top w:val="nil"/>
                    <w:left w:val="nil"/>
                    <w:bottom w:val="single" w:sz="4" w:space="0" w:color="auto"/>
                    <w:right w:val="single" w:sz="4" w:space="0" w:color="auto"/>
                  </w:tcBorders>
                  <w:shd w:val="clear" w:color="auto" w:fill="auto"/>
                  <w:noWrap/>
                  <w:vAlign w:val="center"/>
                  <w:hideMark/>
                </w:tcPr>
                <w:p w14:paraId="035CED1B" w14:textId="77777777" w:rsidR="00FB53F4" w:rsidRPr="00FB53F4" w:rsidRDefault="00FB53F4" w:rsidP="00FB53F4">
                  <w:pPr>
                    <w:spacing w:after="0" w:line="240" w:lineRule="auto"/>
                    <w:jc w:val="center"/>
                    <w:rPr>
                      <w:rFonts w:ascii="Calibri" w:eastAsia="Times New Roman" w:hAnsi="Calibri" w:cs="Calibri"/>
                      <w:color w:val="000000"/>
                      <w:lang w:val="sk-SK" w:eastAsia="sk-SK"/>
                    </w:rPr>
                  </w:pPr>
                  <w:r w:rsidRPr="00FB53F4">
                    <w:rPr>
                      <w:rFonts w:ascii="Calibri" w:eastAsia="Times New Roman" w:hAnsi="Calibri" w:cs="Calibri"/>
                      <w:color w:val="000000"/>
                      <w:lang w:val="sk-SK" w:eastAsia="sk-SK"/>
                    </w:rPr>
                    <w:t>81%</w:t>
                  </w:r>
                </w:p>
              </w:tc>
              <w:tc>
                <w:tcPr>
                  <w:tcW w:w="960" w:type="dxa"/>
                  <w:tcBorders>
                    <w:top w:val="nil"/>
                    <w:left w:val="nil"/>
                    <w:bottom w:val="single" w:sz="4" w:space="0" w:color="auto"/>
                    <w:right w:val="single" w:sz="4" w:space="0" w:color="auto"/>
                  </w:tcBorders>
                  <w:shd w:val="clear" w:color="auto" w:fill="auto"/>
                  <w:noWrap/>
                  <w:vAlign w:val="center"/>
                  <w:hideMark/>
                </w:tcPr>
                <w:p w14:paraId="1F00C4CE" w14:textId="77777777" w:rsidR="00FB53F4" w:rsidRPr="00FB53F4" w:rsidRDefault="00FB53F4" w:rsidP="00FB53F4">
                  <w:pPr>
                    <w:spacing w:after="0" w:line="240" w:lineRule="auto"/>
                    <w:jc w:val="center"/>
                    <w:rPr>
                      <w:rFonts w:ascii="Calibri" w:eastAsia="Times New Roman" w:hAnsi="Calibri" w:cs="Calibri"/>
                      <w:color w:val="000000"/>
                      <w:lang w:val="sk-SK" w:eastAsia="sk-SK"/>
                    </w:rPr>
                  </w:pPr>
                  <w:r w:rsidRPr="00FB53F4">
                    <w:rPr>
                      <w:rFonts w:ascii="Calibri" w:eastAsia="Times New Roman" w:hAnsi="Calibri" w:cs="Calibri"/>
                      <w:color w:val="000000"/>
                      <w:lang w:val="sk-SK" w:eastAsia="sk-SK"/>
                    </w:rPr>
                    <w:t>85%</w:t>
                  </w:r>
                </w:p>
              </w:tc>
              <w:tc>
                <w:tcPr>
                  <w:tcW w:w="960" w:type="dxa"/>
                  <w:tcBorders>
                    <w:top w:val="nil"/>
                    <w:left w:val="nil"/>
                    <w:bottom w:val="single" w:sz="4" w:space="0" w:color="auto"/>
                    <w:right w:val="single" w:sz="4" w:space="0" w:color="auto"/>
                  </w:tcBorders>
                  <w:shd w:val="clear" w:color="auto" w:fill="auto"/>
                  <w:noWrap/>
                  <w:vAlign w:val="center"/>
                  <w:hideMark/>
                </w:tcPr>
                <w:p w14:paraId="7B8ADBD0" w14:textId="77777777" w:rsidR="00FB53F4" w:rsidRPr="00FB53F4" w:rsidRDefault="00FB53F4" w:rsidP="00FB53F4">
                  <w:pPr>
                    <w:spacing w:after="0" w:line="240" w:lineRule="auto"/>
                    <w:jc w:val="center"/>
                    <w:rPr>
                      <w:rFonts w:ascii="Calibri" w:eastAsia="Times New Roman" w:hAnsi="Calibri" w:cs="Calibri"/>
                      <w:color w:val="000000"/>
                      <w:lang w:val="sk-SK" w:eastAsia="sk-SK"/>
                    </w:rPr>
                  </w:pPr>
                  <w:r w:rsidRPr="00FB53F4">
                    <w:rPr>
                      <w:rFonts w:ascii="Calibri" w:eastAsia="Times New Roman" w:hAnsi="Calibri" w:cs="Calibri"/>
                      <w:color w:val="000000"/>
                      <w:lang w:val="sk-SK" w:eastAsia="sk-SK"/>
                    </w:rPr>
                    <w:t>85%</w:t>
                  </w:r>
                </w:p>
              </w:tc>
            </w:tr>
          </w:tbl>
          <w:p w14:paraId="0DDEE81E" w14:textId="77777777" w:rsidR="00FB53F4" w:rsidRDefault="00FB53F4" w:rsidP="00FB53F4">
            <w:pPr>
              <w:pStyle w:val="Bezriadkovania"/>
              <w:ind w:left="360"/>
              <w:jc w:val="both"/>
              <w:rPr>
                <w:i/>
              </w:rPr>
            </w:pPr>
          </w:p>
          <w:p w14:paraId="5313BF42" w14:textId="25392737" w:rsidR="00B54D84" w:rsidRPr="001326FB" w:rsidRDefault="004E7D5F" w:rsidP="005D6740">
            <w:pPr>
              <w:pStyle w:val="Bezriadkovania"/>
              <w:numPr>
                <w:ilvl w:val="0"/>
                <w:numId w:val="2"/>
              </w:numPr>
              <w:jc w:val="both"/>
              <w:rPr>
                <w:i/>
              </w:rPr>
            </w:pPr>
            <w:r w:rsidRPr="00FB53F4">
              <w:rPr>
                <w:i/>
              </w:rPr>
              <w:t xml:space="preserve">Estimates of indirect participation of SMEs in public procurement </w:t>
            </w:r>
            <w:r>
              <w:rPr>
                <w:i/>
              </w:rPr>
              <w:t xml:space="preserve">and </w:t>
            </w:r>
            <w:r w:rsidRPr="008D0506">
              <w:rPr>
                <w:i/>
              </w:rPr>
              <w:t>curren</w:t>
            </w:r>
            <w:r w:rsidR="001326FB">
              <w:rPr>
                <w:i/>
              </w:rPr>
              <w:t>t</w:t>
            </w:r>
            <w:r w:rsidRPr="008D0506">
              <w:rPr>
                <w:i/>
              </w:rPr>
              <w:t xml:space="preserve"> attainment rate of the target set for SMEs participation</w:t>
            </w:r>
            <w:r w:rsidRPr="00FB53F4">
              <w:rPr>
                <w:i/>
              </w:rPr>
              <w:t xml:space="preserve"> are not available;</w:t>
            </w:r>
          </w:p>
        </w:tc>
      </w:tr>
    </w:tbl>
    <w:p w14:paraId="34AB7F43" w14:textId="43C85461" w:rsidR="001C5F45" w:rsidRDefault="001C5F45" w:rsidP="001C5F45"/>
    <w:p w14:paraId="34AB7F4A" w14:textId="63213CB7" w:rsidR="00C9307F" w:rsidRPr="00B01372" w:rsidRDefault="00C554EC" w:rsidP="001E1A57">
      <w:pPr>
        <w:pStyle w:val="Nadpis2"/>
      </w:pPr>
      <w:r w:rsidRPr="00B01372">
        <w:t>Information on the practical implementation of national strategic procurement</w:t>
      </w:r>
    </w:p>
    <w:p w14:paraId="34AB7F4C" w14:textId="03BA04F0" w:rsidR="00123723" w:rsidRPr="00B01372" w:rsidRDefault="00123723" w:rsidP="00D24317">
      <w:pPr>
        <w:spacing w:line="240" w:lineRule="auto"/>
      </w:pPr>
    </w:p>
    <w:tbl>
      <w:tblPr>
        <w:tblStyle w:val="Mriekatabuky"/>
        <w:tblW w:w="5000" w:type="pct"/>
        <w:tblLook w:val="04A0" w:firstRow="1" w:lastRow="0" w:firstColumn="1" w:lastColumn="0" w:noHBand="0" w:noVBand="1"/>
      </w:tblPr>
      <w:tblGrid>
        <w:gridCol w:w="4612"/>
        <w:gridCol w:w="9382"/>
      </w:tblGrid>
      <w:tr w:rsidR="00994F58" w:rsidRPr="00B01372" w14:paraId="5B6BBFBA" w14:textId="77777777" w:rsidTr="005F0ADF">
        <w:tc>
          <w:tcPr>
            <w:tcW w:w="1648" w:type="pct"/>
          </w:tcPr>
          <w:p w14:paraId="5C6C3770" w14:textId="7B220A08" w:rsidR="00994F58" w:rsidRPr="00B01372" w:rsidRDefault="00994F58" w:rsidP="005F0ADF">
            <w:pPr>
              <w:pStyle w:val="Nadpis3"/>
              <w:outlineLvl w:val="2"/>
            </w:pPr>
            <w:r w:rsidRPr="00B01372">
              <w:t>V.1 Green procurement ('GPP')</w:t>
            </w:r>
          </w:p>
        </w:tc>
        <w:tc>
          <w:tcPr>
            <w:tcW w:w="3352" w:type="pct"/>
          </w:tcPr>
          <w:p w14:paraId="333099F8" w14:textId="3B5D8DA8" w:rsidR="000011CD" w:rsidRPr="000011CD" w:rsidRDefault="000011CD" w:rsidP="005F0ADF">
            <w:pPr>
              <w:jc w:val="both"/>
              <w:rPr>
                <w:highlight w:val="lightGray"/>
                <w:lang w:val="en-US"/>
              </w:rPr>
            </w:pPr>
            <w:r w:rsidRPr="000011CD">
              <w:rPr>
                <w:lang w:val="en-US"/>
              </w:rPr>
              <w:t>On the national level, the goal was to achieve a 50% share of “green” contracts realized by state administration bodies in 12 certain product groups according to the National Action Plan for GPP in the Slovak Republic for 2016 - 2020, which was adopted in 2016. Current goal, pursuant to the Strategy for environmental policy of the Slovak republic until 2030, which was adopted in 2019, is to achieve 70 % of the total value of public procurement and 70 % of the total number of public procurement contracts.</w:t>
            </w:r>
          </w:p>
          <w:p w14:paraId="3E97AA44" w14:textId="40FDB5F9" w:rsidR="00B566B9" w:rsidRPr="00B01372" w:rsidRDefault="00B566B9" w:rsidP="000011CD">
            <w:pPr>
              <w:jc w:val="both"/>
            </w:pPr>
          </w:p>
        </w:tc>
      </w:tr>
      <w:tr w:rsidR="005F0ADF" w:rsidRPr="00B01372" w14:paraId="19FBB54C" w14:textId="77777777" w:rsidTr="008D0506">
        <w:trPr>
          <w:trHeight w:val="170"/>
        </w:trPr>
        <w:tc>
          <w:tcPr>
            <w:tcW w:w="1648" w:type="pct"/>
          </w:tcPr>
          <w:p w14:paraId="3DF76B1B" w14:textId="2DD2EA66" w:rsidR="005F0ADF" w:rsidRPr="00B01372" w:rsidRDefault="00F13DA8" w:rsidP="005F0ADF">
            <w:pPr>
              <w:pStyle w:val="Nadpis3"/>
              <w:outlineLvl w:val="2"/>
            </w:pPr>
            <w:r w:rsidRPr="00B01372">
              <w:t>V</w:t>
            </w:r>
            <w:r w:rsidR="005F0ADF" w:rsidRPr="00B01372">
              <w:t>.1.</w:t>
            </w:r>
            <w:r w:rsidR="00994F58" w:rsidRPr="00B01372">
              <w:t>1</w:t>
            </w:r>
            <w:r w:rsidR="005F0ADF" w:rsidRPr="00B01372">
              <w:t xml:space="preserve"> </w:t>
            </w:r>
            <w:r w:rsidR="00C96DD0" w:rsidRPr="00B01372">
              <w:t>Qualitative reporting</w:t>
            </w:r>
            <w:r w:rsidR="00C96DD0" w:rsidRPr="008D0506">
              <w:t xml:space="preserve"> </w:t>
            </w:r>
          </w:p>
        </w:tc>
        <w:tc>
          <w:tcPr>
            <w:tcW w:w="3352" w:type="pct"/>
          </w:tcPr>
          <w:p w14:paraId="57D4CE50" w14:textId="77777777" w:rsidR="005F0ADF" w:rsidRPr="00B01372" w:rsidRDefault="005F0ADF" w:rsidP="005F0ADF">
            <w:pPr>
              <w:jc w:val="both"/>
            </w:pPr>
          </w:p>
        </w:tc>
      </w:tr>
      <w:tr w:rsidR="005F0ADF" w:rsidRPr="00B01372" w14:paraId="05B5832A" w14:textId="77777777" w:rsidTr="005F0ADF">
        <w:tc>
          <w:tcPr>
            <w:tcW w:w="1648" w:type="pct"/>
          </w:tcPr>
          <w:p w14:paraId="6866DD1A" w14:textId="7E7A9B98" w:rsidR="005F0ADF" w:rsidRPr="00B01372" w:rsidRDefault="005F0ADF" w:rsidP="008E2CAD">
            <w:r w:rsidRPr="00B01372">
              <w:t>Key challenges encountered</w:t>
            </w:r>
          </w:p>
        </w:tc>
        <w:tc>
          <w:tcPr>
            <w:tcW w:w="3352" w:type="pct"/>
          </w:tcPr>
          <w:p w14:paraId="3EF42AD2" w14:textId="58ED3EC8" w:rsidR="005F0ADF" w:rsidRPr="000011CD" w:rsidRDefault="00D6366F" w:rsidP="005F0ADF">
            <w:pPr>
              <w:jc w:val="both"/>
            </w:pPr>
            <w:r w:rsidRPr="000011CD">
              <w:t>K</w:t>
            </w:r>
            <w:r w:rsidR="005F0ADF" w:rsidRPr="000011CD">
              <w:t>ey challenges encountered</w:t>
            </w:r>
            <w:r w:rsidR="009467AE" w:rsidRPr="000011CD">
              <w:t xml:space="preserve"> in </w:t>
            </w:r>
            <w:r w:rsidR="001749A4" w:rsidRPr="000011CD">
              <w:t xml:space="preserve">using </w:t>
            </w:r>
            <w:r w:rsidR="009467AE" w:rsidRPr="000011CD">
              <w:t>green public procurement</w:t>
            </w:r>
            <w:r w:rsidR="000011CD">
              <w:t>:</w:t>
            </w:r>
          </w:p>
          <w:p w14:paraId="1B302B19" w14:textId="41BC66D9" w:rsidR="00F16A24" w:rsidRPr="000011CD" w:rsidRDefault="00F16A24" w:rsidP="00B566B9">
            <w:pPr>
              <w:jc w:val="both"/>
            </w:pPr>
          </w:p>
          <w:p w14:paraId="73C272E3" w14:textId="74DF30EB" w:rsidR="000011CD" w:rsidRDefault="000011CD" w:rsidP="00B566B9">
            <w:pPr>
              <w:jc w:val="both"/>
              <w:rPr>
                <w:highlight w:val="lightGray"/>
              </w:rPr>
            </w:pPr>
            <w:r w:rsidRPr="000011CD">
              <w:lastRenderedPageBreak/>
              <w:t>The key challenges of GPP from a long time period are in the field of implementation and creation of tools, which will inspire the use of GPP by contracting authorities/entities.</w:t>
            </w:r>
          </w:p>
          <w:p w14:paraId="2654BB43" w14:textId="77777777" w:rsidR="00B566B9" w:rsidRPr="00D031C0" w:rsidRDefault="00B566B9" w:rsidP="005F0ADF">
            <w:pPr>
              <w:jc w:val="both"/>
            </w:pPr>
          </w:p>
          <w:p w14:paraId="08521DC1" w14:textId="03747799" w:rsidR="005F0ADF" w:rsidRDefault="00D6366F" w:rsidP="00956EEA">
            <w:pPr>
              <w:jc w:val="both"/>
            </w:pPr>
            <w:r w:rsidRPr="00D031C0">
              <w:t>M</w:t>
            </w:r>
            <w:r w:rsidR="005F0ADF" w:rsidRPr="00D031C0">
              <w:t>easures taken to overcome them</w:t>
            </w:r>
            <w:r w:rsidR="00D031C0">
              <w:t>:</w:t>
            </w:r>
            <w:r w:rsidR="005F0ADF" w:rsidRPr="00B01372">
              <w:t xml:space="preserve"> </w:t>
            </w:r>
          </w:p>
          <w:p w14:paraId="03E6A314" w14:textId="2D11F942" w:rsidR="00B566B9" w:rsidRDefault="00B566B9" w:rsidP="00956EEA">
            <w:pPr>
              <w:jc w:val="both"/>
            </w:pPr>
          </w:p>
          <w:p w14:paraId="25942C13" w14:textId="69A79A13" w:rsidR="000011CD" w:rsidRDefault="00D031C0" w:rsidP="000011CD">
            <w:pPr>
              <w:jc w:val="both"/>
            </w:pPr>
            <w:r w:rsidRPr="00D031C0">
              <w:t xml:space="preserve">As part of the support of the use of GPP, the Public Procurement Office, the Ministry of the Environment of the Slovak Republic and the Slovak Environment Agency plan to focus mainly on creating specific manuals of sample product groups and organizing training for contracting authorities and entities to support the use of GPP in </w:t>
            </w:r>
            <w:r w:rsidR="00A20016">
              <w:t>the</w:t>
            </w:r>
            <w:r w:rsidR="00A20016" w:rsidRPr="00D031C0">
              <w:t xml:space="preserve"> </w:t>
            </w:r>
            <w:r w:rsidRPr="00D031C0">
              <w:t>country. PPO developed a national project entitled: Increasing the efficiency of public procurement in Slovakia with the support of the European Social Fund through the Operational Program Effective Public Administration. The implementation of the national project started in 03/2020 and focuses on providing long-term support to strategic public procurement by increasing professional awareness and by motivating contracting authorities and entities to use strategic public procurement in practice. It focuses on activities that increase proposals for quality, efficiency and implementation of public procurement, but also on the supervision of the Office. To support the use of environmental aspects in practice, methodological manuals will be published, examples of good practice will be collected, workshops will be organized and public procurement experts will be able to find out about the latest news not only from GPP but also from social and innovative public procurement in the magazine.</w:t>
            </w:r>
          </w:p>
          <w:p w14:paraId="7AE285CF" w14:textId="77777777" w:rsidR="000011CD" w:rsidRPr="00D031C0" w:rsidRDefault="000011CD" w:rsidP="00956EEA">
            <w:pPr>
              <w:jc w:val="both"/>
              <w:rPr>
                <w:lang w:val="en-US"/>
              </w:rPr>
            </w:pPr>
          </w:p>
          <w:p w14:paraId="65F9CF43" w14:textId="5D0FACCB" w:rsidR="00F16A24" w:rsidRPr="00F16A24" w:rsidRDefault="00D031C0" w:rsidP="00F16A24">
            <w:pPr>
              <w:jc w:val="both"/>
              <w:rPr>
                <w:lang w:val="sk-SK"/>
              </w:rPr>
            </w:pPr>
            <w:r w:rsidRPr="00D031C0">
              <w:rPr>
                <w:lang w:val="en-US"/>
              </w:rPr>
              <w:t>Procurement experts can also find help in the form of a GPP helpdesk, where they are provided with information on GPP also using the GPP criteria managed by the Ministry of the Environment</w:t>
            </w:r>
            <w:r w:rsidR="00F16A24" w:rsidRPr="00D031C0">
              <w:rPr>
                <w:lang w:val="sk-SK"/>
              </w:rPr>
              <w:t xml:space="preserve"> </w:t>
            </w:r>
            <w:r w:rsidR="00F16A24" w:rsidRPr="00D031C0">
              <w:t>(</w:t>
            </w:r>
            <w:hyperlink r:id="rId25" w:history="1">
              <w:r w:rsidR="00F16A24" w:rsidRPr="00D031C0">
                <w:rPr>
                  <w:rStyle w:val="Hypertextovprepojenie"/>
                </w:rPr>
                <w:t>www.sazp.sk</w:t>
              </w:r>
            </w:hyperlink>
            <w:r w:rsidR="00F16A24" w:rsidRPr="00D031C0">
              <w:t>).</w:t>
            </w:r>
          </w:p>
          <w:p w14:paraId="5A9E4B24" w14:textId="04A3E60C" w:rsidR="00B566B9" w:rsidRPr="00B01372" w:rsidRDefault="00B566B9" w:rsidP="00B566B9">
            <w:pPr>
              <w:jc w:val="both"/>
            </w:pPr>
          </w:p>
        </w:tc>
      </w:tr>
      <w:tr w:rsidR="005F0ADF" w:rsidRPr="00B01372" w14:paraId="70A73762" w14:textId="77777777" w:rsidTr="005F0ADF">
        <w:tc>
          <w:tcPr>
            <w:tcW w:w="1648" w:type="pct"/>
          </w:tcPr>
          <w:p w14:paraId="1F75A8FE" w14:textId="756A27F1" w:rsidR="005F0ADF" w:rsidRPr="00B01372" w:rsidRDefault="00D5004D" w:rsidP="005F0ADF">
            <w:pPr>
              <w:pStyle w:val="Nadpis3"/>
              <w:outlineLvl w:val="2"/>
            </w:pPr>
            <w:r w:rsidRPr="00B01372">
              <w:lastRenderedPageBreak/>
              <w:t>V</w:t>
            </w:r>
            <w:r w:rsidR="005F0ADF" w:rsidRPr="00B01372">
              <w:t xml:space="preserve">.1.2. </w:t>
            </w:r>
            <w:r w:rsidR="0037143F" w:rsidRPr="0037143F">
              <w:t>Supporting documents</w:t>
            </w:r>
          </w:p>
        </w:tc>
        <w:tc>
          <w:tcPr>
            <w:tcW w:w="3352" w:type="pct"/>
          </w:tcPr>
          <w:p w14:paraId="7FE0DDBA" w14:textId="77777777" w:rsidR="005F0ADF" w:rsidRPr="00B01372" w:rsidRDefault="005F0ADF" w:rsidP="005F0ADF">
            <w:pPr>
              <w:rPr>
                <w:i/>
              </w:rPr>
            </w:pPr>
          </w:p>
        </w:tc>
      </w:tr>
      <w:tr w:rsidR="005F0ADF" w:rsidRPr="00B01372" w14:paraId="0FD36345" w14:textId="77777777" w:rsidTr="005F0ADF">
        <w:tc>
          <w:tcPr>
            <w:tcW w:w="1648" w:type="pct"/>
          </w:tcPr>
          <w:p w14:paraId="5A048C62" w14:textId="62F32E88" w:rsidR="005F0ADF" w:rsidRPr="00B01372" w:rsidRDefault="005F0ADF" w:rsidP="00EE72CC">
            <w:pPr>
              <w:pStyle w:val="Nadpis3"/>
              <w:outlineLvl w:val="2"/>
              <w:rPr>
                <w:b w:val="0"/>
              </w:rPr>
            </w:pPr>
            <w:r w:rsidRPr="00B01372">
              <w:rPr>
                <w:b w:val="0"/>
              </w:rPr>
              <w:t xml:space="preserve">Please report any available evidence or supporting document </w:t>
            </w:r>
            <w:r w:rsidR="006753EC" w:rsidRPr="00B01372">
              <w:rPr>
                <w:b w:val="0"/>
              </w:rPr>
              <w:t xml:space="preserve">for point </w:t>
            </w:r>
            <w:r w:rsidR="00426F49" w:rsidRPr="00B01372">
              <w:rPr>
                <w:b w:val="0"/>
              </w:rPr>
              <w:t>V</w:t>
            </w:r>
            <w:r w:rsidR="006753EC" w:rsidRPr="00B01372">
              <w:rPr>
                <w:b w:val="0"/>
              </w:rPr>
              <w:t xml:space="preserve">.1, </w:t>
            </w:r>
            <w:r w:rsidRPr="00B01372">
              <w:rPr>
                <w:b w:val="0"/>
              </w:rPr>
              <w:t xml:space="preserve">illustrating the measures, achievements or challenges faced, relating to the </w:t>
            </w:r>
            <w:r w:rsidR="00EE72CC">
              <w:rPr>
                <w:b w:val="0"/>
              </w:rPr>
              <w:t>use</w:t>
            </w:r>
            <w:r w:rsidR="00EE72CC" w:rsidRPr="00B01372">
              <w:rPr>
                <w:b w:val="0"/>
              </w:rPr>
              <w:t xml:space="preserve"> </w:t>
            </w:r>
            <w:r w:rsidRPr="00B01372">
              <w:rPr>
                <w:b w:val="0"/>
              </w:rPr>
              <w:t xml:space="preserve">of </w:t>
            </w:r>
            <w:r w:rsidR="003236CE" w:rsidRPr="00B01372">
              <w:rPr>
                <w:b w:val="0"/>
              </w:rPr>
              <w:t>green public</w:t>
            </w:r>
            <w:r w:rsidRPr="00B01372">
              <w:rPr>
                <w:b w:val="0"/>
              </w:rPr>
              <w:t xml:space="preserve"> procurement. </w:t>
            </w:r>
          </w:p>
        </w:tc>
        <w:tc>
          <w:tcPr>
            <w:tcW w:w="3352" w:type="pct"/>
          </w:tcPr>
          <w:p w14:paraId="16195937" w14:textId="769B55B4" w:rsidR="006D3FDB" w:rsidRDefault="006D3FDB" w:rsidP="006D3FDB">
            <w:pPr>
              <w:pStyle w:val="Bezriadkovania"/>
              <w:jc w:val="both"/>
            </w:pPr>
            <w:r>
              <w:t xml:space="preserve">Public Procurement Office </w:t>
            </w:r>
            <w:r w:rsidRPr="006D3FDB">
              <w:t>issued comprehensive materials for product groups within the procurement methodology (paper, tr</w:t>
            </w:r>
            <w:r w:rsidR="00F36771">
              <w:t>ansport, cleaning products, etc.</w:t>
            </w:r>
            <w:r w:rsidRPr="006D3FDB">
              <w:t>)</w:t>
            </w:r>
            <w:r w:rsidR="00F36771">
              <w:t>, what is also linked to concreate trainings:</w:t>
            </w:r>
          </w:p>
          <w:p w14:paraId="4781017C" w14:textId="4A10F095" w:rsidR="00F36771" w:rsidRPr="006D3FDB" w:rsidRDefault="00EE7BA2" w:rsidP="006D3FDB">
            <w:pPr>
              <w:pStyle w:val="Bezriadkovania"/>
              <w:jc w:val="both"/>
            </w:pPr>
            <w:hyperlink r:id="rId26" w:tgtFrame="_blank" w:tooltip="https://www.uvo.gov.sk/legislativametodika-dohlad/metodika-zadavania-zakaziek-5ae.html" w:history="1">
              <w:r w:rsidR="00F36771">
                <w:rPr>
                  <w:rStyle w:val="Hypertextovprepojenie"/>
                  <w:rFonts w:ascii="Segoe UI" w:hAnsi="Segoe UI" w:cs="Segoe UI"/>
                  <w:sz w:val="21"/>
                  <w:szCs w:val="21"/>
                </w:rPr>
                <w:t>https://www.uvo.gov.sk/legislativametodika-dohlad/metodika-zadavania-zakaziek-5ae.html</w:t>
              </w:r>
            </w:hyperlink>
          </w:p>
          <w:p w14:paraId="63CDC3BB" w14:textId="77777777" w:rsidR="00F36771" w:rsidRDefault="00F36771" w:rsidP="006D3FDB">
            <w:pPr>
              <w:pStyle w:val="Bezriadkovania"/>
              <w:jc w:val="both"/>
            </w:pPr>
          </w:p>
          <w:p w14:paraId="06FBD295" w14:textId="3809CDF0" w:rsidR="006D3FDB" w:rsidRPr="00F36771" w:rsidRDefault="00F36771" w:rsidP="006D3FDB">
            <w:pPr>
              <w:pStyle w:val="Bezriadkovania"/>
              <w:jc w:val="both"/>
            </w:pPr>
            <w:r w:rsidRPr="00F36771">
              <w:lastRenderedPageBreak/>
              <w:t>(</w:t>
            </w:r>
            <w:r>
              <w:t>P</w:t>
            </w:r>
            <w:r w:rsidRPr="00F36771">
              <w:t xml:space="preserve">reparation of </w:t>
            </w:r>
            <w:r>
              <w:t xml:space="preserve">these </w:t>
            </w:r>
            <w:r w:rsidRPr="00F36771">
              <w:t xml:space="preserve">materials takes place in cooperation with other ministries and </w:t>
            </w:r>
            <w:r>
              <w:t>Public Procurement Office</w:t>
            </w:r>
            <w:r w:rsidRPr="00F36771">
              <w:t xml:space="preserve"> also consults them with the market</w:t>
            </w:r>
            <w:r>
              <w:t xml:space="preserve"> - t</w:t>
            </w:r>
            <w:r w:rsidRPr="00F36771">
              <w:t>he most interesting materials include, for exam</w:t>
            </w:r>
            <w:r>
              <w:t>ple: How to buy an electric car</w:t>
            </w:r>
            <w:r w:rsidRPr="00F36771">
              <w:t>)</w:t>
            </w:r>
          </w:p>
          <w:p w14:paraId="3DF155BF" w14:textId="77777777" w:rsidR="006D3FDB" w:rsidRDefault="006D3FDB" w:rsidP="006D3FDB">
            <w:pPr>
              <w:pStyle w:val="Bezriadkovania"/>
              <w:jc w:val="both"/>
              <w:rPr>
                <w:i/>
              </w:rPr>
            </w:pPr>
          </w:p>
          <w:p w14:paraId="3E505241" w14:textId="35A1AA91" w:rsidR="003236CE" w:rsidRPr="00D031C0" w:rsidRDefault="003236CE" w:rsidP="00B566B9">
            <w:pPr>
              <w:pStyle w:val="Bezriadkovania"/>
              <w:numPr>
                <w:ilvl w:val="0"/>
                <w:numId w:val="2"/>
              </w:numPr>
              <w:jc w:val="both"/>
              <w:rPr>
                <w:i/>
              </w:rPr>
            </w:pPr>
            <w:r w:rsidRPr="00D031C0">
              <w:rPr>
                <w:i/>
              </w:rPr>
              <w:t xml:space="preserve">National definition </w:t>
            </w:r>
            <w:r w:rsidR="00A62D90" w:rsidRPr="00D031C0">
              <w:rPr>
                <w:i/>
              </w:rPr>
              <w:t xml:space="preserve">of </w:t>
            </w:r>
            <w:r w:rsidRPr="00D031C0">
              <w:rPr>
                <w:i/>
              </w:rPr>
              <w:t>'green public procurement'</w:t>
            </w:r>
            <w:r w:rsidR="00781896">
              <w:rPr>
                <w:i/>
              </w:rPr>
              <w:t>:</w:t>
            </w:r>
          </w:p>
          <w:p w14:paraId="1C644125" w14:textId="77777777" w:rsidR="00F16A24" w:rsidRPr="00D031C0" w:rsidRDefault="00F16A24" w:rsidP="00F16A24">
            <w:pPr>
              <w:pStyle w:val="Bezriadkovania"/>
              <w:ind w:left="360"/>
              <w:jc w:val="both"/>
              <w:rPr>
                <w:i/>
              </w:rPr>
            </w:pPr>
          </w:p>
          <w:p w14:paraId="39393456" w14:textId="62BBB077" w:rsidR="00D031C0" w:rsidRPr="00D031C0" w:rsidRDefault="00D031C0" w:rsidP="00F16A24">
            <w:pPr>
              <w:pStyle w:val="Bezriadkovania"/>
              <w:jc w:val="both"/>
              <w:rPr>
                <w:lang w:val="en-US"/>
              </w:rPr>
            </w:pPr>
            <w:r w:rsidRPr="00D031C0">
              <w:rPr>
                <w:lang w:val="en-US"/>
              </w:rPr>
              <w:t>The Government of Slovak republic has adopted by the resolution No. 590/2016 the National action plan for GPP in Slovak Republic for 2016 – 2020. The main goal of this plan is to determine the direction of green public procurement in the Slovak Republic, it also includes the definition of GPP according to the European Commission. The definition of GPP according to the National action plan for GPP in Slovak Republic for 2016 – 2020 was “A concluded contract between the contracting authority on the one hand and the successful tenderer on the other hand, which meets at least one requirement based on the "core" criteria of uniform</w:t>
            </w:r>
            <w:r w:rsidR="00A20016">
              <w:rPr>
                <w:lang w:val="en-US"/>
              </w:rPr>
              <w:t>ed</w:t>
            </w:r>
            <w:r w:rsidRPr="00D031C0">
              <w:rPr>
                <w:lang w:val="en-US"/>
              </w:rPr>
              <w:t xml:space="preserve"> environmental performance characteristics for green public procurement developed by the European Commission as defined in the product sheets available on the Commission's website”. But please take into consideration that this is an expired document nowadays.</w:t>
            </w:r>
          </w:p>
          <w:p w14:paraId="1F2C9303" w14:textId="37C8D610" w:rsidR="00B566B9" w:rsidRPr="00CA5095" w:rsidRDefault="00B566B9" w:rsidP="00F16A24">
            <w:pPr>
              <w:pStyle w:val="Bezriadkovania"/>
              <w:jc w:val="both"/>
            </w:pPr>
            <w:r w:rsidRPr="00D031C0">
              <w:t xml:space="preserve">Link: </w:t>
            </w:r>
            <w:hyperlink r:id="rId27" w:history="1">
              <w:r w:rsidRPr="00D031C0">
                <w:rPr>
                  <w:rStyle w:val="Hypertextovprepojenie"/>
                </w:rPr>
                <w:t>https://rokovania.gov.sk/RVL/Material/21622/1</w:t>
              </w:r>
            </w:hyperlink>
          </w:p>
          <w:p w14:paraId="2FC8E9EB" w14:textId="77777777" w:rsidR="00B566B9" w:rsidRPr="00B01372" w:rsidRDefault="00B566B9" w:rsidP="00B566B9">
            <w:pPr>
              <w:pStyle w:val="Bezriadkovania"/>
              <w:ind w:left="360"/>
              <w:jc w:val="both"/>
              <w:rPr>
                <w:i/>
              </w:rPr>
            </w:pPr>
          </w:p>
          <w:p w14:paraId="7DDB306C" w14:textId="5CFB5A81" w:rsidR="005F0ADF" w:rsidRPr="00393EE9" w:rsidRDefault="005F0ADF" w:rsidP="00B566B9">
            <w:pPr>
              <w:pStyle w:val="Bezriadkovania"/>
              <w:numPr>
                <w:ilvl w:val="0"/>
                <w:numId w:val="2"/>
              </w:numPr>
              <w:jc w:val="both"/>
              <w:rPr>
                <w:i/>
              </w:rPr>
            </w:pPr>
            <w:r w:rsidRPr="00393EE9">
              <w:rPr>
                <w:i/>
              </w:rPr>
              <w:t>Target</w:t>
            </w:r>
            <w:r w:rsidR="000D7094" w:rsidRPr="00393EE9">
              <w:rPr>
                <w:i/>
              </w:rPr>
              <w:t>s</w:t>
            </w:r>
            <w:r w:rsidRPr="00393EE9">
              <w:rPr>
                <w:i/>
              </w:rPr>
              <w:t xml:space="preserve"> for the uptake of GPP and the way </w:t>
            </w:r>
            <w:r w:rsidR="00CB574C" w:rsidRPr="00393EE9">
              <w:rPr>
                <w:i/>
              </w:rPr>
              <w:t>they are</w:t>
            </w:r>
            <w:r w:rsidRPr="00393EE9">
              <w:rPr>
                <w:i/>
              </w:rPr>
              <w:t xml:space="preserve"> defined</w:t>
            </w:r>
            <w:r w:rsidR="00A20016">
              <w:rPr>
                <w:i/>
              </w:rPr>
              <w:t>:</w:t>
            </w:r>
          </w:p>
          <w:p w14:paraId="71E9D201" w14:textId="77777777" w:rsidR="00393EE9" w:rsidRDefault="00393EE9" w:rsidP="00393EE9">
            <w:pPr>
              <w:pStyle w:val="Bezriadkovania"/>
              <w:ind w:left="360"/>
              <w:jc w:val="both"/>
              <w:rPr>
                <w:i/>
              </w:rPr>
            </w:pPr>
          </w:p>
          <w:p w14:paraId="7BAF1EB1" w14:textId="3C4CF34D" w:rsidR="00393EE9" w:rsidRPr="00393EE9" w:rsidRDefault="00393EE9" w:rsidP="00393EE9">
            <w:pPr>
              <w:pStyle w:val="Bezriadkovania"/>
              <w:ind w:left="360"/>
              <w:jc w:val="both"/>
            </w:pPr>
            <w:r w:rsidRPr="00393EE9">
              <w:t>The methodologies for specific product groups, which are prepared in cooperation with Ministry of Environment of Slovak republic, Slovak environment agency and the Public Procurement Office, the state entities shall apply the environmental characteristics included in the specific methodologies, for municipalities it is recommended to use environmental characteristics;</w:t>
            </w:r>
          </w:p>
          <w:p w14:paraId="6509F3C8" w14:textId="118190D6" w:rsidR="00A17949" w:rsidRPr="00393EE9" w:rsidRDefault="00393EE9" w:rsidP="00A17949">
            <w:pPr>
              <w:pStyle w:val="Bezriadkovania"/>
              <w:ind w:left="360"/>
              <w:jc w:val="both"/>
              <w:rPr>
                <w:highlight w:val="lightGray"/>
                <w:lang w:val="sk-SK"/>
              </w:rPr>
            </w:pPr>
            <w:r w:rsidRPr="00393EE9">
              <w:t xml:space="preserve">Pursuant the Strategy for environmental policy of the Slovak republic until 2030 is to achieve 70 % of the total value of public procurement and 70 % of the total number of public procurement contracts. </w:t>
            </w:r>
          </w:p>
          <w:p w14:paraId="455E5DFC" w14:textId="77777777" w:rsidR="00A17949" w:rsidRDefault="00A17949" w:rsidP="001E6CC2">
            <w:pPr>
              <w:pStyle w:val="Bezriadkovania"/>
              <w:ind w:left="360"/>
              <w:jc w:val="both"/>
              <w:rPr>
                <w:i/>
                <w:highlight w:val="lightGray"/>
              </w:rPr>
            </w:pPr>
          </w:p>
          <w:p w14:paraId="075F98D7" w14:textId="31CBF05D" w:rsidR="00A31FAF" w:rsidRPr="00393EE9" w:rsidRDefault="005F0ADF" w:rsidP="00B566B9">
            <w:pPr>
              <w:pStyle w:val="Bezriadkovania"/>
              <w:numPr>
                <w:ilvl w:val="0"/>
                <w:numId w:val="2"/>
              </w:numPr>
              <w:jc w:val="both"/>
              <w:rPr>
                <w:i/>
              </w:rPr>
            </w:pPr>
            <w:r w:rsidRPr="00393EE9">
              <w:rPr>
                <w:i/>
              </w:rPr>
              <w:t xml:space="preserve">Any </w:t>
            </w:r>
            <w:r w:rsidR="00297916" w:rsidRPr="00393EE9">
              <w:rPr>
                <w:i/>
              </w:rPr>
              <w:t xml:space="preserve">legal </w:t>
            </w:r>
            <w:r w:rsidRPr="00393EE9">
              <w:rPr>
                <w:i/>
              </w:rPr>
              <w:t>obligation to include green</w:t>
            </w:r>
            <w:r w:rsidR="00547121" w:rsidRPr="00393EE9">
              <w:rPr>
                <w:i/>
              </w:rPr>
              <w:t xml:space="preserve"> or circular</w:t>
            </w:r>
            <w:r w:rsidRPr="00393EE9">
              <w:rPr>
                <w:i/>
              </w:rPr>
              <w:t xml:space="preserve"> requirements in tender</w:t>
            </w:r>
            <w:r w:rsidR="00F30296" w:rsidRPr="00393EE9">
              <w:rPr>
                <w:i/>
              </w:rPr>
              <w:t>s</w:t>
            </w:r>
            <w:r w:rsidR="00A20016">
              <w:rPr>
                <w:i/>
              </w:rPr>
              <w:t>:</w:t>
            </w:r>
          </w:p>
          <w:p w14:paraId="5CDD886F" w14:textId="0D3D6530" w:rsidR="005F0ADF" w:rsidRPr="00781896" w:rsidRDefault="005F0ADF" w:rsidP="00A31FAF">
            <w:pPr>
              <w:pStyle w:val="Bezriadkovania"/>
              <w:ind w:left="360"/>
              <w:jc w:val="both"/>
              <w:rPr>
                <w:i/>
              </w:rPr>
            </w:pPr>
            <w:r w:rsidRPr="00781896">
              <w:rPr>
                <w:i/>
              </w:rPr>
              <w:t xml:space="preserve"> </w:t>
            </w:r>
          </w:p>
          <w:p w14:paraId="3011F7F2" w14:textId="1923823F" w:rsidR="00A31FAF" w:rsidRPr="00393EE9" w:rsidRDefault="00393EE9" w:rsidP="001E6CC2">
            <w:pPr>
              <w:pStyle w:val="Bezriadkovania"/>
              <w:ind w:left="360"/>
              <w:jc w:val="both"/>
              <w:rPr>
                <w:i/>
                <w:lang w:val="sk-SK"/>
              </w:rPr>
            </w:pPr>
            <w:r w:rsidRPr="00781896">
              <w:rPr>
                <w:i/>
              </w:rPr>
              <w:t xml:space="preserve">Resolution No. 478/2019 of the Government of Slovak republic on the Concept of development and implementation of GPP in the Slovak Republic. Its four main elements are: the involvement of </w:t>
            </w:r>
            <w:r w:rsidRPr="00781896">
              <w:rPr>
                <w:i/>
              </w:rPr>
              <w:lastRenderedPageBreak/>
              <w:t xml:space="preserve">decision-makers and commitment at all levels, </w:t>
            </w:r>
            <w:r w:rsidRPr="00393EE9">
              <w:rPr>
                <w:i/>
              </w:rPr>
              <w:t xml:space="preserve">the improvement of skills, the introduction of an efficient and simple procurement method, the constant monitoring </w:t>
            </w:r>
            <w:r w:rsidR="001C636C">
              <w:rPr>
                <w:i/>
              </w:rPr>
              <w:t>and reflection on progress made</w:t>
            </w:r>
          </w:p>
          <w:p w14:paraId="153AD807" w14:textId="1244866A" w:rsidR="00B566B9" w:rsidRPr="00393EE9" w:rsidRDefault="00B566B9" w:rsidP="00B566B9">
            <w:pPr>
              <w:pStyle w:val="Bezriadkovania"/>
              <w:ind w:left="1080"/>
              <w:jc w:val="both"/>
              <w:rPr>
                <w:rStyle w:val="Hypertextovprepojenie"/>
                <w:i/>
              </w:rPr>
            </w:pPr>
            <w:r w:rsidRPr="00393EE9">
              <w:rPr>
                <w:i/>
              </w:rPr>
              <w:t xml:space="preserve">link: </w:t>
            </w:r>
            <w:hyperlink r:id="rId28" w:history="1">
              <w:r w:rsidRPr="00393EE9">
                <w:rPr>
                  <w:rStyle w:val="Hypertextovprepojenie"/>
                  <w:i/>
                </w:rPr>
                <w:t>https://rokovania.gov.sk/RVL/Material/24227/1</w:t>
              </w:r>
            </w:hyperlink>
          </w:p>
          <w:p w14:paraId="69E53BAA" w14:textId="77777777" w:rsidR="00A31FAF" w:rsidRPr="00781896" w:rsidRDefault="00A31FAF" w:rsidP="00B566B9">
            <w:pPr>
              <w:pStyle w:val="Bezriadkovania"/>
              <w:ind w:left="1080"/>
              <w:jc w:val="both"/>
              <w:rPr>
                <w:i/>
                <w:highlight w:val="lightGray"/>
              </w:rPr>
            </w:pPr>
          </w:p>
          <w:p w14:paraId="356EDA16" w14:textId="77B5EFC6" w:rsidR="00A31FAF" w:rsidRPr="001C636C" w:rsidRDefault="00393EE9" w:rsidP="001E6CC2">
            <w:pPr>
              <w:pStyle w:val="Bezriadkovania"/>
              <w:ind w:left="360"/>
              <w:jc w:val="both"/>
              <w:rPr>
                <w:i/>
                <w:lang w:val="sk-SK"/>
              </w:rPr>
            </w:pPr>
            <w:r w:rsidRPr="00781896">
              <w:rPr>
                <w:i/>
              </w:rPr>
              <w:t>Resolution No. 92/2020 of the Government of Slovak republic on Proposal of methodologies for product groups: road transport, copying and graphic paper and computers and monitors with the application of environmental characteristics (GPP criteria) in the framework of green public procurement. The methodologies are prepared in</w:t>
            </w:r>
            <w:r w:rsidRPr="001C636C">
              <w:rPr>
                <w:i/>
              </w:rPr>
              <w:t xml:space="preserve"> cooperation of Ministry of Environment of Slovak republic, Slovak environment agency and the Public Procurement Office, one new product group will be added every year. These environmental characteristics (GPP criteria) are based on the GPP criteria developed by the European Commission</w:t>
            </w:r>
          </w:p>
          <w:p w14:paraId="42203C7C" w14:textId="5BCC2BF6" w:rsidR="00B566B9" w:rsidRPr="00831722" w:rsidRDefault="00B566B9" w:rsidP="00B566B9">
            <w:pPr>
              <w:pStyle w:val="Bezriadkovania"/>
              <w:ind w:left="1080"/>
              <w:jc w:val="both"/>
              <w:rPr>
                <w:rStyle w:val="Hypertextovprepojenie"/>
                <w:i/>
              </w:rPr>
            </w:pPr>
            <w:r w:rsidRPr="00831722">
              <w:rPr>
                <w:i/>
              </w:rPr>
              <w:t xml:space="preserve">link: </w:t>
            </w:r>
            <w:hyperlink r:id="rId29" w:history="1">
              <w:r w:rsidRPr="00831722">
                <w:rPr>
                  <w:rStyle w:val="Hypertextovprepojenie"/>
                  <w:i/>
                </w:rPr>
                <w:t>https://rokovania.gov.sk/RVL/Material/24547/1</w:t>
              </w:r>
            </w:hyperlink>
          </w:p>
          <w:p w14:paraId="42BF5C94" w14:textId="18000207" w:rsidR="00A31FAF" w:rsidRPr="00781896" w:rsidRDefault="00A31FAF" w:rsidP="00B566B9">
            <w:pPr>
              <w:pStyle w:val="Bezriadkovania"/>
              <w:ind w:left="1080"/>
              <w:jc w:val="both"/>
              <w:rPr>
                <w:i/>
              </w:rPr>
            </w:pPr>
          </w:p>
          <w:p w14:paraId="76204771" w14:textId="19BC6AC1" w:rsidR="001C636C" w:rsidRPr="00781896" w:rsidRDefault="001C636C" w:rsidP="001C636C">
            <w:pPr>
              <w:pStyle w:val="Bezriadkovania"/>
              <w:rPr>
                <w:i/>
              </w:rPr>
            </w:pPr>
            <w:r w:rsidRPr="00781896">
              <w:rPr>
                <w:i/>
                <w:lang w:val="sk-SK"/>
              </w:rPr>
              <w:t xml:space="preserve">       </w:t>
            </w:r>
            <w:r w:rsidRPr="00781896">
              <w:rPr>
                <w:i/>
              </w:rPr>
              <w:t>The Government of Slovak republic has adopted on 27.2.2019 the Strategy for environmental</w:t>
            </w:r>
          </w:p>
          <w:p w14:paraId="3915B4A1" w14:textId="522110D1" w:rsidR="001C636C" w:rsidRPr="00781896" w:rsidRDefault="001C636C" w:rsidP="001C636C">
            <w:pPr>
              <w:pStyle w:val="Bezriadkovania"/>
              <w:rPr>
                <w:i/>
              </w:rPr>
            </w:pPr>
            <w:r w:rsidRPr="00781896">
              <w:rPr>
                <w:i/>
              </w:rPr>
              <w:t xml:space="preserve">       policy of the Slovak republic until 2030. This document was being prepared by the Ministry of </w:t>
            </w:r>
          </w:p>
          <w:p w14:paraId="6DF22AA8" w14:textId="77777777" w:rsidR="001C636C" w:rsidRPr="00781896" w:rsidRDefault="001C636C" w:rsidP="001C636C">
            <w:pPr>
              <w:pStyle w:val="Bezriadkovania"/>
              <w:rPr>
                <w:i/>
              </w:rPr>
            </w:pPr>
            <w:r w:rsidRPr="00781896">
              <w:rPr>
                <w:i/>
              </w:rPr>
              <w:t xml:space="preserve">       Environment of the Slovak republic for two years, so it’s a very comprehensive document which is</w:t>
            </w:r>
          </w:p>
          <w:p w14:paraId="7C2A608B" w14:textId="1D30F20D" w:rsidR="001C636C" w:rsidRPr="00831722" w:rsidRDefault="001C636C" w:rsidP="001C636C">
            <w:pPr>
              <w:pStyle w:val="Bezriadkovania"/>
              <w:rPr>
                <w:i/>
              </w:rPr>
            </w:pPr>
            <w:r w:rsidRPr="00781896">
              <w:rPr>
                <w:i/>
              </w:rPr>
              <w:t xml:space="preserve">       publicly available on the website, also in English v</w:t>
            </w:r>
            <w:r w:rsidRPr="00831722">
              <w:rPr>
                <w:i/>
              </w:rPr>
              <w:t>ersion</w:t>
            </w:r>
          </w:p>
          <w:p w14:paraId="19444243" w14:textId="1FDD3415" w:rsidR="00B566B9" w:rsidRPr="00831722" w:rsidRDefault="001C636C" w:rsidP="001C636C">
            <w:pPr>
              <w:pStyle w:val="Bezriadkovania"/>
              <w:rPr>
                <w:rStyle w:val="Hypertextovprepojenie"/>
                <w:i/>
              </w:rPr>
            </w:pPr>
            <w:r w:rsidRPr="00831722">
              <w:rPr>
                <w:i/>
              </w:rPr>
              <w:t xml:space="preserve">                      </w:t>
            </w:r>
            <w:r w:rsidR="00B566B9" w:rsidRPr="00831722">
              <w:rPr>
                <w:i/>
              </w:rPr>
              <w:t xml:space="preserve">link: </w:t>
            </w:r>
            <w:hyperlink r:id="rId30" w:history="1">
              <w:r w:rsidR="00B566B9" w:rsidRPr="00831722">
                <w:rPr>
                  <w:rStyle w:val="Hypertextovprepojenie"/>
                  <w:i/>
                </w:rPr>
                <w:t>https://rokovania.gov.sk/RVL/Material/23592/1</w:t>
              </w:r>
            </w:hyperlink>
          </w:p>
          <w:p w14:paraId="46AE9166" w14:textId="77777777" w:rsidR="00A31FAF" w:rsidRPr="00781896" w:rsidRDefault="00A31FAF" w:rsidP="00B566B9">
            <w:pPr>
              <w:pStyle w:val="Bezriadkovania"/>
              <w:ind w:left="1080"/>
              <w:jc w:val="both"/>
              <w:rPr>
                <w:i/>
              </w:rPr>
            </w:pPr>
          </w:p>
          <w:p w14:paraId="3E2A03A4" w14:textId="05155FD0" w:rsidR="00831722" w:rsidRPr="00831722" w:rsidRDefault="00831722" w:rsidP="001E6CC2">
            <w:pPr>
              <w:pStyle w:val="Bezriadkovania"/>
              <w:ind w:left="360"/>
              <w:jc w:val="both"/>
              <w:rPr>
                <w:i/>
                <w:lang w:val="sk-SK"/>
              </w:rPr>
            </w:pPr>
            <w:r w:rsidRPr="00781896">
              <w:rPr>
                <w:i/>
              </w:rPr>
              <w:t>Public Procurement office has also prepared a new wording of the Act</w:t>
            </w:r>
            <w:r w:rsidRPr="00781896">
              <w:t xml:space="preserve"> </w:t>
            </w:r>
            <w:r w:rsidRPr="00781896">
              <w:rPr>
                <w:i/>
              </w:rPr>
              <w:t xml:space="preserve">on the support of ecological vehicles as a transposition of the EU Directive (the final wording of the act was by the end of December 2020 adopted by the Government of </w:t>
            </w:r>
            <w:r w:rsidRPr="00831722">
              <w:rPr>
                <w:i/>
              </w:rPr>
              <w:t>Slovak republic and will be send to parliament for final approval)</w:t>
            </w:r>
          </w:p>
          <w:p w14:paraId="4FC27113" w14:textId="6C37204E" w:rsidR="00B566B9" w:rsidRPr="00831722" w:rsidRDefault="00B566B9" w:rsidP="00B566B9">
            <w:pPr>
              <w:pStyle w:val="Bezriadkovania"/>
              <w:ind w:left="1080"/>
              <w:jc w:val="both"/>
              <w:rPr>
                <w:i/>
              </w:rPr>
            </w:pPr>
            <w:r w:rsidRPr="00831722">
              <w:rPr>
                <w:i/>
              </w:rPr>
              <w:t xml:space="preserve">link: </w:t>
            </w:r>
            <w:hyperlink r:id="rId31" w:history="1">
              <w:r w:rsidRPr="00831722">
                <w:rPr>
                  <w:rStyle w:val="Hypertextovprepojenie"/>
                  <w:i/>
                </w:rPr>
                <w:t>https://rokovania.gov.sk/RVL/Material/25614/1</w:t>
              </w:r>
            </w:hyperlink>
          </w:p>
          <w:p w14:paraId="2CCEC03F" w14:textId="46355442" w:rsidR="00B774B4" w:rsidRPr="00781896" w:rsidRDefault="001371A7" w:rsidP="001E6CC2">
            <w:pPr>
              <w:pStyle w:val="Bezriadkovania"/>
              <w:ind w:left="360"/>
              <w:jc w:val="both"/>
              <w:rPr>
                <w:i/>
              </w:rPr>
            </w:pPr>
            <w:r w:rsidRPr="00781896">
              <w:rPr>
                <w:i/>
              </w:rPr>
              <w:t>Preparation of the new National action programme for GPP until 2030;</w:t>
            </w:r>
          </w:p>
          <w:p w14:paraId="6BE9713A" w14:textId="77777777" w:rsidR="00B566B9" w:rsidRPr="00781896" w:rsidRDefault="00B566B9" w:rsidP="00B566B9">
            <w:pPr>
              <w:pStyle w:val="Bezriadkovania"/>
              <w:ind w:left="360"/>
              <w:jc w:val="both"/>
              <w:rPr>
                <w:i/>
              </w:rPr>
            </w:pPr>
          </w:p>
          <w:p w14:paraId="1374723A" w14:textId="4BC3D339" w:rsidR="00B774B4" w:rsidRPr="00781896" w:rsidRDefault="005F0ADF" w:rsidP="00B566B9">
            <w:pPr>
              <w:pStyle w:val="Bezriadkovania"/>
              <w:numPr>
                <w:ilvl w:val="0"/>
                <w:numId w:val="2"/>
              </w:numPr>
              <w:jc w:val="both"/>
              <w:rPr>
                <w:i/>
              </w:rPr>
            </w:pPr>
            <w:r w:rsidRPr="00781896">
              <w:rPr>
                <w:i/>
              </w:rPr>
              <w:t xml:space="preserve">Any recommendations to use the </w:t>
            </w:r>
            <w:r w:rsidR="00340D9F" w:rsidRPr="00781896">
              <w:rPr>
                <w:i/>
              </w:rPr>
              <w:t>GPP</w:t>
            </w:r>
            <w:r w:rsidRPr="00781896">
              <w:rPr>
                <w:i/>
              </w:rPr>
              <w:t xml:space="preserve"> criteria developed by the European Commission, respectively for which product groups</w:t>
            </w:r>
            <w:r w:rsidR="001371A7" w:rsidRPr="00781896">
              <w:rPr>
                <w:i/>
              </w:rPr>
              <w:t>:</w:t>
            </w:r>
          </w:p>
          <w:p w14:paraId="12D2E9FE" w14:textId="42F45D11" w:rsidR="0095147D" w:rsidRPr="00781896" w:rsidRDefault="0095147D" w:rsidP="00B774B4">
            <w:pPr>
              <w:pStyle w:val="Bezriadkovania"/>
              <w:ind w:left="360"/>
              <w:jc w:val="both"/>
              <w:rPr>
                <w:i/>
              </w:rPr>
            </w:pPr>
          </w:p>
          <w:p w14:paraId="5853901F" w14:textId="63D7A4DC" w:rsidR="001371A7" w:rsidRPr="00781896" w:rsidRDefault="001371A7" w:rsidP="001371A7">
            <w:pPr>
              <w:pStyle w:val="Bezriadkovania"/>
              <w:ind w:left="360"/>
              <w:jc w:val="both"/>
              <w:rPr>
                <w:i/>
              </w:rPr>
            </w:pPr>
            <w:r w:rsidRPr="00781896">
              <w:rPr>
                <w:i/>
              </w:rPr>
              <w:t>Methodology for GPP (issued in the cooperation of Ministry of Environment of Slovak republic, Slovak environment agency and Public Procurement Office, 2019);</w:t>
            </w:r>
          </w:p>
          <w:p w14:paraId="18CCEA74" w14:textId="25A0D539" w:rsidR="001371A7" w:rsidRPr="00781896" w:rsidRDefault="001371A7" w:rsidP="001371A7">
            <w:pPr>
              <w:pStyle w:val="Bezriadkovania"/>
              <w:ind w:left="360"/>
              <w:jc w:val="both"/>
              <w:rPr>
                <w:i/>
              </w:rPr>
            </w:pPr>
            <w:r w:rsidRPr="00781896">
              <w:rPr>
                <w:i/>
              </w:rPr>
              <w:lastRenderedPageBreak/>
              <w:t>Methodology how to buy electric car (issued by the Public Procurement Office ;2019);</w:t>
            </w:r>
          </w:p>
          <w:p w14:paraId="084B1AEB" w14:textId="4CFA9A93" w:rsidR="001371A7" w:rsidRPr="00781896" w:rsidRDefault="001371A7" w:rsidP="001371A7">
            <w:pPr>
              <w:pStyle w:val="Bezriadkovania"/>
              <w:ind w:left="360"/>
              <w:jc w:val="both"/>
              <w:rPr>
                <w:i/>
              </w:rPr>
            </w:pPr>
            <w:r w:rsidRPr="00781896">
              <w:rPr>
                <w:i/>
              </w:rPr>
              <w:t>Catalogue of illustrative examples how to use Socially responsible public procurement incl. GPP (issued by the Public Procurement Office 2020);</w:t>
            </w:r>
          </w:p>
          <w:p w14:paraId="44545461" w14:textId="7CD697A0" w:rsidR="001371A7" w:rsidRPr="001371A7" w:rsidRDefault="001371A7" w:rsidP="001371A7">
            <w:pPr>
              <w:pStyle w:val="Bezriadkovania"/>
              <w:ind w:left="360"/>
              <w:jc w:val="both"/>
              <w:rPr>
                <w:i/>
              </w:rPr>
            </w:pPr>
            <w:r w:rsidRPr="001371A7">
              <w:rPr>
                <w:i/>
              </w:rPr>
              <w:t>Publications from the European Commission translated into Slovak language and publicly  available on the website of the Ministry of the Environment (</w:t>
            </w:r>
            <w:hyperlink r:id="rId32" w:history="1">
              <w:r w:rsidRPr="001371A7">
                <w:rPr>
                  <w:rStyle w:val="Hypertextovprepojenie"/>
                  <w:i/>
                </w:rPr>
                <w:t>www.sazp.sk</w:t>
              </w:r>
            </w:hyperlink>
            <w:r w:rsidRPr="001371A7">
              <w:rPr>
                <w:i/>
              </w:rPr>
              <w:t xml:space="preserve">):  </w:t>
            </w:r>
          </w:p>
          <w:p w14:paraId="58F8B564" w14:textId="1A6FEA9C" w:rsidR="001371A7" w:rsidRPr="00781896" w:rsidRDefault="001371A7" w:rsidP="001371A7">
            <w:pPr>
              <w:pStyle w:val="Bezriadkovania"/>
              <w:ind w:left="360"/>
              <w:jc w:val="both"/>
              <w:rPr>
                <w:rStyle w:val="Siln"/>
                <w:b w:val="0"/>
              </w:rPr>
            </w:pPr>
            <w:r w:rsidRPr="00781896">
              <w:rPr>
                <w:rStyle w:val="Siln"/>
                <w:b w:val="0"/>
                <w:i/>
              </w:rPr>
              <w:t>“GPP Green public procurement – A collection of good practices”, “</w:t>
            </w:r>
            <w:hyperlink r:id="rId33" w:tgtFrame="_blank" w:history="1">
              <w:r w:rsidRPr="00781896">
                <w:rPr>
                  <w:rStyle w:val="Siln"/>
                  <w:b w:val="0"/>
                </w:rPr>
                <w:t>Buying Green! - A Handbook on green public procurement</w:t>
              </w:r>
            </w:hyperlink>
          </w:p>
          <w:p w14:paraId="52882CED" w14:textId="77777777" w:rsidR="001371A7" w:rsidRPr="001371A7" w:rsidRDefault="001371A7" w:rsidP="001371A7">
            <w:pPr>
              <w:pStyle w:val="Bezriadkovania"/>
              <w:ind w:left="360"/>
              <w:jc w:val="both"/>
              <w:rPr>
                <w:i/>
                <w:lang w:val="sk-SK"/>
              </w:rPr>
            </w:pPr>
          </w:p>
          <w:p w14:paraId="4A3955B8" w14:textId="046617A1" w:rsidR="005F0ADF" w:rsidRPr="001371A7" w:rsidRDefault="005F0ADF" w:rsidP="00B566B9">
            <w:pPr>
              <w:pStyle w:val="Bezriadkovania"/>
              <w:numPr>
                <w:ilvl w:val="0"/>
                <w:numId w:val="2"/>
              </w:numPr>
              <w:jc w:val="both"/>
              <w:rPr>
                <w:i/>
              </w:rPr>
            </w:pPr>
            <w:r w:rsidRPr="001371A7">
              <w:rPr>
                <w:i/>
              </w:rPr>
              <w:t xml:space="preserve">Activities in the area of capacity-building </w:t>
            </w:r>
            <w:r w:rsidR="003236CE" w:rsidRPr="001371A7">
              <w:rPr>
                <w:i/>
              </w:rPr>
              <w:t>for</w:t>
            </w:r>
            <w:r w:rsidRPr="001371A7">
              <w:rPr>
                <w:i/>
              </w:rPr>
              <w:t xml:space="preserve"> procuring </w:t>
            </w:r>
            <w:r w:rsidR="00835A32" w:rsidRPr="001371A7">
              <w:rPr>
                <w:i/>
              </w:rPr>
              <w:t>‘</w:t>
            </w:r>
            <w:r w:rsidRPr="001371A7">
              <w:rPr>
                <w:i/>
              </w:rPr>
              <w:t>green</w:t>
            </w:r>
            <w:r w:rsidR="00835A32" w:rsidRPr="001371A7">
              <w:rPr>
                <w:i/>
              </w:rPr>
              <w:t>’</w:t>
            </w:r>
            <w:r w:rsidR="001371A7" w:rsidRPr="001371A7">
              <w:rPr>
                <w:i/>
              </w:rPr>
              <w:t>:</w:t>
            </w:r>
          </w:p>
          <w:p w14:paraId="563B85EE" w14:textId="77777777" w:rsidR="0095147D" w:rsidRPr="001371A7" w:rsidRDefault="0095147D" w:rsidP="0095147D">
            <w:pPr>
              <w:pStyle w:val="Bezriadkovania"/>
              <w:ind w:left="360"/>
              <w:jc w:val="both"/>
              <w:rPr>
                <w:i/>
                <w:lang w:val="sk-SK"/>
              </w:rPr>
            </w:pPr>
          </w:p>
          <w:p w14:paraId="44EA13D3" w14:textId="4F5DD736" w:rsidR="001371A7" w:rsidRPr="00B00847" w:rsidRDefault="001371A7" w:rsidP="001371A7">
            <w:pPr>
              <w:pStyle w:val="Bezriadkovania"/>
              <w:ind w:left="360"/>
              <w:jc w:val="both"/>
            </w:pPr>
            <w:r w:rsidRPr="00B00847">
              <w:t xml:space="preserve">14.6.2019 Public </w:t>
            </w:r>
            <w:r w:rsidR="00B00847" w:rsidRPr="00B00847">
              <w:t xml:space="preserve">Procurement Office (PPO) </w:t>
            </w:r>
            <w:r w:rsidRPr="00B00847">
              <w:t>has organized V4 Workshop for Secondary policies in public procurement;</w:t>
            </w:r>
          </w:p>
          <w:p w14:paraId="63074CE8" w14:textId="003BA69F" w:rsidR="001371A7" w:rsidRPr="00B00847" w:rsidRDefault="001371A7" w:rsidP="001371A7">
            <w:pPr>
              <w:pStyle w:val="Bezriadkovania"/>
              <w:ind w:left="360"/>
              <w:jc w:val="both"/>
            </w:pPr>
            <w:r w:rsidRPr="00B00847">
              <w:t xml:space="preserve">27.11.2020 and 9.12.2020 </w:t>
            </w:r>
            <w:r w:rsidR="00B00847" w:rsidRPr="00B00847">
              <w:t>PPO</w:t>
            </w:r>
            <w:r w:rsidRPr="00B00847">
              <w:t xml:space="preserve"> has organized for Contracting entities/authorities trainings entitled Green Public Procurement of - paper, computers and vehicles¸ which were prepared within the national project: Increasing the efficiency of public procurement in Slovakia supported by the European Social Fund through the Operational Program Effective Public Administration. </w:t>
            </w:r>
            <w:r w:rsidR="00B00847">
              <w:t>PPO</w:t>
            </w:r>
            <w:r w:rsidRPr="00B00847">
              <w:t xml:space="preserve"> will continue in this training activities;</w:t>
            </w:r>
          </w:p>
          <w:p w14:paraId="2A1E5685" w14:textId="77777777" w:rsidR="001371A7" w:rsidRPr="00B00847" w:rsidRDefault="001371A7" w:rsidP="001371A7">
            <w:pPr>
              <w:pStyle w:val="Bezriadkovania"/>
              <w:ind w:left="360"/>
              <w:jc w:val="both"/>
            </w:pPr>
            <w:r w:rsidRPr="00B00847">
              <w:t>In 2018 the Ministry of Environment of the Slovak Republic in cooperation with Slovak Environmental Agency arranged 6 educational activities for government public buyers called “Green public procurement” and workshop for municipal region called “Green public procurement, GPP product groups and Best Practice”.</w:t>
            </w:r>
          </w:p>
          <w:p w14:paraId="60BEB930" w14:textId="2AE86621" w:rsidR="00B566B9" w:rsidRPr="0008764B" w:rsidRDefault="001371A7" w:rsidP="0095147D">
            <w:pPr>
              <w:pStyle w:val="Bezriadkovania"/>
              <w:jc w:val="both"/>
              <w:rPr>
                <w:i/>
              </w:rPr>
            </w:pPr>
            <w:r w:rsidRPr="00B00847">
              <w:t>In 2019 the Ministry of Environment of the Slovak Republic in cooperation with Slovak Environmental Agency arranged 1 workshop for government public buyers called “How to do a green public procurement”.</w:t>
            </w:r>
          </w:p>
        </w:tc>
      </w:tr>
      <w:tr w:rsidR="005F0ADF" w:rsidRPr="00B01372" w14:paraId="024043AF" w14:textId="77777777" w:rsidTr="005F0ADF">
        <w:tc>
          <w:tcPr>
            <w:tcW w:w="1648" w:type="pct"/>
          </w:tcPr>
          <w:p w14:paraId="6293F73F" w14:textId="77777777" w:rsidR="006E3BA2" w:rsidRDefault="006E3BA2" w:rsidP="005F0ADF">
            <w:pPr>
              <w:pStyle w:val="Nadpis3"/>
              <w:outlineLvl w:val="2"/>
            </w:pPr>
          </w:p>
          <w:p w14:paraId="31DBD32B" w14:textId="77777777" w:rsidR="006E3BA2" w:rsidRDefault="006E3BA2" w:rsidP="005F0ADF">
            <w:pPr>
              <w:pStyle w:val="Nadpis3"/>
              <w:outlineLvl w:val="2"/>
            </w:pPr>
          </w:p>
          <w:p w14:paraId="2AFBB20B" w14:textId="77777777" w:rsidR="006E3BA2" w:rsidRDefault="006E3BA2" w:rsidP="005F0ADF">
            <w:pPr>
              <w:pStyle w:val="Nadpis3"/>
              <w:outlineLvl w:val="2"/>
            </w:pPr>
          </w:p>
          <w:p w14:paraId="71D5FC24" w14:textId="77777777" w:rsidR="006E3BA2" w:rsidRDefault="006E3BA2" w:rsidP="005F0ADF">
            <w:pPr>
              <w:pStyle w:val="Nadpis3"/>
              <w:outlineLvl w:val="2"/>
            </w:pPr>
          </w:p>
          <w:p w14:paraId="0B93EBC0" w14:textId="77777777" w:rsidR="006E3BA2" w:rsidRDefault="006E3BA2" w:rsidP="005F0ADF">
            <w:pPr>
              <w:pStyle w:val="Nadpis3"/>
              <w:outlineLvl w:val="2"/>
            </w:pPr>
          </w:p>
          <w:p w14:paraId="44CFB770" w14:textId="77777777" w:rsidR="006E3BA2" w:rsidRDefault="006E3BA2" w:rsidP="005F0ADF">
            <w:pPr>
              <w:pStyle w:val="Nadpis3"/>
              <w:outlineLvl w:val="2"/>
            </w:pPr>
          </w:p>
          <w:p w14:paraId="43314C17" w14:textId="77777777" w:rsidR="006E3BA2" w:rsidRDefault="006E3BA2" w:rsidP="005F0ADF">
            <w:pPr>
              <w:pStyle w:val="Nadpis3"/>
              <w:outlineLvl w:val="2"/>
            </w:pPr>
          </w:p>
          <w:p w14:paraId="3B941912" w14:textId="6FBD1090" w:rsidR="005F0ADF" w:rsidRPr="00B01372" w:rsidRDefault="007C7271" w:rsidP="005F0ADF">
            <w:pPr>
              <w:pStyle w:val="Nadpis3"/>
              <w:outlineLvl w:val="2"/>
              <w:rPr>
                <w:b w:val="0"/>
              </w:rPr>
            </w:pPr>
            <w:r w:rsidRPr="00B01372">
              <w:lastRenderedPageBreak/>
              <w:t>V</w:t>
            </w:r>
            <w:r w:rsidR="005F0ADF" w:rsidRPr="00B01372">
              <w:t>.1.3. Quantitative indicators</w:t>
            </w:r>
          </w:p>
        </w:tc>
        <w:tc>
          <w:tcPr>
            <w:tcW w:w="3352" w:type="pct"/>
          </w:tcPr>
          <w:p w14:paraId="3B929A8F" w14:textId="3D5AB913" w:rsidR="005F0ADF" w:rsidRPr="00B01372" w:rsidRDefault="005F0ADF" w:rsidP="00247E16">
            <w:pPr>
              <w:jc w:val="both"/>
              <w:rPr>
                <w:i/>
              </w:rPr>
            </w:pPr>
          </w:p>
        </w:tc>
      </w:tr>
      <w:tr w:rsidR="005F0ADF" w:rsidRPr="00B01372" w14:paraId="24E93C97" w14:textId="77777777" w:rsidTr="005F0ADF">
        <w:tc>
          <w:tcPr>
            <w:tcW w:w="1648" w:type="pct"/>
          </w:tcPr>
          <w:p w14:paraId="76713AFB" w14:textId="104A7F4F" w:rsidR="005F0ADF" w:rsidRPr="00B01372" w:rsidRDefault="005F0ADF" w:rsidP="006753EC">
            <w:pPr>
              <w:jc w:val="both"/>
              <w:rPr>
                <w:b/>
              </w:rPr>
            </w:pPr>
            <w:r w:rsidRPr="00B01372">
              <w:lastRenderedPageBreak/>
              <w:t xml:space="preserve">Please provide, when available, any quantitative data (statistics, etc.) illustrating the achievements and challenges identified under section </w:t>
            </w:r>
            <w:r w:rsidR="00B34CD3" w:rsidRPr="00B01372">
              <w:t>V</w:t>
            </w:r>
            <w:r w:rsidRPr="00B01372">
              <w:t>.1.</w:t>
            </w:r>
            <w:r w:rsidR="002C131E" w:rsidRPr="00B01372">
              <w:t>1</w:t>
            </w:r>
            <w:r w:rsidRPr="00B01372">
              <w:t xml:space="preserve"> above. To the extent possible, these indicators should be further g</w:t>
            </w:r>
            <w:r w:rsidR="006753EC" w:rsidRPr="00B01372">
              <w:t>rouped by type of legal problem.</w:t>
            </w:r>
          </w:p>
        </w:tc>
        <w:tc>
          <w:tcPr>
            <w:tcW w:w="3352" w:type="pct"/>
          </w:tcPr>
          <w:p w14:paraId="082BCFCF" w14:textId="0C0AEF3D" w:rsidR="00CD46D2" w:rsidRPr="00E25328" w:rsidRDefault="00CD46D2" w:rsidP="00CD46D2">
            <w:pPr>
              <w:pStyle w:val="Bezriadkovania"/>
              <w:jc w:val="both"/>
            </w:pPr>
            <w:r w:rsidRPr="00CD46D2">
              <w:t>The table below contains data collected via annual on-line survey by Slovak environment agency. The participation on this survey is voluntary.</w:t>
            </w:r>
          </w:p>
          <w:tbl>
            <w:tblPr>
              <w:tblStyle w:val="Mriekatabuky"/>
              <w:tblW w:w="0" w:type="auto"/>
              <w:tblLook w:val="04A0" w:firstRow="1" w:lastRow="0" w:firstColumn="1" w:lastColumn="0" w:noHBand="0" w:noVBand="1"/>
            </w:tblPr>
            <w:tblGrid>
              <w:gridCol w:w="1527"/>
              <w:gridCol w:w="1442"/>
              <w:gridCol w:w="2180"/>
              <w:gridCol w:w="1481"/>
              <w:gridCol w:w="2506"/>
            </w:tblGrid>
            <w:tr w:rsidR="00651476" w14:paraId="5853762B" w14:textId="77777777" w:rsidTr="0095147D">
              <w:tc>
                <w:tcPr>
                  <w:tcW w:w="9136" w:type="dxa"/>
                  <w:gridSpan w:val="5"/>
                  <w:tcBorders>
                    <w:top w:val="single" w:sz="12" w:space="0" w:color="auto"/>
                    <w:left w:val="single" w:sz="12" w:space="0" w:color="auto"/>
                    <w:right w:val="single" w:sz="12" w:space="0" w:color="auto"/>
                  </w:tcBorders>
                  <w:shd w:val="clear" w:color="auto" w:fill="DBE5F1" w:themeFill="accent1" w:themeFillTint="33"/>
                  <w:vAlign w:val="center"/>
                </w:tcPr>
                <w:p w14:paraId="06D5EF8C" w14:textId="77777777" w:rsidR="00651476" w:rsidRPr="00DE47AC" w:rsidRDefault="00651476" w:rsidP="00651476">
                  <w:pPr>
                    <w:pStyle w:val="Bezriadkovania"/>
                    <w:jc w:val="center"/>
                    <w:rPr>
                      <w:b/>
                      <w:bCs/>
                    </w:rPr>
                  </w:pPr>
                  <w:r w:rsidRPr="00DE47AC">
                    <w:rPr>
                      <w:b/>
                      <w:bCs/>
                    </w:rPr>
                    <w:t>2018</w:t>
                  </w:r>
                </w:p>
              </w:tc>
            </w:tr>
            <w:tr w:rsidR="00651476" w14:paraId="5FAD25ED" w14:textId="77777777" w:rsidTr="0095147D">
              <w:tc>
                <w:tcPr>
                  <w:tcW w:w="1527" w:type="dxa"/>
                  <w:vMerge w:val="restart"/>
                  <w:tcBorders>
                    <w:left w:val="single" w:sz="12" w:space="0" w:color="auto"/>
                    <w:right w:val="single" w:sz="12" w:space="0" w:color="auto"/>
                  </w:tcBorders>
                  <w:vAlign w:val="center"/>
                </w:tcPr>
                <w:p w14:paraId="14E94530" w14:textId="77777777" w:rsidR="00651476" w:rsidRDefault="00651476" w:rsidP="00651476">
                  <w:pPr>
                    <w:pStyle w:val="Bezriadkovania"/>
                    <w:jc w:val="center"/>
                  </w:pPr>
                  <w:r>
                    <w:t>Type of subject</w:t>
                  </w:r>
                </w:p>
              </w:tc>
              <w:tc>
                <w:tcPr>
                  <w:tcW w:w="3622" w:type="dxa"/>
                  <w:gridSpan w:val="2"/>
                  <w:tcBorders>
                    <w:left w:val="single" w:sz="12" w:space="0" w:color="auto"/>
                    <w:right w:val="single" w:sz="12" w:space="0" w:color="auto"/>
                  </w:tcBorders>
                  <w:vAlign w:val="center"/>
                </w:tcPr>
                <w:p w14:paraId="540FF5B0" w14:textId="77777777" w:rsidR="00651476" w:rsidRDefault="00651476" w:rsidP="00651476">
                  <w:pPr>
                    <w:pStyle w:val="Bezriadkovania"/>
                    <w:jc w:val="center"/>
                  </w:pPr>
                  <w:r>
                    <w:t>Number of contracts</w:t>
                  </w:r>
                </w:p>
              </w:tc>
              <w:tc>
                <w:tcPr>
                  <w:tcW w:w="3987" w:type="dxa"/>
                  <w:gridSpan w:val="2"/>
                  <w:tcBorders>
                    <w:left w:val="single" w:sz="12" w:space="0" w:color="auto"/>
                    <w:right w:val="single" w:sz="12" w:space="0" w:color="auto"/>
                  </w:tcBorders>
                  <w:vAlign w:val="center"/>
                </w:tcPr>
                <w:p w14:paraId="03514412" w14:textId="77777777" w:rsidR="00651476" w:rsidRPr="00DE47AC" w:rsidRDefault="00651476" w:rsidP="00651476">
                  <w:pPr>
                    <w:pStyle w:val="Bezriadkovania"/>
                    <w:jc w:val="center"/>
                  </w:pPr>
                  <w:r>
                    <w:t xml:space="preserve">Value of contracts (in </w:t>
                  </w:r>
                  <w:r>
                    <w:rPr>
                      <w:rFonts w:cstheme="minorHAnsi"/>
                    </w:rPr>
                    <w:t>€</w:t>
                  </w:r>
                  <w:r>
                    <w:t xml:space="preserve"> without VAT)</w:t>
                  </w:r>
                </w:p>
              </w:tc>
            </w:tr>
            <w:tr w:rsidR="00651476" w14:paraId="41B7717A" w14:textId="77777777" w:rsidTr="0095147D">
              <w:tc>
                <w:tcPr>
                  <w:tcW w:w="1527" w:type="dxa"/>
                  <w:vMerge/>
                  <w:tcBorders>
                    <w:left w:val="single" w:sz="12" w:space="0" w:color="auto"/>
                    <w:right w:val="single" w:sz="12" w:space="0" w:color="auto"/>
                  </w:tcBorders>
                  <w:vAlign w:val="center"/>
                </w:tcPr>
                <w:p w14:paraId="1094E891" w14:textId="77777777" w:rsidR="00651476" w:rsidRDefault="00651476" w:rsidP="00651476">
                  <w:pPr>
                    <w:pStyle w:val="Bezriadkovania"/>
                    <w:jc w:val="center"/>
                  </w:pPr>
                </w:p>
              </w:tc>
              <w:tc>
                <w:tcPr>
                  <w:tcW w:w="1442" w:type="dxa"/>
                  <w:tcBorders>
                    <w:left w:val="single" w:sz="12" w:space="0" w:color="auto"/>
                  </w:tcBorders>
                  <w:vAlign w:val="center"/>
                </w:tcPr>
                <w:p w14:paraId="3BAAC9A2" w14:textId="77777777" w:rsidR="00651476" w:rsidRDefault="00651476" w:rsidP="00651476">
                  <w:pPr>
                    <w:pStyle w:val="Bezriadkovania"/>
                    <w:jc w:val="center"/>
                  </w:pPr>
                  <w:r>
                    <w:t>All contracts</w:t>
                  </w:r>
                </w:p>
              </w:tc>
              <w:tc>
                <w:tcPr>
                  <w:tcW w:w="2180" w:type="dxa"/>
                  <w:tcBorders>
                    <w:right w:val="single" w:sz="12" w:space="0" w:color="auto"/>
                  </w:tcBorders>
                  <w:vAlign w:val="center"/>
                </w:tcPr>
                <w:p w14:paraId="22062638" w14:textId="77777777" w:rsidR="00651476" w:rsidRDefault="00651476" w:rsidP="00651476">
                  <w:pPr>
                    <w:pStyle w:val="Bezriadkovania"/>
                    <w:jc w:val="center"/>
                  </w:pPr>
                  <w:r>
                    <w:t>Green contracts</w:t>
                  </w:r>
                </w:p>
              </w:tc>
              <w:tc>
                <w:tcPr>
                  <w:tcW w:w="1481" w:type="dxa"/>
                  <w:tcBorders>
                    <w:left w:val="single" w:sz="12" w:space="0" w:color="auto"/>
                  </w:tcBorders>
                  <w:vAlign w:val="center"/>
                </w:tcPr>
                <w:p w14:paraId="60F4E811" w14:textId="77777777" w:rsidR="00651476" w:rsidRDefault="00651476" w:rsidP="00651476">
                  <w:pPr>
                    <w:pStyle w:val="Bezriadkovania"/>
                    <w:jc w:val="center"/>
                  </w:pPr>
                  <w:r>
                    <w:t>All contracts</w:t>
                  </w:r>
                </w:p>
              </w:tc>
              <w:tc>
                <w:tcPr>
                  <w:tcW w:w="2506" w:type="dxa"/>
                  <w:tcBorders>
                    <w:right w:val="single" w:sz="12" w:space="0" w:color="auto"/>
                  </w:tcBorders>
                  <w:vAlign w:val="center"/>
                </w:tcPr>
                <w:p w14:paraId="2E77B715" w14:textId="77777777" w:rsidR="00651476" w:rsidRDefault="00651476" w:rsidP="00651476">
                  <w:pPr>
                    <w:pStyle w:val="Bezriadkovania"/>
                    <w:jc w:val="center"/>
                  </w:pPr>
                  <w:r>
                    <w:t>Green contracts</w:t>
                  </w:r>
                </w:p>
              </w:tc>
            </w:tr>
            <w:tr w:rsidR="00651476" w14:paraId="38E04B4D" w14:textId="77777777" w:rsidTr="0095147D">
              <w:tc>
                <w:tcPr>
                  <w:tcW w:w="1527" w:type="dxa"/>
                  <w:tcBorders>
                    <w:left w:val="single" w:sz="12" w:space="0" w:color="auto"/>
                    <w:right w:val="single" w:sz="12" w:space="0" w:color="auto"/>
                  </w:tcBorders>
                  <w:vAlign w:val="center"/>
                </w:tcPr>
                <w:p w14:paraId="35892EC9" w14:textId="77777777" w:rsidR="00651476" w:rsidRDefault="00651476" w:rsidP="00651476">
                  <w:pPr>
                    <w:pStyle w:val="Bezriadkovania"/>
                    <w:jc w:val="center"/>
                  </w:pPr>
                  <w:r>
                    <w:t>State administration</w:t>
                  </w:r>
                </w:p>
              </w:tc>
              <w:tc>
                <w:tcPr>
                  <w:tcW w:w="1442" w:type="dxa"/>
                  <w:tcBorders>
                    <w:left w:val="single" w:sz="12" w:space="0" w:color="auto"/>
                  </w:tcBorders>
                  <w:vAlign w:val="center"/>
                </w:tcPr>
                <w:p w14:paraId="6AD4AA36" w14:textId="77777777" w:rsidR="00651476" w:rsidRDefault="00651476" w:rsidP="00651476">
                  <w:pPr>
                    <w:pStyle w:val="Bezriadkovania"/>
                    <w:jc w:val="center"/>
                  </w:pPr>
                  <w:r>
                    <w:t>75 430</w:t>
                  </w:r>
                </w:p>
              </w:tc>
              <w:tc>
                <w:tcPr>
                  <w:tcW w:w="2180" w:type="dxa"/>
                  <w:tcBorders>
                    <w:right w:val="single" w:sz="12" w:space="0" w:color="auto"/>
                  </w:tcBorders>
                  <w:vAlign w:val="center"/>
                </w:tcPr>
                <w:p w14:paraId="7B92C79C" w14:textId="77777777" w:rsidR="00651476" w:rsidRDefault="00651476" w:rsidP="00651476">
                  <w:pPr>
                    <w:pStyle w:val="Bezriadkovania"/>
                    <w:jc w:val="center"/>
                  </w:pPr>
                  <w:r>
                    <w:t>7 884</w:t>
                  </w:r>
                </w:p>
              </w:tc>
              <w:tc>
                <w:tcPr>
                  <w:tcW w:w="1481" w:type="dxa"/>
                  <w:tcBorders>
                    <w:left w:val="single" w:sz="12" w:space="0" w:color="auto"/>
                  </w:tcBorders>
                  <w:vAlign w:val="center"/>
                </w:tcPr>
                <w:p w14:paraId="49009E63" w14:textId="77777777" w:rsidR="00651476" w:rsidRDefault="00651476" w:rsidP="00651476">
                  <w:pPr>
                    <w:pStyle w:val="Bezriadkovania"/>
                    <w:jc w:val="right"/>
                  </w:pPr>
                  <w:r>
                    <w:t>1 830 156 456</w:t>
                  </w:r>
                </w:p>
              </w:tc>
              <w:tc>
                <w:tcPr>
                  <w:tcW w:w="2506" w:type="dxa"/>
                  <w:tcBorders>
                    <w:right w:val="single" w:sz="12" w:space="0" w:color="auto"/>
                  </w:tcBorders>
                  <w:vAlign w:val="center"/>
                </w:tcPr>
                <w:p w14:paraId="37C91967" w14:textId="77777777" w:rsidR="00651476" w:rsidRDefault="00651476" w:rsidP="00651476">
                  <w:pPr>
                    <w:pStyle w:val="Bezriadkovania"/>
                    <w:jc w:val="right"/>
                  </w:pPr>
                  <w:r>
                    <w:t>42 955 452</w:t>
                  </w:r>
                </w:p>
              </w:tc>
            </w:tr>
            <w:tr w:rsidR="00651476" w14:paraId="7319F59C" w14:textId="77777777" w:rsidTr="0095147D">
              <w:tc>
                <w:tcPr>
                  <w:tcW w:w="1527" w:type="dxa"/>
                  <w:tcBorders>
                    <w:left w:val="single" w:sz="12" w:space="0" w:color="auto"/>
                    <w:right w:val="single" w:sz="12" w:space="0" w:color="auto"/>
                  </w:tcBorders>
                  <w:vAlign w:val="center"/>
                </w:tcPr>
                <w:p w14:paraId="0FB59C5F" w14:textId="77777777" w:rsidR="00651476" w:rsidRDefault="00651476" w:rsidP="00651476">
                  <w:pPr>
                    <w:pStyle w:val="Bezriadkovania"/>
                    <w:jc w:val="center"/>
                  </w:pPr>
                  <w:r>
                    <w:t>Local government</w:t>
                  </w:r>
                </w:p>
              </w:tc>
              <w:tc>
                <w:tcPr>
                  <w:tcW w:w="1442" w:type="dxa"/>
                  <w:tcBorders>
                    <w:left w:val="single" w:sz="12" w:space="0" w:color="auto"/>
                  </w:tcBorders>
                  <w:vAlign w:val="center"/>
                </w:tcPr>
                <w:p w14:paraId="453CA25B" w14:textId="77777777" w:rsidR="00651476" w:rsidRDefault="00651476" w:rsidP="00651476">
                  <w:pPr>
                    <w:pStyle w:val="Bezriadkovania"/>
                    <w:jc w:val="center"/>
                  </w:pPr>
                  <w:r>
                    <w:t>47 707</w:t>
                  </w:r>
                </w:p>
              </w:tc>
              <w:tc>
                <w:tcPr>
                  <w:tcW w:w="2180" w:type="dxa"/>
                  <w:tcBorders>
                    <w:right w:val="single" w:sz="12" w:space="0" w:color="auto"/>
                  </w:tcBorders>
                  <w:vAlign w:val="center"/>
                </w:tcPr>
                <w:p w14:paraId="422D5F97" w14:textId="77777777" w:rsidR="00651476" w:rsidRDefault="00651476" w:rsidP="00651476">
                  <w:pPr>
                    <w:pStyle w:val="Bezriadkovania"/>
                    <w:jc w:val="center"/>
                  </w:pPr>
                  <w:r>
                    <w:t>1 448</w:t>
                  </w:r>
                </w:p>
              </w:tc>
              <w:tc>
                <w:tcPr>
                  <w:tcW w:w="1481" w:type="dxa"/>
                  <w:tcBorders>
                    <w:left w:val="single" w:sz="12" w:space="0" w:color="auto"/>
                  </w:tcBorders>
                  <w:vAlign w:val="center"/>
                </w:tcPr>
                <w:p w14:paraId="61B8F839" w14:textId="77777777" w:rsidR="00651476" w:rsidRDefault="00651476" w:rsidP="00651476">
                  <w:pPr>
                    <w:pStyle w:val="Bezriadkovania"/>
                    <w:jc w:val="right"/>
                  </w:pPr>
                  <w:r>
                    <w:t>151 665 164</w:t>
                  </w:r>
                </w:p>
              </w:tc>
              <w:tc>
                <w:tcPr>
                  <w:tcW w:w="2506" w:type="dxa"/>
                  <w:tcBorders>
                    <w:right w:val="single" w:sz="12" w:space="0" w:color="auto"/>
                  </w:tcBorders>
                  <w:vAlign w:val="center"/>
                </w:tcPr>
                <w:p w14:paraId="101790C8" w14:textId="77777777" w:rsidR="00651476" w:rsidRDefault="00651476" w:rsidP="00651476">
                  <w:pPr>
                    <w:pStyle w:val="Bezriadkovania"/>
                    <w:jc w:val="right"/>
                  </w:pPr>
                  <w:r>
                    <w:t>32 953 573</w:t>
                  </w:r>
                </w:p>
              </w:tc>
            </w:tr>
            <w:tr w:rsidR="00651476" w14:paraId="4E75D17F" w14:textId="77777777" w:rsidTr="0095147D">
              <w:tc>
                <w:tcPr>
                  <w:tcW w:w="1527" w:type="dxa"/>
                  <w:tcBorders>
                    <w:left w:val="single" w:sz="12" w:space="0" w:color="auto"/>
                    <w:bottom w:val="single" w:sz="12" w:space="0" w:color="auto"/>
                    <w:right w:val="single" w:sz="12" w:space="0" w:color="auto"/>
                  </w:tcBorders>
                  <w:shd w:val="clear" w:color="auto" w:fill="F2F2F2" w:themeFill="background1" w:themeFillShade="F2"/>
                  <w:vAlign w:val="center"/>
                </w:tcPr>
                <w:p w14:paraId="45F06146" w14:textId="77777777" w:rsidR="00651476" w:rsidRPr="00422A71" w:rsidRDefault="00651476" w:rsidP="00651476">
                  <w:pPr>
                    <w:pStyle w:val="Bezriadkovania"/>
                    <w:jc w:val="center"/>
                    <w:rPr>
                      <w:b/>
                      <w:bCs/>
                      <w:i/>
                      <w:iCs/>
                    </w:rPr>
                  </w:pPr>
                  <w:r w:rsidRPr="00422A71">
                    <w:rPr>
                      <w:b/>
                      <w:bCs/>
                      <w:i/>
                      <w:iCs/>
                    </w:rPr>
                    <w:t>TOTAL</w:t>
                  </w:r>
                </w:p>
              </w:tc>
              <w:tc>
                <w:tcPr>
                  <w:tcW w:w="1442" w:type="dxa"/>
                  <w:tcBorders>
                    <w:left w:val="single" w:sz="12" w:space="0" w:color="auto"/>
                    <w:bottom w:val="single" w:sz="12" w:space="0" w:color="auto"/>
                  </w:tcBorders>
                  <w:shd w:val="clear" w:color="auto" w:fill="F2F2F2" w:themeFill="background1" w:themeFillShade="F2"/>
                  <w:vAlign w:val="center"/>
                </w:tcPr>
                <w:p w14:paraId="31D0A128" w14:textId="77777777" w:rsidR="00651476" w:rsidRDefault="00651476" w:rsidP="00651476">
                  <w:pPr>
                    <w:pStyle w:val="Bezriadkovania"/>
                    <w:jc w:val="center"/>
                  </w:pPr>
                  <w:r>
                    <w:t>123 137</w:t>
                  </w:r>
                </w:p>
              </w:tc>
              <w:tc>
                <w:tcPr>
                  <w:tcW w:w="2180" w:type="dxa"/>
                  <w:tcBorders>
                    <w:bottom w:val="single" w:sz="12" w:space="0" w:color="auto"/>
                    <w:right w:val="single" w:sz="12" w:space="0" w:color="auto"/>
                  </w:tcBorders>
                  <w:shd w:val="clear" w:color="auto" w:fill="F2F2F2" w:themeFill="background1" w:themeFillShade="F2"/>
                  <w:vAlign w:val="center"/>
                </w:tcPr>
                <w:p w14:paraId="2BC3567F" w14:textId="77777777" w:rsidR="00651476" w:rsidRDefault="00651476" w:rsidP="00651476">
                  <w:pPr>
                    <w:pStyle w:val="Bezriadkovania"/>
                    <w:jc w:val="center"/>
                  </w:pPr>
                  <w:r>
                    <w:t>9 332</w:t>
                  </w:r>
                </w:p>
              </w:tc>
              <w:tc>
                <w:tcPr>
                  <w:tcW w:w="1481" w:type="dxa"/>
                  <w:tcBorders>
                    <w:left w:val="single" w:sz="12" w:space="0" w:color="auto"/>
                    <w:bottom w:val="single" w:sz="12" w:space="0" w:color="auto"/>
                  </w:tcBorders>
                  <w:shd w:val="clear" w:color="auto" w:fill="F2F2F2" w:themeFill="background1" w:themeFillShade="F2"/>
                  <w:vAlign w:val="center"/>
                </w:tcPr>
                <w:p w14:paraId="7FDA0D3D" w14:textId="77777777" w:rsidR="00651476" w:rsidRDefault="00651476" w:rsidP="00651476">
                  <w:pPr>
                    <w:pStyle w:val="Bezriadkovania"/>
                    <w:jc w:val="right"/>
                  </w:pPr>
                  <w:r>
                    <w:t>1 981 821 620</w:t>
                  </w:r>
                </w:p>
              </w:tc>
              <w:tc>
                <w:tcPr>
                  <w:tcW w:w="2506" w:type="dxa"/>
                  <w:tcBorders>
                    <w:bottom w:val="single" w:sz="12" w:space="0" w:color="auto"/>
                    <w:right w:val="single" w:sz="12" w:space="0" w:color="auto"/>
                  </w:tcBorders>
                  <w:shd w:val="clear" w:color="auto" w:fill="F2F2F2" w:themeFill="background1" w:themeFillShade="F2"/>
                  <w:vAlign w:val="center"/>
                </w:tcPr>
                <w:p w14:paraId="6B3AEBD2" w14:textId="77777777" w:rsidR="00651476" w:rsidRDefault="00651476" w:rsidP="00651476">
                  <w:pPr>
                    <w:pStyle w:val="Bezriadkovania"/>
                    <w:jc w:val="right"/>
                  </w:pPr>
                  <w:r>
                    <w:t>75 909 025</w:t>
                  </w:r>
                </w:p>
              </w:tc>
            </w:tr>
            <w:tr w:rsidR="00651476" w14:paraId="37768D6C" w14:textId="77777777" w:rsidTr="0095147D">
              <w:tc>
                <w:tcPr>
                  <w:tcW w:w="9136" w:type="dxa"/>
                  <w:gridSpan w:val="5"/>
                  <w:tcBorders>
                    <w:top w:val="single" w:sz="12" w:space="0" w:color="auto"/>
                    <w:left w:val="single" w:sz="12" w:space="0" w:color="auto"/>
                    <w:right w:val="single" w:sz="12" w:space="0" w:color="auto"/>
                  </w:tcBorders>
                  <w:shd w:val="clear" w:color="auto" w:fill="DAEEF3" w:themeFill="accent5" w:themeFillTint="33"/>
                  <w:vAlign w:val="center"/>
                </w:tcPr>
                <w:p w14:paraId="18F2D8DE" w14:textId="77777777" w:rsidR="00651476" w:rsidRPr="00DE47AC" w:rsidRDefault="00651476" w:rsidP="00651476">
                  <w:pPr>
                    <w:pStyle w:val="Bezriadkovania"/>
                    <w:jc w:val="center"/>
                    <w:rPr>
                      <w:b/>
                      <w:bCs/>
                    </w:rPr>
                  </w:pPr>
                  <w:r w:rsidRPr="00DE47AC">
                    <w:rPr>
                      <w:b/>
                      <w:bCs/>
                    </w:rPr>
                    <w:t>2019</w:t>
                  </w:r>
                </w:p>
              </w:tc>
            </w:tr>
            <w:tr w:rsidR="00651476" w14:paraId="42CBAA1A" w14:textId="77777777" w:rsidTr="0095147D">
              <w:tc>
                <w:tcPr>
                  <w:tcW w:w="1527" w:type="dxa"/>
                  <w:vMerge w:val="restart"/>
                  <w:tcBorders>
                    <w:left w:val="single" w:sz="12" w:space="0" w:color="auto"/>
                    <w:right w:val="single" w:sz="12" w:space="0" w:color="auto"/>
                  </w:tcBorders>
                  <w:vAlign w:val="center"/>
                </w:tcPr>
                <w:p w14:paraId="5A1C3ABB" w14:textId="77777777" w:rsidR="00651476" w:rsidRDefault="00651476" w:rsidP="00651476">
                  <w:pPr>
                    <w:pStyle w:val="Bezriadkovania"/>
                    <w:jc w:val="center"/>
                  </w:pPr>
                  <w:r>
                    <w:t>Type of subject</w:t>
                  </w:r>
                </w:p>
              </w:tc>
              <w:tc>
                <w:tcPr>
                  <w:tcW w:w="3622" w:type="dxa"/>
                  <w:gridSpan w:val="2"/>
                  <w:tcBorders>
                    <w:left w:val="single" w:sz="12" w:space="0" w:color="auto"/>
                  </w:tcBorders>
                  <w:vAlign w:val="center"/>
                </w:tcPr>
                <w:p w14:paraId="0805F140" w14:textId="77777777" w:rsidR="00651476" w:rsidRDefault="00651476" w:rsidP="00651476">
                  <w:pPr>
                    <w:pStyle w:val="Bezriadkovania"/>
                    <w:jc w:val="center"/>
                  </w:pPr>
                  <w:r>
                    <w:t>Number of contracts</w:t>
                  </w:r>
                </w:p>
              </w:tc>
              <w:tc>
                <w:tcPr>
                  <w:tcW w:w="3987" w:type="dxa"/>
                  <w:gridSpan w:val="2"/>
                  <w:tcBorders>
                    <w:right w:val="single" w:sz="12" w:space="0" w:color="auto"/>
                  </w:tcBorders>
                  <w:vAlign w:val="center"/>
                </w:tcPr>
                <w:p w14:paraId="6704EB81" w14:textId="77777777" w:rsidR="00651476" w:rsidRDefault="00651476" w:rsidP="00651476">
                  <w:pPr>
                    <w:pStyle w:val="Bezriadkovania"/>
                    <w:jc w:val="center"/>
                  </w:pPr>
                  <w:r>
                    <w:t xml:space="preserve">Value of contracts (in </w:t>
                  </w:r>
                  <w:r>
                    <w:rPr>
                      <w:rFonts w:cstheme="minorHAnsi"/>
                    </w:rPr>
                    <w:t>€</w:t>
                  </w:r>
                  <w:r>
                    <w:t xml:space="preserve"> without VAT)</w:t>
                  </w:r>
                </w:p>
              </w:tc>
            </w:tr>
            <w:tr w:rsidR="00651476" w14:paraId="5B12995D" w14:textId="77777777" w:rsidTr="0095147D">
              <w:tc>
                <w:tcPr>
                  <w:tcW w:w="1527" w:type="dxa"/>
                  <w:vMerge/>
                  <w:tcBorders>
                    <w:left w:val="single" w:sz="12" w:space="0" w:color="auto"/>
                    <w:right w:val="single" w:sz="12" w:space="0" w:color="auto"/>
                  </w:tcBorders>
                  <w:vAlign w:val="center"/>
                </w:tcPr>
                <w:p w14:paraId="1A49730D" w14:textId="77777777" w:rsidR="00651476" w:rsidRDefault="00651476" w:rsidP="00651476">
                  <w:pPr>
                    <w:pStyle w:val="Bezriadkovania"/>
                    <w:jc w:val="center"/>
                  </w:pPr>
                </w:p>
              </w:tc>
              <w:tc>
                <w:tcPr>
                  <w:tcW w:w="1442" w:type="dxa"/>
                  <w:tcBorders>
                    <w:left w:val="single" w:sz="12" w:space="0" w:color="auto"/>
                  </w:tcBorders>
                  <w:vAlign w:val="center"/>
                </w:tcPr>
                <w:p w14:paraId="0ECF77C4" w14:textId="77777777" w:rsidR="00651476" w:rsidRDefault="00651476" w:rsidP="00651476">
                  <w:pPr>
                    <w:pStyle w:val="Bezriadkovania"/>
                    <w:jc w:val="center"/>
                  </w:pPr>
                  <w:r>
                    <w:t>All contracts</w:t>
                  </w:r>
                </w:p>
              </w:tc>
              <w:tc>
                <w:tcPr>
                  <w:tcW w:w="2180" w:type="dxa"/>
                  <w:tcBorders>
                    <w:right w:val="single" w:sz="12" w:space="0" w:color="auto"/>
                  </w:tcBorders>
                  <w:vAlign w:val="center"/>
                </w:tcPr>
                <w:p w14:paraId="48325CF7" w14:textId="77777777" w:rsidR="00651476" w:rsidRDefault="00651476" w:rsidP="00651476">
                  <w:pPr>
                    <w:pStyle w:val="Bezriadkovania"/>
                    <w:jc w:val="center"/>
                  </w:pPr>
                  <w:r>
                    <w:t>Green contracts</w:t>
                  </w:r>
                </w:p>
              </w:tc>
              <w:tc>
                <w:tcPr>
                  <w:tcW w:w="1481" w:type="dxa"/>
                  <w:tcBorders>
                    <w:left w:val="single" w:sz="12" w:space="0" w:color="auto"/>
                  </w:tcBorders>
                  <w:vAlign w:val="center"/>
                </w:tcPr>
                <w:p w14:paraId="4F254380" w14:textId="77777777" w:rsidR="00651476" w:rsidRDefault="00651476" w:rsidP="00651476">
                  <w:pPr>
                    <w:pStyle w:val="Bezriadkovania"/>
                    <w:jc w:val="center"/>
                  </w:pPr>
                  <w:r>
                    <w:t>All contracts</w:t>
                  </w:r>
                </w:p>
              </w:tc>
              <w:tc>
                <w:tcPr>
                  <w:tcW w:w="2506" w:type="dxa"/>
                  <w:tcBorders>
                    <w:right w:val="single" w:sz="12" w:space="0" w:color="auto"/>
                  </w:tcBorders>
                  <w:vAlign w:val="center"/>
                </w:tcPr>
                <w:p w14:paraId="639B622F" w14:textId="77777777" w:rsidR="00651476" w:rsidRDefault="00651476" w:rsidP="00651476">
                  <w:pPr>
                    <w:pStyle w:val="Bezriadkovania"/>
                    <w:jc w:val="center"/>
                  </w:pPr>
                  <w:r>
                    <w:t>Green contracts</w:t>
                  </w:r>
                </w:p>
              </w:tc>
            </w:tr>
            <w:tr w:rsidR="00651476" w14:paraId="3D872407" w14:textId="77777777" w:rsidTr="0095147D">
              <w:tc>
                <w:tcPr>
                  <w:tcW w:w="1527" w:type="dxa"/>
                  <w:tcBorders>
                    <w:left w:val="single" w:sz="12" w:space="0" w:color="auto"/>
                    <w:right w:val="single" w:sz="12" w:space="0" w:color="auto"/>
                  </w:tcBorders>
                  <w:vAlign w:val="center"/>
                </w:tcPr>
                <w:p w14:paraId="73925B06" w14:textId="77777777" w:rsidR="00651476" w:rsidRDefault="00651476" w:rsidP="00651476">
                  <w:pPr>
                    <w:pStyle w:val="Bezriadkovania"/>
                    <w:jc w:val="center"/>
                  </w:pPr>
                  <w:r>
                    <w:t>State administration</w:t>
                  </w:r>
                </w:p>
              </w:tc>
              <w:tc>
                <w:tcPr>
                  <w:tcW w:w="1442" w:type="dxa"/>
                  <w:tcBorders>
                    <w:left w:val="single" w:sz="12" w:space="0" w:color="auto"/>
                  </w:tcBorders>
                  <w:vAlign w:val="center"/>
                </w:tcPr>
                <w:p w14:paraId="50BAF801" w14:textId="77777777" w:rsidR="00651476" w:rsidRDefault="00651476" w:rsidP="00651476">
                  <w:pPr>
                    <w:pStyle w:val="Bezriadkovania"/>
                    <w:jc w:val="center"/>
                  </w:pPr>
                  <w:r>
                    <w:t>99 467</w:t>
                  </w:r>
                </w:p>
              </w:tc>
              <w:tc>
                <w:tcPr>
                  <w:tcW w:w="2180" w:type="dxa"/>
                  <w:tcBorders>
                    <w:right w:val="single" w:sz="12" w:space="0" w:color="auto"/>
                  </w:tcBorders>
                  <w:vAlign w:val="center"/>
                </w:tcPr>
                <w:p w14:paraId="2FC91DE6" w14:textId="77777777" w:rsidR="00651476" w:rsidRDefault="00651476" w:rsidP="00651476">
                  <w:pPr>
                    <w:pStyle w:val="Bezriadkovania"/>
                    <w:jc w:val="center"/>
                  </w:pPr>
                  <w:r>
                    <w:t>871</w:t>
                  </w:r>
                </w:p>
              </w:tc>
              <w:tc>
                <w:tcPr>
                  <w:tcW w:w="1481" w:type="dxa"/>
                  <w:tcBorders>
                    <w:left w:val="single" w:sz="12" w:space="0" w:color="auto"/>
                  </w:tcBorders>
                  <w:vAlign w:val="center"/>
                </w:tcPr>
                <w:p w14:paraId="518CCABC" w14:textId="77777777" w:rsidR="00651476" w:rsidRDefault="00651476" w:rsidP="00651476">
                  <w:pPr>
                    <w:pStyle w:val="Bezriadkovania"/>
                    <w:jc w:val="right"/>
                  </w:pPr>
                  <w:r>
                    <w:t>1 553 447 113</w:t>
                  </w:r>
                </w:p>
              </w:tc>
              <w:tc>
                <w:tcPr>
                  <w:tcW w:w="2506" w:type="dxa"/>
                  <w:tcBorders>
                    <w:right w:val="single" w:sz="12" w:space="0" w:color="auto"/>
                  </w:tcBorders>
                  <w:vAlign w:val="center"/>
                </w:tcPr>
                <w:p w14:paraId="214A6165" w14:textId="77777777" w:rsidR="00651476" w:rsidRDefault="00651476" w:rsidP="00651476">
                  <w:pPr>
                    <w:pStyle w:val="Bezriadkovania"/>
                    <w:jc w:val="right"/>
                  </w:pPr>
                  <w:r>
                    <w:t>178 360 773</w:t>
                  </w:r>
                </w:p>
              </w:tc>
            </w:tr>
            <w:tr w:rsidR="00651476" w14:paraId="42712417" w14:textId="77777777" w:rsidTr="0095147D">
              <w:tc>
                <w:tcPr>
                  <w:tcW w:w="1527" w:type="dxa"/>
                  <w:tcBorders>
                    <w:left w:val="single" w:sz="12" w:space="0" w:color="auto"/>
                    <w:right w:val="single" w:sz="12" w:space="0" w:color="auto"/>
                  </w:tcBorders>
                  <w:vAlign w:val="center"/>
                </w:tcPr>
                <w:p w14:paraId="047DED33" w14:textId="77777777" w:rsidR="00651476" w:rsidRDefault="00651476" w:rsidP="00651476">
                  <w:pPr>
                    <w:pStyle w:val="Bezriadkovania"/>
                    <w:jc w:val="center"/>
                  </w:pPr>
                  <w:r>
                    <w:t>Local government</w:t>
                  </w:r>
                </w:p>
              </w:tc>
              <w:tc>
                <w:tcPr>
                  <w:tcW w:w="1442" w:type="dxa"/>
                  <w:tcBorders>
                    <w:left w:val="single" w:sz="12" w:space="0" w:color="auto"/>
                  </w:tcBorders>
                  <w:vAlign w:val="center"/>
                </w:tcPr>
                <w:p w14:paraId="6E016A08" w14:textId="77777777" w:rsidR="00651476" w:rsidRDefault="00651476" w:rsidP="00651476">
                  <w:pPr>
                    <w:pStyle w:val="Bezriadkovania"/>
                    <w:jc w:val="center"/>
                  </w:pPr>
                  <w:r>
                    <w:t>354 775</w:t>
                  </w:r>
                </w:p>
              </w:tc>
              <w:tc>
                <w:tcPr>
                  <w:tcW w:w="2180" w:type="dxa"/>
                  <w:tcBorders>
                    <w:right w:val="single" w:sz="12" w:space="0" w:color="auto"/>
                  </w:tcBorders>
                  <w:vAlign w:val="center"/>
                </w:tcPr>
                <w:p w14:paraId="474DB110" w14:textId="77777777" w:rsidR="00651476" w:rsidRDefault="00651476" w:rsidP="00651476">
                  <w:pPr>
                    <w:pStyle w:val="Bezriadkovania"/>
                    <w:jc w:val="center"/>
                  </w:pPr>
                  <w:r>
                    <w:t>555</w:t>
                  </w:r>
                </w:p>
              </w:tc>
              <w:tc>
                <w:tcPr>
                  <w:tcW w:w="1481" w:type="dxa"/>
                  <w:tcBorders>
                    <w:left w:val="single" w:sz="12" w:space="0" w:color="auto"/>
                  </w:tcBorders>
                  <w:vAlign w:val="center"/>
                </w:tcPr>
                <w:p w14:paraId="0A8E8BE8" w14:textId="77777777" w:rsidR="00651476" w:rsidRDefault="00651476" w:rsidP="00651476">
                  <w:pPr>
                    <w:pStyle w:val="Bezriadkovania"/>
                    <w:jc w:val="right"/>
                  </w:pPr>
                  <w:r>
                    <w:t>525 401 676</w:t>
                  </w:r>
                </w:p>
              </w:tc>
              <w:tc>
                <w:tcPr>
                  <w:tcW w:w="2506" w:type="dxa"/>
                  <w:tcBorders>
                    <w:right w:val="single" w:sz="12" w:space="0" w:color="auto"/>
                  </w:tcBorders>
                  <w:vAlign w:val="center"/>
                </w:tcPr>
                <w:p w14:paraId="1999F5A3" w14:textId="77777777" w:rsidR="00651476" w:rsidRDefault="00651476" w:rsidP="00651476">
                  <w:pPr>
                    <w:pStyle w:val="Bezriadkovania"/>
                    <w:jc w:val="right"/>
                  </w:pPr>
                  <w:r>
                    <w:t>48 686 575</w:t>
                  </w:r>
                </w:p>
              </w:tc>
            </w:tr>
            <w:tr w:rsidR="00651476" w14:paraId="03CF0759" w14:textId="77777777" w:rsidTr="0095147D">
              <w:tc>
                <w:tcPr>
                  <w:tcW w:w="1527" w:type="dxa"/>
                  <w:tcBorders>
                    <w:left w:val="single" w:sz="12" w:space="0" w:color="auto"/>
                    <w:bottom w:val="single" w:sz="12" w:space="0" w:color="auto"/>
                    <w:right w:val="single" w:sz="12" w:space="0" w:color="auto"/>
                  </w:tcBorders>
                  <w:shd w:val="clear" w:color="auto" w:fill="F2F2F2" w:themeFill="background1" w:themeFillShade="F2"/>
                  <w:vAlign w:val="center"/>
                </w:tcPr>
                <w:p w14:paraId="098250D6" w14:textId="77777777" w:rsidR="00651476" w:rsidRPr="00422A71" w:rsidRDefault="00651476" w:rsidP="00651476">
                  <w:pPr>
                    <w:pStyle w:val="Bezriadkovania"/>
                    <w:jc w:val="center"/>
                    <w:rPr>
                      <w:b/>
                      <w:bCs/>
                      <w:i/>
                      <w:iCs/>
                    </w:rPr>
                  </w:pPr>
                  <w:r w:rsidRPr="00422A71">
                    <w:rPr>
                      <w:b/>
                      <w:bCs/>
                      <w:i/>
                      <w:iCs/>
                    </w:rPr>
                    <w:t>TOTAL</w:t>
                  </w:r>
                </w:p>
              </w:tc>
              <w:tc>
                <w:tcPr>
                  <w:tcW w:w="1442" w:type="dxa"/>
                  <w:tcBorders>
                    <w:left w:val="single" w:sz="12" w:space="0" w:color="auto"/>
                    <w:bottom w:val="single" w:sz="12" w:space="0" w:color="auto"/>
                  </w:tcBorders>
                  <w:shd w:val="clear" w:color="auto" w:fill="F2F2F2" w:themeFill="background1" w:themeFillShade="F2"/>
                  <w:vAlign w:val="center"/>
                </w:tcPr>
                <w:p w14:paraId="6763EA58" w14:textId="77777777" w:rsidR="00651476" w:rsidRDefault="00651476" w:rsidP="00651476">
                  <w:pPr>
                    <w:pStyle w:val="Bezriadkovania"/>
                    <w:jc w:val="center"/>
                  </w:pPr>
                  <w:r>
                    <w:t>454 242</w:t>
                  </w:r>
                </w:p>
              </w:tc>
              <w:tc>
                <w:tcPr>
                  <w:tcW w:w="2180" w:type="dxa"/>
                  <w:tcBorders>
                    <w:bottom w:val="single" w:sz="12" w:space="0" w:color="auto"/>
                    <w:right w:val="single" w:sz="12" w:space="0" w:color="auto"/>
                  </w:tcBorders>
                  <w:shd w:val="clear" w:color="auto" w:fill="F2F2F2" w:themeFill="background1" w:themeFillShade="F2"/>
                  <w:vAlign w:val="center"/>
                </w:tcPr>
                <w:p w14:paraId="7F22328B" w14:textId="77777777" w:rsidR="00651476" w:rsidRDefault="00651476" w:rsidP="00651476">
                  <w:pPr>
                    <w:pStyle w:val="Bezriadkovania"/>
                    <w:jc w:val="center"/>
                  </w:pPr>
                  <w:r>
                    <w:t>1 426</w:t>
                  </w:r>
                </w:p>
              </w:tc>
              <w:tc>
                <w:tcPr>
                  <w:tcW w:w="1481" w:type="dxa"/>
                  <w:tcBorders>
                    <w:left w:val="single" w:sz="12" w:space="0" w:color="auto"/>
                    <w:bottom w:val="single" w:sz="12" w:space="0" w:color="auto"/>
                  </w:tcBorders>
                  <w:shd w:val="clear" w:color="auto" w:fill="F2F2F2" w:themeFill="background1" w:themeFillShade="F2"/>
                  <w:vAlign w:val="center"/>
                </w:tcPr>
                <w:p w14:paraId="5DF9F302" w14:textId="77777777" w:rsidR="00651476" w:rsidRDefault="00651476" w:rsidP="00651476">
                  <w:pPr>
                    <w:pStyle w:val="Bezriadkovania"/>
                    <w:jc w:val="right"/>
                  </w:pPr>
                  <w:r>
                    <w:t>2 078 848 789</w:t>
                  </w:r>
                </w:p>
              </w:tc>
              <w:tc>
                <w:tcPr>
                  <w:tcW w:w="2506" w:type="dxa"/>
                  <w:tcBorders>
                    <w:bottom w:val="single" w:sz="12" w:space="0" w:color="auto"/>
                    <w:right w:val="single" w:sz="12" w:space="0" w:color="auto"/>
                  </w:tcBorders>
                  <w:shd w:val="clear" w:color="auto" w:fill="F2F2F2" w:themeFill="background1" w:themeFillShade="F2"/>
                  <w:vAlign w:val="center"/>
                </w:tcPr>
                <w:p w14:paraId="58EC7EF3" w14:textId="77777777" w:rsidR="00651476" w:rsidRDefault="00651476" w:rsidP="00651476">
                  <w:pPr>
                    <w:pStyle w:val="Bezriadkovania"/>
                    <w:jc w:val="right"/>
                  </w:pPr>
                  <w:r>
                    <w:t>227 047 348</w:t>
                  </w:r>
                </w:p>
              </w:tc>
            </w:tr>
          </w:tbl>
          <w:p w14:paraId="3859975B" w14:textId="77777777" w:rsidR="00651476" w:rsidRDefault="00651476" w:rsidP="00651476">
            <w:pPr>
              <w:pStyle w:val="Bezriadkovania"/>
              <w:jc w:val="both"/>
            </w:pPr>
          </w:p>
          <w:p w14:paraId="205BA886" w14:textId="77777777" w:rsidR="008C2F35" w:rsidRDefault="008C2F35" w:rsidP="008C2F35">
            <w:pPr>
              <w:pStyle w:val="Bezriadkovania"/>
              <w:jc w:val="both"/>
              <w:rPr>
                <w:iCs/>
              </w:rPr>
            </w:pPr>
            <w:r w:rsidRPr="008C2F35">
              <w:t>We do not currently have data for 2020, as their collection will be held in March 2021.</w:t>
            </w:r>
          </w:p>
          <w:p w14:paraId="229ABA49" w14:textId="478244AF" w:rsidR="00651476" w:rsidRPr="00B01372" w:rsidRDefault="00651476" w:rsidP="00DE2B9C">
            <w:pPr>
              <w:pStyle w:val="Bezriadkovania"/>
              <w:ind w:left="360"/>
              <w:jc w:val="both"/>
            </w:pPr>
          </w:p>
        </w:tc>
      </w:tr>
      <w:tr w:rsidR="00994F58" w:rsidRPr="00B01372" w14:paraId="448ED29A" w14:textId="77777777" w:rsidTr="00994F58">
        <w:trPr>
          <w:trHeight w:val="1248"/>
        </w:trPr>
        <w:tc>
          <w:tcPr>
            <w:tcW w:w="1648" w:type="pct"/>
          </w:tcPr>
          <w:p w14:paraId="34A7A084" w14:textId="766D9FD6" w:rsidR="00994F58" w:rsidRPr="00B01372" w:rsidRDefault="00994F58" w:rsidP="00994F58">
            <w:pPr>
              <w:pStyle w:val="Nadpis3"/>
              <w:outlineLvl w:val="2"/>
            </w:pPr>
            <w:r w:rsidRPr="00B01372">
              <w:t>V.2 Socially responsible public procurement ('SRPP')</w:t>
            </w:r>
          </w:p>
        </w:tc>
        <w:tc>
          <w:tcPr>
            <w:tcW w:w="3352" w:type="pct"/>
          </w:tcPr>
          <w:p w14:paraId="1DC5B3C8" w14:textId="6D444712" w:rsidR="00994F58" w:rsidRPr="00B01372" w:rsidRDefault="00994F58" w:rsidP="006753EC">
            <w:pPr>
              <w:jc w:val="both"/>
            </w:pPr>
            <w:r w:rsidRPr="00B01372">
              <w:t>Socially Responsible Public Procurement ('SRPP') is defined as procurement that takes into account one or several social considerations for advancing social objectives. SRPP covers a wide spectrum of social considerations, such as for example employment opportunities, decent work conditions, compliance with social and labour rights, social inclusion, equal opportunities and accessibility.</w:t>
            </w:r>
          </w:p>
        </w:tc>
      </w:tr>
      <w:tr w:rsidR="005F0ADF" w:rsidRPr="00B01372" w14:paraId="449FD48B" w14:textId="77777777" w:rsidTr="00994F58">
        <w:trPr>
          <w:trHeight w:val="415"/>
        </w:trPr>
        <w:tc>
          <w:tcPr>
            <w:tcW w:w="1648" w:type="pct"/>
          </w:tcPr>
          <w:p w14:paraId="22C63DEE" w14:textId="36B98714" w:rsidR="005F0ADF" w:rsidRPr="00B01372" w:rsidRDefault="007C7271" w:rsidP="005F0ADF">
            <w:pPr>
              <w:pStyle w:val="Nadpis3"/>
              <w:outlineLvl w:val="2"/>
              <w:rPr>
                <w:b w:val="0"/>
              </w:rPr>
            </w:pPr>
            <w:r w:rsidRPr="00B01372">
              <w:t>V</w:t>
            </w:r>
            <w:r w:rsidR="00DD5AB5" w:rsidRPr="00B01372">
              <w:t>.2.</w:t>
            </w:r>
            <w:r w:rsidR="00994F58" w:rsidRPr="00B01372">
              <w:t>1</w:t>
            </w:r>
            <w:r w:rsidR="00DD5AB5" w:rsidRPr="00B01372">
              <w:t xml:space="preserve"> </w:t>
            </w:r>
            <w:r w:rsidR="00C96DD0" w:rsidRPr="00B01372">
              <w:t>Qualitative reporting</w:t>
            </w:r>
          </w:p>
        </w:tc>
        <w:tc>
          <w:tcPr>
            <w:tcW w:w="3352" w:type="pct"/>
          </w:tcPr>
          <w:p w14:paraId="6D0A710C" w14:textId="45C84343" w:rsidR="005F0ADF" w:rsidRPr="00B01372" w:rsidRDefault="005F0ADF" w:rsidP="006753EC">
            <w:pPr>
              <w:jc w:val="both"/>
              <w:rPr>
                <w:i/>
              </w:rPr>
            </w:pPr>
          </w:p>
        </w:tc>
      </w:tr>
      <w:tr w:rsidR="005F0ADF" w:rsidRPr="00B01372" w14:paraId="463AA80D" w14:textId="77777777" w:rsidTr="005F0ADF">
        <w:tc>
          <w:tcPr>
            <w:tcW w:w="1648" w:type="pct"/>
          </w:tcPr>
          <w:p w14:paraId="42A9A3A6" w14:textId="76F59BD5" w:rsidR="005F0ADF" w:rsidRPr="00B01372" w:rsidRDefault="00DD5AB5" w:rsidP="007217FF">
            <w:pPr>
              <w:pStyle w:val="Nadpis3"/>
              <w:outlineLvl w:val="2"/>
              <w:rPr>
                <w:b w:val="0"/>
              </w:rPr>
            </w:pPr>
            <w:r w:rsidRPr="00B01372">
              <w:rPr>
                <w:b w:val="0"/>
              </w:rPr>
              <w:t>Key challenges encountered</w:t>
            </w:r>
          </w:p>
        </w:tc>
        <w:tc>
          <w:tcPr>
            <w:tcW w:w="3352" w:type="pct"/>
          </w:tcPr>
          <w:p w14:paraId="28121B06" w14:textId="34FDBEF8" w:rsidR="00DD5AB5" w:rsidRPr="00C76925" w:rsidRDefault="00DD5AB5" w:rsidP="00C76925">
            <w:r w:rsidRPr="00C76925">
              <w:t>- key challenges encountered</w:t>
            </w:r>
            <w:r w:rsidR="009467AE" w:rsidRPr="00C76925">
              <w:t xml:space="preserve"> in promoting socially responsible public procurement</w:t>
            </w:r>
            <w:r w:rsidR="00C76925" w:rsidRPr="00C76925">
              <w:t>:</w:t>
            </w:r>
          </w:p>
          <w:p w14:paraId="5BA20C45" w14:textId="534AEB24" w:rsidR="001D66AE" w:rsidRPr="00C76925" w:rsidRDefault="001D66AE" w:rsidP="002D5A67">
            <w:pPr>
              <w:jc w:val="both"/>
            </w:pPr>
          </w:p>
          <w:p w14:paraId="48EB2233" w14:textId="33E13559" w:rsidR="00C76925" w:rsidRDefault="00C76925" w:rsidP="002D5A67">
            <w:pPr>
              <w:jc w:val="both"/>
              <w:rPr>
                <w:highlight w:val="lightGray"/>
              </w:rPr>
            </w:pPr>
            <w:r w:rsidRPr="00C76925">
              <w:lastRenderedPageBreak/>
              <w:t>The main goal is to find suitable solutions to solve problems in the use of the social aspect in public procurement and to create support tools that will inspire public contracting authorities and contracting authorities to use the social aspects in public procurement above the statutory quota.</w:t>
            </w:r>
          </w:p>
          <w:p w14:paraId="2A1E49F9" w14:textId="77777777" w:rsidR="008C4A17" w:rsidRDefault="008C4A17" w:rsidP="002D5A67">
            <w:pPr>
              <w:jc w:val="both"/>
              <w:rPr>
                <w:highlight w:val="green"/>
              </w:rPr>
            </w:pPr>
          </w:p>
          <w:p w14:paraId="71F0C0A2" w14:textId="6B101744" w:rsidR="00E57DFD" w:rsidRPr="00C76925" w:rsidRDefault="00DD5AB5" w:rsidP="002D5A67">
            <w:pPr>
              <w:jc w:val="both"/>
            </w:pPr>
            <w:r w:rsidRPr="00C76925">
              <w:t>- measures taken to overcome them</w:t>
            </w:r>
            <w:r w:rsidR="00C76925" w:rsidRPr="00C76925">
              <w:t>:</w:t>
            </w:r>
            <w:r w:rsidRPr="00C76925">
              <w:t xml:space="preserve"> </w:t>
            </w:r>
          </w:p>
          <w:p w14:paraId="0007597D" w14:textId="77777777" w:rsidR="00C76925" w:rsidRPr="00C76925" w:rsidRDefault="00C76925" w:rsidP="00DD5AB5">
            <w:pPr>
              <w:jc w:val="both"/>
            </w:pPr>
          </w:p>
          <w:p w14:paraId="465BD015" w14:textId="1168E434" w:rsidR="008C4A17" w:rsidRDefault="00C76925" w:rsidP="00DD5AB5">
            <w:pPr>
              <w:jc w:val="both"/>
            </w:pPr>
            <w:r w:rsidRPr="00C76925">
              <w:t>As public procurement is one of the priorities of public administration reform, within the Operational Program Effective Public Administration, PPO developed the project Increasing Efficiency in Public Procurement in Slovakia. This project focuses on providing long-term support for strategic public procurement by raising professional awareness and motivating public procurers to use strategic public procurement in practice. It focuses on activities that increase proposals for the quality, efficiency and conduct of public procurement, but also on its supervision by the Office. To support the use of social aspects in practice, methodological manuals, collection of examples of good practice, organized workshops and training courses for the professional public will be published and held.</w:t>
            </w:r>
          </w:p>
          <w:p w14:paraId="372C5C8C" w14:textId="77777777" w:rsidR="00C76925" w:rsidRDefault="00C76925" w:rsidP="00DD5AB5">
            <w:pPr>
              <w:jc w:val="both"/>
            </w:pPr>
          </w:p>
          <w:p w14:paraId="084D3CF4" w14:textId="4FEC14E8" w:rsidR="005F0ADF" w:rsidRPr="00C76925" w:rsidRDefault="00DD5AB5" w:rsidP="006753EC">
            <w:pPr>
              <w:jc w:val="both"/>
            </w:pPr>
            <w:r w:rsidRPr="00C76925">
              <w:t xml:space="preserve">- </w:t>
            </w:r>
            <w:r w:rsidR="0064577E" w:rsidRPr="00C76925">
              <w:t>difficulties still existin</w:t>
            </w:r>
            <w:r w:rsidR="00C76925" w:rsidRPr="00C76925">
              <w:t>g:</w:t>
            </w:r>
          </w:p>
          <w:p w14:paraId="650950EE" w14:textId="4294C2F9" w:rsidR="008C4A17" w:rsidRPr="00C76925" w:rsidRDefault="008C4A17" w:rsidP="00FA3358">
            <w:pPr>
              <w:jc w:val="both"/>
            </w:pPr>
          </w:p>
          <w:p w14:paraId="3064AEA5" w14:textId="200CBDA5" w:rsidR="00C76925" w:rsidRPr="00C76925" w:rsidRDefault="00C76925" w:rsidP="00FA3358">
            <w:pPr>
              <w:jc w:val="both"/>
            </w:pPr>
            <w:r w:rsidRPr="00C76925">
              <w:t>Based on the analysis performed by PPO within the above-mentioned project, it was found on a sample of 945 employees of contracting entities that up to 75% of them have no experience with the application of the social aspect. It is, therefore, necessary to pay comprehensive attention to raise awareness of the application of social aspects in public procurement.</w:t>
            </w:r>
          </w:p>
          <w:p w14:paraId="35457F8A" w14:textId="6CD13F38" w:rsidR="00E57DFD" w:rsidRPr="00DE2B9C" w:rsidRDefault="00E57DFD" w:rsidP="00C76925">
            <w:pPr>
              <w:jc w:val="both"/>
              <w:rPr>
                <w:color w:val="0000FF" w:themeColor="hyperlink"/>
              </w:rPr>
            </w:pPr>
          </w:p>
        </w:tc>
      </w:tr>
      <w:tr w:rsidR="005F0ADF" w:rsidRPr="00B01372" w14:paraId="259FB2D5" w14:textId="77777777" w:rsidTr="005F0ADF">
        <w:tc>
          <w:tcPr>
            <w:tcW w:w="1648" w:type="pct"/>
          </w:tcPr>
          <w:p w14:paraId="217FE28F" w14:textId="6CB04548" w:rsidR="005F0ADF" w:rsidRPr="00B01372" w:rsidRDefault="007C7271" w:rsidP="005F0ADF">
            <w:r w:rsidRPr="00B01372">
              <w:rPr>
                <w:b/>
              </w:rPr>
              <w:lastRenderedPageBreak/>
              <w:t>V</w:t>
            </w:r>
            <w:r w:rsidR="00DD5AB5" w:rsidRPr="00B01372">
              <w:rPr>
                <w:b/>
              </w:rPr>
              <w:t xml:space="preserve">.2.2. </w:t>
            </w:r>
            <w:r w:rsidR="0037143F">
              <w:rPr>
                <w:b/>
              </w:rPr>
              <w:t>Supporting documents</w:t>
            </w:r>
          </w:p>
        </w:tc>
        <w:tc>
          <w:tcPr>
            <w:tcW w:w="3352" w:type="pct"/>
          </w:tcPr>
          <w:p w14:paraId="31ABC48A" w14:textId="346099AB" w:rsidR="005F0ADF" w:rsidRPr="00B01372" w:rsidRDefault="005F0ADF" w:rsidP="005F0ADF">
            <w:pPr>
              <w:jc w:val="both"/>
            </w:pPr>
            <w:r w:rsidRPr="00B01372">
              <w:t xml:space="preserve"> </w:t>
            </w:r>
          </w:p>
        </w:tc>
      </w:tr>
      <w:tr w:rsidR="00DD5AB5" w:rsidRPr="00B01372" w14:paraId="4F3CF26A" w14:textId="77777777" w:rsidTr="005F0ADF">
        <w:tc>
          <w:tcPr>
            <w:tcW w:w="1648" w:type="pct"/>
          </w:tcPr>
          <w:p w14:paraId="2775CB89" w14:textId="415ED284" w:rsidR="00DD5AB5" w:rsidRPr="00B01372" w:rsidRDefault="00DD5AB5" w:rsidP="0037143F">
            <w:pPr>
              <w:rPr>
                <w:b/>
              </w:rPr>
            </w:pPr>
            <w:r w:rsidRPr="00B01372">
              <w:t>Please report any available evidence or supporting document</w:t>
            </w:r>
            <w:r w:rsidR="006753EC" w:rsidRPr="00B01372">
              <w:t xml:space="preserve"> for point </w:t>
            </w:r>
            <w:r w:rsidR="007C7271" w:rsidRPr="00B01372">
              <w:t>V</w:t>
            </w:r>
            <w:r w:rsidR="006753EC" w:rsidRPr="00B01372">
              <w:t>.2</w:t>
            </w:r>
            <w:r w:rsidR="002C131E" w:rsidRPr="00B01372">
              <w:t>.1</w:t>
            </w:r>
            <w:r w:rsidRPr="00B01372">
              <w:t xml:space="preserve"> illustrating the measures, achievements or challenges faced, relating to the promotion of SRPP. </w:t>
            </w:r>
          </w:p>
        </w:tc>
        <w:tc>
          <w:tcPr>
            <w:tcW w:w="3352" w:type="pct"/>
          </w:tcPr>
          <w:p w14:paraId="60A79F78" w14:textId="4CBE68EF" w:rsidR="003A3E88" w:rsidRPr="003A3E88" w:rsidRDefault="003A3E88" w:rsidP="00A20016">
            <w:pPr>
              <w:jc w:val="both"/>
            </w:pPr>
            <w:r w:rsidRPr="003A3E88">
              <w:t>The goal of socially responsible public procurement lies in the application, in other words in taking into account one or more social, environmental or innovative aspects in the public procurement process.</w:t>
            </w:r>
          </w:p>
          <w:p w14:paraId="243A7432" w14:textId="77777777" w:rsidR="00A20016" w:rsidRDefault="00A20016" w:rsidP="00A20016">
            <w:pPr>
              <w:jc w:val="both"/>
            </w:pPr>
          </w:p>
          <w:p w14:paraId="199DAE8A" w14:textId="3FCC85EC" w:rsidR="003A3E88" w:rsidRPr="003A3E88" w:rsidRDefault="003A3E88" w:rsidP="00A20016">
            <w:pPr>
              <w:jc w:val="both"/>
            </w:pPr>
            <w:r w:rsidRPr="003A3E88">
              <w:t xml:space="preserve">According to the Public Procurement Act valid until 1 January 2020, there was no obligation in the Slovak Republic for public procurers and procuring entities to apply the social aspect in public procurement, and the term social aspect was not legally defined in the law. The legal basis for the application of the social aspect in the Slovak Republic is the Public Procurement Act and Act no. 112/2018 Coll. on the Social Economy and Social Enterprises and Amendments to Later Acts (hereinafter referred to as the </w:t>
            </w:r>
            <w:r w:rsidRPr="003A3E88">
              <w:lastRenderedPageBreak/>
              <w:t xml:space="preserve">“Act on the Social Economy and Social Enterprises”).  The social aspect, in other words, the social viewpoint was transposed to the Public Procurement Act, through an amendment to the Act on the Social Economy and Social Enterprises. </w:t>
            </w:r>
          </w:p>
          <w:p w14:paraId="513DA5D8" w14:textId="77777777" w:rsidR="003A3E88" w:rsidRPr="003A3E88" w:rsidRDefault="003A3E88" w:rsidP="003A3E88">
            <w:pPr>
              <w:ind w:firstLine="708"/>
              <w:jc w:val="both"/>
            </w:pPr>
          </w:p>
          <w:p w14:paraId="451034C6" w14:textId="0EFA8BE8" w:rsidR="003A3E88" w:rsidRPr="003A3E88" w:rsidRDefault="003A3E88" w:rsidP="003A3E88">
            <w:pPr>
              <w:pStyle w:val="Bezriadkovania"/>
              <w:jc w:val="both"/>
            </w:pPr>
            <w:r w:rsidRPr="003A3E88">
              <w:t xml:space="preserve">According to § 2 </w:t>
            </w:r>
            <w:r w:rsidR="0079395B">
              <w:t>(</w:t>
            </w:r>
            <w:r w:rsidRPr="003A3E88">
              <w:t>5</w:t>
            </w:r>
            <w:r w:rsidR="0079395B">
              <w:t>)</w:t>
            </w:r>
            <w:r w:rsidRPr="003A3E88">
              <w:t xml:space="preserve"> letter p) of the Public Procurement Act from the social point of view, such an aspect related to the subject of the contract, which may lead to a positive social impact 26a) fulfilment of the subject of the contract, especially to create or support job creation, decent, fair and satisfactory working conditions beyond obligations to secure them, to integrate disadvantaged, vulnerable or excluded persons and groups into social relations and to facilitate their access to the labour market, increase the availability and usability of goods, services and works for people with disabilities, ethical and fair trade, economic growth based on knowledge and innovation, the sustainability of resources and social and territorial cohesion, to increase the responsibility of suppliers in relation to the interests of society, in particular by integrating socially beneficial activities into the activities of the supplier and cooperating with its activities by the concerned operators or mitigating the consequences of economic and social backwardness of the least developed districts.</w:t>
            </w:r>
          </w:p>
          <w:p w14:paraId="19C55996" w14:textId="77777777" w:rsidR="003A3E88" w:rsidRPr="003A3E88" w:rsidRDefault="003A3E88" w:rsidP="003A3E88">
            <w:pPr>
              <w:pStyle w:val="Bezriadkovania"/>
              <w:jc w:val="both"/>
            </w:pPr>
          </w:p>
          <w:p w14:paraId="57AE1A63" w14:textId="441513D4" w:rsidR="002D6C95" w:rsidRPr="003A3E88" w:rsidRDefault="003A3E88" w:rsidP="007F2597">
            <w:pPr>
              <w:pStyle w:val="Bezriadkovania"/>
              <w:jc w:val="both"/>
              <w:rPr>
                <w:lang w:val="sk-SK"/>
              </w:rPr>
            </w:pPr>
            <w:r w:rsidRPr="003A3E88">
              <w:t>The obligation to apply the social aspect relates only to the public contracting authority and the contracting authority. The public contracting authority and the contracting authority is, in a calendar year, in which they have started or realized at least ten public contracts,</w:t>
            </w:r>
            <w:r w:rsidR="0079323F">
              <w:t xml:space="preserve"> except for low-value contracts</w:t>
            </w:r>
            <w:r w:rsidRPr="003A3E88">
              <w:t xml:space="preserve"> obliged to use the social aspect in at least 6% of these public contracts in the description of the subject of the contract, as a special condition of performance of the contract or as a criterion for evaluation of tenders. As in the public procurement process, as purchasers of goods, services, in other words, construction works also perform the so-called subsidized persons (persons pursuant to Section 8 of the Public Procurement Act), it must be emphasized that the obligation in question does not apply to them.</w:t>
            </w:r>
          </w:p>
          <w:p w14:paraId="6D0E0E06" w14:textId="706420CE" w:rsidR="00DD5AB5" w:rsidRPr="00B01372" w:rsidDel="00DD5AB5" w:rsidRDefault="00DD5AB5" w:rsidP="00FA3358">
            <w:pPr>
              <w:pStyle w:val="Bezriadkovania"/>
              <w:jc w:val="both"/>
            </w:pPr>
          </w:p>
        </w:tc>
      </w:tr>
      <w:tr w:rsidR="00DD5AB5" w:rsidRPr="00B01372" w14:paraId="51A7B11F" w14:textId="77777777" w:rsidTr="005F0ADF">
        <w:tc>
          <w:tcPr>
            <w:tcW w:w="1648" w:type="pct"/>
          </w:tcPr>
          <w:p w14:paraId="6DAB0E8B" w14:textId="2CBBDE48" w:rsidR="00DD5AB5" w:rsidRPr="00B01372" w:rsidRDefault="007C7271" w:rsidP="005F0ADF">
            <w:pPr>
              <w:rPr>
                <w:b/>
              </w:rPr>
            </w:pPr>
            <w:r w:rsidRPr="00B01372">
              <w:rPr>
                <w:b/>
              </w:rPr>
              <w:lastRenderedPageBreak/>
              <w:t>V</w:t>
            </w:r>
            <w:r w:rsidR="00DD5AB5" w:rsidRPr="00B01372">
              <w:rPr>
                <w:b/>
              </w:rPr>
              <w:t xml:space="preserve">.2.3. Quantitative indicators  </w:t>
            </w:r>
          </w:p>
        </w:tc>
        <w:tc>
          <w:tcPr>
            <w:tcW w:w="3352" w:type="pct"/>
          </w:tcPr>
          <w:p w14:paraId="5659E4B4" w14:textId="1B78EDD7" w:rsidR="00DD5AB5" w:rsidRPr="00B01372" w:rsidDel="00DD5AB5" w:rsidRDefault="00DD5AB5" w:rsidP="00C6144F">
            <w:pPr>
              <w:jc w:val="both"/>
            </w:pPr>
          </w:p>
        </w:tc>
      </w:tr>
      <w:tr w:rsidR="00DD5AB5" w:rsidRPr="00B01372" w14:paraId="0E35A5BE" w14:textId="77777777" w:rsidTr="005F0ADF">
        <w:tc>
          <w:tcPr>
            <w:tcW w:w="1648" w:type="pct"/>
          </w:tcPr>
          <w:p w14:paraId="3613F285" w14:textId="10216623" w:rsidR="00DD5AB5" w:rsidRPr="00B01372" w:rsidRDefault="00DD5AB5" w:rsidP="002C131E">
            <w:r w:rsidRPr="00B01372">
              <w:t xml:space="preserve">Please provide, when available, any quantitative data (statistics, etc.) illustrating the achievements and challenges identified under section </w:t>
            </w:r>
            <w:r w:rsidR="007C7271" w:rsidRPr="00B01372">
              <w:t>V</w:t>
            </w:r>
            <w:r w:rsidRPr="00B01372">
              <w:t>.2.</w:t>
            </w:r>
            <w:r w:rsidR="002C131E" w:rsidRPr="00B01372">
              <w:t xml:space="preserve">1 </w:t>
            </w:r>
            <w:r w:rsidRPr="00B01372">
              <w:t xml:space="preserve">above. </w:t>
            </w:r>
          </w:p>
        </w:tc>
        <w:tc>
          <w:tcPr>
            <w:tcW w:w="3352" w:type="pct"/>
          </w:tcPr>
          <w:p w14:paraId="069A979A" w14:textId="67C9DA38" w:rsidR="0018609E" w:rsidRPr="0018609E" w:rsidRDefault="0018609E" w:rsidP="00232F29">
            <w:pPr>
              <w:pStyle w:val="Bezriadkovania"/>
              <w:ind w:left="360"/>
              <w:jc w:val="both"/>
              <w:rPr>
                <w:lang w:val="sk-SK"/>
              </w:rPr>
            </w:pPr>
            <w:r w:rsidRPr="0018609E">
              <w:t>Contracts according to Annex no. 14 Art. 74: 63 contracts</w:t>
            </w:r>
          </w:p>
          <w:p w14:paraId="3FEE5773" w14:textId="517A69DB" w:rsidR="00120CE1" w:rsidRPr="001749A7" w:rsidRDefault="001F00A9" w:rsidP="00232F29">
            <w:pPr>
              <w:pStyle w:val="Bezriadkovania"/>
              <w:ind w:left="360"/>
              <w:jc w:val="both"/>
              <w:rPr>
                <w:lang w:val="en-US"/>
              </w:rPr>
            </w:pPr>
            <w:r w:rsidRPr="0018609E">
              <w:t xml:space="preserve">Number of public procurement procedures </w:t>
            </w:r>
            <w:r w:rsidRPr="001749A7">
              <w:rPr>
                <w:lang w:val="en-US"/>
              </w:rPr>
              <w:t>reserved to sheltered workshops and economic operators in line with article 20 of the Directive</w:t>
            </w:r>
            <w:r w:rsidR="00FC31AA" w:rsidRPr="001749A7">
              <w:rPr>
                <w:lang w:val="en-US"/>
              </w:rPr>
              <w:t>:</w:t>
            </w:r>
            <w:r w:rsidR="00120CE1" w:rsidRPr="001749A7">
              <w:rPr>
                <w:lang w:val="en-US"/>
              </w:rPr>
              <w:t xml:space="preserve"> 15</w:t>
            </w:r>
            <w:r w:rsidR="0018609E" w:rsidRPr="001749A7">
              <w:rPr>
                <w:lang w:val="en-US"/>
              </w:rPr>
              <w:t xml:space="preserve"> contracts</w:t>
            </w:r>
          </w:p>
          <w:p w14:paraId="26A45B3B" w14:textId="0904C184" w:rsidR="009A7B99" w:rsidRPr="001749A7" w:rsidRDefault="00910011" w:rsidP="00AC5879">
            <w:pPr>
              <w:jc w:val="both"/>
              <w:rPr>
                <w:lang w:val="sk-SK"/>
              </w:rPr>
            </w:pPr>
            <w:r w:rsidRPr="001749A7">
              <w:rPr>
                <w:lang w:val="sk-SK"/>
              </w:rPr>
              <w:t xml:space="preserve"> </w:t>
            </w:r>
            <w:r w:rsidR="0018609E" w:rsidRPr="001749A7">
              <w:rPr>
                <w:lang w:val="sk-SK"/>
              </w:rPr>
              <w:t xml:space="preserve">      </w:t>
            </w:r>
            <w:r w:rsidR="0018609E" w:rsidRPr="001749A7">
              <w:t>Articles 91-94 of Directive 2014/25/EU; Annex number. 17:  7 contracts</w:t>
            </w:r>
          </w:p>
          <w:p w14:paraId="364B9F93" w14:textId="07F53D0C" w:rsidR="00FF42D2" w:rsidRPr="00B01372" w:rsidDel="00DD5AB5" w:rsidRDefault="00FF42D2" w:rsidP="00437FDF">
            <w:pPr>
              <w:jc w:val="both"/>
            </w:pPr>
          </w:p>
        </w:tc>
      </w:tr>
      <w:tr w:rsidR="009D79A4" w:rsidRPr="00B01372" w14:paraId="19DF63EF" w14:textId="77777777" w:rsidTr="006708CC">
        <w:tc>
          <w:tcPr>
            <w:tcW w:w="1648" w:type="pct"/>
          </w:tcPr>
          <w:p w14:paraId="435A63A9" w14:textId="16809F07" w:rsidR="009D79A4" w:rsidRPr="00B01372" w:rsidRDefault="009D79A4" w:rsidP="00DE3F88">
            <w:pPr>
              <w:pStyle w:val="Nadpis3"/>
              <w:outlineLvl w:val="2"/>
            </w:pPr>
            <w:r w:rsidRPr="00B01372">
              <w:lastRenderedPageBreak/>
              <w:t>V.3 Public procurement of innovati</w:t>
            </w:r>
            <w:r w:rsidR="00DE3F88" w:rsidRPr="00B01372">
              <w:t>on</w:t>
            </w:r>
          </w:p>
        </w:tc>
        <w:tc>
          <w:tcPr>
            <w:tcW w:w="3352" w:type="pct"/>
          </w:tcPr>
          <w:p w14:paraId="44B1918A" w14:textId="2475DED8" w:rsidR="00044EEB" w:rsidRPr="00044EEB" w:rsidRDefault="001749A7" w:rsidP="00D6366F">
            <w:pPr>
              <w:rPr>
                <w:rFonts w:ascii="Calibri" w:eastAsia="Times New Roman" w:hAnsi="Calibri" w:cs="Calibri"/>
                <w:color w:val="000000"/>
                <w:highlight w:val="lightGray"/>
                <w:lang w:val="en-US"/>
              </w:rPr>
            </w:pPr>
            <w:r>
              <w:rPr>
                <w:rFonts w:ascii="Calibri" w:eastAsia="Times New Roman" w:hAnsi="Calibri" w:cs="Calibri"/>
                <w:color w:val="000000"/>
                <w:lang w:val="en-US"/>
              </w:rPr>
              <w:t xml:space="preserve">The </w:t>
            </w:r>
            <w:r w:rsidR="00044EEB" w:rsidRPr="00044EEB">
              <w:rPr>
                <w:rFonts w:ascii="Calibri" w:eastAsia="Times New Roman" w:hAnsi="Calibri" w:cs="Calibri"/>
                <w:color w:val="000000"/>
                <w:lang w:val="en-US"/>
              </w:rPr>
              <w:t>Public Procurement Office - Innovation Section/public procurement of innovative solutions within the euro fund project: Increasing efficiency in the field of public procurement in Slovakia, publishes data of innovative procurement within the framework of statistics and reports for individual years on its website. It takes, e.g. data such as number of procedures carried out in a given year via innovative partnership, a competitive dialogue or a negotiated procedure with publication.</w:t>
            </w:r>
          </w:p>
          <w:p w14:paraId="2455837D" w14:textId="3111F89E" w:rsidR="00044EEB" w:rsidRDefault="00044EEB" w:rsidP="00D6366F">
            <w:pPr>
              <w:rPr>
                <w:rFonts w:ascii="Calibri" w:eastAsia="Times New Roman" w:hAnsi="Calibri" w:cs="Calibri"/>
                <w:color w:val="000000"/>
                <w:highlight w:val="lightGray"/>
                <w:lang w:val="sk-SK"/>
              </w:rPr>
            </w:pPr>
          </w:p>
          <w:p w14:paraId="197BA010" w14:textId="5F617A40" w:rsidR="00044EEB" w:rsidRPr="002C2887" w:rsidRDefault="00044EEB" w:rsidP="00D6366F">
            <w:pPr>
              <w:rPr>
                <w:rFonts w:ascii="Calibri" w:eastAsia="Times New Roman" w:hAnsi="Calibri" w:cs="Calibri"/>
                <w:color w:val="000000"/>
                <w:highlight w:val="lightGray"/>
                <w:lang w:val="en-US"/>
              </w:rPr>
            </w:pPr>
            <w:r w:rsidRPr="002C2887">
              <w:rPr>
                <w:rFonts w:ascii="Calibri" w:eastAsia="Times New Roman" w:hAnsi="Calibri" w:cs="Calibri"/>
                <w:color w:val="000000"/>
                <w:lang w:val="en-US"/>
              </w:rPr>
              <w:t>As part of a relatively new project operating for less than a</w:t>
            </w:r>
            <w:r w:rsidR="002C2887" w:rsidRPr="002C2887">
              <w:rPr>
                <w:rFonts w:ascii="Calibri" w:eastAsia="Times New Roman" w:hAnsi="Calibri" w:cs="Calibri"/>
                <w:color w:val="000000"/>
                <w:lang w:val="en-US"/>
              </w:rPr>
              <w:t> </w:t>
            </w:r>
            <w:r w:rsidRPr="002C2887">
              <w:rPr>
                <w:rFonts w:ascii="Calibri" w:eastAsia="Times New Roman" w:hAnsi="Calibri" w:cs="Calibri"/>
                <w:color w:val="000000"/>
                <w:lang w:val="en-US"/>
              </w:rPr>
              <w:t xml:space="preserve">year, the General Methodology of Public Procurement of Innovative Solutions was issued and by the end of February, two trainings for public procurers and procurers were carried out. By the end of the project (2023) there will be at least four more trainings and a collection of examples of good practice will be published. In the area of innovation, the </w:t>
            </w:r>
            <w:r w:rsidR="002C2887" w:rsidRPr="002C2887">
              <w:rPr>
                <w:rFonts w:ascii="Calibri" w:eastAsia="Times New Roman" w:hAnsi="Calibri" w:cs="Calibri"/>
                <w:color w:val="000000"/>
                <w:lang w:val="en-US"/>
              </w:rPr>
              <w:t>PPO</w:t>
            </w:r>
            <w:r w:rsidRPr="002C2887">
              <w:rPr>
                <w:rFonts w:ascii="Calibri" w:eastAsia="Times New Roman" w:hAnsi="Calibri" w:cs="Calibri"/>
                <w:color w:val="000000"/>
                <w:lang w:val="en-US"/>
              </w:rPr>
              <w:t xml:space="preserve"> </w:t>
            </w:r>
            <w:r w:rsidR="001749A7" w:rsidRPr="002C2887">
              <w:rPr>
                <w:rFonts w:ascii="Calibri" w:eastAsia="Times New Roman" w:hAnsi="Calibri" w:cs="Calibri"/>
                <w:color w:val="000000"/>
                <w:lang w:val="en-US"/>
              </w:rPr>
              <w:t>prioriti</w:t>
            </w:r>
            <w:r w:rsidR="001749A7">
              <w:rPr>
                <w:rFonts w:ascii="Calibri" w:eastAsia="Times New Roman" w:hAnsi="Calibri" w:cs="Calibri"/>
                <w:color w:val="000000"/>
                <w:lang w:val="en-US"/>
              </w:rPr>
              <w:t>z</w:t>
            </w:r>
            <w:r w:rsidR="001749A7" w:rsidRPr="002C2887">
              <w:rPr>
                <w:rFonts w:ascii="Calibri" w:eastAsia="Times New Roman" w:hAnsi="Calibri" w:cs="Calibri"/>
                <w:color w:val="000000"/>
                <w:lang w:val="en-US"/>
              </w:rPr>
              <w:t xml:space="preserve">es </w:t>
            </w:r>
            <w:r w:rsidRPr="002C2887">
              <w:rPr>
                <w:rFonts w:ascii="Calibri" w:eastAsia="Times New Roman" w:hAnsi="Calibri" w:cs="Calibri"/>
                <w:color w:val="000000"/>
                <w:lang w:val="en-US"/>
              </w:rPr>
              <w:t>the project goal of promoting appropriate legal institutes and procedures for this type of procurement.</w:t>
            </w:r>
          </w:p>
          <w:p w14:paraId="6A929A1A" w14:textId="77777777" w:rsidR="002C2887" w:rsidRDefault="002C2887" w:rsidP="000637E7">
            <w:pPr>
              <w:rPr>
                <w:rFonts w:ascii="Calibri" w:eastAsia="Times New Roman" w:hAnsi="Calibri" w:cs="Calibri"/>
                <w:color w:val="000000"/>
                <w:highlight w:val="lightGray"/>
                <w:lang w:val="sk-SK"/>
              </w:rPr>
            </w:pPr>
          </w:p>
          <w:p w14:paraId="3D0EBB47" w14:textId="541C03DF" w:rsidR="002C2887" w:rsidRPr="002C2887" w:rsidRDefault="002C2887" w:rsidP="000637E7">
            <w:pPr>
              <w:rPr>
                <w:rFonts w:ascii="Calibri" w:eastAsia="Times New Roman" w:hAnsi="Calibri" w:cs="Calibri"/>
                <w:color w:val="000000"/>
                <w:highlight w:val="lightGray"/>
                <w:lang w:val="en-US"/>
              </w:rPr>
            </w:pPr>
            <w:r w:rsidRPr="002C2887">
              <w:rPr>
                <w:rFonts w:ascii="Calibri" w:eastAsia="Times New Roman" w:hAnsi="Calibri" w:cs="Calibri"/>
                <w:color w:val="000000"/>
                <w:lang w:val="en-US"/>
              </w:rPr>
              <w:t>In public procurement, the contracting authority purchases research and development services related to products, services or processes that do not yet exist. The contracting authority defines its need and calls to companies and researchers to provide R&amp;D services to meet this need. These services may consist of personnel, equipment, material safety and are the provision of results and outputs of research activities of highly qualified research and development specialists. In this context, the contracting authority acts as the first customer of research and development services that are not yet widely available on a commercial basis and may include conformity testing.</w:t>
            </w:r>
          </w:p>
          <w:p w14:paraId="25E52CAF" w14:textId="77777777" w:rsidR="002C2887" w:rsidRDefault="002C2887" w:rsidP="00D3401B">
            <w:pPr>
              <w:jc w:val="both"/>
              <w:rPr>
                <w:rFonts w:ascii="Calibri" w:eastAsia="Times New Roman" w:hAnsi="Calibri" w:cs="Calibri"/>
                <w:color w:val="000000"/>
                <w:highlight w:val="lightGray"/>
                <w:lang w:val="sk-SK"/>
              </w:rPr>
            </w:pPr>
          </w:p>
          <w:p w14:paraId="0ADCCF12" w14:textId="284BFC66" w:rsidR="002C2887" w:rsidRPr="002C2887" w:rsidRDefault="002C2887" w:rsidP="00D3401B">
            <w:pPr>
              <w:jc w:val="both"/>
              <w:rPr>
                <w:rFonts w:ascii="Calibri" w:eastAsia="Times New Roman" w:hAnsi="Calibri" w:cs="Calibri"/>
                <w:color w:val="000000"/>
                <w:highlight w:val="lightGray"/>
                <w:lang w:val="en-US"/>
              </w:rPr>
            </w:pPr>
            <w:r w:rsidRPr="002C2887">
              <w:rPr>
                <w:rFonts w:ascii="Calibri" w:eastAsia="Times New Roman" w:hAnsi="Calibri" w:cs="Calibri"/>
                <w:color w:val="000000"/>
                <w:lang w:val="en-US"/>
              </w:rPr>
              <w:t>Public procurement of R&amp;D services is a standard part of R&amp;D projects implemented in accordance with Act no. 343/2015 Coll. on Public Procurement and on Amendments to Certain Acts.</w:t>
            </w:r>
          </w:p>
          <w:p w14:paraId="5F258967" w14:textId="77777777" w:rsidR="00FF0CD5" w:rsidRPr="00112552" w:rsidRDefault="00FF0CD5" w:rsidP="00D3401B">
            <w:pPr>
              <w:jc w:val="both"/>
              <w:rPr>
                <w:highlight w:val="lightGray"/>
                <w:lang w:val="sk-SK"/>
              </w:rPr>
            </w:pPr>
          </w:p>
          <w:p w14:paraId="5B38E699" w14:textId="173D3DA5" w:rsidR="007D66EF" w:rsidRPr="007D66EF" w:rsidRDefault="007D66EF" w:rsidP="000637E7">
            <w:pPr>
              <w:rPr>
                <w:highlight w:val="lightGray"/>
                <w:lang w:val="en-US"/>
              </w:rPr>
            </w:pPr>
            <w:r w:rsidRPr="007D66EF">
              <w:rPr>
                <w:lang w:val="en-US"/>
              </w:rPr>
              <w:t>Within the Ministry of Education, Science, Research and Sports of the Slovak Republic as the primary consumer of services, public procurement is primarily focused on digitization and analytical and consulting services in the field of research and development. In the monitored period, this option was used in the preparation of the plan of research infrastructures, in which the Ministry of Education, Science, Research and Sports of the Slovak Republic cooperated with World Bank experts and the result is a key material for research infrastructures of the Slovak Republic and its connection with international research infrastructures within ESFRI.</w:t>
            </w:r>
          </w:p>
          <w:p w14:paraId="7DAE116C" w14:textId="7CE5F680" w:rsidR="009D79A4" w:rsidRPr="00B01372" w:rsidRDefault="009D79A4" w:rsidP="007D66EF">
            <w:pPr>
              <w:jc w:val="both"/>
              <w:rPr>
                <w:b/>
              </w:rPr>
            </w:pPr>
          </w:p>
        </w:tc>
      </w:tr>
      <w:tr w:rsidR="006708CC" w:rsidRPr="00B01372" w14:paraId="25EBCE41" w14:textId="77777777" w:rsidTr="006708CC">
        <w:tc>
          <w:tcPr>
            <w:tcW w:w="1648" w:type="pct"/>
          </w:tcPr>
          <w:p w14:paraId="5A772C25" w14:textId="0992EC61" w:rsidR="006708CC" w:rsidRPr="00B01372" w:rsidRDefault="009D79A4" w:rsidP="00FE7D75">
            <w:pPr>
              <w:pStyle w:val="Nadpis3"/>
              <w:outlineLvl w:val="2"/>
            </w:pPr>
            <w:r w:rsidRPr="00B01372">
              <w:lastRenderedPageBreak/>
              <w:t>V</w:t>
            </w:r>
            <w:r w:rsidR="006708CC" w:rsidRPr="00B01372">
              <w:t>.3.</w:t>
            </w:r>
            <w:r w:rsidRPr="00B01372">
              <w:t>1</w:t>
            </w:r>
            <w:r w:rsidR="006708CC" w:rsidRPr="00B01372">
              <w:t xml:space="preserve"> </w:t>
            </w:r>
            <w:r w:rsidR="002C131E" w:rsidRPr="00B01372">
              <w:t>Qualitative reporting</w:t>
            </w:r>
          </w:p>
        </w:tc>
        <w:tc>
          <w:tcPr>
            <w:tcW w:w="3352" w:type="pct"/>
          </w:tcPr>
          <w:p w14:paraId="033F13EB" w14:textId="19E59728" w:rsidR="006708CC" w:rsidRPr="00B01372" w:rsidRDefault="006708CC" w:rsidP="006753EC">
            <w:pPr>
              <w:pStyle w:val="Nadpis4"/>
              <w:numPr>
                <w:ilvl w:val="0"/>
                <w:numId w:val="0"/>
              </w:numPr>
              <w:jc w:val="both"/>
              <w:outlineLvl w:val="3"/>
            </w:pPr>
          </w:p>
        </w:tc>
      </w:tr>
      <w:tr w:rsidR="006708CC" w:rsidRPr="00B01372" w14:paraId="293F0B0C" w14:textId="77777777" w:rsidTr="006708CC">
        <w:tc>
          <w:tcPr>
            <w:tcW w:w="1648" w:type="pct"/>
          </w:tcPr>
          <w:p w14:paraId="779255E4" w14:textId="75B08836" w:rsidR="006708CC" w:rsidRPr="00B01372" w:rsidRDefault="006708CC" w:rsidP="006708CC">
            <w:r w:rsidRPr="00B01372">
              <w:t>Key challenges encountered</w:t>
            </w:r>
          </w:p>
          <w:p w14:paraId="625449B6" w14:textId="40ECDCB6" w:rsidR="006708CC" w:rsidRPr="00B01372" w:rsidRDefault="006708CC" w:rsidP="00FE7D75"/>
        </w:tc>
        <w:tc>
          <w:tcPr>
            <w:tcW w:w="3352" w:type="pct"/>
          </w:tcPr>
          <w:p w14:paraId="18A81F7E" w14:textId="2B63C244" w:rsidR="007D66EF" w:rsidRPr="007D66EF" w:rsidRDefault="007D66EF" w:rsidP="000637E7">
            <w:pPr>
              <w:jc w:val="both"/>
              <w:rPr>
                <w:highlight w:val="lightGray"/>
                <w:lang w:val="en-US"/>
              </w:rPr>
            </w:pPr>
            <w:r w:rsidRPr="007D66EF">
              <w:rPr>
                <w:lang w:val="en-US"/>
              </w:rPr>
              <w:t>We perceive a narrowly specialized issue with a relatively small number of market participants as a key challenge in the public procurement of research and development services within solved research and development projects. This is also related to the pricing of the contract, which complicates control over the economics of using funds, for example for research and development grants. In this context, we see the desirability of further strengthening and improving control mechanisms in the area of science funding, especially in the area of public procurement of research and development services. In this context, we consider frequent changes and amendments to the Public Procurement Act as a factor that introduces a slight uncertainty into the system, which is repeatedly reflected in the application procedures.</w:t>
            </w:r>
          </w:p>
          <w:p w14:paraId="4B161561" w14:textId="01835840" w:rsidR="006708CC" w:rsidRPr="00B01372" w:rsidRDefault="006708CC" w:rsidP="007D66EF">
            <w:pPr>
              <w:jc w:val="both"/>
            </w:pPr>
          </w:p>
        </w:tc>
      </w:tr>
      <w:tr w:rsidR="006708CC" w:rsidRPr="00B01372" w14:paraId="5ECD12D9" w14:textId="77777777" w:rsidTr="006708CC">
        <w:tc>
          <w:tcPr>
            <w:tcW w:w="1648" w:type="pct"/>
          </w:tcPr>
          <w:p w14:paraId="729798E8" w14:textId="3AF94ADE" w:rsidR="006708CC" w:rsidRPr="00B01372" w:rsidRDefault="009D79A4" w:rsidP="00FE7D75">
            <w:pPr>
              <w:pStyle w:val="Nadpis3"/>
              <w:outlineLvl w:val="2"/>
            </w:pPr>
            <w:r w:rsidRPr="00B01372">
              <w:t>V</w:t>
            </w:r>
            <w:r w:rsidR="006708CC" w:rsidRPr="00B01372">
              <w:t xml:space="preserve">.3.2. </w:t>
            </w:r>
            <w:r w:rsidR="0037143F" w:rsidRPr="0037143F">
              <w:t>Supporting documents</w:t>
            </w:r>
          </w:p>
        </w:tc>
        <w:tc>
          <w:tcPr>
            <w:tcW w:w="3352" w:type="pct"/>
          </w:tcPr>
          <w:p w14:paraId="3CD1FC69" w14:textId="77777777" w:rsidR="006708CC" w:rsidRPr="00B01372" w:rsidRDefault="006708CC" w:rsidP="00FE7D75">
            <w:pPr>
              <w:rPr>
                <w:i/>
              </w:rPr>
            </w:pPr>
          </w:p>
        </w:tc>
      </w:tr>
      <w:tr w:rsidR="006708CC" w:rsidRPr="00B01372" w14:paraId="40569968" w14:textId="77777777" w:rsidTr="006708CC">
        <w:tc>
          <w:tcPr>
            <w:tcW w:w="1648" w:type="pct"/>
          </w:tcPr>
          <w:p w14:paraId="7C58EC57" w14:textId="08B9FF38" w:rsidR="006708CC" w:rsidRPr="00B01372" w:rsidRDefault="006708CC" w:rsidP="0037143F">
            <w:pPr>
              <w:pStyle w:val="Nadpis3"/>
              <w:outlineLvl w:val="2"/>
              <w:rPr>
                <w:b w:val="0"/>
              </w:rPr>
            </w:pPr>
            <w:r w:rsidRPr="00B01372">
              <w:rPr>
                <w:b w:val="0"/>
              </w:rPr>
              <w:t xml:space="preserve">Please report any available evidence or supporting document illustrating the measures, achievements or challenges faced, relating to the promotion </w:t>
            </w:r>
            <w:r w:rsidR="00DE3F88" w:rsidRPr="00B01372">
              <w:rPr>
                <w:b w:val="0"/>
              </w:rPr>
              <w:t xml:space="preserve">and implementation </w:t>
            </w:r>
            <w:r w:rsidRPr="00B01372">
              <w:rPr>
                <w:b w:val="0"/>
              </w:rPr>
              <w:t xml:space="preserve">of </w:t>
            </w:r>
            <w:r w:rsidR="00DE3F88" w:rsidRPr="00B01372">
              <w:rPr>
                <w:b w:val="0"/>
              </w:rPr>
              <w:t>innovation procurement</w:t>
            </w:r>
            <w:r w:rsidRPr="00B01372">
              <w:rPr>
                <w:b w:val="0"/>
              </w:rPr>
              <w:t>.</w:t>
            </w:r>
          </w:p>
        </w:tc>
        <w:tc>
          <w:tcPr>
            <w:tcW w:w="3352" w:type="pct"/>
          </w:tcPr>
          <w:p w14:paraId="1F48A109" w14:textId="5415EE65" w:rsidR="006708CC" w:rsidRPr="00F36771" w:rsidRDefault="00F36771" w:rsidP="00095629">
            <w:r>
              <w:t xml:space="preserve">Innovation procurement </w:t>
            </w:r>
            <w:r w:rsidR="00095629" w:rsidRPr="00095629">
              <w:t xml:space="preserve">is slowly starting up and </w:t>
            </w:r>
            <w:r w:rsidR="00095629">
              <w:t>Public Procurement Office</w:t>
            </w:r>
            <w:r w:rsidR="00095629" w:rsidRPr="00095629">
              <w:t xml:space="preserve"> is finding out (also in cooperation with other ministries) what the market expects</w:t>
            </w:r>
            <w:r w:rsidR="00095629">
              <w:t>.</w:t>
            </w:r>
          </w:p>
        </w:tc>
      </w:tr>
      <w:tr w:rsidR="00C156D6" w:rsidRPr="00B01372" w14:paraId="67F68E12" w14:textId="77777777" w:rsidTr="00C156D6">
        <w:tc>
          <w:tcPr>
            <w:tcW w:w="5000" w:type="pct"/>
            <w:gridSpan w:val="2"/>
          </w:tcPr>
          <w:p w14:paraId="7039797C" w14:textId="5D81CE33" w:rsidR="00C156D6" w:rsidRPr="00B01372" w:rsidRDefault="00C156D6" w:rsidP="00C156D6">
            <w:pPr>
              <w:jc w:val="both"/>
              <w:rPr>
                <w:i/>
              </w:rPr>
            </w:pPr>
            <w:r>
              <w:rPr>
                <w:lang w:val="en-IE"/>
              </w:rPr>
              <w:t>For purchases made under the EU thresholds, please report any information or document demonstrating that purchase of innovative solutions have been made (e.g.: innovation partnerships or the use of the innovation criterion).</w:t>
            </w:r>
          </w:p>
        </w:tc>
      </w:tr>
    </w:tbl>
    <w:p w14:paraId="34AB7F7C" w14:textId="77777777" w:rsidR="00306938" w:rsidRPr="00B01372" w:rsidRDefault="00306938" w:rsidP="00ED019E">
      <w:pPr>
        <w:pStyle w:val="Odsekzoznamu"/>
      </w:pPr>
    </w:p>
    <w:p w14:paraId="34AB7F8A" w14:textId="76BF57A9" w:rsidR="00DA6F44" w:rsidRDefault="00DA6F44" w:rsidP="00DA6F44">
      <w:pPr>
        <w:pStyle w:val="Odsekzoznamu"/>
        <w:ind w:left="709"/>
        <w:jc w:val="both"/>
      </w:pPr>
    </w:p>
    <w:p w14:paraId="2592E5C2" w14:textId="39E66DC0" w:rsidR="000F1516" w:rsidRDefault="000F1516" w:rsidP="00DA6F44">
      <w:pPr>
        <w:pStyle w:val="Odsekzoznamu"/>
        <w:ind w:left="709"/>
        <w:jc w:val="both"/>
      </w:pPr>
    </w:p>
    <w:p w14:paraId="64AF7182" w14:textId="5540D7DC" w:rsidR="00223460" w:rsidRDefault="00223460" w:rsidP="00DA6F44">
      <w:pPr>
        <w:pStyle w:val="Odsekzoznamu"/>
        <w:ind w:left="709"/>
        <w:jc w:val="both"/>
      </w:pPr>
    </w:p>
    <w:p w14:paraId="33A5F408" w14:textId="008F99F9" w:rsidR="006E3BA2" w:rsidRDefault="006E3BA2" w:rsidP="00DA6F44">
      <w:pPr>
        <w:pStyle w:val="Odsekzoznamu"/>
        <w:ind w:left="709"/>
        <w:jc w:val="both"/>
      </w:pPr>
    </w:p>
    <w:p w14:paraId="20128860" w14:textId="02069715" w:rsidR="006E3BA2" w:rsidRDefault="006E3BA2" w:rsidP="00DA6F44">
      <w:pPr>
        <w:pStyle w:val="Odsekzoznamu"/>
        <w:ind w:left="709"/>
        <w:jc w:val="both"/>
      </w:pPr>
    </w:p>
    <w:p w14:paraId="51DEB531" w14:textId="67D9EF9B" w:rsidR="006E3BA2" w:rsidRDefault="006E3BA2" w:rsidP="00DA6F44">
      <w:pPr>
        <w:pStyle w:val="Odsekzoznamu"/>
        <w:ind w:left="709"/>
        <w:jc w:val="both"/>
      </w:pPr>
    </w:p>
    <w:p w14:paraId="2EC9FB74" w14:textId="77777777" w:rsidR="006E3BA2" w:rsidRDefault="006E3BA2" w:rsidP="00DA6F44">
      <w:pPr>
        <w:pStyle w:val="Odsekzoznamu"/>
        <w:ind w:left="709"/>
        <w:jc w:val="both"/>
      </w:pPr>
    </w:p>
    <w:p w14:paraId="7313B7D2" w14:textId="567FD7D8" w:rsidR="002A2338" w:rsidRDefault="002A2338" w:rsidP="00DA6F44">
      <w:pPr>
        <w:pStyle w:val="Odsekzoznamu"/>
        <w:ind w:left="709"/>
        <w:jc w:val="both"/>
      </w:pPr>
    </w:p>
    <w:p w14:paraId="01884A52" w14:textId="6497DEE3" w:rsidR="002A2338" w:rsidRDefault="002A2338" w:rsidP="00DA6F44">
      <w:pPr>
        <w:pStyle w:val="Odsekzoznamu"/>
        <w:ind w:left="709"/>
        <w:jc w:val="both"/>
      </w:pPr>
    </w:p>
    <w:p w14:paraId="314EA606" w14:textId="31440747" w:rsidR="002A2338" w:rsidRDefault="002A2338" w:rsidP="00DA6F44">
      <w:pPr>
        <w:pStyle w:val="Odsekzoznamu"/>
        <w:ind w:left="709"/>
        <w:jc w:val="both"/>
      </w:pPr>
    </w:p>
    <w:p w14:paraId="7D09F55A" w14:textId="77777777" w:rsidR="00781896" w:rsidRPr="00781896" w:rsidRDefault="00781896" w:rsidP="00781896">
      <w:pPr>
        <w:pStyle w:val="Bezriadkovania"/>
      </w:pPr>
    </w:p>
    <w:p w14:paraId="1DE9B7A8" w14:textId="77777777" w:rsidR="001E1A57" w:rsidRPr="000B2873" w:rsidRDefault="001E1A57" w:rsidP="001E1A57">
      <w:pPr>
        <w:pStyle w:val="Nadpis2"/>
      </w:pPr>
      <w:r w:rsidRPr="000B2873">
        <w:t>Information on monitoring and reporting bodies</w:t>
      </w:r>
    </w:p>
    <w:p w14:paraId="2A376480" w14:textId="4F243B71" w:rsidR="001E1A57" w:rsidRDefault="001E1A57" w:rsidP="001E1A57">
      <w:pPr>
        <w:pStyle w:val="Bezriadkovania"/>
      </w:pPr>
    </w:p>
    <w:p w14:paraId="1405B18D" w14:textId="0B8396BB" w:rsidR="001749A7" w:rsidRDefault="001749A7" w:rsidP="001749A7">
      <w:pPr>
        <w:pStyle w:val="Bezriadkovania"/>
      </w:pPr>
      <w:r>
        <w:t xml:space="preserve">             - Public Procurement Office,</w:t>
      </w:r>
    </w:p>
    <w:p w14:paraId="39792C30" w14:textId="523A42DF" w:rsidR="001749A7" w:rsidRDefault="001749A7" w:rsidP="001749A7">
      <w:pPr>
        <w:pStyle w:val="Bezriadkovania"/>
      </w:pPr>
      <w:r>
        <w:t xml:space="preserve">             -</w:t>
      </w:r>
      <w:r>
        <w:tab/>
        <w:t xml:space="preserve"> Government Office,</w:t>
      </w:r>
    </w:p>
    <w:p w14:paraId="78A10F97" w14:textId="77777777" w:rsidR="001749A7" w:rsidRDefault="001749A7" w:rsidP="001749A7">
      <w:pPr>
        <w:pStyle w:val="Bezriadkovania"/>
      </w:pPr>
      <w:r>
        <w:t xml:space="preserve">             - Supreme Audit Office,</w:t>
      </w:r>
    </w:p>
    <w:p w14:paraId="55E0121C" w14:textId="79209396" w:rsidR="001749A7" w:rsidRDefault="001749A7" w:rsidP="001749A7">
      <w:pPr>
        <w:pStyle w:val="Bezriadkovania"/>
      </w:pPr>
      <w:r>
        <w:t xml:space="preserve">             - Antimonopoly Office,</w:t>
      </w:r>
    </w:p>
    <w:p w14:paraId="10239890" w14:textId="14836E49" w:rsidR="001749A7" w:rsidRDefault="001749A7" w:rsidP="001749A7">
      <w:pPr>
        <w:pStyle w:val="Bezriadkovania"/>
      </w:pPr>
      <w:r>
        <w:t xml:space="preserve">             -</w:t>
      </w:r>
      <w:r>
        <w:tab/>
      </w:r>
      <w:r w:rsidR="00262CC6">
        <w:t xml:space="preserve"> </w:t>
      </w:r>
      <w:r>
        <w:t>Ministry of Economy,</w:t>
      </w:r>
    </w:p>
    <w:p w14:paraId="40A07E5D" w14:textId="77777777" w:rsidR="001749A7" w:rsidRDefault="001749A7" w:rsidP="001749A7">
      <w:pPr>
        <w:pStyle w:val="Bezriadkovania"/>
      </w:pPr>
      <w:r>
        <w:t xml:space="preserve">             - Ministry of Investment, Regional Development and </w:t>
      </w:r>
      <w:proofErr w:type="spellStart"/>
      <w:r>
        <w:t>Informatization</w:t>
      </w:r>
      <w:proofErr w:type="spellEnd"/>
      <w:r>
        <w:t>,</w:t>
      </w:r>
    </w:p>
    <w:p w14:paraId="681C9C82" w14:textId="77777777" w:rsidR="001749A7" w:rsidRDefault="001749A7" w:rsidP="001749A7">
      <w:pPr>
        <w:pStyle w:val="Bezriadkovania"/>
      </w:pPr>
      <w:r>
        <w:t xml:space="preserve">             -</w:t>
      </w:r>
      <w:r>
        <w:tab/>
        <w:t>Ministry of Environment,</w:t>
      </w:r>
    </w:p>
    <w:p w14:paraId="2CAD288E" w14:textId="42F69293" w:rsidR="001749A7" w:rsidRDefault="001749A7" w:rsidP="001749A7">
      <w:pPr>
        <w:pStyle w:val="Bezriadkovania"/>
      </w:pPr>
      <w:r>
        <w:t xml:space="preserve">             -</w:t>
      </w:r>
      <w:r>
        <w:tab/>
      </w:r>
      <w:r w:rsidRPr="007D66EF">
        <w:rPr>
          <w:lang w:val="en-US"/>
        </w:rPr>
        <w:t>Ministry of Education, Science, Research and Sports</w:t>
      </w:r>
      <w:r>
        <w:t>,</w:t>
      </w:r>
    </w:p>
    <w:p w14:paraId="09F996B2" w14:textId="77777777" w:rsidR="001749A7" w:rsidRDefault="001749A7" w:rsidP="001749A7">
      <w:pPr>
        <w:pStyle w:val="Bezriadkovania"/>
      </w:pPr>
      <w:r>
        <w:t xml:space="preserve">             - Ministry of Transport and Construction,</w:t>
      </w:r>
    </w:p>
    <w:p w14:paraId="4716EC9A" w14:textId="77777777" w:rsidR="001749A7" w:rsidRDefault="001749A7" w:rsidP="001749A7">
      <w:pPr>
        <w:pStyle w:val="Bezriadkovania"/>
      </w:pPr>
      <w:r>
        <w:t xml:space="preserve">             - Ministry of the Interior,</w:t>
      </w:r>
    </w:p>
    <w:p w14:paraId="557FA3CA" w14:textId="77777777" w:rsidR="001749A7" w:rsidRDefault="001749A7" w:rsidP="001749A7">
      <w:pPr>
        <w:pStyle w:val="Bezriadkovania"/>
      </w:pPr>
      <w:r>
        <w:t xml:space="preserve">             - Ministry of Justice,</w:t>
      </w:r>
    </w:p>
    <w:p w14:paraId="1CBB600A" w14:textId="2C222043" w:rsidR="001749A7" w:rsidRDefault="001749A7" w:rsidP="001749A7">
      <w:pPr>
        <w:pStyle w:val="Bezriadkovania"/>
      </w:pPr>
      <w:r>
        <w:t xml:space="preserve">             -</w:t>
      </w:r>
      <w:r>
        <w:tab/>
        <w:t>Ministry</w:t>
      </w:r>
      <w:r w:rsidR="00262CC6">
        <w:t xml:space="preserve"> of Finance</w:t>
      </w:r>
      <w:r>
        <w:t>,</w:t>
      </w:r>
    </w:p>
    <w:p w14:paraId="5B602970" w14:textId="77777777" w:rsidR="001749A7" w:rsidRDefault="001749A7" w:rsidP="001749A7">
      <w:pPr>
        <w:pStyle w:val="Bezriadkovania"/>
      </w:pPr>
      <w:r>
        <w:t xml:space="preserve">             -</w:t>
      </w:r>
      <w:r>
        <w:tab/>
        <w:t>Ministry of Health,</w:t>
      </w:r>
    </w:p>
    <w:p w14:paraId="1322844F" w14:textId="2CE51C38" w:rsidR="001749A7" w:rsidRDefault="001749A7" w:rsidP="001749A7">
      <w:pPr>
        <w:pStyle w:val="Bezriadkovania"/>
      </w:pPr>
      <w:r>
        <w:t xml:space="preserve">             - </w:t>
      </w:r>
      <w:r w:rsidR="00262CC6" w:rsidRPr="00262CC6">
        <w:t>Ministry of Labour, Social Affairs and Family</w:t>
      </w:r>
      <w:r w:rsidR="00262CC6">
        <w:t>,</w:t>
      </w:r>
    </w:p>
    <w:p w14:paraId="3C094A2C" w14:textId="2E3A7D47" w:rsidR="001749A7" w:rsidRDefault="001749A7" w:rsidP="001749A7">
      <w:pPr>
        <w:pStyle w:val="Bezriadkovania"/>
      </w:pPr>
      <w:r>
        <w:t xml:space="preserve">             - Slovak Environment Agency</w:t>
      </w:r>
    </w:p>
    <w:p w14:paraId="098DB037" w14:textId="1BADE488" w:rsidR="001749A7" w:rsidRDefault="001749A7" w:rsidP="001E1A57">
      <w:pPr>
        <w:pStyle w:val="Bezriadkovania"/>
      </w:pPr>
    </w:p>
    <w:p w14:paraId="1FDB7BE1" w14:textId="77777777" w:rsidR="00223460" w:rsidRDefault="00223460" w:rsidP="001E1A57">
      <w:pPr>
        <w:pStyle w:val="Bezriadkovania"/>
      </w:pPr>
    </w:p>
    <w:p w14:paraId="34AB7F96" w14:textId="37FBDAEB" w:rsidR="00C9307F" w:rsidRPr="00B01372" w:rsidRDefault="008F56CB" w:rsidP="001E1A57">
      <w:pPr>
        <w:pStyle w:val="Nadpis2"/>
      </w:pPr>
      <w:r w:rsidRPr="00B01372">
        <w:t>Replicability</w:t>
      </w:r>
    </w:p>
    <w:p w14:paraId="50E7497D" w14:textId="4D180E4C" w:rsidR="00BC4C3D" w:rsidRPr="00B01372" w:rsidRDefault="00BC4C3D" w:rsidP="00BC4C3D">
      <w:pPr>
        <w:pStyle w:val="Bezriadkovania"/>
      </w:pPr>
    </w:p>
    <w:p w14:paraId="2191CE07" w14:textId="2DC55DE4" w:rsidR="001E1A57" w:rsidRPr="00B01372" w:rsidRDefault="001E1A57" w:rsidP="001E1A57">
      <w:pPr>
        <w:pStyle w:val="Bezriadkovania"/>
      </w:pPr>
      <w:r w:rsidRPr="00B01372">
        <w:t>This section should provide information allowing anyone to fully replicate the quantitative results presented in the report.</w:t>
      </w:r>
      <w:r w:rsidR="00EB057A">
        <w:t xml:space="preserve"> The data and methodologies used to compute quantitative indicators should be clearly indicated in the report or by providing the relevant documents, (this is valid for all quantitative indicators of this template).</w:t>
      </w:r>
    </w:p>
    <w:p w14:paraId="71999C03" w14:textId="3FC003C4" w:rsidR="001E1A57" w:rsidRDefault="001E1A57" w:rsidP="001E1A57">
      <w:pPr>
        <w:pStyle w:val="Bezriadkovania"/>
      </w:pPr>
    </w:p>
    <w:tbl>
      <w:tblPr>
        <w:tblStyle w:val="Mriekatabuky"/>
        <w:tblW w:w="5000" w:type="pct"/>
        <w:tblLook w:val="04A0" w:firstRow="1" w:lastRow="0" w:firstColumn="1" w:lastColumn="0" w:noHBand="0" w:noVBand="1"/>
      </w:tblPr>
      <w:tblGrid>
        <w:gridCol w:w="4612"/>
        <w:gridCol w:w="9382"/>
      </w:tblGrid>
      <w:tr w:rsidR="001E1A57" w:rsidRPr="00B01372" w14:paraId="5403ED14" w14:textId="77777777" w:rsidTr="000E55F4">
        <w:tc>
          <w:tcPr>
            <w:tcW w:w="1648" w:type="pct"/>
          </w:tcPr>
          <w:p w14:paraId="2D030525" w14:textId="77777777" w:rsidR="001E1A57" w:rsidRPr="00B01372" w:rsidRDefault="001E1A57" w:rsidP="000E55F4">
            <w:pPr>
              <w:pStyle w:val="Nadpis3"/>
              <w:outlineLvl w:val="2"/>
              <w:rPr>
                <w:b w:val="0"/>
              </w:rPr>
            </w:pPr>
            <w:r w:rsidRPr="00B01372">
              <w:rPr>
                <w:b w:val="0"/>
              </w:rPr>
              <w:t>Links to datasets used to prepare the report</w:t>
            </w:r>
          </w:p>
          <w:p w14:paraId="67E91F33" w14:textId="77777777" w:rsidR="001E1A57" w:rsidRPr="00B01372" w:rsidRDefault="001E1A57" w:rsidP="000E55F4">
            <w:pPr>
              <w:pStyle w:val="Nadpis3"/>
              <w:outlineLvl w:val="2"/>
              <w:rPr>
                <w:b w:val="0"/>
              </w:rPr>
            </w:pPr>
          </w:p>
        </w:tc>
        <w:tc>
          <w:tcPr>
            <w:tcW w:w="3352" w:type="pct"/>
          </w:tcPr>
          <w:p w14:paraId="755EE1A8" w14:textId="66F4BE24" w:rsidR="001E1A57" w:rsidRPr="00B01372" w:rsidRDefault="001E1A57" w:rsidP="000E55F4">
            <w:pPr>
              <w:pStyle w:val="Bezriadkovania"/>
            </w:pPr>
          </w:p>
        </w:tc>
      </w:tr>
      <w:tr w:rsidR="001E1A57" w:rsidRPr="00B01372" w14:paraId="544E005E" w14:textId="77777777" w:rsidTr="000E55F4">
        <w:tc>
          <w:tcPr>
            <w:tcW w:w="1648" w:type="pct"/>
          </w:tcPr>
          <w:p w14:paraId="35AB0CA1" w14:textId="77777777" w:rsidR="001E1A57" w:rsidRPr="00B01372" w:rsidRDefault="001E1A57" w:rsidP="000E55F4">
            <w:pPr>
              <w:pStyle w:val="Nadpis3"/>
              <w:outlineLvl w:val="2"/>
              <w:rPr>
                <w:b w:val="0"/>
              </w:rPr>
            </w:pPr>
            <w:r w:rsidRPr="00B01372">
              <w:rPr>
                <w:b w:val="0"/>
              </w:rPr>
              <w:t>Files used to obtain the results from the datasets</w:t>
            </w:r>
          </w:p>
        </w:tc>
        <w:tc>
          <w:tcPr>
            <w:tcW w:w="3352" w:type="pct"/>
          </w:tcPr>
          <w:p w14:paraId="7E1059B2" w14:textId="562F5AA5" w:rsidR="001E1A57" w:rsidRPr="00B01372" w:rsidRDefault="001E1A57" w:rsidP="000E55F4"/>
        </w:tc>
      </w:tr>
      <w:tr w:rsidR="001E1A57" w:rsidRPr="00B01372" w14:paraId="0B72DAC6" w14:textId="77777777" w:rsidTr="000E55F4">
        <w:tc>
          <w:tcPr>
            <w:tcW w:w="1648" w:type="pct"/>
          </w:tcPr>
          <w:p w14:paraId="4F70F5FB" w14:textId="77777777" w:rsidR="001E1A57" w:rsidRPr="00B01372" w:rsidRDefault="001E1A57" w:rsidP="000E55F4">
            <w:pPr>
              <w:pStyle w:val="Nadpis3"/>
              <w:outlineLvl w:val="2"/>
              <w:rPr>
                <w:b w:val="0"/>
              </w:rPr>
            </w:pPr>
            <w:r>
              <w:rPr>
                <w:b w:val="0"/>
              </w:rPr>
              <w:t>Other complementary data</w:t>
            </w:r>
          </w:p>
        </w:tc>
        <w:tc>
          <w:tcPr>
            <w:tcW w:w="3352" w:type="pct"/>
          </w:tcPr>
          <w:p w14:paraId="3B99843D" w14:textId="1EBCF86F" w:rsidR="001E1A57" w:rsidRPr="00B01372" w:rsidRDefault="001E1A57" w:rsidP="000E55F4"/>
        </w:tc>
      </w:tr>
    </w:tbl>
    <w:p w14:paraId="1399CAD0" w14:textId="2F95CA2F" w:rsidR="00BC4C3D" w:rsidRDefault="00BC4C3D" w:rsidP="00BD4C3B">
      <w:pPr>
        <w:pStyle w:val="Bezriadkovania"/>
      </w:pPr>
    </w:p>
    <w:p w14:paraId="207A48B7" w14:textId="0E444D94" w:rsidR="001A3D5F" w:rsidRDefault="001A3D5F" w:rsidP="00BD4C3B">
      <w:pPr>
        <w:pStyle w:val="Bezriadkovania"/>
      </w:pPr>
    </w:p>
    <w:p w14:paraId="6D60E9F9" w14:textId="77777777" w:rsidR="001A3D5F" w:rsidRPr="00B01372" w:rsidRDefault="001A3D5F" w:rsidP="00BD4C3B">
      <w:pPr>
        <w:pStyle w:val="Bezriadkovania"/>
      </w:pPr>
    </w:p>
    <w:p w14:paraId="34AB7F99" w14:textId="704D415D" w:rsidR="00BD4C3B" w:rsidRDefault="00BD4C3B" w:rsidP="00BD4C3B">
      <w:pPr>
        <w:pStyle w:val="Bezriadkovania"/>
      </w:pPr>
    </w:p>
    <w:p w14:paraId="34AB7FA4" w14:textId="39FCF30A" w:rsidR="00F94ABC" w:rsidRPr="00B01372" w:rsidRDefault="00F94ABC" w:rsidP="00193B8A">
      <w:pPr>
        <w:pStyle w:val="Bezriadkovania"/>
        <w:jc w:val="center"/>
        <w:rPr>
          <w:b/>
        </w:rPr>
      </w:pPr>
      <w:r w:rsidRPr="00B01372">
        <w:rPr>
          <w:b/>
          <w:u w:val="single"/>
        </w:rPr>
        <w:t>Annex I</w:t>
      </w:r>
      <w:r w:rsidRPr="00B01372">
        <w:rPr>
          <w:b/>
        </w:rPr>
        <w:t>:</w:t>
      </w:r>
    </w:p>
    <w:p w14:paraId="34AB7FA5" w14:textId="65489B18" w:rsidR="003E56A6" w:rsidRPr="00B01372" w:rsidRDefault="003E56A6" w:rsidP="00F94ABC">
      <w:pPr>
        <w:jc w:val="center"/>
        <w:rPr>
          <w:b/>
        </w:rPr>
      </w:pPr>
      <w:r w:rsidRPr="00B01372">
        <w:rPr>
          <w:b/>
        </w:rPr>
        <w:t xml:space="preserve">Methodology </w:t>
      </w:r>
      <w:r w:rsidR="00C314EF" w:rsidRPr="00B01372">
        <w:rPr>
          <w:b/>
        </w:rPr>
        <w:t xml:space="preserve">for </w:t>
      </w:r>
      <w:r w:rsidRPr="00B01372">
        <w:rPr>
          <w:b/>
        </w:rPr>
        <w:t>estimati</w:t>
      </w:r>
      <w:r w:rsidR="008337F4" w:rsidRPr="00B01372">
        <w:rPr>
          <w:b/>
        </w:rPr>
        <w:t>ng</w:t>
      </w:r>
      <w:r w:rsidRPr="00B01372">
        <w:rPr>
          <w:b/>
        </w:rPr>
        <w:t xml:space="preserve"> </w:t>
      </w:r>
      <w:r w:rsidR="002F225B" w:rsidRPr="00B01372">
        <w:rPr>
          <w:b/>
        </w:rPr>
        <w:t xml:space="preserve">the value </w:t>
      </w:r>
      <w:r w:rsidR="008F0018" w:rsidRPr="00B01372">
        <w:rPr>
          <w:b/>
        </w:rPr>
        <w:t xml:space="preserve">of </w:t>
      </w:r>
      <w:r w:rsidR="008F0018">
        <w:rPr>
          <w:b/>
        </w:rPr>
        <w:t>procurement</w:t>
      </w:r>
      <w:r w:rsidR="008632EA" w:rsidRPr="00B01372">
        <w:rPr>
          <w:b/>
        </w:rPr>
        <w:t>, which</w:t>
      </w:r>
      <w:r w:rsidRPr="00B01372">
        <w:rPr>
          <w:b/>
        </w:rPr>
        <w:t xml:space="preserve"> would have been covered by the directives if its value ha</w:t>
      </w:r>
      <w:r w:rsidR="00C314EF" w:rsidRPr="00B01372">
        <w:rPr>
          <w:b/>
        </w:rPr>
        <w:t>d</w:t>
      </w:r>
      <w:r w:rsidRPr="00B01372">
        <w:rPr>
          <w:b/>
        </w:rPr>
        <w:t xml:space="preserve"> exceeded the relevant thresholds</w:t>
      </w:r>
      <w:r w:rsidR="008632EA">
        <w:rPr>
          <w:b/>
        </w:rPr>
        <w:t xml:space="preserve"> and for the e</w:t>
      </w:r>
      <w:r w:rsidR="008632EA" w:rsidRPr="001B4E34">
        <w:rPr>
          <w:b/>
        </w:rPr>
        <w:t>stimation of the aggregated total value of procurement above EU thresholds</w:t>
      </w:r>
    </w:p>
    <w:p w14:paraId="34AB7FA7" w14:textId="3460CA6C" w:rsidR="003E56A6" w:rsidRPr="00B01372" w:rsidRDefault="00D24317" w:rsidP="003E56A6">
      <w:pPr>
        <w:pStyle w:val="Nadpis3"/>
      </w:pPr>
      <w:r w:rsidRPr="00B01372">
        <w:t xml:space="preserve">1. </w:t>
      </w:r>
      <w:r w:rsidR="003E56A6" w:rsidRPr="00B01372">
        <w:t xml:space="preserve">Classification and methodology </w:t>
      </w:r>
    </w:p>
    <w:p w14:paraId="34AB7FA8" w14:textId="77777777" w:rsidR="003E56A6" w:rsidRPr="00B01372" w:rsidRDefault="003E56A6" w:rsidP="003E56A6">
      <w:pPr>
        <w:pStyle w:val="Bezriadkovania"/>
        <w:ind w:left="720"/>
      </w:pPr>
    </w:p>
    <w:p w14:paraId="34AB7FA9" w14:textId="77777777" w:rsidR="003E56A6" w:rsidRPr="00B01372" w:rsidRDefault="003E56A6" w:rsidP="003E56A6">
      <w:pPr>
        <w:pStyle w:val="Bezriadkovania"/>
        <w:ind w:left="720"/>
      </w:pPr>
      <w:r w:rsidRPr="00B01372">
        <w:t>Indicate the basic characteristics of the methodology used by selecting from the options below. Description of the methodology is to be given in the subsequent section.</w:t>
      </w:r>
    </w:p>
    <w:p w14:paraId="34AB7FAA" w14:textId="77777777" w:rsidR="003E56A6" w:rsidRPr="00B01372" w:rsidRDefault="003E56A6" w:rsidP="003E56A6">
      <w:pPr>
        <w:pStyle w:val="Bezriadkovania"/>
        <w:ind w:left="360"/>
      </w:pPr>
    </w:p>
    <w:p w14:paraId="34AB7FAB" w14:textId="4A1EB066" w:rsidR="008540A7" w:rsidRPr="00EA6B62" w:rsidRDefault="00D24317" w:rsidP="00D24317">
      <w:pPr>
        <w:pStyle w:val="Nadpis4"/>
        <w:numPr>
          <w:ilvl w:val="0"/>
          <w:numId w:val="0"/>
        </w:numPr>
        <w:ind w:left="947"/>
        <w:rPr>
          <w:highlight w:val="black"/>
        </w:rPr>
      </w:pPr>
      <w:r w:rsidRPr="00B01372">
        <w:t xml:space="preserve">1.1. </w:t>
      </w:r>
      <w:r w:rsidR="003E56A6" w:rsidRPr="00B01372">
        <w:t>General approach</w:t>
      </w:r>
      <w:r w:rsidR="003E56A6" w:rsidRPr="00EA6B62">
        <w:t>:</w:t>
      </w:r>
      <w:r w:rsidR="008540A7" w:rsidRPr="00EA6B62">
        <w:br/>
      </w:r>
    </w:p>
    <w:p w14:paraId="34AB7FAC" w14:textId="67B20A8B" w:rsidR="003E56A6" w:rsidRPr="007822FE" w:rsidRDefault="003E56A6" w:rsidP="007822FE">
      <w:pPr>
        <w:pStyle w:val="Bezriadkovania"/>
        <w:numPr>
          <w:ilvl w:val="0"/>
          <w:numId w:val="32"/>
        </w:numPr>
        <w:rPr>
          <w:b/>
          <w:color w:val="FFFFFF" w:themeColor="background1"/>
        </w:rPr>
      </w:pPr>
      <w:r w:rsidRPr="00EA6B62">
        <w:rPr>
          <w:b/>
          <w:color w:val="FFFFFF" w:themeColor="background1"/>
          <w:highlight w:val="black"/>
        </w:rPr>
        <w:t>d</w:t>
      </w:r>
      <w:r w:rsidRPr="007822FE">
        <w:rPr>
          <w:b/>
          <w:color w:val="FFFFFF" w:themeColor="background1"/>
          <w:highlight w:val="black"/>
        </w:rPr>
        <w:t xml:space="preserve">ata available under national </w:t>
      </w:r>
      <w:r w:rsidR="000335CD" w:rsidRPr="007822FE">
        <w:rPr>
          <w:b/>
          <w:color w:val="FFFFFF" w:themeColor="background1"/>
          <w:highlight w:val="black"/>
        </w:rPr>
        <w:t xml:space="preserve">notice/contract </w:t>
      </w:r>
      <w:r w:rsidR="006A206B" w:rsidRPr="007822FE">
        <w:rPr>
          <w:b/>
          <w:color w:val="FFFFFF" w:themeColor="background1"/>
          <w:highlight w:val="black"/>
        </w:rPr>
        <w:t>publication requirements were used</w:t>
      </w:r>
      <w:r w:rsidR="007822FE" w:rsidRPr="007822FE">
        <w:rPr>
          <w:b/>
          <w:color w:val="FFFFFF" w:themeColor="background1"/>
        </w:rPr>
        <w:t xml:space="preserve"> </w:t>
      </w:r>
    </w:p>
    <w:p w14:paraId="34AB7FAF" w14:textId="77777777" w:rsidR="003E56A6" w:rsidRPr="00B01372" w:rsidRDefault="003E56A6" w:rsidP="003E56A6">
      <w:pPr>
        <w:pStyle w:val="Bezriadkovania"/>
      </w:pPr>
    </w:p>
    <w:p w14:paraId="34AB7FB0" w14:textId="77777777" w:rsidR="003E56A6" w:rsidRPr="00B01372" w:rsidRDefault="003E56A6" w:rsidP="008540A7">
      <w:pPr>
        <w:pStyle w:val="Bezriadkovania"/>
        <w:ind w:left="792"/>
        <w:jc w:val="both"/>
      </w:pPr>
      <w:r w:rsidRPr="00B01372">
        <w:t xml:space="preserve">Please note that in our opinion using existing administrative data is preferable, as it implies both lower administrative burden (no additional data collection is necessary) and higher data quality. </w:t>
      </w:r>
    </w:p>
    <w:p w14:paraId="34AB7FB1" w14:textId="77777777" w:rsidR="003E56A6" w:rsidRPr="00B01372" w:rsidRDefault="003E56A6" w:rsidP="008540A7">
      <w:pPr>
        <w:pStyle w:val="Bezriadkovania"/>
        <w:ind w:left="792"/>
        <w:jc w:val="both"/>
      </w:pPr>
    </w:p>
    <w:p w14:paraId="34AB7FB2" w14:textId="77777777" w:rsidR="003E56A6" w:rsidRPr="00B01372" w:rsidRDefault="003E56A6" w:rsidP="008540A7">
      <w:pPr>
        <w:pStyle w:val="Bezriadkovania"/>
        <w:ind w:left="792"/>
        <w:jc w:val="both"/>
      </w:pPr>
      <w:r w:rsidRPr="00B01372">
        <w:t xml:space="preserve">If a sampling approach is taken, both the source of the sample and the sampling methodology, provided in the following subsection, must be able to withstand careful scrutiny. This ensures that the estimate is representative of the whole Member State. </w:t>
      </w:r>
    </w:p>
    <w:p w14:paraId="34AB7FB3" w14:textId="6451BD4A" w:rsidR="003E56A6" w:rsidRDefault="003E56A6" w:rsidP="008540A7">
      <w:pPr>
        <w:pStyle w:val="Bezriadkovania"/>
        <w:ind w:left="792"/>
        <w:jc w:val="both"/>
      </w:pPr>
    </w:p>
    <w:p w14:paraId="34AB7FB4" w14:textId="50733E2B" w:rsidR="003E56A6" w:rsidRPr="00B01372" w:rsidRDefault="00D24317" w:rsidP="00D24317">
      <w:pPr>
        <w:pStyle w:val="Nadpis4"/>
        <w:numPr>
          <w:ilvl w:val="0"/>
          <w:numId w:val="0"/>
        </w:numPr>
        <w:ind w:left="947"/>
      </w:pPr>
      <w:r w:rsidRPr="00B01372">
        <w:t xml:space="preserve">1.2. </w:t>
      </w:r>
      <w:r w:rsidR="003E56A6" w:rsidRPr="00B01372">
        <w:t>Source of data:</w:t>
      </w:r>
    </w:p>
    <w:tbl>
      <w:tblPr>
        <w:tblStyle w:val="Mriekatabuky"/>
        <w:tblW w:w="0" w:type="auto"/>
        <w:tblInd w:w="360" w:type="dxa"/>
        <w:tblLook w:val="04A0" w:firstRow="1" w:lastRow="0" w:firstColumn="1" w:lastColumn="0" w:noHBand="0" w:noVBand="1"/>
      </w:tblPr>
      <w:tblGrid>
        <w:gridCol w:w="2976"/>
        <w:gridCol w:w="2976"/>
        <w:gridCol w:w="2976"/>
        <w:gridCol w:w="2976"/>
      </w:tblGrid>
      <w:tr w:rsidR="001B4E34" w:rsidRPr="00B01372" w14:paraId="34AB7FBA" w14:textId="2DB04118" w:rsidTr="000E55F4">
        <w:tc>
          <w:tcPr>
            <w:tcW w:w="2976" w:type="dxa"/>
            <w:tcBorders>
              <w:tl2br w:val="single" w:sz="4" w:space="0" w:color="auto"/>
            </w:tcBorders>
          </w:tcPr>
          <w:p w14:paraId="34AB7FB6" w14:textId="77777777" w:rsidR="001B4E34" w:rsidRPr="00B01372" w:rsidRDefault="001B4E34" w:rsidP="001B4E34">
            <w:pPr>
              <w:pStyle w:val="Bezriadkovania"/>
              <w:ind w:firstLine="1908"/>
            </w:pPr>
            <w:r w:rsidRPr="00B01372">
              <w:t xml:space="preserve">     Scope:</w:t>
            </w:r>
          </w:p>
          <w:p w14:paraId="34AB7FB7" w14:textId="77777777" w:rsidR="001B4E34" w:rsidRPr="00B01372" w:rsidRDefault="001B4E34" w:rsidP="001B4E34">
            <w:pPr>
              <w:pStyle w:val="Bezriadkovania"/>
              <w:ind w:right="1"/>
            </w:pPr>
            <w:r w:rsidRPr="00B01372">
              <w:t>Source of data:</w:t>
            </w:r>
          </w:p>
        </w:tc>
        <w:tc>
          <w:tcPr>
            <w:tcW w:w="2976" w:type="dxa"/>
          </w:tcPr>
          <w:p w14:paraId="34AB7FB8" w14:textId="77777777" w:rsidR="001B4E34" w:rsidRPr="00B01372" w:rsidRDefault="001B4E34" w:rsidP="001B4E34">
            <w:pPr>
              <w:pStyle w:val="Bezriadkovania"/>
            </w:pPr>
            <w:r w:rsidRPr="00B01372">
              <w:t>above national publication thresholds [</w:t>
            </w:r>
            <w:r w:rsidRPr="00B01372">
              <w:sym w:font="Wingdings" w:char="F0FC"/>
            </w:r>
            <w:r w:rsidRPr="00B01372">
              <w:t>]</w:t>
            </w:r>
          </w:p>
        </w:tc>
        <w:tc>
          <w:tcPr>
            <w:tcW w:w="2976" w:type="dxa"/>
          </w:tcPr>
          <w:p w14:paraId="34AB7FB9" w14:textId="77777777" w:rsidR="001B4E34" w:rsidRPr="00B01372" w:rsidRDefault="001B4E34" w:rsidP="001B4E34">
            <w:pPr>
              <w:pStyle w:val="Bezriadkovania"/>
            </w:pPr>
            <w:r w:rsidRPr="00B01372">
              <w:t>below national publication thresholds [</w:t>
            </w:r>
            <w:r w:rsidRPr="00B01372">
              <w:sym w:font="Wingdings" w:char="F0FC"/>
            </w:r>
            <w:r w:rsidRPr="00B01372">
              <w:t>]</w:t>
            </w:r>
          </w:p>
        </w:tc>
        <w:tc>
          <w:tcPr>
            <w:tcW w:w="2976" w:type="dxa"/>
          </w:tcPr>
          <w:p w14:paraId="5DBDFC73" w14:textId="2E45C8C6" w:rsidR="001B4E34" w:rsidRPr="00B01372" w:rsidRDefault="001B4E34" w:rsidP="001B4E34">
            <w:pPr>
              <w:pStyle w:val="Bezriadkovania"/>
            </w:pPr>
            <w:r>
              <w:t>Above EU</w:t>
            </w:r>
            <w:r w:rsidRPr="00B01372">
              <w:t xml:space="preserve"> thresholds [</w:t>
            </w:r>
            <w:r w:rsidRPr="00B01372">
              <w:sym w:font="Wingdings" w:char="F0FC"/>
            </w:r>
            <w:r w:rsidRPr="00B01372">
              <w:t>]</w:t>
            </w:r>
          </w:p>
        </w:tc>
      </w:tr>
      <w:tr w:rsidR="001B4E34" w:rsidRPr="00B01372" w14:paraId="34AB7FBE" w14:textId="5C8AB399" w:rsidTr="000E55F4">
        <w:tc>
          <w:tcPr>
            <w:tcW w:w="2976" w:type="dxa"/>
          </w:tcPr>
          <w:p w14:paraId="34AB7FBB" w14:textId="77777777" w:rsidR="001B4E34" w:rsidRPr="00B01372" w:rsidRDefault="001B4E34" w:rsidP="001B4E34">
            <w:pPr>
              <w:pStyle w:val="Bezriadkovania"/>
            </w:pPr>
            <w:r w:rsidRPr="00B01372">
              <w:t>[e-notification platforms]</w:t>
            </w:r>
          </w:p>
        </w:tc>
        <w:tc>
          <w:tcPr>
            <w:tcW w:w="2976" w:type="dxa"/>
          </w:tcPr>
          <w:p w14:paraId="34AB7FBC" w14:textId="77777777" w:rsidR="001B4E34" w:rsidRPr="00B01372" w:rsidRDefault="001B4E34" w:rsidP="001B4E34">
            <w:pPr>
              <w:pStyle w:val="Bezriadkovania"/>
              <w:jc w:val="center"/>
            </w:pPr>
          </w:p>
        </w:tc>
        <w:tc>
          <w:tcPr>
            <w:tcW w:w="2976" w:type="dxa"/>
          </w:tcPr>
          <w:p w14:paraId="34AB7FBD" w14:textId="77777777" w:rsidR="001B4E34" w:rsidRPr="00B01372" w:rsidRDefault="001B4E34" w:rsidP="001B4E34">
            <w:pPr>
              <w:pStyle w:val="Bezriadkovania"/>
              <w:jc w:val="center"/>
            </w:pPr>
          </w:p>
        </w:tc>
        <w:tc>
          <w:tcPr>
            <w:tcW w:w="2976" w:type="dxa"/>
          </w:tcPr>
          <w:p w14:paraId="5018DD08" w14:textId="77777777" w:rsidR="001B4E34" w:rsidRPr="00B01372" w:rsidRDefault="001B4E34" w:rsidP="001B4E34">
            <w:pPr>
              <w:pStyle w:val="Bezriadkovania"/>
              <w:jc w:val="center"/>
            </w:pPr>
          </w:p>
        </w:tc>
      </w:tr>
      <w:tr w:rsidR="001B4E34" w:rsidRPr="00B01372" w14:paraId="34AB7FC2" w14:textId="64E45DB0" w:rsidTr="000E55F4">
        <w:tc>
          <w:tcPr>
            <w:tcW w:w="2976" w:type="dxa"/>
          </w:tcPr>
          <w:p w14:paraId="34AB7FBF" w14:textId="77777777" w:rsidR="001B4E34" w:rsidRPr="00B01372" w:rsidRDefault="001B4E34" w:rsidP="001B4E34">
            <w:pPr>
              <w:pStyle w:val="Bezriadkovania"/>
            </w:pPr>
            <w:r w:rsidRPr="00B01372">
              <w:t>[e-submission platforms]</w:t>
            </w:r>
          </w:p>
        </w:tc>
        <w:tc>
          <w:tcPr>
            <w:tcW w:w="2976" w:type="dxa"/>
          </w:tcPr>
          <w:p w14:paraId="34AB7FC0" w14:textId="77777777" w:rsidR="001B4E34" w:rsidRPr="00B01372" w:rsidRDefault="001B4E34" w:rsidP="001B4E34">
            <w:pPr>
              <w:pStyle w:val="Bezriadkovania"/>
              <w:jc w:val="center"/>
            </w:pPr>
          </w:p>
        </w:tc>
        <w:tc>
          <w:tcPr>
            <w:tcW w:w="2976" w:type="dxa"/>
          </w:tcPr>
          <w:p w14:paraId="34AB7FC1" w14:textId="77777777" w:rsidR="001B4E34" w:rsidRPr="00B01372" w:rsidRDefault="001B4E34" w:rsidP="001B4E34">
            <w:pPr>
              <w:pStyle w:val="Bezriadkovania"/>
              <w:jc w:val="center"/>
            </w:pPr>
          </w:p>
        </w:tc>
        <w:tc>
          <w:tcPr>
            <w:tcW w:w="2976" w:type="dxa"/>
          </w:tcPr>
          <w:p w14:paraId="27EB045A" w14:textId="77777777" w:rsidR="001B4E34" w:rsidRPr="00B01372" w:rsidRDefault="001B4E34" w:rsidP="001B4E34">
            <w:pPr>
              <w:pStyle w:val="Bezriadkovania"/>
              <w:jc w:val="center"/>
            </w:pPr>
          </w:p>
        </w:tc>
      </w:tr>
      <w:tr w:rsidR="001B4E34" w:rsidRPr="00B01372" w14:paraId="34AB7FC6" w14:textId="7E12BB3F" w:rsidTr="000E55F4">
        <w:tc>
          <w:tcPr>
            <w:tcW w:w="2976" w:type="dxa"/>
          </w:tcPr>
          <w:p w14:paraId="34AB7FC3" w14:textId="77777777" w:rsidR="001B4E34" w:rsidRPr="00B01372" w:rsidRDefault="001B4E34" w:rsidP="001B4E34">
            <w:pPr>
              <w:pStyle w:val="Bezriadkovania"/>
            </w:pPr>
            <w:r w:rsidRPr="00B01372">
              <w:t>[invoices]</w:t>
            </w:r>
          </w:p>
        </w:tc>
        <w:tc>
          <w:tcPr>
            <w:tcW w:w="2976" w:type="dxa"/>
          </w:tcPr>
          <w:p w14:paraId="34AB7FC4" w14:textId="77777777" w:rsidR="001B4E34" w:rsidRPr="00B01372" w:rsidRDefault="001B4E34" w:rsidP="001B4E34">
            <w:pPr>
              <w:pStyle w:val="Bezriadkovania"/>
              <w:jc w:val="center"/>
            </w:pPr>
          </w:p>
        </w:tc>
        <w:tc>
          <w:tcPr>
            <w:tcW w:w="2976" w:type="dxa"/>
          </w:tcPr>
          <w:p w14:paraId="34AB7FC5" w14:textId="77777777" w:rsidR="001B4E34" w:rsidRPr="00B01372" w:rsidRDefault="001B4E34" w:rsidP="001B4E34">
            <w:pPr>
              <w:pStyle w:val="Bezriadkovania"/>
              <w:jc w:val="center"/>
            </w:pPr>
          </w:p>
        </w:tc>
        <w:tc>
          <w:tcPr>
            <w:tcW w:w="2976" w:type="dxa"/>
          </w:tcPr>
          <w:p w14:paraId="2FA655D3" w14:textId="77777777" w:rsidR="001B4E34" w:rsidRPr="00B01372" w:rsidRDefault="001B4E34" w:rsidP="001B4E34">
            <w:pPr>
              <w:pStyle w:val="Bezriadkovania"/>
              <w:jc w:val="center"/>
            </w:pPr>
          </w:p>
        </w:tc>
      </w:tr>
      <w:tr w:rsidR="001B4E34" w:rsidRPr="00B01372" w14:paraId="34AB7FCA" w14:textId="1B3755E6" w:rsidTr="000E55F4">
        <w:tc>
          <w:tcPr>
            <w:tcW w:w="2976" w:type="dxa"/>
          </w:tcPr>
          <w:p w14:paraId="34AB7FC7" w14:textId="77777777" w:rsidR="001B4E34" w:rsidRPr="00B01372" w:rsidRDefault="001B4E34" w:rsidP="001B4E34">
            <w:pPr>
              <w:pStyle w:val="Bezriadkovania"/>
            </w:pPr>
            <w:r w:rsidRPr="00B01372">
              <w:t>[budgets]</w:t>
            </w:r>
          </w:p>
        </w:tc>
        <w:tc>
          <w:tcPr>
            <w:tcW w:w="2976" w:type="dxa"/>
          </w:tcPr>
          <w:p w14:paraId="34AB7FC8" w14:textId="77777777" w:rsidR="001B4E34" w:rsidRPr="00B01372" w:rsidRDefault="001B4E34" w:rsidP="001B4E34">
            <w:pPr>
              <w:pStyle w:val="Bezriadkovania"/>
              <w:jc w:val="center"/>
            </w:pPr>
          </w:p>
        </w:tc>
        <w:tc>
          <w:tcPr>
            <w:tcW w:w="2976" w:type="dxa"/>
          </w:tcPr>
          <w:p w14:paraId="34AB7FC9" w14:textId="77777777" w:rsidR="001B4E34" w:rsidRPr="00B01372" w:rsidRDefault="001B4E34" w:rsidP="001B4E34">
            <w:pPr>
              <w:pStyle w:val="Bezriadkovania"/>
              <w:jc w:val="center"/>
            </w:pPr>
          </w:p>
        </w:tc>
        <w:tc>
          <w:tcPr>
            <w:tcW w:w="2976" w:type="dxa"/>
          </w:tcPr>
          <w:p w14:paraId="34E70EA7" w14:textId="77777777" w:rsidR="001B4E34" w:rsidRPr="00B01372" w:rsidRDefault="001B4E34" w:rsidP="001B4E34">
            <w:pPr>
              <w:pStyle w:val="Bezriadkovania"/>
              <w:jc w:val="center"/>
            </w:pPr>
          </w:p>
        </w:tc>
      </w:tr>
      <w:tr w:rsidR="001B4E34" w:rsidRPr="00B01372" w14:paraId="34AB7FCE" w14:textId="1F29FC0E" w:rsidTr="000E55F4">
        <w:tc>
          <w:tcPr>
            <w:tcW w:w="2976" w:type="dxa"/>
          </w:tcPr>
          <w:p w14:paraId="34AB7FCB" w14:textId="77777777" w:rsidR="001B4E34" w:rsidRPr="00B01372" w:rsidRDefault="001B4E34" w:rsidP="001B4E34">
            <w:pPr>
              <w:pStyle w:val="Bezriadkovania"/>
            </w:pPr>
            <w:r w:rsidRPr="00B01372">
              <w:t>[other]</w:t>
            </w:r>
          </w:p>
        </w:tc>
        <w:tc>
          <w:tcPr>
            <w:tcW w:w="2976" w:type="dxa"/>
          </w:tcPr>
          <w:p w14:paraId="34AB7FCC" w14:textId="77777777" w:rsidR="001B4E34" w:rsidRPr="00B01372" w:rsidRDefault="001B4E34" w:rsidP="001B4E34">
            <w:pPr>
              <w:pStyle w:val="Bezriadkovania"/>
              <w:jc w:val="center"/>
            </w:pPr>
          </w:p>
        </w:tc>
        <w:tc>
          <w:tcPr>
            <w:tcW w:w="2976" w:type="dxa"/>
          </w:tcPr>
          <w:p w14:paraId="34AB7FCD" w14:textId="77777777" w:rsidR="001B4E34" w:rsidRPr="00B01372" w:rsidRDefault="001B4E34" w:rsidP="001B4E34">
            <w:pPr>
              <w:pStyle w:val="Bezriadkovania"/>
              <w:jc w:val="center"/>
            </w:pPr>
          </w:p>
        </w:tc>
        <w:tc>
          <w:tcPr>
            <w:tcW w:w="2976" w:type="dxa"/>
          </w:tcPr>
          <w:p w14:paraId="28B76154" w14:textId="77777777" w:rsidR="001B4E34" w:rsidRPr="00B01372" w:rsidRDefault="001B4E34" w:rsidP="001B4E34">
            <w:pPr>
              <w:pStyle w:val="Bezriadkovania"/>
              <w:jc w:val="center"/>
            </w:pPr>
          </w:p>
        </w:tc>
      </w:tr>
    </w:tbl>
    <w:p w14:paraId="02AE6C5A" w14:textId="77777777" w:rsidR="00B1474A" w:rsidRDefault="00B1474A" w:rsidP="003E56A6">
      <w:pPr>
        <w:pStyle w:val="Nadpis3"/>
      </w:pPr>
    </w:p>
    <w:p w14:paraId="11E63015" w14:textId="77777777" w:rsidR="006E3BA2" w:rsidRDefault="006E3BA2" w:rsidP="003E56A6">
      <w:pPr>
        <w:pStyle w:val="Nadpis3"/>
      </w:pPr>
    </w:p>
    <w:p w14:paraId="1B2E4BB9" w14:textId="77777777" w:rsidR="006E3BA2" w:rsidRDefault="006E3BA2" w:rsidP="003E56A6">
      <w:pPr>
        <w:pStyle w:val="Nadpis3"/>
      </w:pPr>
    </w:p>
    <w:p w14:paraId="34AB7FD0" w14:textId="46CF564B" w:rsidR="003E56A6" w:rsidRPr="00B01372" w:rsidRDefault="00D24317" w:rsidP="003E56A6">
      <w:pPr>
        <w:pStyle w:val="Nadpis3"/>
      </w:pPr>
      <w:r w:rsidRPr="00B01372">
        <w:t xml:space="preserve">2. </w:t>
      </w:r>
      <w:r w:rsidR="003E56A6" w:rsidRPr="00B01372">
        <w:t xml:space="preserve">Methodology description  </w:t>
      </w:r>
    </w:p>
    <w:p w14:paraId="34AB8022" w14:textId="04BC2D70" w:rsidR="003E56A6" w:rsidRDefault="003E56A6" w:rsidP="0086391B">
      <w:pPr>
        <w:pStyle w:val="Bezriadkovania"/>
        <w:ind w:left="792"/>
        <w:jc w:val="both"/>
      </w:pPr>
      <w:r w:rsidRPr="00B01372">
        <w:t>Indicate, amongst others, information on the sources of data, approaches taken to deal with possible missing data and erroneous data, and representativ</w:t>
      </w:r>
      <w:r w:rsidR="00B97AC0">
        <w:t xml:space="preserve">eness </w:t>
      </w:r>
      <w:r w:rsidRPr="00B01372">
        <w:t>of the sample used (if a sample-based approach was taken). If methodology is different depending on the thresholds or source of data, please clearly indicate this, including the relevant thresholds.</w:t>
      </w:r>
    </w:p>
    <w:p w14:paraId="6C83F70D" w14:textId="77777777" w:rsidR="00D3401B" w:rsidRDefault="00D3401B" w:rsidP="0086391B">
      <w:pPr>
        <w:pStyle w:val="Bezriadkovania"/>
        <w:ind w:left="792"/>
        <w:jc w:val="both"/>
        <w:rPr>
          <w:b/>
          <w:u w:val="single"/>
        </w:rPr>
      </w:pPr>
    </w:p>
    <w:p w14:paraId="4D9D2027" w14:textId="77777777" w:rsidR="002A2338" w:rsidRDefault="002A2338" w:rsidP="00024281">
      <w:pPr>
        <w:pStyle w:val="Bezriadkovania"/>
        <w:ind w:left="5832" w:firstLine="648"/>
        <w:jc w:val="both"/>
        <w:rPr>
          <w:b/>
          <w:u w:val="single"/>
        </w:rPr>
      </w:pPr>
    </w:p>
    <w:p w14:paraId="0B4CE55B" w14:textId="77777777" w:rsidR="002A2338" w:rsidRDefault="002A2338" w:rsidP="00024281">
      <w:pPr>
        <w:pStyle w:val="Bezriadkovania"/>
        <w:ind w:left="5832" w:firstLine="648"/>
        <w:jc w:val="both"/>
        <w:rPr>
          <w:b/>
          <w:u w:val="single"/>
        </w:rPr>
      </w:pPr>
    </w:p>
    <w:p w14:paraId="040D1F24" w14:textId="6A420A3B" w:rsidR="00157414" w:rsidRDefault="00024281" w:rsidP="00024281">
      <w:pPr>
        <w:pStyle w:val="Bezriadkovania"/>
        <w:ind w:left="5832" w:firstLine="648"/>
        <w:jc w:val="both"/>
        <w:rPr>
          <w:b/>
        </w:rPr>
      </w:pPr>
      <w:r w:rsidRPr="00B01372">
        <w:rPr>
          <w:b/>
          <w:u w:val="single"/>
        </w:rPr>
        <w:t xml:space="preserve">Annex </w:t>
      </w:r>
      <w:r>
        <w:rPr>
          <w:b/>
          <w:u w:val="single"/>
        </w:rPr>
        <w:t>I</w:t>
      </w:r>
      <w:r w:rsidRPr="00B01372">
        <w:rPr>
          <w:b/>
          <w:u w:val="single"/>
        </w:rPr>
        <w:t>I</w:t>
      </w:r>
      <w:r w:rsidRPr="00B01372">
        <w:rPr>
          <w:b/>
        </w:rPr>
        <w:t>:</w:t>
      </w:r>
    </w:p>
    <w:p w14:paraId="028F7811" w14:textId="77777777" w:rsidR="002A2338" w:rsidRDefault="002A2338" w:rsidP="00024281">
      <w:pPr>
        <w:pStyle w:val="Bezriadkovania"/>
        <w:ind w:left="5832" w:firstLine="648"/>
        <w:jc w:val="both"/>
      </w:pPr>
    </w:p>
    <w:p w14:paraId="11A8DECC" w14:textId="43FBFAE9" w:rsidR="00B64CA0" w:rsidRDefault="00024281" w:rsidP="00157414">
      <w:pPr>
        <w:jc w:val="center"/>
        <w:rPr>
          <w:b/>
          <w:u w:val="single"/>
        </w:rPr>
      </w:pPr>
      <w:r w:rsidRPr="00024281">
        <w:rPr>
          <w:noProof/>
          <w:lang w:val="sk-SK" w:eastAsia="sk-SK"/>
        </w:rPr>
        <w:drawing>
          <wp:inline distT="0" distB="0" distL="0" distR="0" wp14:anchorId="37DF88E8" wp14:editId="03F6A2E2">
            <wp:extent cx="6715125" cy="2581275"/>
            <wp:effectExtent l="0" t="0" r="9525" b="952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715125" cy="2581275"/>
                    </a:xfrm>
                    <a:prstGeom prst="rect">
                      <a:avLst/>
                    </a:prstGeom>
                    <a:noFill/>
                    <a:ln>
                      <a:noFill/>
                    </a:ln>
                  </pic:spPr>
                </pic:pic>
              </a:graphicData>
            </a:graphic>
          </wp:inline>
        </w:drawing>
      </w:r>
    </w:p>
    <w:p w14:paraId="60118D2D" w14:textId="77777777" w:rsidR="00B64CA0" w:rsidRDefault="00B64CA0" w:rsidP="00157414">
      <w:pPr>
        <w:jc w:val="center"/>
        <w:rPr>
          <w:b/>
          <w:u w:val="single"/>
        </w:rPr>
      </w:pPr>
    </w:p>
    <w:p w14:paraId="3915DDDB" w14:textId="77777777" w:rsidR="00F654F3" w:rsidRDefault="00F654F3" w:rsidP="00945E73">
      <w:pPr>
        <w:jc w:val="center"/>
        <w:rPr>
          <w:b/>
          <w:u w:val="single"/>
        </w:rPr>
      </w:pPr>
    </w:p>
    <w:p w14:paraId="1A23ED58" w14:textId="77777777" w:rsidR="00F654F3" w:rsidRDefault="00F654F3" w:rsidP="00945E73">
      <w:pPr>
        <w:jc w:val="center"/>
        <w:rPr>
          <w:b/>
          <w:u w:val="single"/>
        </w:rPr>
      </w:pPr>
    </w:p>
    <w:p w14:paraId="2B204AAE" w14:textId="54FDD69A" w:rsidR="00F654F3" w:rsidRDefault="00F654F3" w:rsidP="00945E73">
      <w:pPr>
        <w:jc w:val="center"/>
        <w:rPr>
          <w:b/>
          <w:u w:val="single"/>
        </w:rPr>
      </w:pPr>
    </w:p>
    <w:p w14:paraId="69D1FB33" w14:textId="7B369773" w:rsidR="00945E73" w:rsidRPr="009D214A" w:rsidRDefault="00945E73" w:rsidP="00945E73">
      <w:pPr>
        <w:jc w:val="center"/>
        <w:rPr>
          <w:b/>
        </w:rPr>
      </w:pPr>
      <w:r w:rsidRPr="009D214A">
        <w:rPr>
          <w:b/>
          <w:u w:val="single"/>
        </w:rPr>
        <w:t>Annex III</w:t>
      </w:r>
      <w:r w:rsidRPr="009D214A">
        <w:rPr>
          <w:b/>
        </w:rPr>
        <w:t>:</w:t>
      </w:r>
    </w:p>
    <w:tbl>
      <w:tblPr>
        <w:tblW w:w="12940" w:type="dxa"/>
        <w:tblInd w:w="108" w:type="dxa"/>
        <w:tblLook w:val="04A0" w:firstRow="1" w:lastRow="0" w:firstColumn="1" w:lastColumn="0" w:noHBand="0" w:noVBand="1"/>
      </w:tblPr>
      <w:tblGrid>
        <w:gridCol w:w="4592"/>
        <w:gridCol w:w="2661"/>
        <w:gridCol w:w="2835"/>
        <w:gridCol w:w="2852"/>
      </w:tblGrid>
      <w:tr w:rsidR="001D5E2C" w:rsidRPr="001D5E2C" w14:paraId="0C866987" w14:textId="77777777" w:rsidTr="002A2338">
        <w:trPr>
          <w:trHeight w:val="501"/>
        </w:trPr>
        <w:tc>
          <w:tcPr>
            <w:tcW w:w="4592" w:type="dxa"/>
            <w:tcBorders>
              <w:top w:val="single" w:sz="4" w:space="0" w:color="auto"/>
              <w:left w:val="single" w:sz="8" w:space="0" w:color="auto"/>
              <w:bottom w:val="nil"/>
              <w:right w:val="single" w:sz="4" w:space="0" w:color="auto"/>
            </w:tcBorders>
            <w:shd w:val="clear" w:color="auto" w:fill="auto"/>
            <w:vAlign w:val="center"/>
            <w:hideMark/>
          </w:tcPr>
          <w:p w14:paraId="1B8ED6AB" w14:textId="77777777" w:rsidR="001D5E2C" w:rsidRPr="001D5E2C" w:rsidRDefault="001D5E2C" w:rsidP="001D5E2C">
            <w:pPr>
              <w:spacing w:after="0" w:line="240" w:lineRule="auto"/>
              <w:jc w:val="center"/>
              <w:rPr>
                <w:rFonts w:ascii="Calibri" w:eastAsia="Times New Roman" w:hAnsi="Calibri" w:cs="Calibri"/>
                <w:b/>
                <w:bCs/>
                <w:color w:val="000000"/>
                <w:lang w:eastAsia="en-GB"/>
              </w:rPr>
            </w:pPr>
            <w:r w:rsidRPr="001D5E2C">
              <w:rPr>
                <w:rFonts w:ascii="Calibri" w:eastAsia="Times New Roman" w:hAnsi="Calibri" w:cs="Calibri"/>
                <w:b/>
                <w:bCs/>
                <w:color w:val="000000"/>
                <w:lang w:eastAsia="en-GB"/>
              </w:rPr>
              <w:t> </w:t>
            </w:r>
          </w:p>
        </w:tc>
        <w:tc>
          <w:tcPr>
            <w:tcW w:w="2661" w:type="dxa"/>
            <w:tcBorders>
              <w:top w:val="single" w:sz="4" w:space="0" w:color="auto"/>
              <w:left w:val="nil"/>
              <w:bottom w:val="nil"/>
              <w:right w:val="single" w:sz="4" w:space="0" w:color="auto"/>
            </w:tcBorders>
            <w:shd w:val="clear" w:color="auto" w:fill="auto"/>
            <w:vAlign w:val="center"/>
            <w:hideMark/>
          </w:tcPr>
          <w:p w14:paraId="51CE2E5E" w14:textId="1CA9AD7B" w:rsidR="001D5E2C" w:rsidRPr="001D5E2C" w:rsidRDefault="001D5E2C" w:rsidP="001D5E2C">
            <w:pPr>
              <w:spacing w:after="0" w:line="240" w:lineRule="auto"/>
              <w:jc w:val="center"/>
              <w:rPr>
                <w:rFonts w:ascii="Calibri" w:eastAsia="Times New Roman" w:hAnsi="Calibri" w:cs="Calibri"/>
                <w:b/>
                <w:bCs/>
                <w:color w:val="000000"/>
                <w:lang w:eastAsia="en-GB"/>
              </w:rPr>
            </w:pPr>
            <w:r w:rsidRPr="001D5E2C">
              <w:rPr>
                <w:rFonts w:ascii="Calibri" w:eastAsia="Times New Roman" w:hAnsi="Calibri" w:cs="Calibri"/>
                <w:b/>
                <w:bCs/>
                <w:color w:val="000000"/>
                <w:lang w:eastAsia="en-GB"/>
              </w:rPr>
              <w:t>201</w:t>
            </w:r>
            <w:r w:rsidR="009E668F">
              <w:rPr>
                <w:rFonts w:ascii="Calibri" w:eastAsia="Times New Roman" w:hAnsi="Calibri" w:cs="Calibri"/>
                <w:b/>
                <w:bCs/>
                <w:color w:val="000000"/>
                <w:lang w:eastAsia="en-GB"/>
              </w:rPr>
              <w:t>8</w:t>
            </w:r>
          </w:p>
        </w:tc>
        <w:tc>
          <w:tcPr>
            <w:tcW w:w="2835" w:type="dxa"/>
            <w:tcBorders>
              <w:top w:val="single" w:sz="4" w:space="0" w:color="auto"/>
              <w:left w:val="nil"/>
              <w:bottom w:val="nil"/>
              <w:right w:val="single" w:sz="4" w:space="0" w:color="auto"/>
            </w:tcBorders>
            <w:shd w:val="clear" w:color="auto" w:fill="auto"/>
            <w:vAlign w:val="center"/>
            <w:hideMark/>
          </w:tcPr>
          <w:p w14:paraId="6DD5BA97" w14:textId="3471172F" w:rsidR="001D5E2C" w:rsidRPr="001D5E2C" w:rsidRDefault="001D5E2C" w:rsidP="001D5E2C">
            <w:pPr>
              <w:spacing w:after="0" w:line="240" w:lineRule="auto"/>
              <w:jc w:val="center"/>
              <w:rPr>
                <w:rFonts w:ascii="Calibri" w:eastAsia="Times New Roman" w:hAnsi="Calibri" w:cs="Calibri"/>
                <w:b/>
                <w:bCs/>
                <w:color w:val="000000"/>
                <w:lang w:eastAsia="en-GB"/>
              </w:rPr>
            </w:pPr>
            <w:r w:rsidRPr="001D5E2C">
              <w:rPr>
                <w:rFonts w:ascii="Calibri" w:eastAsia="Times New Roman" w:hAnsi="Calibri" w:cs="Calibri"/>
                <w:b/>
                <w:bCs/>
                <w:color w:val="000000"/>
                <w:lang w:eastAsia="en-GB"/>
              </w:rPr>
              <w:t>201</w:t>
            </w:r>
            <w:r w:rsidR="009E668F">
              <w:rPr>
                <w:rFonts w:ascii="Calibri" w:eastAsia="Times New Roman" w:hAnsi="Calibri" w:cs="Calibri"/>
                <w:b/>
                <w:bCs/>
                <w:color w:val="000000"/>
                <w:lang w:eastAsia="en-GB"/>
              </w:rPr>
              <w:t>9</w:t>
            </w:r>
          </w:p>
        </w:tc>
        <w:tc>
          <w:tcPr>
            <w:tcW w:w="2852" w:type="dxa"/>
            <w:tcBorders>
              <w:top w:val="single" w:sz="4" w:space="0" w:color="auto"/>
              <w:left w:val="nil"/>
              <w:bottom w:val="nil"/>
              <w:right w:val="single" w:sz="8" w:space="0" w:color="auto"/>
            </w:tcBorders>
            <w:shd w:val="clear" w:color="auto" w:fill="auto"/>
            <w:vAlign w:val="center"/>
            <w:hideMark/>
          </w:tcPr>
          <w:p w14:paraId="3B642905" w14:textId="376CB82D" w:rsidR="001D5E2C" w:rsidRPr="001D5E2C" w:rsidRDefault="001D5E2C" w:rsidP="001D5E2C">
            <w:pPr>
              <w:spacing w:after="0" w:line="240" w:lineRule="auto"/>
              <w:jc w:val="center"/>
              <w:rPr>
                <w:rFonts w:ascii="Calibri" w:eastAsia="Times New Roman" w:hAnsi="Calibri" w:cs="Calibri"/>
                <w:b/>
                <w:bCs/>
                <w:color w:val="000000"/>
                <w:lang w:eastAsia="en-GB"/>
              </w:rPr>
            </w:pPr>
            <w:r w:rsidRPr="001D5E2C">
              <w:rPr>
                <w:rFonts w:ascii="Calibri" w:eastAsia="Times New Roman" w:hAnsi="Calibri" w:cs="Calibri"/>
                <w:b/>
                <w:bCs/>
                <w:color w:val="000000"/>
                <w:lang w:eastAsia="en-GB"/>
              </w:rPr>
              <w:t>20</w:t>
            </w:r>
            <w:r w:rsidR="009E668F">
              <w:rPr>
                <w:rFonts w:ascii="Calibri" w:eastAsia="Times New Roman" w:hAnsi="Calibri" w:cs="Calibri"/>
                <w:b/>
                <w:bCs/>
                <w:color w:val="000000"/>
                <w:lang w:eastAsia="en-GB"/>
              </w:rPr>
              <w:t>20</w:t>
            </w:r>
          </w:p>
        </w:tc>
      </w:tr>
      <w:tr w:rsidR="001D5E2C" w:rsidRPr="001D5E2C" w14:paraId="386CE2EC" w14:textId="77777777" w:rsidTr="002A2338">
        <w:trPr>
          <w:trHeight w:val="501"/>
        </w:trPr>
        <w:tc>
          <w:tcPr>
            <w:tcW w:w="4592"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B8B292D" w14:textId="77777777" w:rsidR="001D5E2C" w:rsidRPr="001D5E2C" w:rsidRDefault="001D5E2C" w:rsidP="001D5E2C">
            <w:pPr>
              <w:spacing w:after="0" w:line="240" w:lineRule="auto"/>
              <w:rPr>
                <w:rFonts w:ascii="Calibri" w:eastAsia="Times New Roman" w:hAnsi="Calibri" w:cs="Calibri"/>
                <w:b/>
                <w:bCs/>
                <w:color w:val="000000"/>
                <w:lang w:eastAsia="en-GB"/>
              </w:rPr>
            </w:pPr>
            <w:r w:rsidRPr="001D5E2C">
              <w:rPr>
                <w:rFonts w:ascii="Calibri" w:eastAsia="Times New Roman" w:hAnsi="Calibri" w:cs="Calibri"/>
                <w:b/>
                <w:bCs/>
                <w:color w:val="000000"/>
                <w:lang w:eastAsia="en-GB"/>
              </w:rPr>
              <w:t>Number of decisions</w:t>
            </w:r>
          </w:p>
        </w:tc>
        <w:tc>
          <w:tcPr>
            <w:tcW w:w="2661" w:type="dxa"/>
            <w:tcBorders>
              <w:top w:val="single" w:sz="8" w:space="0" w:color="auto"/>
              <w:left w:val="nil"/>
              <w:bottom w:val="single" w:sz="4" w:space="0" w:color="auto"/>
              <w:right w:val="single" w:sz="4" w:space="0" w:color="auto"/>
            </w:tcBorders>
            <w:shd w:val="clear" w:color="auto" w:fill="auto"/>
            <w:vAlign w:val="center"/>
            <w:hideMark/>
          </w:tcPr>
          <w:p w14:paraId="44B7619D" w14:textId="677409FD" w:rsidR="001D5E2C" w:rsidRPr="001A3D5F" w:rsidRDefault="001D5E2C" w:rsidP="001D5E2C">
            <w:pPr>
              <w:spacing w:after="0" w:line="240" w:lineRule="auto"/>
              <w:jc w:val="center"/>
              <w:rPr>
                <w:rFonts w:ascii="Calibri" w:eastAsia="Times New Roman" w:hAnsi="Calibri" w:cs="Calibri"/>
                <w:b/>
                <w:bCs/>
                <w:color w:val="000000"/>
                <w:lang w:val="en-US" w:eastAsia="en-GB"/>
              </w:rPr>
            </w:pPr>
            <w:r w:rsidRPr="001D5E2C">
              <w:rPr>
                <w:rFonts w:ascii="Calibri" w:eastAsia="Times New Roman" w:hAnsi="Calibri" w:cs="Calibri"/>
                <w:b/>
                <w:bCs/>
                <w:color w:val="000000"/>
                <w:lang w:eastAsia="en-GB"/>
              </w:rPr>
              <w:t> </w:t>
            </w:r>
            <w:r w:rsidR="001A3D5F">
              <w:rPr>
                <w:rFonts w:ascii="Calibri" w:eastAsia="Times New Roman" w:hAnsi="Calibri" w:cs="Calibri"/>
                <w:b/>
                <w:bCs/>
                <w:color w:val="000000"/>
                <w:lang w:val="en-US" w:eastAsia="en-GB"/>
              </w:rPr>
              <w:t>215</w:t>
            </w:r>
          </w:p>
        </w:tc>
        <w:tc>
          <w:tcPr>
            <w:tcW w:w="2835" w:type="dxa"/>
            <w:tcBorders>
              <w:top w:val="single" w:sz="8" w:space="0" w:color="auto"/>
              <w:left w:val="nil"/>
              <w:bottom w:val="single" w:sz="4" w:space="0" w:color="auto"/>
              <w:right w:val="single" w:sz="4" w:space="0" w:color="auto"/>
            </w:tcBorders>
            <w:shd w:val="clear" w:color="auto" w:fill="auto"/>
            <w:vAlign w:val="center"/>
            <w:hideMark/>
          </w:tcPr>
          <w:p w14:paraId="4A289BB3" w14:textId="2F548AED" w:rsidR="001D5E2C" w:rsidRPr="001D5E2C" w:rsidRDefault="001A3D5F" w:rsidP="001D5E2C">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289</w:t>
            </w:r>
            <w:r w:rsidR="001D5E2C" w:rsidRPr="001D5E2C">
              <w:rPr>
                <w:rFonts w:ascii="Calibri" w:eastAsia="Times New Roman" w:hAnsi="Calibri" w:cs="Calibri"/>
                <w:b/>
                <w:bCs/>
                <w:color w:val="000000"/>
                <w:lang w:eastAsia="en-GB"/>
              </w:rPr>
              <w:t> </w:t>
            </w:r>
          </w:p>
        </w:tc>
        <w:tc>
          <w:tcPr>
            <w:tcW w:w="2852" w:type="dxa"/>
            <w:tcBorders>
              <w:top w:val="single" w:sz="8" w:space="0" w:color="auto"/>
              <w:left w:val="nil"/>
              <w:bottom w:val="single" w:sz="4" w:space="0" w:color="auto"/>
              <w:right w:val="single" w:sz="8" w:space="0" w:color="auto"/>
            </w:tcBorders>
            <w:shd w:val="clear" w:color="auto" w:fill="auto"/>
            <w:vAlign w:val="center"/>
            <w:hideMark/>
          </w:tcPr>
          <w:p w14:paraId="12EA0FCD" w14:textId="7ECB07A8" w:rsidR="001D5E2C" w:rsidRPr="001D5E2C" w:rsidRDefault="001A3D5F" w:rsidP="001D5E2C">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356</w:t>
            </w:r>
            <w:r w:rsidR="001D5E2C" w:rsidRPr="001D5E2C">
              <w:rPr>
                <w:rFonts w:ascii="Calibri" w:eastAsia="Times New Roman" w:hAnsi="Calibri" w:cs="Calibri"/>
                <w:b/>
                <w:bCs/>
                <w:color w:val="000000"/>
                <w:lang w:eastAsia="en-GB"/>
              </w:rPr>
              <w:t> </w:t>
            </w:r>
          </w:p>
        </w:tc>
      </w:tr>
      <w:tr w:rsidR="001D5E2C" w:rsidRPr="001D5E2C" w14:paraId="473989E2" w14:textId="77777777" w:rsidTr="002A2338">
        <w:trPr>
          <w:trHeight w:val="501"/>
        </w:trPr>
        <w:tc>
          <w:tcPr>
            <w:tcW w:w="4592" w:type="dxa"/>
            <w:tcBorders>
              <w:top w:val="nil"/>
              <w:left w:val="single" w:sz="8" w:space="0" w:color="auto"/>
              <w:bottom w:val="single" w:sz="4" w:space="0" w:color="auto"/>
              <w:right w:val="single" w:sz="4" w:space="0" w:color="auto"/>
            </w:tcBorders>
            <w:shd w:val="clear" w:color="auto" w:fill="auto"/>
            <w:vAlign w:val="center"/>
            <w:hideMark/>
          </w:tcPr>
          <w:p w14:paraId="444A3B18" w14:textId="77777777" w:rsidR="001D5E2C" w:rsidRPr="001D5E2C" w:rsidRDefault="001D5E2C" w:rsidP="001D5E2C">
            <w:pPr>
              <w:spacing w:after="0" w:line="240" w:lineRule="auto"/>
              <w:rPr>
                <w:rFonts w:ascii="Calibri" w:eastAsia="Times New Roman" w:hAnsi="Calibri" w:cs="Calibri"/>
                <w:b/>
                <w:bCs/>
                <w:color w:val="000000"/>
                <w:lang w:eastAsia="en-GB"/>
              </w:rPr>
            </w:pPr>
            <w:r w:rsidRPr="001D5E2C">
              <w:rPr>
                <w:rFonts w:ascii="Calibri" w:eastAsia="Times New Roman" w:hAnsi="Calibri" w:cs="Calibri"/>
                <w:b/>
                <w:bCs/>
                <w:color w:val="000000"/>
                <w:lang w:eastAsia="en-GB"/>
              </w:rPr>
              <w:t xml:space="preserve">   upon a complaint</w:t>
            </w:r>
          </w:p>
        </w:tc>
        <w:tc>
          <w:tcPr>
            <w:tcW w:w="2661" w:type="dxa"/>
            <w:tcBorders>
              <w:top w:val="nil"/>
              <w:left w:val="nil"/>
              <w:bottom w:val="single" w:sz="4" w:space="0" w:color="auto"/>
              <w:right w:val="single" w:sz="4" w:space="0" w:color="auto"/>
            </w:tcBorders>
            <w:shd w:val="clear" w:color="auto" w:fill="auto"/>
            <w:vAlign w:val="center"/>
            <w:hideMark/>
          </w:tcPr>
          <w:p w14:paraId="6EC9ECDF" w14:textId="16CDCF9A" w:rsidR="001D5E2C" w:rsidRPr="001D5E2C" w:rsidRDefault="001D5E2C" w:rsidP="001D5E2C">
            <w:pPr>
              <w:spacing w:after="0" w:line="240" w:lineRule="auto"/>
              <w:jc w:val="center"/>
              <w:rPr>
                <w:rFonts w:ascii="Calibri" w:eastAsia="Times New Roman" w:hAnsi="Calibri" w:cs="Calibri"/>
                <w:b/>
                <w:bCs/>
                <w:color w:val="000000"/>
                <w:lang w:eastAsia="en-GB"/>
              </w:rPr>
            </w:pPr>
            <w:r w:rsidRPr="001D5E2C">
              <w:rPr>
                <w:rFonts w:ascii="Calibri" w:eastAsia="Times New Roman" w:hAnsi="Calibri" w:cs="Calibri"/>
                <w:b/>
                <w:bCs/>
                <w:color w:val="000000"/>
                <w:lang w:eastAsia="en-GB"/>
              </w:rPr>
              <w:t> </w:t>
            </w:r>
            <w:r w:rsidR="001A3D5F">
              <w:rPr>
                <w:rFonts w:ascii="Calibri" w:eastAsia="Times New Roman" w:hAnsi="Calibri" w:cs="Calibri"/>
                <w:b/>
                <w:bCs/>
                <w:color w:val="000000"/>
                <w:lang w:eastAsia="en-GB"/>
              </w:rPr>
              <w:t>215</w:t>
            </w:r>
          </w:p>
        </w:tc>
        <w:tc>
          <w:tcPr>
            <w:tcW w:w="2835" w:type="dxa"/>
            <w:tcBorders>
              <w:top w:val="nil"/>
              <w:left w:val="nil"/>
              <w:bottom w:val="single" w:sz="4" w:space="0" w:color="auto"/>
              <w:right w:val="single" w:sz="4" w:space="0" w:color="auto"/>
            </w:tcBorders>
            <w:shd w:val="clear" w:color="auto" w:fill="auto"/>
            <w:vAlign w:val="center"/>
            <w:hideMark/>
          </w:tcPr>
          <w:p w14:paraId="53910918" w14:textId="4B52C965" w:rsidR="001D5E2C" w:rsidRPr="001D5E2C" w:rsidRDefault="001A3D5F" w:rsidP="001D5E2C">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289</w:t>
            </w:r>
            <w:r w:rsidR="001D5E2C" w:rsidRPr="001D5E2C">
              <w:rPr>
                <w:rFonts w:ascii="Calibri" w:eastAsia="Times New Roman" w:hAnsi="Calibri" w:cs="Calibri"/>
                <w:b/>
                <w:bCs/>
                <w:color w:val="000000"/>
                <w:lang w:eastAsia="en-GB"/>
              </w:rPr>
              <w:t> </w:t>
            </w:r>
          </w:p>
        </w:tc>
        <w:tc>
          <w:tcPr>
            <w:tcW w:w="2852" w:type="dxa"/>
            <w:tcBorders>
              <w:top w:val="nil"/>
              <w:left w:val="nil"/>
              <w:bottom w:val="single" w:sz="4" w:space="0" w:color="auto"/>
              <w:right w:val="single" w:sz="8" w:space="0" w:color="auto"/>
            </w:tcBorders>
            <w:shd w:val="clear" w:color="auto" w:fill="auto"/>
            <w:vAlign w:val="center"/>
            <w:hideMark/>
          </w:tcPr>
          <w:p w14:paraId="7E16AEB6" w14:textId="4E2CAC32" w:rsidR="001D5E2C" w:rsidRPr="001D5E2C" w:rsidRDefault="001A3D5F" w:rsidP="001D5E2C">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356</w:t>
            </w:r>
            <w:r w:rsidR="001D5E2C" w:rsidRPr="001D5E2C">
              <w:rPr>
                <w:rFonts w:ascii="Calibri" w:eastAsia="Times New Roman" w:hAnsi="Calibri" w:cs="Calibri"/>
                <w:b/>
                <w:bCs/>
                <w:color w:val="000000"/>
                <w:lang w:eastAsia="en-GB"/>
              </w:rPr>
              <w:t> </w:t>
            </w:r>
          </w:p>
        </w:tc>
      </w:tr>
      <w:tr w:rsidR="001D5E2C" w:rsidRPr="001D5E2C" w14:paraId="06E992FD" w14:textId="77777777" w:rsidTr="002A2338">
        <w:trPr>
          <w:trHeight w:val="501"/>
        </w:trPr>
        <w:tc>
          <w:tcPr>
            <w:tcW w:w="4592" w:type="dxa"/>
            <w:tcBorders>
              <w:top w:val="nil"/>
              <w:left w:val="single" w:sz="8" w:space="0" w:color="auto"/>
              <w:bottom w:val="single" w:sz="4" w:space="0" w:color="auto"/>
              <w:right w:val="single" w:sz="4" w:space="0" w:color="auto"/>
            </w:tcBorders>
            <w:shd w:val="clear" w:color="auto" w:fill="auto"/>
            <w:vAlign w:val="center"/>
            <w:hideMark/>
          </w:tcPr>
          <w:p w14:paraId="056B700F" w14:textId="77777777" w:rsidR="001D5E2C" w:rsidRPr="001D5E2C" w:rsidRDefault="001D5E2C" w:rsidP="001D5E2C">
            <w:pPr>
              <w:spacing w:after="0" w:line="240" w:lineRule="auto"/>
              <w:rPr>
                <w:rFonts w:ascii="Calibri" w:eastAsia="Times New Roman" w:hAnsi="Calibri" w:cs="Calibri"/>
                <w:b/>
                <w:bCs/>
                <w:i/>
                <w:iCs/>
                <w:color w:val="000000"/>
                <w:lang w:eastAsia="en-GB"/>
              </w:rPr>
            </w:pPr>
            <w:r w:rsidRPr="001D5E2C">
              <w:rPr>
                <w:rFonts w:ascii="Calibri" w:eastAsia="Times New Roman" w:hAnsi="Calibri" w:cs="Calibri"/>
                <w:b/>
                <w:bCs/>
                <w:i/>
                <w:iCs/>
                <w:color w:val="000000"/>
                <w:lang w:eastAsia="en-GB"/>
              </w:rPr>
              <w:t xml:space="preserve">   ex officio</w:t>
            </w:r>
          </w:p>
        </w:tc>
        <w:tc>
          <w:tcPr>
            <w:tcW w:w="2661" w:type="dxa"/>
            <w:tcBorders>
              <w:top w:val="nil"/>
              <w:left w:val="nil"/>
              <w:bottom w:val="single" w:sz="4" w:space="0" w:color="auto"/>
              <w:right w:val="single" w:sz="4" w:space="0" w:color="auto"/>
            </w:tcBorders>
            <w:shd w:val="clear" w:color="auto" w:fill="auto"/>
            <w:vAlign w:val="center"/>
            <w:hideMark/>
          </w:tcPr>
          <w:p w14:paraId="05B69178" w14:textId="5FAC3471" w:rsidR="001D5E2C" w:rsidRPr="001D5E2C" w:rsidRDefault="00AD1CF6" w:rsidP="001D5E2C">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 xml:space="preserve">    </w:t>
            </w:r>
            <w:r w:rsidR="001A3D5F">
              <w:rPr>
                <w:rFonts w:ascii="Calibri" w:eastAsia="Times New Roman" w:hAnsi="Calibri" w:cs="Calibri"/>
                <w:b/>
                <w:bCs/>
                <w:color w:val="000000"/>
                <w:lang w:eastAsia="en-GB"/>
              </w:rPr>
              <w:t>0</w:t>
            </w:r>
            <w:r w:rsidR="001D5E2C" w:rsidRPr="001D5E2C">
              <w:rPr>
                <w:rFonts w:ascii="Calibri" w:eastAsia="Times New Roman" w:hAnsi="Calibri" w:cs="Calibri"/>
                <w:b/>
                <w:bCs/>
                <w:color w:val="000000"/>
                <w:lang w:eastAsia="en-GB"/>
              </w:rPr>
              <w:t> </w:t>
            </w:r>
          </w:p>
        </w:tc>
        <w:tc>
          <w:tcPr>
            <w:tcW w:w="2835" w:type="dxa"/>
            <w:tcBorders>
              <w:top w:val="nil"/>
              <w:left w:val="nil"/>
              <w:bottom w:val="single" w:sz="4" w:space="0" w:color="auto"/>
              <w:right w:val="single" w:sz="4" w:space="0" w:color="auto"/>
            </w:tcBorders>
            <w:shd w:val="clear" w:color="auto" w:fill="auto"/>
            <w:vAlign w:val="center"/>
            <w:hideMark/>
          </w:tcPr>
          <w:p w14:paraId="47F76DE7" w14:textId="758E10D3" w:rsidR="001D5E2C" w:rsidRPr="001D5E2C" w:rsidRDefault="00AD1CF6" w:rsidP="001D5E2C">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 xml:space="preserve">   </w:t>
            </w:r>
            <w:r w:rsidR="001A3D5F">
              <w:rPr>
                <w:rFonts w:ascii="Calibri" w:eastAsia="Times New Roman" w:hAnsi="Calibri" w:cs="Calibri"/>
                <w:b/>
                <w:bCs/>
                <w:color w:val="000000"/>
                <w:lang w:eastAsia="en-GB"/>
              </w:rPr>
              <w:t>0</w:t>
            </w:r>
            <w:r w:rsidR="001D5E2C" w:rsidRPr="001D5E2C">
              <w:rPr>
                <w:rFonts w:ascii="Calibri" w:eastAsia="Times New Roman" w:hAnsi="Calibri" w:cs="Calibri"/>
                <w:b/>
                <w:bCs/>
                <w:color w:val="000000"/>
                <w:lang w:eastAsia="en-GB"/>
              </w:rPr>
              <w:t> </w:t>
            </w:r>
          </w:p>
        </w:tc>
        <w:tc>
          <w:tcPr>
            <w:tcW w:w="2852" w:type="dxa"/>
            <w:tcBorders>
              <w:top w:val="nil"/>
              <w:left w:val="nil"/>
              <w:bottom w:val="single" w:sz="4" w:space="0" w:color="auto"/>
              <w:right w:val="single" w:sz="8" w:space="0" w:color="auto"/>
            </w:tcBorders>
            <w:shd w:val="clear" w:color="auto" w:fill="auto"/>
            <w:vAlign w:val="center"/>
            <w:hideMark/>
          </w:tcPr>
          <w:p w14:paraId="7A40116E" w14:textId="2198033C" w:rsidR="001D5E2C" w:rsidRPr="001D5E2C" w:rsidRDefault="001D5E2C" w:rsidP="001D5E2C">
            <w:pPr>
              <w:spacing w:after="0" w:line="240" w:lineRule="auto"/>
              <w:jc w:val="center"/>
              <w:rPr>
                <w:rFonts w:ascii="Calibri" w:eastAsia="Times New Roman" w:hAnsi="Calibri" w:cs="Calibri"/>
                <w:b/>
                <w:bCs/>
                <w:color w:val="000000"/>
                <w:lang w:eastAsia="en-GB"/>
              </w:rPr>
            </w:pPr>
            <w:r w:rsidRPr="001D5E2C">
              <w:rPr>
                <w:rFonts w:ascii="Calibri" w:eastAsia="Times New Roman" w:hAnsi="Calibri" w:cs="Calibri"/>
                <w:b/>
                <w:bCs/>
                <w:color w:val="000000"/>
                <w:lang w:eastAsia="en-GB"/>
              </w:rPr>
              <w:t> </w:t>
            </w:r>
            <w:r w:rsidR="00AD1CF6">
              <w:rPr>
                <w:rFonts w:ascii="Calibri" w:eastAsia="Times New Roman" w:hAnsi="Calibri" w:cs="Calibri"/>
                <w:b/>
                <w:bCs/>
                <w:color w:val="000000"/>
                <w:lang w:eastAsia="en-GB"/>
              </w:rPr>
              <w:t xml:space="preserve"> </w:t>
            </w:r>
            <w:r w:rsidR="001A3D5F">
              <w:rPr>
                <w:rFonts w:ascii="Calibri" w:eastAsia="Times New Roman" w:hAnsi="Calibri" w:cs="Calibri"/>
                <w:b/>
                <w:bCs/>
                <w:color w:val="000000"/>
                <w:lang w:eastAsia="en-GB"/>
              </w:rPr>
              <w:t>0</w:t>
            </w:r>
          </w:p>
        </w:tc>
      </w:tr>
      <w:tr w:rsidR="001A3D5F" w:rsidRPr="001D5E2C" w14:paraId="50D7E3F3" w14:textId="77777777" w:rsidTr="001A3D5F">
        <w:trPr>
          <w:trHeight w:val="501"/>
        </w:trPr>
        <w:tc>
          <w:tcPr>
            <w:tcW w:w="4592" w:type="dxa"/>
            <w:tcBorders>
              <w:top w:val="nil"/>
              <w:left w:val="single" w:sz="8" w:space="0" w:color="auto"/>
              <w:bottom w:val="single" w:sz="8" w:space="0" w:color="auto"/>
              <w:right w:val="single" w:sz="4" w:space="0" w:color="auto"/>
            </w:tcBorders>
            <w:shd w:val="clear" w:color="auto" w:fill="auto"/>
            <w:vAlign w:val="center"/>
            <w:hideMark/>
          </w:tcPr>
          <w:p w14:paraId="49B8A849" w14:textId="702D65F4" w:rsidR="001A3D5F" w:rsidRPr="001D5E2C" w:rsidRDefault="001A3D5F" w:rsidP="001D5E2C">
            <w:pPr>
              <w:spacing w:after="0" w:line="240" w:lineRule="auto"/>
              <w:rPr>
                <w:rFonts w:ascii="Calibri" w:eastAsia="Times New Roman" w:hAnsi="Calibri" w:cs="Calibri"/>
                <w:b/>
                <w:bCs/>
                <w:color w:val="000000"/>
                <w:lang w:eastAsia="en-GB"/>
              </w:rPr>
            </w:pPr>
            <w:r w:rsidRPr="001D5E2C">
              <w:rPr>
                <w:rFonts w:ascii="Calibri" w:eastAsia="Times New Roman" w:hAnsi="Calibri" w:cs="Calibri"/>
                <w:b/>
                <w:bCs/>
                <w:color w:val="000000"/>
                <w:lang w:eastAsia="en-GB"/>
              </w:rPr>
              <w:t>Comment</w:t>
            </w:r>
          </w:p>
        </w:tc>
        <w:tc>
          <w:tcPr>
            <w:tcW w:w="8348" w:type="dxa"/>
            <w:gridSpan w:val="3"/>
            <w:tcBorders>
              <w:top w:val="nil"/>
              <w:left w:val="nil"/>
              <w:bottom w:val="single" w:sz="8" w:space="0" w:color="auto"/>
              <w:right w:val="single" w:sz="4" w:space="0" w:color="auto"/>
            </w:tcBorders>
            <w:shd w:val="clear" w:color="auto" w:fill="auto"/>
            <w:vAlign w:val="center"/>
            <w:hideMark/>
          </w:tcPr>
          <w:p w14:paraId="4C1CD116" w14:textId="75DD51CE" w:rsidR="001A3D5F" w:rsidRPr="002A2338" w:rsidRDefault="001A3D5F" w:rsidP="00262CC6">
            <w:pPr>
              <w:spacing w:after="0" w:line="240" w:lineRule="auto"/>
              <w:jc w:val="center"/>
              <w:rPr>
                <w:rFonts w:ascii="Calibri" w:eastAsia="Times New Roman" w:hAnsi="Calibri" w:cs="Calibri"/>
                <w:bCs/>
                <w:color w:val="000000"/>
                <w:lang w:eastAsia="en-GB"/>
              </w:rPr>
            </w:pPr>
            <w:r w:rsidRPr="002A2338">
              <w:rPr>
                <w:rFonts w:ascii="Calibri" w:eastAsia="Times New Roman" w:hAnsi="Calibri" w:cs="Calibri"/>
                <w:bCs/>
                <w:color w:val="000000"/>
                <w:lang w:eastAsia="en-GB"/>
              </w:rPr>
              <w:t xml:space="preserve">In this case, economic </w:t>
            </w:r>
            <w:r w:rsidR="00262CC6">
              <w:rPr>
                <w:rFonts w:ascii="Calibri" w:eastAsia="Times New Roman" w:hAnsi="Calibri" w:cs="Calibri"/>
                <w:bCs/>
                <w:color w:val="000000"/>
                <w:lang w:eastAsia="en-GB"/>
              </w:rPr>
              <w:t>entities</w:t>
            </w:r>
            <w:r w:rsidR="00262CC6" w:rsidRPr="002A2338">
              <w:rPr>
                <w:rFonts w:ascii="Calibri" w:eastAsia="Times New Roman" w:hAnsi="Calibri" w:cs="Calibri"/>
                <w:bCs/>
                <w:color w:val="000000"/>
                <w:lang w:eastAsia="en-GB"/>
              </w:rPr>
              <w:t xml:space="preserve"> </w:t>
            </w:r>
            <w:r w:rsidRPr="002A2338">
              <w:rPr>
                <w:rFonts w:ascii="Calibri" w:eastAsia="Times New Roman" w:hAnsi="Calibri" w:cs="Calibri"/>
                <w:bCs/>
                <w:color w:val="000000"/>
                <w:lang w:eastAsia="en-GB"/>
              </w:rPr>
              <w:t xml:space="preserve">put all </w:t>
            </w:r>
            <w:r w:rsidR="00AD1CF6" w:rsidRPr="002A2338">
              <w:rPr>
                <w:rFonts w:ascii="Calibri" w:eastAsia="Times New Roman" w:hAnsi="Calibri" w:cs="Calibri"/>
                <w:bCs/>
                <w:color w:val="000000"/>
                <w:lang w:eastAsia="en-GB"/>
              </w:rPr>
              <w:t xml:space="preserve">into </w:t>
            </w:r>
            <w:r w:rsidR="006D3950">
              <w:rPr>
                <w:rFonts w:ascii="Calibri" w:eastAsia="Times New Roman" w:hAnsi="Calibri" w:cs="Calibri"/>
                <w:bCs/>
                <w:color w:val="000000"/>
                <w:lang w:eastAsia="en-GB"/>
              </w:rPr>
              <w:t>“</w:t>
            </w:r>
            <w:r w:rsidR="00AD1CF6" w:rsidRPr="002A2338">
              <w:rPr>
                <w:rFonts w:ascii="Calibri" w:eastAsia="Times New Roman" w:hAnsi="Calibri" w:cs="Calibri"/>
                <w:bCs/>
                <w:color w:val="000000"/>
                <w:lang w:eastAsia="en-GB"/>
              </w:rPr>
              <w:t>of complaint</w:t>
            </w:r>
            <w:r w:rsidR="006D3950">
              <w:rPr>
                <w:rFonts w:ascii="Calibri" w:eastAsia="Times New Roman" w:hAnsi="Calibri" w:cs="Calibri"/>
                <w:bCs/>
                <w:color w:val="000000"/>
                <w:lang w:eastAsia="en-GB"/>
              </w:rPr>
              <w:t>”</w:t>
            </w:r>
            <w:r w:rsidRPr="002A2338">
              <w:rPr>
                <w:rFonts w:ascii="Calibri" w:eastAsia="Times New Roman" w:hAnsi="Calibri" w:cs="Calibri"/>
                <w:bCs/>
                <w:color w:val="000000"/>
                <w:lang w:eastAsia="en-GB"/>
              </w:rPr>
              <w:t>. Slovak law allows all contracting authorities to put complaint but, in general, they are using system of control instead/incentive to carry out control. </w:t>
            </w:r>
          </w:p>
        </w:tc>
      </w:tr>
      <w:tr w:rsidR="001D5E2C" w:rsidRPr="001D5E2C" w14:paraId="45796DCC" w14:textId="77777777" w:rsidTr="002A2338">
        <w:trPr>
          <w:trHeight w:val="501"/>
        </w:trPr>
        <w:tc>
          <w:tcPr>
            <w:tcW w:w="4592" w:type="dxa"/>
            <w:tcBorders>
              <w:top w:val="nil"/>
              <w:left w:val="single" w:sz="8" w:space="0" w:color="auto"/>
              <w:bottom w:val="single" w:sz="4" w:space="0" w:color="auto"/>
              <w:right w:val="single" w:sz="4" w:space="0" w:color="auto"/>
            </w:tcBorders>
            <w:shd w:val="clear" w:color="auto" w:fill="auto"/>
            <w:vAlign w:val="center"/>
            <w:hideMark/>
          </w:tcPr>
          <w:p w14:paraId="0550C28A" w14:textId="6C12A14F" w:rsidR="001D5E2C" w:rsidRPr="001D5E2C" w:rsidRDefault="001D5E2C" w:rsidP="001D5E2C">
            <w:pPr>
              <w:spacing w:after="0" w:line="240" w:lineRule="auto"/>
              <w:rPr>
                <w:rFonts w:ascii="Calibri" w:eastAsia="Times New Roman" w:hAnsi="Calibri" w:cs="Calibri"/>
                <w:b/>
                <w:bCs/>
                <w:color w:val="000000"/>
                <w:lang w:eastAsia="en-GB"/>
              </w:rPr>
            </w:pPr>
            <w:r w:rsidRPr="001D5E2C">
              <w:rPr>
                <w:rFonts w:ascii="Calibri" w:eastAsia="Times New Roman" w:hAnsi="Calibri" w:cs="Calibri"/>
                <w:b/>
                <w:bCs/>
                <w:color w:val="000000"/>
                <w:lang w:eastAsia="en-GB"/>
              </w:rPr>
              <w:t>Median length of the review</w:t>
            </w:r>
            <w:r w:rsidR="00AD1CF6">
              <w:rPr>
                <w:rFonts w:ascii="Calibri" w:eastAsia="Times New Roman" w:hAnsi="Calibri" w:cs="Calibri"/>
                <w:b/>
                <w:bCs/>
                <w:color w:val="000000"/>
                <w:lang w:eastAsia="en-GB"/>
              </w:rPr>
              <w:t xml:space="preserve"> (days)</w:t>
            </w:r>
          </w:p>
        </w:tc>
        <w:tc>
          <w:tcPr>
            <w:tcW w:w="2661" w:type="dxa"/>
            <w:tcBorders>
              <w:top w:val="nil"/>
              <w:left w:val="nil"/>
              <w:bottom w:val="single" w:sz="4" w:space="0" w:color="auto"/>
              <w:right w:val="single" w:sz="4" w:space="0" w:color="auto"/>
            </w:tcBorders>
            <w:shd w:val="clear" w:color="auto" w:fill="auto"/>
            <w:vAlign w:val="center"/>
            <w:hideMark/>
          </w:tcPr>
          <w:p w14:paraId="0643D2C5" w14:textId="05A9EABF" w:rsidR="001D5E2C" w:rsidRPr="001D5E2C" w:rsidRDefault="00AD1CF6" w:rsidP="001D5E2C">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 xml:space="preserve">  52</w:t>
            </w:r>
            <w:r w:rsidR="001D5E2C" w:rsidRPr="001D5E2C">
              <w:rPr>
                <w:rFonts w:ascii="Calibri" w:eastAsia="Times New Roman" w:hAnsi="Calibri" w:cs="Calibri"/>
                <w:b/>
                <w:bCs/>
                <w:color w:val="000000"/>
                <w:lang w:eastAsia="en-GB"/>
              </w:rPr>
              <w:t> </w:t>
            </w:r>
          </w:p>
        </w:tc>
        <w:tc>
          <w:tcPr>
            <w:tcW w:w="2835" w:type="dxa"/>
            <w:tcBorders>
              <w:top w:val="nil"/>
              <w:left w:val="nil"/>
              <w:bottom w:val="single" w:sz="4" w:space="0" w:color="auto"/>
              <w:right w:val="single" w:sz="4" w:space="0" w:color="auto"/>
            </w:tcBorders>
            <w:shd w:val="clear" w:color="auto" w:fill="auto"/>
            <w:vAlign w:val="center"/>
            <w:hideMark/>
          </w:tcPr>
          <w:p w14:paraId="72F9909A" w14:textId="16594A85" w:rsidR="001D5E2C" w:rsidRPr="001D5E2C" w:rsidRDefault="00AD1CF6" w:rsidP="001D5E2C">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 xml:space="preserve">  54</w:t>
            </w:r>
            <w:r w:rsidR="001D5E2C" w:rsidRPr="001D5E2C">
              <w:rPr>
                <w:rFonts w:ascii="Calibri" w:eastAsia="Times New Roman" w:hAnsi="Calibri" w:cs="Calibri"/>
                <w:b/>
                <w:bCs/>
                <w:color w:val="000000"/>
                <w:lang w:eastAsia="en-GB"/>
              </w:rPr>
              <w:t> </w:t>
            </w:r>
          </w:p>
        </w:tc>
        <w:tc>
          <w:tcPr>
            <w:tcW w:w="2852" w:type="dxa"/>
            <w:tcBorders>
              <w:top w:val="nil"/>
              <w:left w:val="nil"/>
              <w:bottom w:val="single" w:sz="4" w:space="0" w:color="auto"/>
              <w:right w:val="single" w:sz="8" w:space="0" w:color="auto"/>
            </w:tcBorders>
            <w:shd w:val="clear" w:color="auto" w:fill="auto"/>
            <w:vAlign w:val="center"/>
            <w:hideMark/>
          </w:tcPr>
          <w:p w14:paraId="6B2D5742" w14:textId="7C806AB7" w:rsidR="001D5E2C" w:rsidRPr="001D5E2C" w:rsidRDefault="00AD1CF6" w:rsidP="001D5E2C">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 xml:space="preserve">  42</w:t>
            </w:r>
            <w:r w:rsidR="001D5E2C" w:rsidRPr="001D5E2C">
              <w:rPr>
                <w:rFonts w:ascii="Calibri" w:eastAsia="Times New Roman" w:hAnsi="Calibri" w:cs="Calibri"/>
                <w:b/>
                <w:bCs/>
                <w:color w:val="000000"/>
                <w:lang w:eastAsia="en-GB"/>
              </w:rPr>
              <w:t> </w:t>
            </w:r>
          </w:p>
        </w:tc>
      </w:tr>
      <w:tr w:rsidR="001D5E2C" w:rsidRPr="001D5E2C" w14:paraId="71778F89" w14:textId="77777777" w:rsidTr="002A2338">
        <w:trPr>
          <w:trHeight w:val="501"/>
        </w:trPr>
        <w:tc>
          <w:tcPr>
            <w:tcW w:w="4592" w:type="dxa"/>
            <w:tcBorders>
              <w:top w:val="nil"/>
              <w:left w:val="single" w:sz="8" w:space="0" w:color="auto"/>
              <w:bottom w:val="single" w:sz="4" w:space="0" w:color="auto"/>
              <w:right w:val="single" w:sz="4" w:space="0" w:color="auto"/>
            </w:tcBorders>
            <w:shd w:val="clear" w:color="auto" w:fill="auto"/>
            <w:vAlign w:val="center"/>
            <w:hideMark/>
          </w:tcPr>
          <w:p w14:paraId="5E75F776" w14:textId="0D1F5E61" w:rsidR="001D5E2C" w:rsidRPr="001D5E2C" w:rsidRDefault="001D5E2C" w:rsidP="001D5E2C">
            <w:pPr>
              <w:spacing w:after="0" w:line="240" w:lineRule="auto"/>
              <w:rPr>
                <w:rFonts w:ascii="Calibri" w:eastAsia="Times New Roman" w:hAnsi="Calibri" w:cs="Calibri"/>
                <w:b/>
                <w:bCs/>
                <w:color w:val="000000"/>
                <w:lang w:eastAsia="en-GB"/>
              </w:rPr>
            </w:pPr>
            <w:r w:rsidRPr="001D5E2C">
              <w:rPr>
                <w:rFonts w:ascii="Calibri" w:eastAsia="Times New Roman" w:hAnsi="Calibri" w:cs="Calibri"/>
                <w:b/>
                <w:bCs/>
                <w:color w:val="000000"/>
                <w:lang w:eastAsia="en-GB"/>
              </w:rPr>
              <w:t xml:space="preserve">   upon a complaint</w:t>
            </w:r>
            <w:r w:rsidR="00AD1CF6">
              <w:rPr>
                <w:rFonts w:ascii="Calibri" w:eastAsia="Times New Roman" w:hAnsi="Calibri" w:cs="Calibri"/>
                <w:b/>
                <w:bCs/>
                <w:color w:val="000000"/>
                <w:lang w:eastAsia="en-GB"/>
              </w:rPr>
              <w:t xml:space="preserve"> (days)</w:t>
            </w:r>
          </w:p>
        </w:tc>
        <w:tc>
          <w:tcPr>
            <w:tcW w:w="2661" w:type="dxa"/>
            <w:tcBorders>
              <w:top w:val="nil"/>
              <w:left w:val="nil"/>
              <w:bottom w:val="single" w:sz="4" w:space="0" w:color="auto"/>
              <w:right w:val="single" w:sz="4" w:space="0" w:color="auto"/>
            </w:tcBorders>
            <w:shd w:val="clear" w:color="auto" w:fill="auto"/>
            <w:vAlign w:val="center"/>
            <w:hideMark/>
          </w:tcPr>
          <w:p w14:paraId="6EA3473A" w14:textId="14998C2A" w:rsidR="001D5E2C" w:rsidRPr="001D5E2C" w:rsidRDefault="001D5E2C" w:rsidP="001D5E2C">
            <w:pPr>
              <w:spacing w:after="0" w:line="240" w:lineRule="auto"/>
              <w:jc w:val="center"/>
              <w:rPr>
                <w:rFonts w:ascii="Calibri" w:eastAsia="Times New Roman" w:hAnsi="Calibri" w:cs="Calibri"/>
                <w:b/>
                <w:bCs/>
                <w:color w:val="000000"/>
                <w:lang w:eastAsia="en-GB"/>
              </w:rPr>
            </w:pPr>
            <w:r w:rsidRPr="001D5E2C">
              <w:rPr>
                <w:rFonts w:ascii="Calibri" w:eastAsia="Times New Roman" w:hAnsi="Calibri" w:cs="Calibri"/>
                <w:b/>
                <w:bCs/>
                <w:color w:val="000000"/>
                <w:lang w:eastAsia="en-GB"/>
              </w:rPr>
              <w:t> </w:t>
            </w:r>
            <w:r w:rsidR="00AD1CF6">
              <w:rPr>
                <w:rFonts w:ascii="Calibri" w:eastAsia="Times New Roman" w:hAnsi="Calibri" w:cs="Calibri"/>
                <w:b/>
                <w:bCs/>
                <w:color w:val="000000"/>
                <w:lang w:eastAsia="en-GB"/>
              </w:rPr>
              <w:t>52</w:t>
            </w:r>
          </w:p>
        </w:tc>
        <w:tc>
          <w:tcPr>
            <w:tcW w:w="2835" w:type="dxa"/>
            <w:tcBorders>
              <w:top w:val="nil"/>
              <w:left w:val="nil"/>
              <w:bottom w:val="single" w:sz="4" w:space="0" w:color="auto"/>
              <w:right w:val="single" w:sz="4" w:space="0" w:color="auto"/>
            </w:tcBorders>
            <w:shd w:val="clear" w:color="auto" w:fill="auto"/>
            <w:vAlign w:val="center"/>
            <w:hideMark/>
          </w:tcPr>
          <w:p w14:paraId="08F0625A" w14:textId="5EB53EF0" w:rsidR="001D5E2C" w:rsidRPr="001D5E2C" w:rsidRDefault="001D5E2C" w:rsidP="001D5E2C">
            <w:pPr>
              <w:spacing w:after="0" w:line="240" w:lineRule="auto"/>
              <w:jc w:val="center"/>
              <w:rPr>
                <w:rFonts w:ascii="Calibri" w:eastAsia="Times New Roman" w:hAnsi="Calibri" w:cs="Calibri"/>
                <w:b/>
                <w:bCs/>
                <w:color w:val="000000"/>
                <w:lang w:eastAsia="en-GB"/>
              </w:rPr>
            </w:pPr>
            <w:r w:rsidRPr="001D5E2C">
              <w:rPr>
                <w:rFonts w:ascii="Calibri" w:eastAsia="Times New Roman" w:hAnsi="Calibri" w:cs="Calibri"/>
                <w:b/>
                <w:bCs/>
                <w:color w:val="000000"/>
                <w:lang w:eastAsia="en-GB"/>
              </w:rPr>
              <w:t> </w:t>
            </w:r>
            <w:r w:rsidR="00AD1CF6">
              <w:rPr>
                <w:rFonts w:ascii="Calibri" w:eastAsia="Times New Roman" w:hAnsi="Calibri" w:cs="Calibri"/>
                <w:b/>
                <w:bCs/>
                <w:color w:val="000000"/>
                <w:lang w:eastAsia="en-GB"/>
              </w:rPr>
              <w:t>54</w:t>
            </w:r>
          </w:p>
        </w:tc>
        <w:tc>
          <w:tcPr>
            <w:tcW w:w="2852" w:type="dxa"/>
            <w:tcBorders>
              <w:top w:val="nil"/>
              <w:left w:val="nil"/>
              <w:bottom w:val="single" w:sz="4" w:space="0" w:color="auto"/>
              <w:right w:val="single" w:sz="8" w:space="0" w:color="auto"/>
            </w:tcBorders>
            <w:shd w:val="clear" w:color="auto" w:fill="auto"/>
            <w:vAlign w:val="center"/>
            <w:hideMark/>
          </w:tcPr>
          <w:p w14:paraId="08F9C7ED" w14:textId="33339828" w:rsidR="001D5E2C" w:rsidRPr="001D5E2C" w:rsidRDefault="001D5E2C" w:rsidP="001D5E2C">
            <w:pPr>
              <w:spacing w:after="0" w:line="240" w:lineRule="auto"/>
              <w:jc w:val="center"/>
              <w:rPr>
                <w:rFonts w:ascii="Calibri" w:eastAsia="Times New Roman" w:hAnsi="Calibri" w:cs="Calibri"/>
                <w:b/>
                <w:bCs/>
                <w:color w:val="000000"/>
                <w:lang w:eastAsia="en-GB"/>
              </w:rPr>
            </w:pPr>
            <w:r w:rsidRPr="001D5E2C">
              <w:rPr>
                <w:rFonts w:ascii="Calibri" w:eastAsia="Times New Roman" w:hAnsi="Calibri" w:cs="Calibri"/>
                <w:b/>
                <w:bCs/>
                <w:color w:val="000000"/>
                <w:lang w:eastAsia="en-GB"/>
              </w:rPr>
              <w:t> </w:t>
            </w:r>
            <w:r w:rsidR="00AD1CF6">
              <w:rPr>
                <w:rFonts w:ascii="Calibri" w:eastAsia="Times New Roman" w:hAnsi="Calibri" w:cs="Calibri"/>
                <w:b/>
                <w:bCs/>
                <w:color w:val="000000"/>
                <w:lang w:eastAsia="en-GB"/>
              </w:rPr>
              <w:t>42</w:t>
            </w:r>
          </w:p>
        </w:tc>
      </w:tr>
      <w:tr w:rsidR="001D5E2C" w:rsidRPr="001D5E2C" w14:paraId="303B11DB" w14:textId="77777777" w:rsidTr="002A2338">
        <w:trPr>
          <w:trHeight w:val="501"/>
        </w:trPr>
        <w:tc>
          <w:tcPr>
            <w:tcW w:w="4592" w:type="dxa"/>
            <w:tcBorders>
              <w:top w:val="nil"/>
              <w:left w:val="single" w:sz="8" w:space="0" w:color="auto"/>
              <w:bottom w:val="single" w:sz="4" w:space="0" w:color="auto"/>
              <w:right w:val="single" w:sz="4" w:space="0" w:color="auto"/>
            </w:tcBorders>
            <w:shd w:val="clear" w:color="auto" w:fill="auto"/>
            <w:vAlign w:val="center"/>
            <w:hideMark/>
          </w:tcPr>
          <w:p w14:paraId="12CA5CB4" w14:textId="77777777" w:rsidR="001D5E2C" w:rsidRPr="001D5E2C" w:rsidRDefault="001D5E2C" w:rsidP="001D5E2C">
            <w:pPr>
              <w:spacing w:after="0" w:line="240" w:lineRule="auto"/>
              <w:rPr>
                <w:rFonts w:ascii="Calibri" w:eastAsia="Times New Roman" w:hAnsi="Calibri" w:cs="Calibri"/>
                <w:b/>
                <w:bCs/>
                <w:i/>
                <w:iCs/>
                <w:color w:val="000000"/>
                <w:lang w:eastAsia="en-GB"/>
              </w:rPr>
            </w:pPr>
            <w:r w:rsidRPr="001D5E2C">
              <w:rPr>
                <w:rFonts w:ascii="Calibri" w:eastAsia="Times New Roman" w:hAnsi="Calibri" w:cs="Calibri"/>
                <w:b/>
                <w:bCs/>
                <w:i/>
                <w:iCs/>
                <w:color w:val="000000"/>
                <w:lang w:eastAsia="en-GB"/>
              </w:rPr>
              <w:t xml:space="preserve">   ex officio</w:t>
            </w:r>
          </w:p>
        </w:tc>
        <w:tc>
          <w:tcPr>
            <w:tcW w:w="2661" w:type="dxa"/>
            <w:tcBorders>
              <w:top w:val="nil"/>
              <w:left w:val="nil"/>
              <w:bottom w:val="single" w:sz="4" w:space="0" w:color="auto"/>
              <w:right w:val="single" w:sz="4" w:space="0" w:color="auto"/>
            </w:tcBorders>
            <w:shd w:val="clear" w:color="auto" w:fill="auto"/>
            <w:vAlign w:val="center"/>
            <w:hideMark/>
          </w:tcPr>
          <w:p w14:paraId="78532873" w14:textId="61A2E153" w:rsidR="001D5E2C" w:rsidRPr="001D5E2C" w:rsidRDefault="001D5E2C" w:rsidP="001D5E2C">
            <w:pPr>
              <w:spacing w:after="0" w:line="240" w:lineRule="auto"/>
              <w:jc w:val="center"/>
              <w:rPr>
                <w:rFonts w:ascii="Calibri" w:eastAsia="Times New Roman" w:hAnsi="Calibri" w:cs="Calibri"/>
                <w:b/>
                <w:bCs/>
                <w:color w:val="000000"/>
                <w:lang w:eastAsia="en-GB"/>
              </w:rPr>
            </w:pPr>
            <w:r w:rsidRPr="001D5E2C">
              <w:rPr>
                <w:rFonts w:ascii="Calibri" w:eastAsia="Times New Roman" w:hAnsi="Calibri" w:cs="Calibri"/>
                <w:b/>
                <w:bCs/>
                <w:color w:val="000000"/>
                <w:lang w:eastAsia="en-GB"/>
              </w:rPr>
              <w:t> </w:t>
            </w:r>
            <w:r w:rsidR="00AD1CF6">
              <w:rPr>
                <w:rFonts w:ascii="Calibri" w:eastAsia="Times New Roman" w:hAnsi="Calibri" w:cs="Calibri"/>
                <w:b/>
                <w:bCs/>
                <w:color w:val="000000"/>
                <w:lang w:eastAsia="en-GB"/>
              </w:rPr>
              <w:t>0</w:t>
            </w:r>
          </w:p>
        </w:tc>
        <w:tc>
          <w:tcPr>
            <w:tcW w:w="2835" w:type="dxa"/>
            <w:tcBorders>
              <w:top w:val="nil"/>
              <w:left w:val="nil"/>
              <w:bottom w:val="single" w:sz="4" w:space="0" w:color="auto"/>
              <w:right w:val="single" w:sz="4" w:space="0" w:color="auto"/>
            </w:tcBorders>
            <w:shd w:val="clear" w:color="auto" w:fill="auto"/>
            <w:vAlign w:val="center"/>
            <w:hideMark/>
          </w:tcPr>
          <w:p w14:paraId="2943B36C" w14:textId="18AD291F" w:rsidR="001D5E2C" w:rsidRPr="001D5E2C" w:rsidRDefault="00AD1CF6" w:rsidP="001D5E2C">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0</w:t>
            </w:r>
          </w:p>
        </w:tc>
        <w:tc>
          <w:tcPr>
            <w:tcW w:w="2852" w:type="dxa"/>
            <w:tcBorders>
              <w:top w:val="nil"/>
              <w:left w:val="nil"/>
              <w:bottom w:val="single" w:sz="4" w:space="0" w:color="auto"/>
              <w:right w:val="single" w:sz="8" w:space="0" w:color="auto"/>
            </w:tcBorders>
            <w:shd w:val="clear" w:color="auto" w:fill="auto"/>
            <w:vAlign w:val="center"/>
            <w:hideMark/>
          </w:tcPr>
          <w:p w14:paraId="25470297" w14:textId="79148EA7" w:rsidR="001D5E2C" w:rsidRPr="001D5E2C" w:rsidRDefault="00AD1CF6" w:rsidP="001D5E2C">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0</w:t>
            </w:r>
            <w:r w:rsidR="001D5E2C" w:rsidRPr="001D5E2C">
              <w:rPr>
                <w:rFonts w:ascii="Calibri" w:eastAsia="Times New Roman" w:hAnsi="Calibri" w:cs="Calibri"/>
                <w:b/>
                <w:bCs/>
                <w:color w:val="000000"/>
                <w:lang w:eastAsia="en-GB"/>
              </w:rPr>
              <w:t> </w:t>
            </w:r>
          </w:p>
        </w:tc>
      </w:tr>
      <w:tr w:rsidR="001D5E2C" w:rsidRPr="001D5E2C" w14:paraId="602B9CFF" w14:textId="77777777" w:rsidTr="002A2338">
        <w:trPr>
          <w:trHeight w:val="501"/>
        </w:trPr>
        <w:tc>
          <w:tcPr>
            <w:tcW w:w="4592" w:type="dxa"/>
            <w:tcBorders>
              <w:top w:val="nil"/>
              <w:left w:val="single" w:sz="8" w:space="0" w:color="auto"/>
              <w:bottom w:val="single" w:sz="4" w:space="0" w:color="auto"/>
              <w:right w:val="single" w:sz="4" w:space="0" w:color="auto"/>
            </w:tcBorders>
            <w:shd w:val="clear" w:color="auto" w:fill="auto"/>
            <w:vAlign w:val="center"/>
            <w:hideMark/>
          </w:tcPr>
          <w:p w14:paraId="2434C5CF" w14:textId="77777777" w:rsidR="001D5E2C" w:rsidRPr="001D5E2C" w:rsidRDefault="001D5E2C" w:rsidP="001D5E2C">
            <w:pPr>
              <w:spacing w:after="0" w:line="240" w:lineRule="auto"/>
              <w:rPr>
                <w:rFonts w:ascii="Calibri" w:eastAsia="Times New Roman" w:hAnsi="Calibri" w:cs="Calibri"/>
                <w:b/>
                <w:bCs/>
                <w:color w:val="000000"/>
                <w:lang w:eastAsia="en-GB"/>
              </w:rPr>
            </w:pPr>
            <w:r w:rsidRPr="001D5E2C">
              <w:rPr>
                <w:rFonts w:ascii="Calibri" w:eastAsia="Times New Roman" w:hAnsi="Calibri" w:cs="Calibri"/>
                <w:b/>
                <w:bCs/>
                <w:color w:val="000000"/>
                <w:lang w:eastAsia="en-GB"/>
              </w:rPr>
              <w:t>Number of review decisions challenged</w:t>
            </w:r>
          </w:p>
        </w:tc>
        <w:tc>
          <w:tcPr>
            <w:tcW w:w="2661" w:type="dxa"/>
            <w:tcBorders>
              <w:top w:val="nil"/>
              <w:left w:val="nil"/>
              <w:bottom w:val="single" w:sz="4" w:space="0" w:color="auto"/>
              <w:right w:val="single" w:sz="4" w:space="0" w:color="auto"/>
            </w:tcBorders>
            <w:shd w:val="clear" w:color="auto" w:fill="auto"/>
            <w:vAlign w:val="center"/>
            <w:hideMark/>
          </w:tcPr>
          <w:p w14:paraId="179554C5" w14:textId="6B9742C6" w:rsidR="001D5E2C" w:rsidRPr="001D5E2C" w:rsidRDefault="001D5E2C" w:rsidP="001D5E2C">
            <w:pPr>
              <w:spacing w:after="0" w:line="240" w:lineRule="auto"/>
              <w:jc w:val="center"/>
              <w:rPr>
                <w:rFonts w:ascii="Calibri" w:eastAsia="Times New Roman" w:hAnsi="Calibri" w:cs="Calibri"/>
                <w:b/>
                <w:bCs/>
                <w:color w:val="000000"/>
                <w:lang w:eastAsia="en-GB"/>
              </w:rPr>
            </w:pPr>
            <w:r w:rsidRPr="001D5E2C">
              <w:rPr>
                <w:rFonts w:ascii="Calibri" w:eastAsia="Times New Roman" w:hAnsi="Calibri" w:cs="Calibri"/>
                <w:b/>
                <w:bCs/>
                <w:color w:val="000000"/>
                <w:lang w:eastAsia="en-GB"/>
              </w:rPr>
              <w:t> </w:t>
            </w:r>
            <w:r w:rsidR="001A3D5F">
              <w:rPr>
                <w:rFonts w:ascii="Calibri" w:eastAsia="Times New Roman" w:hAnsi="Calibri" w:cs="Calibri"/>
                <w:b/>
                <w:bCs/>
                <w:color w:val="000000"/>
                <w:lang w:eastAsia="en-GB"/>
              </w:rPr>
              <w:t>41</w:t>
            </w:r>
          </w:p>
        </w:tc>
        <w:tc>
          <w:tcPr>
            <w:tcW w:w="2835" w:type="dxa"/>
            <w:tcBorders>
              <w:top w:val="nil"/>
              <w:left w:val="nil"/>
              <w:bottom w:val="single" w:sz="4" w:space="0" w:color="auto"/>
              <w:right w:val="single" w:sz="4" w:space="0" w:color="auto"/>
            </w:tcBorders>
            <w:shd w:val="clear" w:color="auto" w:fill="auto"/>
            <w:vAlign w:val="center"/>
            <w:hideMark/>
          </w:tcPr>
          <w:p w14:paraId="56E1BEC4" w14:textId="314CA6E6" w:rsidR="001D5E2C" w:rsidRPr="001D5E2C" w:rsidRDefault="001A3D5F" w:rsidP="001D5E2C">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56</w:t>
            </w:r>
            <w:r w:rsidR="001D5E2C" w:rsidRPr="001D5E2C">
              <w:rPr>
                <w:rFonts w:ascii="Calibri" w:eastAsia="Times New Roman" w:hAnsi="Calibri" w:cs="Calibri"/>
                <w:b/>
                <w:bCs/>
                <w:color w:val="000000"/>
                <w:lang w:eastAsia="en-GB"/>
              </w:rPr>
              <w:t> </w:t>
            </w:r>
          </w:p>
        </w:tc>
        <w:tc>
          <w:tcPr>
            <w:tcW w:w="2852" w:type="dxa"/>
            <w:tcBorders>
              <w:top w:val="nil"/>
              <w:left w:val="nil"/>
              <w:bottom w:val="single" w:sz="4" w:space="0" w:color="auto"/>
              <w:right w:val="single" w:sz="8" w:space="0" w:color="auto"/>
            </w:tcBorders>
            <w:shd w:val="clear" w:color="auto" w:fill="auto"/>
            <w:vAlign w:val="center"/>
            <w:hideMark/>
          </w:tcPr>
          <w:p w14:paraId="2D603DB2" w14:textId="234602F3" w:rsidR="001D5E2C" w:rsidRPr="001D5E2C" w:rsidRDefault="001A3D5F" w:rsidP="001D5E2C">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87</w:t>
            </w:r>
            <w:r w:rsidR="001D5E2C" w:rsidRPr="001D5E2C">
              <w:rPr>
                <w:rFonts w:ascii="Calibri" w:eastAsia="Times New Roman" w:hAnsi="Calibri" w:cs="Calibri"/>
                <w:b/>
                <w:bCs/>
                <w:color w:val="000000"/>
                <w:lang w:eastAsia="en-GB"/>
              </w:rPr>
              <w:t> </w:t>
            </w:r>
          </w:p>
        </w:tc>
      </w:tr>
      <w:tr w:rsidR="001D5E2C" w:rsidRPr="001D5E2C" w14:paraId="2AB39D8B" w14:textId="77777777" w:rsidTr="002A2338">
        <w:trPr>
          <w:trHeight w:val="501"/>
        </w:trPr>
        <w:tc>
          <w:tcPr>
            <w:tcW w:w="4592" w:type="dxa"/>
            <w:tcBorders>
              <w:top w:val="nil"/>
              <w:left w:val="single" w:sz="8" w:space="0" w:color="auto"/>
              <w:bottom w:val="single" w:sz="4" w:space="0" w:color="auto"/>
              <w:right w:val="single" w:sz="4" w:space="0" w:color="auto"/>
            </w:tcBorders>
            <w:shd w:val="clear" w:color="auto" w:fill="auto"/>
            <w:vAlign w:val="center"/>
            <w:hideMark/>
          </w:tcPr>
          <w:p w14:paraId="0432B97C" w14:textId="77777777" w:rsidR="001D5E2C" w:rsidRPr="001D5E2C" w:rsidRDefault="001D5E2C" w:rsidP="001D5E2C">
            <w:pPr>
              <w:spacing w:after="0" w:line="240" w:lineRule="auto"/>
              <w:rPr>
                <w:rFonts w:ascii="Calibri" w:eastAsia="Times New Roman" w:hAnsi="Calibri" w:cs="Calibri"/>
                <w:b/>
                <w:bCs/>
                <w:color w:val="000000"/>
                <w:lang w:eastAsia="en-GB"/>
              </w:rPr>
            </w:pPr>
            <w:r w:rsidRPr="001D5E2C">
              <w:rPr>
                <w:rFonts w:ascii="Calibri" w:eastAsia="Times New Roman" w:hAnsi="Calibri" w:cs="Calibri"/>
                <w:b/>
                <w:bCs/>
                <w:color w:val="000000"/>
                <w:lang w:eastAsia="en-GB"/>
              </w:rPr>
              <w:t>Number of decisions (primarily) upheld</w:t>
            </w:r>
          </w:p>
        </w:tc>
        <w:tc>
          <w:tcPr>
            <w:tcW w:w="2661" w:type="dxa"/>
            <w:tcBorders>
              <w:top w:val="nil"/>
              <w:left w:val="nil"/>
              <w:bottom w:val="single" w:sz="4" w:space="0" w:color="auto"/>
              <w:right w:val="single" w:sz="4" w:space="0" w:color="auto"/>
            </w:tcBorders>
            <w:shd w:val="clear" w:color="auto" w:fill="auto"/>
            <w:vAlign w:val="center"/>
            <w:hideMark/>
          </w:tcPr>
          <w:p w14:paraId="29026B2B" w14:textId="5049AE6C" w:rsidR="001D5E2C" w:rsidRPr="001D5E2C" w:rsidRDefault="00AD1CF6" w:rsidP="001D5E2C">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 xml:space="preserve"> </w:t>
            </w:r>
            <w:r w:rsidR="001A3D5F">
              <w:rPr>
                <w:rFonts w:ascii="Calibri" w:eastAsia="Times New Roman" w:hAnsi="Calibri" w:cs="Calibri"/>
                <w:b/>
                <w:bCs/>
                <w:color w:val="000000"/>
                <w:lang w:eastAsia="en-GB"/>
              </w:rPr>
              <w:t>25</w:t>
            </w:r>
            <w:r w:rsidR="001D5E2C" w:rsidRPr="001D5E2C">
              <w:rPr>
                <w:rFonts w:ascii="Calibri" w:eastAsia="Times New Roman" w:hAnsi="Calibri" w:cs="Calibri"/>
                <w:b/>
                <w:bCs/>
                <w:color w:val="000000"/>
                <w:lang w:eastAsia="en-GB"/>
              </w:rPr>
              <w:t> </w:t>
            </w:r>
          </w:p>
        </w:tc>
        <w:tc>
          <w:tcPr>
            <w:tcW w:w="2835" w:type="dxa"/>
            <w:tcBorders>
              <w:top w:val="nil"/>
              <w:left w:val="nil"/>
              <w:bottom w:val="single" w:sz="4" w:space="0" w:color="auto"/>
              <w:right w:val="single" w:sz="4" w:space="0" w:color="auto"/>
            </w:tcBorders>
            <w:shd w:val="clear" w:color="auto" w:fill="auto"/>
            <w:vAlign w:val="center"/>
            <w:hideMark/>
          </w:tcPr>
          <w:p w14:paraId="5CD60F09" w14:textId="46549E0A" w:rsidR="001D5E2C" w:rsidRPr="001D5E2C" w:rsidRDefault="001A3D5F" w:rsidP="001D5E2C">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34</w:t>
            </w:r>
            <w:r w:rsidR="001D5E2C" w:rsidRPr="001D5E2C">
              <w:rPr>
                <w:rFonts w:ascii="Calibri" w:eastAsia="Times New Roman" w:hAnsi="Calibri" w:cs="Calibri"/>
                <w:b/>
                <w:bCs/>
                <w:color w:val="000000"/>
                <w:lang w:eastAsia="en-GB"/>
              </w:rPr>
              <w:t> </w:t>
            </w:r>
          </w:p>
        </w:tc>
        <w:tc>
          <w:tcPr>
            <w:tcW w:w="2852" w:type="dxa"/>
            <w:tcBorders>
              <w:top w:val="nil"/>
              <w:left w:val="nil"/>
              <w:bottom w:val="single" w:sz="4" w:space="0" w:color="auto"/>
              <w:right w:val="single" w:sz="8" w:space="0" w:color="auto"/>
            </w:tcBorders>
            <w:shd w:val="clear" w:color="auto" w:fill="auto"/>
            <w:vAlign w:val="center"/>
            <w:hideMark/>
          </w:tcPr>
          <w:p w14:paraId="1B0BB1E0" w14:textId="2211C89B" w:rsidR="001D5E2C" w:rsidRPr="001D5E2C" w:rsidRDefault="001A3D5F" w:rsidP="001D5E2C">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63</w:t>
            </w:r>
            <w:r w:rsidR="001D5E2C" w:rsidRPr="001D5E2C">
              <w:rPr>
                <w:rFonts w:ascii="Calibri" w:eastAsia="Times New Roman" w:hAnsi="Calibri" w:cs="Calibri"/>
                <w:b/>
                <w:bCs/>
                <w:color w:val="000000"/>
                <w:lang w:eastAsia="en-GB"/>
              </w:rPr>
              <w:t> </w:t>
            </w:r>
          </w:p>
        </w:tc>
      </w:tr>
      <w:tr w:rsidR="001D5E2C" w:rsidRPr="001D5E2C" w14:paraId="5F32D93A" w14:textId="77777777" w:rsidTr="002A2338">
        <w:trPr>
          <w:trHeight w:val="501"/>
        </w:trPr>
        <w:tc>
          <w:tcPr>
            <w:tcW w:w="4592" w:type="dxa"/>
            <w:tcBorders>
              <w:top w:val="nil"/>
              <w:left w:val="single" w:sz="8" w:space="0" w:color="auto"/>
              <w:bottom w:val="single" w:sz="4" w:space="0" w:color="auto"/>
              <w:right w:val="single" w:sz="4" w:space="0" w:color="auto"/>
            </w:tcBorders>
            <w:shd w:val="clear" w:color="auto" w:fill="auto"/>
            <w:vAlign w:val="center"/>
            <w:hideMark/>
          </w:tcPr>
          <w:p w14:paraId="47AF95B1" w14:textId="77777777" w:rsidR="001D5E2C" w:rsidRPr="001D5E2C" w:rsidRDefault="001D5E2C" w:rsidP="001D5E2C">
            <w:pPr>
              <w:spacing w:after="0" w:line="240" w:lineRule="auto"/>
              <w:rPr>
                <w:rFonts w:ascii="Calibri" w:eastAsia="Times New Roman" w:hAnsi="Calibri" w:cs="Calibri"/>
                <w:b/>
                <w:bCs/>
                <w:color w:val="000000"/>
                <w:lang w:eastAsia="en-GB"/>
              </w:rPr>
            </w:pPr>
            <w:r w:rsidRPr="001D5E2C">
              <w:rPr>
                <w:rFonts w:ascii="Calibri" w:eastAsia="Times New Roman" w:hAnsi="Calibri" w:cs="Calibri"/>
                <w:b/>
                <w:bCs/>
                <w:color w:val="000000"/>
                <w:lang w:eastAsia="en-GB"/>
              </w:rPr>
              <w:t>Number of decisions (primarily) rejected</w:t>
            </w:r>
          </w:p>
        </w:tc>
        <w:tc>
          <w:tcPr>
            <w:tcW w:w="2661" w:type="dxa"/>
            <w:tcBorders>
              <w:top w:val="nil"/>
              <w:left w:val="nil"/>
              <w:bottom w:val="single" w:sz="4" w:space="0" w:color="auto"/>
              <w:right w:val="single" w:sz="4" w:space="0" w:color="auto"/>
            </w:tcBorders>
            <w:shd w:val="clear" w:color="auto" w:fill="auto"/>
            <w:vAlign w:val="center"/>
            <w:hideMark/>
          </w:tcPr>
          <w:p w14:paraId="360E89FB" w14:textId="460F37E5" w:rsidR="001D5E2C" w:rsidRPr="001D5E2C" w:rsidRDefault="001A3D5F" w:rsidP="001D5E2C">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16</w:t>
            </w:r>
          </w:p>
        </w:tc>
        <w:tc>
          <w:tcPr>
            <w:tcW w:w="2835" w:type="dxa"/>
            <w:tcBorders>
              <w:top w:val="nil"/>
              <w:left w:val="nil"/>
              <w:bottom w:val="single" w:sz="4" w:space="0" w:color="auto"/>
              <w:right w:val="single" w:sz="4" w:space="0" w:color="auto"/>
            </w:tcBorders>
            <w:shd w:val="clear" w:color="auto" w:fill="auto"/>
            <w:vAlign w:val="center"/>
            <w:hideMark/>
          </w:tcPr>
          <w:p w14:paraId="66D0447D" w14:textId="61B4C007" w:rsidR="001D5E2C" w:rsidRPr="001D5E2C" w:rsidRDefault="001A3D5F" w:rsidP="001D5E2C">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22</w:t>
            </w:r>
            <w:r w:rsidR="001D5E2C" w:rsidRPr="001D5E2C">
              <w:rPr>
                <w:rFonts w:ascii="Calibri" w:eastAsia="Times New Roman" w:hAnsi="Calibri" w:cs="Calibri"/>
                <w:b/>
                <w:bCs/>
                <w:color w:val="000000"/>
                <w:lang w:eastAsia="en-GB"/>
              </w:rPr>
              <w:t> </w:t>
            </w:r>
          </w:p>
        </w:tc>
        <w:tc>
          <w:tcPr>
            <w:tcW w:w="2852" w:type="dxa"/>
            <w:tcBorders>
              <w:top w:val="nil"/>
              <w:left w:val="nil"/>
              <w:bottom w:val="single" w:sz="4" w:space="0" w:color="auto"/>
              <w:right w:val="single" w:sz="8" w:space="0" w:color="auto"/>
            </w:tcBorders>
            <w:shd w:val="clear" w:color="auto" w:fill="auto"/>
            <w:vAlign w:val="center"/>
            <w:hideMark/>
          </w:tcPr>
          <w:p w14:paraId="5EE0553C" w14:textId="6A3E5505" w:rsidR="001D5E2C" w:rsidRPr="001D5E2C" w:rsidRDefault="001A3D5F" w:rsidP="001D5E2C">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24</w:t>
            </w:r>
            <w:r w:rsidR="001D5E2C" w:rsidRPr="001D5E2C">
              <w:rPr>
                <w:rFonts w:ascii="Calibri" w:eastAsia="Times New Roman" w:hAnsi="Calibri" w:cs="Calibri"/>
                <w:b/>
                <w:bCs/>
                <w:color w:val="000000"/>
                <w:lang w:eastAsia="en-GB"/>
              </w:rPr>
              <w:t> </w:t>
            </w:r>
          </w:p>
        </w:tc>
      </w:tr>
      <w:tr w:rsidR="001D5E2C" w:rsidRPr="001D5E2C" w14:paraId="26764836" w14:textId="77777777" w:rsidTr="002A2338">
        <w:trPr>
          <w:trHeight w:val="501"/>
        </w:trPr>
        <w:tc>
          <w:tcPr>
            <w:tcW w:w="4592" w:type="dxa"/>
            <w:tcBorders>
              <w:top w:val="nil"/>
              <w:left w:val="single" w:sz="8" w:space="0" w:color="auto"/>
              <w:bottom w:val="single" w:sz="4" w:space="0" w:color="auto"/>
              <w:right w:val="single" w:sz="4" w:space="0" w:color="auto"/>
            </w:tcBorders>
            <w:shd w:val="clear" w:color="auto" w:fill="auto"/>
            <w:vAlign w:val="center"/>
            <w:hideMark/>
          </w:tcPr>
          <w:p w14:paraId="3CC47EA1" w14:textId="77777777" w:rsidR="001D5E2C" w:rsidRPr="001D5E2C" w:rsidRDefault="001D5E2C" w:rsidP="001D5E2C">
            <w:pPr>
              <w:spacing w:after="0" w:line="240" w:lineRule="auto"/>
              <w:rPr>
                <w:rFonts w:ascii="Calibri" w:eastAsia="Times New Roman" w:hAnsi="Calibri" w:cs="Calibri"/>
                <w:b/>
                <w:bCs/>
                <w:color w:val="000000"/>
                <w:lang w:eastAsia="en-GB"/>
              </w:rPr>
            </w:pPr>
            <w:r w:rsidRPr="001D5E2C">
              <w:rPr>
                <w:rFonts w:ascii="Calibri" w:eastAsia="Times New Roman" w:hAnsi="Calibri" w:cs="Calibri"/>
                <w:b/>
                <w:bCs/>
                <w:color w:val="000000"/>
                <w:lang w:eastAsia="en-GB"/>
              </w:rPr>
              <w:t xml:space="preserve">Number of decisions – other </w:t>
            </w:r>
          </w:p>
        </w:tc>
        <w:tc>
          <w:tcPr>
            <w:tcW w:w="2661" w:type="dxa"/>
            <w:tcBorders>
              <w:top w:val="nil"/>
              <w:left w:val="nil"/>
              <w:bottom w:val="single" w:sz="4" w:space="0" w:color="auto"/>
              <w:right w:val="single" w:sz="4" w:space="0" w:color="auto"/>
            </w:tcBorders>
            <w:shd w:val="clear" w:color="auto" w:fill="auto"/>
            <w:vAlign w:val="center"/>
            <w:hideMark/>
          </w:tcPr>
          <w:p w14:paraId="593ACA4B" w14:textId="5CC5C480" w:rsidR="001D5E2C" w:rsidRPr="001D5E2C" w:rsidRDefault="001D5E2C" w:rsidP="001D5E2C">
            <w:pPr>
              <w:spacing w:after="0" w:line="240" w:lineRule="auto"/>
              <w:jc w:val="center"/>
              <w:rPr>
                <w:rFonts w:ascii="Calibri" w:eastAsia="Times New Roman" w:hAnsi="Calibri" w:cs="Calibri"/>
                <w:b/>
                <w:bCs/>
                <w:color w:val="000000"/>
                <w:lang w:eastAsia="en-GB"/>
              </w:rPr>
            </w:pPr>
            <w:r w:rsidRPr="001D5E2C">
              <w:rPr>
                <w:rFonts w:ascii="Calibri" w:eastAsia="Times New Roman" w:hAnsi="Calibri" w:cs="Calibri"/>
                <w:b/>
                <w:bCs/>
                <w:color w:val="000000"/>
                <w:lang w:eastAsia="en-GB"/>
              </w:rPr>
              <w:t> </w:t>
            </w:r>
            <w:r w:rsidR="001A3D5F">
              <w:rPr>
                <w:rFonts w:ascii="Calibri" w:eastAsia="Times New Roman" w:hAnsi="Calibri" w:cs="Calibri"/>
                <w:b/>
                <w:bCs/>
                <w:color w:val="000000"/>
                <w:lang w:eastAsia="en-GB"/>
              </w:rPr>
              <w:t>-</w:t>
            </w:r>
          </w:p>
        </w:tc>
        <w:tc>
          <w:tcPr>
            <w:tcW w:w="2835" w:type="dxa"/>
            <w:tcBorders>
              <w:top w:val="nil"/>
              <w:left w:val="nil"/>
              <w:bottom w:val="single" w:sz="4" w:space="0" w:color="auto"/>
              <w:right w:val="single" w:sz="4" w:space="0" w:color="auto"/>
            </w:tcBorders>
            <w:shd w:val="clear" w:color="auto" w:fill="auto"/>
            <w:vAlign w:val="center"/>
            <w:hideMark/>
          </w:tcPr>
          <w:p w14:paraId="3F6F76FD" w14:textId="2A1053F1" w:rsidR="001D5E2C" w:rsidRPr="001D5E2C" w:rsidRDefault="001A3D5F" w:rsidP="001D5E2C">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w:t>
            </w:r>
            <w:r w:rsidR="001D5E2C" w:rsidRPr="001D5E2C">
              <w:rPr>
                <w:rFonts w:ascii="Calibri" w:eastAsia="Times New Roman" w:hAnsi="Calibri" w:cs="Calibri"/>
                <w:b/>
                <w:bCs/>
                <w:color w:val="000000"/>
                <w:lang w:eastAsia="en-GB"/>
              </w:rPr>
              <w:t> </w:t>
            </w:r>
          </w:p>
        </w:tc>
        <w:tc>
          <w:tcPr>
            <w:tcW w:w="2852" w:type="dxa"/>
            <w:tcBorders>
              <w:top w:val="nil"/>
              <w:left w:val="nil"/>
              <w:bottom w:val="single" w:sz="4" w:space="0" w:color="auto"/>
              <w:right w:val="single" w:sz="8" w:space="0" w:color="auto"/>
            </w:tcBorders>
            <w:shd w:val="clear" w:color="auto" w:fill="auto"/>
            <w:vAlign w:val="center"/>
            <w:hideMark/>
          </w:tcPr>
          <w:p w14:paraId="32349649" w14:textId="4F711E8A" w:rsidR="001D5E2C" w:rsidRPr="001D5E2C" w:rsidRDefault="001A3D5F" w:rsidP="001D5E2C">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w:t>
            </w:r>
            <w:r w:rsidR="001D5E2C" w:rsidRPr="001D5E2C">
              <w:rPr>
                <w:rFonts w:ascii="Calibri" w:eastAsia="Times New Roman" w:hAnsi="Calibri" w:cs="Calibri"/>
                <w:b/>
                <w:bCs/>
                <w:color w:val="000000"/>
                <w:lang w:eastAsia="en-GB"/>
              </w:rPr>
              <w:t> </w:t>
            </w:r>
          </w:p>
        </w:tc>
      </w:tr>
      <w:tr w:rsidR="002A2338" w:rsidRPr="001D5E2C" w14:paraId="09F1FB8B" w14:textId="77777777" w:rsidTr="002A2338">
        <w:trPr>
          <w:trHeight w:val="501"/>
        </w:trPr>
        <w:tc>
          <w:tcPr>
            <w:tcW w:w="4592" w:type="dxa"/>
            <w:tcBorders>
              <w:top w:val="nil"/>
              <w:left w:val="single" w:sz="8" w:space="0" w:color="auto"/>
              <w:bottom w:val="single" w:sz="4" w:space="0" w:color="auto"/>
              <w:right w:val="single" w:sz="4" w:space="0" w:color="auto"/>
            </w:tcBorders>
            <w:shd w:val="clear" w:color="auto" w:fill="auto"/>
            <w:vAlign w:val="center"/>
          </w:tcPr>
          <w:p w14:paraId="1FB03BE1" w14:textId="74F75454" w:rsidR="002A2338" w:rsidRPr="001D5E2C" w:rsidRDefault="002A2338" w:rsidP="001D5E2C">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Comment</w:t>
            </w:r>
          </w:p>
        </w:tc>
        <w:tc>
          <w:tcPr>
            <w:tcW w:w="8348" w:type="dxa"/>
            <w:gridSpan w:val="3"/>
            <w:tcBorders>
              <w:top w:val="nil"/>
              <w:left w:val="nil"/>
              <w:bottom w:val="single" w:sz="4" w:space="0" w:color="auto"/>
              <w:right w:val="single" w:sz="4" w:space="0" w:color="auto"/>
            </w:tcBorders>
            <w:shd w:val="clear" w:color="auto" w:fill="auto"/>
            <w:vAlign w:val="center"/>
          </w:tcPr>
          <w:p w14:paraId="46F5DC03" w14:textId="0C97DC19" w:rsidR="002A2338" w:rsidRPr="002A2338" w:rsidRDefault="002A2338" w:rsidP="001D5E2C">
            <w:pPr>
              <w:spacing w:after="0" w:line="240" w:lineRule="auto"/>
              <w:jc w:val="center"/>
              <w:rPr>
                <w:rFonts w:ascii="Calibri" w:eastAsia="Times New Roman" w:hAnsi="Calibri" w:cs="Calibri"/>
                <w:bCs/>
                <w:color w:val="000000"/>
                <w:lang w:eastAsia="en-GB"/>
              </w:rPr>
            </w:pPr>
            <w:r w:rsidRPr="002A2338">
              <w:rPr>
                <w:rFonts w:ascii="Calibri" w:eastAsia="Times New Roman" w:hAnsi="Calibri" w:cs="Calibri"/>
                <w:bCs/>
                <w:color w:val="000000"/>
                <w:lang w:eastAsia="en-GB"/>
              </w:rPr>
              <w:t>This data consist</w:t>
            </w:r>
            <w:r>
              <w:rPr>
                <w:rFonts w:ascii="Calibri" w:eastAsia="Times New Roman" w:hAnsi="Calibri" w:cs="Calibri"/>
                <w:bCs/>
                <w:color w:val="000000"/>
                <w:lang w:eastAsia="en-GB"/>
              </w:rPr>
              <w:t>s</w:t>
            </w:r>
            <w:r w:rsidRPr="002A2338">
              <w:rPr>
                <w:rFonts w:ascii="Calibri" w:eastAsia="Times New Roman" w:hAnsi="Calibri" w:cs="Calibri"/>
                <w:bCs/>
                <w:color w:val="000000"/>
                <w:lang w:eastAsia="en-GB"/>
              </w:rPr>
              <w:t xml:space="preserve"> of merit decisions of “Council of the PPO”. Our system in Slovakia isn´t linked to court system to provide data from courts. </w:t>
            </w:r>
          </w:p>
        </w:tc>
      </w:tr>
    </w:tbl>
    <w:p w14:paraId="5611C789" w14:textId="77777777" w:rsidR="001D5E2C" w:rsidRPr="003F1BD0" w:rsidRDefault="001D5E2C" w:rsidP="00E011BF">
      <w:pPr>
        <w:pStyle w:val="Bezriadkovania"/>
        <w:ind w:left="792"/>
        <w:jc w:val="both"/>
      </w:pPr>
      <w:bookmarkStart w:id="0" w:name="_GoBack"/>
      <w:bookmarkEnd w:id="0"/>
    </w:p>
    <w:sectPr w:rsidR="001D5E2C" w:rsidRPr="003F1BD0" w:rsidSect="00A47B20">
      <w:headerReference w:type="default" r:id="rId35"/>
      <w:footerReference w:type="default" r:id="rId36"/>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ADABB9" w14:textId="77777777" w:rsidR="00EE7BA2" w:rsidRDefault="00EE7BA2" w:rsidP="00E05B18">
      <w:pPr>
        <w:spacing w:after="0" w:line="240" w:lineRule="auto"/>
      </w:pPr>
      <w:r>
        <w:separator/>
      </w:r>
    </w:p>
  </w:endnote>
  <w:endnote w:type="continuationSeparator" w:id="0">
    <w:p w14:paraId="5FE879B1" w14:textId="77777777" w:rsidR="00EE7BA2" w:rsidRDefault="00EE7BA2" w:rsidP="00E05B18">
      <w:pPr>
        <w:spacing w:after="0" w:line="240" w:lineRule="auto"/>
      </w:pPr>
      <w:r>
        <w:continuationSeparator/>
      </w:r>
    </w:p>
  </w:endnote>
  <w:endnote w:type="continuationNotice" w:id="1">
    <w:p w14:paraId="07DAC7FA" w14:textId="77777777" w:rsidR="00EE7BA2" w:rsidRDefault="00EE7B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yriad Pro">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848EB" w14:textId="743C154D" w:rsidR="00F11911" w:rsidRDefault="00F11911">
    <w:pPr>
      <w:pStyle w:val="Pta"/>
    </w:pPr>
  </w:p>
  <w:p w14:paraId="34AB802F" w14:textId="400A29C0" w:rsidR="00F11911" w:rsidRDefault="00F11911">
    <w:pPr>
      <w:pStyle w:val="Pta"/>
    </w:pPr>
    <w:r>
      <w:rPr>
        <w:noProof/>
        <w:lang w:val="sk-SK" w:eastAsia="sk-SK"/>
      </w:rPr>
      <mc:AlternateContent>
        <mc:Choice Requires="wps">
          <w:drawing>
            <wp:anchor distT="45720" distB="45720" distL="114300" distR="114300" simplePos="0" relativeHeight="251661312" behindDoc="0" locked="0" layoutInCell="1" allowOverlap="1" wp14:anchorId="2F661326" wp14:editId="4916889D">
              <wp:simplePos x="0" y="0"/>
              <wp:positionH relativeFrom="column">
                <wp:posOffset>8364855</wp:posOffset>
              </wp:positionH>
              <wp:positionV relativeFrom="paragraph">
                <wp:posOffset>145415</wp:posOffset>
              </wp:positionV>
              <wp:extent cx="717550" cy="1404620"/>
              <wp:effectExtent l="0" t="0" r="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1404620"/>
                      </a:xfrm>
                      <a:prstGeom prst="rect">
                        <a:avLst/>
                      </a:prstGeom>
                      <a:noFill/>
                      <a:ln w="9525">
                        <a:noFill/>
                        <a:miter lim="800000"/>
                        <a:headEnd/>
                        <a:tailEnd/>
                      </a:ln>
                    </wps:spPr>
                    <wps:txbx>
                      <w:txbxContent>
                        <w:p w14:paraId="566B5345" w14:textId="4A3BADE4" w:rsidR="00F11911" w:rsidRPr="00396FE8" w:rsidRDefault="00F11911">
                          <w:pPr>
                            <w:rPr>
                              <w:b/>
                              <w:sz w:val="20"/>
                              <w:szCs w:val="20"/>
                            </w:rPr>
                          </w:pPr>
                          <w:r w:rsidRPr="00396FE8">
                            <w:rPr>
                              <w:b/>
                              <w:sz w:val="20"/>
                              <w:szCs w:val="20"/>
                            </w:rPr>
                            <w:t>Slovakia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661326" id="_x0000_t202" coordsize="21600,21600" o:spt="202" path="m,l,21600r21600,l21600,xe">
              <v:stroke joinstyle="miter"/>
              <v:path gradientshapeok="t" o:connecttype="rect"/>
            </v:shapetype>
            <v:shape id="Textové pole 2" o:spid="_x0000_s1027" type="#_x0000_t202" style="position:absolute;margin-left:658.65pt;margin-top:11.45pt;width:56.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" filled="f" stroked="f">
              <v:textbox style="mso-fit-shape-to-text:t">
                <w:txbxContent>
                  <w:p w14:paraId="566B5345" w14:textId="4A3BADE4" w:rsidR="00044EEB" w:rsidRPr="00396FE8" w:rsidRDefault="00044EEB">
                    <w:pPr>
                      <w:rPr>
                        <w:b/>
                        <w:sz w:val="20"/>
                        <w:szCs w:val="20"/>
                      </w:rPr>
                    </w:pPr>
                    <w:r w:rsidRPr="00396FE8">
                      <w:rPr>
                        <w:b/>
                        <w:sz w:val="20"/>
                        <w:szCs w:val="20"/>
                      </w:rPr>
                      <w:t>Slovakia</w:t>
                    </w:r>
                  </w:p>
                </w:txbxContent>
              </v:textbox>
              <w10:wrap type="square"/>
            </v:shape>
          </w:pict>
        </mc:Fallback>
      </mc:AlternateContent>
    </w:r>
    <w:r>
      <w:rPr>
        <w:noProof/>
        <w:lang w:val="sk-SK" w:eastAsia="sk-SK"/>
      </w:rPr>
      <w:drawing>
        <wp:inline distT="0" distB="0" distL="0" distR="0" wp14:anchorId="083428B1" wp14:editId="105F521B">
          <wp:extent cx="1107405" cy="575945"/>
          <wp:effectExtent l="0" t="0" r="0" b="0"/>
          <wp:docPr id="7" name="Obrázok 7" descr="Obrázkové výsledky pre: Obrysova Mapa Sloven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brázkové výsledky pre: Obrysova Mapa Slovens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8289" cy="60761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01EEDB" w14:textId="77777777" w:rsidR="00EE7BA2" w:rsidRDefault="00EE7BA2" w:rsidP="00E05B18">
      <w:pPr>
        <w:spacing w:after="0" w:line="240" w:lineRule="auto"/>
      </w:pPr>
      <w:r>
        <w:separator/>
      </w:r>
    </w:p>
  </w:footnote>
  <w:footnote w:type="continuationSeparator" w:id="0">
    <w:p w14:paraId="35B6EA17" w14:textId="77777777" w:rsidR="00EE7BA2" w:rsidRDefault="00EE7BA2" w:rsidP="00E05B18">
      <w:pPr>
        <w:spacing w:after="0" w:line="240" w:lineRule="auto"/>
      </w:pPr>
      <w:r>
        <w:continuationSeparator/>
      </w:r>
    </w:p>
  </w:footnote>
  <w:footnote w:type="continuationNotice" w:id="1">
    <w:p w14:paraId="2A0C15CD" w14:textId="77777777" w:rsidR="00EE7BA2" w:rsidRDefault="00EE7BA2">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15F05" w14:textId="13630F4D" w:rsidR="00F11911" w:rsidRDefault="00F11911">
    <w:pPr>
      <w:pStyle w:val="Hlavika"/>
    </w:pPr>
    <w:r>
      <w:rPr>
        <w:noProof/>
        <w:lang w:val="sk-SK" w:eastAsia="sk-SK"/>
      </w:rPr>
      <mc:AlternateContent>
        <mc:Choice Requires="wps">
          <w:drawing>
            <wp:anchor distT="0" distB="0" distL="114300" distR="114300" simplePos="0" relativeHeight="251659264" behindDoc="0" locked="0" layoutInCell="1" allowOverlap="1" wp14:anchorId="73F78644" wp14:editId="1F739A4C">
              <wp:simplePos x="0" y="0"/>
              <wp:positionH relativeFrom="page">
                <wp:posOffset>12700</wp:posOffset>
              </wp:positionH>
              <wp:positionV relativeFrom="paragraph">
                <wp:posOffset>-436880</wp:posOffset>
              </wp:positionV>
              <wp:extent cx="10661650" cy="857250"/>
              <wp:effectExtent l="0" t="0" r="6350" b="0"/>
              <wp:wrapNone/>
              <wp:docPr id="3" name="Obdĺžnik 3"/>
              <wp:cNvGraphicFramePr/>
              <a:graphic xmlns:a="http://schemas.openxmlformats.org/drawingml/2006/main">
                <a:graphicData uri="http://schemas.microsoft.com/office/word/2010/wordprocessingShape">
                  <wps:wsp>
                    <wps:cNvSpPr/>
                    <wps:spPr>
                      <a:xfrm>
                        <a:off x="0" y="0"/>
                        <a:ext cx="10661650" cy="85725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A4E861" w14:textId="3B8BE9F5" w:rsidR="00F11911" w:rsidRDefault="00F11911" w:rsidP="005C21C7">
                          <w:pPr>
                            <w:jc w:val="center"/>
                          </w:pPr>
                          <w:r>
                            <w:rPr>
                              <w:noProof/>
                              <w:lang w:val="sk-SK" w:eastAsia="sk-SK"/>
                            </w:rPr>
                            <w:drawing>
                              <wp:inline distT="0" distB="0" distL="0" distR="0" wp14:anchorId="5FCD0592" wp14:editId="019B20F1">
                                <wp:extent cx="3276600" cy="495300"/>
                                <wp:effectExtent l="0" t="0" r="0" b="0"/>
                                <wp:docPr id="4" name="Obrázok 4" descr="ÚVO Úrad pre verejné obstaráva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ÚVO Úrad pre verejné obstaráva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76600" cy="4953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F78644" id="Obdĺžnik 3" o:spid="_x0000_s1026" style="position:absolute;margin-left:1pt;margin-top:-34.4pt;width:839.5pt;height:6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" fillcolor="#4f81bd [3204]" stroked="f" strokeweight="2pt">
              <v:textbox>
                <w:txbxContent>
                  <w:p w14:paraId="26A4E861" w14:textId="3B8BE9F5" w:rsidR="00044EEB" w:rsidRDefault="00044EEB" w:rsidP="005C21C7">
                    <w:pPr>
                      <w:jc w:val="center"/>
                    </w:pPr>
                    <w:r>
                      <w:rPr>
                        <w:noProof/>
                        <w:lang w:val="sk-SK" w:eastAsia="sk-SK"/>
                      </w:rPr>
                      <w:drawing>
                        <wp:inline distT="0" distB="0" distL="0" distR="0" wp14:anchorId="5FCD0592" wp14:editId="019B20F1">
                          <wp:extent cx="3276600" cy="495300"/>
                          <wp:effectExtent l="0" t="0" r="0" b="0"/>
                          <wp:docPr id="4" name="Obrázok 4" descr="ÚVO Úrad pre verejné obstaráva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ÚVO Úrad pre verejné obstarávan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76600" cy="495300"/>
                                  </a:xfrm>
                                  <a:prstGeom prst="rect">
                                    <a:avLst/>
                                  </a:prstGeom>
                                  <a:noFill/>
                                  <a:ln>
                                    <a:noFill/>
                                  </a:ln>
                                </pic:spPr>
                              </pic:pic>
                            </a:graphicData>
                          </a:graphic>
                        </wp:inline>
                      </w:drawing>
                    </w:r>
                  </w:p>
                </w:txbxContent>
              </v:textbox>
              <w10:wrap anchorx="page"/>
            </v:rect>
          </w:pict>
        </mc:Fallback>
      </mc:AlternateContent>
    </w:r>
  </w:p>
  <w:p w14:paraId="52B745BB" w14:textId="77777777" w:rsidR="00F11911" w:rsidRDefault="00F11911">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61F2C"/>
    <w:multiLevelType w:val="hybridMultilevel"/>
    <w:tmpl w:val="0AACA1F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05633C"/>
    <w:multiLevelType w:val="hybridMultilevel"/>
    <w:tmpl w:val="836EAF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547EEE"/>
    <w:multiLevelType w:val="hybridMultilevel"/>
    <w:tmpl w:val="97227F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F00166E"/>
    <w:multiLevelType w:val="hybridMultilevel"/>
    <w:tmpl w:val="9A7AB300"/>
    <w:lvl w:ilvl="0" w:tplc="FE70D3F2">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0094F8F"/>
    <w:multiLevelType w:val="multilevel"/>
    <w:tmpl w:val="D5743C9A"/>
    <w:lvl w:ilvl="0">
      <w:start w:val="1"/>
      <w:numFmt w:val="decimal"/>
      <w:lvlText w:val="%1."/>
      <w:lvlJc w:val="left"/>
      <w:pPr>
        <w:ind w:left="492" w:firstLine="76"/>
      </w:pPr>
      <w:rPr>
        <w:rFonts w:hint="default"/>
      </w:rPr>
    </w:lvl>
    <w:lvl w:ilvl="1">
      <w:start w:val="1"/>
      <w:numFmt w:val="decimal"/>
      <w:lvlText w:val="%1.%2"/>
      <w:lvlJc w:val="left"/>
      <w:pPr>
        <w:ind w:left="622" w:firstLine="513"/>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dpis4"/>
      <w:lvlText w:val="%1.%2.%3"/>
      <w:lvlJc w:val="left"/>
      <w:pPr>
        <w:ind w:left="851" w:firstLine="94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567" w:firstLine="1953"/>
      </w:pPr>
      <w:rPr>
        <w:rFonts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33534B"/>
    <w:multiLevelType w:val="hybridMultilevel"/>
    <w:tmpl w:val="58727FA0"/>
    <w:lvl w:ilvl="0" w:tplc="85E876D0">
      <w:start w:val="10"/>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8565B1D"/>
    <w:multiLevelType w:val="hybridMultilevel"/>
    <w:tmpl w:val="197AA57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E956398"/>
    <w:multiLevelType w:val="hybridMultilevel"/>
    <w:tmpl w:val="338E544E"/>
    <w:lvl w:ilvl="0" w:tplc="041B000B">
      <w:start w:val="1"/>
      <w:numFmt w:val="bullet"/>
      <w:lvlText w:val=""/>
      <w:lvlJc w:val="left"/>
      <w:pPr>
        <w:ind w:left="1080" w:hanging="360"/>
      </w:pPr>
      <w:rPr>
        <w:rFonts w:ascii="Wingdings" w:hAnsi="Wingding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8" w15:restartNumberingAfterBreak="0">
    <w:nsid w:val="260371AB"/>
    <w:multiLevelType w:val="hybridMultilevel"/>
    <w:tmpl w:val="F530EF7A"/>
    <w:lvl w:ilvl="0" w:tplc="08090001">
      <w:start w:val="1"/>
      <w:numFmt w:val="bullet"/>
      <w:lvlText w:val=""/>
      <w:lvlJc w:val="left"/>
      <w:pPr>
        <w:ind w:left="4782" w:hanging="360"/>
      </w:pPr>
      <w:rPr>
        <w:rFonts w:ascii="Symbol" w:hAnsi="Symbol" w:hint="default"/>
      </w:rPr>
    </w:lvl>
    <w:lvl w:ilvl="1" w:tplc="08090003">
      <w:start w:val="1"/>
      <w:numFmt w:val="bullet"/>
      <w:lvlText w:val="o"/>
      <w:lvlJc w:val="left"/>
      <w:pPr>
        <w:ind w:left="5502" w:hanging="360"/>
      </w:pPr>
      <w:rPr>
        <w:rFonts w:ascii="Courier New" w:hAnsi="Courier New" w:cs="Courier New" w:hint="default"/>
      </w:rPr>
    </w:lvl>
    <w:lvl w:ilvl="2" w:tplc="08090005" w:tentative="1">
      <w:start w:val="1"/>
      <w:numFmt w:val="bullet"/>
      <w:lvlText w:val=""/>
      <w:lvlJc w:val="left"/>
      <w:pPr>
        <w:ind w:left="6222" w:hanging="360"/>
      </w:pPr>
      <w:rPr>
        <w:rFonts w:ascii="Wingdings" w:hAnsi="Wingdings" w:hint="default"/>
      </w:rPr>
    </w:lvl>
    <w:lvl w:ilvl="3" w:tplc="08090001" w:tentative="1">
      <w:start w:val="1"/>
      <w:numFmt w:val="bullet"/>
      <w:lvlText w:val=""/>
      <w:lvlJc w:val="left"/>
      <w:pPr>
        <w:ind w:left="6942" w:hanging="360"/>
      </w:pPr>
      <w:rPr>
        <w:rFonts w:ascii="Symbol" w:hAnsi="Symbol" w:hint="default"/>
      </w:rPr>
    </w:lvl>
    <w:lvl w:ilvl="4" w:tplc="08090003" w:tentative="1">
      <w:start w:val="1"/>
      <w:numFmt w:val="bullet"/>
      <w:lvlText w:val="o"/>
      <w:lvlJc w:val="left"/>
      <w:pPr>
        <w:ind w:left="7662" w:hanging="360"/>
      </w:pPr>
      <w:rPr>
        <w:rFonts w:ascii="Courier New" w:hAnsi="Courier New" w:cs="Courier New" w:hint="default"/>
      </w:rPr>
    </w:lvl>
    <w:lvl w:ilvl="5" w:tplc="08090005" w:tentative="1">
      <w:start w:val="1"/>
      <w:numFmt w:val="bullet"/>
      <w:lvlText w:val=""/>
      <w:lvlJc w:val="left"/>
      <w:pPr>
        <w:ind w:left="8382" w:hanging="360"/>
      </w:pPr>
      <w:rPr>
        <w:rFonts w:ascii="Wingdings" w:hAnsi="Wingdings" w:hint="default"/>
      </w:rPr>
    </w:lvl>
    <w:lvl w:ilvl="6" w:tplc="08090001" w:tentative="1">
      <w:start w:val="1"/>
      <w:numFmt w:val="bullet"/>
      <w:lvlText w:val=""/>
      <w:lvlJc w:val="left"/>
      <w:pPr>
        <w:ind w:left="9102" w:hanging="360"/>
      </w:pPr>
      <w:rPr>
        <w:rFonts w:ascii="Symbol" w:hAnsi="Symbol" w:hint="default"/>
      </w:rPr>
    </w:lvl>
    <w:lvl w:ilvl="7" w:tplc="08090003" w:tentative="1">
      <w:start w:val="1"/>
      <w:numFmt w:val="bullet"/>
      <w:lvlText w:val="o"/>
      <w:lvlJc w:val="left"/>
      <w:pPr>
        <w:ind w:left="9822" w:hanging="360"/>
      </w:pPr>
      <w:rPr>
        <w:rFonts w:ascii="Courier New" w:hAnsi="Courier New" w:cs="Courier New" w:hint="default"/>
      </w:rPr>
    </w:lvl>
    <w:lvl w:ilvl="8" w:tplc="08090005" w:tentative="1">
      <w:start w:val="1"/>
      <w:numFmt w:val="bullet"/>
      <w:lvlText w:val=""/>
      <w:lvlJc w:val="left"/>
      <w:pPr>
        <w:ind w:left="10542" w:hanging="360"/>
      </w:pPr>
      <w:rPr>
        <w:rFonts w:ascii="Wingdings" w:hAnsi="Wingdings" w:hint="default"/>
      </w:rPr>
    </w:lvl>
  </w:abstractNum>
  <w:abstractNum w:abstractNumId="9" w15:restartNumberingAfterBreak="0">
    <w:nsid w:val="2A037F75"/>
    <w:multiLevelType w:val="hybridMultilevel"/>
    <w:tmpl w:val="68922C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D9147C"/>
    <w:multiLevelType w:val="hybridMultilevel"/>
    <w:tmpl w:val="80560A80"/>
    <w:lvl w:ilvl="0" w:tplc="85E876D0">
      <w:start w:val="10"/>
      <w:numFmt w:val="bullet"/>
      <w:lvlText w:val="-"/>
      <w:lvlJc w:val="left"/>
      <w:pPr>
        <w:ind w:left="405" w:hanging="360"/>
      </w:pPr>
      <w:rPr>
        <w:rFonts w:ascii="Calibri" w:eastAsiaTheme="minorHAnsi" w:hAnsi="Calibri" w:cs="Calibri" w:hint="default"/>
      </w:rPr>
    </w:lvl>
    <w:lvl w:ilvl="1" w:tplc="041B0003" w:tentative="1">
      <w:start w:val="1"/>
      <w:numFmt w:val="bullet"/>
      <w:lvlText w:val="o"/>
      <w:lvlJc w:val="left"/>
      <w:pPr>
        <w:ind w:left="1125" w:hanging="360"/>
      </w:pPr>
      <w:rPr>
        <w:rFonts w:ascii="Courier New" w:hAnsi="Courier New" w:cs="Courier New" w:hint="default"/>
      </w:rPr>
    </w:lvl>
    <w:lvl w:ilvl="2" w:tplc="041B0005" w:tentative="1">
      <w:start w:val="1"/>
      <w:numFmt w:val="bullet"/>
      <w:lvlText w:val=""/>
      <w:lvlJc w:val="left"/>
      <w:pPr>
        <w:ind w:left="1845" w:hanging="360"/>
      </w:pPr>
      <w:rPr>
        <w:rFonts w:ascii="Wingdings" w:hAnsi="Wingdings" w:hint="default"/>
      </w:rPr>
    </w:lvl>
    <w:lvl w:ilvl="3" w:tplc="041B0001" w:tentative="1">
      <w:start w:val="1"/>
      <w:numFmt w:val="bullet"/>
      <w:lvlText w:val=""/>
      <w:lvlJc w:val="left"/>
      <w:pPr>
        <w:ind w:left="2565" w:hanging="360"/>
      </w:pPr>
      <w:rPr>
        <w:rFonts w:ascii="Symbol" w:hAnsi="Symbol" w:hint="default"/>
      </w:rPr>
    </w:lvl>
    <w:lvl w:ilvl="4" w:tplc="041B0003" w:tentative="1">
      <w:start w:val="1"/>
      <w:numFmt w:val="bullet"/>
      <w:lvlText w:val="o"/>
      <w:lvlJc w:val="left"/>
      <w:pPr>
        <w:ind w:left="3285" w:hanging="360"/>
      </w:pPr>
      <w:rPr>
        <w:rFonts w:ascii="Courier New" w:hAnsi="Courier New" w:cs="Courier New" w:hint="default"/>
      </w:rPr>
    </w:lvl>
    <w:lvl w:ilvl="5" w:tplc="041B0005" w:tentative="1">
      <w:start w:val="1"/>
      <w:numFmt w:val="bullet"/>
      <w:lvlText w:val=""/>
      <w:lvlJc w:val="left"/>
      <w:pPr>
        <w:ind w:left="4005" w:hanging="360"/>
      </w:pPr>
      <w:rPr>
        <w:rFonts w:ascii="Wingdings" w:hAnsi="Wingdings" w:hint="default"/>
      </w:rPr>
    </w:lvl>
    <w:lvl w:ilvl="6" w:tplc="041B0001" w:tentative="1">
      <w:start w:val="1"/>
      <w:numFmt w:val="bullet"/>
      <w:lvlText w:val=""/>
      <w:lvlJc w:val="left"/>
      <w:pPr>
        <w:ind w:left="4725" w:hanging="360"/>
      </w:pPr>
      <w:rPr>
        <w:rFonts w:ascii="Symbol" w:hAnsi="Symbol" w:hint="default"/>
      </w:rPr>
    </w:lvl>
    <w:lvl w:ilvl="7" w:tplc="041B0003" w:tentative="1">
      <w:start w:val="1"/>
      <w:numFmt w:val="bullet"/>
      <w:lvlText w:val="o"/>
      <w:lvlJc w:val="left"/>
      <w:pPr>
        <w:ind w:left="5445" w:hanging="360"/>
      </w:pPr>
      <w:rPr>
        <w:rFonts w:ascii="Courier New" w:hAnsi="Courier New" w:cs="Courier New" w:hint="default"/>
      </w:rPr>
    </w:lvl>
    <w:lvl w:ilvl="8" w:tplc="041B0005" w:tentative="1">
      <w:start w:val="1"/>
      <w:numFmt w:val="bullet"/>
      <w:lvlText w:val=""/>
      <w:lvlJc w:val="left"/>
      <w:pPr>
        <w:ind w:left="6165" w:hanging="360"/>
      </w:pPr>
      <w:rPr>
        <w:rFonts w:ascii="Wingdings" w:hAnsi="Wingdings" w:hint="default"/>
      </w:rPr>
    </w:lvl>
  </w:abstractNum>
  <w:abstractNum w:abstractNumId="11" w15:restartNumberingAfterBreak="0">
    <w:nsid w:val="36633CB5"/>
    <w:multiLevelType w:val="hybridMultilevel"/>
    <w:tmpl w:val="46B882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3B5938"/>
    <w:multiLevelType w:val="hybridMultilevel"/>
    <w:tmpl w:val="23E08F7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D8552A1"/>
    <w:multiLevelType w:val="hybridMultilevel"/>
    <w:tmpl w:val="51E4EC94"/>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41AE60FC"/>
    <w:multiLevelType w:val="hybridMultilevel"/>
    <w:tmpl w:val="ED8A8300"/>
    <w:lvl w:ilvl="0" w:tplc="C86C8F54">
      <w:numFmt w:val="bullet"/>
      <w:lvlText w:val="-"/>
      <w:lvlJc w:val="left"/>
      <w:pPr>
        <w:ind w:left="360" w:hanging="360"/>
      </w:pPr>
      <w:rPr>
        <w:rFonts w:ascii="Calibri" w:eastAsiaTheme="minorHAnsi" w:hAnsi="Calibri" w:cs="Calibri"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5" w15:restartNumberingAfterBreak="0">
    <w:nsid w:val="42305BD5"/>
    <w:multiLevelType w:val="hybridMultilevel"/>
    <w:tmpl w:val="7ED4FB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42947698"/>
    <w:multiLevelType w:val="hybridMultilevel"/>
    <w:tmpl w:val="5B4E3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6B4F58"/>
    <w:multiLevelType w:val="hybridMultilevel"/>
    <w:tmpl w:val="3BB298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538273C3"/>
    <w:multiLevelType w:val="hybridMultilevel"/>
    <w:tmpl w:val="F14A5EC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53C038ED"/>
    <w:multiLevelType w:val="hybridMultilevel"/>
    <w:tmpl w:val="68E22326"/>
    <w:lvl w:ilvl="0" w:tplc="08090017">
      <w:start w:val="1"/>
      <w:numFmt w:val="lowerLetter"/>
      <w:lvlText w:val="%1)"/>
      <w:lvlJc w:val="left"/>
      <w:pPr>
        <w:ind w:left="1512" w:hanging="360"/>
      </w:pPr>
      <w:rPr>
        <w:rFonts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0" w15:restartNumberingAfterBreak="0">
    <w:nsid w:val="54C13966"/>
    <w:multiLevelType w:val="hybridMultilevel"/>
    <w:tmpl w:val="0D04BAC0"/>
    <w:lvl w:ilvl="0" w:tplc="041B000B">
      <w:start w:val="1"/>
      <w:numFmt w:val="bullet"/>
      <w:lvlText w:val=""/>
      <w:lvlJc w:val="left"/>
      <w:pPr>
        <w:ind w:left="1009" w:hanging="360"/>
      </w:pPr>
      <w:rPr>
        <w:rFonts w:ascii="Wingdings" w:hAnsi="Wingdings" w:hint="default"/>
      </w:rPr>
    </w:lvl>
    <w:lvl w:ilvl="1" w:tplc="041B0003" w:tentative="1">
      <w:start w:val="1"/>
      <w:numFmt w:val="bullet"/>
      <w:lvlText w:val="o"/>
      <w:lvlJc w:val="left"/>
      <w:pPr>
        <w:ind w:left="1729" w:hanging="360"/>
      </w:pPr>
      <w:rPr>
        <w:rFonts w:ascii="Courier New" w:hAnsi="Courier New" w:cs="Courier New" w:hint="default"/>
      </w:rPr>
    </w:lvl>
    <w:lvl w:ilvl="2" w:tplc="041B0005" w:tentative="1">
      <w:start w:val="1"/>
      <w:numFmt w:val="bullet"/>
      <w:lvlText w:val=""/>
      <w:lvlJc w:val="left"/>
      <w:pPr>
        <w:ind w:left="2449" w:hanging="360"/>
      </w:pPr>
      <w:rPr>
        <w:rFonts w:ascii="Wingdings" w:hAnsi="Wingdings" w:hint="default"/>
      </w:rPr>
    </w:lvl>
    <w:lvl w:ilvl="3" w:tplc="041B0001" w:tentative="1">
      <w:start w:val="1"/>
      <w:numFmt w:val="bullet"/>
      <w:lvlText w:val=""/>
      <w:lvlJc w:val="left"/>
      <w:pPr>
        <w:ind w:left="3169" w:hanging="360"/>
      </w:pPr>
      <w:rPr>
        <w:rFonts w:ascii="Symbol" w:hAnsi="Symbol" w:hint="default"/>
      </w:rPr>
    </w:lvl>
    <w:lvl w:ilvl="4" w:tplc="041B0003" w:tentative="1">
      <w:start w:val="1"/>
      <w:numFmt w:val="bullet"/>
      <w:lvlText w:val="o"/>
      <w:lvlJc w:val="left"/>
      <w:pPr>
        <w:ind w:left="3889" w:hanging="360"/>
      </w:pPr>
      <w:rPr>
        <w:rFonts w:ascii="Courier New" w:hAnsi="Courier New" w:cs="Courier New" w:hint="default"/>
      </w:rPr>
    </w:lvl>
    <w:lvl w:ilvl="5" w:tplc="041B0005" w:tentative="1">
      <w:start w:val="1"/>
      <w:numFmt w:val="bullet"/>
      <w:lvlText w:val=""/>
      <w:lvlJc w:val="left"/>
      <w:pPr>
        <w:ind w:left="4609" w:hanging="360"/>
      </w:pPr>
      <w:rPr>
        <w:rFonts w:ascii="Wingdings" w:hAnsi="Wingdings" w:hint="default"/>
      </w:rPr>
    </w:lvl>
    <w:lvl w:ilvl="6" w:tplc="041B0001" w:tentative="1">
      <w:start w:val="1"/>
      <w:numFmt w:val="bullet"/>
      <w:lvlText w:val=""/>
      <w:lvlJc w:val="left"/>
      <w:pPr>
        <w:ind w:left="5329" w:hanging="360"/>
      </w:pPr>
      <w:rPr>
        <w:rFonts w:ascii="Symbol" w:hAnsi="Symbol" w:hint="default"/>
      </w:rPr>
    </w:lvl>
    <w:lvl w:ilvl="7" w:tplc="041B0003" w:tentative="1">
      <w:start w:val="1"/>
      <w:numFmt w:val="bullet"/>
      <w:lvlText w:val="o"/>
      <w:lvlJc w:val="left"/>
      <w:pPr>
        <w:ind w:left="6049" w:hanging="360"/>
      </w:pPr>
      <w:rPr>
        <w:rFonts w:ascii="Courier New" w:hAnsi="Courier New" w:cs="Courier New" w:hint="default"/>
      </w:rPr>
    </w:lvl>
    <w:lvl w:ilvl="8" w:tplc="041B0005" w:tentative="1">
      <w:start w:val="1"/>
      <w:numFmt w:val="bullet"/>
      <w:lvlText w:val=""/>
      <w:lvlJc w:val="left"/>
      <w:pPr>
        <w:ind w:left="6769" w:hanging="360"/>
      </w:pPr>
      <w:rPr>
        <w:rFonts w:ascii="Wingdings" w:hAnsi="Wingdings" w:hint="default"/>
      </w:rPr>
    </w:lvl>
  </w:abstractNum>
  <w:abstractNum w:abstractNumId="21" w15:restartNumberingAfterBreak="0">
    <w:nsid w:val="5F9A5332"/>
    <w:multiLevelType w:val="hybridMultilevel"/>
    <w:tmpl w:val="FE8CC6DC"/>
    <w:lvl w:ilvl="0" w:tplc="041B000B">
      <w:start w:val="1"/>
      <w:numFmt w:val="bullet"/>
      <w:lvlText w:val=""/>
      <w:lvlJc w:val="left"/>
      <w:pPr>
        <w:ind w:left="1080" w:hanging="360"/>
      </w:pPr>
      <w:rPr>
        <w:rFonts w:ascii="Wingdings" w:hAnsi="Wingding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2" w15:restartNumberingAfterBreak="0">
    <w:nsid w:val="68BD58A0"/>
    <w:multiLevelType w:val="hybridMultilevel"/>
    <w:tmpl w:val="6DFAA7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E013EB"/>
    <w:multiLevelType w:val="hybridMultilevel"/>
    <w:tmpl w:val="2F4CFC20"/>
    <w:lvl w:ilvl="0" w:tplc="33187350">
      <w:start w:val="1"/>
      <w:numFmt w:val="decimal"/>
      <w:lvlText w:val="%1"/>
      <w:lvlJc w:val="left"/>
      <w:pPr>
        <w:ind w:left="555" w:hanging="360"/>
      </w:pPr>
      <w:rPr>
        <w:rFonts w:hint="default"/>
      </w:rPr>
    </w:lvl>
    <w:lvl w:ilvl="1" w:tplc="041B0019" w:tentative="1">
      <w:start w:val="1"/>
      <w:numFmt w:val="lowerLetter"/>
      <w:lvlText w:val="%2."/>
      <w:lvlJc w:val="left"/>
      <w:pPr>
        <w:ind w:left="1275" w:hanging="360"/>
      </w:pPr>
    </w:lvl>
    <w:lvl w:ilvl="2" w:tplc="041B001B" w:tentative="1">
      <w:start w:val="1"/>
      <w:numFmt w:val="lowerRoman"/>
      <w:lvlText w:val="%3."/>
      <w:lvlJc w:val="right"/>
      <w:pPr>
        <w:ind w:left="1995" w:hanging="180"/>
      </w:pPr>
    </w:lvl>
    <w:lvl w:ilvl="3" w:tplc="041B000F" w:tentative="1">
      <w:start w:val="1"/>
      <w:numFmt w:val="decimal"/>
      <w:lvlText w:val="%4."/>
      <w:lvlJc w:val="left"/>
      <w:pPr>
        <w:ind w:left="2715" w:hanging="360"/>
      </w:pPr>
    </w:lvl>
    <w:lvl w:ilvl="4" w:tplc="041B0019" w:tentative="1">
      <w:start w:val="1"/>
      <w:numFmt w:val="lowerLetter"/>
      <w:lvlText w:val="%5."/>
      <w:lvlJc w:val="left"/>
      <w:pPr>
        <w:ind w:left="3435" w:hanging="360"/>
      </w:pPr>
    </w:lvl>
    <w:lvl w:ilvl="5" w:tplc="041B001B" w:tentative="1">
      <w:start w:val="1"/>
      <w:numFmt w:val="lowerRoman"/>
      <w:lvlText w:val="%6."/>
      <w:lvlJc w:val="right"/>
      <w:pPr>
        <w:ind w:left="4155" w:hanging="180"/>
      </w:pPr>
    </w:lvl>
    <w:lvl w:ilvl="6" w:tplc="041B000F" w:tentative="1">
      <w:start w:val="1"/>
      <w:numFmt w:val="decimal"/>
      <w:lvlText w:val="%7."/>
      <w:lvlJc w:val="left"/>
      <w:pPr>
        <w:ind w:left="4875" w:hanging="360"/>
      </w:pPr>
    </w:lvl>
    <w:lvl w:ilvl="7" w:tplc="041B0019" w:tentative="1">
      <w:start w:val="1"/>
      <w:numFmt w:val="lowerLetter"/>
      <w:lvlText w:val="%8."/>
      <w:lvlJc w:val="left"/>
      <w:pPr>
        <w:ind w:left="5595" w:hanging="360"/>
      </w:pPr>
    </w:lvl>
    <w:lvl w:ilvl="8" w:tplc="041B001B" w:tentative="1">
      <w:start w:val="1"/>
      <w:numFmt w:val="lowerRoman"/>
      <w:lvlText w:val="%9."/>
      <w:lvlJc w:val="right"/>
      <w:pPr>
        <w:ind w:left="6315" w:hanging="180"/>
      </w:pPr>
    </w:lvl>
  </w:abstractNum>
  <w:abstractNum w:abstractNumId="24" w15:restartNumberingAfterBreak="0">
    <w:nsid w:val="6CEC79AA"/>
    <w:multiLevelType w:val="hybridMultilevel"/>
    <w:tmpl w:val="5E266602"/>
    <w:lvl w:ilvl="0" w:tplc="041B0001">
      <w:start w:val="1"/>
      <w:numFmt w:val="bullet"/>
      <w:lvlText w:val=""/>
      <w:lvlJc w:val="left"/>
      <w:pPr>
        <w:ind w:left="765" w:hanging="360"/>
      </w:pPr>
      <w:rPr>
        <w:rFonts w:ascii="Symbol" w:hAnsi="Symbol" w:hint="default"/>
      </w:rPr>
    </w:lvl>
    <w:lvl w:ilvl="1" w:tplc="041B0003" w:tentative="1">
      <w:start w:val="1"/>
      <w:numFmt w:val="bullet"/>
      <w:lvlText w:val="o"/>
      <w:lvlJc w:val="left"/>
      <w:pPr>
        <w:ind w:left="1485" w:hanging="360"/>
      </w:pPr>
      <w:rPr>
        <w:rFonts w:ascii="Courier New" w:hAnsi="Courier New" w:cs="Courier New" w:hint="default"/>
      </w:rPr>
    </w:lvl>
    <w:lvl w:ilvl="2" w:tplc="041B0005" w:tentative="1">
      <w:start w:val="1"/>
      <w:numFmt w:val="bullet"/>
      <w:lvlText w:val=""/>
      <w:lvlJc w:val="left"/>
      <w:pPr>
        <w:ind w:left="2205" w:hanging="360"/>
      </w:pPr>
      <w:rPr>
        <w:rFonts w:ascii="Wingdings" w:hAnsi="Wingdings" w:hint="default"/>
      </w:rPr>
    </w:lvl>
    <w:lvl w:ilvl="3" w:tplc="041B0001" w:tentative="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abstractNum w:abstractNumId="25" w15:restartNumberingAfterBreak="0">
    <w:nsid w:val="6DDE210C"/>
    <w:multiLevelType w:val="hybridMultilevel"/>
    <w:tmpl w:val="DD5A59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F817BA3"/>
    <w:multiLevelType w:val="hybridMultilevel"/>
    <w:tmpl w:val="A8183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AE123A"/>
    <w:multiLevelType w:val="hybridMultilevel"/>
    <w:tmpl w:val="67FA3784"/>
    <w:lvl w:ilvl="0" w:tplc="423C5772">
      <w:start w:val="1"/>
      <w:numFmt w:val="upperRoman"/>
      <w:pStyle w:val="Nadpis2"/>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70F71013"/>
    <w:multiLevelType w:val="hybridMultilevel"/>
    <w:tmpl w:val="B1B0233C"/>
    <w:lvl w:ilvl="0" w:tplc="10E8E77A">
      <w:start w:val="1"/>
      <w:numFmt w:val="bullet"/>
      <w:lvlText w:val=""/>
      <w:lvlJc w:val="left"/>
      <w:pPr>
        <w:ind w:left="1512" w:hanging="360"/>
      </w:pPr>
      <w:rPr>
        <w:rFonts w:ascii="Wingdings" w:hAnsi="Wingdings" w:hint="default"/>
        <w:color w:val="auto"/>
      </w:rPr>
    </w:lvl>
    <w:lvl w:ilvl="1" w:tplc="041B0003" w:tentative="1">
      <w:start w:val="1"/>
      <w:numFmt w:val="bullet"/>
      <w:lvlText w:val="o"/>
      <w:lvlJc w:val="left"/>
      <w:pPr>
        <w:ind w:left="2232" w:hanging="360"/>
      </w:pPr>
      <w:rPr>
        <w:rFonts w:ascii="Courier New" w:hAnsi="Courier New" w:cs="Courier New" w:hint="default"/>
      </w:rPr>
    </w:lvl>
    <w:lvl w:ilvl="2" w:tplc="041B0005" w:tentative="1">
      <w:start w:val="1"/>
      <w:numFmt w:val="bullet"/>
      <w:lvlText w:val=""/>
      <w:lvlJc w:val="left"/>
      <w:pPr>
        <w:ind w:left="2952" w:hanging="360"/>
      </w:pPr>
      <w:rPr>
        <w:rFonts w:ascii="Wingdings" w:hAnsi="Wingdings" w:hint="default"/>
      </w:rPr>
    </w:lvl>
    <w:lvl w:ilvl="3" w:tplc="041B0001" w:tentative="1">
      <w:start w:val="1"/>
      <w:numFmt w:val="bullet"/>
      <w:lvlText w:val=""/>
      <w:lvlJc w:val="left"/>
      <w:pPr>
        <w:ind w:left="3672" w:hanging="360"/>
      </w:pPr>
      <w:rPr>
        <w:rFonts w:ascii="Symbol" w:hAnsi="Symbol" w:hint="default"/>
      </w:rPr>
    </w:lvl>
    <w:lvl w:ilvl="4" w:tplc="041B0003" w:tentative="1">
      <w:start w:val="1"/>
      <w:numFmt w:val="bullet"/>
      <w:lvlText w:val="o"/>
      <w:lvlJc w:val="left"/>
      <w:pPr>
        <w:ind w:left="4392" w:hanging="360"/>
      </w:pPr>
      <w:rPr>
        <w:rFonts w:ascii="Courier New" w:hAnsi="Courier New" w:cs="Courier New" w:hint="default"/>
      </w:rPr>
    </w:lvl>
    <w:lvl w:ilvl="5" w:tplc="041B0005" w:tentative="1">
      <w:start w:val="1"/>
      <w:numFmt w:val="bullet"/>
      <w:lvlText w:val=""/>
      <w:lvlJc w:val="left"/>
      <w:pPr>
        <w:ind w:left="5112" w:hanging="360"/>
      </w:pPr>
      <w:rPr>
        <w:rFonts w:ascii="Wingdings" w:hAnsi="Wingdings" w:hint="default"/>
      </w:rPr>
    </w:lvl>
    <w:lvl w:ilvl="6" w:tplc="041B0001" w:tentative="1">
      <w:start w:val="1"/>
      <w:numFmt w:val="bullet"/>
      <w:lvlText w:val=""/>
      <w:lvlJc w:val="left"/>
      <w:pPr>
        <w:ind w:left="5832" w:hanging="360"/>
      </w:pPr>
      <w:rPr>
        <w:rFonts w:ascii="Symbol" w:hAnsi="Symbol" w:hint="default"/>
      </w:rPr>
    </w:lvl>
    <w:lvl w:ilvl="7" w:tplc="041B0003" w:tentative="1">
      <w:start w:val="1"/>
      <w:numFmt w:val="bullet"/>
      <w:lvlText w:val="o"/>
      <w:lvlJc w:val="left"/>
      <w:pPr>
        <w:ind w:left="6552" w:hanging="360"/>
      </w:pPr>
      <w:rPr>
        <w:rFonts w:ascii="Courier New" w:hAnsi="Courier New" w:cs="Courier New" w:hint="default"/>
      </w:rPr>
    </w:lvl>
    <w:lvl w:ilvl="8" w:tplc="041B0005" w:tentative="1">
      <w:start w:val="1"/>
      <w:numFmt w:val="bullet"/>
      <w:lvlText w:val=""/>
      <w:lvlJc w:val="left"/>
      <w:pPr>
        <w:ind w:left="7272" w:hanging="360"/>
      </w:pPr>
      <w:rPr>
        <w:rFonts w:ascii="Wingdings" w:hAnsi="Wingdings" w:hint="default"/>
      </w:rPr>
    </w:lvl>
  </w:abstractNum>
  <w:abstractNum w:abstractNumId="29" w15:restartNumberingAfterBreak="0">
    <w:nsid w:val="79952108"/>
    <w:multiLevelType w:val="hybridMultilevel"/>
    <w:tmpl w:val="F612D80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C717E2"/>
    <w:multiLevelType w:val="hybridMultilevel"/>
    <w:tmpl w:val="2342F764"/>
    <w:lvl w:ilvl="0" w:tplc="79900402">
      <w:start w:val="1"/>
      <w:numFmt w:val="decimal"/>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AB0070A"/>
    <w:multiLevelType w:val="hybridMultilevel"/>
    <w:tmpl w:val="2C3EB5B2"/>
    <w:lvl w:ilvl="0" w:tplc="08090001">
      <w:start w:val="1"/>
      <w:numFmt w:val="bullet"/>
      <w:lvlText w:val=""/>
      <w:lvlJc w:val="left"/>
      <w:pPr>
        <w:ind w:left="360" w:hanging="360"/>
      </w:pPr>
      <w:rPr>
        <w:rFonts w:ascii="Symbol" w:hAnsi="Symbol" w:hint="default"/>
      </w:rPr>
    </w:lvl>
    <w:lvl w:ilvl="1" w:tplc="114A8D6A">
      <w:numFmt w:val="bullet"/>
      <w:lvlText w:val="–"/>
      <w:lvlJc w:val="left"/>
      <w:pPr>
        <w:ind w:left="1080" w:hanging="360"/>
      </w:pPr>
      <w:rPr>
        <w:rFonts w:ascii="Calibri" w:eastAsiaTheme="minorHAns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F1F2D60"/>
    <w:multiLevelType w:val="hybridMultilevel"/>
    <w:tmpl w:val="FAE4B04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7F7448F8"/>
    <w:multiLevelType w:val="hybridMultilevel"/>
    <w:tmpl w:val="4776E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
  </w:num>
  <w:num w:numId="3">
    <w:abstractNumId w:val="4"/>
  </w:num>
  <w:num w:numId="4">
    <w:abstractNumId w:val="8"/>
  </w:num>
  <w:num w:numId="5">
    <w:abstractNumId w:val="9"/>
  </w:num>
  <w:num w:numId="6">
    <w:abstractNumId w:val="26"/>
  </w:num>
  <w:num w:numId="7">
    <w:abstractNumId w:val="33"/>
  </w:num>
  <w:num w:numId="8">
    <w:abstractNumId w:val="22"/>
  </w:num>
  <w:num w:numId="9">
    <w:abstractNumId w:val="27"/>
  </w:num>
  <w:num w:numId="10">
    <w:abstractNumId w:val="31"/>
  </w:num>
  <w:num w:numId="11">
    <w:abstractNumId w:val="16"/>
  </w:num>
  <w:num w:numId="12">
    <w:abstractNumId w:val="11"/>
  </w:num>
  <w:num w:numId="13">
    <w:abstractNumId w:val="0"/>
  </w:num>
  <w:num w:numId="14">
    <w:abstractNumId w:val="29"/>
  </w:num>
  <w:num w:numId="15">
    <w:abstractNumId w:val="25"/>
  </w:num>
  <w:num w:numId="16">
    <w:abstractNumId w:val="14"/>
  </w:num>
  <w:num w:numId="17">
    <w:abstractNumId w:val="30"/>
  </w:num>
  <w:num w:numId="18">
    <w:abstractNumId w:val="20"/>
  </w:num>
  <w:num w:numId="19">
    <w:abstractNumId w:val="7"/>
  </w:num>
  <w:num w:numId="20">
    <w:abstractNumId w:val="21"/>
  </w:num>
  <w:num w:numId="21">
    <w:abstractNumId w:val="13"/>
  </w:num>
  <w:num w:numId="22">
    <w:abstractNumId w:val="24"/>
  </w:num>
  <w:num w:numId="23">
    <w:abstractNumId w:val="32"/>
  </w:num>
  <w:num w:numId="24">
    <w:abstractNumId w:val="2"/>
  </w:num>
  <w:num w:numId="25">
    <w:abstractNumId w:val="15"/>
  </w:num>
  <w:num w:numId="26">
    <w:abstractNumId w:val="3"/>
  </w:num>
  <w:num w:numId="27">
    <w:abstractNumId w:val="10"/>
  </w:num>
  <w:num w:numId="28">
    <w:abstractNumId w:val="6"/>
  </w:num>
  <w:num w:numId="29">
    <w:abstractNumId w:val="5"/>
  </w:num>
  <w:num w:numId="30">
    <w:abstractNumId w:val="18"/>
  </w:num>
  <w:num w:numId="31">
    <w:abstractNumId w:val="17"/>
  </w:num>
  <w:num w:numId="32">
    <w:abstractNumId w:val="28"/>
  </w:num>
  <w:num w:numId="33">
    <w:abstractNumId w:val="12"/>
  </w:num>
  <w:num w:numId="34">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583A80"/>
    <w:rsid w:val="000007BA"/>
    <w:rsid w:val="000011CD"/>
    <w:rsid w:val="0000330E"/>
    <w:rsid w:val="000059B3"/>
    <w:rsid w:val="000064F0"/>
    <w:rsid w:val="00006CF7"/>
    <w:rsid w:val="000078A4"/>
    <w:rsid w:val="000114AC"/>
    <w:rsid w:val="000116CF"/>
    <w:rsid w:val="00012425"/>
    <w:rsid w:val="00012443"/>
    <w:rsid w:val="00012BE4"/>
    <w:rsid w:val="00012E23"/>
    <w:rsid w:val="00013261"/>
    <w:rsid w:val="00013C6A"/>
    <w:rsid w:val="00015883"/>
    <w:rsid w:val="00017130"/>
    <w:rsid w:val="0002147E"/>
    <w:rsid w:val="000219D7"/>
    <w:rsid w:val="000224D9"/>
    <w:rsid w:val="000225BF"/>
    <w:rsid w:val="000230BA"/>
    <w:rsid w:val="000231D4"/>
    <w:rsid w:val="00024281"/>
    <w:rsid w:val="00024F85"/>
    <w:rsid w:val="00026CC2"/>
    <w:rsid w:val="000314DD"/>
    <w:rsid w:val="000326B1"/>
    <w:rsid w:val="00032A16"/>
    <w:rsid w:val="00033543"/>
    <w:rsid w:val="000335CD"/>
    <w:rsid w:val="00033DFA"/>
    <w:rsid w:val="00034B27"/>
    <w:rsid w:val="00035954"/>
    <w:rsid w:val="00035FA6"/>
    <w:rsid w:val="000368C3"/>
    <w:rsid w:val="00037ADC"/>
    <w:rsid w:val="0004214E"/>
    <w:rsid w:val="00043EE0"/>
    <w:rsid w:val="0004473C"/>
    <w:rsid w:val="00044CAF"/>
    <w:rsid w:val="00044D2C"/>
    <w:rsid w:val="00044EEB"/>
    <w:rsid w:val="00046AD1"/>
    <w:rsid w:val="00047441"/>
    <w:rsid w:val="000518D5"/>
    <w:rsid w:val="000561EF"/>
    <w:rsid w:val="00056317"/>
    <w:rsid w:val="00057A35"/>
    <w:rsid w:val="00057BFC"/>
    <w:rsid w:val="00057E10"/>
    <w:rsid w:val="00061269"/>
    <w:rsid w:val="000614B3"/>
    <w:rsid w:val="00062364"/>
    <w:rsid w:val="000624FD"/>
    <w:rsid w:val="00062BAF"/>
    <w:rsid w:val="000637E7"/>
    <w:rsid w:val="00063D60"/>
    <w:rsid w:val="00064F6C"/>
    <w:rsid w:val="00065290"/>
    <w:rsid w:val="00065960"/>
    <w:rsid w:val="00065FB7"/>
    <w:rsid w:val="00066A6E"/>
    <w:rsid w:val="0007087E"/>
    <w:rsid w:val="000709A9"/>
    <w:rsid w:val="00071BD7"/>
    <w:rsid w:val="000720F8"/>
    <w:rsid w:val="00072A1E"/>
    <w:rsid w:val="00073D19"/>
    <w:rsid w:val="00076183"/>
    <w:rsid w:val="000762C6"/>
    <w:rsid w:val="00077074"/>
    <w:rsid w:val="00077CB7"/>
    <w:rsid w:val="00081353"/>
    <w:rsid w:val="00081F84"/>
    <w:rsid w:val="000820AE"/>
    <w:rsid w:val="000823D2"/>
    <w:rsid w:val="00082B68"/>
    <w:rsid w:val="000834B8"/>
    <w:rsid w:val="00084699"/>
    <w:rsid w:val="00084BD2"/>
    <w:rsid w:val="0008764B"/>
    <w:rsid w:val="00087A7E"/>
    <w:rsid w:val="0009058C"/>
    <w:rsid w:val="00090DA4"/>
    <w:rsid w:val="00091F47"/>
    <w:rsid w:val="00092C5B"/>
    <w:rsid w:val="00094594"/>
    <w:rsid w:val="00095106"/>
    <w:rsid w:val="00095252"/>
    <w:rsid w:val="000952CA"/>
    <w:rsid w:val="0009534A"/>
    <w:rsid w:val="00095629"/>
    <w:rsid w:val="00096622"/>
    <w:rsid w:val="000A001E"/>
    <w:rsid w:val="000A0653"/>
    <w:rsid w:val="000A0F24"/>
    <w:rsid w:val="000A1CB3"/>
    <w:rsid w:val="000A2192"/>
    <w:rsid w:val="000A3ECA"/>
    <w:rsid w:val="000A4C34"/>
    <w:rsid w:val="000A63F0"/>
    <w:rsid w:val="000A6465"/>
    <w:rsid w:val="000A716C"/>
    <w:rsid w:val="000A7710"/>
    <w:rsid w:val="000B12AD"/>
    <w:rsid w:val="000B1571"/>
    <w:rsid w:val="000B4CB4"/>
    <w:rsid w:val="000C1E03"/>
    <w:rsid w:val="000C1E38"/>
    <w:rsid w:val="000C26C1"/>
    <w:rsid w:val="000C38F2"/>
    <w:rsid w:val="000C3DEC"/>
    <w:rsid w:val="000C4582"/>
    <w:rsid w:val="000C50DF"/>
    <w:rsid w:val="000C57D0"/>
    <w:rsid w:val="000C7F4C"/>
    <w:rsid w:val="000D0F60"/>
    <w:rsid w:val="000D18C0"/>
    <w:rsid w:val="000D1F54"/>
    <w:rsid w:val="000D31E8"/>
    <w:rsid w:val="000D5425"/>
    <w:rsid w:val="000D7094"/>
    <w:rsid w:val="000E1216"/>
    <w:rsid w:val="000E1B69"/>
    <w:rsid w:val="000E4EDE"/>
    <w:rsid w:val="000E51BA"/>
    <w:rsid w:val="000E52FB"/>
    <w:rsid w:val="000E55F4"/>
    <w:rsid w:val="000E7341"/>
    <w:rsid w:val="000F0224"/>
    <w:rsid w:val="000F0ABF"/>
    <w:rsid w:val="000F0DB1"/>
    <w:rsid w:val="000F1493"/>
    <w:rsid w:val="000F1516"/>
    <w:rsid w:val="000F221C"/>
    <w:rsid w:val="000F2D65"/>
    <w:rsid w:val="000F491C"/>
    <w:rsid w:val="000F4B0E"/>
    <w:rsid w:val="000F4C51"/>
    <w:rsid w:val="000F4CE6"/>
    <w:rsid w:val="000F5515"/>
    <w:rsid w:val="000F7393"/>
    <w:rsid w:val="000F7EE1"/>
    <w:rsid w:val="00100021"/>
    <w:rsid w:val="00100B60"/>
    <w:rsid w:val="0010153A"/>
    <w:rsid w:val="00101BD3"/>
    <w:rsid w:val="00102A14"/>
    <w:rsid w:val="001038EC"/>
    <w:rsid w:val="0010414C"/>
    <w:rsid w:val="0010540B"/>
    <w:rsid w:val="00107683"/>
    <w:rsid w:val="00110A27"/>
    <w:rsid w:val="00111284"/>
    <w:rsid w:val="00112552"/>
    <w:rsid w:val="001135E3"/>
    <w:rsid w:val="00113981"/>
    <w:rsid w:val="00114850"/>
    <w:rsid w:val="001150FE"/>
    <w:rsid w:val="001202C3"/>
    <w:rsid w:val="00120CE1"/>
    <w:rsid w:val="001227DE"/>
    <w:rsid w:val="00123685"/>
    <w:rsid w:val="00123723"/>
    <w:rsid w:val="0012404E"/>
    <w:rsid w:val="001257BF"/>
    <w:rsid w:val="00125881"/>
    <w:rsid w:val="0012686F"/>
    <w:rsid w:val="00126F13"/>
    <w:rsid w:val="00130D35"/>
    <w:rsid w:val="001326FB"/>
    <w:rsid w:val="001331BB"/>
    <w:rsid w:val="00133553"/>
    <w:rsid w:val="00134128"/>
    <w:rsid w:val="001365A6"/>
    <w:rsid w:val="001371A7"/>
    <w:rsid w:val="00140DCB"/>
    <w:rsid w:val="001435EE"/>
    <w:rsid w:val="00143D4A"/>
    <w:rsid w:val="0014476E"/>
    <w:rsid w:val="001448C6"/>
    <w:rsid w:val="00145C9C"/>
    <w:rsid w:val="00146208"/>
    <w:rsid w:val="00146F52"/>
    <w:rsid w:val="00146FEF"/>
    <w:rsid w:val="00147404"/>
    <w:rsid w:val="00147947"/>
    <w:rsid w:val="00150A31"/>
    <w:rsid w:val="00151E7F"/>
    <w:rsid w:val="00155461"/>
    <w:rsid w:val="00155B8B"/>
    <w:rsid w:val="00155B9A"/>
    <w:rsid w:val="00157414"/>
    <w:rsid w:val="001575BA"/>
    <w:rsid w:val="00157FBB"/>
    <w:rsid w:val="00160554"/>
    <w:rsid w:val="001606D4"/>
    <w:rsid w:val="00160BFE"/>
    <w:rsid w:val="00161278"/>
    <w:rsid w:val="0016221C"/>
    <w:rsid w:val="0016242D"/>
    <w:rsid w:val="00162BA0"/>
    <w:rsid w:val="00163FF2"/>
    <w:rsid w:val="001649F6"/>
    <w:rsid w:val="00166503"/>
    <w:rsid w:val="00166CBF"/>
    <w:rsid w:val="00167C02"/>
    <w:rsid w:val="00167F08"/>
    <w:rsid w:val="00170BB8"/>
    <w:rsid w:val="001711E9"/>
    <w:rsid w:val="001716FD"/>
    <w:rsid w:val="0017303E"/>
    <w:rsid w:val="00173739"/>
    <w:rsid w:val="00173A5E"/>
    <w:rsid w:val="00173B79"/>
    <w:rsid w:val="00173E30"/>
    <w:rsid w:val="0017408D"/>
    <w:rsid w:val="001749A4"/>
    <w:rsid w:val="001749A7"/>
    <w:rsid w:val="001759BB"/>
    <w:rsid w:val="001765E2"/>
    <w:rsid w:val="00180D95"/>
    <w:rsid w:val="001817F5"/>
    <w:rsid w:val="001818F8"/>
    <w:rsid w:val="001819AD"/>
    <w:rsid w:val="001820C7"/>
    <w:rsid w:val="001832E2"/>
    <w:rsid w:val="0018609E"/>
    <w:rsid w:val="0018639D"/>
    <w:rsid w:val="00186FC8"/>
    <w:rsid w:val="001870EB"/>
    <w:rsid w:val="001872C6"/>
    <w:rsid w:val="00192154"/>
    <w:rsid w:val="00192246"/>
    <w:rsid w:val="00193B8A"/>
    <w:rsid w:val="00195459"/>
    <w:rsid w:val="00195547"/>
    <w:rsid w:val="00195568"/>
    <w:rsid w:val="00195996"/>
    <w:rsid w:val="00195B1C"/>
    <w:rsid w:val="00195D2D"/>
    <w:rsid w:val="00197395"/>
    <w:rsid w:val="00197C11"/>
    <w:rsid w:val="001A005B"/>
    <w:rsid w:val="001A1A96"/>
    <w:rsid w:val="001A28DD"/>
    <w:rsid w:val="001A2FB4"/>
    <w:rsid w:val="001A3D5F"/>
    <w:rsid w:val="001A4018"/>
    <w:rsid w:val="001A578A"/>
    <w:rsid w:val="001A619C"/>
    <w:rsid w:val="001A6E08"/>
    <w:rsid w:val="001A7AAB"/>
    <w:rsid w:val="001B0E03"/>
    <w:rsid w:val="001B0FA5"/>
    <w:rsid w:val="001B10ED"/>
    <w:rsid w:val="001B17F0"/>
    <w:rsid w:val="001B1AC2"/>
    <w:rsid w:val="001B1BD0"/>
    <w:rsid w:val="001B2A0F"/>
    <w:rsid w:val="001B4931"/>
    <w:rsid w:val="001B4E34"/>
    <w:rsid w:val="001B51C2"/>
    <w:rsid w:val="001B5399"/>
    <w:rsid w:val="001B58D6"/>
    <w:rsid w:val="001B6E8C"/>
    <w:rsid w:val="001C00AD"/>
    <w:rsid w:val="001C046D"/>
    <w:rsid w:val="001C215C"/>
    <w:rsid w:val="001C3CFB"/>
    <w:rsid w:val="001C4EFC"/>
    <w:rsid w:val="001C4F09"/>
    <w:rsid w:val="001C5CB7"/>
    <w:rsid w:val="001C5F45"/>
    <w:rsid w:val="001C636C"/>
    <w:rsid w:val="001D0125"/>
    <w:rsid w:val="001D04C7"/>
    <w:rsid w:val="001D21C3"/>
    <w:rsid w:val="001D4779"/>
    <w:rsid w:val="001D4DCD"/>
    <w:rsid w:val="001D5E2C"/>
    <w:rsid w:val="001D641E"/>
    <w:rsid w:val="001D66AE"/>
    <w:rsid w:val="001E1A57"/>
    <w:rsid w:val="001E23FB"/>
    <w:rsid w:val="001E2E7E"/>
    <w:rsid w:val="001E3155"/>
    <w:rsid w:val="001E32E4"/>
    <w:rsid w:val="001E4671"/>
    <w:rsid w:val="001E4F66"/>
    <w:rsid w:val="001E6020"/>
    <w:rsid w:val="001E6CC2"/>
    <w:rsid w:val="001F00A9"/>
    <w:rsid w:val="001F0DC3"/>
    <w:rsid w:val="001F345B"/>
    <w:rsid w:val="001F4763"/>
    <w:rsid w:val="001F48F2"/>
    <w:rsid w:val="001F6CD4"/>
    <w:rsid w:val="001F6CE1"/>
    <w:rsid w:val="00202F67"/>
    <w:rsid w:val="002035DE"/>
    <w:rsid w:val="0020427A"/>
    <w:rsid w:val="0020711B"/>
    <w:rsid w:val="002102DA"/>
    <w:rsid w:val="00213AE5"/>
    <w:rsid w:val="00213F1D"/>
    <w:rsid w:val="00214246"/>
    <w:rsid w:val="00216FB4"/>
    <w:rsid w:val="00217F15"/>
    <w:rsid w:val="00220D53"/>
    <w:rsid w:val="00221000"/>
    <w:rsid w:val="002222BD"/>
    <w:rsid w:val="00223460"/>
    <w:rsid w:val="002242F7"/>
    <w:rsid w:val="00225335"/>
    <w:rsid w:val="00231A1E"/>
    <w:rsid w:val="00232F29"/>
    <w:rsid w:val="00233608"/>
    <w:rsid w:val="00235F68"/>
    <w:rsid w:val="00236013"/>
    <w:rsid w:val="0023752C"/>
    <w:rsid w:val="00241A29"/>
    <w:rsid w:val="0024324D"/>
    <w:rsid w:val="002433E2"/>
    <w:rsid w:val="00243516"/>
    <w:rsid w:val="00244B6E"/>
    <w:rsid w:val="00245F0E"/>
    <w:rsid w:val="00247E16"/>
    <w:rsid w:val="0025040F"/>
    <w:rsid w:val="00253552"/>
    <w:rsid w:val="00254344"/>
    <w:rsid w:val="00255075"/>
    <w:rsid w:val="00255852"/>
    <w:rsid w:val="00255FFF"/>
    <w:rsid w:val="002568F0"/>
    <w:rsid w:val="00257FF1"/>
    <w:rsid w:val="002614C3"/>
    <w:rsid w:val="00262A1D"/>
    <w:rsid w:val="00262C9C"/>
    <w:rsid w:val="00262CC6"/>
    <w:rsid w:val="00263424"/>
    <w:rsid w:val="00263852"/>
    <w:rsid w:val="00266700"/>
    <w:rsid w:val="00267227"/>
    <w:rsid w:val="0027059B"/>
    <w:rsid w:val="00270CEF"/>
    <w:rsid w:val="00272E3C"/>
    <w:rsid w:val="002754A5"/>
    <w:rsid w:val="00275538"/>
    <w:rsid w:val="00276408"/>
    <w:rsid w:val="002820B7"/>
    <w:rsid w:val="002821BB"/>
    <w:rsid w:val="00282C52"/>
    <w:rsid w:val="00282E8C"/>
    <w:rsid w:val="00284F2C"/>
    <w:rsid w:val="002851A8"/>
    <w:rsid w:val="0028711E"/>
    <w:rsid w:val="002871FE"/>
    <w:rsid w:val="0028781C"/>
    <w:rsid w:val="00287CC0"/>
    <w:rsid w:val="0029052F"/>
    <w:rsid w:val="002905AA"/>
    <w:rsid w:val="00290B5A"/>
    <w:rsid w:val="002920BF"/>
    <w:rsid w:val="00292966"/>
    <w:rsid w:val="0029610F"/>
    <w:rsid w:val="00296593"/>
    <w:rsid w:val="00297002"/>
    <w:rsid w:val="00297916"/>
    <w:rsid w:val="002A01A2"/>
    <w:rsid w:val="002A04AA"/>
    <w:rsid w:val="002A0D57"/>
    <w:rsid w:val="002A1137"/>
    <w:rsid w:val="002A2338"/>
    <w:rsid w:val="002A2B65"/>
    <w:rsid w:val="002A35A5"/>
    <w:rsid w:val="002A421F"/>
    <w:rsid w:val="002A5F03"/>
    <w:rsid w:val="002B0645"/>
    <w:rsid w:val="002B0F2F"/>
    <w:rsid w:val="002B13A5"/>
    <w:rsid w:val="002B1533"/>
    <w:rsid w:val="002B2169"/>
    <w:rsid w:val="002B221A"/>
    <w:rsid w:val="002B23A5"/>
    <w:rsid w:val="002B35A2"/>
    <w:rsid w:val="002B4176"/>
    <w:rsid w:val="002B6572"/>
    <w:rsid w:val="002B6AEB"/>
    <w:rsid w:val="002B7D35"/>
    <w:rsid w:val="002C131E"/>
    <w:rsid w:val="002C13BE"/>
    <w:rsid w:val="002C2887"/>
    <w:rsid w:val="002C4977"/>
    <w:rsid w:val="002C5713"/>
    <w:rsid w:val="002C5BD5"/>
    <w:rsid w:val="002D0034"/>
    <w:rsid w:val="002D370B"/>
    <w:rsid w:val="002D5837"/>
    <w:rsid w:val="002D5982"/>
    <w:rsid w:val="002D5A67"/>
    <w:rsid w:val="002D68BB"/>
    <w:rsid w:val="002D6C95"/>
    <w:rsid w:val="002D6DE5"/>
    <w:rsid w:val="002D7213"/>
    <w:rsid w:val="002E1A11"/>
    <w:rsid w:val="002E2B13"/>
    <w:rsid w:val="002E3097"/>
    <w:rsid w:val="002E3DEB"/>
    <w:rsid w:val="002E4522"/>
    <w:rsid w:val="002E5FD7"/>
    <w:rsid w:val="002E657A"/>
    <w:rsid w:val="002E7EC2"/>
    <w:rsid w:val="002F0F5F"/>
    <w:rsid w:val="002F225B"/>
    <w:rsid w:val="002F27BC"/>
    <w:rsid w:val="002F2C5C"/>
    <w:rsid w:val="002F6580"/>
    <w:rsid w:val="003004D0"/>
    <w:rsid w:val="00300EB3"/>
    <w:rsid w:val="00303E8A"/>
    <w:rsid w:val="00304552"/>
    <w:rsid w:val="00306938"/>
    <w:rsid w:val="003102C0"/>
    <w:rsid w:val="003107E1"/>
    <w:rsid w:val="00311484"/>
    <w:rsid w:val="00313158"/>
    <w:rsid w:val="00313747"/>
    <w:rsid w:val="003140CA"/>
    <w:rsid w:val="003145F8"/>
    <w:rsid w:val="00314C74"/>
    <w:rsid w:val="00315248"/>
    <w:rsid w:val="00317B05"/>
    <w:rsid w:val="00317F28"/>
    <w:rsid w:val="00321429"/>
    <w:rsid w:val="00321D7F"/>
    <w:rsid w:val="00321FFD"/>
    <w:rsid w:val="00322A0C"/>
    <w:rsid w:val="003236CE"/>
    <w:rsid w:val="00323897"/>
    <w:rsid w:val="00325CF4"/>
    <w:rsid w:val="003260E4"/>
    <w:rsid w:val="003265DB"/>
    <w:rsid w:val="00327547"/>
    <w:rsid w:val="003275BD"/>
    <w:rsid w:val="00330225"/>
    <w:rsid w:val="00330603"/>
    <w:rsid w:val="0033137B"/>
    <w:rsid w:val="003330BD"/>
    <w:rsid w:val="00334D27"/>
    <w:rsid w:val="00336A80"/>
    <w:rsid w:val="00336DB2"/>
    <w:rsid w:val="00336ED4"/>
    <w:rsid w:val="00340038"/>
    <w:rsid w:val="003407F6"/>
    <w:rsid w:val="0034093B"/>
    <w:rsid w:val="00340D9F"/>
    <w:rsid w:val="0034125E"/>
    <w:rsid w:val="0034147E"/>
    <w:rsid w:val="003423BC"/>
    <w:rsid w:val="00343110"/>
    <w:rsid w:val="003431AE"/>
    <w:rsid w:val="003436C5"/>
    <w:rsid w:val="003446FB"/>
    <w:rsid w:val="00344B58"/>
    <w:rsid w:val="00350F0D"/>
    <w:rsid w:val="003515B6"/>
    <w:rsid w:val="00351EE0"/>
    <w:rsid w:val="00352729"/>
    <w:rsid w:val="00352B6C"/>
    <w:rsid w:val="00355492"/>
    <w:rsid w:val="00355611"/>
    <w:rsid w:val="003568B8"/>
    <w:rsid w:val="003568FF"/>
    <w:rsid w:val="0035755A"/>
    <w:rsid w:val="00357EAC"/>
    <w:rsid w:val="00357F4D"/>
    <w:rsid w:val="00360238"/>
    <w:rsid w:val="00361401"/>
    <w:rsid w:val="00362778"/>
    <w:rsid w:val="0036283F"/>
    <w:rsid w:val="003631EC"/>
    <w:rsid w:val="003675EB"/>
    <w:rsid w:val="0037143F"/>
    <w:rsid w:val="0037272E"/>
    <w:rsid w:val="003731D1"/>
    <w:rsid w:val="0037381F"/>
    <w:rsid w:val="00375D44"/>
    <w:rsid w:val="0038013D"/>
    <w:rsid w:val="0038101A"/>
    <w:rsid w:val="0038192C"/>
    <w:rsid w:val="003829D1"/>
    <w:rsid w:val="00383C4F"/>
    <w:rsid w:val="003844FF"/>
    <w:rsid w:val="00384557"/>
    <w:rsid w:val="003845B2"/>
    <w:rsid w:val="00386646"/>
    <w:rsid w:val="0038706E"/>
    <w:rsid w:val="003876F2"/>
    <w:rsid w:val="0038784C"/>
    <w:rsid w:val="0039056F"/>
    <w:rsid w:val="003917A9"/>
    <w:rsid w:val="003932A3"/>
    <w:rsid w:val="00393EE9"/>
    <w:rsid w:val="00394264"/>
    <w:rsid w:val="00394C30"/>
    <w:rsid w:val="00394E85"/>
    <w:rsid w:val="00396CDB"/>
    <w:rsid w:val="00396FE8"/>
    <w:rsid w:val="0039747B"/>
    <w:rsid w:val="003978C2"/>
    <w:rsid w:val="003A02FB"/>
    <w:rsid w:val="003A1FCA"/>
    <w:rsid w:val="003A25B9"/>
    <w:rsid w:val="003A31F9"/>
    <w:rsid w:val="003A3DB1"/>
    <w:rsid w:val="003A3E88"/>
    <w:rsid w:val="003A4550"/>
    <w:rsid w:val="003A4C13"/>
    <w:rsid w:val="003A4EB6"/>
    <w:rsid w:val="003A6920"/>
    <w:rsid w:val="003B02B7"/>
    <w:rsid w:val="003B2239"/>
    <w:rsid w:val="003B2992"/>
    <w:rsid w:val="003B3BC6"/>
    <w:rsid w:val="003B5C2D"/>
    <w:rsid w:val="003B76FE"/>
    <w:rsid w:val="003C0293"/>
    <w:rsid w:val="003C16EA"/>
    <w:rsid w:val="003C1F9B"/>
    <w:rsid w:val="003C28E5"/>
    <w:rsid w:val="003C34B4"/>
    <w:rsid w:val="003C3803"/>
    <w:rsid w:val="003C3861"/>
    <w:rsid w:val="003C42A1"/>
    <w:rsid w:val="003C503F"/>
    <w:rsid w:val="003C6035"/>
    <w:rsid w:val="003C6128"/>
    <w:rsid w:val="003C6403"/>
    <w:rsid w:val="003C6E5D"/>
    <w:rsid w:val="003C79C3"/>
    <w:rsid w:val="003C7A83"/>
    <w:rsid w:val="003D1415"/>
    <w:rsid w:val="003D157E"/>
    <w:rsid w:val="003D1B74"/>
    <w:rsid w:val="003D2751"/>
    <w:rsid w:val="003D2C49"/>
    <w:rsid w:val="003D2F9D"/>
    <w:rsid w:val="003D3A65"/>
    <w:rsid w:val="003D468B"/>
    <w:rsid w:val="003D4736"/>
    <w:rsid w:val="003D563A"/>
    <w:rsid w:val="003D5DF0"/>
    <w:rsid w:val="003E0A87"/>
    <w:rsid w:val="003E4F10"/>
    <w:rsid w:val="003E56A6"/>
    <w:rsid w:val="003E6447"/>
    <w:rsid w:val="003E78E2"/>
    <w:rsid w:val="003F1330"/>
    <w:rsid w:val="003F1BD0"/>
    <w:rsid w:val="003F2A40"/>
    <w:rsid w:val="003F3482"/>
    <w:rsid w:val="003F3F02"/>
    <w:rsid w:val="003F5887"/>
    <w:rsid w:val="003F660D"/>
    <w:rsid w:val="003F68C4"/>
    <w:rsid w:val="0040061F"/>
    <w:rsid w:val="00400FBC"/>
    <w:rsid w:val="00401632"/>
    <w:rsid w:val="0040198D"/>
    <w:rsid w:val="00402027"/>
    <w:rsid w:val="00402EDC"/>
    <w:rsid w:val="00404BE6"/>
    <w:rsid w:val="00404F47"/>
    <w:rsid w:val="00406703"/>
    <w:rsid w:val="00406FB9"/>
    <w:rsid w:val="00407424"/>
    <w:rsid w:val="00410883"/>
    <w:rsid w:val="00411EDE"/>
    <w:rsid w:val="004122D1"/>
    <w:rsid w:val="0041366A"/>
    <w:rsid w:val="004168F2"/>
    <w:rsid w:val="00417826"/>
    <w:rsid w:val="004202C0"/>
    <w:rsid w:val="004206D0"/>
    <w:rsid w:val="00421335"/>
    <w:rsid w:val="00422146"/>
    <w:rsid w:val="004229F7"/>
    <w:rsid w:val="004232A6"/>
    <w:rsid w:val="00423647"/>
    <w:rsid w:val="00423A44"/>
    <w:rsid w:val="00424F8C"/>
    <w:rsid w:val="004251BE"/>
    <w:rsid w:val="00425272"/>
    <w:rsid w:val="00426BD3"/>
    <w:rsid w:val="00426F49"/>
    <w:rsid w:val="004273B4"/>
    <w:rsid w:val="004309CF"/>
    <w:rsid w:val="00431659"/>
    <w:rsid w:val="004335B3"/>
    <w:rsid w:val="0043675B"/>
    <w:rsid w:val="00437FDF"/>
    <w:rsid w:val="004401ED"/>
    <w:rsid w:val="00444704"/>
    <w:rsid w:val="00444CCB"/>
    <w:rsid w:val="00444E14"/>
    <w:rsid w:val="00445247"/>
    <w:rsid w:val="00445D9F"/>
    <w:rsid w:val="004468E5"/>
    <w:rsid w:val="004469BB"/>
    <w:rsid w:val="00450085"/>
    <w:rsid w:val="0045064F"/>
    <w:rsid w:val="0045236D"/>
    <w:rsid w:val="004523C7"/>
    <w:rsid w:val="00452D08"/>
    <w:rsid w:val="0045418E"/>
    <w:rsid w:val="00454528"/>
    <w:rsid w:val="00454AC2"/>
    <w:rsid w:val="00457DDF"/>
    <w:rsid w:val="004609F9"/>
    <w:rsid w:val="0046273A"/>
    <w:rsid w:val="0046353C"/>
    <w:rsid w:val="00464901"/>
    <w:rsid w:val="00464D72"/>
    <w:rsid w:val="004653DA"/>
    <w:rsid w:val="00466ED4"/>
    <w:rsid w:val="00467E8D"/>
    <w:rsid w:val="0047310B"/>
    <w:rsid w:val="0047381A"/>
    <w:rsid w:val="004738C2"/>
    <w:rsid w:val="00473C17"/>
    <w:rsid w:val="0047464B"/>
    <w:rsid w:val="00475C48"/>
    <w:rsid w:val="00476BB2"/>
    <w:rsid w:val="00477293"/>
    <w:rsid w:val="004772FC"/>
    <w:rsid w:val="00477644"/>
    <w:rsid w:val="00477D28"/>
    <w:rsid w:val="0048020B"/>
    <w:rsid w:val="00480A4B"/>
    <w:rsid w:val="00481026"/>
    <w:rsid w:val="00481536"/>
    <w:rsid w:val="00482B9A"/>
    <w:rsid w:val="004835B8"/>
    <w:rsid w:val="00483B23"/>
    <w:rsid w:val="00484188"/>
    <w:rsid w:val="00485117"/>
    <w:rsid w:val="004856C3"/>
    <w:rsid w:val="00485ADB"/>
    <w:rsid w:val="00490486"/>
    <w:rsid w:val="00490E58"/>
    <w:rsid w:val="00491484"/>
    <w:rsid w:val="00492369"/>
    <w:rsid w:val="004932A2"/>
    <w:rsid w:val="004938C9"/>
    <w:rsid w:val="00494CDF"/>
    <w:rsid w:val="00494D50"/>
    <w:rsid w:val="004954F8"/>
    <w:rsid w:val="004957A0"/>
    <w:rsid w:val="0049642C"/>
    <w:rsid w:val="00496646"/>
    <w:rsid w:val="00497590"/>
    <w:rsid w:val="004A1CFA"/>
    <w:rsid w:val="004A24FF"/>
    <w:rsid w:val="004A251E"/>
    <w:rsid w:val="004A3449"/>
    <w:rsid w:val="004A3BCB"/>
    <w:rsid w:val="004A3C08"/>
    <w:rsid w:val="004A4DCA"/>
    <w:rsid w:val="004A4DF0"/>
    <w:rsid w:val="004A6432"/>
    <w:rsid w:val="004A7139"/>
    <w:rsid w:val="004B1681"/>
    <w:rsid w:val="004B20E1"/>
    <w:rsid w:val="004B21C5"/>
    <w:rsid w:val="004B2469"/>
    <w:rsid w:val="004B2C13"/>
    <w:rsid w:val="004B34E0"/>
    <w:rsid w:val="004B4707"/>
    <w:rsid w:val="004B72B7"/>
    <w:rsid w:val="004B734C"/>
    <w:rsid w:val="004B7895"/>
    <w:rsid w:val="004C1227"/>
    <w:rsid w:val="004C1249"/>
    <w:rsid w:val="004C2337"/>
    <w:rsid w:val="004C2B2D"/>
    <w:rsid w:val="004C5F5E"/>
    <w:rsid w:val="004C6F2F"/>
    <w:rsid w:val="004D0B52"/>
    <w:rsid w:val="004D24EB"/>
    <w:rsid w:val="004D2E9F"/>
    <w:rsid w:val="004D3594"/>
    <w:rsid w:val="004D4F0D"/>
    <w:rsid w:val="004E03E5"/>
    <w:rsid w:val="004E1352"/>
    <w:rsid w:val="004E1F77"/>
    <w:rsid w:val="004E2A46"/>
    <w:rsid w:val="004E31E1"/>
    <w:rsid w:val="004E368B"/>
    <w:rsid w:val="004E4075"/>
    <w:rsid w:val="004E45FE"/>
    <w:rsid w:val="004E55E0"/>
    <w:rsid w:val="004E5D49"/>
    <w:rsid w:val="004E6E87"/>
    <w:rsid w:val="004E6F32"/>
    <w:rsid w:val="004E7D5F"/>
    <w:rsid w:val="004F051A"/>
    <w:rsid w:val="004F136D"/>
    <w:rsid w:val="004F2500"/>
    <w:rsid w:val="004F3046"/>
    <w:rsid w:val="004F4DE4"/>
    <w:rsid w:val="004F533C"/>
    <w:rsid w:val="005004C1"/>
    <w:rsid w:val="0050082D"/>
    <w:rsid w:val="00500BDF"/>
    <w:rsid w:val="00502149"/>
    <w:rsid w:val="00502EBA"/>
    <w:rsid w:val="005033A6"/>
    <w:rsid w:val="005035FE"/>
    <w:rsid w:val="00503831"/>
    <w:rsid w:val="00505141"/>
    <w:rsid w:val="0050699B"/>
    <w:rsid w:val="00506C64"/>
    <w:rsid w:val="00506D1E"/>
    <w:rsid w:val="0051129A"/>
    <w:rsid w:val="00511389"/>
    <w:rsid w:val="0051246A"/>
    <w:rsid w:val="00514623"/>
    <w:rsid w:val="00515022"/>
    <w:rsid w:val="00515DC4"/>
    <w:rsid w:val="00515EFF"/>
    <w:rsid w:val="00517206"/>
    <w:rsid w:val="0051769D"/>
    <w:rsid w:val="005202C6"/>
    <w:rsid w:val="00522832"/>
    <w:rsid w:val="00522F30"/>
    <w:rsid w:val="00523D4D"/>
    <w:rsid w:val="00524104"/>
    <w:rsid w:val="0052469B"/>
    <w:rsid w:val="00526795"/>
    <w:rsid w:val="0053069E"/>
    <w:rsid w:val="005316AC"/>
    <w:rsid w:val="0053226F"/>
    <w:rsid w:val="005329C9"/>
    <w:rsid w:val="00534BF2"/>
    <w:rsid w:val="005355A8"/>
    <w:rsid w:val="005363AF"/>
    <w:rsid w:val="005368A0"/>
    <w:rsid w:val="00536FB2"/>
    <w:rsid w:val="00540FEC"/>
    <w:rsid w:val="005434D6"/>
    <w:rsid w:val="0054668F"/>
    <w:rsid w:val="00546848"/>
    <w:rsid w:val="00547121"/>
    <w:rsid w:val="005509D3"/>
    <w:rsid w:val="00550DB0"/>
    <w:rsid w:val="00551D56"/>
    <w:rsid w:val="00552208"/>
    <w:rsid w:val="00552762"/>
    <w:rsid w:val="00552D20"/>
    <w:rsid w:val="0055462C"/>
    <w:rsid w:val="005547BB"/>
    <w:rsid w:val="005557E2"/>
    <w:rsid w:val="00556AE7"/>
    <w:rsid w:val="00557149"/>
    <w:rsid w:val="00557760"/>
    <w:rsid w:val="0056058D"/>
    <w:rsid w:val="00560E0E"/>
    <w:rsid w:val="00562C3C"/>
    <w:rsid w:val="0056331F"/>
    <w:rsid w:val="00564B67"/>
    <w:rsid w:val="00566A07"/>
    <w:rsid w:val="00566B3C"/>
    <w:rsid w:val="005670FB"/>
    <w:rsid w:val="00567357"/>
    <w:rsid w:val="00567CB2"/>
    <w:rsid w:val="00567DA6"/>
    <w:rsid w:val="00567F17"/>
    <w:rsid w:val="0057010D"/>
    <w:rsid w:val="00570FAB"/>
    <w:rsid w:val="00573535"/>
    <w:rsid w:val="005740E8"/>
    <w:rsid w:val="00574495"/>
    <w:rsid w:val="005754FB"/>
    <w:rsid w:val="005760C4"/>
    <w:rsid w:val="0057733C"/>
    <w:rsid w:val="00580C72"/>
    <w:rsid w:val="00580E04"/>
    <w:rsid w:val="005813B2"/>
    <w:rsid w:val="00583A80"/>
    <w:rsid w:val="005858E5"/>
    <w:rsid w:val="00586BBE"/>
    <w:rsid w:val="005874D8"/>
    <w:rsid w:val="00587870"/>
    <w:rsid w:val="00590695"/>
    <w:rsid w:val="00591995"/>
    <w:rsid w:val="00591D50"/>
    <w:rsid w:val="005921C7"/>
    <w:rsid w:val="00596ED1"/>
    <w:rsid w:val="005A1ADC"/>
    <w:rsid w:val="005A27E1"/>
    <w:rsid w:val="005A3EFF"/>
    <w:rsid w:val="005A5B82"/>
    <w:rsid w:val="005A6F66"/>
    <w:rsid w:val="005A77F8"/>
    <w:rsid w:val="005B08F1"/>
    <w:rsid w:val="005B1888"/>
    <w:rsid w:val="005B1B3C"/>
    <w:rsid w:val="005B3045"/>
    <w:rsid w:val="005B32F7"/>
    <w:rsid w:val="005B44F1"/>
    <w:rsid w:val="005B4DE8"/>
    <w:rsid w:val="005B52B2"/>
    <w:rsid w:val="005B633B"/>
    <w:rsid w:val="005C0687"/>
    <w:rsid w:val="005C21C7"/>
    <w:rsid w:val="005C5301"/>
    <w:rsid w:val="005C6B20"/>
    <w:rsid w:val="005C755F"/>
    <w:rsid w:val="005C79DA"/>
    <w:rsid w:val="005D02FC"/>
    <w:rsid w:val="005D0F0A"/>
    <w:rsid w:val="005D1694"/>
    <w:rsid w:val="005D1EC7"/>
    <w:rsid w:val="005D1EC8"/>
    <w:rsid w:val="005D22AA"/>
    <w:rsid w:val="005D3B78"/>
    <w:rsid w:val="005D4BAE"/>
    <w:rsid w:val="005D5258"/>
    <w:rsid w:val="005D55A5"/>
    <w:rsid w:val="005D59DB"/>
    <w:rsid w:val="005D5A6F"/>
    <w:rsid w:val="005D6740"/>
    <w:rsid w:val="005D6904"/>
    <w:rsid w:val="005D7D63"/>
    <w:rsid w:val="005E08EA"/>
    <w:rsid w:val="005E2AB6"/>
    <w:rsid w:val="005E4FEB"/>
    <w:rsid w:val="005E6868"/>
    <w:rsid w:val="005F0933"/>
    <w:rsid w:val="005F0ADF"/>
    <w:rsid w:val="005F0E94"/>
    <w:rsid w:val="005F1CC4"/>
    <w:rsid w:val="005F4733"/>
    <w:rsid w:val="005F574D"/>
    <w:rsid w:val="005F5E94"/>
    <w:rsid w:val="005F662D"/>
    <w:rsid w:val="005F7225"/>
    <w:rsid w:val="00600B6E"/>
    <w:rsid w:val="00602007"/>
    <w:rsid w:val="006035A7"/>
    <w:rsid w:val="006037E6"/>
    <w:rsid w:val="00604909"/>
    <w:rsid w:val="00604EE2"/>
    <w:rsid w:val="00606FD2"/>
    <w:rsid w:val="0060764A"/>
    <w:rsid w:val="00607CE6"/>
    <w:rsid w:val="006101B1"/>
    <w:rsid w:val="00610673"/>
    <w:rsid w:val="00614AB3"/>
    <w:rsid w:val="00617D04"/>
    <w:rsid w:val="00620C02"/>
    <w:rsid w:val="00620FD9"/>
    <w:rsid w:val="00621719"/>
    <w:rsid w:val="0062331D"/>
    <w:rsid w:val="006249D7"/>
    <w:rsid w:val="00625B26"/>
    <w:rsid w:val="006261F4"/>
    <w:rsid w:val="006279AE"/>
    <w:rsid w:val="006314F6"/>
    <w:rsid w:val="00631E75"/>
    <w:rsid w:val="006327E9"/>
    <w:rsid w:val="00632C39"/>
    <w:rsid w:val="00633B87"/>
    <w:rsid w:val="0063404A"/>
    <w:rsid w:val="006373E7"/>
    <w:rsid w:val="00640790"/>
    <w:rsid w:val="00641828"/>
    <w:rsid w:val="00641901"/>
    <w:rsid w:val="0064283E"/>
    <w:rsid w:val="00642C72"/>
    <w:rsid w:val="0064305F"/>
    <w:rsid w:val="00644E2A"/>
    <w:rsid w:val="006450E3"/>
    <w:rsid w:val="0064577E"/>
    <w:rsid w:val="00645C93"/>
    <w:rsid w:val="00645EAF"/>
    <w:rsid w:val="00651476"/>
    <w:rsid w:val="00654301"/>
    <w:rsid w:val="0065495C"/>
    <w:rsid w:val="006600FE"/>
    <w:rsid w:val="0066065E"/>
    <w:rsid w:val="00660CF4"/>
    <w:rsid w:val="006613D9"/>
    <w:rsid w:val="00662885"/>
    <w:rsid w:val="00662C3D"/>
    <w:rsid w:val="00663025"/>
    <w:rsid w:val="00663987"/>
    <w:rsid w:val="00663E54"/>
    <w:rsid w:val="0066589D"/>
    <w:rsid w:val="00666B62"/>
    <w:rsid w:val="00666D04"/>
    <w:rsid w:val="00667676"/>
    <w:rsid w:val="00670083"/>
    <w:rsid w:val="006708CC"/>
    <w:rsid w:val="006720AD"/>
    <w:rsid w:val="00673125"/>
    <w:rsid w:val="00673205"/>
    <w:rsid w:val="00674B4C"/>
    <w:rsid w:val="006753EC"/>
    <w:rsid w:val="00676392"/>
    <w:rsid w:val="00677B3E"/>
    <w:rsid w:val="00677CD1"/>
    <w:rsid w:val="00680465"/>
    <w:rsid w:val="0068115A"/>
    <w:rsid w:val="0068147F"/>
    <w:rsid w:val="00681FC8"/>
    <w:rsid w:val="006834C7"/>
    <w:rsid w:val="0068369A"/>
    <w:rsid w:val="00684091"/>
    <w:rsid w:val="006845F6"/>
    <w:rsid w:val="0068502D"/>
    <w:rsid w:val="0069037B"/>
    <w:rsid w:val="00690B14"/>
    <w:rsid w:val="0069126C"/>
    <w:rsid w:val="00691EA6"/>
    <w:rsid w:val="00691F52"/>
    <w:rsid w:val="00693D77"/>
    <w:rsid w:val="00694FEA"/>
    <w:rsid w:val="00695836"/>
    <w:rsid w:val="006963E2"/>
    <w:rsid w:val="006965BD"/>
    <w:rsid w:val="006A085F"/>
    <w:rsid w:val="006A206B"/>
    <w:rsid w:val="006A23E1"/>
    <w:rsid w:val="006A29BA"/>
    <w:rsid w:val="006A4EF0"/>
    <w:rsid w:val="006A62B9"/>
    <w:rsid w:val="006A7C30"/>
    <w:rsid w:val="006B09E4"/>
    <w:rsid w:val="006B0E4D"/>
    <w:rsid w:val="006B14AA"/>
    <w:rsid w:val="006B1ACB"/>
    <w:rsid w:val="006B237B"/>
    <w:rsid w:val="006B5C87"/>
    <w:rsid w:val="006B5D5B"/>
    <w:rsid w:val="006B6F20"/>
    <w:rsid w:val="006C0795"/>
    <w:rsid w:val="006C0F54"/>
    <w:rsid w:val="006C12A3"/>
    <w:rsid w:val="006C4DDB"/>
    <w:rsid w:val="006C57E3"/>
    <w:rsid w:val="006C5B68"/>
    <w:rsid w:val="006C7259"/>
    <w:rsid w:val="006D116A"/>
    <w:rsid w:val="006D138A"/>
    <w:rsid w:val="006D177D"/>
    <w:rsid w:val="006D29FC"/>
    <w:rsid w:val="006D2CFC"/>
    <w:rsid w:val="006D2F0D"/>
    <w:rsid w:val="006D3950"/>
    <w:rsid w:val="006D3FDB"/>
    <w:rsid w:val="006D4823"/>
    <w:rsid w:val="006D5A01"/>
    <w:rsid w:val="006D5C37"/>
    <w:rsid w:val="006E13B8"/>
    <w:rsid w:val="006E1E04"/>
    <w:rsid w:val="006E27CD"/>
    <w:rsid w:val="006E2A26"/>
    <w:rsid w:val="006E3BA2"/>
    <w:rsid w:val="006E4BCC"/>
    <w:rsid w:val="006E55F2"/>
    <w:rsid w:val="006E790E"/>
    <w:rsid w:val="006F0567"/>
    <w:rsid w:val="006F067D"/>
    <w:rsid w:val="006F0CD2"/>
    <w:rsid w:val="006F1D30"/>
    <w:rsid w:val="006F7A6B"/>
    <w:rsid w:val="007017A2"/>
    <w:rsid w:val="00701AC7"/>
    <w:rsid w:val="00703DFA"/>
    <w:rsid w:val="00703EB8"/>
    <w:rsid w:val="007051B7"/>
    <w:rsid w:val="00705446"/>
    <w:rsid w:val="00705AC8"/>
    <w:rsid w:val="00707DFB"/>
    <w:rsid w:val="00710308"/>
    <w:rsid w:val="00710F08"/>
    <w:rsid w:val="00711655"/>
    <w:rsid w:val="00711A16"/>
    <w:rsid w:val="00711AB7"/>
    <w:rsid w:val="00711BBB"/>
    <w:rsid w:val="0071527E"/>
    <w:rsid w:val="00715320"/>
    <w:rsid w:val="00716369"/>
    <w:rsid w:val="00716A44"/>
    <w:rsid w:val="007217FF"/>
    <w:rsid w:val="00722834"/>
    <w:rsid w:val="007267F0"/>
    <w:rsid w:val="00726C7E"/>
    <w:rsid w:val="00727268"/>
    <w:rsid w:val="00727834"/>
    <w:rsid w:val="007309EC"/>
    <w:rsid w:val="00733660"/>
    <w:rsid w:val="00733892"/>
    <w:rsid w:val="0073694F"/>
    <w:rsid w:val="00740821"/>
    <w:rsid w:val="00740CFA"/>
    <w:rsid w:val="0074138C"/>
    <w:rsid w:val="00742AF8"/>
    <w:rsid w:val="007432B8"/>
    <w:rsid w:val="00743F25"/>
    <w:rsid w:val="00746133"/>
    <w:rsid w:val="0074674C"/>
    <w:rsid w:val="00747C9D"/>
    <w:rsid w:val="00750A0D"/>
    <w:rsid w:val="007515BC"/>
    <w:rsid w:val="00751E10"/>
    <w:rsid w:val="00752535"/>
    <w:rsid w:val="00752CC8"/>
    <w:rsid w:val="007533FA"/>
    <w:rsid w:val="00753FC1"/>
    <w:rsid w:val="00755007"/>
    <w:rsid w:val="007558A2"/>
    <w:rsid w:val="0075594B"/>
    <w:rsid w:val="0075699A"/>
    <w:rsid w:val="007571ED"/>
    <w:rsid w:val="0075777C"/>
    <w:rsid w:val="00757D90"/>
    <w:rsid w:val="007617C8"/>
    <w:rsid w:val="00761816"/>
    <w:rsid w:val="00762B18"/>
    <w:rsid w:val="007632C7"/>
    <w:rsid w:val="007635F6"/>
    <w:rsid w:val="00764E23"/>
    <w:rsid w:val="00766373"/>
    <w:rsid w:val="0076721B"/>
    <w:rsid w:val="00767BD5"/>
    <w:rsid w:val="0077151A"/>
    <w:rsid w:val="007716E2"/>
    <w:rsid w:val="007745D7"/>
    <w:rsid w:val="007751A4"/>
    <w:rsid w:val="00775B0C"/>
    <w:rsid w:val="00775C97"/>
    <w:rsid w:val="0078061D"/>
    <w:rsid w:val="00780AD9"/>
    <w:rsid w:val="00781896"/>
    <w:rsid w:val="007822FE"/>
    <w:rsid w:val="007826FD"/>
    <w:rsid w:val="007828FB"/>
    <w:rsid w:val="007831F7"/>
    <w:rsid w:val="0078438A"/>
    <w:rsid w:val="00784F83"/>
    <w:rsid w:val="00786A54"/>
    <w:rsid w:val="007901BA"/>
    <w:rsid w:val="0079323F"/>
    <w:rsid w:val="007932D4"/>
    <w:rsid w:val="0079392E"/>
    <w:rsid w:val="00793952"/>
    <w:rsid w:val="0079395B"/>
    <w:rsid w:val="00793C49"/>
    <w:rsid w:val="0079449E"/>
    <w:rsid w:val="0079494A"/>
    <w:rsid w:val="007959D3"/>
    <w:rsid w:val="00796D13"/>
    <w:rsid w:val="00796E18"/>
    <w:rsid w:val="00797030"/>
    <w:rsid w:val="007A3962"/>
    <w:rsid w:val="007A6EA8"/>
    <w:rsid w:val="007A7403"/>
    <w:rsid w:val="007B1E60"/>
    <w:rsid w:val="007B5046"/>
    <w:rsid w:val="007B61D4"/>
    <w:rsid w:val="007B683E"/>
    <w:rsid w:val="007B7697"/>
    <w:rsid w:val="007C0D6F"/>
    <w:rsid w:val="007C1348"/>
    <w:rsid w:val="007C1A4F"/>
    <w:rsid w:val="007C1F4F"/>
    <w:rsid w:val="007C2D4E"/>
    <w:rsid w:val="007C2F18"/>
    <w:rsid w:val="007C4DF1"/>
    <w:rsid w:val="007C4E02"/>
    <w:rsid w:val="007C56EA"/>
    <w:rsid w:val="007C6247"/>
    <w:rsid w:val="007C6E33"/>
    <w:rsid w:val="007C7271"/>
    <w:rsid w:val="007D3020"/>
    <w:rsid w:val="007D3B86"/>
    <w:rsid w:val="007D5292"/>
    <w:rsid w:val="007D57F0"/>
    <w:rsid w:val="007D66EF"/>
    <w:rsid w:val="007D6B42"/>
    <w:rsid w:val="007D7087"/>
    <w:rsid w:val="007E2AA1"/>
    <w:rsid w:val="007E6310"/>
    <w:rsid w:val="007F18ED"/>
    <w:rsid w:val="007F222F"/>
    <w:rsid w:val="007F2597"/>
    <w:rsid w:val="007F37AD"/>
    <w:rsid w:val="007F37E5"/>
    <w:rsid w:val="007F474B"/>
    <w:rsid w:val="007F4BE5"/>
    <w:rsid w:val="007F654E"/>
    <w:rsid w:val="007F6EF5"/>
    <w:rsid w:val="00800673"/>
    <w:rsid w:val="00802C6E"/>
    <w:rsid w:val="00802D75"/>
    <w:rsid w:val="00804119"/>
    <w:rsid w:val="00804513"/>
    <w:rsid w:val="00807867"/>
    <w:rsid w:val="00807AF4"/>
    <w:rsid w:val="00810346"/>
    <w:rsid w:val="008112F1"/>
    <w:rsid w:val="00814E98"/>
    <w:rsid w:val="00817FCA"/>
    <w:rsid w:val="008207F7"/>
    <w:rsid w:val="00825063"/>
    <w:rsid w:val="00825A57"/>
    <w:rsid w:val="00825C83"/>
    <w:rsid w:val="00827296"/>
    <w:rsid w:val="008278F5"/>
    <w:rsid w:val="00831722"/>
    <w:rsid w:val="00832674"/>
    <w:rsid w:val="0083271D"/>
    <w:rsid w:val="008337F4"/>
    <w:rsid w:val="00834057"/>
    <w:rsid w:val="00834561"/>
    <w:rsid w:val="00834BFB"/>
    <w:rsid w:val="00835A32"/>
    <w:rsid w:val="00835D81"/>
    <w:rsid w:val="0083645B"/>
    <w:rsid w:val="0083686D"/>
    <w:rsid w:val="00837AA8"/>
    <w:rsid w:val="008408FA"/>
    <w:rsid w:val="008421AE"/>
    <w:rsid w:val="00844037"/>
    <w:rsid w:val="0084409B"/>
    <w:rsid w:val="008452F1"/>
    <w:rsid w:val="00845BBA"/>
    <w:rsid w:val="00845C37"/>
    <w:rsid w:val="00846B73"/>
    <w:rsid w:val="008470C6"/>
    <w:rsid w:val="008472EB"/>
    <w:rsid w:val="00850314"/>
    <w:rsid w:val="00853E97"/>
    <w:rsid w:val="008540A7"/>
    <w:rsid w:val="00854460"/>
    <w:rsid w:val="00856989"/>
    <w:rsid w:val="00856ACD"/>
    <w:rsid w:val="00857A88"/>
    <w:rsid w:val="00857B20"/>
    <w:rsid w:val="008632EA"/>
    <w:rsid w:val="008636E9"/>
    <w:rsid w:val="0086391B"/>
    <w:rsid w:val="00863C8C"/>
    <w:rsid w:val="0086444E"/>
    <w:rsid w:val="00864D87"/>
    <w:rsid w:val="008656CD"/>
    <w:rsid w:val="00865B7D"/>
    <w:rsid w:val="00867144"/>
    <w:rsid w:val="0086787A"/>
    <w:rsid w:val="00870F03"/>
    <w:rsid w:val="00871D19"/>
    <w:rsid w:val="00872B90"/>
    <w:rsid w:val="00873105"/>
    <w:rsid w:val="008769DB"/>
    <w:rsid w:val="00880E9A"/>
    <w:rsid w:val="00882023"/>
    <w:rsid w:val="00882B63"/>
    <w:rsid w:val="00882C35"/>
    <w:rsid w:val="008840C5"/>
    <w:rsid w:val="008847B1"/>
    <w:rsid w:val="00885BB4"/>
    <w:rsid w:val="008865BE"/>
    <w:rsid w:val="00887501"/>
    <w:rsid w:val="00891D9A"/>
    <w:rsid w:val="00892674"/>
    <w:rsid w:val="00892DD6"/>
    <w:rsid w:val="00895C70"/>
    <w:rsid w:val="008A03A9"/>
    <w:rsid w:val="008A0C3A"/>
    <w:rsid w:val="008A2313"/>
    <w:rsid w:val="008A2537"/>
    <w:rsid w:val="008A39DC"/>
    <w:rsid w:val="008A4246"/>
    <w:rsid w:val="008A43DA"/>
    <w:rsid w:val="008A4448"/>
    <w:rsid w:val="008A4D0E"/>
    <w:rsid w:val="008A6B33"/>
    <w:rsid w:val="008A7740"/>
    <w:rsid w:val="008A77ED"/>
    <w:rsid w:val="008A7C39"/>
    <w:rsid w:val="008A7D75"/>
    <w:rsid w:val="008B0490"/>
    <w:rsid w:val="008B09BB"/>
    <w:rsid w:val="008B0A04"/>
    <w:rsid w:val="008B2A77"/>
    <w:rsid w:val="008B32F9"/>
    <w:rsid w:val="008B3775"/>
    <w:rsid w:val="008B3860"/>
    <w:rsid w:val="008B38A8"/>
    <w:rsid w:val="008B5D43"/>
    <w:rsid w:val="008B76F5"/>
    <w:rsid w:val="008C0EEF"/>
    <w:rsid w:val="008C22F0"/>
    <w:rsid w:val="008C2AE0"/>
    <w:rsid w:val="008C2F35"/>
    <w:rsid w:val="008C3881"/>
    <w:rsid w:val="008C4A17"/>
    <w:rsid w:val="008C7259"/>
    <w:rsid w:val="008D0506"/>
    <w:rsid w:val="008D0A2C"/>
    <w:rsid w:val="008D1873"/>
    <w:rsid w:val="008D4E90"/>
    <w:rsid w:val="008D5542"/>
    <w:rsid w:val="008D5C23"/>
    <w:rsid w:val="008D6614"/>
    <w:rsid w:val="008D6B39"/>
    <w:rsid w:val="008E066D"/>
    <w:rsid w:val="008E2CAD"/>
    <w:rsid w:val="008E434B"/>
    <w:rsid w:val="008E4831"/>
    <w:rsid w:val="008E4880"/>
    <w:rsid w:val="008E64D4"/>
    <w:rsid w:val="008E6F19"/>
    <w:rsid w:val="008F0018"/>
    <w:rsid w:val="008F05EE"/>
    <w:rsid w:val="008F2342"/>
    <w:rsid w:val="008F3C47"/>
    <w:rsid w:val="008F3D02"/>
    <w:rsid w:val="008F3F2E"/>
    <w:rsid w:val="008F55DB"/>
    <w:rsid w:val="008F56CB"/>
    <w:rsid w:val="008F64B6"/>
    <w:rsid w:val="008F7E88"/>
    <w:rsid w:val="0090131B"/>
    <w:rsid w:val="00901473"/>
    <w:rsid w:val="00902A7C"/>
    <w:rsid w:val="00902AFE"/>
    <w:rsid w:val="0090478A"/>
    <w:rsid w:val="009067C8"/>
    <w:rsid w:val="00906D55"/>
    <w:rsid w:val="009073D6"/>
    <w:rsid w:val="00910011"/>
    <w:rsid w:val="009103D4"/>
    <w:rsid w:val="00911027"/>
    <w:rsid w:val="009114CB"/>
    <w:rsid w:val="009128A7"/>
    <w:rsid w:val="00912DE1"/>
    <w:rsid w:val="009130EA"/>
    <w:rsid w:val="00913711"/>
    <w:rsid w:val="00913A95"/>
    <w:rsid w:val="009148F8"/>
    <w:rsid w:val="00914902"/>
    <w:rsid w:val="00920076"/>
    <w:rsid w:val="00922600"/>
    <w:rsid w:val="00922E02"/>
    <w:rsid w:val="00923408"/>
    <w:rsid w:val="00924198"/>
    <w:rsid w:val="00925AB9"/>
    <w:rsid w:val="00925D3A"/>
    <w:rsid w:val="00926D49"/>
    <w:rsid w:val="009272B7"/>
    <w:rsid w:val="00931618"/>
    <w:rsid w:val="009323AF"/>
    <w:rsid w:val="0093281F"/>
    <w:rsid w:val="00933429"/>
    <w:rsid w:val="00933ADC"/>
    <w:rsid w:val="00933C22"/>
    <w:rsid w:val="00933EC9"/>
    <w:rsid w:val="00935B4E"/>
    <w:rsid w:val="00935C20"/>
    <w:rsid w:val="009375DD"/>
    <w:rsid w:val="00937988"/>
    <w:rsid w:val="00937CF7"/>
    <w:rsid w:val="00943689"/>
    <w:rsid w:val="009448DA"/>
    <w:rsid w:val="00944986"/>
    <w:rsid w:val="00944A3F"/>
    <w:rsid w:val="00945931"/>
    <w:rsid w:val="00945E73"/>
    <w:rsid w:val="009467AE"/>
    <w:rsid w:val="00947400"/>
    <w:rsid w:val="00951190"/>
    <w:rsid w:val="0095147D"/>
    <w:rsid w:val="009525A6"/>
    <w:rsid w:val="00953271"/>
    <w:rsid w:val="00953D1A"/>
    <w:rsid w:val="00953D25"/>
    <w:rsid w:val="0095473A"/>
    <w:rsid w:val="00954BD4"/>
    <w:rsid w:val="009558FA"/>
    <w:rsid w:val="00956EEA"/>
    <w:rsid w:val="00956FDA"/>
    <w:rsid w:val="0095784C"/>
    <w:rsid w:val="009622F6"/>
    <w:rsid w:val="00964126"/>
    <w:rsid w:val="00964C54"/>
    <w:rsid w:val="009654C5"/>
    <w:rsid w:val="00965983"/>
    <w:rsid w:val="0096654F"/>
    <w:rsid w:val="009706D9"/>
    <w:rsid w:val="00970EDC"/>
    <w:rsid w:val="00971C1A"/>
    <w:rsid w:val="0097219C"/>
    <w:rsid w:val="00972686"/>
    <w:rsid w:val="009741F9"/>
    <w:rsid w:val="00974E21"/>
    <w:rsid w:val="00975CDD"/>
    <w:rsid w:val="00976EF3"/>
    <w:rsid w:val="00980048"/>
    <w:rsid w:val="0098044E"/>
    <w:rsid w:val="009804B7"/>
    <w:rsid w:val="00980E47"/>
    <w:rsid w:val="00981373"/>
    <w:rsid w:val="0098254D"/>
    <w:rsid w:val="00982AC3"/>
    <w:rsid w:val="009861D3"/>
    <w:rsid w:val="00986DC0"/>
    <w:rsid w:val="009904AD"/>
    <w:rsid w:val="00994F58"/>
    <w:rsid w:val="009958DE"/>
    <w:rsid w:val="00995C8B"/>
    <w:rsid w:val="00996FB9"/>
    <w:rsid w:val="009970F9"/>
    <w:rsid w:val="009978C5"/>
    <w:rsid w:val="009A0C2A"/>
    <w:rsid w:val="009A1582"/>
    <w:rsid w:val="009A304E"/>
    <w:rsid w:val="009A4561"/>
    <w:rsid w:val="009A4844"/>
    <w:rsid w:val="009A7B99"/>
    <w:rsid w:val="009B0038"/>
    <w:rsid w:val="009B1B68"/>
    <w:rsid w:val="009B1BE9"/>
    <w:rsid w:val="009B1F36"/>
    <w:rsid w:val="009B21A2"/>
    <w:rsid w:val="009B2A32"/>
    <w:rsid w:val="009B2F95"/>
    <w:rsid w:val="009B40D2"/>
    <w:rsid w:val="009B4733"/>
    <w:rsid w:val="009B4998"/>
    <w:rsid w:val="009B70D2"/>
    <w:rsid w:val="009C02A5"/>
    <w:rsid w:val="009C138B"/>
    <w:rsid w:val="009C18B0"/>
    <w:rsid w:val="009C2005"/>
    <w:rsid w:val="009C3BC9"/>
    <w:rsid w:val="009C4232"/>
    <w:rsid w:val="009C4FD6"/>
    <w:rsid w:val="009C5510"/>
    <w:rsid w:val="009C644B"/>
    <w:rsid w:val="009C6F87"/>
    <w:rsid w:val="009C741B"/>
    <w:rsid w:val="009C7D79"/>
    <w:rsid w:val="009D0A34"/>
    <w:rsid w:val="009D214A"/>
    <w:rsid w:val="009D3243"/>
    <w:rsid w:val="009D3F56"/>
    <w:rsid w:val="009D5CD4"/>
    <w:rsid w:val="009D6D09"/>
    <w:rsid w:val="009D6FFC"/>
    <w:rsid w:val="009D750D"/>
    <w:rsid w:val="009D793F"/>
    <w:rsid w:val="009D79A4"/>
    <w:rsid w:val="009D7DC9"/>
    <w:rsid w:val="009E00FB"/>
    <w:rsid w:val="009E0312"/>
    <w:rsid w:val="009E0602"/>
    <w:rsid w:val="009E0A3A"/>
    <w:rsid w:val="009E1987"/>
    <w:rsid w:val="009E42A9"/>
    <w:rsid w:val="009E4569"/>
    <w:rsid w:val="009E4DB2"/>
    <w:rsid w:val="009E6088"/>
    <w:rsid w:val="009E609E"/>
    <w:rsid w:val="009E668F"/>
    <w:rsid w:val="009E6C3B"/>
    <w:rsid w:val="009E73D4"/>
    <w:rsid w:val="009E75E5"/>
    <w:rsid w:val="009E797F"/>
    <w:rsid w:val="009F1548"/>
    <w:rsid w:val="009F211D"/>
    <w:rsid w:val="009F2ABE"/>
    <w:rsid w:val="009F37F6"/>
    <w:rsid w:val="009F3CA1"/>
    <w:rsid w:val="009F3F80"/>
    <w:rsid w:val="009F486E"/>
    <w:rsid w:val="009F4FAE"/>
    <w:rsid w:val="009F59DA"/>
    <w:rsid w:val="00A0026A"/>
    <w:rsid w:val="00A00CE2"/>
    <w:rsid w:val="00A01340"/>
    <w:rsid w:val="00A02207"/>
    <w:rsid w:val="00A02F8A"/>
    <w:rsid w:val="00A0326A"/>
    <w:rsid w:val="00A040B7"/>
    <w:rsid w:val="00A051EB"/>
    <w:rsid w:val="00A06B66"/>
    <w:rsid w:val="00A0723C"/>
    <w:rsid w:val="00A075A6"/>
    <w:rsid w:val="00A07FE7"/>
    <w:rsid w:val="00A1002A"/>
    <w:rsid w:val="00A10386"/>
    <w:rsid w:val="00A1129C"/>
    <w:rsid w:val="00A11FC4"/>
    <w:rsid w:val="00A13BB3"/>
    <w:rsid w:val="00A14892"/>
    <w:rsid w:val="00A165A6"/>
    <w:rsid w:val="00A16A75"/>
    <w:rsid w:val="00A16C93"/>
    <w:rsid w:val="00A17817"/>
    <w:rsid w:val="00A17949"/>
    <w:rsid w:val="00A17D1B"/>
    <w:rsid w:val="00A17EAC"/>
    <w:rsid w:val="00A20016"/>
    <w:rsid w:val="00A20655"/>
    <w:rsid w:val="00A22A1F"/>
    <w:rsid w:val="00A242A8"/>
    <w:rsid w:val="00A24BBC"/>
    <w:rsid w:val="00A25631"/>
    <w:rsid w:val="00A25C3C"/>
    <w:rsid w:val="00A26C23"/>
    <w:rsid w:val="00A27760"/>
    <w:rsid w:val="00A27AA7"/>
    <w:rsid w:val="00A27C40"/>
    <w:rsid w:val="00A31FAF"/>
    <w:rsid w:val="00A33F12"/>
    <w:rsid w:val="00A340E4"/>
    <w:rsid w:val="00A35685"/>
    <w:rsid w:val="00A3691C"/>
    <w:rsid w:val="00A376A9"/>
    <w:rsid w:val="00A37AEB"/>
    <w:rsid w:val="00A432B0"/>
    <w:rsid w:val="00A44EF2"/>
    <w:rsid w:val="00A47B20"/>
    <w:rsid w:val="00A50F7B"/>
    <w:rsid w:val="00A514D0"/>
    <w:rsid w:val="00A51838"/>
    <w:rsid w:val="00A525D1"/>
    <w:rsid w:val="00A526DC"/>
    <w:rsid w:val="00A5279A"/>
    <w:rsid w:val="00A530F7"/>
    <w:rsid w:val="00A53C33"/>
    <w:rsid w:val="00A5439C"/>
    <w:rsid w:val="00A544BC"/>
    <w:rsid w:val="00A5797A"/>
    <w:rsid w:val="00A57FB6"/>
    <w:rsid w:val="00A61403"/>
    <w:rsid w:val="00A6215A"/>
    <w:rsid w:val="00A62818"/>
    <w:rsid w:val="00A62B52"/>
    <w:rsid w:val="00A62D90"/>
    <w:rsid w:val="00A63426"/>
    <w:rsid w:val="00A642AE"/>
    <w:rsid w:val="00A64605"/>
    <w:rsid w:val="00A646EB"/>
    <w:rsid w:val="00A647E0"/>
    <w:rsid w:val="00A666E1"/>
    <w:rsid w:val="00A67479"/>
    <w:rsid w:val="00A67903"/>
    <w:rsid w:val="00A67DA5"/>
    <w:rsid w:val="00A70393"/>
    <w:rsid w:val="00A75C13"/>
    <w:rsid w:val="00A760D4"/>
    <w:rsid w:val="00A763CA"/>
    <w:rsid w:val="00A7688B"/>
    <w:rsid w:val="00A77019"/>
    <w:rsid w:val="00A7773B"/>
    <w:rsid w:val="00A8474E"/>
    <w:rsid w:val="00A84C42"/>
    <w:rsid w:val="00A857E3"/>
    <w:rsid w:val="00A86892"/>
    <w:rsid w:val="00A87569"/>
    <w:rsid w:val="00A90850"/>
    <w:rsid w:val="00A90CCE"/>
    <w:rsid w:val="00A943DA"/>
    <w:rsid w:val="00A94C94"/>
    <w:rsid w:val="00A96C25"/>
    <w:rsid w:val="00A972CB"/>
    <w:rsid w:val="00A97D4F"/>
    <w:rsid w:val="00AA113E"/>
    <w:rsid w:val="00AA2C9E"/>
    <w:rsid w:val="00AA3DBE"/>
    <w:rsid w:val="00AA4053"/>
    <w:rsid w:val="00AA5122"/>
    <w:rsid w:val="00AA64D6"/>
    <w:rsid w:val="00AA6F02"/>
    <w:rsid w:val="00AA74C1"/>
    <w:rsid w:val="00AB17BB"/>
    <w:rsid w:val="00AB44D1"/>
    <w:rsid w:val="00AB4F90"/>
    <w:rsid w:val="00AB6D0B"/>
    <w:rsid w:val="00AB6F10"/>
    <w:rsid w:val="00AB7874"/>
    <w:rsid w:val="00AC0776"/>
    <w:rsid w:val="00AC116F"/>
    <w:rsid w:val="00AC237A"/>
    <w:rsid w:val="00AC2E1D"/>
    <w:rsid w:val="00AC3891"/>
    <w:rsid w:val="00AC5870"/>
    <w:rsid w:val="00AC5879"/>
    <w:rsid w:val="00AC6504"/>
    <w:rsid w:val="00AC74DE"/>
    <w:rsid w:val="00AC7614"/>
    <w:rsid w:val="00AC7B93"/>
    <w:rsid w:val="00AD0D30"/>
    <w:rsid w:val="00AD13D2"/>
    <w:rsid w:val="00AD1CF6"/>
    <w:rsid w:val="00AD4EE8"/>
    <w:rsid w:val="00AD4FC0"/>
    <w:rsid w:val="00AD5A2B"/>
    <w:rsid w:val="00AD6230"/>
    <w:rsid w:val="00AD6737"/>
    <w:rsid w:val="00AD6CD8"/>
    <w:rsid w:val="00AD77BC"/>
    <w:rsid w:val="00AD789C"/>
    <w:rsid w:val="00AE011F"/>
    <w:rsid w:val="00AE18CC"/>
    <w:rsid w:val="00AE3822"/>
    <w:rsid w:val="00AE3F8C"/>
    <w:rsid w:val="00AE5061"/>
    <w:rsid w:val="00AE59EE"/>
    <w:rsid w:val="00AE670E"/>
    <w:rsid w:val="00AE7C00"/>
    <w:rsid w:val="00AF2DD4"/>
    <w:rsid w:val="00AF305F"/>
    <w:rsid w:val="00AF3983"/>
    <w:rsid w:val="00AF3A52"/>
    <w:rsid w:val="00AF475F"/>
    <w:rsid w:val="00AF7A28"/>
    <w:rsid w:val="00B00847"/>
    <w:rsid w:val="00B01372"/>
    <w:rsid w:val="00B01C7A"/>
    <w:rsid w:val="00B021E4"/>
    <w:rsid w:val="00B04F2C"/>
    <w:rsid w:val="00B05C9C"/>
    <w:rsid w:val="00B07009"/>
    <w:rsid w:val="00B0769F"/>
    <w:rsid w:val="00B10B9E"/>
    <w:rsid w:val="00B10EBD"/>
    <w:rsid w:val="00B11DB1"/>
    <w:rsid w:val="00B12049"/>
    <w:rsid w:val="00B12D84"/>
    <w:rsid w:val="00B13EA5"/>
    <w:rsid w:val="00B1474A"/>
    <w:rsid w:val="00B14CC0"/>
    <w:rsid w:val="00B1566C"/>
    <w:rsid w:val="00B16705"/>
    <w:rsid w:val="00B16794"/>
    <w:rsid w:val="00B2440C"/>
    <w:rsid w:val="00B24BAC"/>
    <w:rsid w:val="00B25FC5"/>
    <w:rsid w:val="00B2662E"/>
    <w:rsid w:val="00B2767F"/>
    <w:rsid w:val="00B279C4"/>
    <w:rsid w:val="00B27FEA"/>
    <w:rsid w:val="00B3175A"/>
    <w:rsid w:val="00B317F8"/>
    <w:rsid w:val="00B330F7"/>
    <w:rsid w:val="00B333ED"/>
    <w:rsid w:val="00B34CD3"/>
    <w:rsid w:val="00B35E06"/>
    <w:rsid w:val="00B36524"/>
    <w:rsid w:val="00B367EB"/>
    <w:rsid w:val="00B36A66"/>
    <w:rsid w:val="00B37832"/>
    <w:rsid w:val="00B40A94"/>
    <w:rsid w:val="00B40E64"/>
    <w:rsid w:val="00B43E82"/>
    <w:rsid w:val="00B4519A"/>
    <w:rsid w:val="00B45800"/>
    <w:rsid w:val="00B461E9"/>
    <w:rsid w:val="00B46F31"/>
    <w:rsid w:val="00B50D39"/>
    <w:rsid w:val="00B513EA"/>
    <w:rsid w:val="00B51C87"/>
    <w:rsid w:val="00B525A3"/>
    <w:rsid w:val="00B5323D"/>
    <w:rsid w:val="00B5388E"/>
    <w:rsid w:val="00B53DED"/>
    <w:rsid w:val="00B53E02"/>
    <w:rsid w:val="00B541D8"/>
    <w:rsid w:val="00B54A06"/>
    <w:rsid w:val="00B54D84"/>
    <w:rsid w:val="00B5519D"/>
    <w:rsid w:val="00B566B9"/>
    <w:rsid w:val="00B56861"/>
    <w:rsid w:val="00B576A0"/>
    <w:rsid w:val="00B60556"/>
    <w:rsid w:val="00B61A8D"/>
    <w:rsid w:val="00B61D99"/>
    <w:rsid w:val="00B6290E"/>
    <w:rsid w:val="00B632FF"/>
    <w:rsid w:val="00B63481"/>
    <w:rsid w:val="00B6377E"/>
    <w:rsid w:val="00B6421D"/>
    <w:rsid w:val="00B64CA0"/>
    <w:rsid w:val="00B654ED"/>
    <w:rsid w:val="00B668A5"/>
    <w:rsid w:val="00B66A16"/>
    <w:rsid w:val="00B66F46"/>
    <w:rsid w:val="00B670EE"/>
    <w:rsid w:val="00B67281"/>
    <w:rsid w:val="00B70450"/>
    <w:rsid w:val="00B72720"/>
    <w:rsid w:val="00B7298A"/>
    <w:rsid w:val="00B737F9"/>
    <w:rsid w:val="00B742BF"/>
    <w:rsid w:val="00B74D07"/>
    <w:rsid w:val="00B7501F"/>
    <w:rsid w:val="00B753F4"/>
    <w:rsid w:val="00B774B4"/>
    <w:rsid w:val="00B77E29"/>
    <w:rsid w:val="00B810C7"/>
    <w:rsid w:val="00B81A0C"/>
    <w:rsid w:val="00B81A73"/>
    <w:rsid w:val="00B82A36"/>
    <w:rsid w:val="00B83C9B"/>
    <w:rsid w:val="00B841F0"/>
    <w:rsid w:val="00B84747"/>
    <w:rsid w:val="00B84857"/>
    <w:rsid w:val="00B879D6"/>
    <w:rsid w:val="00B903CE"/>
    <w:rsid w:val="00B90BDE"/>
    <w:rsid w:val="00B9221D"/>
    <w:rsid w:val="00B92253"/>
    <w:rsid w:val="00B96076"/>
    <w:rsid w:val="00B96826"/>
    <w:rsid w:val="00B96E95"/>
    <w:rsid w:val="00B97AC0"/>
    <w:rsid w:val="00B97E02"/>
    <w:rsid w:val="00BA0A3A"/>
    <w:rsid w:val="00BA0ADF"/>
    <w:rsid w:val="00BA13C9"/>
    <w:rsid w:val="00BA1A89"/>
    <w:rsid w:val="00BA29EF"/>
    <w:rsid w:val="00BA487C"/>
    <w:rsid w:val="00BA531A"/>
    <w:rsid w:val="00BA62E5"/>
    <w:rsid w:val="00BB00A4"/>
    <w:rsid w:val="00BB017E"/>
    <w:rsid w:val="00BB0A4F"/>
    <w:rsid w:val="00BB0CD0"/>
    <w:rsid w:val="00BB0DAE"/>
    <w:rsid w:val="00BB30CC"/>
    <w:rsid w:val="00BB47F8"/>
    <w:rsid w:val="00BB4B68"/>
    <w:rsid w:val="00BB6BBA"/>
    <w:rsid w:val="00BC04FF"/>
    <w:rsid w:val="00BC0A81"/>
    <w:rsid w:val="00BC0F9C"/>
    <w:rsid w:val="00BC16E2"/>
    <w:rsid w:val="00BC17F0"/>
    <w:rsid w:val="00BC19C8"/>
    <w:rsid w:val="00BC1E92"/>
    <w:rsid w:val="00BC21F2"/>
    <w:rsid w:val="00BC2BC1"/>
    <w:rsid w:val="00BC4C3D"/>
    <w:rsid w:val="00BC5BE9"/>
    <w:rsid w:val="00BC7DBC"/>
    <w:rsid w:val="00BD08CB"/>
    <w:rsid w:val="00BD10E9"/>
    <w:rsid w:val="00BD1A2B"/>
    <w:rsid w:val="00BD496E"/>
    <w:rsid w:val="00BD4C3B"/>
    <w:rsid w:val="00BD57A1"/>
    <w:rsid w:val="00BD6A44"/>
    <w:rsid w:val="00BE3109"/>
    <w:rsid w:val="00BE41EF"/>
    <w:rsid w:val="00BE433B"/>
    <w:rsid w:val="00BE5705"/>
    <w:rsid w:val="00BE5DC4"/>
    <w:rsid w:val="00BE60E9"/>
    <w:rsid w:val="00BE6360"/>
    <w:rsid w:val="00BE7666"/>
    <w:rsid w:val="00BF0331"/>
    <w:rsid w:val="00BF0DB5"/>
    <w:rsid w:val="00BF0F85"/>
    <w:rsid w:val="00BF19A1"/>
    <w:rsid w:val="00BF26AF"/>
    <w:rsid w:val="00BF28FF"/>
    <w:rsid w:val="00BF332E"/>
    <w:rsid w:val="00BF4890"/>
    <w:rsid w:val="00BF5F0E"/>
    <w:rsid w:val="00C00509"/>
    <w:rsid w:val="00C00563"/>
    <w:rsid w:val="00C00784"/>
    <w:rsid w:val="00C03F17"/>
    <w:rsid w:val="00C04868"/>
    <w:rsid w:val="00C04CD9"/>
    <w:rsid w:val="00C050EC"/>
    <w:rsid w:val="00C0572E"/>
    <w:rsid w:val="00C07565"/>
    <w:rsid w:val="00C07761"/>
    <w:rsid w:val="00C10C45"/>
    <w:rsid w:val="00C1102F"/>
    <w:rsid w:val="00C12B63"/>
    <w:rsid w:val="00C13464"/>
    <w:rsid w:val="00C156D6"/>
    <w:rsid w:val="00C16F26"/>
    <w:rsid w:val="00C17AD4"/>
    <w:rsid w:val="00C17C3F"/>
    <w:rsid w:val="00C207B8"/>
    <w:rsid w:val="00C21020"/>
    <w:rsid w:val="00C22E68"/>
    <w:rsid w:val="00C230CB"/>
    <w:rsid w:val="00C23743"/>
    <w:rsid w:val="00C25098"/>
    <w:rsid w:val="00C26127"/>
    <w:rsid w:val="00C26B3E"/>
    <w:rsid w:val="00C27C36"/>
    <w:rsid w:val="00C3004E"/>
    <w:rsid w:val="00C30846"/>
    <w:rsid w:val="00C309E8"/>
    <w:rsid w:val="00C30B0C"/>
    <w:rsid w:val="00C30E79"/>
    <w:rsid w:val="00C314EF"/>
    <w:rsid w:val="00C32234"/>
    <w:rsid w:val="00C32417"/>
    <w:rsid w:val="00C3249F"/>
    <w:rsid w:val="00C32D54"/>
    <w:rsid w:val="00C335CB"/>
    <w:rsid w:val="00C33C12"/>
    <w:rsid w:val="00C34372"/>
    <w:rsid w:val="00C34D4D"/>
    <w:rsid w:val="00C35AC3"/>
    <w:rsid w:val="00C361BF"/>
    <w:rsid w:val="00C3727E"/>
    <w:rsid w:val="00C40A0D"/>
    <w:rsid w:val="00C42225"/>
    <w:rsid w:val="00C4253C"/>
    <w:rsid w:val="00C437AF"/>
    <w:rsid w:val="00C43FC3"/>
    <w:rsid w:val="00C472DF"/>
    <w:rsid w:val="00C47D79"/>
    <w:rsid w:val="00C50C1B"/>
    <w:rsid w:val="00C5398E"/>
    <w:rsid w:val="00C5450C"/>
    <w:rsid w:val="00C554EC"/>
    <w:rsid w:val="00C55C35"/>
    <w:rsid w:val="00C561ED"/>
    <w:rsid w:val="00C57987"/>
    <w:rsid w:val="00C6144F"/>
    <w:rsid w:val="00C63AFD"/>
    <w:rsid w:val="00C6463A"/>
    <w:rsid w:val="00C664FD"/>
    <w:rsid w:val="00C67797"/>
    <w:rsid w:val="00C7130F"/>
    <w:rsid w:val="00C71850"/>
    <w:rsid w:val="00C72288"/>
    <w:rsid w:val="00C72E28"/>
    <w:rsid w:val="00C747DE"/>
    <w:rsid w:val="00C7656C"/>
    <w:rsid w:val="00C7671E"/>
    <w:rsid w:val="00C76925"/>
    <w:rsid w:val="00C8304D"/>
    <w:rsid w:val="00C87401"/>
    <w:rsid w:val="00C877AD"/>
    <w:rsid w:val="00C90C12"/>
    <w:rsid w:val="00C91FDC"/>
    <w:rsid w:val="00C921AA"/>
    <w:rsid w:val="00C92C1F"/>
    <w:rsid w:val="00C9307F"/>
    <w:rsid w:val="00C93FD8"/>
    <w:rsid w:val="00C95338"/>
    <w:rsid w:val="00C957FC"/>
    <w:rsid w:val="00C96137"/>
    <w:rsid w:val="00C96A89"/>
    <w:rsid w:val="00C96DD0"/>
    <w:rsid w:val="00C97899"/>
    <w:rsid w:val="00CA03AE"/>
    <w:rsid w:val="00CA33C1"/>
    <w:rsid w:val="00CA6963"/>
    <w:rsid w:val="00CA6DDF"/>
    <w:rsid w:val="00CA7D32"/>
    <w:rsid w:val="00CB1154"/>
    <w:rsid w:val="00CB19ED"/>
    <w:rsid w:val="00CB4243"/>
    <w:rsid w:val="00CB4D2F"/>
    <w:rsid w:val="00CB574C"/>
    <w:rsid w:val="00CB736C"/>
    <w:rsid w:val="00CC0477"/>
    <w:rsid w:val="00CC0F54"/>
    <w:rsid w:val="00CC291A"/>
    <w:rsid w:val="00CC3FFA"/>
    <w:rsid w:val="00CC4F2D"/>
    <w:rsid w:val="00CC56EF"/>
    <w:rsid w:val="00CC61E4"/>
    <w:rsid w:val="00CC64AC"/>
    <w:rsid w:val="00CC72D1"/>
    <w:rsid w:val="00CD016B"/>
    <w:rsid w:val="00CD121D"/>
    <w:rsid w:val="00CD2900"/>
    <w:rsid w:val="00CD3A1C"/>
    <w:rsid w:val="00CD46D2"/>
    <w:rsid w:val="00CD79FD"/>
    <w:rsid w:val="00CE0E59"/>
    <w:rsid w:val="00CE3E79"/>
    <w:rsid w:val="00CE43BB"/>
    <w:rsid w:val="00CE4EFC"/>
    <w:rsid w:val="00CE546A"/>
    <w:rsid w:val="00CE5EEC"/>
    <w:rsid w:val="00CE64BD"/>
    <w:rsid w:val="00CE69B2"/>
    <w:rsid w:val="00CF0092"/>
    <w:rsid w:val="00CF10E7"/>
    <w:rsid w:val="00CF260D"/>
    <w:rsid w:val="00CF34CF"/>
    <w:rsid w:val="00CF35E6"/>
    <w:rsid w:val="00CF77DB"/>
    <w:rsid w:val="00D031C0"/>
    <w:rsid w:val="00D0330E"/>
    <w:rsid w:val="00D04CAD"/>
    <w:rsid w:val="00D05BC9"/>
    <w:rsid w:val="00D071DE"/>
    <w:rsid w:val="00D07343"/>
    <w:rsid w:val="00D10F60"/>
    <w:rsid w:val="00D110AF"/>
    <w:rsid w:val="00D11364"/>
    <w:rsid w:val="00D1227F"/>
    <w:rsid w:val="00D12F71"/>
    <w:rsid w:val="00D15EE5"/>
    <w:rsid w:val="00D17869"/>
    <w:rsid w:val="00D24317"/>
    <w:rsid w:val="00D2471E"/>
    <w:rsid w:val="00D24B8D"/>
    <w:rsid w:val="00D26F56"/>
    <w:rsid w:val="00D2746B"/>
    <w:rsid w:val="00D30148"/>
    <w:rsid w:val="00D31091"/>
    <w:rsid w:val="00D31375"/>
    <w:rsid w:val="00D31B03"/>
    <w:rsid w:val="00D323DB"/>
    <w:rsid w:val="00D3401B"/>
    <w:rsid w:val="00D35D51"/>
    <w:rsid w:val="00D37403"/>
    <w:rsid w:val="00D37C42"/>
    <w:rsid w:val="00D37E04"/>
    <w:rsid w:val="00D408A3"/>
    <w:rsid w:val="00D4114C"/>
    <w:rsid w:val="00D4119C"/>
    <w:rsid w:val="00D41F3B"/>
    <w:rsid w:val="00D43FA5"/>
    <w:rsid w:val="00D440A4"/>
    <w:rsid w:val="00D47D05"/>
    <w:rsid w:val="00D5004D"/>
    <w:rsid w:val="00D50216"/>
    <w:rsid w:val="00D50425"/>
    <w:rsid w:val="00D51508"/>
    <w:rsid w:val="00D51789"/>
    <w:rsid w:val="00D52831"/>
    <w:rsid w:val="00D548B1"/>
    <w:rsid w:val="00D5565A"/>
    <w:rsid w:val="00D55789"/>
    <w:rsid w:val="00D576FE"/>
    <w:rsid w:val="00D57990"/>
    <w:rsid w:val="00D60309"/>
    <w:rsid w:val="00D60B85"/>
    <w:rsid w:val="00D60BE5"/>
    <w:rsid w:val="00D60D0A"/>
    <w:rsid w:val="00D6180B"/>
    <w:rsid w:val="00D62185"/>
    <w:rsid w:val="00D6366F"/>
    <w:rsid w:val="00D63EAA"/>
    <w:rsid w:val="00D641F9"/>
    <w:rsid w:val="00D64825"/>
    <w:rsid w:val="00D6487F"/>
    <w:rsid w:val="00D64D79"/>
    <w:rsid w:val="00D6566C"/>
    <w:rsid w:val="00D677C6"/>
    <w:rsid w:val="00D71BF6"/>
    <w:rsid w:val="00D72E9E"/>
    <w:rsid w:val="00D73196"/>
    <w:rsid w:val="00D73E31"/>
    <w:rsid w:val="00D747B9"/>
    <w:rsid w:val="00D75500"/>
    <w:rsid w:val="00D757B2"/>
    <w:rsid w:val="00D76BB7"/>
    <w:rsid w:val="00D77037"/>
    <w:rsid w:val="00D773A0"/>
    <w:rsid w:val="00D809BE"/>
    <w:rsid w:val="00D82802"/>
    <w:rsid w:val="00D82882"/>
    <w:rsid w:val="00D82B02"/>
    <w:rsid w:val="00D8368A"/>
    <w:rsid w:val="00D838F8"/>
    <w:rsid w:val="00D85485"/>
    <w:rsid w:val="00D8550B"/>
    <w:rsid w:val="00D85E87"/>
    <w:rsid w:val="00D9020F"/>
    <w:rsid w:val="00D9039B"/>
    <w:rsid w:val="00D9218E"/>
    <w:rsid w:val="00D9323A"/>
    <w:rsid w:val="00D942C9"/>
    <w:rsid w:val="00D96FEE"/>
    <w:rsid w:val="00D97883"/>
    <w:rsid w:val="00DA0E7A"/>
    <w:rsid w:val="00DA1EED"/>
    <w:rsid w:val="00DA24BC"/>
    <w:rsid w:val="00DA3005"/>
    <w:rsid w:val="00DA3A0D"/>
    <w:rsid w:val="00DA3A76"/>
    <w:rsid w:val="00DA3EB8"/>
    <w:rsid w:val="00DA6F44"/>
    <w:rsid w:val="00DB0F7A"/>
    <w:rsid w:val="00DB154A"/>
    <w:rsid w:val="00DB18D9"/>
    <w:rsid w:val="00DB29CD"/>
    <w:rsid w:val="00DB2E99"/>
    <w:rsid w:val="00DB30CF"/>
    <w:rsid w:val="00DB5014"/>
    <w:rsid w:val="00DB598E"/>
    <w:rsid w:val="00DB64E2"/>
    <w:rsid w:val="00DB677E"/>
    <w:rsid w:val="00DB6F49"/>
    <w:rsid w:val="00DB7AD9"/>
    <w:rsid w:val="00DC003F"/>
    <w:rsid w:val="00DC0CE2"/>
    <w:rsid w:val="00DC0D0D"/>
    <w:rsid w:val="00DC239E"/>
    <w:rsid w:val="00DC2ADE"/>
    <w:rsid w:val="00DC2E5D"/>
    <w:rsid w:val="00DC4450"/>
    <w:rsid w:val="00DC6B9D"/>
    <w:rsid w:val="00DC7DB5"/>
    <w:rsid w:val="00DD021C"/>
    <w:rsid w:val="00DD0247"/>
    <w:rsid w:val="00DD09E8"/>
    <w:rsid w:val="00DD4D06"/>
    <w:rsid w:val="00DD4F9C"/>
    <w:rsid w:val="00DD59B6"/>
    <w:rsid w:val="00DD5AB5"/>
    <w:rsid w:val="00DD5B08"/>
    <w:rsid w:val="00DD5BF5"/>
    <w:rsid w:val="00DD718B"/>
    <w:rsid w:val="00DE042A"/>
    <w:rsid w:val="00DE0D14"/>
    <w:rsid w:val="00DE24C3"/>
    <w:rsid w:val="00DE2B9C"/>
    <w:rsid w:val="00DE39A6"/>
    <w:rsid w:val="00DE3F88"/>
    <w:rsid w:val="00DE408E"/>
    <w:rsid w:val="00DE4A26"/>
    <w:rsid w:val="00DE703F"/>
    <w:rsid w:val="00DE728D"/>
    <w:rsid w:val="00DE79BC"/>
    <w:rsid w:val="00DE7A70"/>
    <w:rsid w:val="00DE7D4F"/>
    <w:rsid w:val="00DF0DCD"/>
    <w:rsid w:val="00DF14C8"/>
    <w:rsid w:val="00DF30C7"/>
    <w:rsid w:val="00DF3FEE"/>
    <w:rsid w:val="00DF5014"/>
    <w:rsid w:val="00DF6028"/>
    <w:rsid w:val="00DF73D4"/>
    <w:rsid w:val="00E011BF"/>
    <w:rsid w:val="00E0161D"/>
    <w:rsid w:val="00E01D32"/>
    <w:rsid w:val="00E02A0D"/>
    <w:rsid w:val="00E02B92"/>
    <w:rsid w:val="00E03641"/>
    <w:rsid w:val="00E04DAF"/>
    <w:rsid w:val="00E05B18"/>
    <w:rsid w:val="00E05D07"/>
    <w:rsid w:val="00E05E78"/>
    <w:rsid w:val="00E06810"/>
    <w:rsid w:val="00E06A5D"/>
    <w:rsid w:val="00E0751C"/>
    <w:rsid w:val="00E07A3C"/>
    <w:rsid w:val="00E106CA"/>
    <w:rsid w:val="00E10D63"/>
    <w:rsid w:val="00E111E7"/>
    <w:rsid w:val="00E1311B"/>
    <w:rsid w:val="00E137A4"/>
    <w:rsid w:val="00E14ECD"/>
    <w:rsid w:val="00E14F65"/>
    <w:rsid w:val="00E2199B"/>
    <w:rsid w:val="00E22151"/>
    <w:rsid w:val="00E221A5"/>
    <w:rsid w:val="00E22B5F"/>
    <w:rsid w:val="00E24794"/>
    <w:rsid w:val="00E27389"/>
    <w:rsid w:val="00E3098B"/>
    <w:rsid w:val="00E31E16"/>
    <w:rsid w:val="00E33510"/>
    <w:rsid w:val="00E33BB7"/>
    <w:rsid w:val="00E34377"/>
    <w:rsid w:val="00E344ED"/>
    <w:rsid w:val="00E34CF8"/>
    <w:rsid w:val="00E3621C"/>
    <w:rsid w:val="00E4100A"/>
    <w:rsid w:val="00E4160A"/>
    <w:rsid w:val="00E429C8"/>
    <w:rsid w:val="00E42DA4"/>
    <w:rsid w:val="00E43C9C"/>
    <w:rsid w:val="00E444F3"/>
    <w:rsid w:val="00E45EA0"/>
    <w:rsid w:val="00E45EC8"/>
    <w:rsid w:val="00E4756A"/>
    <w:rsid w:val="00E47711"/>
    <w:rsid w:val="00E47E68"/>
    <w:rsid w:val="00E50B3F"/>
    <w:rsid w:val="00E52788"/>
    <w:rsid w:val="00E53C7D"/>
    <w:rsid w:val="00E53EA9"/>
    <w:rsid w:val="00E57DFD"/>
    <w:rsid w:val="00E60BD4"/>
    <w:rsid w:val="00E62A4E"/>
    <w:rsid w:val="00E63858"/>
    <w:rsid w:val="00E6461C"/>
    <w:rsid w:val="00E6603C"/>
    <w:rsid w:val="00E66758"/>
    <w:rsid w:val="00E6724C"/>
    <w:rsid w:val="00E67A95"/>
    <w:rsid w:val="00E70F16"/>
    <w:rsid w:val="00E7155B"/>
    <w:rsid w:val="00E71571"/>
    <w:rsid w:val="00E71E6A"/>
    <w:rsid w:val="00E722CE"/>
    <w:rsid w:val="00E72C04"/>
    <w:rsid w:val="00E73243"/>
    <w:rsid w:val="00E73D4A"/>
    <w:rsid w:val="00E754A1"/>
    <w:rsid w:val="00E75E9D"/>
    <w:rsid w:val="00E76711"/>
    <w:rsid w:val="00E77715"/>
    <w:rsid w:val="00E80332"/>
    <w:rsid w:val="00E81F92"/>
    <w:rsid w:val="00E821EC"/>
    <w:rsid w:val="00E8268D"/>
    <w:rsid w:val="00E8400E"/>
    <w:rsid w:val="00E85086"/>
    <w:rsid w:val="00E853BB"/>
    <w:rsid w:val="00E8684B"/>
    <w:rsid w:val="00E90038"/>
    <w:rsid w:val="00E90674"/>
    <w:rsid w:val="00E90BAE"/>
    <w:rsid w:val="00E90EF9"/>
    <w:rsid w:val="00E93B22"/>
    <w:rsid w:val="00E946DD"/>
    <w:rsid w:val="00E947C9"/>
    <w:rsid w:val="00E95F3E"/>
    <w:rsid w:val="00E9622E"/>
    <w:rsid w:val="00E962BD"/>
    <w:rsid w:val="00E976EA"/>
    <w:rsid w:val="00EA0856"/>
    <w:rsid w:val="00EA2931"/>
    <w:rsid w:val="00EA2CF6"/>
    <w:rsid w:val="00EA3303"/>
    <w:rsid w:val="00EA547E"/>
    <w:rsid w:val="00EA62F1"/>
    <w:rsid w:val="00EA63E4"/>
    <w:rsid w:val="00EA6B62"/>
    <w:rsid w:val="00EB057A"/>
    <w:rsid w:val="00EB1687"/>
    <w:rsid w:val="00EB2333"/>
    <w:rsid w:val="00EB2F2F"/>
    <w:rsid w:val="00EC1093"/>
    <w:rsid w:val="00EC2C0B"/>
    <w:rsid w:val="00EC4642"/>
    <w:rsid w:val="00EC5140"/>
    <w:rsid w:val="00EC54D0"/>
    <w:rsid w:val="00EC5956"/>
    <w:rsid w:val="00EC59B1"/>
    <w:rsid w:val="00EC686F"/>
    <w:rsid w:val="00EC6C99"/>
    <w:rsid w:val="00EC7C0C"/>
    <w:rsid w:val="00ED019E"/>
    <w:rsid w:val="00ED3187"/>
    <w:rsid w:val="00ED3DF3"/>
    <w:rsid w:val="00ED417B"/>
    <w:rsid w:val="00ED580A"/>
    <w:rsid w:val="00ED5B02"/>
    <w:rsid w:val="00ED6380"/>
    <w:rsid w:val="00ED71F7"/>
    <w:rsid w:val="00EE047F"/>
    <w:rsid w:val="00EE0CDF"/>
    <w:rsid w:val="00EE1363"/>
    <w:rsid w:val="00EE1A8E"/>
    <w:rsid w:val="00EE59C5"/>
    <w:rsid w:val="00EE6542"/>
    <w:rsid w:val="00EE7126"/>
    <w:rsid w:val="00EE72CC"/>
    <w:rsid w:val="00EE7BA2"/>
    <w:rsid w:val="00EF04BC"/>
    <w:rsid w:val="00EF0906"/>
    <w:rsid w:val="00EF10E9"/>
    <w:rsid w:val="00EF2113"/>
    <w:rsid w:val="00EF22F8"/>
    <w:rsid w:val="00EF2A73"/>
    <w:rsid w:val="00EF2B09"/>
    <w:rsid w:val="00EF33D4"/>
    <w:rsid w:val="00EF3FC8"/>
    <w:rsid w:val="00EF56E1"/>
    <w:rsid w:val="00EF57F2"/>
    <w:rsid w:val="00EF5D67"/>
    <w:rsid w:val="00EF6118"/>
    <w:rsid w:val="00EF6393"/>
    <w:rsid w:val="00EF774D"/>
    <w:rsid w:val="00EF7867"/>
    <w:rsid w:val="00F025A1"/>
    <w:rsid w:val="00F03695"/>
    <w:rsid w:val="00F04A97"/>
    <w:rsid w:val="00F11715"/>
    <w:rsid w:val="00F11911"/>
    <w:rsid w:val="00F122C4"/>
    <w:rsid w:val="00F12D6F"/>
    <w:rsid w:val="00F134F8"/>
    <w:rsid w:val="00F13DA8"/>
    <w:rsid w:val="00F1568A"/>
    <w:rsid w:val="00F15A33"/>
    <w:rsid w:val="00F161BB"/>
    <w:rsid w:val="00F16A24"/>
    <w:rsid w:val="00F16BA1"/>
    <w:rsid w:val="00F16EA7"/>
    <w:rsid w:val="00F1710C"/>
    <w:rsid w:val="00F20712"/>
    <w:rsid w:val="00F20A82"/>
    <w:rsid w:val="00F2158F"/>
    <w:rsid w:val="00F21F88"/>
    <w:rsid w:val="00F2252F"/>
    <w:rsid w:val="00F24354"/>
    <w:rsid w:val="00F24536"/>
    <w:rsid w:val="00F2457F"/>
    <w:rsid w:val="00F249E2"/>
    <w:rsid w:val="00F24CFD"/>
    <w:rsid w:val="00F262A2"/>
    <w:rsid w:val="00F26FC1"/>
    <w:rsid w:val="00F27B85"/>
    <w:rsid w:val="00F30293"/>
    <w:rsid w:val="00F30296"/>
    <w:rsid w:val="00F30D30"/>
    <w:rsid w:val="00F32EDF"/>
    <w:rsid w:val="00F33350"/>
    <w:rsid w:val="00F33E20"/>
    <w:rsid w:val="00F348DE"/>
    <w:rsid w:val="00F34EA9"/>
    <w:rsid w:val="00F35660"/>
    <w:rsid w:val="00F356F1"/>
    <w:rsid w:val="00F36771"/>
    <w:rsid w:val="00F369F7"/>
    <w:rsid w:val="00F36D82"/>
    <w:rsid w:val="00F40386"/>
    <w:rsid w:val="00F40594"/>
    <w:rsid w:val="00F467A7"/>
    <w:rsid w:val="00F478A4"/>
    <w:rsid w:val="00F50B89"/>
    <w:rsid w:val="00F53F6A"/>
    <w:rsid w:val="00F54FFC"/>
    <w:rsid w:val="00F562D9"/>
    <w:rsid w:val="00F56449"/>
    <w:rsid w:val="00F5788A"/>
    <w:rsid w:val="00F57C68"/>
    <w:rsid w:val="00F60D61"/>
    <w:rsid w:val="00F60E74"/>
    <w:rsid w:val="00F612DC"/>
    <w:rsid w:val="00F6169E"/>
    <w:rsid w:val="00F62F67"/>
    <w:rsid w:val="00F635BC"/>
    <w:rsid w:val="00F63898"/>
    <w:rsid w:val="00F6469A"/>
    <w:rsid w:val="00F6524D"/>
    <w:rsid w:val="00F654F3"/>
    <w:rsid w:val="00F65F9D"/>
    <w:rsid w:val="00F666F1"/>
    <w:rsid w:val="00F67C8E"/>
    <w:rsid w:val="00F707A7"/>
    <w:rsid w:val="00F70CC3"/>
    <w:rsid w:val="00F717B3"/>
    <w:rsid w:val="00F7318D"/>
    <w:rsid w:val="00F7351D"/>
    <w:rsid w:val="00F74766"/>
    <w:rsid w:val="00F74CAC"/>
    <w:rsid w:val="00F74E22"/>
    <w:rsid w:val="00F7556A"/>
    <w:rsid w:val="00F75C54"/>
    <w:rsid w:val="00F77F6C"/>
    <w:rsid w:val="00F8040E"/>
    <w:rsid w:val="00F810DA"/>
    <w:rsid w:val="00F81609"/>
    <w:rsid w:val="00F83581"/>
    <w:rsid w:val="00F86455"/>
    <w:rsid w:val="00F87EB7"/>
    <w:rsid w:val="00F87EB9"/>
    <w:rsid w:val="00F91907"/>
    <w:rsid w:val="00F92558"/>
    <w:rsid w:val="00F92CAB"/>
    <w:rsid w:val="00F92DAE"/>
    <w:rsid w:val="00F94ABC"/>
    <w:rsid w:val="00F94DE7"/>
    <w:rsid w:val="00F94E2E"/>
    <w:rsid w:val="00F9645C"/>
    <w:rsid w:val="00F96E5B"/>
    <w:rsid w:val="00F97DA1"/>
    <w:rsid w:val="00FA0029"/>
    <w:rsid w:val="00FA03AE"/>
    <w:rsid w:val="00FA12AC"/>
    <w:rsid w:val="00FA14E0"/>
    <w:rsid w:val="00FA3358"/>
    <w:rsid w:val="00FA4755"/>
    <w:rsid w:val="00FA6C3D"/>
    <w:rsid w:val="00FA7A16"/>
    <w:rsid w:val="00FA7F86"/>
    <w:rsid w:val="00FB0BB5"/>
    <w:rsid w:val="00FB4962"/>
    <w:rsid w:val="00FB49A1"/>
    <w:rsid w:val="00FB53F4"/>
    <w:rsid w:val="00FB5546"/>
    <w:rsid w:val="00FB64C5"/>
    <w:rsid w:val="00FB6711"/>
    <w:rsid w:val="00FB6E7C"/>
    <w:rsid w:val="00FB7006"/>
    <w:rsid w:val="00FB7020"/>
    <w:rsid w:val="00FC105A"/>
    <w:rsid w:val="00FC1176"/>
    <w:rsid w:val="00FC2757"/>
    <w:rsid w:val="00FC2EA2"/>
    <w:rsid w:val="00FC31AA"/>
    <w:rsid w:val="00FC37E4"/>
    <w:rsid w:val="00FC3D02"/>
    <w:rsid w:val="00FC46CA"/>
    <w:rsid w:val="00FC476F"/>
    <w:rsid w:val="00FC4C09"/>
    <w:rsid w:val="00FC5429"/>
    <w:rsid w:val="00FC77D7"/>
    <w:rsid w:val="00FD404E"/>
    <w:rsid w:val="00FD4BE0"/>
    <w:rsid w:val="00FD5228"/>
    <w:rsid w:val="00FD56E8"/>
    <w:rsid w:val="00FD5E38"/>
    <w:rsid w:val="00FD611E"/>
    <w:rsid w:val="00FD7D2E"/>
    <w:rsid w:val="00FD7E84"/>
    <w:rsid w:val="00FE0886"/>
    <w:rsid w:val="00FE1113"/>
    <w:rsid w:val="00FE2C2A"/>
    <w:rsid w:val="00FE2F87"/>
    <w:rsid w:val="00FE4493"/>
    <w:rsid w:val="00FE4BEC"/>
    <w:rsid w:val="00FE51E5"/>
    <w:rsid w:val="00FE59A2"/>
    <w:rsid w:val="00FE6116"/>
    <w:rsid w:val="00FE7745"/>
    <w:rsid w:val="00FE7D75"/>
    <w:rsid w:val="00FF0CD5"/>
    <w:rsid w:val="00FF10D1"/>
    <w:rsid w:val="00FF2693"/>
    <w:rsid w:val="00FF2956"/>
    <w:rsid w:val="00FF31D9"/>
    <w:rsid w:val="00FF4109"/>
    <w:rsid w:val="00FF42D2"/>
    <w:rsid w:val="00FF4562"/>
    <w:rsid w:val="00FF5D38"/>
    <w:rsid w:val="00FF5E02"/>
    <w:rsid w:val="00FF69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AB7EBD"/>
  <w15:docId w15:val="{39083446-2D3D-4B05-9F14-149A68B7D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26C23"/>
  </w:style>
  <w:style w:type="paragraph" w:styleId="Nadpis1">
    <w:name w:val="heading 1"/>
    <w:basedOn w:val="Bezriadkovania"/>
    <w:next w:val="Bezriadkovania"/>
    <w:link w:val="Nadpis1Char"/>
    <w:uiPriority w:val="9"/>
    <w:qFormat/>
    <w:rsid w:val="00454528"/>
    <w:pPr>
      <w:keepNext/>
      <w:keepLines/>
      <w:spacing w:before="480"/>
      <w:outlineLvl w:val="0"/>
    </w:pPr>
    <w:rPr>
      <w:rFonts w:asciiTheme="majorHAnsi" w:eastAsiaTheme="majorEastAsia" w:hAnsiTheme="majorHAnsi" w:cstheme="majorBidi"/>
      <w:b/>
      <w:bCs/>
      <w:sz w:val="28"/>
      <w:szCs w:val="28"/>
    </w:rPr>
  </w:style>
  <w:style w:type="paragraph" w:styleId="Nadpis2">
    <w:name w:val="heading 2"/>
    <w:next w:val="Bezriadkovania"/>
    <w:link w:val="Nadpis2Char"/>
    <w:autoRedefine/>
    <w:uiPriority w:val="9"/>
    <w:unhideWhenUsed/>
    <w:qFormat/>
    <w:rsid w:val="001E1A57"/>
    <w:pPr>
      <w:numPr>
        <w:numId w:val="9"/>
      </w:numPr>
      <w:spacing w:after="0" w:line="240" w:lineRule="auto"/>
      <w:outlineLvl w:val="1"/>
    </w:pPr>
    <w:rPr>
      <w:rFonts w:asciiTheme="majorHAnsi" w:eastAsiaTheme="majorEastAsia" w:hAnsiTheme="majorHAnsi" w:cstheme="majorBidi"/>
      <w:b/>
      <w:bCs/>
      <w:u w:val="single"/>
    </w:rPr>
  </w:style>
  <w:style w:type="paragraph" w:styleId="Nadpis3">
    <w:name w:val="heading 3"/>
    <w:basedOn w:val="Bezriadkovania"/>
    <w:next w:val="Normlny"/>
    <w:link w:val="Nadpis3Char"/>
    <w:uiPriority w:val="9"/>
    <w:unhideWhenUsed/>
    <w:qFormat/>
    <w:rsid w:val="00D24317"/>
    <w:pPr>
      <w:outlineLvl w:val="2"/>
    </w:pPr>
    <w:rPr>
      <w:b/>
    </w:rPr>
  </w:style>
  <w:style w:type="paragraph" w:styleId="Nadpis4">
    <w:name w:val="heading 4"/>
    <w:basedOn w:val="Bezriadkovania"/>
    <w:next w:val="Normlny"/>
    <w:link w:val="Nadpis4Char"/>
    <w:uiPriority w:val="9"/>
    <w:unhideWhenUsed/>
    <w:qFormat/>
    <w:rsid w:val="00CF260D"/>
    <w:pPr>
      <w:numPr>
        <w:ilvl w:val="2"/>
        <w:numId w:val="3"/>
      </w:numPr>
      <w:ind w:left="0" w:firstLine="947"/>
      <w:outlineLvl w:val="3"/>
    </w:pPr>
    <w:rPr>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E05B1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05B18"/>
  </w:style>
  <w:style w:type="paragraph" w:styleId="Pta">
    <w:name w:val="footer"/>
    <w:basedOn w:val="Bezriadkovania"/>
    <w:link w:val="PtaChar"/>
    <w:uiPriority w:val="99"/>
    <w:unhideWhenUsed/>
    <w:rsid w:val="00E05B18"/>
    <w:pPr>
      <w:tabs>
        <w:tab w:val="center" w:pos="4536"/>
        <w:tab w:val="right" w:pos="9072"/>
      </w:tabs>
    </w:pPr>
  </w:style>
  <w:style w:type="character" w:customStyle="1" w:styleId="PtaChar">
    <w:name w:val="Päta Char"/>
    <w:basedOn w:val="Predvolenpsmoodseku"/>
    <w:link w:val="Pta"/>
    <w:uiPriority w:val="99"/>
    <w:rsid w:val="00A26C23"/>
  </w:style>
  <w:style w:type="paragraph" w:styleId="Textbubliny">
    <w:name w:val="Balloon Text"/>
    <w:basedOn w:val="Normlny"/>
    <w:link w:val="TextbublinyChar"/>
    <w:uiPriority w:val="99"/>
    <w:semiHidden/>
    <w:unhideWhenUsed/>
    <w:rsid w:val="00E05B18"/>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E05B18"/>
    <w:rPr>
      <w:rFonts w:ascii="Tahoma" w:hAnsi="Tahoma" w:cs="Tahoma"/>
      <w:sz w:val="16"/>
      <w:szCs w:val="16"/>
    </w:rPr>
  </w:style>
  <w:style w:type="paragraph" w:styleId="Bezriadkovania">
    <w:name w:val="No Spacing"/>
    <w:uiPriority w:val="1"/>
    <w:qFormat/>
    <w:rsid w:val="00A37AEB"/>
    <w:pPr>
      <w:spacing w:after="0" w:line="240" w:lineRule="auto"/>
    </w:pPr>
  </w:style>
  <w:style w:type="paragraph" w:styleId="Nzov">
    <w:name w:val="Title"/>
    <w:basedOn w:val="Bezriadkovania"/>
    <w:next w:val="Bezriadkovania"/>
    <w:link w:val="NzovChar"/>
    <w:uiPriority w:val="10"/>
    <w:qFormat/>
    <w:rsid w:val="00D71B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ovChar">
    <w:name w:val="Názov Char"/>
    <w:basedOn w:val="Predvolenpsmoodseku"/>
    <w:link w:val="Nzov"/>
    <w:uiPriority w:val="10"/>
    <w:rsid w:val="00567357"/>
    <w:rPr>
      <w:rFonts w:asciiTheme="majorHAnsi" w:eastAsiaTheme="majorEastAsia" w:hAnsiTheme="majorHAnsi" w:cstheme="majorBidi"/>
      <w:color w:val="17365D" w:themeColor="text2" w:themeShade="BF"/>
      <w:spacing w:val="5"/>
      <w:kern w:val="28"/>
      <w:sz w:val="52"/>
      <w:szCs w:val="52"/>
    </w:rPr>
  </w:style>
  <w:style w:type="character" w:customStyle="1" w:styleId="Nadpis1Char">
    <w:name w:val="Nadpis 1 Char"/>
    <w:basedOn w:val="Predvolenpsmoodseku"/>
    <w:link w:val="Nadpis1"/>
    <w:uiPriority w:val="9"/>
    <w:rsid w:val="00454528"/>
    <w:rPr>
      <w:rFonts w:asciiTheme="majorHAnsi" w:eastAsiaTheme="majorEastAsia" w:hAnsiTheme="majorHAnsi" w:cstheme="majorBidi"/>
      <w:b/>
      <w:bCs/>
      <w:sz w:val="28"/>
      <w:szCs w:val="28"/>
    </w:rPr>
  </w:style>
  <w:style w:type="character" w:customStyle="1" w:styleId="Nadpis2Char">
    <w:name w:val="Nadpis 2 Char"/>
    <w:basedOn w:val="Predvolenpsmoodseku"/>
    <w:link w:val="Nadpis2"/>
    <w:uiPriority w:val="9"/>
    <w:rsid w:val="001E1A57"/>
    <w:rPr>
      <w:rFonts w:asciiTheme="majorHAnsi" w:eastAsiaTheme="majorEastAsia" w:hAnsiTheme="majorHAnsi" w:cstheme="majorBidi"/>
      <w:b/>
      <w:bCs/>
      <w:u w:val="single"/>
    </w:rPr>
  </w:style>
  <w:style w:type="paragraph" w:styleId="Podtitul">
    <w:name w:val="Subtitle"/>
    <w:basedOn w:val="Bezriadkovania"/>
    <w:next w:val="Bezriadkovania"/>
    <w:link w:val="PodtitulChar"/>
    <w:uiPriority w:val="11"/>
    <w:qFormat/>
    <w:rsid w:val="0056735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Predvolenpsmoodseku"/>
    <w:link w:val="Podtitul"/>
    <w:uiPriority w:val="11"/>
    <w:rsid w:val="00567357"/>
    <w:rPr>
      <w:rFonts w:asciiTheme="majorHAnsi" w:eastAsiaTheme="majorEastAsia" w:hAnsiTheme="majorHAnsi" w:cstheme="majorBidi"/>
      <w:i/>
      <w:iCs/>
      <w:color w:val="4F81BD" w:themeColor="accent1"/>
      <w:spacing w:val="15"/>
      <w:sz w:val="24"/>
      <w:szCs w:val="24"/>
    </w:rPr>
  </w:style>
  <w:style w:type="paragraph" w:styleId="Zvraznencitcia">
    <w:name w:val="Intense Quote"/>
    <w:basedOn w:val="Bezriadkovania"/>
    <w:next w:val="Bezriadkovania"/>
    <w:link w:val="ZvraznencitciaChar"/>
    <w:uiPriority w:val="30"/>
    <w:qFormat/>
    <w:rsid w:val="00567357"/>
    <w:pPr>
      <w:pBdr>
        <w:bottom w:val="single" w:sz="4" w:space="4" w:color="4F81BD" w:themeColor="accent1"/>
      </w:pBdr>
      <w:spacing w:before="200" w:after="280"/>
      <w:ind w:left="936" w:right="936"/>
    </w:pPr>
    <w:rPr>
      <w:b/>
      <w:bCs/>
      <w:i/>
      <w:iCs/>
      <w:color w:val="4F81BD" w:themeColor="accent1"/>
    </w:rPr>
  </w:style>
  <w:style w:type="character" w:customStyle="1" w:styleId="ZvraznencitciaChar">
    <w:name w:val="Zvýraznená citácia Char"/>
    <w:basedOn w:val="Predvolenpsmoodseku"/>
    <w:link w:val="Zvraznencitcia"/>
    <w:uiPriority w:val="30"/>
    <w:rsid w:val="00567357"/>
    <w:rPr>
      <w:b/>
      <w:bCs/>
      <w:i/>
      <w:iCs/>
      <w:color w:val="4F81BD" w:themeColor="accent1"/>
    </w:rPr>
  </w:style>
  <w:style w:type="table" w:styleId="Mriekatabuky">
    <w:name w:val="Table Grid"/>
    <w:basedOn w:val="Normlnatabuka"/>
    <w:uiPriority w:val="59"/>
    <w:rsid w:val="00ED7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is">
    <w:name w:val="caption"/>
    <w:basedOn w:val="Bezriadkovania"/>
    <w:next w:val="Bezriadkovania"/>
    <w:uiPriority w:val="35"/>
    <w:unhideWhenUsed/>
    <w:qFormat/>
    <w:rsid w:val="00ED71F7"/>
    <w:rPr>
      <w:b/>
      <w:bCs/>
      <w:szCs w:val="18"/>
    </w:rPr>
  </w:style>
  <w:style w:type="paragraph" w:styleId="Citcia">
    <w:name w:val="Quote"/>
    <w:basedOn w:val="Bezriadkovania"/>
    <w:next w:val="Bezriadkovania"/>
    <w:link w:val="CitciaChar"/>
    <w:uiPriority w:val="29"/>
    <w:qFormat/>
    <w:rsid w:val="009C4FD6"/>
    <w:rPr>
      <w:i/>
      <w:iCs/>
      <w:color w:val="000000" w:themeColor="text1"/>
    </w:rPr>
  </w:style>
  <w:style w:type="character" w:customStyle="1" w:styleId="CitciaChar">
    <w:name w:val="Citácia Char"/>
    <w:basedOn w:val="Predvolenpsmoodseku"/>
    <w:link w:val="Citcia"/>
    <w:uiPriority w:val="29"/>
    <w:rsid w:val="009C4FD6"/>
    <w:rPr>
      <w:i/>
      <w:iCs/>
      <w:color w:val="000000" w:themeColor="text1"/>
    </w:rPr>
  </w:style>
  <w:style w:type="paragraph" w:styleId="Odsekzoznamu">
    <w:name w:val="List Paragraph"/>
    <w:basedOn w:val="Bezriadkovania"/>
    <w:uiPriority w:val="34"/>
    <w:qFormat/>
    <w:rsid w:val="009C4FD6"/>
    <w:pPr>
      <w:ind w:left="720"/>
      <w:contextualSpacing/>
    </w:pPr>
  </w:style>
  <w:style w:type="paragraph" w:styleId="Textpoznmkypodiarou">
    <w:name w:val="footnote text"/>
    <w:basedOn w:val="Bezriadkovania"/>
    <w:link w:val="TextpoznmkypodiarouChar"/>
    <w:semiHidden/>
    <w:unhideWhenUsed/>
    <w:rsid w:val="00A26C23"/>
    <w:rPr>
      <w:sz w:val="20"/>
      <w:szCs w:val="20"/>
    </w:rPr>
  </w:style>
  <w:style w:type="character" w:customStyle="1" w:styleId="TextpoznmkypodiarouChar">
    <w:name w:val="Text poznámky pod čiarou Char"/>
    <w:basedOn w:val="Predvolenpsmoodseku"/>
    <w:link w:val="Textpoznmkypodiarou"/>
    <w:uiPriority w:val="99"/>
    <w:semiHidden/>
    <w:rsid w:val="00A26C23"/>
    <w:rPr>
      <w:sz w:val="20"/>
      <w:szCs w:val="20"/>
    </w:rPr>
  </w:style>
  <w:style w:type="character" w:styleId="Odkaznakomentr">
    <w:name w:val="annotation reference"/>
    <w:basedOn w:val="Predvolenpsmoodseku"/>
    <w:uiPriority w:val="99"/>
    <w:unhideWhenUsed/>
    <w:rsid w:val="00CC291A"/>
    <w:rPr>
      <w:sz w:val="16"/>
      <w:szCs w:val="16"/>
    </w:rPr>
  </w:style>
  <w:style w:type="paragraph" w:styleId="Textkomentra">
    <w:name w:val="annotation text"/>
    <w:basedOn w:val="Normlny"/>
    <w:link w:val="TextkomentraChar"/>
    <w:uiPriority w:val="99"/>
    <w:unhideWhenUsed/>
    <w:rsid w:val="00CC291A"/>
    <w:pPr>
      <w:spacing w:line="240" w:lineRule="auto"/>
    </w:pPr>
    <w:rPr>
      <w:sz w:val="20"/>
      <w:szCs w:val="20"/>
    </w:rPr>
  </w:style>
  <w:style w:type="character" w:customStyle="1" w:styleId="TextkomentraChar">
    <w:name w:val="Text komentára Char"/>
    <w:basedOn w:val="Predvolenpsmoodseku"/>
    <w:link w:val="Textkomentra"/>
    <w:uiPriority w:val="99"/>
    <w:rsid w:val="00CC291A"/>
    <w:rPr>
      <w:sz w:val="20"/>
      <w:szCs w:val="20"/>
    </w:rPr>
  </w:style>
  <w:style w:type="paragraph" w:styleId="Predmetkomentra">
    <w:name w:val="annotation subject"/>
    <w:basedOn w:val="Textkomentra"/>
    <w:next w:val="Textkomentra"/>
    <w:link w:val="PredmetkomentraChar"/>
    <w:uiPriority w:val="99"/>
    <w:semiHidden/>
    <w:unhideWhenUsed/>
    <w:rsid w:val="00CC291A"/>
    <w:rPr>
      <w:b/>
      <w:bCs/>
    </w:rPr>
  </w:style>
  <w:style w:type="character" w:customStyle="1" w:styleId="PredmetkomentraChar">
    <w:name w:val="Predmet komentára Char"/>
    <w:basedOn w:val="TextkomentraChar"/>
    <w:link w:val="Predmetkomentra"/>
    <w:uiPriority w:val="99"/>
    <w:semiHidden/>
    <w:rsid w:val="00CC291A"/>
    <w:rPr>
      <w:b/>
      <w:bCs/>
      <w:sz w:val="20"/>
      <w:szCs w:val="20"/>
    </w:rPr>
  </w:style>
  <w:style w:type="paragraph" w:customStyle="1" w:styleId="Char1">
    <w:name w:val="Char1"/>
    <w:basedOn w:val="Normlny"/>
    <w:rsid w:val="00901473"/>
    <w:pPr>
      <w:spacing w:after="0" w:line="240" w:lineRule="auto"/>
    </w:pPr>
    <w:rPr>
      <w:rFonts w:ascii="Times New Roman" w:eastAsia="Times New Roman" w:hAnsi="Times New Roman" w:cs="Times New Roman"/>
      <w:sz w:val="24"/>
      <w:szCs w:val="24"/>
      <w:lang w:val="pl-PL" w:eastAsia="pl-PL"/>
    </w:rPr>
  </w:style>
  <w:style w:type="character" w:styleId="Hypertextovprepojenie">
    <w:name w:val="Hyperlink"/>
    <w:basedOn w:val="Predvolenpsmoodseku"/>
    <w:uiPriority w:val="99"/>
    <w:unhideWhenUsed/>
    <w:rsid w:val="00617D04"/>
    <w:rPr>
      <w:color w:val="0000FF" w:themeColor="hyperlink"/>
      <w:u w:val="single"/>
    </w:rPr>
  </w:style>
  <w:style w:type="table" w:styleId="Svetlpodfarbeniezvraznenie1">
    <w:name w:val="Light Shading Accent 1"/>
    <w:basedOn w:val="Normlnatabuka"/>
    <w:uiPriority w:val="60"/>
    <w:rsid w:val="00F53F6A"/>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PouitHypertextovPrepojenie">
    <w:name w:val="FollowedHyperlink"/>
    <w:basedOn w:val="Predvolenpsmoodseku"/>
    <w:uiPriority w:val="99"/>
    <w:semiHidden/>
    <w:unhideWhenUsed/>
    <w:rsid w:val="00AB4F90"/>
    <w:rPr>
      <w:color w:val="800080" w:themeColor="followedHyperlink"/>
      <w:u w:val="single"/>
    </w:rPr>
  </w:style>
  <w:style w:type="character" w:styleId="Odkaznapoznmkupodiarou">
    <w:name w:val="footnote reference"/>
    <w:basedOn w:val="Predvolenpsmoodseku"/>
    <w:uiPriority w:val="99"/>
    <w:semiHidden/>
    <w:unhideWhenUsed/>
    <w:rsid w:val="00F262A2"/>
    <w:rPr>
      <w:vertAlign w:val="superscript"/>
    </w:rPr>
  </w:style>
  <w:style w:type="character" w:styleId="Zvraznenie">
    <w:name w:val="Emphasis"/>
    <w:uiPriority w:val="20"/>
    <w:qFormat/>
    <w:rsid w:val="000F0ABF"/>
    <w:rPr>
      <w:b/>
      <w:u w:val="single"/>
    </w:rPr>
  </w:style>
  <w:style w:type="character" w:styleId="Jemnzvraznenie">
    <w:name w:val="Subtle Emphasis"/>
    <w:uiPriority w:val="19"/>
    <w:qFormat/>
    <w:rsid w:val="000F0ABF"/>
    <w:rPr>
      <w:b/>
    </w:rPr>
  </w:style>
  <w:style w:type="character" w:customStyle="1" w:styleId="Nadpis3Char">
    <w:name w:val="Nadpis 3 Char"/>
    <w:basedOn w:val="Predvolenpsmoodseku"/>
    <w:link w:val="Nadpis3"/>
    <w:uiPriority w:val="9"/>
    <w:rsid w:val="00D24317"/>
    <w:rPr>
      <w:b/>
    </w:rPr>
  </w:style>
  <w:style w:type="character" w:customStyle="1" w:styleId="Nadpis4Char">
    <w:name w:val="Nadpis 4 Char"/>
    <w:basedOn w:val="Predvolenpsmoodseku"/>
    <w:link w:val="Nadpis4"/>
    <w:uiPriority w:val="9"/>
    <w:rsid w:val="00CF260D"/>
    <w:rPr>
      <w:b/>
    </w:rPr>
  </w:style>
  <w:style w:type="paragraph" w:customStyle="1" w:styleId="Default">
    <w:name w:val="Default"/>
    <w:rsid w:val="00864D87"/>
    <w:pPr>
      <w:autoSpaceDE w:val="0"/>
      <w:autoSpaceDN w:val="0"/>
      <w:adjustRightInd w:val="0"/>
      <w:spacing w:after="0" w:line="240" w:lineRule="auto"/>
    </w:pPr>
    <w:rPr>
      <w:rFonts w:ascii="Myriad Pro" w:hAnsi="Myriad Pro" w:cs="Myriad Pro"/>
      <w:color w:val="000000"/>
      <w:sz w:val="24"/>
      <w:szCs w:val="24"/>
    </w:rPr>
  </w:style>
  <w:style w:type="paragraph" w:customStyle="1" w:styleId="Pa5">
    <w:name w:val="Pa5"/>
    <w:basedOn w:val="Default"/>
    <w:next w:val="Default"/>
    <w:uiPriority w:val="99"/>
    <w:rsid w:val="00864D87"/>
    <w:pPr>
      <w:spacing w:line="201" w:lineRule="atLeast"/>
    </w:pPr>
    <w:rPr>
      <w:rFonts w:cstheme="minorBidi"/>
      <w:color w:val="auto"/>
    </w:rPr>
  </w:style>
  <w:style w:type="paragraph" w:customStyle="1" w:styleId="Pa34">
    <w:name w:val="Pa34"/>
    <w:basedOn w:val="Default"/>
    <w:next w:val="Default"/>
    <w:uiPriority w:val="99"/>
    <w:rsid w:val="00864D87"/>
    <w:pPr>
      <w:spacing w:line="201" w:lineRule="atLeast"/>
    </w:pPr>
    <w:rPr>
      <w:rFonts w:cstheme="minorBidi"/>
      <w:color w:val="auto"/>
    </w:rPr>
  </w:style>
  <w:style w:type="paragraph" w:styleId="Revzia">
    <w:name w:val="Revision"/>
    <w:hidden/>
    <w:uiPriority w:val="99"/>
    <w:semiHidden/>
    <w:rsid w:val="0009058C"/>
    <w:pPr>
      <w:spacing w:after="0" w:line="240" w:lineRule="auto"/>
    </w:pPr>
  </w:style>
  <w:style w:type="character" w:customStyle="1" w:styleId="apple-converted-space">
    <w:name w:val="apple-converted-space"/>
    <w:basedOn w:val="Predvolenpsmoodseku"/>
    <w:rsid w:val="009F3F80"/>
  </w:style>
  <w:style w:type="character" w:styleId="Siln">
    <w:name w:val="Strong"/>
    <w:basedOn w:val="Predvolenpsmoodseku"/>
    <w:uiPriority w:val="22"/>
    <w:qFormat/>
    <w:rsid w:val="009F3F80"/>
    <w:rPr>
      <w:b/>
      <w:bCs/>
    </w:rPr>
  </w:style>
  <w:style w:type="character" w:customStyle="1" w:styleId="shorttext">
    <w:name w:val="short_text"/>
    <w:basedOn w:val="Predvolenpsmoodseku"/>
    <w:rsid w:val="00EC6C99"/>
  </w:style>
  <w:style w:type="paragraph" w:styleId="Textvysvetlivky">
    <w:name w:val="endnote text"/>
    <w:basedOn w:val="Normlny"/>
    <w:link w:val="TextvysvetlivkyChar"/>
    <w:uiPriority w:val="99"/>
    <w:semiHidden/>
    <w:unhideWhenUsed/>
    <w:rsid w:val="00EE047F"/>
    <w:pPr>
      <w:spacing w:after="0" w:line="240" w:lineRule="auto"/>
    </w:pPr>
    <w:rPr>
      <w:rFonts w:ascii="Calibri" w:hAnsi="Calibri" w:cs="Calibri"/>
      <w:sz w:val="20"/>
      <w:szCs w:val="20"/>
    </w:rPr>
  </w:style>
  <w:style w:type="character" w:customStyle="1" w:styleId="TextvysvetlivkyChar">
    <w:name w:val="Text vysvetlivky Char"/>
    <w:basedOn w:val="Predvolenpsmoodseku"/>
    <w:link w:val="Textvysvetlivky"/>
    <w:uiPriority w:val="99"/>
    <w:semiHidden/>
    <w:rsid w:val="00EE047F"/>
    <w:rPr>
      <w:rFonts w:ascii="Calibri" w:hAnsi="Calibri" w:cs="Calibri"/>
      <w:sz w:val="20"/>
      <w:szCs w:val="20"/>
    </w:rPr>
  </w:style>
  <w:style w:type="character" w:styleId="Odkaznavysvetlivku">
    <w:name w:val="endnote reference"/>
    <w:basedOn w:val="Predvolenpsmoodseku"/>
    <w:uiPriority w:val="99"/>
    <w:semiHidden/>
    <w:unhideWhenUsed/>
    <w:rsid w:val="00EE04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22523">
      <w:bodyDiv w:val="1"/>
      <w:marLeft w:val="0"/>
      <w:marRight w:val="0"/>
      <w:marTop w:val="0"/>
      <w:marBottom w:val="0"/>
      <w:divBdr>
        <w:top w:val="none" w:sz="0" w:space="0" w:color="auto"/>
        <w:left w:val="none" w:sz="0" w:space="0" w:color="auto"/>
        <w:bottom w:val="none" w:sz="0" w:space="0" w:color="auto"/>
        <w:right w:val="none" w:sz="0" w:space="0" w:color="auto"/>
      </w:divBdr>
    </w:div>
    <w:div w:id="74790089">
      <w:bodyDiv w:val="1"/>
      <w:marLeft w:val="0"/>
      <w:marRight w:val="0"/>
      <w:marTop w:val="0"/>
      <w:marBottom w:val="0"/>
      <w:divBdr>
        <w:top w:val="none" w:sz="0" w:space="0" w:color="auto"/>
        <w:left w:val="none" w:sz="0" w:space="0" w:color="auto"/>
        <w:bottom w:val="none" w:sz="0" w:space="0" w:color="auto"/>
        <w:right w:val="none" w:sz="0" w:space="0" w:color="auto"/>
      </w:divBdr>
    </w:div>
    <w:div w:id="89933211">
      <w:bodyDiv w:val="1"/>
      <w:marLeft w:val="0"/>
      <w:marRight w:val="0"/>
      <w:marTop w:val="0"/>
      <w:marBottom w:val="0"/>
      <w:divBdr>
        <w:top w:val="none" w:sz="0" w:space="0" w:color="auto"/>
        <w:left w:val="none" w:sz="0" w:space="0" w:color="auto"/>
        <w:bottom w:val="none" w:sz="0" w:space="0" w:color="auto"/>
        <w:right w:val="none" w:sz="0" w:space="0" w:color="auto"/>
      </w:divBdr>
    </w:div>
    <w:div w:id="131365614">
      <w:bodyDiv w:val="1"/>
      <w:marLeft w:val="0"/>
      <w:marRight w:val="0"/>
      <w:marTop w:val="0"/>
      <w:marBottom w:val="0"/>
      <w:divBdr>
        <w:top w:val="none" w:sz="0" w:space="0" w:color="auto"/>
        <w:left w:val="none" w:sz="0" w:space="0" w:color="auto"/>
        <w:bottom w:val="none" w:sz="0" w:space="0" w:color="auto"/>
        <w:right w:val="none" w:sz="0" w:space="0" w:color="auto"/>
      </w:divBdr>
    </w:div>
    <w:div w:id="159010485">
      <w:bodyDiv w:val="1"/>
      <w:marLeft w:val="0"/>
      <w:marRight w:val="0"/>
      <w:marTop w:val="0"/>
      <w:marBottom w:val="0"/>
      <w:divBdr>
        <w:top w:val="none" w:sz="0" w:space="0" w:color="auto"/>
        <w:left w:val="none" w:sz="0" w:space="0" w:color="auto"/>
        <w:bottom w:val="none" w:sz="0" w:space="0" w:color="auto"/>
        <w:right w:val="none" w:sz="0" w:space="0" w:color="auto"/>
      </w:divBdr>
    </w:div>
    <w:div w:id="183593386">
      <w:bodyDiv w:val="1"/>
      <w:marLeft w:val="0"/>
      <w:marRight w:val="0"/>
      <w:marTop w:val="0"/>
      <w:marBottom w:val="0"/>
      <w:divBdr>
        <w:top w:val="none" w:sz="0" w:space="0" w:color="auto"/>
        <w:left w:val="none" w:sz="0" w:space="0" w:color="auto"/>
        <w:bottom w:val="none" w:sz="0" w:space="0" w:color="auto"/>
        <w:right w:val="none" w:sz="0" w:space="0" w:color="auto"/>
      </w:divBdr>
    </w:div>
    <w:div w:id="226259470">
      <w:bodyDiv w:val="1"/>
      <w:marLeft w:val="0"/>
      <w:marRight w:val="0"/>
      <w:marTop w:val="0"/>
      <w:marBottom w:val="0"/>
      <w:divBdr>
        <w:top w:val="none" w:sz="0" w:space="0" w:color="auto"/>
        <w:left w:val="none" w:sz="0" w:space="0" w:color="auto"/>
        <w:bottom w:val="none" w:sz="0" w:space="0" w:color="auto"/>
        <w:right w:val="none" w:sz="0" w:space="0" w:color="auto"/>
      </w:divBdr>
    </w:div>
    <w:div w:id="228927475">
      <w:bodyDiv w:val="1"/>
      <w:marLeft w:val="0"/>
      <w:marRight w:val="0"/>
      <w:marTop w:val="0"/>
      <w:marBottom w:val="0"/>
      <w:divBdr>
        <w:top w:val="none" w:sz="0" w:space="0" w:color="auto"/>
        <w:left w:val="none" w:sz="0" w:space="0" w:color="auto"/>
        <w:bottom w:val="none" w:sz="0" w:space="0" w:color="auto"/>
        <w:right w:val="none" w:sz="0" w:space="0" w:color="auto"/>
      </w:divBdr>
    </w:div>
    <w:div w:id="328216068">
      <w:bodyDiv w:val="1"/>
      <w:marLeft w:val="0"/>
      <w:marRight w:val="0"/>
      <w:marTop w:val="0"/>
      <w:marBottom w:val="0"/>
      <w:divBdr>
        <w:top w:val="none" w:sz="0" w:space="0" w:color="auto"/>
        <w:left w:val="none" w:sz="0" w:space="0" w:color="auto"/>
        <w:bottom w:val="none" w:sz="0" w:space="0" w:color="auto"/>
        <w:right w:val="none" w:sz="0" w:space="0" w:color="auto"/>
      </w:divBdr>
    </w:div>
    <w:div w:id="363023058">
      <w:bodyDiv w:val="1"/>
      <w:marLeft w:val="0"/>
      <w:marRight w:val="0"/>
      <w:marTop w:val="0"/>
      <w:marBottom w:val="0"/>
      <w:divBdr>
        <w:top w:val="none" w:sz="0" w:space="0" w:color="auto"/>
        <w:left w:val="none" w:sz="0" w:space="0" w:color="auto"/>
        <w:bottom w:val="none" w:sz="0" w:space="0" w:color="auto"/>
        <w:right w:val="none" w:sz="0" w:space="0" w:color="auto"/>
      </w:divBdr>
    </w:div>
    <w:div w:id="385757711">
      <w:bodyDiv w:val="1"/>
      <w:marLeft w:val="0"/>
      <w:marRight w:val="0"/>
      <w:marTop w:val="0"/>
      <w:marBottom w:val="0"/>
      <w:divBdr>
        <w:top w:val="none" w:sz="0" w:space="0" w:color="auto"/>
        <w:left w:val="none" w:sz="0" w:space="0" w:color="auto"/>
        <w:bottom w:val="none" w:sz="0" w:space="0" w:color="auto"/>
        <w:right w:val="none" w:sz="0" w:space="0" w:color="auto"/>
      </w:divBdr>
    </w:div>
    <w:div w:id="422338236">
      <w:bodyDiv w:val="1"/>
      <w:marLeft w:val="0"/>
      <w:marRight w:val="0"/>
      <w:marTop w:val="0"/>
      <w:marBottom w:val="0"/>
      <w:divBdr>
        <w:top w:val="none" w:sz="0" w:space="0" w:color="auto"/>
        <w:left w:val="none" w:sz="0" w:space="0" w:color="auto"/>
        <w:bottom w:val="none" w:sz="0" w:space="0" w:color="auto"/>
        <w:right w:val="none" w:sz="0" w:space="0" w:color="auto"/>
      </w:divBdr>
    </w:div>
    <w:div w:id="511913276">
      <w:bodyDiv w:val="1"/>
      <w:marLeft w:val="0"/>
      <w:marRight w:val="0"/>
      <w:marTop w:val="0"/>
      <w:marBottom w:val="0"/>
      <w:divBdr>
        <w:top w:val="none" w:sz="0" w:space="0" w:color="auto"/>
        <w:left w:val="none" w:sz="0" w:space="0" w:color="auto"/>
        <w:bottom w:val="none" w:sz="0" w:space="0" w:color="auto"/>
        <w:right w:val="none" w:sz="0" w:space="0" w:color="auto"/>
      </w:divBdr>
    </w:div>
    <w:div w:id="523834480">
      <w:bodyDiv w:val="1"/>
      <w:marLeft w:val="0"/>
      <w:marRight w:val="0"/>
      <w:marTop w:val="0"/>
      <w:marBottom w:val="0"/>
      <w:divBdr>
        <w:top w:val="none" w:sz="0" w:space="0" w:color="auto"/>
        <w:left w:val="none" w:sz="0" w:space="0" w:color="auto"/>
        <w:bottom w:val="none" w:sz="0" w:space="0" w:color="auto"/>
        <w:right w:val="none" w:sz="0" w:space="0" w:color="auto"/>
      </w:divBdr>
    </w:div>
    <w:div w:id="546915016">
      <w:bodyDiv w:val="1"/>
      <w:marLeft w:val="0"/>
      <w:marRight w:val="0"/>
      <w:marTop w:val="0"/>
      <w:marBottom w:val="0"/>
      <w:divBdr>
        <w:top w:val="none" w:sz="0" w:space="0" w:color="auto"/>
        <w:left w:val="none" w:sz="0" w:space="0" w:color="auto"/>
        <w:bottom w:val="none" w:sz="0" w:space="0" w:color="auto"/>
        <w:right w:val="none" w:sz="0" w:space="0" w:color="auto"/>
      </w:divBdr>
    </w:div>
    <w:div w:id="562527775">
      <w:bodyDiv w:val="1"/>
      <w:marLeft w:val="0"/>
      <w:marRight w:val="0"/>
      <w:marTop w:val="0"/>
      <w:marBottom w:val="0"/>
      <w:divBdr>
        <w:top w:val="none" w:sz="0" w:space="0" w:color="auto"/>
        <w:left w:val="none" w:sz="0" w:space="0" w:color="auto"/>
        <w:bottom w:val="none" w:sz="0" w:space="0" w:color="auto"/>
        <w:right w:val="none" w:sz="0" w:space="0" w:color="auto"/>
      </w:divBdr>
    </w:div>
    <w:div w:id="709494461">
      <w:bodyDiv w:val="1"/>
      <w:marLeft w:val="0"/>
      <w:marRight w:val="0"/>
      <w:marTop w:val="0"/>
      <w:marBottom w:val="0"/>
      <w:divBdr>
        <w:top w:val="none" w:sz="0" w:space="0" w:color="auto"/>
        <w:left w:val="none" w:sz="0" w:space="0" w:color="auto"/>
        <w:bottom w:val="none" w:sz="0" w:space="0" w:color="auto"/>
        <w:right w:val="none" w:sz="0" w:space="0" w:color="auto"/>
      </w:divBdr>
    </w:div>
    <w:div w:id="723791754">
      <w:bodyDiv w:val="1"/>
      <w:marLeft w:val="0"/>
      <w:marRight w:val="0"/>
      <w:marTop w:val="0"/>
      <w:marBottom w:val="0"/>
      <w:divBdr>
        <w:top w:val="none" w:sz="0" w:space="0" w:color="auto"/>
        <w:left w:val="none" w:sz="0" w:space="0" w:color="auto"/>
        <w:bottom w:val="none" w:sz="0" w:space="0" w:color="auto"/>
        <w:right w:val="none" w:sz="0" w:space="0" w:color="auto"/>
      </w:divBdr>
    </w:div>
    <w:div w:id="731542697">
      <w:bodyDiv w:val="1"/>
      <w:marLeft w:val="0"/>
      <w:marRight w:val="0"/>
      <w:marTop w:val="0"/>
      <w:marBottom w:val="0"/>
      <w:divBdr>
        <w:top w:val="none" w:sz="0" w:space="0" w:color="auto"/>
        <w:left w:val="none" w:sz="0" w:space="0" w:color="auto"/>
        <w:bottom w:val="none" w:sz="0" w:space="0" w:color="auto"/>
        <w:right w:val="none" w:sz="0" w:space="0" w:color="auto"/>
      </w:divBdr>
    </w:div>
    <w:div w:id="794369471">
      <w:bodyDiv w:val="1"/>
      <w:marLeft w:val="0"/>
      <w:marRight w:val="0"/>
      <w:marTop w:val="0"/>
      <w:marBottom w:val="0"/>
      <w:divBdr>
        <w:top w:val="none" w:sz="0" w:space="0" w:color="auto"/>
        <w:left w:val="none" w:sz="0" w:space="0" w:color="auto"/>
        <w:bottom w:val="none" w:sz="0" w:space="0" w:color="auto"/>
        <w:right w:val="none" w:sz="0" w:space="0" w:color="auto"/>
      </w:divBdr>
    </w:div>
    <w:div w:id="831994743">
      <w:bodyDiv w:val="1"/>
      <w:marLeft w:val="0"/>
      <w:marRight w:val="0"/>
      <w:marTop w:val="0"/>
      <w:marBottom w:val="0"/>
      <w:divBdr>
        <w:top w:val="none" w:sz="0" w:space="0" w:color="auto"/>
        <w:left w:val="none" w:sz="0" w:space="0" w:color="auto"/>
        <w:bottom w:val="none" w:sz="0" w:space="0" w:color="auto"/>
        <w:right w:val="none" w:sz="0" w:space="0" w:color="auto"/>
      </w:divBdr>
    </w:div>
    <w:div w:id="907880632">
      <w:bodyDiv w:val="1"/>
      <w:marLeft w:val="0"/>
      <w:marRight w:val="0"/>
      <w:marTop w:val="0"/>
      <w:marBottom w:val="0"/>
      <w:divBdr>
        <w:top w:val="none" w:sz="0" w:space="0" w:color="auto"/>
        <w:left w:val="none" w:sz="0" w:space="0" w:color="auto"/>
        <w:bottom w:val="none" w:sz="0" w:space="0" w:color="auto"/>
        <w:right w:val="none" w:sz="0" w:space="0" w:color="auto"/>
      </w:divBdr>
    </w:div>
    <w:div w:id="944730542">
      <w:bodyDiv w:val="1"/>
      <w:marLeft w:val="0"/>
      <w:marRight w:val="0"/>
      <w:marTop w:val="0"/>
      <w:marBottom w:val="0"/>
      <w:divBdr>
        <w:top w:val="none" w:sz="0" w:space="0" w:color="auto"/>
        <w:left w:val="none" w:sz="0" w:space="0" w:color="auto"/>
        <w:bottom w:val="none" w:sz="0" w:space="0" w:color="auto"/>
        <w:right w:val="none" w:sz="0" w:space="0" w:color="auto"/>
      </w:divBdr>
    </w:div>
    <w:div w:id="1183931380">
      <w:bodyDiv w:val="1"/>
      <w:marLeft w:val="0"/>
      <w:marRight w:val="0"/>
      <w:marTop w:val="0"/>
      <w:marBottom w:val="0"/>
      <w:divBdr>
        <w:top w:val="none" w:sz="0" w:space="0" w:color="auto"/>
        <w:left w:val="none" w:sz="0" w:space="0" w:color="auto"/>
        <w:bottom w:val="none" w:sz="0" w:space="0" w:color="auto"/>
        <w:right w:val="none" w:sz="0" w:space="0" w:color="auto"/>
      </w:divBdr>
    </w:div>
    <w:div w:id="1188985882">
      <w:bodyDiv w:val="1"/>
      <w:marLeft w:val="0"/>
      <w:marRight w:val="0"/>
      <w:marTop w:val="0"/>
      <w:marBottom w:val="0"/>
      <w:divBdr>
        <w:top w:val="none" w:sz="0" w:space="0" w:color="auto"/>
        <w:left w:val="none" w:sz="0" w:space="0" w:color="auto"/>
        <w:bottom w:val="none" w:sz="0" w:space="0" w:color="auto"/>
        <w:right w:val="none" w:sz="0" w:space="0" w:color="auto"/>
      </w:divBdr>
    </w:div>
    <w:div w:id="1282305969">
      <w:bodyDiv w:val="1"/>
      <w:marLeft w:val="0"/>
      <w:marRight w:val="0"/>
      <w:marTop w:val="0"/>
      <w:marBottom w:val="0"/>
      <w:divBdr>
        <w:top w:val="none" w:sz="0" w:space="0" w:color="auto"/>
        <w:left w:val="none" w:sz="0" w:space="0" w:color="auto"/>
        <w:bottom w:val="none" w:sz="0" w:space="0" w:color="auto"/>
        <w:right w:val="none" w:sz="0" w:space="0" w:color="auto"/>
      </w:divBdr>
    </w:div>
    <w:div w:id="1291860916">
      <w:bodyDiv w:val="1"/>
      <w:marLeft w:val="0"/>
      <w:marRight w:val="0"/>
      <w:marTop w:val="0"/>
      <w:marBottom w:val="0"/>
      <w:divBdr>
        <w:top w:val="none" w:sz="0" w:space="0" w:color="auto"/>
        <w:left w:val="none" w:sz="0" w:space="0" w:color="auto"/>
        <w:bottom w:val="none" w:sz="0" w:space="0" w:color="auto"/>
        <w:right w:val="none" w:sz="0" w:space="0" w:color="auto"/>
      </w:divBdr>
    </w:div>
    <w:div w:id="1316181157">
      <w:bodyDiv w:val="1"/>
      <w:marLeft w:val="0"/>
      <w:marRight w:val="0"/>
      <w:marTop w:val="0"/>
      <w:marBottom w:val="0"/>
      <w:divBdr>
        <w:top w:val="none" w:sz="0" w:space="0" w:color="auto"/>
        <w:left w:val="none" w:sz="0" w:space="0" w:color="auto"/>
        <w:bottom w:val="none" w:sz="0" w:space="0" w:color="auto"/>
        <w:right w:val="none" w:sz="0" w:space="0" w:color="auto"/>
      </w:divBdr>
      <w:divsChild>
        <w:div w:id="1144276038">
          <w:marLeft w:val="180"/>
          <w:marRight w:val="0"/>
          <w:marTop w:val="120"/>
          <w:marBottom w:val="0"/>
          <w:divBdr>
            <w:top w:val="none" w:sz="0" w:space="0" w:color="auto"/>
            <w:left w:val="none" w:sz="0" w:space="0" w:color="auto"/>
            <w:bottom w:val="none" w:sz="0" w:space="0" w:color="auto"/>
            <w:right w:val="none" w:sz="0" w:space="0" w:color="auto"/>
          </w:divBdr>
        </w:div>
        <w:div w:id="1713379848">
          <w:marLeft w:val="0"/>
          <w:marRight w:val="0"/>
          <w:marTop w:val="0"/>
          <w:marBottom w:val="0"/>
          <w:divBdr>
            <w:top w:val="none" w:sz="0" w:space="0" w:color="auto"/>
            <w:left w:val="none" w:sz="0" w:space="0" w:color="auto"/>
            <w:bottom w:val="none" w:sz="0" w:space="0" w:color="auto"/>
            <w:right w:val="none" w:sz="0" w:space="0" w:color="auto"/>
          </w:divBdr>
          <w:divsChild>
            <w:div w:id="275064307">
              <w:marLeft w:val="0"/>
              <w:marRight w:val="0"/>
              <w:marTop w:val="0"/>
              <w:marBottom w:val="0"/>
              <w:divBdr>
                <w:top w:val="none" w:sz="0" w:space="0" w:color="auto"/>
                <w:left w:val="none" w:sz="0" w:space="0" w:color="auto"/>
                <w:bottom w:val="none" w:sz="0" w:space="0" w:color="auto"/>
                <w:right w:val="none" w:sz="0" w:space="0" w:color="auto"/>
              </w:divBdr>
              <w:divsChild>
                <w:div w:id="777531986">
                  <w:marLeft w:val="0"/>
                  <w:marRight w:val="0"/>
                  <w:marTop w:val="0"/>
                  <w:marBottom w:val="0"/>
                  <w:divBdr>
                    <w:top w:val="none" w:sz="0" w:space="0" w:color="auto"/>
                    <w:left w:val="none" w:sz="0" w:space="0" w:color="auto"/>
                    <w:bottom w:val="none" w:sz="0" w:space="0" w:color="auto"/>
                    <w:right w:val="none" w:sz="0" w:space="0" w:color="auto"/>
                  </w:divBdr>
                </w:div>
              </w:divsChild>
            </w:div>
            <w:div w:id="1916935518">
              <w:marLeft w:val="0"/>
              <w:marRight w:val="0"/>
              <w:marTop w:val="0"/>
              <w:marBottom w:val="0"/>
              <w:divBdr>
                <w:top w:val="none" w:sz="0" w:space="0" w:color="auto"/>
                <w:left w:val="none" w:sz="0" w:space="0" w:color="auto"/>
                <w:bottom w:val="none" w:sz="0" w:space="0" w:color="auto"/>
                <w:right w:val="none" w:sz="0" w:space="0" w:color="auto"/>
              </w:divBdr>
              <w:divsChild>
                <w:div w:id="1061249944">
                  <w:marLeft w:val="0"/>
                  <w:marRight w:val="0"/>
                  <w:marTop w:val="0"/>
                  <w:marBottom w:val="0"/>
                  <w:divBdr>
                    <w:top w:val="none" w:sz="0" w:space="0" w:color="auto"/>
                    <w:left w:val="none" w:sz="0" w:space="0" w:color="auto"/>
                    <w:bottom w:val="none" w:sz="0" w:space="0" w:color="auto"/>
                    <w:right w:val="none" w:sz="0" w:space="0" w:color="auto"/>
                  </w:divBdr>
                  <w:divsChild>
                    <w:div w:id="671369930">
                      <w:marLeft w:val="0"/>
                      <w:marRight w:val="0"/>
                      <w:marTop w:val="0"/>
                      <w:marBottom w:val="0"/>
                      <w:divBdr>
                        <w:top w:val="none" w:sz="0" w:space="0" w:color="auto"/>
                        <w:left w:val="none" w:sz="0" w:space="0" w:color="auto"/>
                        <w:bottom w:val="none" w:sz="0" w:space="0" w:color="auto"/>
                        <w:right w:val="none" w:sz="0" w:space="0" w:color="auto"/>
                      </w:divBdr>
                      <w:divsChild>
                        <w:div w:id="1649819947">
                          <w:marLeft w:val="0"/>
                          <w:marRight w:val="0"/>
                          <w:marTop w:val="0"/>
                          <w:marBottom w:val="0"/>
                          <w:divBdr>
                            <w:top w:val="none" w:sz="0" w:space="0" w:color="auto"/>
                            <w:left w:val="none" w:sz="0" w:space="0" w:color="auto"/>
                            <w:bottom w:val="none" w:sz="0" w:space="0" w:color="auto"/>
                            <w:right w:val="none" w:sz="0" w:space="0" w:color="auto"/>
                          </w:divBdr>
                          <w:divsChild>
                            <w:div w:id="410784178">
                              <w:marLeft w:val="0"/>
                              <w:marRight w:val="0"/>
                              <w:marTop w:val="0"/>
                              <w:marBottom w:val="0"/>
                              <w:divBdr>
                                <w:top w:val="none" w:sz="0" w:space="0" w:color="auto"/>
                                <w:left w:val="none" w:sz="0" w:space="0" w:color="auto"/>
                                <w:bottom w:val="none" w:sz="0" w:space="0" w:color="auto"/>
                                <w:right w:val="none" w:sz="0" w:space="0" w:color="auto"/>
                              </w:divBdr>
                              <w:divsChild>
                                <w:div w:id="320044745">
                                  <w:marLeft w:val="0"/>
                                  <w:marRight w:val="0"/>
                                  <w:marTop w:val="100"/>
                                  <w:marBottom w:val="0"/>
                                  <w:divBdr>
                                    <w:top w:val="none" w:sz="0" w:space="0" w:color="auto"/>
                                    <w:left w:val="none" w:sz="0" w:space="0" w:color="auto"/>
                                    <w:bottom w:val="none" w:sz="0" w:space="0" w:color="auto"/>
                                    <w:right w:val="none" w:sz="0" w:space="0" w:color="auto"/>
                                  </w:divBdr>
                                  <w:divsChild>
                                    <w:div w:id="448401189">
                                      <w:marLeft w:val="0"/>
                                      <w:marRight w:val="0"/>
                                      <w:marTop w:val="0"/>
                                      <w:marBottom w:val="0"/>
                                      <w:divBdr>
                                        <w:top w:val="none" w:sz="0" w:space="0" w:color="auto"/>
                                        <w:left w:val="none" w:sz="0" w:space="0" w:color="auto"/>
                                        <w:bottom w:val="none" w:sz="0" w:space="0" w:color="auto"/>
                                        <w:right w:val="none" w:sz="0" w:space="0" w:color="auto"/>
                                      </w:divBdr>
                                      <w:divsChild>
                                        <w:div w:id="1238904719">
                                          <w:marLeft w:val="0"/>
                                          <w:marRight w:val="0"/>
                                          <w:marTop w:val="0"/>
                                          <w:marBottom w:val="0"/>
                                          <w:divBdr>
                                            <w:top w:val="none" w:sz="0" w:space="0" w:color="auto"/>
                                            <w:left w:val="none" w:sz="0" w:space="0" w:color="auto"/>
                                            <w:bottom w:val="none" w:sz="0" w:space="0" w:color="auto"/>
                                            <w:right w:val="none" w:sz="0" w:space="0" w:color="auto"/>
                                          </w:divBdr>
                                          <w:divsChild>
                                            <w:div w:id="148054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041">
                                      <w:marLeft w:val="0"/>
                                      <w:marRight w:val="0"/>
                                      <w:marTop w:val="0"/>
                                      <w:marBottom w:val="0"/>
                                      <w:divBdr>
                                        <w:top w:val="none" w:sz="0" w:space="0" w:color="auto"/>
                                        <w:left w:val="none" w:sz="0" w:space="0" w:color="auto"/>
                                        <w:bottom w:val="none" w:sz="0" w:space="0" w:color="auto"/>
                                        <w:right w:val="none" w:sz="0" w:space="0" w:color="auto"/>
                                      </w:divBdr>
                                      <w:divsChild>
                                        <w:div w:id="540215426">
                                          <w:marLeft w:val="0"/>
                                          <w:marRight w:val="0"/>
                                          <w:marTop w:val="0"/>
                                          <w:marBottom w:val="0"/>
                                          <w:divBdr>
                                            <w:top w:val="none" w:sz="0" w:space="0" w:color="auto"/>
                                            <w:left w:val="none" w:sz="0" w:space="0" w:color="auto"/>
                                            <w:bottom w:val="none" w:sz="0" w:space="0" w:color="auto"/>
                                            <w:right w:val="none" w:sz="0" w:space="0" w:color="auto"/>
                                          </w:divBdr>
                                          <w:divsChild>
                                            <w:div w:id="1776901414">
                                              <w:marLeft w:val="0"/>
                                              <w:marRight w:val="0"/>
                                              <w:marTop w:val="0"/>
                                              <w:marBottom w:val="0"/>
                                              <w:divBdr>
                                                <w:top w:val="none" w:sz="0" w:space="0" w:color="auto"/>
                                                <w:left w:val="none" w:sz="0" w:space="0" w:color="auto"/>
                                                <w:bottom w:val="none" w:sz="0" w:space="0" w:color="auto"/>
                                                <w:right w:val="none" w:sz="0" w:space="0" w:color="auto"/>
                                              </w:divBdr>
                                              <w:divsChild>
                                                <w:div w:id="170624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554795">
                                      <w:marLeft w:val="0"/>
                                      <w:marRight w:val="0"/>
                                      <w:marTop w:val="0"/>
                                      <w:marBottom w:val="0"/>
                                      <w:divBdr>
                                        <w:top w:val="none" w:sz="0" w:space="0" w:color="auto"/>
                                        <w:left w:val="none" w:sz="0" w:space="0" w:color="auto"/>
                                        <w:bottom w:val="none" w:sz="0" w:space="0" w:color="auto"/>
                                        <w:right w:val="none" w:sz="0" w:space="0" w:color="auto"/>
                                      </w:divBdr>
                                      <w:divsChild>
                                        <w:div w:id="208221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9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9865279">
      <w:bodyDiv w:val="1"/>
      <w:marLeft w:val="0"/>
      <w:marRight w:val="0"/>
      <w:marTop w:val="0"/>
      <w:marBottom w:val="0"/>
      <w:divBdr>
        <w:top w:val="none" w:sz="0" w:space="0" w:color="auto"/>
        <w:left w:val="none" w:sz="0" w:space="0" w:color="auto"/>
        <w:bottom w:val="none" w:sz="0" w:space="0" w:color="auto"/>
        <w:right w:val="none" w:sz="0" w:space="0" w:color="auto"/>
      </w:divBdr>
    </w:div>
    <w:div w:id="1398480183">
      <w:bodyDiv w:val="1"/>
      <w:marLeft w:val="0"/>
      <w:marRight w:val="0"/>
      <w:marTop w:val="0"/>
      <w:marBottom w:val="0"/>
      <w:divBdr>
        <w:top w:val="none" w:sz="0" w:space="0" w:color="auto"/>
        <w:left w:val="none" w:sz="0" w:space="0" w:color="auto"/>
        <w:bottom w:val="none" w:sz="0" w:space="0" w:color="auto"/>
        <w:right w:val="none" w:sz="0" w:space="0" w:color="auto"/>
      </w:divBdr>
    </w:div>
    <w:div w:id="1478111510">
      <w:bodyDiv w:val="1"/>
      <w:marLeft w:val="0"/>
      <w:marRight w:val="0"/>
      <w:marTop w:val="0"/>
      <w:marBottom w:val="0"/>
      <w:divBdr>
        <w:top w:val="none" w:sz="0" w:space="0" w:color="auto"/>
        <w:left w:val="none" w:sz="0" w:space="0" w:color="auto"/>
        <w:bottom w:val="none" w:sz="0" w:space="0" w:color="auto"/>
        <w:right w:val="none" w:sz="0" w:space="0" w:color="auto"/>
      </w:divBdr>
    </w:div>
    <w:div w:id="1511725590">
      <w:bodyDiv w:val="1"/>
      <w:marLeft w:val="0"/>
      <w:marRight w:val="0"/>
      <w:marTop w:val="0"/>
      <w:marBottom w:val="0"/>
      <w:divBdr>
        <w:top w:val="none" w:sz="0" w:space="0" w:color="auto"/>
        <w:left w:val="none" w:sz="0" w:space="0" w:color="auto"/>
        <w:bottom w:val="none" w:sz="0" w:space="0" w:color="auto"/>
        <w:right w:val="none" w:sz="0" w:space="0" w:color="auto"/>
      </w:divBdr>
    </w:div>
    <w:div w:id="1525972944">
      <w:bodyDiv w:val="1"/>
      <w:marLeft w:val="0"/>
      <w:marRight w:val="0"/>
      <w:marTop w:val="0"/>
      <w:marBottom w:val="0"/>
      <w:divBdr>
        <w:top w:val="none" w:sz="0" w:space="0" w:color="auto"/>
        <w:left w:val="none" w:sz="0" w:space="0" w:color="auto"/>
        <w:bottom w:val="none" w:sz="0" w:space="0" w:color="auto"/>
        <w:right w:val="none" w:sz="0" w:space="0" w:color="auto"/>
      </w:divBdr>
    </w:div>
    <w:div w:id="1610043683">
      <w:bodyDiv w:val="1"/>
      <w:marLeft w:val="0"/>
      <w:marRight w:val="0"/>
      <w:marTop w:val="0"/>
      <w:marBottom w:val="0"/>
      <w:divBdr>
        <w:top w:val="none" w:sz="0" w:space="0" w:color="auto"/>
        <w:left w:val="none" w:sz="0" w:space="0" w:color="auto"/>
        <w:bottom w:val="none" w:sz="0" w:space="0" w:color="auto"/>
        <w:right w:val="none" w:sz="0" w:space="0" w:color="auto"/>
      </w:divBdr>
    </w:div>
    <w:div w:id="1642879809">
      <w:bodyDiv w:val="1"/>
      <w:marLeft w:val="0"/>
      <w:marRight w:val="0"/>
      <w:marTop w:val="0"/>
      <w:marBottom w:val="0"/>
      <w:divBdr>
        <w:top w:val="none" w:sz="0" w:space="0" w:color="auto"/>
        <w:left w:val="none" w:sz="0" w:space="0" w:color="auto"/>
        <w:bottom w:val="none" w:sz="0" w:space="0" w:color="auto"/>
        <w:right w:val="none" w:sz="0" w:space="0" w:color="auto"/>
      </w:divBdr>
    </w:div>
    <w:div w:id="1669477012">
      <w:bodyDiv w:val="1"/>
      <w:marLeft w:val="0"/>
      <w:marRight w:val="0"/>
      <w:marTop w:val="0"/>
      <w:marBottom w:val="0"/>
      <w:divBdr>
        <w:top w:val="none" w:sz="0" w:space="0" w:color="auto"/>
        <w:left w:val="none" w:sz="0" w:space="0" w:color="auto"/>
        <w:bottom w:val="none" w:sz="0" w:space="0" w:color="auto"/>
        <w:right w:val="none" w:sz="0" w:space="0" w:color="auto"/>
      </w:divBdr>
    </w:div>
    <w:div w:id="1709255321">
      <w:bodyDiv w:val="1"/>
      <w:marLeft w:val="0"/>
      <w:marRight w:val="0"/>
      <w:marTop w:val="0"/>
      <w:marBottom w:val="0"/>
      <w:divBdr>
        <w:top w:val="none" w:sz="0" w:space="0" w:color="auto"/>
        <w:left w:val="none" w:sz="0" w:space="0" w:color="auto"/>
        <w:bottom w:val="none" w:sz="0" w:space="0" w:color="auto"/>
        <w:right w:val="none" w:sz="0" w:space="0" w:color="auto"/>
      </w:divBdr>
    </w:div>
    <w:div w:id="1712261343">
      <w:bodyDiv w:val="1"/>
      <w:marLeft w:val="0"/>
      <w:marRight w:val="0"/>
      <w:marTop w:val="0"/>
      <w:marBottom w:val="0"/>
      <w:divBdr>
        <w:top w:val="none" w:sz="0" w:space="0" w:color="auto"/>
        <w:left w:val="none" w:sz="0" w:space="0" w:color="auto"/>
        <w:bottom w:val="none" w:sz="0" w:space="0" w:color="auto"/>
        <w:right w:val="none" w:sz="0" w:space="0" w:color="auto"/>
      </w:divBdr>
    </w:div>
    <w:div w:id="1740054491">
      <w:bodyDiv w:val="1"/>
      <w:marLeft w:val="0"/>
      <w:marRight w:val="0"/>
      <w:marTop w:val="0"/>
      <w:marBottom w:val="0"/>
      <w:divBdr>
        <w:top w:val="none" w:sz="0" w:space="0" w:color="auto"/>
        <w:left w:val="none" w:sz="0" w:space="0" w:color="auto"/>
        <w:bottom w:val="none" w:sz="0" w:space="0" w:color="auto"/>
        <w:right w:val="none" w:sz="0" w:space="0" w:color="auto"/>
      </w:divBdr>
    </w:div>
    <w:div w:id="1744252316">
      <w:bodyDiv w:val="1"/>
      <w:marLeft w:val="0"/>
      <w:marRight w:val="0"/>
      <w:marTop w:val="0"/>
      <w:marBottom w:val="0"/>
      <w:divBdr>
        <w:top w:val="none" w:sz="0" w:space="0" w:color="auto"/>
        <w:left w:val="none" w:sz="0" w:space="0" w:color="auto"/>
        <w:bottom w:val="none" w:sz="0" w:space="0" w:color="auto"/>
        <w:right w:val="none" w:sz="0" w:space="0" w:color="auto"/>
      </w:divBdr>
    </w:div>
    <w:div w:id="1753431540">
      <w:bodyDiv w:val="1"/>
      <w:marLeft w:val="0"/>
      <w:marRight w:val="0"/>
      <w:marTop w:val="0"/>
      <w:marBottom w:val="0"/>
      <w:divBdr>
        <w:top w:val="none" w:sz="0" w:space="0" w:color="auto"/>
        <w:left w:val="none" w:sz="0" w:space="0" w:color="auto"/>
        <w:bottom w:val="none" w:sz="0" w:space="0" w:color="auto"/>
        <w:right w:val="none" w:sz="0" w:space="0" w:color="auto"/>
      </w:divBdr>
    </w:div>
    <w:div w:id="1817724800">
      <w:bodyDiv w:val="1"/>
      <w:marLeft w:val="0"/>
      <w:marRight w:val="0"/>
      <w:marTop w:val="0"/>
      <w:marBottom w:val="0"/>
      <w:divBdr>
        <w:top w:val="none" w:sz="0" w:space="0" w:color="auto"/>
        <w:left w:val="none" w:sz="0" w:space="0" w:color="auto"/>
        <w:bottom w:val="none" w:sz="0" w:space="0" w:color="auto"/>
        <w:right w:val="none" w:sz="0" w:space="0" w:color="auto"/>
      </w:divBdr>
    </w:div>
    <w:div w:id="1845708577">
      <w:bodyDiv w:val="1"/>
      <w:marLeft w:val="0"/>
      <w:marRight w:val="0"/>
      <w:marTop w:val="0"/>
      <w:marBottom w:val="0"/>
      <w:divBdr>
        <w:top w:val="none" w:sz="0" w:space="0" w:color="auto"/>
        <w:left w:val="none" w:sz="0" w:space="0" w:color="auto"/>
        <w:bottom w:val="none" w:sz="0" w:space="0" w:color="auto"/>
        <w:right w:val="none" w:sz="0" w:space="0" w:color="auto"/>
      </w:divBdr>
    </w:div>
    <w:div w:id="1876457809">
      <w:bodyDiv w:val="1"/>
      <w:marLeft w:val="0"/>
      <w:marRight w:val="0"/>
      <w:marTop w:val="0"/>
      <w:marBottom w:val="0"/>
      <w:divBdr>
        <w:top w:val="none" w:sz="0" w:space="0" w:color="auto"/>
        <w:left w:val="none" w:sz="0" w:space="0" w:color="auto"/>
        <w:bottom w:val="none" w:sz="0" w:space="0" w:color="auto"/>
        <w:right w:val="none" w:sz="0" w:space="0" w:color="auto"/>
      </w:divBdr>
    </w:div>
    <w:div w:id="1915627580">
      <w:bodyDiv w:val="1"/>
      <w:marLeft w:val="0"/>
      <w:marRight w:val="0"/>
      <w:marTop w:val="0"/>
      <w:marBottom w:val="0"/>
      <w:divBdr>
        <w:top w:val="none" w:sz="0" w:space="0" w:color="auto"/>
        <w:left w:val="none" w:sz="0" w:space="0" w:color="auto"/>
        <w:bottom w:val="none" w:sz="0" w:space="0" w:color="auto"/>
        <w:right w:val="none" w:sz="0" w:space="0" w:color="auto"/>
      </w:divBdr>
    </w:div>
    <w:div w:id="1919747748">
      <w:bodyDiv w:val="1"/>
      <w:marLeft w:val="0"/>
      <w:marRight w:val="0"/>
      <w:marTop w:val="0"/>
      <w:marBottom w:val="0"/>
      <w:divBdr>
        <w:top w:val="none" w:sz="0" w:space="0" w:color="auto"/>
        <w:left w:val="none" w:sz="0" w:space="0" w:color="auto"/>
        <w:bottom w:val="none" w:sz="0" w:space="0" w:color="auto"/>
        <w:right w:val="none" w:sz="0" w:space="0" w:color="auto"/>
      </w:divBdr>
    </w:div>
    <w:div w:id="1938830999">
      <w:bodyDiv w:val="1"/>
      <w:marLeft w:val="0"/>
      <w:marRight w:val="0"/>
      <w:marTop w:val="0"/>
      <w:marBottom w:val="0"/>
      <w:divBdr>
        <w:top w:val="none" w:sz="0" w:space="0" w:color="auto"/>
        <w:left w:val="none" w:sz="0" w:space="0" w:color="auto"/>
        <w:bottom w:val="none" w:sz="0" w:space="0" w:color="auto"/>
        <w:right w:val="none" w:sz="0" w:space="0" w:color="auto"/>
      </w:divBdr>
    </w:div>
    <w:div w:id="2064673876">
      <w:bodyDiv w:val="1"/>
      <w:marLeft w:val="0"/>
      <w:marRight w:val="0"/>
      <w:marTop w:val="0"/>
      <w:marBottom w:val="0"/>
      <w:divBdr>
        <w:top w:val="none" w:sz="0" w:space="0" w:color="auto"/>
        <w:left w:val="none" w:sz="0" w:space="0" w:color="auto"/>
        <w:bottom w:val="none" w:sz="0" w:space="0" w:color="auto"/>
        <w:right w:val="none" w:sz="0" w:space="0" w:color="auto"/>
      </w:divBdr>
    </w:div>
    <w:div w:id="2073191756">
      <w:bodyDiv w:val="1"/>
      <w:marLeft w:val="0"/>
      <w:marRight w:val="0"/>
      <w:marTop w:val="0"/>
      <w:marBottom w:val="0"/>
      <w:divBdr>
        <w:top w:val="none" w:sz="0" w:space="0" w:color="auto"/>
        <w:left w:val="none" w:sz="0" w:space="0" w:color="auto"/>
        <w:bottom w:val="none" w:sz="0" w:space="0" w:color="auto"/>
        <w:right w:val="none" w:sz="0" w:space="0" w:color="auto"/>
      </w:divBdr>
    </w:div>
    <w:div w:id="2091655367">
      <w:bodyDiv w:val="1"/>
      <w:marLeft w:val="0"/>
      <w:marRight w:val="0"/>
      <w:marTop w:val="0"/>
      <w:marBottom w:val="0"/>
      <w:divBdr>
        <w:top w:val="none" w:sz="0" w:space="0" w:color="auto"/>
        <w:left w:val="none" w:sz="0" w:space="0" w:color="auto"/>
        <w:bottom w:val="none" w:sz="0" w:space="0" w:color="auto"/>
        <w:right w:val="none" w:sz="0" w:space="0" w:color="auto"/>
      </w:divBdr>
    </w:div>
    <w:div w:id="2094423705">
      <w:bodyDiv w:val="1"/>
      <w:marLeft w:val="0"/>
      <w:marRight w:val="0"/>
      <w:marTop w:val="0"/>
      <w:marBottom w:val="0"/>
      <w:divBdr>
        <w:top w:val="none" w:sz="0" w:space="0" w:color="auto"/>
        <w:left w:val="none" w:sz="0" w:space="0" w:color="auto"/>
        <w:bottom w:val="none" w:sz="0" w:space="0" w:color="auto"/>
        <w:right w:val="none" w:sz="0" w:space="0" w:color="auto"/>
      </w:divBdr>
    </w:div>
    <w:div w:id="211111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vo.gov.sk/extdoc/2641/Metodika%20zad%C3%A1vania%20z%C3%A1kaziek%20-%204_verzia" TargetMode="External"/><Relationship Id="rId18" Type="http://schemas.openxmlformats.org/officeDocument/2006/relationships/hyperlink" Target="https://www.uvo.gov.sk/legislativametodika-dohlad/metodika-zadavania-zakaziek-5ae.html" TargetMode="External"/><Relationship Id="rId26" Type="http://schemas.openxmlformats.org/officeDocument/2006/relationships/hyperlink" Target="https://www.uvo.gov.sk/legislativametodika-dohlad/metodika-zadavania-zakaziek-5ae.html" TargetMode="External"/><Relationship Id="rId21" Type="http://schemas.openxmlformats.org/officeDocument/2006/relationships/hyperlink" Target="https://www.uvo.gov.sk/korupcia-61c.html" TargetMode="External"/><Relationship Id="rId34" Type="http://schemas.openxmlformats.org/officeDocument/2006/relationships/image" Target="media/image1.emf"/><Relationship Id="rId7" Type="http://schemas.openxmlformats.org/officeDocument/2006/relationships/settings" Target="settings.xml"/><Relationship Id="rId12" Type="http://schemas.openxmlformats.org/officeDocument/2006/relationships/hyperlink" Target="https://www.uvo.gov.sk/extdoc/2972/Najcastejsie_porusenia_zakona_o_VO_I" TargetMode="External"/><Relationship Id="rId17" Type="http://schemas.openxmlformats.org/officeDocument/2006/relationships/hyperlink" Target="https://www.partnerskadohoda.gov.sk/metodicke-pokyny-cko-a-uv-sr/" TargetMode="External"/><Relationship Id="rId25" Type="http://schemas.openxmlformats.org/officeDocument/2006/relationships/hyperlink" Target="http://www.sazp.sk" TargetMode="External"/><Relationship Id="rId33" Type="http://schemas.openxmlformats.org/officeDocument/2006/relationships/hyperlink" Target="https://ec.europa.eu/environment/gpp/pdf/Buying-Green-Handbook-3rd-Edition.pdf"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partnerskadohoda.gov.sk" TargetMode="External"/><Relationship Id="rId20" Type="http://schemas.openxmlformats.org/officeDocument/2006/relationships/hyperlink" Target="https://www.uvo.gov.sk/legislativametodika-dohlad/metodicke-usmernenia/metodicke-usmernenia-zakon-c-3432015-z-z-51b.html?text=&amp;organizacia=&amp;cisloSpisu=&amp;popis=%C2%B6graf=23&amp;month=&amp;year=&amp;ext=1&amp;sort=datum&amp;sort-dir=DESC" TargetMode="External"/><Relationship Id="rId29" Type="http://schemas.openxmlformats.org/officeDocument/2006/relationships/hyperlink" Target="https://rokovania.gov.sk/RVL/Material/24547/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vo.gov.sk/extdoc/2452/analyza_najcastejsich_poruseni_vo_verejnom_obstaravani" TargetMode="External"/><Relationship Id="rId24" Type="http://schemas.openxmlformats.org/officeDocument/2006/relationships/hyperlink" Target="https://www.uvo.gov.sk/app/Lists/file/row/1442/col/col_0" TargetMode="External"/><Relationship Id="rId32" Type="http://schemas.openxmlformats.org/officeDocument/2006/relationships/hyperlink" Target="http://www.sazp.sk"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uvo.gov.sk/legislativametodika-dohlad/spravne-delikty/prehlad-rozhodnuti-o-ulozeni-pokuty-pre-verejneho-obstaravatela-a-obstaravatela-49b.html" TargetMode="External"/><Relationship Id="rId23" Type="http://schemas.openxmlformats.org/officeDocument/2006/relationships/hyperlink" Target="https://www.uvo.gov.sk/legislativametodika-dohlad/vykladove-stanoviska-uradu/prehlad-vykladovych-stanovisk/prehlad-vykladovych-stanovisk-uradu-zakon-c-3432015-z-z-57f.html" TargetMode="External"/><Relationship Id="rId28" Type="http://schemas.openxmlformats.org/officeDocument/2006/relationships/hyperlink" Target="https://rokovania.gov.sk/RVL/Material/24227/1"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uvo.gov.sk/extdoc/2772/Konflikt%20z%C3%A1ujmov" TargetMode="External"/><Relationship Id="rId31" Type="http://schemas.openxmlformats.org/officeDocument/2006/relationships/hyperlink" Target="https://rokovania.gov.sk/RVL/Material/25614/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vo.gov.sk/legislativametodika-dohlad/zakon-o-verejnom-obstaravani-c-3432015-z-z-4f8.html" TargetMode="External"/><Relationship Id="rId22" Type="http://schemas.openxmlformats.org/officeDocument/2006/relationships/hyperlink" Target="https://www.partnerskadohoda.gov.sk/metodicke-pokyny-cko-a-uv-sr/" TargetMode="External"/><Relationship Id="rId27" Type="http://schemas.openxmlformats.org/officeDocument/2006/relationships/hyperlink" Target="https://rokovania.gov.sk/RVL/Material/21622/1" TargetMode="External"/><Relationship Id="rId30" Type="http://schemas.openxmlformats.org/officeDocument/2006/relationships/hyperlink" Target="https://rokovania.gov.sk/RVL/Material/23592/1"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8821C7474277134D9B49288BABCA5DAF" ma:contentTypeVersion="0" ma:contentTypeDescription="Create a new document in this library." ma:contentTypeScope="" ma:versionID="f53125d8e30d1a0cbec189947d84d045">
  <xsd:schema xmlns:xsd="http://www.w3.org/2001/XMLSchema" xmlns:xs="http://www.w3.org/2001/XMLSchema" xmlns:p="http://schemas.microsoft.com/office/2006/metadata/properties" xmlns:ns2="http://schemas.microsoft.com/sharepoint/v3/fields" xmlns:ns3="DA4E63D2-C6A0-48C5-BDB5-3AB3E08F37BA" targetNamespace="http://schemas.microsoft.com/office/2006/metadata/properties" ma:root="true" ma:fieldsID="06a18bfa5562c11ce1512a697d88584c" ns2:_="" ns3:_="">
    <xsd:import namespace="http://schemas.microsoft.com/sharepoint/v3/fields"/>
    <xsd:import namespace="DA4E63D2-C6A0-48C5-BDB5-3AB3E08F37BA"/>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DA4E63D2-C6A0-48C5-BDB5-3AB3E08F37BA"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C_Collab_DocumentLanguage xmlns="DA4E63D2-C6A0-48C5-BDB5-3AB3E08F37BA">EN</EC_Collab_DocumentLanguage>
    <_Status xmlns="http://schemas.microsoft.com/sharepoint/v3/fields">Not Started</_Status>
    <EC_Collab_Status xmlns="DA4E63D2-C6A0-48C5-BDB5-3AB3E08F37BA">Not Started</EC_Collab_Status>
    <EC_Collab_Reference xmlns="DA4E63D2-C6A0-48C5-BDB5-3AB3E08F37B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73A97-BAC9-4528-933A-C675FEA011C4}">
  <ds:schemaRefs>
    <ds:schemaRef ds:uri="http://schemas.microsoft.com/sharepoint/v3/contenttype/forms"/>
  </ds:schemaRefs>
</ds:datastoreItem>
</file>

<file path=customXml/itemProps2.xml><?xml version="1.0" encoding="utf-8"?>
<ds:datastoreItem xmlns:ds="http://schemas.openxmlformats.org/officeDocument/2006/customXml" ds:itemID="{A4E8FFDC-5796-48A0-8C8F-FE9A491260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DA4E63D2-C6A0-48C5-BDB5-3AB3E08F37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7A79E7-2813-459F-AC71-1FFBD3A3CBB0}">
  <ds:schemaRefs>
    <ds:schemaRef ds:uri="http://schemas.microsoft.com/office/2006/metadata/properties"/>
    <ds:schemaRef ds:uri="http://schemas.microsoft.com/office/infopath/2007/PartnerControls"/>
    <ds:schemaRef ds:uri="DA4E63D2-C6A0-48C5-BDB5-3AB3E08F37BA"/>
    <ds:schemaRef ds:uri="http://schemas.microsoft.com/sharepoint/v3/fields"/>
  </ds:schemaRefs>
</ds:datastoreItem>
</file>

<file path=customXml/itemProps4.xml><?xml version="1.0" encoding="utf-8"?>
<ds:datastoreItem xmlns:ds="http://schemas.openxmlformats.org/officeDocument/2006/customXml" ds:itemID="{88C67E87-3CFC-446F-9B14-BE0450114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29</Pages>
  <Words>8473</Words>
  <Characters>48300</Characters>
  <Application>Microsoft Office Word</Application>
  <DocSecurity>0</DocSecurity>
  <Lines>402</Lines>
  <Paragraphs>113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Monitoring report template</vt:lpstr>
      <vt:lpstr>Monitoring report template</vt:lpstr>
    </vt:vector>
  </TitlesOfParts>
  <Company>European Commission</Company>
  <LinksUpToDate>false</LinksUpToDate>
  <CharactersWithSpaces>56660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Monitoring report template</dc:title>
  <dc:subject/>
  <dc:creator>HERCHER Jachym (GROW)</dc:creator>
  <cp:keywords/>
  <dc:description/>
  <cp:lastModifiedBy>Sobinovsky Jozef</cp:lastModifiedBy>
  <cp:revision>12</cp:revision>
  <cp:lastPrinted>2019-12-09T08:50:00Z</cp:lastPrinted>
  <dcterms:created xsi:type="dcterms:W3CDTF">2021-05-03T09:19:00Z</dcterms:created>
  <dcterms:modified xsi:type="dcterms:W3CDTF">2021-05-03T13:42:00Z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0x010100258AA79CEB83498886A3A08681123250008821C7474277134D9B49288BABCA5DAF</vt:lpwstr>
  </property>
  <property fmtid="{D5CDD505-2E9C-101B-9397-08002B2CF9AE}" pid="3" name="IsMyDocuments">
    <vt:bool>true</vt:bool>
  </property>
</Properties>
</file>