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BA" w:rsidRDefault="0096528C" w:rsidP="0096528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28DB034-033A-4CA9-B9BA-05BD1019726E" style="width:450.6pt;height:361.25pt">
            <v:imagedata r:id="rId9" o:title=""/>
          </v:shape>
        </w:pict>
      </w:r>
    </w:p>
    <w:bookmarkEnd w:id="0"/>
    <w:p w:rsidR="00474DBA" w:rsidRDefault="00474DBA">
      <w:pPr>
        <w:rPr>
          <w:noProof/>
        </w:rPr>
        <w:sectPr w:rsidR="00474DBA" w:rsidSect="0096528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74DBA" w:rsidRDefault="00474DBA">
      <w:pPr>
        <w:pStyle w:val="Pagedecouverture"/>
        <w:rPr>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rPr>
          <w:rFonts w:ascii="Times New Roman" w:hAnsi="Times New Roman" w:cs="Times New Roman"/>
          <w:b/>
          <w:noProof/>
          <w:szCs w:val="24"/>
        </w:rPr>
      </w:pPr>
    </w:p>
    <w:p w:rsidR="00474DBA" w:rsidRDefault="00474DBA">
      <w:pPr>
        <w:spacing w:after="0"/>
        <w:jc w:val="right"/>
        <w:rPr>
          <w:rFonts w:ascii="Times New Roman" w:hAnsi="Times New Roman" w:cs="Times New Roman"/>
          <w:b/>
          <w:noProof/>
          <w:szCs w:val="24"/>
        </w:rPr>
      </w:pPr>
    </w:p>
    <w:p w:rsidR="00474DBA" w:rsidRDefault="0096528C">
      <w:pPr>
        <w:spacing w:after="0"/>
        <w:jc w:val="right"/>
        <w:rPr>
          <w:rFonts w:ascii="Times New Roman" w:hAnsi="Times New Roman" w:cs="Times New Roman"/>
          <w:i/>
          <w:noProof/>
          <w:sz w:val="28"/>
          <w:szCs w:val="24"/>
        </w:rPr>
      </w:pPr>
      <w:r>
        <w:rPr>
          <w:rFonts w:ascii="Times New Roman" w:hAnsi="Times New Roman"/>
          <w:i/>
          <w:noProof/>
          <w:sz w:val="28"/>
        </w:rPr>
        <w:t>„Моето желание е Европа да бъде лидер в борбата с</w:t>
      </w:r>
    </w:p>
    <w:p w:rsidR="00474DBA" w:rsidRDefault="0096528C">
      <w:pPr>
        <w:jc w:val="right"/>
        <w:rPr>
          <w:rFonts w:ascii="Times New Roman" w:hAnsi="Times New Roman" w:cs="Times New Roman"/>
          <w:i/>
          <w:noProof/>
          <w:sz w:val="28"/>
          <w:szCs w:val="24"/>
        </w:rPr>
      </w:pPr>
      <w:r>
        <w:rPr>
          <w:rFonts w:ascii="Times New Roman" w:hAnsi="Times New Roman"/>
          <w:i/>
          <w:noProof/>
          <w:sz w:val="28"/>
        </w:rPr>
        <w:t>изменението на климата.</w:t>
      </w:r>
    </w:p>
    <w:p w:rsidR="00474DBA" w:rsidRDefault="0096528C">
      <w:pPr>
        <w:jc w:val="right"/>
        <w:rPr>
          <w:rFonts w:ascii="Times New Roman" w:hAnsi="Times New Roman" w:cs="Times New Roman"/>
          <w:i/>
          <w:noProof/>
          <w:sz w:val="28"/>
          <w:szCs w:val="24"/>
        </w:rPr>
      </w:pPr>
      <w:r>
        <w:rPr>
          <w:rFonts w:ascii="Times New Roman" w:hAnsi="Times New Roman"/>
          <w:i/>
          <w:noProof/>
          <w:sz w:val="28"/>
        </w:rPr>
        <w:t xml:space="preserve">Комисията иска нашата промишленост да стане по-силна и </w:t>
      </w:r>
      <w:r>
        <w:rPr>
          <w:rFonts w:ascii="Times New Roman" w:hAnsi="Times New Roman"/>
          <w:i/>
          <w:noProof/>
          <w:sz w:val="28"/>
        </w:rPr>
        <w:t>по-конкурентоспособна.</w:t>
      </w:r>
    </w:p>
    <w:p w:rsidR="00474DBA" w:rsidRDefault="0096528C">
      <w:pPr>
        <w:jc w:val="right"/>
        <w:rPr>
          <w:rFonts w:ascii="Times New Roman" w:hAnsi="Times New Roman" w:cs="Times New Roman"/>
          <w:i/>
          <w:noProof/>
          <w:sz w:val="28"/>
          <w:szCs w:val="24"/>
        </w:rPr>
      </w:pPr>
      <w:r>
        <w:rPr>
          <w:rFonts w:ascii="Times New Roman" w:hAnsi="Times New Roman"/>
          <w:i/>
          <w:noProof/>
          <w:sz w:val="28"/>
        </w:rPr>
        <w:t>Призовавам сектора на автомобилостроенето да реши проблемите по подходящ начин. Вместо да търсят вратички, те би трябвало да инвестират в екологично чисти превозни средства на бъдещето.</w:t>
      </w:r>
    </w:p>
    <w:p w:rsidR="00474DBA" w:rsidRDefault="0096528C">
      <w:pPr>
        <w:jc w:val="right"/>
        <w:rPr>
          <w:rFonts w:ascii="Times New Roman" w:hAnsi="Times New Roman" w:cs="Times New Roman"/>
          <w:i/>
          <w:noProof/>
          <w:sz w:val="28"/>
          <w:szCs w:val="24"/>
        </w:rPr>
      </w:pPr>
      <w:r>
        <w:rPr>
          <w:rFonts w:ascii="Times New Roman" w:hAnsi="Times New Roman"/>
          <w:i/>
          <w:noProof/>
          <w:sz w:val="28"/>
        </w:rPr>
        <w:t>Скоро Комисията ще представи предложения за нам</w:t>
      </w:r>
      <w:r>
        <w:rPr>
          <w:rFonts w:ascii="Times New Roman" w:hAnsi="Times New Roman"/>
          <w:i/>
          <w:noProof/>
          <w:sz w:val="28"/>
        </w:rPr>
        <w:t>аляване на въглеродните емисии в транспортния ни сектор.“</w:t>
      </w:r>
    </w:p>
    <w:p w:rsidR="00474DBA" w:rsidRDefault="00474DBA">
      <w:pPr>
        <w:jc w:val="right"/>
        <w:rPr>
          <w:rFonts w:ascii="Times New Roman" w:hAnsi="Times New Roman" w:cs="Times New Roman"/>
          <w:i/>
          <w:noProof/>
          <w:sz w:val="32"/>
          <w:szCs w:val="24"/>
        </w:rPr>
      </w:pPr>
    </w:p>
    <w:p w:rsidR="00474DBA" w:rsidRDefault="0096528C">
      <w:pPr>
        <w:spacing w:after="0"/>
        <w:jc w:val="right"/>
        <w:rPr>
          <w:rFonts w:ascii="Times New Roman" w:hAnsi="Times New Roman" w:cs="Times New Roman"/>
          <w:noProof/>
          <w:sz w:val="24"/>
          <w:szCs w:val="24"/>
        </w:rPr>
      </w:pPr>
      <w:r>
        <w:rPr>
          <w:rFonts w:ascii="Times New Roman" w:hAnsi="Times New Roman"/>
          <w:noProof/>
          <w:sz w:val="24"/>
        </w:rPr>
        <w:t xml:space="preserve">Председателят Жан-Клод Юнкер, </w:t>
      </w:r>
    </w:p>
    <w:p w:rsidR="00474DBA" w:rsidRDefault="0096528C">
      <w:pPr>
        <w:jc w:val="right"/>
        <w:rPr>
          <w:rFonts w:ascii="Times New Roman" w:hAnsi="Times New Roman" w:cs="Times New Roman"/>
          <w:noProof/>
          <w:sz w:val="24"/>
          <w:szCs w:val="24"/>
        </w:rPr>
      </w:pPr>
      <w:r>
        <w:rPr>
          <w:rFonts w:ascii="Times New Roman" w:hAnsi="Times New Roman"/>
          <w:noProof/>
          <w:sz w:val="24"/>
        </w:rPr>
        <w:t>Реч за състоянието на Съюза, 13 септември 2017 г.</w:t>
      </w:r>
    </w:p>
    <w:p w:rsidR="00474DBA" w:rsidRDefault="00474DBA">
      <w:pPr>
        <w:rPr>
          <w:rFonts w:ascii="Times New Roman" w:hAnsi="Times New Roman" w:cs="Times New Roman"/>
          <w:b/>
          <w:noProof/>
          <w:sz w:val="24"/>
          <w:szCs w:val="24"/>
        </w:rPr>
      </w:pPr>
    </w:p>
    <w:p w:rsidR="00474DBA" w:rsidRDefault="00474DBA">
      <w:pPr>
        <w:rPr>
          <w:rFonts w:ascii="Times New Roman" w:hAnsi="Times New Roman" w:cs="Times New Roman"/>
          <w:b/>
          <w:noProof/>
          <w:sz w:val="24"/>
          <w:szCs w:val="24"/>
        </w:rPr>
      </w:pPr>
    </w:p>
    <w:p w:rsidR="00474DBA" w:rsidRDefault="0096528C">
      <w:pPr>
        <w:rPr>
          <w:rFonts w:ascii="Times New Roman" w:hAnsi="Times New Roman" w:cs="Times New Roman"/>
          <w:b/>
          <w:noProof/>
          <w:sz w:val="24"/>
          <w:szCs w:val="24"/>
        </w:rPr>
      </w:pPr>
      <w:r>
        <w:rPr>
          <w:noProof/>
        </w:rPr>
        <w:br w:type="page"/>
      </w:r>
    </w:p>
    <w:p w:rsidR="00474DBA" w:rsidRDefault="0096528C">
      <w:pPr>
        <w:spacing w:line="240" w:lineRule="auto"/>
        <w:rPr>
          <w:rFonts w:ascii="Times New Roman" w:hAnsi="Times New Roman" w:cs="Times New Roman"/>
          <w:b/>
          <w:noProof/>
          <w:sz w:val="24"/>
          <w:szCs w:val="24"/>
        </w:rPr>
      </w:pPr>
      <w:r>
        <w:rPr>
          <w:rFonts w:ascii="Times New Roman" w:hAnsi="Times New Roman"/>
          <w:b/>
          <w:noProof/>
          <w:sz w:val="24"/>
        </w:rPr>
        <w:lastRenderedPageBreak/>
        <w:t>1.</w:t>
      </w:r>
      <w:r>
        <w:rPr>
          <w:noProof/>
        </w:rPr>
        <w:tab/>
      </w:r>
      <w:r>
        <w:rPr>
          <w:rFonts w:ascii="Times New Roman" w:hAnsi="Times New Roman"/>
          <w:b/>
          <w:noProof/>
          <w:sz w:val="24"/>
        </w:rPr>
        <w:t>Въведение</w:t>
      </w:r>
    </w:p>
    <w:p w:rsidR="00474DBA" w:rsidRDefault="0096528C">
      <w:pPr>
        <w:spacing w:line="240" w:lineRule="auto"/>
        <w:jc w:val="both"/>
        <w:rPr>
          <w:rFonts w:ascii="Times New Roman" w:hAnsi="Times New Roman" w:cs="Times New Roman"/>
          <w:noProof/>
          <w:sz w:val="24"/>
          <w:szCs w:val="24"/>
        </w:rPr>
      </w:pPr>
      <w:r>
        <w:rPr>
          <w:rFonts w:ascii="Times New Roman" w:hAnsi="Times New Roman"/>
          <w:b/>
          <w:noProof/>
          <w:sz w:val="24"/>
        </w:rPr>
        <w:t>Изменението на климата</w:t>
      </w:r>
      <w:r>
        <w:rPr>
          <w:rFonts w:ascii="Times New Roman" w:hAnsi="Times New Roman"/>
          <w:noProof/>
          <w:sz w:val="24"/>
        </w:rPr>
        <w:t xml:space="preserve"> е едно от най-големите предизвикателства, пред които е изправено човечеството днес. Залогът е бъдещето на нашата планета. Това беше признато от международната общност на срещата в Париж през декември 2015 г., на която беше постигнато действително историче</w:t>
      </w:r>
      <w:r>
        <w:rPr>
          <w:rFonts w:ascii="Times New Roman" w:hAnsi="Times New Roman"/>
          <w:noProof/>
          <w:sz w:val="24"/>
        </w:rPr>
        <w:t>ско споразумение относно изменението на климата. Парижкото споразумение показа, че преминаването към модерно общество с нисковъглеродна икономика е не само необходимо, но вече и възможно.</w:t>
      </w:r>
    </w:p>
    <w:p w:rsidR="00474DBA" w:rsidRDefault="0096528C">
      <w:pPr>
        <w:spacing w:line="240" w:lineRule="auto"/>
        <w:jc w:val="both"/>
        <w:rPr>
          <w:rFonts w:ascii="Times New Roman" w:hAnsi="Times New Roman" w:cs="Times New Roman"/>
          <w:noProof/>
          <w:sz w:val="24"/>
          <w:szCs w:val="24"/>
        </w:rPr>
      </w:pPr>
      <w:r>
        <w:rPr>
          <w:rFonts w:ascii="Times New Roman" w:hAnsi="Times New Roman"/>
          <w:b/>
          <w:noProof/>
          <w:sz w:val="24"/>
        </w:rPr>
        <w:t>Европейският съюз е сред пионерите в тази област. Действията на ЕС з</w:t>
      </w:r>
      <w:r>
        <w:rPr>
          <w:rFonts w:ascii="Times New Roman" w:hAnsi="Times New Roman"/>
          <w:b/>
          <w:noProof/>
          <w:sz w:val="24"/>
        </w:rPr>
        <w:t>а засилване на борбата срещу изменението на климата на световно равнище</w:t>
      </w:r>
      <w:r>
        <w:rPr>
          <w:rFonts w:ascii="Times New Roman" w:hAnsi="Times New Roman"/>
          <w:noProof/>
          <w:sz w:val="24"/>
        </w:rPr>
        <w:t xml:space="preserve"> са от основно значение за неговата положителна програма „</w:t>
      </w:r>
      <w:r>
        <w:rPr>
          <w:rFonts w:ascii="Times New Roman" w:hAnsi="Times New Roman"/>
          <w:i/>
          <w:noProof/>
          <w:sz w:val="24"/>
        </w:rPr>
        <w:t>за създаването на Европа, която закриля и предоставя възможности и защита</w:t>
      </w:r>
      <w:r>
        <w:rPr>
          <w:rFonts w:ascii="Times New Roman" w:hAnsi="Times New Roman"/>
          <w:noProof/>
          <w:sz w:val="24"/>
        </w:rPr>
        <w:t>“</w:t>
      </w:r>
      <w:r>
        <w:rPr>
          <w:rStyle w:val="FootnoteReference"/>
          <w:rFonts w:ascii="Times New Roman" w:hAnsi="Times New Roman"/>
          <w:noProof/>
          <w:sz w:val="24"/>
        </w:rPr>
        <w:footnoteReference w:id="2"/>
      </w:r>
      <w:r>
        <w:rPr>
          <w:rFonts w:ascii="Times New Roman" w:hAnsi="Times New Roman"/>
          <w:noProof/>
          <w:sz w:val="24"/>
        </w:rPr>
        <w:t xml:space="preserve">. </w:t>
      </w:r>
      <w:r>
        <w:rPr>
          <w:rFonts w:ascii="Times New Roman" w:hAnsi="Times New Roman"/>
          <w:b/>
          <w:noProof/>
          <w:sz w:val="24"/>
        </w:rPr>
        <w:t>Преходът към модерна и нисковъглеродна икономика</w:t>
      </w:r>
      <w:r>
        <w:rPr>
          <w:rFonts w:ascii="Times New Roman" w:hAnsi="Times New Roman"/>
          <w:noProof/>
          <w:sz w:val="24"/>
        </w:rPr>
        <w:t xml:space="preserve"> е</w:t>
      </w:r>
      <w:r>
        <w:rPr>
          <w:rFonts w:ascii="Times New Roman" w:hAnsi="Times New Roman"/>
          <w:noProof/>
          <w:sz w:val="24"/>
        </w:rPr>
        <w:t xml:space="preserve"> основен политически приоритет за Европейската комисия и намира израз в нейния приоритет за разработване на </w:t>
      </w:r>
      <w:r>
        <w:rPr>
          <w:rFonts w:ascii="Times New Roman" w:hAnsi="Times New Roman"/>
          <w:b/>
          <w:noProof/>
          <w:sz w:val="24"/>
        </w:rPr>
        <w:t>устойчив енергиен съюз и ориентирана към бъдещето политика в областта на изменението на климата</w:t>
      </w:r>
      <w:r>
        <w:rPr>
          <w:rFonts w:ascii="Times New Roman" w:hAnsi="Times New Roman"/>
          <w:noProof/>
          <w:sz w:val="24"/>
        </w:rPr>
        <w:t>. Целта е да се укрепи способността на Европа да се с</w:t>
      </w:r>
      <w:r>
        <w:rPr>
          <w:rFonts w:ascii="Times New Roman" w:hAnsi="Times New Roman"/>
          <w:noProof/>
          <w:sz w:val="24"/>
        </w:rPr>
        <w:t>правя с предизвикателството, което представлява изменението на климата, и да се подобри качеството на живот на гражданите, като в същото време се запази и разшири конкурентното предимство на нашите предприятия да създават работни места и да генерират устой</w:t>
      </w:r>
      <w:r>
        <w:rPr>
          <w:rFonts w:ascii="Times New Roman" w:hAnsi="Times New Roman"/>
          <w:noProof/>
          <w:sz w:val="24"/>
        </w:rPr>
        <w:t>чив икономически растеж, както и да се даде тласък на иновациите в областта на технологиите за енергия от възобновяеми източници. Това означава да се стремим към водеща роля в световен мащаб по отношение на иновациите, цифровизацията и декарбонизацията</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Т</w:t>
      </w:r>
      <w:r>
        <w:rPr>
          <w:rFonts w:ascii="Times New Roman" w:hAnsi="Times New Roman"/>
          <w:noProof/>
          <w:sz w:val="24"/>
        </w:rPr>
        <w:t>ези промени могат да бъдат и разрушителни, да създават нови работни места, но същевременно да правят други излишни, да пораждат необходимост от нови умения и преквалификация. Поради това преходът към нисковъглеродна икономика е както възможност, така и пре</w:t>
      </w:r>
      <w:r>
        <w:rPr>
          <w:rFonts w:ascii="Times New Roman" w:hAnsi="Times New Roman"/>
          <w:noProof/>
          <w:sz w:val="24"/>
        </w:rPr>
        <w:t>дизвикателство за промишлеността на ЕС.</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Транспортният сектор има огромен принос за икономиката на ЕС, за заетостта и мобилността на гражданите. В ЕС секторът на транспорта и складирането осигурява заетост на повече от 11 милиона души, което представлява на</w:t>
      </w:r>
      <w:r>
        <w:rPr>
          <w:rFonts w:ascii="Times New Roman" w:hAnsi="Times New Roman"/>
          <w:noProof/>
          <w:sz w:val="24"/>
        </w:rPr>
        <w:t>д 5 % от общата заетост</w:t>
      </w:r>
      <w:r>
        <w:rPr>
          <w:rStyle w:val="FootnoteReference"/>
          <w:rFonts w:ascii="Times New Roman" w:hAnsi="Times New Roman"/>
          <w:noProof/>
          <w:sz w:val="24"/>
        </w:rPr>
        <w:footnoteReference w:id="4"/>
      </w:r>
      <w:r>
        <w:rPr>
          <w:rFonts w:ascii="Times New Roman" w:hAnsi="Times New Roman"/>
          <w:noProof/>
          <w:sz w:val="24"/>
        </w:rPr>
        <w:t>, и създава почти 5 % от брутния вътрешен продукт на ЕС</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Той е в основата на около 20 % от износа на ЕС за неговите основни търговски партньори.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В същото време обаче транспортът е сериозен източник на емисии на парникови газове в </w:t>
      </w:r>
      <w:r>
        <w:rPr>
          <w:rFonts w:ascii="Times New Roman" w:hAnsi="Times New Roman"/>
          <w:noProof/>
          <w:sz w:val="24"/>
        </w:rPr>
        <w:t>Европа, изпреварван само от енергетиката, и е отговорен за все по-сериозното замърсяване на въздуха в нашите градски райони. Всички прогнози сочат, че транспортната дейност в цяла Европа ще продължи да нараства. Прогнозите са, че от 2010 г. до 2050 г. пътн</w:t>
      </w:r>
      <w:r>
        <w:rPr>
          <w:rFonts w:ascii="Times New Roman" w:hAnsi="Times New Roman"/>
          <w:noProof/>
          <w:sz w:val="24"/>
        </w:rPr>
        <w:t>ическият транспорт ще нарасне с около 42 %. Очаква се товарният транспорт да се увеличи с 60 %</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Това прави постигането на една устойчива система за мобилност още по-сложно.</w:t>
      </w:r>
    </w:p>
    <w:p w:rsidR="00474DBA" w:rsidRDefault="009652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line="240" w:lineRule="auto"/>
        <w:jc w:val="both"/>
        <w:rPr>
          <w:rFonts w:ascii="Times New Roman" w:hAnsi="Times New Roman" w:cs="Times New Roman"/>
          <w:noProof/>
        </w:rPr>
      </w:pPr>
      <w:r>
        <w:rPr>
          <w:rFonts w:ascii="Times New Roman" w:hAnsi="Times New Roman"/>
          <w:noProof/>
          <w:shd w:val="clear" w:color="auto" w:fill="A6A6A6" w:themeFill="background1" w:themeFillShade="A6"/>
        </w:rPr>
        <w:lastRenderedPageBreak/>
        <w:t>На транспорта се дължи почти една четвърт от емисиите на парникови газове в Европа</w:t>
      </w:r>
      <w:r>
        <w:rPr>
          <w:rFonts w:ascii="Times New Roman" w:hAnsi="Times New Roman"/>
          <w:noProof/>
          <w:shd w:val="clear" w:color="auto" w:fill="A6A6A6" w:themeFill="background1" w:themeFillShade="A6"/>
        </w:rPr>
        <w:t>, като той е и основната причина за влошеното качество на въздуха в градовете, което представлява сериозна заплаха за общественото здраве. Само автомобилният транспорт е отговорен за почти една пета от общото количество емисии в ЕС и 73 % от емисиите от тр</w:t>
      </w:r>
      <w:r>
        <w:rPr>
          <w:rFonts w:ascii="Times New Roman" w:hAnsi="Times New Roman"/>
          <w:noProof/>
          <w:shd w:val="clear" w:color="auto" w:fill="A6A6A6" w:themeFill="background1" w:themeFillShade="A6"/>
        </w:rPr>
        <w:t>анспорта</w:t>
      </w:r>
      <w:r>
        <w:rPr>
          <w:rStyle w:val="FootnoteReference"/>
          <w:rFonts w:ascii="Times New Roman" w:hAnsi="Times New Roman"/>
          <w:noProof/>
          <w:shd w:val="clear" w:color="auto" w:fill="A6A6A6" w:themeFill="background1" w:themeFillShade="A6"/>
        </w:rPr>
        <w:footnoteReference w:id="7"/>
      </w:r>
      <w:r>
        <w:rPr>
          <w:noProof/>
        </w:rPr>
        <w:t>.</w:t>
      </w:r>
    </w:p>
    <w:p w:rsidR="00474DBA" w:rsidRDefault="0096528C">
      <w:pPr>
        <w:spacing w:line="240" w:lineRule="auto"/>
        <w:jc w:val="both"/>
        <w:rPr>
          <w:rFonts w:ascii="Times New Roman" w:hAnsi="Times New Roman" w:cs="Times New Roman"/>
          <w:noProof/>
          <w:sz w:val="28"/>
          <w:szCs w:val="24"/>
        </w:rPr>
      </w:pPr>
      <w:r>
        <w:rPr>
          <w:rFonts w:ascii="Times New Roman" w:hAnsi="Times New Roman"/>
          <w:noProof/>
          <w:sz w:val="24"/>
        </w:rPr>
        <w:t>Ако не се предприемат действия за намаляване на емисиите от транспорта, възниква риск той да се превърне в най-големия източник на емисии, заличавайки постигнатия в други сектори напредък и излагайки на риск способността на ЕС да изпълни общите си цели отн</w:t>
      </w:r>
      <w:r>
        <w:rPr>
          <w:rFonts w:ascii="Times New Roman" w:hAnsi="Times New Roman"/>
          <w:noProof/>
          <w:sz w:val="24"/>
        </w:rPr>
        <w:t xml:space="preserve">осно намаляването на емисиите. </w:t>
      </w:r>
      <w:r>
        <w:rPr>
          <w:rFonts w:ascii="Times New Roman" w:hAnsi="Times New Roman"/>
          <w:b/>
          <w:noProof/>
          <w:sz w:val="24"/>
        </w:rPr>
        <w:t xml:space="preserve">Поради това е от съществено значение да се предприемат решителни действия по отношение на емисиите от транспорта </w:t>
      </w:r>
      <w:r>
        <w:rPr>
          <w:rFonts w:ascii="Times New Roman" w:hAnsi="Times New Roman"/>
          <w:noProof/>
          <w:sz w:val="24"/>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Амбицията за мобилност с ниски емисии е залегнала в основните стратегии на ЕС в тази област и особено в </w:t>
      </w:r>
      <w:r>
        <w:rPr>
          <w:rFonts w:ascii="Times New Roman" w:hAnsi="Times New Roman"/>
          <w:noProof/>
          <w:sz w:val="24"/>
        </w:rPr>
        <w:t>Стратегията за енергиен съюз от февруари 2015 г., където</w:t>
      </w:r>
      <w:r>
        <w:rPr>
          <w:noProof/>
        </w:rPr>
        <w:t xml:space="preserve"> </w:t>
      </w:r>
      <w:r>
        <w:rPr>
          <w:rFonts w:ascii="Times New Roman" w:hAnsi="Times New Roman"/>
          <w:noProof/>
          <w:sz w:val="24"/>
        </w:rPr>
        <w:t>преходът към енергийно ефективен и декарбонизиран транспортен сектор се определя като елемент от основно значение</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Това бе последвано от конкретни мерки, очертани в Стратегията за мобилност с ниски </w:t>
      </w:r>
      <w:r>
        <w:rPr>
          <w:rFonts w:ascii="Times New Roman" w:hAnsi="Times New Roman"/>
          <w:noProof/>
          <w:sz w:val="24"/>
        </w:rPr>
        <w:t>емисии, приета през юли 2016 г., които се изпълняват понастоящем</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По-рано тази година, в отговор на дълбоките промени, протичащи в транспортния сектор, инициативата „Европа в движение“ представи план за социално справедлив преход към екологично чиста, кон</w:t>
      </w:r>
      <w:r>
        <w:rPr>
          <w:rFonts w:ascii="Times New Roman" w:hAnsi="Times New Roman"/>
          <w:noProof/>
          <w:sz w:val="24"/>
        </w:rPr>
        <w:t>курентоспособна и свързана мобилност за всички, който бе придружен от един първи пакет от предложения</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Неотдавна Комисията представи подновена стратегия за промишлената политика на ЕС, чиято цел е да даде възможност на европейската промишленост да продълж</w:t>
      </w:r>
      <w:r>
        <w:rPr>
          <w:rFonts w:ascii="Times New Roman" w:hAnsi="Times New Roman"/>
          <w:noProof/>
          <w:sz w:val="24"/>
        </w:rPr>
        <w:t>и да създава работни места и устойчив растеж в настоящата променяща се и изпълнена с предизвикателства среда</w:t>
      </w:r>
      <w:r>
        <w:rPr>
          <w:rStyle w:val="FootnoteReference"/>
          <w:rFonts w:ascii="Times New Roman" w:hAnsi="Times New Roman"/>
          <w:noProof/>
          <w:sz w:val="24"/>
        </w:rPr>
        <w:footnoteReference w:id="11"/>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Целта на днешния пакет от предложения в рамките на инициативата „Европа в движение“</w:t>
      </w:r>
      <w:r>
        <w:rPr>
          <w:rStyle w:val="FootnoteReference"/>
          <w:rFonts w:ascii="Times New Roman" w:hAnsi="Times New Roman"/>
          <w:noProof/>
          <w:sz w:val="24"/>
        </w:rPr>
        <w:footnoteReference w:id="12"/>
      </w:r>
      <w:r>
        <w:rPr>
          <w:rFonts w:ascii="Times New Roman" w:hAnsi="Times New Roman"/>
          <w:noProof/>
          <w:sz w:val="24"/>
        </w:rPr>
        <w:t xml:space="preserve"> е да се подпомогне подготовката за бъдещето на европейската </w:t>
      </w:r>
      <w:r>
        <w:rPr>
          <w:rFonts w:ascii="Times New Roman" w:hAnsi="Times New Roman"/>
          <w:noProof/>
          <w:sz w:val="24"/>
        </w:rPr>
        <w:t xml:space="preserve">автомобилна промишленост и сектора на мобилността, като се създадат подходящи условия и стимули, </w:t>
      </w:r>
      <w:r>
        <w:rPr>
          <w:rFonts w:ascii="Times New Roman" w:hAnsi="Times New Roman"/>
          <w:b/>
          <w:noProof/>
          <w:sz w:val="24"/>
        </w:rPr>
        <w:t>за да бъдат предприятията конкурентоспособни в световен мащаб и да създават иновации, растеж и работни места</w:t>
      </w:r>
      <w:r>
        <w:rPr>
          <w:rFonts w:ascii="Times New Roman" w:hAnsi="Times New Roman"/>
          <w:noProof/>
          <w:sz w:val="24"/>
        </w:rPr>
        <w:t xml:space="preserve">. В същото време предложените мерки имат за цел да </w:t>
      </w:r>
      <w:r>
        <w:rPr>
          <w:rFonts w:ascii="Times New Roman" w:hAnsi="Times New Roman"/>
          <w:noProof/>
          <w:sz w:val="24"/>
        </w:rPr>
        <w:t xml:space="preserve">гарантират, че мобилността в бъдеще ще бъде </w:t>
      </w:r>
      <w:r>
        <w:rPr>
          <w:rFonts w:ascii="Times New Roman" w:hAnsi="Times New Roman"/>
          <w:b/>
          <w:noProof/>
          <w:sz w:val="24"/>
        </w:rPr>
        <w:t>екологично чиста, достъпна и икономически приемлива за всички</w:t>
      </w:r>
      <w:r>
        <w:rPr>
          <w:rFonts w:ascii="Times New Roman" w:hAnsi="Times New Roman"/>
          <w:noProof/>
          <w:sz w:val="24"/>
        </w:rPr>
        <w:t>, и че доверието на потребителите може да бъде възстановено. Това е от решаващо значение след предизвиканата от автомобилната промишленост криза на дов</w:t>
      </w:r>
      <w:r>
        <w:rPr>
          <w:rFonts w:ascii="Times New Roman" w:hAnsi="Times New Roman"/>
          <w:noProof/>
          <w:sz w:val="24"/>
        </w:rPr>
        <w:t>ерие във връзка с емисиите от дизелови автомобили. Правилата трябва да бъдат надеждни и да се налагат по подходящ начин, европейците трябва да имат достъпни и икономически приемливи транспортни алтернативи на използващите изкопаеми горива превозни средства</w:t>
      </w:r>
      <w:r>
        <w:rPr>
          <w:rFonts w:ascii="Times New Roman" w:hAnsi="Times New Roman"/>
          <w:noProof/>
          <w:sz w:val="24"/>
        </w:rPr>
        <w:t>, а инвестициите в инфраструктура за алтернативни горива трябва да бъдат целенасочени и съответно координирани.</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С този пакет се установяват ясни, реалистични и приложими правила, които ще помогнат за осигуряването на еднакви условия на конкуренция между уч</w:t>
      </w:r>
      <w:r>
        <w:rPr>
          <w:rFonts w:ascii="Times New Roman" w:hAnsi="Times New Roman"/>
          <w:noProof/>
          <w:sz w:val="24"/>
        </w:rPr>
        <w:t>астниците в сектора, действащи в Европа, и за увеличаване на доверието в тях. Той ще даде също ясна ориентация към постигането на ангажиментите на ЕС, договорени в рамките на Парижкото споразумение, и ще стимулира иновациите в областта на новите технологии</w:t>
      </w:r>
      <w:r>
        <w:rPr>
          <w:rFonts w:ascii="Times New Roman" w:hAnsi="Times New Roman"/>
          <w:noProof/>
          <w:sz w:val="24"/>
        </w:rPr>
        <w:t xml:space="preserve"> и стопанските модели, както и по-ефективното използване на всички видове транспорт за превоз на стоки. Освен това, подпомагащите мерки от този пакет ще допринесат за осъществяването на плавен преход и ще направят по-нататъшното развитие по-предвидимо. Пот</w:t>
      </w:r>
      <w:r>
        <w:rPr>
          <w:rFonts w:ascii="Times New Roman" w:hAnsi="Times New Roman"/>
          <w:noProof/>
          <w:sz w:val="24"/>
        </w:rPr>
        <w:t>ребителите ще осъществят действително прехода към екологично чисти превозни средства и други решения за екологично чиста мобилност само ако съществува инфраструктура за алтернативни горива и ако те могат да направят информирана преценка за цената на различ</w:t>
      </w:r>
      <w:r>
        <w:rPr>
          <w:rFonts w:ascii="Times New Roman" w:hAnsi="Times New Roman"/>
          <w:noProof/>
          <w:sz w:val="24"/>
        </w:rPr>
        <w:t>ните предлагани видове горива и енергоносители и свързаните с тях общи разходи за собствеността през целия жизнен цикъл на превозното средство. Наред с всичко останало, тези мерки целят също така да направят новите услуги за мобилност достъпни за всички ев</w:t>
      </w:r>
      <w:r>
        <w:rPr>
          <w:rFonts w:ascii="Times New Roman" w:hAnsi="Times New Roman"/>
          <w:noProof/>
          <w:sz w:val="24"/>
        </w:rPr>
        <w:t>ропейски граждани и да предоставят нови перспективи за бъдещето на работниците, общностите и съставните звена на веригата на стойността в автомобилната промишленост, както и на други субекти, които могат да загубят от този преход.</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Нови </w:t>
      </w:r>
      <w:r>
        <w:rPr>
          <w:rFonts w:ascii="Times New Roman" w:hAnsi="Times New Roman"/>
          <w:b/>
          <w:noProof/>
          <w:sz w:val="24"/>
        </w:rPr>
        <w:t>стандарти за CO</w:t>
      </w:r>
      <w:r>
        <w:rPr>
          <w:rFonts w:ascii="Times New Roman" w:hAnsi="Times New Roman"/>
          <w:b/>
          <w:noProof/>
          <w:sz w:val="24"/>
          <w:vertAlign w:val="subscript"/>
        </w:rPr>
        <w:t>2</w:t>
      </w:r>
      <w:r>
        <w:rPr>
          <w:rFonts w:ascii="Times New Roman" w:hAnsi="Times New Roman"/>
          <w:noProof/>
          <w:sz w:val="24"/>
        </w:rPr>
        <w:t xml:space="preserve"> ще </w:t>
      </w:r>
      <w:r>
        <w:rPr>
          <w:rFonts w:ascii="Times New Roman" w:hAnsi="Times New Roman"/>
          <w:noProof/>
          <w:sz w:val="24"/>
        </w:rPr>
        <w:t xml:space="preserve">помогнат на производителите да възприемат иновациите и да пуснат на пазара превозни средства с ниски емисии. </w:t>
      </w:r>
      <w:r>
        <w:rPr>
          <w:rFonts w:ascii="Times New Roman" w:hAnsi="Times New Roman"/>
          <w:b/>
          <w:noProof/>
          <w:sz w:val="24"/>
        </w:rPr>
        <w:t>Директивата за екологично чисти превозни средства</w:t>
      </w:r>
      <w:r>
        <w:rPr>
          <w:rFonts w:ascii="Times New Roman" w:hAnsi="Times New Roman"/>
          <w:noProof/>
          <w:sz w:val="24"/>
        </w:rPr>
        <w:t xml:space="preserve"> ще насърчи използването на решения за екологично чиста мобилност в търговете за възлагане на обще</w:t>
      </w:r>
      <w:r>
        <w:rPr>
          <w:rFonts w:ascii="Times New Roman" w:hAnsi="Times New Roman"/>
          <w:noProof/>
          <w:sz w:val="24"/>
        </w:rPr>
        <w:t xml:space="preserve">ствени поръчки, като по този начин ще осигури солидна основа за стимулиране на търсенето и по-нататъшното внедряване на решенията за екологично чиста мобилност. В пакета са заложени също така мерки за подпомагане на инвестициите за </w:t>
      </w:r>
      <w:r>
        <w:rPr>
          <w:rFonts w:ascii="Times New Roman" w:hAnsi="Times New Roman"/>
          <w:b/>
          <w:noProof/>
          <w:sz w:val="24"/>
        </w:rPr>
        <w:t>трансевропейското разгръ</w:t>
      </w:r>
      <w:r>
        <w:rPr>
          <w:rFonts w:ascii="Times New Roman" w:hAnsi="Times New Roman"/>
          <w:b/>
          <w:noProof/>
          <w:sz w:val="24"/>
        </w:rPr>
        <w:t>щане на инфраструктура за алтернативни горива</w:t>
      </w:r>
      <w:r>
        <w:rPr>
          <w:rFonts w:ascii="Times New Roman" w:hAnsi="Times New Roman"/>
          <w:noProof/>
          <w:sz w:val="24"/>
        </w:rPr>
        <w:t xml:space="preserve">, както и общи стандарти. Подготвя се </w:t>
      </w:r>
      <w:r>
        <w:rPr>
          <w:rFonts w:ascii="Times New Roman" w:hAnsi="Times New Roman"/>
          <w:b/>
          <w:noProof/>
          <w:sz w:val="24"/>
        </w:rPr>
        <w:t>методика за потребителите, която ще им позволи да сравняват лесно цените на горивата</w:t>
      </w:r>
      <w:r>
        <w:rPr>
          <w:rFonts w:ascii="Times New Roman" w:hAnsi="Times New Roman"/>
          <w:noProof/>
          <w:sz w:val="24"/>
        </w:rPr>
        <w:t xml:space="preserve">. Преразглеждането на </w:t>
      </w:r>
      <w:r>
        <w:rPr>
          <w:rFonts w:ascii="Times New Roman" w:hAnsi="Times New Roman"/>
          <w:b/>
          <w:noProof/>
          <w:sz w:val="24"/>
        </w:rPr>
        <w:t>Директивата относно комбинирания транспорт</w:t>
      </w:r>
      <w:r>
        <w:rPr>
          <w:rFonts w:ascii="Times New Roman" w:hAnsi="Times New Roman"/>
          <w:noProof/>
          <w:sz w:val="24"/>
        </w:rPr>
        <w:t>, която насърчава комбини</w:t>
      </w:r>
      <w:r>
        <w:rPr>
          <w:rFonts w:ascii="Times New Roman" w:hAnsi="Times New Roman"/>
          <w:noProof/>
          <w:sz w:val="24"/>
        </w:rPr>
        <w:t xml:space="preserve">раното използване на различни видове транспорт за превоз на товари (например товарни автомобили и влакове), и на </w:t>
      </w:r>
      <w:r>
        <w:rPr>
          <w:rFonts w:ascii="Times New Roman" w:hAnsi="Times New Roman"/>
          <w:b/>
          <w:noProof/>
          <w:sz w:val="24"/>
        </w:rPr>
        <w:t>Директивата за пътнически автобусни услуги</w:t>
      </w:r>
      <w:r>
        <w:rPr>
          <w:rFonts w:ascii="Times New Roman" w:hAnsi="Times New Roman"/>
          <w:noProof/>
          <w:sz w:val="24"/>
        </w:rPr>
        <w:t>, която стимулира развитието на автобусни линии на далечни разстояния в Европа и предлага алтернативи</w:t>
      </w:r>
      <w:r>
        <w:rPr>
          <w:rFonts w:ascii="Times New Roman" w:hAnsi="Times New Roman"/>
          <w:noProof/>
          <w:sz w:val="24"/>
        </w:rPr>
        <w:t xml:space="preserve"> на използването на лични автомобили, също ще допринесе за по-нататъшно намаляване на емисиите от транспорта и задръстванията по пътищата. Тези инициативи ще подпомогнат интегрираната промишлена политика на ЕС</w:t>
      </w:r>
      <w:r>
        <w:rPr>
          <w:rStyle w:val="FootnoteReference"/>
          <w:rFonts w:ascii="Times New Roman" w:hAnsi="Times New Roman"/>
          <w:noProof/>
          <w:sz w:val="24"/>
        </w:rPr>
        <w:footnoteReference w:id="13"/>
      </w:r>
      <w:r>
        <w:rPr>
          <w:rFonts w:ascii="Times New Roman" w:hAnsi="Times New Roman"/>
          <w:noProof/>
          <w:sz w:val="24"/>
        </w:rPr>
        <w:t>, и ще допринесат за това в ЕС да бъдат изобре</w:t>
      </w:r>
      <w:r>
        <w:rPr>
          <w:rFonts w:ascii="Times New Roman" w:hAnsi="Times New Roman"/>
          <w:noProof/>
          <w:sz w:val="24"/>
        </w:rPr>
        <w:t xml:space="preserve">тявани и произвеждани превозни средства и други решения за мобилността на бъдещето (както и техни компоненти), като в този контекст </w:t>
      </w:r>
      <w:r>
        <w:rPr>
          <w:rFonts w:ascii="Times New Roman" w:hAnsi="Times New Roman"/>
          <w:b/>
          <w:noProof/>
          <w:sz w:val="24"/>
        </w:rPr>
        <w:t>инициативата за акумулаторите</w:t>
      </w:r>
      <w:r>
        <w:rPr>
          <w:rFonts w:ascii="Times New Roman" w:hAnsi="Times New Roman"/>
          <w:noProof/>
          <w:sz w:val="24"/>
        </w:rPr>
        <w:t xml:space="preserve"> ще има особено стратегическо значение. Целта е тези инициативи да бъдат ефективни по отношение</w:t>
      </w:r>
      <w:r>
        <w:rPr>
          <w:rFonts w:ascii="Times New Roman" w:hAnsi="Times New Roman"/>
          <w:noProof/>
          <w:sz w:val="24"/>
        </w:rPr>
        <w:t xml:space="preserve"> на разходите, технологично неутрални и социално приобщаващи.</w:t>
      </w:r>
    </w:p>
    <w:p w:rsidR="00474DBA" w:rsidRDefault="0096528C">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Така в този втори пакет „Европа в движение“ се разглеждат </w:t>
      </w:r>
      <w:r>
        <w:rPr>
          <w:rFonts w:ascii="Times New Roman" w:hAnsi="Times New Roman"/>
          <w:b/>
          <w:noProof/>
          <w:sz w:val="24"/>
        </w:rPr>
        <w:t>три основни политически</w:t>
      </w:r>
      <w:r>
        <w:rPr>
          <w:rFonts w:ascii="Times New Roman" w:hAnsi="Times New Roman"/>
          <w:noProof/>
          <w:sz w:val="24"/>
        </w:rPr>
        <w:t xml:space="preserve"> приоритета:</w:t>
      </w:r>
    </w:p>
    <w:p w:rsidR="00474DBA" w:rsidRDefault="0096528C">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Европа, която опазва планетата;</w:t>
      </w:r>
    </w:p>
    <w:p w:rsidR="00474DBA" w:rsidRDefault="0096528C">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Европа, която предоставя възможности на гражданите;</w:t>
      </w:r>
    </w:p>
    <w:p w:rsidR="00474DBA" w:rsidRDefault="0096528C">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rPr>
        <w:t>Европа, която за</w:t>
      </w:r>
      <w:r>
        <w:rPr>
          <w:rFonts w:ascii="Times New Roman" w:hAnsi="Times New Roman"/>
          <w:noProof/>
          <w:sz w:val="24"/>
        </w:rPr>
        <w:t>щитава промишлеността и работниците си.</w:t>
      </w:r>
    </w:p>
    <w:p w:rsidR="00474DBA" w:rsidRDefault="0096528C">
      <w:pPr>
        <w:spacing w:before="240" w:after="240" w:line="240" w:lineRule="auto"/>
        <w:ind w:left="720" w:hanging="660"/>
        <w:jc w:val="both"/>
        <w:rPr>
          <w:rFonts w:ascii="Times New Roman" w:hAnsi="Times New Roman" w:cs="Times New Roman"/>
          <w:noProof/>
          <w:sz w:val="24"/>
          <w:szCs w:val="24"/>
        </w:rPr>
      </w:pPr>
      <w:r>
        <w:rPr>
          <w:rFonts w:ascii="Times New Roman" w:hAnsi="Times New Roman"/>
          <w:b/>
          <w:noProof/>
          <w:sz w:val="24"/>
        </w:rPr>
        <w:t>2.</w:t>
      </w:r>
      <w:r>
        <w:rPr>
          <w:noProof/>
        </w:rPr>
        <w:tab/>
      </w:r>
      <w:r>
        <w:rPr>
          <w:rFonts w:ascii="Times New Roman" w:hAnsi="Times New Roman"/>
          <w:b/>
          <w:noProof/>
          <w:sz w:val="24"/>
        </w:rPr>
        <w:t>Европа, която опазва планетата — ключовата роля на ЕС за Парижката рамка и за международната стандартизация</w:t>
      </w:r>
    </w:p>
    <w:p w:rsidR="00474DBA" w:rsidRDefault="0096528C">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Предизвикателството на устойчивата мобилност е глобален проблем, който е общ за растящ брой държави и гра</w:t>
      </w:r>
      <w:r>
        <w:rPr>
          <w:rFonts w:ascii="Times New Roman" w:hAnsi="Times New Roman"/>
          <w:noProof/>
          <w:sz w:val="24"/>
        </w:rPr>
        <w:t xml:space="preserve">дове по света. Това води до силно търсене в световен мащаб на екологично чисти продукти, технологии и бизнес модели, подпомагащи устойчивата мобилност, което пък предоставя огромни възможности за бизнес на една конкурентоспособна промишленост на ЕС в този </w:t>
      </w:r>
      <w:r>
        <w:rPr>
          <w:rFonts w:ascii="Times New Roman" w:hAnsi="Times New Roman"/>
          <w:noProof/>
          <w:sz w:val="24"/>
        </w:rPr>
        <w:t xml:space="preserve">сектор. </w:t>
      </w:r>
    </w:p>
    <w:p w:rsidR="00474DBA" w:rsidRDefault="00474DBA">
      <w:pPr>
        <w:autoSpaceDE w:val="0"/>
        <w:autoSpaceDN w:val="0"/>
        <w:adjustRightInd w:val="0"/>
        <w:spacing w:after="0" w:line="240" w:lineRule="auto"/>
        <w:jc w:val="both"/>
        <w:rPr>
          <w:rFonts w:ascii="Times New Roman" w:hAnsi="Times New Roman" w:cs="Times New Roman"/>
          <w:noProof/>
          <w:sz w:val="24"/>
          <w:szCs w:val="24"/>
        </w:rPr>
      </w:pPr>
    </w:p>
    <w:p w:rsidR="00474DBA" w:rsidRDefault="0096528C">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От решаващо значение е ЕС да насърчава следващото поколение стандарти за намаляване на емисиите на CO</w:t>
      </w:r>
      <w:r>
        <w:rPr>
          <w:rFonts w:ascii="Times New Roman" w:hAnsi="Times New Roman"/>
          <w:noProof/>
          <w:sz w:val="24"/>
          <w:vertAlign w:val="subscript"/>
        </w:rPr>
        <w:t>2</w:t>
      </w:r>
      <w:r>
        <w:rPr>
          <w:rFonts w:ascii="Times New Roman" w:hAnsi="Times New Roman"/>
          <w:noProof/>
          <w:sz w:val="24"/>
        </w:rPr>
        <w:t xml:space="preserve"> от транспорта. Това ще даде ясен сигнал на пазара и ще спомогне да се запази водещата роля на ЕС в борбата с изменението на климата и същевреме</w:t>
      </w:r>
      <w:r>
        <w:rPr>
          <w:rFonts w:ascii="Times New Roman" w:hAnsi="Times New Roman"/>
          <w:noProof/>
          <w:sz w:val="24"/>
        </w:rPr>
        <w:t xml:space="preserve">нно да се засили конкурентоспособността на европейската промишленост и да се гарантира, че Европа ще продължи да определя световните стандарти в автомобилната промишленост. Поради това предложението за </w:t>
      </w:r>
      <w:r>
        <w:rPr>
          <w:rFonts w:ascii="Times New Roman" w:hAnsi="Times New Roman"/>
          <w:b/>
          <w:noProof/>
          <w:sz w:val="24"/>
        </w:rPr>
        <w:t>нови стандарти за емисиите на CO</w:t>
      </w:r>
      <w:r>
        <w:rPr>
          <w:rFonts w:ascii="Times New Roman" w:hAnsi="Times New Roman"/>
          <w:b/>
          <w:noProof/>
          <w:sz w:val="24"/>
          <w:vertAlign w:val="subscript"/>
        </w:rPr>
        <w:t>2</w:t>
      </w:r>
      <w:r>
        <w:rPr>
          <w:rFonts w:ascii="Times New Roman" w:hAnsi="Times New Roman"/>
          <w:b/>
          <w:noProof/>
          <w:sz w:val="24"/>
        </w:rPr>
        <w:t xml:space="preserve"> от леки автомобили и</w:t>
      </w:r>
      <w:r>
        <w:rPr>
          <w:rFonts w:ascii="Times New Roman" w:hAnsi="Times New Roman"/>
          <w:b/>
          <w:noProof/>
          <w:sz w:val="24"/>
        </w:rPr>
        <w:t xml:space="preserve"> ванове за периода след 2020 г.</w:t>
      </w:r>
      <w:r>
        <w:rPr>
          <w:rFonts w:ascii="Times New Roman" w:hAnsi="Times New Roman"/>
          <w:noProof/>
          <w:sz w:val="24"/>
        </w:rPr>
        <w:t xml:space="preserve"> е ключов елемент от този пакет. Тези стандарти ще помогнат на държавите членки да постигнат своите цели за 2030 г. по отношение на климата и ще позволят на градовете да подобрят качеството на живот на своите граждани и да по</w:t>
      </w:r>
      <w:r>
        <w:rPr>
          <w:rFonts w:ascii="Times New Roman" w:hAnsi="Times New Roman"/>
          <w:noProof/>
          <w:sz w:val="24"/>
        </w:rPr>
        <w:t>добрят тяхното здраве</w:t>
      </w:r>
      <w:r>
        <w:rPr>
          <w:rStyle w:val="FootnoteReference"/>
          <w:rFonts w:ascii="Times New Roman" w:hAnsi="Times New Roman"/>
          <w:noProof/>
          <w:sz w:val="24"/>
        </w:rPr>
        <w:footnoteReference w:id="14"/>
      </w:r>
      <w:r>
        <w:rPr>
          <w:rFonts w:ascii="Times New Roman" w:hAnsi="Times New Roman"/>
          <w:noProof/>
          <w:sz w:val="24"/>
        </w:rPr>
        <w:t xml:space="preserve">. </w:t>
      </w:r>
      <w:r>
        <w:rPr>
          <w:noProof/>
        </w:rPr>
        <w:t>Приносът на действащия регламент относно емисиите на CO</w:t>
      </w:r>
      <w:r>
        <w:rPr>
          <w:rFonts w:ascii="Times New Roman" w:hAnsi="Times New Roman"/>
          <w:noProof/>
          <w:sz w:val="24"/>
          <w:vertAlign w:val="subscript"/>
        </w:rPr>
        <w:t>2</w:t>
      </w:r>
      <w:r>
        <w:rPr>
          <w:noProof/>
        </w:rPr>
        <w:t xml:space="preserve"> от леки пътнически автомобили с оценява на 65—85 % от намалението на емисиите от леки автомобили, постигнато след въвеждането му през 2009 г.</w:t>
      </w:r>
      <w:r>
        <w:rPr>
          <w:rStyle w:val="FootnoteReference"/>
          <w:rFonts w:ascii="Times New Roman" w:hAnsi="Times New Roman"/>
          <w:noProof/>
          <w:sz w:val="24"/>
        </w:rPr>
        <w:footnoteReference w:id="15"/>
      </w:r>
      <w:r>
        <w:rPr>
          <w:rFonts w:ascii="Times New Roman" w:hAnsi="Times New Roman"/>
          <w:noProof/>
          <w:sz w:val="24"/>
        </w:rPr>
        <w:t xml:space="preserve"> В същото време тези стандарти ще свържат изпълнението на Парижката рамка с глобалната програма на Европа в областта на търговията и ще дадат на нашите промишлени сектори конкурентно предимство, което ще им позволи да изнасят своите продукти и да навлизат </w:t>
      </w:r>
      <w:r>
        <w:rPr>
          <w:rFonts w:ascii="Times New Roman" w:hAnsi="Times New Roman"/>
          <w:noProof/>
          <w:sz w:val="24"/>
        </w:rPr>
        <w:t xml:space="preserve">в бързорастящи пазари успоредно с нарастването на световното търсене на екологично чисти превозни средства. Преразглеждането на </w:t>
      </w:r>
      <w:r>
        <w:rPr>
          <w:rFonts w:ascii="Times New Roman" w:hAnsi="Times New Roman"/>
          <w:b/>
          <w:noProof/>
          <w:sz w:val="24"/>
        </w:rPr>
        <w:t>Директивата за екологично чисти превозни средства</w:t>
      </w:r>
      <w:r>
        <w:rPr>
          <w:rFonts w:ascii="Times New Roman" w:hAnsi="Times New Roman"/>
          <w:noProof/>
          <w:sz w:val="24"/>
        </w:rPr>
        <w:t xml:space="preserve"> ще подпомогне стимулирането на допълнително публичното търсене за тези превозн</w:t>
      </w:r>
      <w:r>
        <w:rPr>
          <w:rFonts w:ascii="Times New Roman" w:hAnsi="Times New Roman"/>
          <w:noProof/>
          <w:sz w:val="24"/>
        </w:rPr>
        <w:t xml:space="preserve">и средства в ЕС. Наличието на добре развит пазар и добре развита промишленост в ЕС е от съществено значение за укрепването на нашия потенциал за износ. </w:t>
      </w:r>
    </w:p>
    <w:p w:rsidR="00474DBA" w:rsidRDefault="00474DBA">
      <w:pPr>
        <w:autoSpaceDE w:val="0"/>
        <w:autoSpaceDN w:val="0"/>
        <w:adjustRightInd w:val="0"/>
        <w:spacing w:after="0" w:line="240" w:lineRule="auto"/>
        <w:jc w:val="both"/>
        <w:rPr>
          <w:rFonts w:ascii="Times New Roman" w:hAnsi="Times New Roman" w:cs="Times New Roman"/>
          <w:noProof/>
          <w:sz w:val="24"/>
          <w:szCs w:val="24"/>
        </w:rPr>
      </w:pPr>
    </w:p>
    <w:p w:rsidR="00474DBA" w:rsidRDefault="0096528C">
      <w:pPr>
        <w:spacing w:line="240" w:lineRule="auto"/>
        <w:jc w:val="both"/>
        <w:rPr>
          <w:rFonts w:ascii="Times New Roman" w:hAnsi="Times New Roman"/>
          <w:noProof/>
        </w:rPr>
      </w:pPr>
      <w:r>
        <w:rPr>
          <w:rFonts w:ascii="Times New Roman" w:hAnsi="Times New Roman"/>
          <w:noProof/>
          <w:sz w:val="24"/>
        </w:rPr>
        <w:t>Насърчаването на мултимодалността и ефективното съчетаване на различните видове транспорт също е от ре</w:t>
      </w:r>
      <w:r>
        <w:rPr>
          <w:rFonts w:ascii="Times New Roman" w:hAnsi="Times New Roman"/>
          <w:noProof/>
          <w:sz w:val="24"/>
        </w:rPr>
        <w:t xml:space="preserve">шаващо значение за намаляването на емисиите. Преразглеждането на законодателството относно </w:t>
      </w:r>
      <w:r>
        <w:rPr>
          <w:rFonts w:ascii="Times New Roman" w:hAnsi="Times New Roman"/>
          <w:b/>
          <w:noProof/>
          <w:sz w:val="24"/>
        </w:rPr>
        <w:t>комбинирания транспорт</w:t>
      </w:r>
      <w:r>
        <w:rPr>
          <w:rFonts w:ascii="Times New Roman" w:hAnsi="Times New Roman"/>
          <w:noProof/>
          <w:sz w:val="24"/>
        </w:rPr>
        <w:t xml:space="preserve"> ще стимулира комбинираното използване на камиони и влакове, шлепове или кораби за превоз на стоки, като увеличи неговата конкурентоспособност </w:t>
      </w:r>
      <w:r>
        <w:rPr>
          <w:rFonts w:ascii="Times New Roman" w:hAnsi="Times New Roman"/>
          <w:noProof/>
          <w:sz w:val="24"/>
        </w:rPr>
        <w:t>в сравнение с използването само на автомобилен товарен транспорт. Намаляването на броя на камионите по пътищата ще доведе до намаляване на емисиите на CO</w:t>
      </w:r>
      <w:r>
        <w:rPr>
          <w:rFonts w:ascii="Times New Roman" w:hAnsi="Times New Roman"/>
          <w:noProof/>
          <w:sz w:val="24"/>
          <w:vertAlign w:val="subscript"/>
        </w:rPr>
        <w:t>2</w:t>
      </w:r>
      <w:r>
        <w:rPr>
          <w:rFonts w:ascii="Times New Roman" w:hAnsi="Times New Roman"/>
          <w:noProof/>
          <w:sz w:val="24"/>
        </w:rPr>
        <w:t xml:space="preserve"> и на замърсяването на въздуха, предизвикани от товарния превоз, както и до намаляване на задръствания</w:t>
      </w:r>
      <w:r>
        <w:rPr>
          <w:rFonts w:ascii="Times New Roman" w:hAnsi="Times New Roman"/>
          <w:noProof/>
          <w:sz w:val="24"/>
        </w:rPr>
        <w:t>та и на произшествията по нашите пътища</w:t>
      </w:r>
      <w:r>
        <w:rPr>
          <w:rStyle w:val="FootnoteReference"/>
          <w:rFonts w:ascii="Times New Roman" w:hAnsi="Times New Roman"/>
          <w:noProof/>
          <w:sz w:val="24"/>
        </w:rPr>
        <w:footnoteReference w:id="16"/>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По подобен начин, предложението на Комисията за преразглеждане на Директивата за </w:t>
      </w:r>
      <w:r>
        <w:rPr>
          <w:rFonts w:ascii="Times New Roman" w:hAnsi="Times New Roman"/>
          <w:b/>
          <w:noProof/>
          <w:sz w:val="24"/>
        </w:rPr>
        <w:t>пътнически автобусни услуги</w:t>
      </w:r>
      <w:r>
        <w:rPr>
          <w:rFonts w:ascii="Times New Roman" w:hAnsi="Times New Roman"/>
          <w:noProof/>
          <w:sz w:val="24"/>
        </w:rPr>
        <w:t xml:space="preserve"> ще подобри мобилността на гражданите, като стимулира развитието на автобусни транспортни връзки, предлага</w:t>
      </w:r>
      <w:r>
        <w:rPr>
          <w:rFonts w:ascii="Times New Roman" w:hAnsi="Times New Roman"/>
          <w:noProof/>
          <w:sz w:val="24"/>
        </w:rPr>
        <w:t>йки алтернативи на използването на частни автомобили, и ще увеличи използването на устойчиви видове обществен транспорт</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Тези услуги и ще донесат също икономически и социални ползи, тъй като отговарят по-добре на нуждите на потребителите и предоставят реа</w:t>
      </w:r>
      <w:r>
        <w:rPr>
          <w:rFonts w:ascii="Times New Roman" w:hAnsi="Times New Roman"/>
          <w:noProof/>
          <w:sz w:val="24"/>
        </w:rPr>
        <w:t>лни възможности на хора с по-ниски доходи.</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Тези законодателни предложения ще бъдат подкрепени и подсилени от широк набор подпомагащи мерки, предвидени в настоящия пакет.</w:t>
      </w:r>
    </w:p>
    <w:p w:rsidR="00474DBA" w:rsidRDefault="0096528C">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Европа, която предоставя възможности — пространство без потребители втора класа и б</w:t>
      </w:r>
      <w:r>
        <w:rPr>
          <w:rFonts w:ascii="Times New Roman" w:hAnsi="Times New Roman"/>
          <w:b/>
          <w:noProof/>
          <w:sz w:val="24"/>
        </w:rPr>
        <w:t xml:space="preserve">ез пренебрегнати области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Свободата на гражданите да се движат безпрепятствено в цялата територия на Съюза е едно от основните постижения на Европейския съюз. Тя позволява на гражданите да пътуват безпрепятствено между държавите членки — както по работа, т</w:t>
      </w:r>
      <w:r>
        <w:rPr>
          <w:rFonts w:ascii="Times New Roman" w:hAnsi="Times New Roman"/>
          <w:noProof/>
          <w:sz w:val="24"/>
        </w:rPr>
        <w:t>ака и за развлечение. ЕС има задължение към своите гражданите да подпомогне и улесни трансграничното придвижване. Транспортният сектор ще продължи да расте, но неговото развитие трябва да е устойчиво</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Ежедневните задръствания по пътищата и кризата с емиси</w:t>
      </w:r>
      <w:r>
        <w:rPr>
          <w:rFonts w:ascii="Times New Roman" w:hAnsi="Times New Roman"/>
          <w:noProof/>
          <w:sz w:val="24"/>
        </w:rPr>
        <w:t xml:space="preserve">ите от дизелови автомобили разбираемо дадоха повод за призиви към автомобилния транспорт да даде своя принос за по-здравословна околна среда и по-добро качеството на въздуха. Това доведе в някои случаи до приемането на политически мерки на местно равнище, </w:t>
      </w:r>
      <w:r>
        <w:rPr>
          <w:rFonts w:ascii="Times New Roman" w:hAnsi="Times New Roman"/>
          <w:noProof/>
          <w:sz w:val="24"/>
        </w:rPr>
        <w:t xml:space="preserve">насочени към намаляване на мотивацията на потребителите да използват автомобили в градските райони, което вече оказва влияние върху избора на средствата за мобилност от потребителите.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В отговор на скандала с емисиите от дизелови автомобили и последвалата </w:t>
      </w:r>
      <w:r>
        <w:rPr>
          <w:rFonts w:ascii="Times New Roman" w:hAnsi="Times New Roman"/>
          <w:noProof/>
          <w:sz w:val="24"/>
        </w:rPr>
        <w:t xml:space="preserve">го тежка криза на доверие на потребителите Комисията вече предприе действия, за да осигури по-добри условия за потребителите и да възстанови доверието в подхода на ЕС. Ние въвеждаме </w:t>
      </w:r>
      <w:r>
        <w:rPr>
          <w:rFonts w:ascii="Times New Roman" w:hAnsi="Times New Roman"/>
          <w:b/>
          <w:noProof/>
          <w:sz w:val="24"/>
        </w:rPr>
        <w:t>солидна рамка за изпитване за одобряване на типа</w:t>
      </w:r>
      <w:r>
        <w:rPr>
          <w:rFonts w:ascii="Times New Roman" w:hAnsi="Times New Roman"/>
          <w:noProof/>
          <w:sz w:val="24"/>
        </w:rPr>
        <w:t>, основаваща се на нови пр</w:t>
      </w:r>
      <w:r>
        <w:rPr>
          <w:rFonts w:ascii="Times New Roman" w:hAnsi="Times New Roman"/>
          <w:noProof/>
          <w:sz w:val="24"/>
        </w:rPr>
        <w:t>оцедури за изпитване, които ще гарантират ефективното спазване на правилата</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Тази рамка ще постави също на солидна основа прилагането на новите стандарти за емисиите на CO</w:t>
      </w:r>
      <w:r>
        <w:rPr>
          <w:rFonts w:ascii="Times New Roman" w:hAnsi="Times New Roman"/>
          <w:noProof/>
          <w:sz w:val="24"/>
          <w:vertAlign w:val="subscript"/>
        </w:rPr>
        <w:t>2</w:t>
      </w:r>
      <w:r>
        <w:rPr>
          <w:rFonts w:ascii="Times New Roman" w:hAnsi="Times New Roman"/>
          <w:noProof/>
          <w:sz w:val="24"/>
        </w:rPr>
        <w:t xml:space="preserve"> за периода след 2020 г.</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Трябва да се обърне внимание и на подобряването на </w:t>
      </w:r>
      <w:r>
        <w:rPr>
          <w:rFonts w:ascii="Times New Roman" w:hAnsi="Times New Roman"/>
          <w:b/>
          <w:noProof/>
          <w:sz w:val="24"/>
        </w:rPr>
        <w:t>икономическата приемливост за потребителите</w:t>
      </w:r>
      <w:r>
        <w:rPr>
          <w:rFonts w:ascii="Times New Roman" w:hAnsi="Times New Roman"/>
          <w:noProof/>
          <w:sz w:val="24"/>
        </w:rPr>
        <w:t xml:space="preserve"> на нови и по-чисти форми на мобилност и да се гарантира, че ползите от тези нови услуги за мобилност са достъпни за всички и са разпределени равномерно в целия Съюз. Нови технологии и иновационни и основани на ик</w:t>
      </w:r>
      <w:r>
        <w:rPr>
          <w:rFonts w:ascii="Times New Roman" w:hAnsi="Times New Roman"/>
          <w:noProof/>
          <w:sz w:val="24"/>
        </w:rPr>
        <w:t>ономиката на споделянето бизнес модели правят нашата система за мобилност по-устойчива. Обаче ние не бива да допускаме тяхното използване да предизвика цифрово разделение, водещо до нови форми на неравнопоставеност или до лишаване на някои региони или обла</w:t>
      </w:r>
      <w:r>
        <w:rPr>
          <w:rFonts w:ascii="Times New Roman" w:hAnsi="Times New Roman"/>
          <w:noProof/>
          <w:sz w:val="24"/>
        </w:rPr>
        <w:t>сти от ползите, които тези нововъведения носят.</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Без създаването на </w:t>
      </w:r>
      <w:r>
        <w:rPr>
          <w:rFonts w:ascii="Times New Roman" w:hAnsi="Times New Roman"/>
          <w:b/>
          <w:noProof/>
          <w:sz w:val="24"/>
        </w:rPr>
        <w:t>адекватна инфраструктура за алтернативни горива и енергоносители</w:t>
      </w:r>
      <w:r>
        <w:rPr>
          <w:rFonts w:ascii="Times New Roman" w:hAnsi="Times New Roman"/>
          <w:noProof/>
          <w:sz w:val="24"/>
        </w:rPr>
        <w:t xml:space="preserve"> </w:t>
      </w:r>
      <w:r>
        <w:rPr>
          <w:rFonts w:ascii="Times New Roman" w:hAnsi="Times New Roman"/>
          <w:b/>
          <w:noProof/>
          <w:sz w:val="24"/>
        </w:rPr>
        <w:t>решенията за мобилност с ниски и нулеви емисии</w:t>
      </w:r>
      <w:r>
        <w:rPr>
          <w:rFonts w:ascii="Times New Roman" w:hAnsi="Times New Roman"/>
          <w:noProof/>
          <w:sz w:val="24"/>
        </w:rPr>
        <w:t xml:space="preserve"> няма да се превърнат в широко разпространена реалност по европейските пътища.</w:t>
      </w:r>
      <w:r>
        <w:rPr>
          <w:rFonts w:ascii="Times New Roman" w:hAnsi="Times New Roman"/>
          <w:noProof/>
          <w:sz w:val="24"/>
        </w:rPr>
        <w:t xml:space="preserve"> Промишлеността вече съобщава за значителни инвестиции, по-специално в производството на електрически превозни средства. Наличието на достатъчна инфраструктура ще бъде от жизненоважно значение, ако искаме да привлечем потребителите към надеждни алтернативи</w:t>
      </w:r>
      <w:r>
        <w:rPr>
          <w:rFonts w:ascii="Times New Roman" w:hAnsi="Times New Roman"/>
          <w:noProof/>
          <w:sz w:val="24"/>
        </w:rPr>
        <w:t xml:space="preserve"> на превозните средства, използващи конвенционални горива. Периодът 2020—2025 г. ще бъде от решаващо значение за Европа, предвид настоящите прогнози, че делът на превозните средства с ниски и нулеви емисии ще нарасне до 7 % от общия брой на превозните сред</w:t>
      </w:r>
      <w:r>
        <w:rPr>
          <w:rFonts w:ascii="Times New Roman" w:hAnsi="Times New Roman"/>
          <w:noProof/>
          <w:sz w:val="24"/>
        </w:rPr>
        <w:t>ства по европейските пътища през 2025 г.</w:t>
      </w:r>
      <w:r>
        <w:rPr>
          <w:rStyle w:val="FootnoteReference"/>
          <w:rFonts w:ascii="Times New Roman" w:hAnsi="Times New Roman"/>
          <w:noProof/>
          <w:sz w:val="24"/>
        </w:rPr>
        <w:footnoteReference w:id="20"/>
      </w:r>
      <w:r>
        <w:rPr>
          <w:rFonts w:ascii="Times New Roman" w:hAnsi="Times New Roman"/>
          <w:noProof/>
          <w:sz w:val="24"/>
        </w:rPr>
        <w:t xml:space="preserve"> Ще трябва бързо се мобилизират инвестиции, за да се предотврати превръщането на липсата на подходяща инфраструктура в проблем за бъдещето.</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Вече е налице ясна политическа рамка на ЕС за инфраструктурата за алтернати</w:t>
      </w:r>
      <w:r>
        <w:rPr>
          <w:rFonts w:ascii="Times New Roman" w:hAnsi="Times New Roman"/>
          <w:noProof/>
          <w:sz w:val="24"/>
        </w:rPr>
        <w:t>вни горива и енергоносители, съгласно която държавите членки имат основна роля за нейното разгръщане на тяхна територия</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Обаче </w:t>
      </w:r>
      <w:r>
        <w:rPr>
          <w:rFonts w:ascii="Times New Roman" w:hAnsi="Times New Roman"/>
          <w:b/>
          <w:noProof/>
          <w:sz w:val="24"/>
        </w:rPr>
        <w:t>степента на амбициозност на националните политически стратегии е недостатъчна, за да се отговори на бъдещото търсене</w:t>
      </w:r>
      <w:r>
        <w:rPr>
          <w:rFonts w:ascii="Times New Roman" w:hAnsi="Times New Roman"/>
          <w:noProof/>
          <w:sz w:val="24"/>
        </w:rPr>
        <w:t>. Освен това</w:t>
      </w:r>
      <w:r>
        <w:rPr>
          <w:rFonts w:ascii="Times New Roman" w:hAnsi="Times New Roman"/>
          <w:noProof/>
          <w:sz w:val="24"/>
        </w:rPr>
        <w:t xml:space="preserve"> е важно инфраструктурата и услугите да са оперативно съвместими в трансграничен контекст. Необходимо е потребителите да възприемат мобилността с ниски емисии като безпроблемна мобилност</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Публичните органи и участниците на пазара трябва да осигурят операт</w:t>
      </w:r>
      <w:r>
        <w:rPr>
          <w:rFonts w:ascii="Times New Roman" w:hAnsi="Times New Roman"/>
          <w:noProof/>
          <w:sz w:val="24"/>
        </w:rPr>
        <w:t>ивна съвместимост на инфраструктурните услуги.</w:t>
      </w:r>
    </w:p>
    <w:p w:rsidR="00474DBA" w:rsidRDefault="0096528C">
      <w:pPr>
        <w:spacing w:line="240" w:lineRule="auto"/>
        <w:jc w:val="both"/>
        <w:rPr>
          <w:rFonts w:ascii="Times New Roman" w:hAnsi="Times New Roman" w:cs="Times New Roman"/>
          <w:noProof/>
          <w:sz w:val="24"/>
        </w:rPr>
      </w:pPr>
      <w:r>
        <w:rPr>
          <w:rFonts w:ascii="Times New Roman" w:hAnsi="Times New Roman"/>
          <w:noProof/>
          <w:sz w:val="24"/>
        </w:rPr>
        <w:t>Разгръщането на инфраструктура за алтернативни горива трябва да бъде ускорено и да бъдат запълнени празнотите</w:t>
      </w:r>
      <w:r>
        <w:rPr>
          <w:rStyle w:val="FootnoteReference"/>
          <w:rFonts w:ascii="Times New Roman" w:hAnsi="Times New Roman"/>
          <w:noProof/>
          <w:sz w:val="24"/>
        </w:rPr>
        <w:footnoteReference w:id="23"/>
      </w:r>
      <w:r>
        <w:rPr>
          <w:noProof/>
        </w:rPr>
        <w:t>.</w:t>
      </w:r>
      <w:r>
        <w:rPr>
          <w:rFonts w:ascii="Times New Roman" w:hAnsi="Times New Roman"/>
          <w:noProof/>
          <w:sz w:val="24"/>
        </w:rPr>
        <w:t xml:space="preserve"> Това е областта, в която ЕС може и трябва да добави стойност. Финансовата подкрепа от ЕС ще бъде от решаващо значение за частичното покриване на нуждите от финансиране в областите, в които пазарът все още не успява ефективно да осигури инвестиции, наприме</w:t>
      </w:r>
      <w:r>
        <w:rPr>
          <w:rFonts w:ascii="Times New Roman" w:hAnsi="Times New Roman"/>
          <w:noProof/>
          <w:sz w:val="24"/>
        </w:rPr>
        <w:t>р за трансевропейската основна транспортна мрежа. Подобна публична подкрепа следва се разглежда като начин за привличане на значителни частни инвестиции, включително чрез нови методи на финансиране, като например съчетаването на безвъзмездни средства и зае</w:t>
      </w:r>
      <w:r>
        <w:rPr>
          <w:rFonts w:ascii="Times New Roman" w:hAnsi="Times New Roman"/>
          <w:noProof/>
          <w:sz w:val="24"/>
        </w:rPr>
        <w:t>ми, както е предложено в Плана за инвестиции за Европа</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Пакетът включва </w:t>
      </w:r>
      <w:r>
        <w:rPr>
          <w:rFonts w:ascii="Times New Roman" w:hAnsi="Times New Roman"/>
          <w:b/>
          <w:noProof/>
          <w:sz w:val="24"/>
        </w:rPr>
        <w:t>план за действие с цел стимулиране на инвестициите в инфраструктурата за алтернативни горива и енергоносители</w:t>
      </w:r>
      <w:r>
        <w:rPr>
          <w:rFonts w:ascii="Times New Roman" w:hAnsi="Times New Roman"/>
          <w:noProof/>
          <w:sz w:val="24"/>
        </w:rPr>
        <w:t xml:space="preserve"> и разработване на мрежа от бързозареждащи и оперативно съвместими зарядни</w:t>
      </w:r>
      <w:r>
        <w:rPr>
          <w:rFonts w:ascii="Times New Roman" w:hAnsi="Times New Roman"/>
          <w:noProof/>
          <w:sz w:val="24"/>
        </w:rPr>
        <w:t xml:space="preserve"> станции в целия Съюз</w:t>
      </w:r>
      <w:r>
        <w:rPr>
          <w:rStyle w:val="FootnoteReference"/>
          <w:rFonts w:ascii="Times New Roman" w:hAnsi="Times New Roman"/>
          <w:noProof/>
          <w:sz w:val="24"/>
        </w:rPr>
        <w:footnoteReference w:id="25"/>
      </w:r>
      <w:r>
        <w:rPr>
          <w:noProof/>
        </w:rPr>
        <w:t>.</w:t>
      </w:r>
    </w:p>
    <w:p w:rsidR="00474DBA" w:rsidRDefault="0096528C">
      <w:pPr>
        <w:spacing w:line="240" w:lineRule="auto"/>
        <w:jc w:val="both"/>
        <w:rPr>
          <w:rFonts w:ascii="Times New Roman" w:hAnsi="Times New Roman" w:cs="Times New Roman"/>
          <w:noProof/>
          <w:sz w:val="24"/>
        </w:rPr>
      </w:pPr>
      <w:r>
        <w:rPr>
          <w:rFonts w:ascii="Times New Roman" w:hAnsi="Times New Roman"/>
          <w:noProof/>
          <w:sz w:val="24"/>
        </w:rPr>
        <w:t>Комисията увеличава финансовата подкрепа, за да привлече публични и частни инвестиции за разгръщането на инфраструктурата за алтернативни горива и енергоносители, и предоставя за тази цел до 800 млн. евро</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Тези средства ще бъдат ко</w:t>
      </w:r>
      <w:r>
        <w:rPr>
          <w:rFonts w:ascii="Times New Roman" w:hAnsi="Times New Roman"/>
          <w:noProof/>
          <w:sz w:val="24"/>
        </w:rPr>
        <w:t>мбинирани със значителните средства,</w:t>
      </w:r>
      <w:r>
        <w:rPr>
          <w:noProof/>
        </w:rPr>
        <w:t xml:space="preserve"> </w:t>
      </w:r>
      <w:r>
        <w:rPr>
          <w:rFonts w:ascii="Times New Roman" w:hAnsi="Times New Roman"/>
          <w:noProof/>
          <w:sz w:val="24"/>
        </w:rPr>
        <w:t>които вече са заделени за тази област в рамките на Механизма за свързване на Европа и европейските структурни и инвестиционни фондове</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Политиката на сближаване може да подпомогне разгръщането на инфраструктура за алтер</w:t>
      </w:r>
      <w:r>
        <w:rPr>
          <w:rFonts w:ascii="Times New Roman" w:hAnsi="Times New Roman"/>
          <w:noProof/>
          <w:sz w:val="24"/>
        </w:rPr>
        <w:t xml:space="preserve">нативни горива и енергоносители за всички видове транспорт и всички горива и енергоносители, например на зарядни станции в отделни градове, както и в по-малки общности, но също така и да спомогне за финансирането на закупуването чрез обществени поръчки на </w:t>
      </w:r>
      <w:r>
        <w:rPr>
          <w:rFonts w:ascii="Times New Roman" w:hAnsi="Times New Roman"/>
          <w:noProof/>
          <w:sz w:val="24"/>
        </w:rPr>
        <w:t>превозни средства, използващи алтернативни горива и енергоносители, например на екологично чисти градски автобуси</w:t>
      </w:r>
      <w:r>
        <w:rPr>
          <w:rStyle w:val="FootnoteReference"/>
          <w:rFonts w:ascii="Times New Roman" w:hAnsi="Times New Roman"/>
          <w:noProof/>
          <w:sz w:val="24"/>
        </w:rPr>
        <w:footnoteReference w:id="28"/>
      </w:r>
      <w:r>
        <w:rPr>
          <w:noProof/>
        </w:rPr>
        <w:t>.</w:t>
      </w:r>
    </w:p>
    <w:p w:rsidR="00474DBA" w:rsidRDefault="0096528C">
      <w:pPr>
        <w:spacing w:line="240" w:lineRule="auto"/>
        <w:jc w:val="both"/>
        <w:rPr>
          <w:rFonts w:ascii="Times New Roman" w:hAnsi="Times New Roman" w:cs="Times New Roman"/>
          <w:b/>
          <w:noProof/>
          <w:sz w:val="24"/>
          <w:szCs w:val="24"/>
        </w:rPr>
      </w:pPr>
      <w:r>
        <w:rPr>
          <w:rFonts w:ascii="Times New Roman" w:hAnsi="Times New Roman"/>
          <w:noProof/>
          <w:sz w:val="24"/>
        </w:rPr>
        <w:t>Необходимо е тясно сътрудничество и координация между Комисията, държавите членки и местното управление, за да се гарантира, че всички празн</w:t>
      </w:r>
      <w:r>
        <w:rPr>
          <w:rFonts w:ascii="Times New Roman" w:hAnsi="Times New Roman"/>
          <w:noProof/>
          <w:sz w:val="24"/>
        </w:rPr>
        <w:t>оти са запълнени и че потребителите и техните екологично чисти автомобили не са оставени „на сухо“. Водачите на превозни средства трябва да са сигурни, че когато пътуват из ЕС, ще имат лесен достъп до възможности за презареждане, където и когато се нуждаят</w:t>
      </w:r>
      <w:r>
        <w:rPr>
          <w:rFonts w:ascii="Times New Roman" w:hAnsi="Times New Roman"/>
          <w:noProof/>
          <w:sz w:val="24"/>
        </w:rPr>
        <w:t xml:space="preserve"> от тях.</w:t>
      </w:r>
      <w:r>
        <w:rPr>
          <w:rFonts w:ascii="Times New Roman" w:hAnsi="Times New Roman"/>
          <w:b/>
          <w:noProof/>
          <w:sz w:val="24"/>
        </w:rPr>
        <w:t xml:space="preserve"> Нито една област в ЕС и нито един потребител не трябва да бъдат пренебрегнати.</w:t>
      </w:r>
    </w:p>
    <w:p w:rsidR="00474DBA" w:rsidRDefault="0096528C">
      <w:pPr>
        <w:autoSpaceDE w:val="0"/>
        <w:autoSpaceDN w:val="0"/>
        <w:adjustRightInd w:val="0"/>
        <w:spacing w:before="240" w:after="0" w:line="240" w:lineRule="auto"/>
        <w:jc w:val="both"/>
        <w:rPr>
          <w:rFonts w:ascii="Times New Roman" w:hAnsi="Times New Roman" w:cs="Times New Roman"/>
          <w:noProof/>
          <w:sz w:val="24"/>
        </w:rPr>
      </w:pPr>
      <w:r>
        <w:rPr>
          <w:rFonts w:ascii="Times New Roman" w:hAnsi="Times New Roman"/>
          <w:noProof/>
          <w:sz w:val="24"/>
        </w:rPr>
        <w:t>Този пакет помага на държавите членки, областите и градовете да увеличат възможностите за екологично чист транспорт, които те предлагат на гражданите. Тази тенденция се</w:t>
      </w:r>
      <w:r>
        <w:rPr>
          <w:rFonts w:ascii="Times New Roman" w:hAnsi="Times New Roman"/>
          <w:noProof/>
          <w:sz w:val="24"/>
        </w:rPr>
        <w:t xml:space="preserve"> подсилва от увеличаването на приноса на обществените поръчки за навлизането на пазара на чисти превозни средства чрез </w:t>
      </w:r>
      <w:r>
        <w:rPr>
          <w:rFonts w:ascii="Times New Roman" w:hAnsi="Times New Roman"/>
          <w:b/>
          <w:noProof/>
          <w:sz w:val="24"/>
        </w:rPr>
        <w:t>насърчаването на чистите превозни средства в търговете за възлагане на обществени поръчки</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Градовете играят решаваща роля за прилагането</w:t>
      </w:r>
      <w:r>
        <w:rPr>
          <w:rFonts w:ascii="Times New Roman" w:hAnsi="Times New Roman"/>
          <w:noProof/>
          <w:sz w:val="24"/>
        </w:rPr>
        <w:t xml:space="preserve"> на Парижкото споразумение, по-специално чрез своите политики за екологично чиста мобилност. Церемонията на Споразумението на кметовете (Covenant of Mayors) през февруари 2018 г. ще събере над 700 европейски кметове и ще стимулира допълнително тези действи</w:t>
      </w:r>
      <w:r>
        <w:rPr>
          <w:rFonts w:ascii="Times New Roman" w:hAnsi="Times New Roman"/>
          <w:noProof/>
          <w:sz w:val="24"/>
        </w:rPr>
        <w:t>я на местно равнище.</w:t>
      </w:r>
    </w:p>
    <w:p w:rsidR="00474DBA" w:rsidRDefault="0096528C">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пакетът се допълва от текущите действия за подобряване на възможностите на потребителите за по-прецизен избор при покупката или използването на превозно средство чрез предлагане на </w:t>
      </w:r>
      <w:r>
        <w:rPr>
          <w:rFonts w:ascii="Times New Roman" w:hAnsi="Times New Roman"/>
          <w:b/>
          <w:noProof/>
          <w:sz w:val="24"/>
        </w:rPr>
        <w:t>методика за сравняване на разходите на разл</w:t>
      </w:r>
      <w:r>
        <w:rPr>
          <w:rFonts w:ascii="Times New Roman" w:hAnsi="Times New Roman"/>
          <w:b/>
          <w:noProof/>
          <w:sz w:val="24"/>
        </w:rPr>
        <w:t>ичните налични видове горива и енергоносители</w:t>
      </w:r>
      <w:r>
        <w:rPr>
          <w:rFonts w:ascii="Times New Roman" w:hAnsi="Times New Roman"/>
          <w:noProof/>
          <w:sz w:val="24"/>
        </w:rPr>
        <w:t xml:space="preserve"> и разясняване на ползите от преминаването към по-чисти решения в областта на мобилността. За тази цел Комисията разработва заедно с държавите членки европейска </w:t>
      </w:r>
      <w:r>
        <w:rPr>
          <w:rFonts w:ascii="Times New Roman" w:hAnsi="Times New Roman"/>
          <w:b/>
          <w:noProof/>
          <w:sz w:val="24"/>
        </w:rPr>
        <w:t>методика за сравняване на цените на горивата и ене</w:t>
      </w:r>
      <w:r>
        <w:rPr>
          <w:rFonts w:ascii="Times New Roman" w:hAnsi="Times New Roman"/>
          <w:b/>
          <w:noProof/>
          <w:sz w:val="24"/>
        </w:rPr>
        <w:t>ргоносителите</w:t>
      </w:r>
      <w:r>
        <w:rPr>
          <w:rFonts w:ascii="Times New Roman" w:hAnsi="Times New Roman"/>
          <w:noProof/>
          <w:sz w:val="24"/>
        </w:rPr>
        <w:t xml:space="preserve"> и вече предлага </w:t>
      </w:r>
      <w:r>
        <w:rPr>
          <w:rFonts w:ascii="Times New Roman" w:hAnsi="Times New Roman"/>
          <w:b/>
          <w:noProof/>
          <w:sz w:val="24"/>
        </w:rPr>
        <w:t>инструмент за „зелено движение“</w:t>
      </w:r>
      <w:r>
        <w:rPr>
          <w:rFonts w:ascii="Times New Roman" w:hAnsi="Times New Roman"/>
          <w:noProof/>
          <w:sz w:val="24"/>
        </w:rPr>
        <w:t>, който дава възможност на потребителите да сравняват въздействието на различни технологии върху разхода на гориво и емисиите на CO</w:t>
      </w:r>
      <w:r>
        <w:rPr>
          <w:rFonts w:ascii="Times New Roman" w:hAnsi="Times New Roman"/>
          <w:noProof/>
          <w:sz w:val="24"/>
          <w:vertAlign w:val="subscript"/>
        </w:rPr>
        <w:t>2</w:t>
      </w:r>
      <w:r>
        <w:rPr>
          <w:rStyle w:val="FootnoteReference"/>
          <w:rFonts w:ascii="Times New Roman" w:hAnsi="Times New Roman"/>
          <w:noProof/>
          <w:sz w:val="24"/>
        </w:rPr>
        <w:footnoteReference w:id="30"/>
      </w:r>
      <w:r>
        <w:rPr>
          <w:noProof/>
        </w:rPr>
        <w:t>.</w:t>
      </w:r>
    </w:p>
    <w:p w:rsidR="00474DBA" w:rsidRDefault="0096528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noProof/>
        </w:rPr>
        <w:t xml:space="preserve">Комисията и Европейска инвестиционна банка създадоха </w:t>
      </w:r>
      <w:r>
        <w:rPr>
          <w:rFonts w:ascii="Times New Roman" w:hAnsi="Times New Roman"/>
          <w:b/>
          <w:noProof/>
        </w:rPr>
        <w:t>„Механи</w:t>
      </w:r>
      <w:r>
        <w:rPr>
          <w:rFonts w:ascii="Times New Roman" w:hAnsi="Times New Roman"/>
          <w:b/>
          <w:noProof/>
        </w:rPr>
        <w:t>зма за чист транспорт“</w:t>
      </w:r>
      <w:r>
        <w:rPr>
          <w:rFonts w:ascii="Times New Roman" w:hAnsi="Times New Roman"/>
          <w:noProof/>
        </w:rPr>
        <w:t xml:space="preserve"> с цел финансиране на проекти в областта на екологично чистия транспорт, с акцент върху обществения транспорт, като използваха Механизма за свързване на Европа и/или Европейския фонд за стратегически инвестиции. По линия на </w:t>
      </w:r>
      <w:r>
        <w:rPr>
          <w:rFonts w:ascii="Times New Roman" w:hAnsi="Times New Roman"/>
          <w:b/>
          <w:noProof/>
        </w:rPr>
        <w:t>Европейски</w:t>
      </w:r>
      <w:r>
        <w:rPr>
          <w:rFonts w:ascii="Times New Roman" w:hAnsi="Times New Roman"/>
          <w:b/>
          <w:noProof/>
        </w:rPr>
        <w:t>я фонд за регионално развитие</w:t>
      </w:r>
      <w:r>
        <w:rPr>
          <w:rFonts w:ascii="Times New Roman" w:hAnsi="Times New Roman"/>
          <w:noProof/>
        </w:rPr>
        <w:t xml:space="preserve">, който може да предостави до 35 млрд. евро в подкрепа на постигането на енергийно ефективен и декарбонизиран транспортен сектор, 12,4 млрд. евро са заделени за екологично чист градски транспорт. По-специално чрез инициативата </w:t>
      </w:r>
      <w:r>
        <w:rPr>
          <w:rFonts w:ascii="Times New Roman" w:hAnsi="Times New Roman"/>
          <w:noProof/>
        </w:rPr>
        <w:t xml:space="preserve">за Европейско териториално сътрудничество (Interreg) може да се гарантира разгръщането на инфраструктура за алтернативни горива и енергоносители по съгласуван начин на областно и местно равнище. Редица държави членки вече се възползваха от възможността да </w:t>
      </w:r>
      <w:r>
        <w:rPr>
          <w:rFonts w:ascii="Times New Roman" w:hAnsi="Times New Roman"/>
          <w:noProof/>
        </w:rPr>
        <w:t xml:space="preserve">заплануват разгръщането на инфраструктура за алтернативни горива и енергоносители или да закупят екологично чист подвижен състав за обществения транспорт (напр. електрически автобуси). Например, в Чешката република програмата „Транспорт“ подкрепя (с около </w:t>
      </w:r>
      <w:r>
        <w:rPr>
          <w:rFonts w:ascii="Times New Roman" w:hAnsi="Times New Roman"/>
          <w:noProof/>
        </w:rPr>
        <w:t>30 млн. евро) изграждането на зарядни станции за електрически превозни средства. В редица държави членки, включително Полша, Словакия, Чешката република, Словения и Испания, се планира да бъдат закупени електрически автобуси с подкрепата на европейските ст</w:t>
      </w:r>
      <w:r>
        <w:rPr>
          <w:rFonts w:ascii="Times New Roman" w:hAnsi="Times New Roman"/>
          <w:noProof/>
        </w:rPr>
        <w:t>руктурни и инвестиционни фондове.</w:t>
      </w:r>
    </w:p>
    <w:p w:rsidR="00474DBA" w:rsidRDefault="0096528C">
      <w:pPr>
        <w:spacing w:before="240"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Европа, която защитава — насърчаване на конкурентоспособността на промишлеността на ЕС с цел стимулиране на работните места, растежа и инвестициите</w:t>
      </w:r>
    </w:p>
    <w:p w:rsidR="00474DBA" w:rsidRDefault="0096528C">
      <w:pPr>
        <w:spacing w:after="0" w:line="240" w:lineRule="auto"/>
        <w:jc w:val="both"/>
        <w:rPr>
          <w:rFonts w:ascii="Times New Roman" w:hAnsi="Times New Roman" w:cs="Times New Roman"/>
          <w:noProof/>
          <w:sz w:val="24"/>
          <w:szCs w:val="24"/>
        </w:rPr>
      </w:pPr>
      <w:r>
        <w:rPr>
          <w:rFonts w:ascii="Times New Roman" w:hAnsi="Times New Roman"/>
          <w:noProof/>
          <w:sz w:val="24"/>
        </w:rPr>
        <w:t>Заемането с предизвикателствата в областта на енергетиката и климата съ</w:t>
      </w:r>
      <w:r>
        <w:rPr>
          <w:rFonts w:ascii="Times New Roman" w:hAnsi="Times New Roman"/>
          <w:noProof/>
          <w:sz w:val="24"/>
        </w:rPr>
        <w:t xml:space="preserve">здава значителна възможност за промишлеността на ЕС да повиши своята конкурентоспособност и да укрепи водещата си позиция в световен мащаб чрез иновации. Нашите основни търговски партньори вече се ориентират в тази посока, като Китай си поставя амбициозни </w:t>
      </w:r>
      <w:r>
        <w:rPr>
          <w:rFonts w:ascii="Times New Roman" w:hAnsi="Times New Roman"/>
          <w:noProof/>
          <w:sz w:val="24"/>
        </w:rPr>
        <w:t>цели за производството и вноса на екологично чисти превозни средства (т.е. електрически превозни средства и превозни средства с горивни клетки) през 2019 и 2020 г., като за 2019 г. целта е делът на продажбите на такива превозни средства да достигне около 5</w:t>
      </w:r>
      <w:r>
        <w:rPr>
          <w:rFonts w:ascii="Times New Roman" w:hAnsi="Times New Roman"/>
          <w:noProof/>
          <w:sz w:val="24"/>
        </w:rPr>
        <w:t> % от всички продажби на нови превозни средства. Лекият автомобил е бил изобретен в Европа и Европа трябва да поеме водеща роля при неговото преоткриване.</w:t>
      </w:r>
    </w:p>
    <w:p w:rsidR="00474DBA" w:rsidRDefault="0096528C">
      <w:pPr>
        <w:spacing w:before="240" w:after="240" w:line="240" w:lineRule="auto"/>
        <w:jc w:val="both"/>
        <w:rPr>
          <w:rFonts w:ascii="Times New Roman" w:hAnsi="Times New Roman" w:cs="Times New Roman"/>
          <w:noProof/>
          <w:sz w:val="24"/>
          <w:szCs w:val="24"/>
        </w:rPr>
      </w:pPr>
      <w:r>
        <w:rPr>
          <w:rFonts w:ascii="Times New Roman" w:hAnsi="Times New Roman"/>
          <w:noProof/>
          <w:sz w:val="24"/>
        </w:rPr>
        <w:t>Повече от всякога промишлеността на ЕС като цяло и автомобилният и транспортният сектор в частност са</w:t>
      </w:r>
      <w:r>
        <w:rPr>
          <w:rFonts w:ascii="Times New Roman" w:hAnsi="Times New Roman"/>
          <w:noProof/>
          <w:sz w:val="24"/>
        </w:rPr>
        <w:t xml:space="preserve"> изправени пред големи трансформации, засягащи тяхната стопанска дейност, предлаганите от тях продукти и техните процеси. Сред областите, в които се случват най-големите промени, са намаляването на емисиите, иновациите в електрическото задвижване, автономн</w:t>
      </w:r>
      <w:r>
        <w:rPr>
          <w:rFonts w:ascii="Times New Roman" w:hAnsi="Times New Roman"/>
          <w:noProof/>
          <w:sz w:val="24"/>
        </w:rPr>
        <w:t>ото управление на автомобилите и свързаните превозни средства, като традиционните производствени процеси също се променят из основи в следствие на цифровизацията и автоматизацията. Веригите за създаване на стойност в автомобилния сектор, включително в сект</w:t>
      </w:r>
      <w:r>
        <w:rPr>
          <w:rFonts w:ascii="Times New Roman" w:hAnsi="Times New Roman"/>
          <w:noProof/>
          <w:sz w:val="24"/>
        </w:rPr>
        <w:t>ора за производство на компоненти, се променят бързо с навлизането на нови участници на пазара.</w:t>
      </w:r>
      <w:r>
        <w:rPr>
          <w:rFonts w:ascii="Times New Roman" w:hAnsi="Times New Roman"/>
          <w:b/>
          <w:noProof/>
          <w:sz w:val="24"/>
        </w:rPr>
        <w:t xml:space="preserve"> </w:t>
      </w:r>
      <w:r>
        <w:rPr>
          <w:rFonts w:ascii="Times New Roman" w:hAnsi="Times New Roman"/>
          <w:noProof/>
          <w:sz w:val="24"/>
        </w:rPr>
        <w:t>В същото време, основната задача на европейската автомобилна промишленост в момента е да си възвърне доверието на потребителите.</w:t>
      </w:r>
    </w:p>
    <w:p w:rsidR="00474DBA" w:rsidRDefault="0096528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noProof/>
        </w:rPr>
      </w:pPr>
      <w:r>
        <w:rPr>
          <w:rFonts w:ascii="Times New Roman" w:hAnsi="Times New Roman"/>
          <w:noProof/>
        </w:rPr>
        <w:t>Автомобилният сектор е от основ</w:t>
      </w:r>
      <w:r>
        <w:rPr>
          <w:rFonts w:ascii="Times New Roman" w:hAnsi="Times New Roman"/>
          <w:noProof/>
        </w:rPr>
        <w:t>но значение за благоденствието на Европа, тъй като осигурява работни места за 12 милиона души в производството, продажбата, поддръжката и транспорта и създава 4 % от брутния вътрешен продукт на ЕС. Автомобилният сектор на ЕС е сред най-големите производите</w:t>
      </w:r>
      <w:r>
        <w:rPr>
          <w:rFonts w:ascii="Times New Roman" w:hAnsi="Times New Roman"/>
          <w:noProof/>
        </w:rPr>
        <w:t>ли на моторни превозни средства в света. Неговият принос към научноизследователската и развойната дейност е най-големият, идващ от частния сектор, като възлиза на над 50 млрд. евро годишно</w:t>
      </w:r>
      <w:r>
        <w:rPr>
          <w:rStyle w:val="FootnoteReference"/>
          <w:rFonts w:ascii="Times New Roman" w:hAnsi="Times New Roman"/>
          <w:noProof/>
        </w:rPr>
        <w:footnoteReference w:id="31"/>
      </w:r>
      <w:r>
        <w:rPr>
          <w:noProof/>
        </w:rPr>
        <w:t>.</w:t>
      </w:r>
    </w:p>
    <w:p w:rsidR="00474DBA" w:rsidRDefault="0096528C">
      <w:pPr>
        <w:spacing w:line="240" w:lineRule="auto"/>
        <w:jc w:val="both"/>
        <w:rPr>
          <w:rFonts w:ascii="Times New Roman" w:hAnsi="Times New Roman"/>
          <w:noProof/>
          <w:sz w:val="24"/>
        </w:rPr>
      </w:pPr>
      <w:r>
        <w:rPr>
          <w:rFonts w:ascii="Times New Roman" w:hAnsi="Times New Roman"/>
          <w:noProof/>
          <w:sz w:val="24"/>
        </w:rPr>
        <w:t>Амбицията ни е да направим промишлеността на ЕС по-силна и по-кон</w:t>
      </w:r>
      <w:r>
        <w:rPr>
          <w:rFonts w:ascii="Times New Roman" w:hAnsi="Times New Roman"/>
          <w:noProof/>
          <w:sz w:val="24"/>
        </w:rPr>
        <w:t>курентоспособна в дългосрочен план.</w:t>
      </w:r>
      <w:r>
        <w:rPr>
          <w:rFonts w:ascii="Times New Roman" w:hAnsi="Times New Roman"/>
          <w:b/>
          <w:noProof/>
          <w:sz w:val="24"/>
        </w:rPr>
        <w:t xml:space="preserve"> Иновациите, цифровизацията и декарбонизацията са от ключово значение за запазването на водещата роля на Европа в автомобилната промишленост на бъдещето. </w:t>
      </w:r>
      <w:r>
        <w:rPr>
          <w:rFonts w:ascii="Times New Roman" w:hAnsi="Times New Roman"/>
          <w:noProof/>
          <w:sz w:val="24"/>
        </w:rPr>
        <w:t>Това е основен стълб в индустриалната политика на ЕС в по-широк сми</w:t>
      </w:r>
      <w:r>
        <w:rPr>
          <w:rFonts w:ascii="Times New Roman" w:hAnsi="Times New Roman"/>
          <w:noProof/>
          <w:sz w:val="24"/>
        </w:rPr>
        <w:t>съл</w:t>
      </w:r>
      <w:r>
        <w:rPr>
          <w:rStyle w:val="FootnoteReference"/>
          <w:rFonts w:ascii="Times New Roman" w:hAnsi="Times New Roman"/>
          <w:noProof/>
          <w:sz w:val="24"/>
        </w:rPr>
        <w:footnoteReference w:id="32"/>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Тези текущи трансформации на промишлеността оказват също значителен натиск за приспособяване върху личния състав. Затова те трябва да се придружават от мерки за гарантиране на плавен преход и повишаване на устойчивостта, така че</w:t>
      </w:r>
      <w:r>
        <w:rPr>
          <w:rFonts w:ascii="Times New Roman" w:hAnsi="Times New Roman"/>
          <w:b/>
          <w:noProof/>
          <w:sz w:val="24"/>
        </w:rPr>
        <w:t xml:space="preserve"> хората и общностите д</w:t>
      </w:r>
      <w:r>
        <w:rPr>
          <w:rFonts w:ascii="Times New Roman" w:hAnsi="Times New Roman"/>
          <w:b/>
          <w:noProof/>
          <w:sz w:val="24"/>
        </w:rPr>
        <w:t>а могат да се възползват от новите възможности</w:t>
      </w:r>
      <w:r>
        <w:rPr>
          <w:rFonts w:ascii="Times New Roman" w:hAnsi="Times New Roman"/>
          <w:noProof/>
          <w:sz w:val="24"/>
        </w:rPr>
        <w:t xml:space="preserve">. Тези мерки трябва да са насочени към новите професионални изисквания, да подкрепят ученето през целия живот и да подпомагат работниците при смяната на работното място, като активно подкрепят онези работещи в </w:t>
      </w:r>
      <w:r>
        <w:rPr>
          <w:rFonts w:ascii="Times New Roman" w:hAnsi="Times New Roman"/>
          <w:noProof/>
          <w:sz w:val="24"/>
        </w:rPr>
        <w:t xml:space="preserve">засегнатите сектори, които евентуално трябва да напуснат сектора, да се преквалифицират и да намерят ново работно място. Комисията, в партньорство с държавите членки и заинтересованите страни като работодатели, представители на работниците и доставчици на </w:t>
      </w:r>
      <w:r>
        <w:rPr>
          <w:rFonts w:ascii="Times New Roman" w:hAnsi="Times New Roman"/>
          <w:noProof/>
          <w:sz w:val="24"/>
        </w:rPr>
        <w:t>услуги за образование и обучение, подпомага устойчивостта и конкурентоспособността на пазарите на труда, работи за справяне с  недостига на умения и несъответствието между търсените и предлаганите умения и подкрепя развитието на нови умения чрез обучение в</w:t>
      </w:r>
      <w:r>
        <w:rPr>
          <w:rFonts w:ascii="Times New Roman" w:hAnsi="Times New Roman"/>
          <w:noProof/>
          <w:sz w:val="24"/>
        </w:rPr>
        <w:t xml:space="preserve"> чужбина. Сред основните инициативи са Програмата на ЕС за умения</w:t>
      </w:r>
      <w:r>
        <w:rPr>
          <w:rStyle w:val="FootnoteReference"/>
          <w:rFonts w:ascii="Times New Roman" w:hAnsi="Times New Roman"/>
          <w:noProof/>
          <w:sz w:val="24"/>
        </w:rPr>
        <w:footnoteReference w:id="33"/>
      </w:r>
      <w:r>
        <w:rPr>
          <w:rFonts w:ascii="Times New Roman" w:hAnsi="Times New Roman"/>
          <w:noProof/>
          <w:sz w:val="24"/>
        </w:rPr>
        <w:t xml:space="preserve"> и Подробният план за действие за секторно сътрудничество във връзка с уменията</w:t>
      </w:r>
      <w:r>
        <w:rPr>
          <w:rStyle w:val="FootnoteReference"/>
          <w:rFonts w:ascii="Times New Roman" w:hAnsi="Times New Roman"/>
          <w:noProof/>
          <w:sz w:val="24"/>
        </w:rPr>
        <w:footnoteReference w:id="34"/>
      </w:r>
      <w:r>
        <w:rPr>
          <w:rFonts w:ascii="Times New Roman" w:hAnsi="Times New Roman"/>
          <w:noProof/>
          <w:sz w:val="24"/>
        </w:rPr>
        <w:t>, както и Европейският социален фонд и програмата „Еразъм+“</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Комисията също така определи начините за максима</w:t>
      </w:r>
      <w:r>
        <w:rPr>
          <w:rFonts w:ascii="Times New Roman" w:hAnsi="Times New Roman"/>
          <w:noProof/>
          <w:sz w:val="24"/>
        </w:rPr>
        <w:t>лно увеличаване на иновационния потенциал на Европа чрез „интелигентна специализация“ на областно равнище, включително изграждане на социалната устойчивост в общностите чрез едновременно генериране на икономическа дейност и създаване на заетост, както и пр</w:t>
      </w:r>
      <w:r>
        <w:rPr>
          <w:rFonts w:ascii="Times New Roman" w:hAnsi="Times New Roman"/>
          <w:noProof/>
          <w:sz w:val="24"/>
        </w:rPr>
        <w:t>едоставяне на подкрепа за областите в преход</w:t>
      </w:r>
      <w:r>
        <w:rPr>
          <w:rStyle w:val="FootnoteReference"/>
          <w:rFonts w:ascii="Times New Roman" w:hAnsi="Times New Roman"/>
          <w:noProof/>
          <w:sz w:val="24"/>
        </w:rPr>
        <w:footnoteReference w:id="36"/>
      </w:r>
      <w:r>
        <w:rPr>
          <w:noProof/>
        </w:rPr>
        <w:t>.</w:t>
      </w:r>
      <w:r>
        <w:rPr>
          <w:rFonts w:ascii="Times New Roman" w:hAnsi="Times New Roman"/>
          <w:noProof/>
          <w:sz w:val="24"/>
        </w:rPr>
        <w:t xml:space="preserve"> Ще бъдат разработени също инструменти за предприятията и институциите в областта на образованието и обучението, които да подпомагат проучването и прогнозирането на нуждите от умения</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Законодателството на ЕС </w:t>
      </w:r>
      <w:r>
        <w:rPr>
          <w:rFonts w:ascii="Times New Roman" w:hAnsi="Times New Roman"/>
          <w:noProof/>
          <w:sz w:val="24"/>
        </w:rPr>
        <w:t>трябва да определи правилните стимули, които ще задържат промишлеността на пътя към декарбонизацията и технологичното и промишлено лидерство в световен мащаб. Това означава, че инвестиции в декарбонизацията трябва да се правят успоредно с инвестициите в ци</w:t>
      </w:r>
      <w:r>
        <w:rPr>
          <w:rFonts w:ascii="Times New Roman" w:hAnsi="Times New Roman"/>
          <w:noProof/>
          <w:sz w:val="24"/>
        </w:rPr>
        <w:t>фровизацията и автоматизацията, така че Европа да може също да постигне водеща роля в тази важна технологична надпревара. Въпреки очаквания бърз растеж при екологично чистите, и по-специално при електрическите превозни средства, се прогнозира, че през 2030</w:t>
      </w:r>
      <w:r>
        <w:rPr>
          <w:rFonts w:ascii="Times New Roman" w:hAnsi="Times New Roman"/>
          <w:noProof/>
          <w:sz w:val="24"/>
        </w:rPr>
        <w:t> г. при липсата на нови политики, около 90 процента от автомобилите по пътищата на Европа ще продължат да бъдат задвижвани само от двигател с вътрешно горене</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За постигането на балансиран и устойчив процес на преход се изискват непрекъснати инвестиции за </w:t>
      </w:r>
      <w:r>
        <w:rPr>
          <w:rFonts w:ascii="Times New Roman" w:hAnsi="Times New Roman"/>
          <w:noProof/>
          <w:sz w:val="24"/>
        </w:rPr>
        <w:t>повишаване на горивната ефективност на превозните средства и за успешно пускане на пазара на повече превозни средства с ниски и нулеви емисии. Този балансиран подход дава възможност за непрекъснати подобрения на ефективността на двигателите с вътрешно горе</w:t>
      </w:r>
      <w:r>
        <w:rPr>
          <w:rFonts w:ascii="Times New Roman" w:hAnsi="Times New Roman"/>
          <w:noProof/>
          <w:sz w:val="24"/>
        </w:rPr>
        <w:t>не и ще осигури необходимото време, за да се разгърне инфраструктурата и до пазара да достигнат повече екологично чисти превозни средства с добри показатели, които са икономически приемливи и достъпни за всички европейски граждани</w:t>
      </w:r>
      <w:r>
        <w:rPr>
          <w:rStyle w:val="FootnoteReference"/>
          <w:rFonts w:ascii="Times New Roman" w:hAnsi="Times New Roman"/>
          <w:noProof/>
          <w:sz w:val="24"/>
        </w:rPr>
        <w:footnoteReference w:id="39"/>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предложението на Комисията за </w:t>
      </w:r>
      <w:r>
        <w:rPr>
          <w:rFonts w:ascii="Times New Roman" w:hAnsi="Times New Roman"/>
          <w:b/>
          <w:noProof/>
          <w:sz w:val="24"/>
        </w:rPr>
        <w:t>стандартите за емисии на CO</w:t>
      </w:r>
      <w:r>
        <w:rPr>
          <w:rFonts w:ascii="Times New Roman" w:hAnsi="Times New Roman"/>
          <w:b/>
          <w:noProof/>
          <w:sz w:val="24"/>
          <w:vertAlign w:val="subscript"/>
        </w:rPr>
        <w:t>2</w:t>
      </w:r>
      <w:r>
        <w:rPr>
          <w:rFonts w:ascii="Times New Roman" w:hAnsi="Times New Roman"/>
          <w:b/>
          <w:noProof/>
          <w:sz w:val="24"/>
        </w:rPr>
        <w:t xml:space="preserve"> за леки автомобили и ванове</w:t>
      </w:r>
      <w:r>
        <w:rPr>
          <w:rFonts w:ascii="Times New Roman" w:hAnsi="Times New Roman"/>
          <w:noProof/>
          <w:sz w:val="24"/>
        </w:rPr>
        <w:t xml:space="preserve"> за периода след 2020 г. включва амбициозни, но същевременно реалистични цели за намаляване на емисиите за 2025 и 2030 г. С него се създава също система за кр</w:t>
      </w:r>
      <w:r>
        <w:rPr>
          <w:rFonts w:ascii="Times New Roman" w:hAnsi="Times New Roman"/>
          <w:noProof/>
          <w:sz w:val="24"/>
        </w:rPr>
        <w:t>едитиране, основаваща се на целеви показатели относно дела на превозните средства с ниски и нулеви емисии, а не на предписания за конкретна технология с фиксирани квоти. По този начин се дава ясен и силен сигнал на инвестиращите в системи за алтернативно з</w:t>
      </w:r>
      <w:r>
        <w:rPr>
          <w:rFonts w:ascii="Times New Roman" w:hAnsi="Times New Roman"/>
          <w:noProof/>
          <w:sz w:val="24"/>
        </w:rPr>
        <w:t xml:space="preserve">адвижване и инфраструктура за алтернативни горива и енергоносители, като идеята е да се предостави устойчив стимул на лидерите в областта да продължат да инвестират в технологии с ниски нива на въглеродни емисии. Чрез междинен преглед на законодателството </w:t>
      </w:r>
      <w:r>
        <w:rPr>
          <w:rFonts w:ascii="Times New Roman" w:hAnsi="Times New Roman"/>
          <w:noProof/>
          <w:sz w:val="24"/>
        </w:rPr>
        <w:t xml:space="preserve">Комисията ще има възможност да прави оценка на ефективността на законодателството и, когато е уместно, да предлага изменения.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счита, че е важно да </w:t>
      </w:r>
      <w:r>
        <w:rPr>
          <w:rFonts w:ascii="Times New Roman" w:hAnsi="Times New Roman"/>
          <w:b/>
          <w:noProof/>
          <w:sz w:val="24"/>
        </w:rPr>
        <w:t>се запази технологично неутралното определение на превозните средства с ниски и нулеви емисии</w:t>
      </w:r>
      <w:r>
        <w:rPr>
          <w:rFonts w:ascii="Times New Roman" w:hAnsi="Times New Roman"/>
          <w:noProof/>
          <w:sz w:val="24"/>
        </w:rPr>
        <w:t>, с ц</w:t>
      </w:r>
      <w:r>
        <w:rPr>
          <w:rFonts w:ascii="Times New Roman" w:hAnsi="Times New Roman"/>
          <w:noProof/>
          <w:sz w:val="24"/>
        </w:rPr>
        <w:t>ел да се стимулира навлизането на пазара на превозни средства с ниски или нулеви емисии като тези, имащи най-големия потенциал за намаляване на емисиите на СО</w:t>
      </w:r>
      <w:r>
        <w:rPr>
          <w:rFonts w:ascii="Times New Roman" w:hAnsi="Times New Roman"/>
          <w:noProof/>
          <w:sz w:val="24"/>
          <w:vertAlign w:val="subscript"/>
        </w:rPr>
        <w:t>2</w:t>
      </w:r>
      <w:r>
        <w:rPr>
          <w:rFonts w:ascii="Times New Roman" w:hAnsi="Times New Roman"/>
          <w:noProof/>
          <w:sz w:val="24"/>
        </w:rPr>
        <w:t>, но също и тези, които ще осигурят много важна съпътстваща полза по отношение на чистотата на въ</w:t>
      </w:r>
      <w:r>
        <w:rPr>
          <w:rFonts w:ascii="Times New Roman" w:hAnsi="Times New Roman"/>
          <w:noProof/>
          <w:sz w:val="24"/>
        </w:rPr>
        <w:t xml:space="preserve">здуха. Този подход ще осигури регулаторна стабилност за предприятията, предоставяйки им достатъчно време за планиране, и същевременно ще ускори нарастването на предлагането на превозни средства с ниски и нулеви емисии на пазара на ЕС, от което ще спечелят </w:t>
      </w:r>
      <w:r>
        <w:rPr>
          <w:rFonts w:ascii="Times New Roman" w:hAnsi="Times New Roman"/>
          <w:noProof/>
          <w:sz w:val="24"/>
        </w:rPr>
        <w:t>европейските потребители и качеството на живот на гражданите в резултат на по-чистия въздух в нашите градове.</w:t>
      </w:r>
    </w:p>
    <w:p w:rsidR="00474DBA" w:rsidRDefault="0096528C">
      <w:pPr>
        <w:spacing w:line="240" w:lineRule="auto"/>
        <w:jc w:val="both"/>
        <w:rPr>
          <w:rFonts w:ascii="Times New Roman" w:hAnsi="Times New Roman" w:cs="Times New Roman"/>
          <w:noProof/>
          <w:sz w:val="24"/>
          <w:szCs w:val="24"/>
        </w:rPr>
      </w:pPr>
      <w:r>
        <w:rPr>
          <w:rFonts w:ascii="Times New Roman" w:hAnsi="Times New Roman"/>
          <w:b/>
          <w:noProof/>
          <w:sz w:val="24"/>
        </w:rPr>
        <w:t>Свързаните и автоматизираните превозни средства</w:t>
      </w:r>
      <w:r>
        <w:rPr>
          <w:rFonts w:ascii="Times New Roman" w:hAnsi="Times New Roman"/>
          <w:noProof/>
          <w:sz w:val="24"/>
        </w:rPr>
        <w:t xml:space="preserve"> имат значителен потенциал за намаляване на задръстванията, въглеродните емисии, замърсяването на в</w:t>
      </w:r>
      <w:r>
        <w:rPr>
          <w:rFonts w:ascii="Times New Roman" w:hAnsi="Times New Roman"/>
          <w:noProof/>
          <w:sz w:val="24"/>
        </w:rPr>
        <w:t>ъздуха и броя на смъртните случаи по нашите пътища. Тези превозни средства вече навлизат на пазара на ЕС и представляват нови предизвикателства и възможности за конкурентоспособността на промишлеността. За да се извлекат всички ползи от широкомащабните тра</w:t>
      </w:r>
      <w:r>
        <w:rPr>
          <w:rFonts w:ascii="Times New Roman" w:hAnsi="Times New Roman"/>
          <w:noProof/>
          <w:sz w:val="24"/>
        </w:rPr>
        <w:t>нсгранични изпитвания и научни изследвания, както и от програмите за финансиране както на равнище ЕС, така и на равнище държави членки, е необходимо да се гарантира, че трансграничното и общосъюзното разгръщане и внедряване на тази технология се предприема</w:t>
      </w:r>
      <w:r>
        <w:rPr>
          <w:rFonts w:ascii="Times New Roman" w:hAnsi="Times New Roman"/>
          <w:noProof/>
          <w:sz w:val="24"/>
        </w:rPr>
        <w:t xml:space="preserve"> съгласувано и е добре координирано. Освен че подпомага научните изследвания и иновациите в тази област, Комисията продължава работата си по всички свързани с това политически и регулаторни въпроси, включително като взема под внимание препоръките на групат</w:t>
      </w:r>
      <w:r>
        <w:rPr>
          <w:rFonts w:ascii="Times New Roman" w:hAnsi="Times New Roman"/>
          <w:noProof/>
          <w:sz w:val="24"/>
        </w:rPr>
        <w:t>а на високо равнище GEAR2030</w:t>
      </w:r>
      <w:r>
        <w:rPr>
          <w:rStyle w:val="FootnoteReference"/>
          <w:rFonts w:ascii="Times New Roman" w:hAnsi="Times New Roman"/>
          <w:noProof/>
          <w:sz w:val="24"/>
        </w:rPr>
        <w:footnoteReference w:id="40"/>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С широкото внедряване на електромобилността в Европа броят на </w:t>
      </w:r>
      <w:r>
        <w:rPr>
          <w:rFonts w:ascii="Times New Roman" w:hAnsi="Times New Roman"/>
          <w:b/>
          <w:noProof/>
          <w:sz w:val="24"/>
        </w:rPr>
        <w:t>автомобилните акумулатори</w:t>
      </w:r>
      <w:r>
        <w:rPr>
          <w:rFonts w:ascii="Times New Roman" w:hAnsi="Times New Roman"/>
          <w:noProof/>
          <w:sz w:val="24"/>
        </w:rPr>
        <w:t xml:space="preserve"> в ЕС ще се увеличи значително. Действително, акумулаторите са в центъра на тази нова промишлена революция и са основна предпоставка за прехода към екологично чиста мобилност. Тяхното разработване и производство играят стратегическа роля в настоящия преход</w:t>
      </w:r>
      <w:r>
        <w:rPr>
          <w:rFonts w:ascii="Times New Roman" w:hAnsi="Times New Roman"/>
          <w:noProof/>
          <w:sz w:val="24"/>
        </w:rPr>
        <w:t xml:space="preserve"> към екологично чиста мобилност и екологично чисти енергийни системи.  </w:t>
      </w:r>
    </w:p>
    <w:p w:rsidR="00474DBA" w:rsidRDefault="0096528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Глобалните пазарни прогнози предвиждат търсенето на литиево-йонни акумулатори да нарасне до 210—535 GWh до 2025 г., като понастоящем то е 78 GWh. Прогнозите за пазарното търсене в Евро</w:t>
      </w:r>
      <w:r>
        <w:rPr>
          <w:rFonts w:ascii="Times New Roman" w:hAnsi="Times New Roman"/>
          <w:noProof/>
        </w:rPr>
        <w:t>па варират от 37 до 117 GWh през 2025 г., като в момента това търсене е под 10 GWh.</w:t>
      </w:r>
      <w:r>
        <w:rPr>
          <w:rFonts w:ascii="Times New Roman" w:hAnsi="Times New Roman"/>
          <w:noProof/>
          <w:vertAlign w:val="superscript"/>
        </w:rPr>
        <w:footnoteReference w:id="41"/>
      </w:r>
    </w:p>
    <w:p w:rsidR="00474DBA" w:rsidRDefault="0096528C">
      <w:pPr>
        <w:spacing w:after="0" w:line="240" w:lineRule="auto"/>
        <w:jc w:val="both"/>
        <w:rPr>
          <w:rFonts w:ascii="Times New Roman" w:hAnsi="Times New Roman" w:cs="Times New Roman"/>
          <w:noProof/>
          <w:sz w:val="24"/>
          <w:szCs w:val="24"/>
        </w:rPr>
      </w:pPr>
      <w:r>
        <w:rPr>
          <w:rFonts w:ascii="Times New Roman" w:hAnsi="Times New Roman"/>
          <w:noProof/>
          <w:sz w:val="24"/>
        </w:rPr>
        <w:t>Предложението относно стандартите за емисиите на CO</w:t>
      </w:r>
      <w:r>
        <w:rPr>
          <w:rFonts w:ascii="Times New Roman" w:hAnsi="Times New Roman"/>
          <w:noProof/>
          <w:sz w:val="24"/>
          <w:vertAlign w:val="subscript"/>
        </w:rPr>
        <w:t>2</w:t>
      </w:r>
      <w:r>
        <w:rPr>
          <w:rFonts w:ascii="Times New Roman" w:hAnsi="Times New Roman"/>
          <w:noProof/>
          <w:sz w:val="24"/>
        </w:rPr>
        <w:t xml:space="preserve"> от леки автомобили и ванове, включително системата за кредитиране на превозни средства с ниски и нулеви емисии, ще съз</w:t>
      </w:r>
      <w:r>
        <w:rPr>
          <w:rFonts w:ascii="Times New Roman" w:hAnsi="Times New Roman"/>
          <w:noProof/>
          <w:sz w:val="24"/>
        </w:rPr>
        <w:t xml:space="preserve">даде необходимата яснота и предвидимост по отношение на темпа на разгръщане в ЕС до 2030 г., като същевременно ще улесни достъпа на потребителя до икономически приемливи и екологично по-чисти форми на мобилност. Съобщения на производители на автомобили по </w:t>
      </w:r>
      <w:r>
        <w:rPr>
          <w:rFonts w:ascii="Times New Roman" w:hAnsi="Times New Roman"/>
          <w:noProof/>
          <w:sz w:val="24"/>
        </w:rPr>
        <w:t>отношение на графика и целевите показатели на новите електрифицирани модели, които ще излязат на пазара през следващите години, потвърждават очакваното нарастване на търсенето на акумулатори. Що се отнася до промишлеността, нарастването на търсенето ще изи</w:t>
      </w:r>
      <w:r>
        <w:rPr>
          <w:rFonts w:ascii="Times New Roman" w:hAnsi="Times New Roman"/>
          <w:noProof/>
          <w:sz w:val="24"/>
        </w:rPr>
        <w:t>сква значителни инвестиции във веригата на стойността на акумулаторите в периода до 2025 г., включително значително увеличаване на производството на акумулаторни елементи. Следователно ние сме изправени пред една добра възможност за Европа да привлича инве</w:t>
      </w:r>
      <w:r>
        <w:rPr>
          <w:rFonts w:ascii="Times New Roman" w:hAnsi="Times New Roman"/>
          <w:noProof/>
          <w:sz w:val="24"/>
        </w:rPr>
        <w:t xml:space="preserve">стиции по цялата верига на добавената стойност за ЕС. </w:t>
      </w:r>
    </w:p>
    <w:p w:rsidR="00474DBA" w:rsidRDefault="0096528C">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Европа трябва спешно да предприеме решителни стъпки за </w:t>
      </w:r>
      <w:r>
        <w:rPr>
          <w:rFonts w:ascii="Times New Roman" w:hAnsi="Times New Roman"/>
          <w:b/>
          <w:noProof/>
          <w:sz w:val="24"/>
        </w:rPr>
        <w:t xml:space="preserve">създаването на цялостна верига на стойността за разработването и производството на модерни акумулатори в ЕС. </w:t>
      </w:r>
      <w:r>
        <w:rPr>
          <w:rFonts w:ascii="Times New Roman" w:hAnsi="Times New Roman"/>
          <w:noProof/>
          <w:sz w:val="24"/>
        </w:rPr>
        <w:t>Това следва да се прилага</w:t>
      </w:r>
      <w:r>
        <w:rPr>
          <w:rFonts w:ascii="Times New Roman" w:hAnsi="Times New Roman"/>
          <w:noProof/>
          <w:sz w:val="24"/>
        </w:rPr>
        <w:t xml:space="preserve"> на всички етапи от жизнения цикъл на акумулаторите, включително повторно използване или рециклиране, и да повиши ефективността при използване на ресурсите и суровините.</w:t>
      </w:r>
      <w:r>
        <w:rPr>
          <w:rFonts w:ascii="Times New Roman" w:hAnsi="Times New Roman"/>
          <w:b/>
          <w:noProof/>
          <w:sz w:val="24"/>
        </w:rPr>
        <w:t xml:space="preserve"> </w:t>
      </w:r>
      <w:r>
        <w:rPr>
          <w:rFonts w:ascii="Times New Roman" w:hAnsi="Times New Roman"/>
          <w:noProof/>
          <w:sz w:val="24"/>
        </w:rPr>
        <w:t xml:space="preserve">Изключително важно е също така </w:t>
      </w:r>
      <w:r>
        <w:rPr>
          <w:rFonts w:ascii="Times New Roman" w:hAnsi="Times New Roman"/>
          <w:b/>
          <w:noProof/>
          <w:sz w:val="24"/>
        </w:rPr>
        <w:t>да се премине бързо от научни изследвания към изпитване</w:t>
      </w:r>
      <w:r>
        <w:rPr>
          <w:rFonts w:ascii="Times New Roman" w:hAnsi="Times New Roman"/>
          <w:b/>
          <w:noProof/>
          <w:sz w:val="24"/>
        </w:rPr>
        <w:t xml:space="preserve"> и техническо демонстриране на модерни технологии за производство на акумулаторни елементи в ЕС</w:t>
      </w:r>
      <w:r>
        <w:rPr>
          <w:rFonts w:ascii="Times New Roman" w:hAnsi="Times New Roman"/>
          <w:noProof/>
          <w:sz w:val="24"/>
        </w:rPr>
        <w:t>. Европейските предприятия имат експертни знания и капацитет да направят Европа водещ континент в областта на електромобилността и следващото поколение акумулато</w:t>
      </w:r>
      <w:r>
        <w:rPr>
          <w:rFonts w:ascii="Times New Roman" w:hAnsi="Times New Roman"/>
          <w:noProof/>
          <w:sz w:val="24"/>
        </w:rPr>
        <w:t>ри.</w:t>
      </w:r>
      <w:r>
        <w:rPr>
          <w:rFonts w:ascii="Times New Roman" w:hAnsi="Times New Roman"/>
          <w:b/>
          <w:noProof/>
          <w:sz w:val="24"/>
        </w:rPr>
        <w:t xml:space="preserve"> </w:t>
      </w:r>
      <w:r>
        <w:rPr>
          <w:rFonts w:ascii="Times New Roman" w:hAnsi="Times New Roman"/>
          <w:noProof/>
          <w:sz w:val="24"/>
        </w:rPr>
        <w:t xml:space="preserve">Това може да бъде постигнато чрез създаването на общоевропейска и междусекторна екосистема за акумулатори, способна да трансформира технологичното лидерство във високоефективни и съобразени с нуждите на потребителите акумулаторни системи, произвеждани </w:t>
      </w:r>
      <w:r>
        <w:rPr>
          <w:rFonts w:ascii="Times New Roman" w:hAnsi="Times New Roman"/>
          <w:noProof/>
          <w:sz w:val="24"/>
        </w:rPr>
        <w:t>на конкурентни цени в Европа.</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размера и неотложността на необходимите инвестиции, това не може да бъде направено по фрагментиран начин. Необходим е </w:t>
      </w:r>
      <w:r>
        <w:rPr>
          <w:rFonts w:ascii="Times New Roman" w:hAnsi="Times New Roman"/>
          <w:b/>
          <w:noProof/>
          <w:sz w:val="24"/>
        </w:rPr>
        <w:t>подход на европейско равнище</w:t>
      </w:r>
      <w:r>
        <w:rPr>
          <w:rFonts w:ascii="Times New Roman" w:hAnsi="Times New Roman"/>
          <w:noProof/>
          <w:sz w:val="24"/>
        </w:rPr>
        <w:t>. Като се има предвид бързо променящата се глобална конкурентна среда, то</w:t>
      </w:r>
      <w:r>
        <w:rPr>
          <w:rFonts w:ascii="Times New Roman" w:hAnsi="Times New Roman"/>
          <w:noProof/>
          <w:sz w:val="24"/>
        </w:rPr>
        <w:t>зи подход не следва да се съсредоточава върху един единствен проект или една единствена технология, а да има за цел да подпомага и координира промишлени проекти по веригата за доставка на акумулатори в рамките на съвместни инициативи, обединяващи експертен</w:t>
      </w:r>
      <w:r>
        <w:rPr>
          <w:rFonts w:ascii="Times New Roman" w:hAnsi="Times New Roman"/>
          <w:noProof/>
          <w:sz w:val="24"/>
        </w:rPr>
        <w:t xml:space="preserve"> опит и финансови ресурси в тази конкретна област. Всяка европейска стратегия за акумулаторите трябва да обхваща много повече от акумулаторите на превозните средства с оглед на широкообхватните последици не само за мобилността и енергийните системи в Европ</w:t>
      </w:r>
      <w:r>
        <w:rPr>
          <w:rFonts w:ascii="Times New Roman" w:hAnsi="Times New Roman"/>
          <w:noProof/>
          <w:sz w:val="24"/>
        </w:rPr>
        <w:t>а, а и за други области, предвид ясните последици за стратегиите на ЕС за промишлената политика и кръговата икономика, както и за икономическите партньорства на ЕС с трети страни, и по-специално с Африка по въпросите, свързани със суровините</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За да поста</w:t>
      </w:r>
      <w:r>
        <w:rPr>
          <w:rFonts w:ascii="Times New Roman" w:hAnsi="Times New Roman"/>
          <w:noProof/>
          <w:sz w:val="24"/>
        </w:rPr>
        <w:t>ви началото на конкретни проекти, Комисията ще разпредели сума от 200 млн. евро, в допълнение към вече заделените 150 млн. евро, непосредствено за научни изследвания и иновации в областта на акумулаторите в рамките на „Хоризонт 2020“ (работна програма за 2</w:t>
      </w:r>
      <w:r>
        <w:rPr>
          <w:rFonts w:ascii="Times New Roman" w:hAnsi="Times New Roman"/>
          <w:noProof/>
          <w:sz w:val="24"/>
        </w:rPr>
        <w:t>018—2020 г.). В допълнение, Европейският фонд за стратегически инвестиции, както и специфични финансови инструменти като енергийните демонстрационни проекти InnovFin, могат да предоставят привлекателни финансови условия за промишлени проекти по линия на Ев</w:t>
      </w:r>
      <w:r>
        <w:rPr>
          <w:rFonts w:ascii="Times New Roman" w:hAnsi="Times New Roman"/>
          <w:noProof/>
          <w:sz w:val="24"/>
        </w:rPr>
        <w:t>ропейската инвестиционна банка</w:t>
      </w:r>
      <w:r>
        <w:rPr>
          <w:rStyle w:val="FootnoteReference"/>
          <w:rFonts w:ascii="Times New Roman" w:hAnsi="Times New Roman"/>
          <w:noProof/>
          <w:sz w:val="24"/>
        </w:rPr>
        <w:footnoteReference w:id="43"/>
      </w:r>
      <w:r>
        <w:rPr>
          <w:noProof/>
        </w:rPr>
        <w:t>.</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Комисията работи в тясно сътрудничество със заинтересованите страни от промишлеността в ЕС и с държавите членки</w:t>
      </w:r>
      <w:r>
        <w:rPr>
          <w:rStyle w:val="FootnoteReference"/>
          <w:rFonts w:ascii="Times New Roman" w:hAnsi="Times New Roman"/>
          <w:noProof/>
          <w:sz w:val="24"/>
        </w:rPr>
        <w:footnoteReference w:id="44"/>
      </w:r>
      <w:r>
        <w:rPr>
          <w:rFonts w:ascii="Times New Roman" w:hAnsi="Times New Roman"/>
          <w:noProof/>
          <w:sz w:val="24"/>
        </w:rPr>
        <w:t xml:space="preserve"> и ще разгледа отново тези въпроси в контекста на „дните на промишлеността“ през февруари 2018 г. Промишленостт</w:t>
      </w:r>
      <w:r>
        <w:rPr>
          <w:rFonts w:ascii="Times New Roman" w:hAnsi="Times New Roman"/>
          <w:noProof/>
          <w:sz w:val="24"/>
        </w:rPr>
        <w:t xml:space="preserve">а и иновационната общност в ЕС ще бъдат двигателят на този процес и ще работят в тясно сътрудничество с Комисията, Европейската инвестиционна банка и заинтересованите държави членки за създаването на конкурентоспособна и печеливша верига за разработване и </w:t>
      </w:r>
      <w:r>
        <w:rPr>
          <w:rFonts w:ascii="Times New Roman" w:hAnsi="Times New Roman"/>
          <w:noProof/>
          <w:sz w:val="24"/>
        </w:rPr>
        <w:t>производство, за завладяването на значими пазари и стимулирането на заетостта, растежа и инвестициите в цяла Европа. Освен това Комисията разполага с множество инструменти за улесняване на съвместните инвестиции и сътрудничеството между частните и публични</w:t>
      </w:r>
      <w:r>
        <w:rPr>
          <w:rFonts w:ascii="Times New Roman" w:hAnsi="Times New Roman"/>
          <w:noProof/>
          <w:sz w:val="24"/>
        </w:rPr>
        <w:t>те участници по веригата за създаване на стойност, както и с ясно определена рамка за държавните помощи в подкрепа на такива действия</w:t>
      </w:r>
      <w:r>
        <w:rPr>
          <w:rStyle w:val="FootnoteReference"/>
          <w:rFonts w:ascii="Times New Roman" w:hAnsi="Times New Roman"/>
          <w:noProof/>
          <w:sz w:val="24"/>
        </w:rPr>
        <w:footnoteReference w:id="45"/>
      </w:r>
      <w:r>
        <w:rPr>
          <w:noProof/>
        </w:rPr>
        <w:t>.</w:t>
      </w:r>
    </w:p>
    <w:p w:rsidR="00474DBA" w:rsidRDefault="0096528C">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ascii="Times New Roman" w:hAnsi="Times New Roman" w:cs="Times New Roman"/>
          <w:b/>
          <w:noProof/>
          <w:sz w:val="24"/>
          <w:szCs w:val="24"/>
        </w:rPr>
      </w:pPr>
      <w:r>
        <w:rPr>
          <w:rFonts w:ascii="Times New Roman" w:hAnsi="Times New Roman"/>
          <w:noProof/>
        </w:rPr>
        <w:t xml:space="preserve">ЕС разполага с голям набор от инструменти, които могат да бъдат насочени към разработването на акумулатори. Те включват </w:t>
      </w:r>
      <w:r>
        <w:rPr>
          <w:rFonts w:ascii="Times New Roman" w:hAnsi="Times New Roman"/>
          <w:b/>
          <w:noProof/>
        </w:rPr>
        <w:t>Европейския фонд за стратегически инвестиции</w:t>
      </w:r>
      <w:r>
        <w:rPr>
          <w:rFonts w:ascii="Times New Roman" w:hAnsi="Times New Roman"/>
          <w:noProof/>
        </w:rPr>
        <w:t xml:space="preserve">, </w:t>
      </w:r>
      <w:r>
        <w:rPr>
          <w:rFonts w:ascii="Times New Roman" w:hAnsi="Times New Roman"/>
          <w:b/>
          <w:noProof/>
        </w:rPr>
        <w:t>Европейския фонд за регионално развитие</w:t>
      </w:r>
      <w:r>
        <w:rPr>
          <w:rFonts w:ascii="Times New Roman" w:hAnsi="Times New Roman"/>
          <w:noProof/>
        </w:rPr>
        <w:t xml:space="preserve"> (с бюджет от 44 млрд. евро, които потенциално могат да се предоставят, наред с другото, за научни изследвания и иновации в областта на акумулаторите в рамките на стратеги</w:t>
      </w:r>
      <w:r>
        <w:rPr>
          <w:rFonts w:ascii="Times New Roman" w:hAnsi="Times New Roman"/>
          <w:noProof/>
        </w:rPr>
        <w:t xml:space="preserve">ите за интелигентна специализация, разработени в регионите на ЕС, както и 35 млрд. евро за подобряване на енергийната ефективност и декарбонизация на транспорта), а Европейската комисия ще задели сума от 200 млн. евро, в допълнение към вече заделените 150 </w:t>
      </w:r>
      <w:r>
        <w:rPr>
          <w:rFonts w:ascii="Times New Roman" w:hAnsi="Times New Roman"/>
          <w:noProof/>
        </w:rPr>
        <w:t>милиона евро, непосредствено за научни изследвания и иновации в областта на акумулаторите в рамките на „</w:t>
      </w:r>
      <w:r>
        <w:rPr>
          <w:rFonts w:ascii="Times New Roman" w:hAnsi="Times New Roman"/>
          <w:b/>
          <w:noProof/>
        </w:rPr>
        <w:t>Хоризонт 2020</w:t>
      </w:r>
      <w:r>
        <w:rPr>
          <w:rFonts w:ascii="Times New Roman" w:hAnsi="Times New Roman"/>
          <w:noProof/>
        </w:rPr>
        <w:t>“ (работна програма за 2018—2020 г.).</w:t>
      </w:r>
    </w:p>
    <w:p w:rsidR="00474DBA" w:rsidRDefault="0096528C">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Заключения</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Вторият пакет от предложения в рамките на инициативата „Европа в движение“ има за цел д</w:t>
      </w:r>
      <w:r>
        <w:rPr>
          <w:rFonts w:ascii="Times New Roman" w:hAnsi="Times New Roman"/>
          <w:noProof/>
          <w:sz w:val="24"/>
        </w:rPr>
        <w:t xml:space="preserve">а гарантира, че най-добрите свързани и автоматизирани решения за мобилност, оборудване и превозни средства с ниски и нулеви емисии се разработват, предлагат и произвеждат в Европа, както и че разполагаме с най-модерната поддържаща инфраструктура. В същото </w:t>
      </w:r>
      <w:r>
        <w:rPr>
          <w:rFonts w:ascii="Times New Roman" w:hAnsi="Times New Roman"/>
          <w:noProof/>
          <w:sz w:val="24"/>
        </w:rPr>
        <w:t>време той допринася за по-чиста околна среда и по-добро качество на живот на гражданите, по-специално чрез подобряване на качество на въздуха в градовете и намаляване на задръстванията. Мерките, предложени в настоящия пакет, ще допринесат също за възстанов</w:t>
      </w:r>
      <w:r>
        <w:rPr>
          <w:rFonts w:ascii="Times New Roman" w:hAnsi="Times New Roman"/>
          <w:noProof/>
          <w:sz w:val="24"/>
        </w:rPr>
        <w:t xml:space="preserve">яване на доверието на потребителите.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този пакет включва комбинация от мерки в областта на търсенето и предлагането, които да насочат Европа към мобилност с ниски емисии и да засилят конкурентоспособността на европейската автомобилна </w:t>
      </w:r>
      <w:r>
        <w:rPr>
          <w:rFonts w:ascii="Times New Roman" w:hAnsi="Times New Roman"/>
          <w:noProof/>
          <w:sz w:val="24"/>
        </w:rPr>
        <w:t>промишленост и европейската екосистема на мобилността. В пакета се излагат ясни препоръки към държавите членки да се запълнят съществуващите пропуски в инфраструктура и да се удовлетворят установените в областта на инфраструктурата нужди, и се определят де</w:t>
      </w:r>
      <w:r>
        <w:rPr>
          <w:rFonts w:ascii="Times New Roman" w:hAnsi="Times New Roman"/>
          <w:noProof/>
          <w:sz w:val="24"/>
        </w:rPr>
        <w:t>йствия за мобилизиране на финансови средства, където е необходимо, на равнище ЕС. По този начин пакетът ще предостави по-голяма политическа и регулаторна сигурност и ще създаде еднакви условия на конкуренция.</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Този пакет почива също на много от другите стра</w:t>
      </w:r>
      <w:r>
        <w:rPr>
          <w:rFonts w:ascii="Times New Roman" w:hAnsi="Times New Roman"/>
          <w:noProof/>
          <w:sz w:val="24"/>
        </w:rPr>
        <w:t>тегически направления на работа на Европейската комисия, които целят, наред с другото, да се увеличи броят на оборудваните със зарядни устройства домове, обществени сгради и паркинги</w:t>
      </w:r>
      <w:r>
        <w:rPr>
          <w:rStyle w:val="FootnoteReference"/>
          <w:rFonts w:ascii="Times New Roman" w:hAnsi="Times New Roman"/>
          <w:noProof/>
          <w:sz w:val="24"/>
        </w:rPr>
        <w:footnoteReference w:id="46"/>
      </w:r>
      <w:r>
        <w:rPr>
          <w:rFonts w:ascii="Times New Roman" w:hAnsi="Times New Roman"/>
          <w:noProof/>
          <w:sz w:val="24"/>
        </w:rPr>
        <w:t>, да се подпомогне преходът на европейските предприятия и потребителите к</w:t>
      </w:r>
      <w:r>
        <w:rPr>
          <w:rFonts w:ascii="Times New Roman" w:hAnsi="Times New Roman"/>
          <w:noProof/>
          <w:sz w:val="24"/>
        </w:rPr>
        <w:t>ъм по-силна и по-ефективна кръгова икономика, която използва ресурсите по по-устойчив начин</w:t>
      </w:r>
      <w:r>
        <w:rPr>
          <w:rStyle w:val="FootnoteReference"/>
          <w:rFonts w:ascii="Times New Roman" w:hAnsi="Times New Roman"/>
          <w:noProof/>
          <w:sz w:val="24"/>
        </w:rPr>
        <w:footnoteReference w:id="47"/>
      </w:r>
      <w:r>
        <w:rPr>
          <w:rFonts w:ascii="Times New Roman" w:hAnsi="Times New Roman"/>
          <w:noProof/>
          <w:sz w:val="24"/>
        </w:rPr>
        <w:t>, както и да се подкрепят устойчивостта и конкурентоспособността на пазарите на труда. Той е насочен към всички европейци в качеството им на граждани, работници и п</w:t>
      </w:r>
      <w:r>
        <w:rPr>
          <w:rFonts w:ascii="Times New Roman" w:hAnsi="Times New Roman"/>
          <w:noProof/>
          <w:sz w:val="24"/>
        </w:rPr>
        <w:t xml:space="preserve">отребители. Това ще повиши конкурентоспособността на Европа и ще доведе до осезаеми подобрения на единния пазар на ЕС, в държавите членки, на национално и областно равнище, както и в градските зони. </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Комисията призовава всички заинтересовани страни да рабо</w:t>
      </w:r>
      <w:r>
        <w:rPr>
          <w:rFonts w:ascii="Times New Roman" w:hAnsi="Times New Roman"/>
          <w:noProof/>
          <w:sz w:val="24"/>
        </w:rPr>
        <w:t>тят в тясно сътрудничество, за да осигурят бързото приемане и прилагане на различните предложения и мерки, така че ползите за промишлеността, предприятията, работниците и гражданите в ЕС да бъдат постигнати в максимална степен и възможно най-бързо.</w:t>
      </w:r>
    </w:p>
    <w:p w:rsidR="00474DBA" w:rsidRDefault="0096528C">
      <w:pPr>
        <w:spacing w:line="240" w:lineRule="auto"/>
        <w:jc w:val="both"/>
        <w:rPr>
          <w:rFonts w:ascii="Times New Roman" w:hAnsi="Times New Roman" w:cs="Times New Roman"/>
          <w:noProof/>
          <w:sz w:val="24"/>
          <w:szCs w:val="24"/>
        </w:rPr>
      </w:pPr>
      <w:r>
        <w:rPr>
          <w:rFonts w:ascii="Times New Roman" w:hAnsi="Times New Roman"/>
          <w:noProof/>
          <w:sz w:val="24"/>
        </w:rPr>
        <w:t>Комисия</w:t>
      </w:r>
      <w:r>
        <w:rPr>
          <w:rFonts w:ascii="Times New Roman" w:hAnsi="Times New Roman"/>
          <w:noProof/>
          <w:sz w:val="24"/>
        </w:rPr>
        <w:t>та ще представи третия и последен пакет „Европа в движение“ през първата половина на 2018 г. Той ще включва предложения за стандарти за емисиите на въглероден диоксид от камиони, действия за изпълнение на препоръките на Групата на високо равнище GEAR2030</w:t>
      </w:r>
      <w:r>
        <w:rPr>
          <w:rStyle w:val="FootnoteReference"/>
          <w:rFonts w:ascii="Times New Roman" w:hAnsi="Times New Roman"/>
          <w:noProof/>
          <w:sz w:val="24"/>
        </w:rPr>
        <w:footnoteReference w:id="48"/>
      </w:r>
      <w:r>
        <w:rPr>
          <w:rFonts w:ascii="Times New Roman" w:hAnsi="Times New Roman"/>
          <w:noProof/>
          <w:sz w:val="24"/>
        </w:rPr>
        <w:t>,</w:t>
      </w:r>
      <w:r>
        <w:rPr>
          <w:rFonts w:ascii="Times New Roman" w:hAnsi="Times New Roman"/>
          <w:noProof/>
          <w:sz w:val="24"/>
        </w:rPr>
        <w:t xml:space="preserve"> приети на 18 октомври 2017 г., действия в областта на съвместно използваните, свързани и автоматизирани превозни средства и решения за мобилност, както и предложения за улесняване електронното документиране в областта на транспорта, както и за подобряване</w:t>
      </w:r>
      <w:r>
        <w:rPr>
          <w:rFonts w:ascii="Times New Roman" w:hAnsi="Times New Roman"/>
          <w:noProof/>
          <w:sz w:val="24"/>
        </w:rPr>
        <w:t xml:space="preserve"> на пътната безопасност в целия ЕС.</w:t>
      </w:r>
      <w:r>
        <w:rPr>
          <w:noProof/>
          <w:color w:val="000000"/>
          <w:shd w:val="clear" w:color="auto" w:fill="FFFFFF"/>
        </w:rPr>
        <w:t> </w:t>
      </w:r>
    </w:p>
    <w:sectPr w:rsidR="00474DB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BA" w:rsidRDefault="0096528C">
      <w:pPr>
        <w:spacing w:after="0" w:line="240" w:lineRule="auto"/>
      </w:pPr>
      <w:r>
        <w:separator/>
      </w:r>
    </w:p>
  </w:endnote>
  <w:endnote w:type="continuationSeparator" w:id="0">
    <w:p w:rsidR="00474DBA" w:rsidRDefault="0096528C">
      <w:pPr>
        <w:spacing w:after="0" w:line="240" w:lineRule="auto"/>
      </w:pPr>
      <w:r>
        <w:continuationSeparator/>
      </w:r>
    </w:p>
  </w:endnote>
  <w:endnote w:type="continuationNotice" w:id="1">
    <w:p w:rsidR="00474DBA" w:rsidRDefault="00474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FooterCoverPage"/>
      <w:rPr>
        <w:rFonts w:ascii="Arial" w:hAnsi="Arial" w:cs="Arial"/>
        <w:b/>
        <w:sz w:val="48"/>
      </w:rPr>
    </w:pPr>
    <w:r w:rsidRPr="0096528C">
      <w:rPr>
        <w:rFonts w:ascii="Arial" w:hAnsi="Arial" w:cs="Arial"/>
        <w:b/>
        <w:sz w:val="48"/>
      </w:rPr>
      <w:t>BG</w:t>
    </w:r>
    <w:r w:rsidRPr="0096528C">
      <w:rPr>
        <w:rFonts w:ascii="Arial" w:hAnsi="Arial" w:cs="Arial"/>
        <w:b/>
        <w:sz w:val="48"/>
      </w:rPr>
      <w:tab/>
    </w:r>
    <w:r w:rsidRPr="0096528C">
      <w:rPr>
        <w:rFonts w:ascii="Arial" w:hAnsi="Arial" w:cs="Arial"/>
        <w:b/>
        <w:sz w:val="48"/>
      </w:rPr>
      <w:tab/>
    </w:r>
    <w:r w:rsidRPr="0096528C">
      <w:tab/>
    </w:r>
    <w:r w:rsidRPr="0096528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A" w:rsidRDefault="00474D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31809"/>
      <w:docPartObj>
        <w:docPartGallery w:val="Page Numbers (Bottom of Page)"/>
        <w:docPartUnique/>
      </w:docPartObj>
    </w:sdtPr>
    <w:sdtEndPr>
      <w:rPr>
        <w:noProof/>
        <w:szCs w:val="24"/>
      </w:rPr>
    </w:sdtEndPr>
    <w:sdtContent>
      <w:p w:rsidR="00474DBA" w:rsidRDefault="0096528C">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A" w:rsidRDefault="00474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BA" w:rsidRDefault="0096528C">
      <w:pPr>
        <w:spacing w:after="0" w:line="240" w:lineRule="auto"/>
      </w:pPr>
      <w:r>
        <w:separator/>
      </w:r>
    </w:p>
  </w:footnote>
  <w:footnote w:type="continuationSeparator" w:id="0">
    <w:p w:rsidR="00474DBA" w:rsidRDefault="0096528C">
      <w:pPr>
        <w:spacing w:after="0" w:line="240" w:lineRule="auto"/>
      </w:pPr>
      <w:r>
        <w:continuationSeparator/>
      </w:r>
    </w:p>
  </w:footnote>
  <w:footnote w:type="continuationNotice" w:id="1">
    <w:p w:rsidR="00474DBA" w:rsidRDefault="00474DBA">
      <w:pPr>
        <w:spacing w:after="0" w:line="240" w:lineRule="auto"/>
      </w:pPr>
    </w:p>
  </w:footnote>
  <w:footnote w:id="2">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Реч за състоянието на Европейския съюз (2016) на председателя Юнкер, 14 септември 2016 г.; Заключения на Европейския съвет, 24 октомври 2014 г.</w:t>
      </w:r>
    </w:p>
  </w:footnote>
  <w:footnote w:id="3">
    <w:p w:rsidR="00474DBA" w:rsidRDefault="0096528C">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479.</w:t>
      </w:r>
    </w:p>
  </w:footnote>
  <w:footnote w:id="4">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ЕВРОСТАТ, </w:t>
      </w:r>
      <w:r>
        <w:rPr>
          <w:rFonts w:ascii="Times New Roman" w:hAnsi="Times New Roman"/>
        </w:rPr>
        <w:t>Наблюдение на работната сила, данни за 2016 г., за NACE, раздел H: „Транспорт и складиране“.</w:t>
      </w:r>
    </w:p>
  </w:footnote>
  <w:footnote w:id="5">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ЕВРОСТАТ, Национални сметки, данни за 2014 г., за NACE, раздел H: „Транспорт и складиране“.</w:t>
      </w:r>
    </w:p>
  </w:footnote>
  <w:footnote w:id="6">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Препратки към всички съответни данни могат да бъдат намерени в рабо</w:t>
      </w:r>
      <w:r>
        <w:rPr>
          <w:rFonts w:ascii="Times New Roman" w:hAnsi="Times New Roman"/>
        </w:rPr>
        <w:t>тния документ на службите на Комисията SWD (2017) 177.</w:t>
      </w:r>
    </w:p>
  </w:footnote>
  <w:footnote w:id="7">
    <w:p w:rsidR="00474DBA" w:rsidRDefault="0096528C">
      <w:pPr>
        <w:pStyle w:val="FootnoteText"/>
        <w:tabs>
          <w:tab w:val="left" w:pos="240"/>
        </w:tabs>
        <w:ind w:left="238" w:hanging="238"/>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В резултат на замърсяването, свързано с транспорта, в ЕС умират преждевременно почти три пъти повече хора, отколкото при пътнотранспортни произшествия, а милиони страдат от дълготрайни респираторни и сърдечносъдови заболявания. </w:t>
      </w:r>
      <w:hyperlink r:id="rId1">
        <w:r>
          <w:rPr>
            <w:rStyle w:val="Hyperlink"/>
            <w:rFonts w:ascii="Times New Roman" w:hAnsi="Times New Roman"/>
          </w:rPr>
          <w:t>https://www.eea.europa.eu//publications/air-quality-in-europe-2016</w:t>
        </w:r>
      </w:hyperlink>
      <w:r>
        <w:rPr>
          <w:rFonts w:ascii="Times New Roman" w:hAnsi="Times New Roman"/>
        </w:rPr>
        <w:t xml:space="preserve">; </w:t>
      </w:r>
      <w:hyperlink r:id="rId2">
        <w:r>
          <w:rPr>
            <w:rStyle w:val="Hyperlink"/>
            <w:rFonts w:ascii="Times New Roman" w:hAnsi="Times New Roman"/>
          </w:rPr>
          <w:t>http://ec.europa.eu/t</w:t>
        </w:r>
        <w:r>
          <w:rPr>
            <w:rStyle w:val="Hyperlink"/>
            <w:rFonts w:ascii="Times New Roman" w:hAnsi="Times New Roman"/>
          </w:rPr>
          <w:t>ransport/facts-fundings/scoreboard/compare/people/road-fatalities_bg</w:t>
        </w:r>
      </w:hyperlink>
      <w:r>
        <w:rPr>
          <w:rFonts w:ascii="Times New Roman" w:hAnsi="Times New Roman"/>
        </w:rPr>
        <w:t xml:space="preserve"> </w:t>
      </w:r>
    </w:p>
  </w:footnote>
  <w:footnote w:id="8">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СОМ(2015) 80.</w:t>
      </w:r>
    </w:p>
  </w:footnote>
  <w:footnote w:id="9">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501.</w:t>
      </w:r>
    </w:p>
  </w:footnote>
  <w:footnote w:id="10">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283.</w:t>
      </w:r>
    </w:p>
  </w:footnote>
  <w:footnote w:id="11">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479.</w:t>
      </w:r>
    </w:p>
  </w:footnote>
  <w:footnote w:id="12">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Този пакет се основава на много от другите стратегически направления на работа на Европейската комисия, включително П</w:t>
      </w:r>
      <w:r>
        <w:rPr>
          <w:rFonts w:ascii="Times New Roman" w:hAnsi="Times New Roman"/>
        </w:rPr>
        <w:t>лана за инвестиции, Съюза на капиталовите пазари, цифровия единен пазар, Европейския стълб на социалните права и Програмата за умения, действията в областта на климата и кръговата икономика.</w:t>
      </w:r>
    </w:p>
  </w:footnote>
  <w:footnote w:id="13">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479.</w:t>
      </w:r>
    </w:p>
  </w:footnote>
  <w:footnote w:id="14">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482.</w:t>
      </w:r>
    </w:p>
  </w:footnote>
  <w:footnote w:id="15">
    <w:p w:rsidR="00474DBA" w:rsidRDefault="0096528C">
      <w:pPr>
        <w:pStyle w:val="FootnoteText"/>
        <w:tabs>
          <w:tab w:val="left" w:pos="240"/>
        </w:tabs>
        <w:ind w:left="240" w:hanging="240"/>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Ricardo-AEA и TEPR (2015 г.), Evaluation of Regulations 443/2009 and 510/2011 (Оценка на Регламенти № 443/2009 и № 510/2011): </w:t>
      </w:r>
      <w:hyperlink r:id="rId3">
        <w:r>
          <w:rPr>
            <w:rStyle w:val="Hyperlink"/>
            <w:rFonts w:ascii="Times New Roman" w:hAnsi="Times New Roman"/>
          </w:rPr>
          <w:t>https://ec.</w:t>
        </w:r>
        <w:r>
          <w:rPr>
            <w:rStyle w:val="Hyperlink"/>
            <w:rFonts w:ascii="Times New Roman" w:hAnsi="Times New Roman"/>
          </w:rPr>
          <w:t>europa.eu/clima/sites/clima/files/transport/vehicles/docs/evaluation_ldv_co2_regs_en.pdf</w:t>
        </w:r>
      </w:hyperlink>
    </w:p>
  </w:footnote>
  <w:footnote w:id="16">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648.</w:t>
      </w:r>
    </w:p>
  </w:footnote>
  <w:footnote w:id="17">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647.</w:t>
      </w:r>
    </w:p>
  </w:footnote>
  <w:footnote w:id="18">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501.</w:t>
      </w:r>
    </w:p>
  </w:footnote>
  <w:footnote w:id="19">
    <w:p w:rsidR="00474DBA" w:rsidRDefault="0096528C">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031. Освен това на равнището на ЕС бяха въведени нови процедури за изпитване на емисиите от автомобили к</w:t>
      </w:r>
      <w:r>
        <w:rPr>
          <w:rFonts w:ascii="Times New Roman" w:hAnsi="Times New Roman"/>
        </w:rPr>
        <w:t>акто в реални условия на използване, така и в лабораторни условия, които се прилагат за новите типове превозни средства от септември 2017 г.</w:t>
      </w:r>
    </w:p>
  </w:footnote>
  <w:footnote w:id="20">
    <w:p w:rsidR="00474DBA" w:rsidRDefault="0096528C">
      <w:pPr>
        <w:pStyle w:val="FootnoteText"/>
        <w:tabs>
          <w:tab w:val="left" w:pos="240"/>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650.</w:t>
      </w:r>
    </w:p>
  </w:footnote>
  <w:footnote w:id="21">
    <w:p w:rsidR="00474DBA" w:rsidRDefault="0096528C">
      <w:pPr>
        <w:pStyle w:val="FootnoteText"/>
        <w:ind w:left="240" w:hanging="240"/>
        <w:rPr>
          <w:rFonts w:ascii="Times New Roman" w:hAnsi="Times New Roman" w:cs="Times New Roman"/>
        </w:rPr>
      </w:pPr>
      <w:r>
        <w:rPr>
          <w:rStyle w:val="FootnoteReference"/>
          <w:rFonts w:ascii="Times New Roman" w:hAnsi="Times New Roman"/>
        </w:rPr>
        <w:footnoteRef/>
      </w:r>
      <w:r>
        <w:tab/>
      </w:r>
      <w:r>
        <w:rPr>
          <w:rFonts w:ascii="Times New Roman" w:hAnsi="Times New Roman"/>
        </w:rPr>
        <w:t>Директива 2014/94.</w:t>
      </w:r>
    </w:p>
  </w:footnote>
  <w:footnote w:id="22">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w:t>
      </w:r>
      <w:r>
        <w:rPr>
          <w:rFonts w:ascii="Times New Roman" w:hAnsi="Times New Roman"/>
          <w:i/>
        </w:rPr>
        <w:t>Според моята представа, в бъдеще (...) ежедневно пътуващите ще могат да за</w:t>
      </w:r>
      <w:r>
        <w:rPr>
          <w:rFonts w:ascii="Times New Roman" w:hAnsi="Times New Roman"/>
          <w:i/>
        </w:rPr>
        <w:t>реждат своя електрически автомобил край магистралата точно така, както днес зареждаме с бензин</w:t>
      </w:r>
      <w:r>
        <w:rPr>
          <w:rFonts w:ascii="Times New Roman" w:hAnsi="Times New Roman"/>
        </w:rPr>
        <w:t>“, реч на председателя Юнкер пред Европейския парламент, ноември 2014 г.</w:t>
      </w:r>
    </w:p>
  </w:footnote>
  <w:footnote w:id="23">
    <w:p w:rsidR="00474DBA" w:rsidRDefault="0096528C">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Само за оборудването на коридорите на основната Трансевропейска транспортна мрежа с опо</w:t>
      </w:r>
      <w:r>
        <w:rPr>
          <w:rFonts w:ascii="Times New Roman" w:hAnsi="Times New Roman"/>
        </w:rPr>
        <w:t>рна инфраструктура за всички алтернативни горива и енергоносители до 2025 г. са необходими 1,5 млрд. евро.  Нуждите от инвестиции са значително по-големи, ако се разглежда цялата транспортна мрежа.</w:t>
      </w:r>
    </w:p>
  </w:footnote>
  <w:footnote w:id="24">
    <w:p w:rsidR="00474DBA" w:rsidRDefault="0096528C">
      <w:pPr>
        <w:pStyle w:val="FootnoteText"/>
        <w:ind w:left="240" w:hanging="240"/>
        <w:rPr>
          <w:rFonts w:ascii="Times New Roman" w:hAnsi="Times New Roman" w:cs="Times New Roman"/>
        </w:rPr>
      </w:pPr>
      <w:r>
        <w:rPr>
          <w:rStyle w:val="FootnoteReference"/>
          <w:rFonts w:ascii="Times New Roman" w:hAnsi="Times New Roman"/>
        </w:rPr>
        <w:footnoteRef/>
      </w:r>
      <w:r>
        <w:tab/>
      </w:r>
      <w:hyperlink r:id="rId4">
        <w:r>
          <w:rPr>
            <w:rStyle w:val="Hyperlink"/>
            <w:rFonts w:ascii="Times New Roman" w:hAnsi="Times New Roman"/>
          </w:rPr>
          <w:t>https://ec.europa.eu/commission/priorities/jobs-growth-and-investment/investment-plan-europe-juncker-plan_bg</w:t>
        </w:r>
      </w:hyperlink>
      <w:r>
        <w:rPr>
          <w:rFonts w:ascii="Times New Roman" w:hAnsi="Times New Roman"/>
        </w:rPr>
        <w:t xml:space="preserve"> </w:t>
      </w:r>
    </w:p>
  </w:footnote>
  <w:footnote w:id="25">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652.</w:t>
      </w:r>
    </w:p>
  </w:footnote>
  <w:footnote w:id="26">
    <w:p w:rsidR="00474DBA" w:rsidRDefault="0096528C">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w:t>
      </w:r>
      <w:r>
        <w:rPr>
          <w:rFonts w:ascii="Times New Roman" w:hAnsi="Times New Roman"/>
        </w:rPr>
        <w:t>нес Комисията предоставя 350 млн. евро от транспортния бюджет на Механизма за свързване на Европа, които биха могли да генерират инвестиции от общо 1,7 милиарда евро, наред с другото от Европейския фонд за стратегически инвестиции, Европейската инвестицион</w:t>
      </w:r>
      <w:r>
        <w:rPr>
          <w:rFonts w:ascii="Times New Roman" w:hAnsi="Times New Roman"/>
        </w:rPr>
        <w:t>на банка и публични и частни банки в рамките на Поканата за смесено финансиране на МСЕ.  До 450 млн. евро ще бъдат предоставени от неизразходваните приходи по програмата NER300 чрез дълговия инструмент на Механизма за свързване на Европа, управляван от Евр</w:t>
      </w:r>
      <w:r>
        <w:rPr>
          <w:rFonts w:ascii="Times New Roman" w:hAnsi="Times New Roman"/>
        </w:rPr>
        <w:t xml:space="preserve">опейската инвестиционна банка. За повече информация: </w:t>
      </w:r>
      <w:hyperlink r:id="rId5">
        <w:r>
          <w:rPr>
            <w:rStyle w:val="Hyperlink"/>
            <w:rFonts w:ascii="Times New Roman" w:hAnsi="Times New Roman"/>
          </w:rPr>
          <w:t>https://ec.europa.eu/clima/policies/lowcarbon/ner300_bg</w:t>
        </w:r>
      </w:hyperlink>
    </w:p>
  </w:footnote>
  <w:footnote w:id="27">
    <w:p w:rsidR="00474DBA" w:rsidRDefault="0096528C">
      <w:pPr>
        <w:pStyle w:val="FootnoteText"/>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Около 70 млрд. евро са планирани в кохезионните фондове и европейските</w:t>
      </w:r>
      <w:r>
        <w:rPr>
          <w:rFonts w:ascii="Times New Roman" w:hAnsi="Times New Roman"/>
        </w:rPr>
        <w:t xml:space="preserve"> регионални и структурни фондове за подобряването на ефикасността и екологичната съвместимост на транспортната система в ЕС и за намаляването на въглеродните емисии от нея.</w:t>
      </w:r>
    </w:p>
  </w:footnote>
  <w:footnote w:id="28">
    <w:p w:rsidR="00474DBA" w:rsidRDefault="0096528C">
      <w:pPr>
        <w:pStyle w:val="FootnoteText"/>
        <w:ind w:left="284" w:hanging="284"/>
        <w:rPr>
          <w:rFonts w:ascii="Times New Roman" w:hAnsi="Times New Roman" w:cs="Times New Roman"/>
        </w:rPr>
      </w:pPr>
      <w:r>
        <w:rPr>
          <w:rStyle w:val="FootnoteReference"/>
        </w:rPr>
        <w:footnoteRef/>
      </w:r>
      <w:r>
        <w:t xml:space="preserve">  </w:t>
      </w:r>
      <w:r>
        <w:rPr>
          <w:rFonts w:ascii="Times New Roman" w:hAnsi="Times New Roman"/>
        </w:rPr>
        <w:t>Най-отдалечените региони биха могли да служат като полигони за изпитване на реше</w:t>
      </w:r>
      <w:r>
        <w:rPr>
          <w:rFonts w:ascii="Times New Roman" w:hAnsi="Times New Roman"/>
        </w:rPr>
        <w:t>ния, използващи екологично чиста и алтернативна енергия. Вж. COM (2017) 623.</w:t>
      </w:r>
    </w:p>
  </w:footnote>
  <w:footnote w:id="29">
    <w:p w:rsidR="00474DBA" w:rsidRDefault="0096528C">
      <w:pPr>
        <w:pStyle w:val="FootnoteText"/>
        <w:ind w:left="240" w:hanging="240"/>
        <w:jc w:val="both"/>
        <w:rPr>
          <w:rFonts w:ascii="Times New Roman" w:hAnsi="Times New Roman" w:cs="Times New Roman"/>
          <w:highlight w:val="yellow"/>
          <w:lang w:val="pt-PT"/>
        </w:rPr>
      </w:pPr>
      <w:r>
        <w:rPr>
          <w:rStyle w:val="FootnoteReference"/>
          <w:rFonts w:ascii="Times New Roman" w:hAnsi="Times New Roman"/>
        </w:rPr>
        <w:footnoteRef/>
      </w:r>
      <w:r>
        <w:tab/>
      </w:r>
      <w:r>
        <w:rPr>
          <w:rFonts w:ascii="Times New Roman" w:hAnsi="Times New Roman"/>
        </w:rPr>
        <w:t>СОМ(2017) 653.</w:t>
      </w:r>
    </w:p>
  </w:footnote>
  <w:footnote w:id="30">
    <w:p w:rsidR="00474DBA" w:rsidRDefault="0096528C">
      <w:pPr>
        <w:ind w:left="240" w:hanging="240"/>
        <w:jc w:val="both"/>
        <w:rPr>
          <w:rFonts w:ascii="Times New Roman" w:hAnsi="Times New Roman" w:cs="Times New Roman"/>
          <w:sz w:val="20"/>
          <w:szCs w:val="20"/>
          <w:lang w:val="pt-PT"/>
        </w:rPr>
      </w:pPr>
      <w:r>
        <w:rPr>
          <w:rStyle w:val="FootnoteReference"/>
          <w:rFonts w:ascii="Times New Roman" w:hAnsi="Times New Roman"/>
          <w:sz w:val="20"/>
        </w:rPr>
        <w:footnoteRef/>
      </w:r>
      <w:r>
        <w:tab/>
      </w:r>
      <w:hyperlink r:id="rId6">
        <w:r>
          <w:rPr>
            <w:rStyle w:val="Hyperlink"/>
            <w:rFonts w:ascii="Times New Roman" w:hAnsi="Times New Roman"/>
            <w:sz w:val="20"/>
          </w:rPr>
          <w:t>https://green-driving.jrc.ec.europa.eu/</w:t>
        </w:r>
      </w:hyperlink>
    </w:p>
    <w:p w:rsidR="00474DBA" w:rsidRDefault="00474DBA">
      <w:pPr>
        <w:spacing w:after="0"/>
        <w:rPr>
          <w:rFonts w:ascii="Times New Roman" w:hAnsi="Times New Roman" w:cs="Times New Roman"/>
          <w:sz w:val="20"/>
          <w:szCs w:val="20"/>
          <w:lang w:val="pt-PT"/>
        </w:rPr>
      </w:pPr>
    </w:p>
  </w:footnote>
  <w:footnote w:id="31">
    <w:p w:rsidR="00474DBA" w:rsidRDefault="0096528C">
      <w:pPr>
        <w:pStyle w:val="FootnoteText"/>
        <w:tabs>
          <w:tab w:val="left" w:pos="240"/>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Вж. доклада GEAR2030: </w:t>
      </w:r>
      <w:hyperlink r:id="rId7">
        <w:r>
          <w:rPr>
            <w:rFonts w:ascii="Times New Roman" w:hAnsi="Times New Roman"/>
            <w:color w:val="0000FF" w:themeColor="hyperlink"/>
            <w:u w:val="single"/>
          </w:rPr>
          <w:t>http://ec.europa.eu/growth/content/high-level-group-gear-2030-report-on-automotive-competitiveness-and-sustainability_</w:t>
        </w:r>
        <w:r>
          <w:rPr>
            <w:rFonts w:ascii="Times New Roman" w:hAnsi="Times New Roman"/>
            <w:color w:val="0000FF" w:themeColor="hyperlink"/>
            <w:u w:val="single"/>
          </w:rPr>
          <w:t>bg</w:t>
        </w:r>
      </w:hyperlink>
    </w:p>
  </w:footnote>
  <w:footnote w:id="32">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СОМ(2017) 479. </w:t>
      </w:r>
    </w:p>
  </w:footnote>
  <w:footnote w:id="33">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381.</w:t>
      </w:r>
    </w:p>
  </w:footnote>
  <w:footnote w:id="34">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Този план се изпълнява като пилотен проект в шест сектора, включително в автомобилния сектор: </w:t>
      </w:r>
      <w:hyperlink r:id="rId8">
        <w:r>
          <w:rPr>
            <w:rStyle w:val="Hyperlink"/>
            <w:rFonts w:ascii="Times New Roman" w:hAnsi="Times New Roman"/>
          </w:rPr>
          <w:t>http://ec.europa.eu/social/main.jsp?catId=1223&amp;intPageId=4320&amp;langId=bg</w:t>
        </w:r>
      </w:hyperlink>
    </w:p>
  </w:footnote>
  <w:footnote w:id="35">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9">
        <w:r>
          <w:rPr>
            <w:rStyle w:val="Hyperlink"/>
            <w:rFonts w:ascii="Times New Roman" w:hAnsi="Times New Roman"/>
          </w:rPr>
          <w:t>http://ec.europa.eu/programmes/erasmus-plus/node_bg</w:t>
        </w:r>
      </w:hyperlink>
    </w:p>
  </w:footnote>
  <w:footnote w:id="36">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СОМ(2017) 376.</w:t>
      </w:r>
    </w:p>
  </w:footnote>
  <w:footnote w:id="37">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http://skillspanorama.cedefop.europa.eu/bg</w:t>
        </w:r>
      </w:hyperlink>
    </w:p>
  </w:footnote>
  <w:footnote w:id="38">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SWD(2017) 650.</w:t>
      </w:r>
    </w:p>
  </w:footnote>
  <w:footnote w:id="39">
    <w:p w:rsidR="00474DBA" w:rsidRDefault="0096528C">
      <w:pPr>
        <w:tabs>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„До 2024 г. средните разходи за 4-годишна експлоатация на електрическо превозно средство следва да се изравнят с тези за лек автомобил, работещ с бензин.“ Вж. проучването н</w:t>
      </w:r>
      <w:r>
        <w:rPr>
          <w:rFonts w:ascii="Times New Roman" w:hAnsi="Times New Roman"/>
          <w:sz w:val="20"/>
        </w:rPr>
        <w:t xml:space="preserve">а BEUC: </w:t>
      </w:r>
      <w:hyperlink r:id="rId11">
        <w:r>
          <w:rPr>
            <w:rStyle w:val="Hyperlink"/>
            <w:rFonts w:ascii="Times New Roman" w:hAnsi="Times New Roman"/>
            <w:sz w:val="20"/>
          </w:rPr>
          <w:t>http://www.beuc.eu/publications/beuc-x-2016-122_low_carbon_cars_in_the_2020s-brochure.pdf</w:t>
        </w:r>
      </w:hyperlink>
    </w:p>
  </w:footnote>
  <w:footnote w:id="40">
    <w:p w:rsidR="00474DBA" w:rsidRDefault="0096528C">
      <w:pPr>
        <w:pStyle w:val="PlainText"/>
        <w:tabs>
          <w:tab w:val="left" w:pos="284"/>
        </w:tabs>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Вж. също доклада GEAR2030.</w:t>
      </w:r>
    </w:p>
  </w:footnote>
  <w:footnote w:id="41">
    <w:p w:rsidR="00474DBA" w:rsidRDefault="0096528C">
      <w:pPr>
        <w:pStyle w:val="FootnoteText"/>
        <w:ind w:left="238" w:hanging="238"/>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JRC Science for Po</w:t>
      </w:r>
      <w:r>
        <w:rPr>
          <w:rFonts w:ascii="Times New Roman" w:hAnsi="Times New Roman"/>
        </w:rPr>
        <w:t xml:space="preserve">licy Support, EU competitiveness in Advanced Li-ion Batteries for E-mobility and Stationary Storage Applications – Opportunities and Actions, September 2017 (Съвместен изследователски център, „Наука в подкрепа на политиката“, „Конкурентоспособност на ЕС в </w:t>
      </w:r>
      <w:r>
        <w:rPr>
          <w:rFonts w:ascii="Times New Roman" w:hAnsi="Times New Roman"/>
        </w:rPr>
        <w:t>областта на модерните литиево-йонни акумулатори за електрическа мобилност и стационарни приложения за съхраняване — възможности и действия“, септември 2017 г.)</w:t>
      </w:r>
    </w:p>
  </w:footnote>
  <w:footnote w:id="42">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СОМ(2014) 297.</w:t>
      </w:r>
    </w:p>
  </w:footnote>
  <w:footnote w:id="43">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12">
        <w:r>
          <w:rPr>
            <w:rStyle w:val="Hyperlink"/>
            <w:rFonts w:ascii="Times New Roman" w:hAnsi="Times New Roman"/>
          </w:rPr>
          <w:t>http://www.eib.org/products/blending/innovfin/products/energy-demo-projects.htm</w:t>
        </w:r>
      </w:hyperlink>
      <w:r>
        <w:rPr>
          <w:rFonts w:ascii="Times New Roman" w:hAnsi="Times New Roman"/>
        </w:rPr>
        <w:t xml:space="preserve"> </w:t>
      </w:r>
    </w:p>
  </w:footnote>
  <w:footnote w:id="44">
    <w:p w:rsidR="00474DBA" w:rsidRDefault="0096528C">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Среща на високо равнище относно разработването и производство на акумулатори в Европа, 11 октомври 2017 г., </w:t>
      </w:r>
      <w:hyperlink r:id="rId13">
        <w:r>
          <w:rPr>
            <w:rStyle w:val="Hyperlink"/>
            <w:rFonts w:ascii="Times New Roman" w:hAnsi="Times New Roman"/>
          </w:rPr>
          <w:t>http://europa.eu/rapid/press-release_STATEMENT-17-3861_en.htm</w:t>
        </w:r>
      </w:hyperlink>
    </w:p>
  </w:footnote>
  <w:footnote w:id="45">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Официален вестник C 188, 20.6.2014 г., стр. 4.</w:t>
      </w:r>
    </w:p>
  </w:footnote>
  <w:footnote w:id="46">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СОМ(2016) 860.</w:t>
      </w:r>
    </w:p>
  </w:footnote>
  <w:footnote w:id="47">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hyperlink r:id="rId14">
        <w:r>
          <w:rPr>
            <w:rStyle w:val="Hyperlink"/>
            <w:rFonts w:ascii="Times New Roman" w:hAnsi="Times New Roman"/>
          </w:rPr>
          <w:t>https://ec.europa.eu/commission/priorities/jobs-growth-and-investment/towards-circular-economy_bg</w:t>
        </w:r>
      </w:hyperlink>
      <w:r>
        <w:rPr>
          <w:rFonts w:ascii="Times New Roman" w:hAnsi="Times New Roman"/>
        </w:rPr>
        <w:t xml:space="preserve"> </w:t>
      </w:r>
    </w:p>
  </w:footnote>
  <w:footnote w:id="48">
    <w:p w:rsidR="00474DBA" w:rsidRDefault="0096528C">
      <w:pPr>
        <w:pStyle w:val="FootnoteText"/>
        <w:tabs>
          <w:tab w:val="left" w:pos="240"/>
        </w:tabs>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GEAR2030 report, October 2017 (Доклад GE</w:t>
      </w:r>
      <w:r>
        <w:rPr>
          <w:rFonts w:ascii="Times New Roman" w:hAnsi="Times New Roman"/>
        </w:rPr>
        <w:t>AR2030, октомври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28C" w:rsidRPr="0096528C" w:rsidRDefault="0096528C" w:rsidP="0096528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A" w:rsidRDefault="00474D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A" w:rsidRDefault="00474D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A" w:rsidRDefault="00474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C0D"/>
    <w:multiLevelType w:val="hybridMultilevel"/>
    <w:tmpl w:val="A328C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6F388D"/>
    <w:multiLevelType w:val="hybridMultilevel"/>
    <w:tmpl w:val="629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C73CE"/>
    <w:multiLevelType w:val="hybridMultilevel"/>
    <w:tmpl w:val="D80E1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B55F8B"/>
    <w:multiLevelType w:val="hybridMultilevel"/>
    <w:tmpl w:val="C75EE4CE"/>
    <w:lvl w:ilvl="0" w:tplc="0E4261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F37E8A"/>
    <w:multiLevelType w:val="hybridMultilevel"/>
    <w:tmpl w:val="AEAC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506765"/>
    <w:multiLevelType w:val="hybridMultilevel"/>
    <w:tmpl w:val="F3F828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967D71"/>
    <w:multiLevelType w:val="hybridMultilevel"/>
    <w:tmpl w:val="5DD8805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1A25E1"/>
    <w:multiLevelType w:val="hybridMultilevel"/>
    <w:tmpl w:val="A8C05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8DB034-033A-4CA9-B9BA-05BD1019726E"/>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u1041?\u1088?\u1102?\u1082?\u1089?\u1077?\u1083?,"/>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0?\u1098?\u1084? \u1084?\u1086?\u1073?\u1080?\u1083?\u1085?\u1086?\u1089?\u1090? \u1089? \u1085?\u1080?\u1089?\u1082?\u1080? \u1077?\u1084?\u1080?\u1089?\u1080?\u1080?:_x000b__x000b_\u1079?\u1072? \u1045?\u1074?\u1088?\u1086?\u1087?\u1077?\u1081?\u1089?\u1082?\u1080? \u1089?\u1098?\u1102?\u1079?, \u1082?\u1086?\u1081?\u1090?\u1086? \u1086?\u1087?\u1072?\u1079?\u1074?\u1072? \u1087?\u1083?\u1072?\u1085?\u1077?\u1090?\u1072?\u1090?\u1072?, \u1087?\u1088?\u1077?\u1076?\u1086?\u1089?\u1090?\u1072?\u1074?\u1103? \u1074?\u1098?\u1079?\u1084?\u1086?\u1078?\u1085?\u1086?\u1089?\u1090?\u1080? \u1085?\u1072? \u1089?\u1074?\u1086?\u1080?\u1090?\u1077? \u1087?\u1086?\u1090?\u1088?\u1077?\u1073?\u1080?\u1090?\u1077?\u1083?\u1080? \u1080? \u1079?\u1072?\u1097?\u1080?\u1090?\u1072?\u1074?\u1072? \u1087?\u1088?\u1086?\u1084?\u1080?\u1096?\u1083?\u1077?\u1085?\u1086?\u1089?\u1090?\u1090?\u1072? \u1080? \u1088?\u1072?\u1073?\u1086?\u1090?\u1085?\u1080?\u1094?\u1080?\u1090?\u1077? \u1089?\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474DBA"/>
    <w:rsid w:val="00474DBA"/>
    <w:rsid w:val="009652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942">
      <w:bodyDiv w:val="1"/>
      <w:marLeft w:val="0"/>
      <w:marRight w:val="0"/>
      <w:marTop w:val="0"/>
      <w:marBottom w:val="0"/>
      <w:divBdr>
        <w:top w:val="none" w:sz="0" w:space="0" w:color="auto"/>
        <w:left w:val="none" w:sz="0" w:space="0" w:color="auto"/>
        <w:bottom w:val="none" w:sz="0" w:space="0" w:color="auto"/>
        <w:right w:val="none" w:sz="0" w:space="0" w:color="auto"/>
      </w:divBdr>
    </w:div>
    <w:div w:id="326833991">
      <w:bodyDiv w:val="1"/>
      <w:marLeft w:val="0"/>
      <w:marRight w:val="0"/>
      <w:marTop w:val="0"/>
      <w:marBottom w:val="0"/>
      <w:divBdr>
        <w:top w:val="none" w:sz="0" w:space="0" w:color="auto"/>
        <w:left w:val="none" w:sz="0" w:space="0" w:color="auto"/>
        <w:bottom w:val="none" w:sz="0" w:space="0" w:color="auto"/>
        <w:right w:val="none" w:sz="0" w:space="0" w:color="auto"/>
      </w:divBdr>
    </w:div>
    <w:div w:id="1058675174">
      <w:bodyDiv w:val="1"/>
      <w:marLeft w:val="0"/>
      <w:marRight w:val="0"/>
      <w:marTop w:val="0"/>
      <w:marBottom w:val="0"/>
      <w:divBdr>
        <w:top w:val="none" w:sz="0" w:space="0" w:color="auto"/>
        <w:left w:val="none" w:sz="0" w:space="0" w:color="auto"/>
        <w:bottom w:val="none" w:sz="0" w:space="0" w:color="auto"/>
        <w:right w:val="none" w:sz="0" w:space="0" w:color="auto"/>
      </w:divBdr>
    </w:div>
    <w:div w:id="1506242954">
      <w:bodyDiv w:val="1"/>
      <w:marLeft w:val="0"/>
      <w:marRight w:val="0"/>
      <w:marTop w:val="0"/>
      <w:marBottom w:val="0"/>
      <w:divBdr>
        <w:top w:val="none" w:sz="0" w:space="0" w:color="auto"/>
        <w:left w:val="none" w:sz="0" w:space="0" w:color="auto"/>
        <w:bottom w:val="none" w:sz="0" w:space="0" w:color="auto"/>
        <w:right w:val="none" w:sz="0" w:space="0" w:color="auto"/>
      </w:divBdr>
    </w:div>
    <w:div w:id="15846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main.jsp?catId=1223&amp;intPageId=4320&amp;langId=bg" TargetMode="External"/><Relationship Id="rId13" Type="http://schemas.openxmlformats.org/officeDocument/2006/relationships/hyperlink" Target="http://europa.eu/rapid/press-release_STATEMENT-17-3861_en.htm" TargetMode="External"/><Relationship Id="rId3" Type="http://schemas.openxmlformats.org/officeDocument/2006/relationships/hyperlink" Target="https://ec.europa.eu/clima/sites/clima/files/transport/vehicles/docs/evaluation_ldv_co2_regs_en.pdf" TargetMode="External"/><Relationship Id="rId7" Type="http://schemas.openxmlformats.org/officeDocument/2006/relationships/hyperlink" Target="http://ec.europa.eu/growth/content/high-level-group-gear-2030-report-on-automotive-competitiveness-and-sustainability_bg" TargetMode="External"/><Relationship Id="rId12" Type="http://schemas.openxmlformats.org/officeDocument/2006/relationships/hyperlink" Target="http://www.eib.org/products/blending/innovfin/products/energy-demo-projects.htm" TargetMode="External"/><Relationship Id="rId2" Type="http://schemas.openxmlformats.org/officeDocument/2006/relationships/hyperlink" Target="http://ec.europa.eu/transport/facts-fundings/scoreboard/compare/people/road-fatalities_bg" TargetMode="External"/><Relationship Id="rId1" Type="http://schemas.openxmlformats.org/officeDocument/2006/relationships/hyperlink" Target="https://www.eea.europa.eu//publications/air-quality-in-europe-2016" TargetMode="External"/><Relationship Id="rId6" Type="http://schemas.openxmlformats.org/officeDocument/2006/relationships/hyperlink" Target="https://green-driving.jrc.ec.europa.eu/" TargetMode="External"/><Relationship Id="rId11" Type="http://schemas.openxmlformats.org/officeDocument/2006/relationships/hyperlink" Target="http://www.beuc.eu/publications/beuc-x-2016-122_low_carbon_cars_in_the_2020s-brochure.pdf" TargetMode="External"/><Relationship Id="rId5" Type="http://schemas.openxmlformats.org/officeDocument/2006/relationships/hyperlink" Target="https://ec.europa.eu/clima/policies/lowcarbon/ner300_bg" TargetMode="External"/><Relationship Id="rId10" Type="http://schemas.openxmlformats.org/officeDocument/2006/relationships/hyperlink" Target="http://skillspanorama.cedefop.europa.eu/bg" TargetMode="External"/><Relationship Id="rId4" Type="http://schemas.openxmlformats.org/officeDocument/2006/relationships/hyperlink" Target="https://ec.europa.eu/commission/priorities/jobs-growth-and-investment/investment-plan-europe-juncker-plan_bg" TargetMode="External"/><Relationship Id="rId9" Type="http://schemas.openxmlformats.org/officeDocument/2006/relationships/hyperlink" Target="http://ec.europa.eu/programmes/erasmus-plus/node_bg" TargetMode="External"/><Relationship Id="rId14" Type="http://schemas.openxmlformats.org/officeDocument/2006/relationships/hyperlink" Target="https://ec.europa.eu/commission/priorities/jobs-growth-and-investment/towards-circular-economy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DC51-FCCD-4283-99EE-C49108D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5577</Words>
  <Characters>32886</Characters>
  <Application>Microsoft Office Word</Application>
  <DocSecurity>0</DocSecurity>
  <Lines>535</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37</cp:revision>
  <cp:lastPrinted>2017-11-03T09:20:00Z</cp:lastPrinted>
  <dcterms:created xsi:type="dcterms:W3CDTF">2017-11-03T12:26:00Z</dcterms:created>
  <dcterms:modified xsi:type="dcterms:W3CDTF">2017-11-14T10:29:00Z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