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4A8DC97-3926-4A1F-B1B2-7FC88C075CA4" style="width:450.75pt;height:321pt">
            <v:imagedata r:id="rId9" o:title=""/>
          </v:shape>
        </w:pict>
      </w:r>
    </w:p>
    <w:bookmarkEnd w:id="0"/>
    <w:p>
      <w:pPr>
        <w:shd w:val="clear" w:color="auto" w:fill="FFFFFF" w:themeFill="background1"/>
        <w:rPr>
          <w:noProof/>
          <w:lang w:eastAsia="en-US"/>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Pp"/>
        <w:numPr>
          <w:ilvl w:val="0"/>
          <w:numId w:val="0"/>
        </w:numPr>
        <w:spacing w:after="240"/>
        <w:ind w:left="850" w:hanging="850"/>
        <w:rPr>
          <w:rStyle w:val="BookTitle"/>
          <w:noProof/>
          <w:sz w:val="24"/>
          <w:szCs w:val="24"/>
        </w:rPr>
      </w:pPr>
      <w:bookmarkStart w:id="1" w:name="_GoBack"/>
      <w:bookmarkEnd w:id="1"/>
      <w:r>
        <w:rPr>
          <w:rStyle w:val="BookTitle"/>
          <w:noProof/>
          <w:sz w:val="24"/>
        </w:rPr>
        <w:lastRenderedPageBreak/>
        <w:t>Úvod</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Hospodářské prostředí v EU a u mezinárodních obchodních partnerů Unie se mění. Hranice mezi tradičními odvětvími výroby, digitálními technologiemi a službami se stále více stírají a do globálních průmyslových hodnotových řetězců se postupně zavádí digitální řešení. S ohledem na tyto výzvy by Komise měla tuto hospodářskou skutečnost promítnout do svých priorit pro normalizaci týkajících se evropských politik a právních předpisů, a to společně s interinstitucionálními partnery. Ve svém sdělení „Evropské normy pro 21. století“ (dále jen „sdělení“)</w:t>
      </w:r>
      <w:r>
        <w:rPr>
          <w:rStyle w:val="FootnoteReference"/>
          <w:rFonts w:ascii="Times New Roman" w:hAnsi="Times New Roman"/>
          <w:noProof/>
          <w:sz w:val="24"/>
        </w:rPr>
        <w:footnoteReference w:id="2"/>
      </w:r>
      <w:r>
        <w:rPr>
          <w:rFonts w:ascii="Times New Roman" w:hAnsi="Times New Roman"/>
          <w:noProof/>
          <w:sz w:val="24"/>
        </w:rPr>
        <w:t xml:space="preserve"> z června 2016 Komise představila novou vizi evropského systému normalizace s cílem vyřešit uvedené výzvy.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Nová vize, kterou sdělení upřesňuje, překračuje tradiční způsob nakládání s normami na úrovni EU, který se v minulosti omezoval na technickou podporu pro potřeby EU v oblasti harmonizace. Nová vize se zaměřuje na to, aby normalizace přispívala k řešení společenských výzev a k evropským politikám, jako je podpora inovace, zvyšování kvality a bezpečnosti, zvyšování tvorby pracovních míst a růstu, podpora globálních hodnotových řetězců a rozvoj jednotného trhu.</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Kromě takto rozšířené podpory politiky sdělení rovněž představilo nové iniciativy k dosažení těchto cílů v rámci evropského systému normalizace, a to zejména společnou iniciativu v oblasti normalizace</w:t>
      </w:r>
      <w:r>
        <w:rPr>
          <w:rStyle w:val="FootnoteReference"/>
          <w:rFonts w:ascii="Times New Roman" w:hAnsi="Times New Roman"/>
          <w:noProof/>
          <w:sz w:val="24"/>
        </w:rPr>
        <w:footnoteReference w:id="3"/>
      </w:r>
      <w:r>
        <w:rPr>
          <w:rFonts w:ascii="Times New Roman" w:hAnsi="Times New Roman"/>
          <w:noProof/>
          <w:sz w:val="24"/>
        </w:rPr>
        <w:t xml:space="preserve"> a návrh</w:t>
      </w:r>
      <w:r>
        <w:rPr>
          <w:rStyle w:val="FootnoteReference"/>
          <w:rFonts w:ascii="Times New Roman" w:hAnsi="Times New Roman"/>
          <w:noProof/>
          <w:sz w:val="24"/>
        </w:rPr>
        <w:footnoteReference w:id="4"/>
      </w:r>
      <w:r>
        <w:rPr>
          <w:rFonts w:ascii="Times New Roman" w:hAnsi="Times New Roman"/>
          <w:noProof/>
          <w:sz w:val="24"/>
        </w:rPr>
        <w:t xml:space="preserve"> zahájit interinstitucionální dialog se spolunormotvůrci. V dubnu 2016 Komise dále stanovila priority pro normalizaci IKT a navrhla konkrétní opatření ve svém sdělení nazvaném Priority pro normalizaci IKT pro jednotný digitální trh (dále jen „sdělení o IKT“)</w:t>
      </w:r>
      <w:r>
        <w:rPr>
          <w:rFonts w:ascii="Times New Roman" w:eastAsiaTheme="minorHAnsi" w:hAnsi="Times New Roman"/>
          <w:noProof/>
          <w:sz w:val="24"/>
          <w:vertAlign w:val="superscript"/>
        </w:rPr>
        <w:footnoteReference w:id="5"/>
      </w:r>
      <w:r>
        <w:rPr>
          <w:rFonts w:ascii="Times New Roman" w:hAnsi="Times New Roman"/>
          <w:noProof/>
          <w:sz w:val="24"/>
        </w:rPr>
        <w:t xml:space="preserve"> na základě strategického dvoupilířového přístupu. V prvním pilíři Komise určila pět prioritních oblastí, které jsou z hlediska nutnosti přijetí opatření považovány za naléhavější. V druhém pilíři Komise navrhla proces na vysoké úrovni s cílem dosáhnout přijetí opatření, sledovat pokrok při dosahování výsledků a v případě potřeby priority upravit</w:t>
      </w:r>
      <w:r>
        <w:rPr>
          <w:rStyle w:val="FootnoteReference"/>
          <w:rFonts w:ascii="Times New Roman" w:hAnsi="Times New Roman"/>
          <w:noProof/>
          <w:sz w:val="24"/>
        </w:rPr>
        <w:footnoteReference w:id="6"/>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Jednou z nejdůležitějších zásad normalizace je transparentnost, která vyžaduje, aby byly zavedeny nástroje pro komunikaci a sdílení informací se zúčastněnými stranami. V rámci evropské normalizace k tomu byl doposud používán roční pracovní program Unie pro oblast evropské normalizace</w:t>
      </w:r>
      <w:r>
        <w:rPr>
          <w:rStyle w:val="FootnoteReference"/>
          <w:rFonts w:ascii="Times New Roman" w:hAnsi="Times New Roman"/>
          <w:noProof/>
          <w:sz w:val="24"/>
        </w:rPr>
        <w:footnoteReference w:id="7"/>
      </w:r>
      <w:r>
        <w:rPr>
          <w:rFonts w:ascii="Times New Roman" w:hAnsi="Times New Roman"/>
          <w:noProof/>
          <w:sz w:val="24"/>
        </w:rPr>
        <w:t xml:space="preserve"> a průběžný plán</w:t>
      </w:r>
      <w:r>
        <w:rPr>
          <w:rStyle w:val="FootnoteReference"/>
          <w:rFonts w:ascii="Times New Roman" w:hAnsi="Times New Roman"/>
          <w:noProof/>
          <w:sz w:val="24"/>
        </w:rPr>
        <w:footnoteReference w:id="8"/>
      </w:r>
      <w:r>
        <w:rPr>
          <w:rFonts w:ascii="Times New Roman" w:hAnsi="Times New Roman"/>
          <w:noProof/>
          <w:sz w:val="24"/>
        </w:rPr>
        <w:t xml:space="preserve"> pro normalizaci IKT</w:t>
      </w:r>
      <w:r>
        <w:rPr>
          <w:rStyle w:val="FootnoteReference"/>
          <w:rFonts w:ascii="Times New Roman" w:hAnsi="Times New Roman"/>
          <w:noProof/>
          <w:sz w:val="24"/>
        </w:rPr>
        <w:footnoteReference w:id="9"/>
      </w:r>
      <w:r>
        <w:rPr>
          <w:rFonts w:ascii="Times New Roman" w:hAnsi="Times New Roman"/>
          <w:noProof/>
          <w:sz w:val="24"/>
        </w:rPr>
        <w:t>.</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Cílem této zprávy je vysvětlit, jak jednotlivá opatření a subjekty v rámci předchozích ročních pracovních programů Unie, sdělení nazvané Priority pro normalizaci IKT pro jednotný digitální trh (dále jen „sdělení o IKT“)</w:t>
      </w:r>
      <w:r>
        <w:rPr>
          <w:rFonts w:ascii="Times New Roman" w:eastAsiaTheme="minorHAnsi" w:hAnsi="Times New Roman"/>
          <w:noProof/>
          <w:sz w:val="24"/>
          <w:vertAlign w:val="superscript"/>
        </w:rPr>
        <w:footnoteReference w:id="10"/>
      </w:r>
      <w:r>
        <w:rPr>
          <w:rFonts w:ascii="Times New Roman" w:hAnsi="Times New Roman"/>
          <w:noProof/>
          <w:sz w:val="24"/>
        </w:rPr>
        <w:t xml:space="preserve"> a společné iniciativy v oblasti normalizace dosud přispěly k plnění cílů, které Komise stanovila. Je rozdělena do dvou částí. První se zabývá prvky politiky této nové vize a druhá spoluprací se zúčastněnými subjekty. Doplňuje ji pracovní dokument útvarů Komise, který obsahuje podrobné informace o pokroku dosaženém při realizaci různých opatření stanovených ve výše uvedených ročních pracovních programech Unie a ostatních průběžných aktivit. Účelem této zprávy je podpořit interinstitucionální dialog stanovený ve sdělení, o nějž bude Komise se spolunormotvůrci v nadcházejících měsících nadále usilovat v zájmu položení základů pro práci na ročním pracovním programu Unie na rok 2019.</w:t>
      </w:r>
    </w:p>
    <w:p>
      <w:pPr>
        <w:pStyle w:val="Pp"/>
        <w:numPr>
          <w:ilvl w:val="0"/>
          <w:numId w:val="0"/>
        </w:numPr>
        <w:spacing w:after="240"/>
        <w:ind w:left="850" w:hanging="850"/>
        <w:rPr>
          <w:b w:val="0"/>
          <w:bCs w:val="0"/>
          <w:smallCaps/>
          <w:noProof/>
          <w:spacing w:val="5"/>
          <w:sz w:val="24"/>
          <w:szCs w:val="24"/>
        </w:rPr>
      </w:pPr>
      <w:r>
        <w:rPr>
          <w:rStyle w:val="BookTitle"/>
          <w:noProof/>
          <w:sz w:val="24"/>
        </w:rPr>
        <w:t>Prvky politiky</w:t>
      </w:r>
      <w:r>
        <w:rPr>
          <w:noProof/>
          <w:sz w:val="24"/>
        </w:rPr>
        <w:t xml:space="preserve"> </w:t>
      </w:r>
      <w:r>
        <w:rPr>
          <w:rStyle w:val="BookTitle"/>
          <w:noProof/>
          <w:sz w:val="24"/>
        </w:rPr>
        <w:t>nové vize</w:t>
      </w:r>
      <w:r>
        <w:rPr>
          <w:noProof/>
          <w:sz w:val="24"/>
        </w:rPr>
        <w:t xml:space="preserve"> </w:t>
      </w:r>
    </w:p>
    <w:p>
      <w:pPr>
        <w:pStyle w:val="Heading1"/>
        <w:shd w:val="clear" w:color="auto" w:fill="FFFFFF" w:themeFill="background1"/>
        <w:rPr>
          <w:rFonts w:ascii="Times New Roman" w:hAnsi="Times New Roman" w:cs="Times New Roman"/>
          <w:noProof/>
          <w:color w:val="auto"/>
          <w:sz w:val="24"/>
          <w:szCs w:val="24"/>
        </w:rPr>
      </w:pPr>
      <w:bookmarkStart w:id="2" w:name="_Toc464483305"/>
      <w:bookmarkStart w:id="3" w:name="_Toc465162384"/>
      <w:r>
        <w:rPr>
          <w:rFonts w:ascii="Times New Roman" w:hAnsi="Times New Roman"/>
          <w:noProof/>
          <w:color w:val="auto"/>
          <w:sz w:val="24"/>
        </w:rPr>
        <w:t>Podpora inovací</w:t>
      </w:r>
      <w:bookmarkEnd w:id="2"/>
      <w:bookmarkEnd w:id="3"/>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Normy jsou považovány za hybnou sílu inovací</w:t>
      </w:r>
      <w:r>
        <w:rPr>
          <w:rStyle w:val="FootnoteReference"/>
          <w:rFonts w:ascii="Times New Roman" w:hAnsi="Times New Roman"/>
          <w:noProof/>
          <w:sz w:val="24"/>
        </w:rPr>
        <w:footnoteReference w:id="11"/>
      </w:r>
      <w:r>
        <w:rPr>
          <w:rFonts w:ascii="Times New Roman" w:hAnsi="Times New Roman"/>
          <w:noProof/>
          <w:sz w:val="24"/>
        </w:rPr>
        <w:t>. Hlavním nástrojem inovací v rámci normalizačního procesu je zpracování relevantních vědeckých a technických údajů, známější jako prenormativní výzkum, na jehož základě se vypracuje norma. Nařízení EU č. 1025/2012</w:t>
      </w:r>
      <w:r>
        <w:rPr>
          <w:rStyle w:val="FootnoteReference"/>
          <w:rFonts w:ascii="Times New Roman" w:hAnsi="Times New Roman"/>
          <w:noProof/>
          <w:sz w:val="24"/>
        </w:rPr>
        <w:footnoteReference w:id="12"/>
      </w:r>
      <w:r>
        <w:rPr>
          <w:rFonts w:ascii="Times New Roman" w:hAnsi="Times New Roman"/>
          <w:noProof/>
          <w:sz w:val="24"/>
        </w:rPr>
        <w:t xml:space="preserve"> (dále jen „nařízení“) stanovilo tento rámec v návaznosti na zvýšené přispění normalizace k inovacím v Evropě. Od roku 2016 se Komise společně s dalšími zúčastněnými subjekty v rámci společné iniciativy v oblasti normalizace intenzivněji zaměřuje na tento cíl prostřednictvím propojování výzkumu a inovací s normalizací</w:t>
      </w:r>
      <w:r>
        <w:rPr>
          <w:rStyle w:val="FootnoteReference"/>
          <w:rFonts w:ascii="Times New Roman" w:hAnsi="Times New Roman"/>
          <w:noProof/>
          <w:sz w:val="24"/>
        </w:rPr>
        <w:footnoteReference w:id="13"/>
      </w:r>
      <w:r>
        <w:rPr>
          <w:rFonts w:ascii="Times New Roman" w:hAnsi="Times New Roman"/>
          <w:noProof/>
          <w:sz w:val="24"/>
        </w:rPr>
        <w:t xml:space="preserve">.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Zajištění úzké a včasné interakce mezi oblastmi výzkumu a vývoje a standardizace je klíčovým faktorem, který inovativním výrobkům pomáhá najít cestu na trh.  Program Horizont 2020 se rovněž opětovně zaměřil na vztah mezi výzkumnými projekty a procesem normalizace, a to konkrétně začleněním normalizačních aktivit do výzkumných projektů a uznáním jejich potenciálu zvětšovat dopad výzkumu a výsledků výzkumu a vývoje. V rámci projektů, které jsou součástí programu Horizont 2020 a týkají se spolupracujících inteligentních dopravních systémů (C-ITS), kybernetické bezpečnosti a ochrany soukromí na internetu</w:t>
      </w:r>
      <w:r>
        <w:rPr>
          <w:rStyle w:val="FootnoteReference"/>
          <w:rFonts w:ascii="Times New Roman" w:hAnsi="Times New Roman"/>
          <w:noProof/>
          <w:sz w:val="24"/>
        </w:rPr>
        <w:footnoteReference w:id="14"/>
      </w:r>
      <w:r>
        <w:rPr>
          <w:rFonts w:ascii="Times New Roman" w:hAnsi="Times New Roman"/>
          <w:noProof/>
          <w:sz w:val="24"/>
        </w:rPr>
        <w:t>, nanotechnologií, pokročilých materiálů, biotechnologie, energetiky včetně palivových článků a vodíku, bezpečných společností a pokročilé výroby a zpracování, se provádí řada prenormativních aktivit zaměřených na podporu zdravotnických prostředků, ochrany životního prostředí, dekarbonizace, energetické účinnosti a metrologie.</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Probíhající prenormativní výzkum též přispívá k vytváření harmonizovaných certifikačních programů pro bezpečnostní výrobky a systémy.</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Komise spolupracuje s evropskými normalizačními organizacemi a dalšími organizacemi, které vytvářejí normy, fóry a konsorcii a příslušnými zúčastněnými subjekty, pokud jde o možná opatření, která zlepší normalizační ekosystém v oblasti IKT. To zahrnuje podporu interakce mezi uživateli produktů s otevřeným zdrojovým kódem a normalizačními komunitami a definování vyváženého, jasného a předvídatelného evropského licenčního rámce pro patenty, jejichž využití je nezbytné k dodržení technických norem.  Komise zveřejnila sdělení týkající se licenčního rámce pro patenty v listopadu 2017</w:t>
      </w:r>
      <w:r>
        <w:rPr>
          <w:rStyle w:val="FootnoteReference"/>
          <w:rFonts w:ascii="Times New Roman" w:hAnsi="Times New Roman"/>
          <w:noProof/>
          <w:sz w:val="24"/>
        </w:rPr>
        <w:footnoteReference w:id="15"/>
      </w:r>
      <w:r>
        <w:rPr>
          <w:rFonts w:ascii="Times New Roman" w:eastAsiaTheme="minorHAnsi" w:hAnsi="Times New Roman"/>
          <w:noProof/>
          <w:sz w:val="24"/>
        </w:rPr>
        <w:t>.</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Komise program Horizont 2020 hojně využívá k financování projektů v oblasti výzkumu a inovací, které přispívají k normalizaci, a spolupracuje s evropskými normalizačními organizacemi na opatřeních, která překlenou mezeru mezi výzkumem, inovacemi a normalizací. Partnerství veřejného a soukromého sektoru (PPP) v rámci programu Horizont 2020 jsou zásadní pro vytváření klíčových stavebních kamenů v oblasti digitálních technologií. Rozsáhlé pilotní projekty připravují široké zavedení prostřednictvím testovacích prostředí, experimentálních zařízení a pilotních řad, a tím vedou k získávání nových poznatků a poskytují informace pro normalizační procesy. Na základě předběžných údajů členských států a průmyslu byly určeny iniciativy průmyslových platforem, a sice „propojená inteligentní továrna“, „zdraví a péče“, „inteligentní zemědělství“, „propojená a automatizovaná mobilita“, „inteligentní energetika“ i průřezové údaje týkající se průmyslu a platformy „internetu věcí“.</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Sdělení s názvem Evropská strategie pro nízkoemisní mobilitu</w:t>
      </w:r>
      <w:r>
        <w:rPr>
          <w:rStyle w:val="FootnoteReference"/>
          <w:rFonts w:ascii="Times New Roman" w:eastAsiaTheme="minorHAnsi" w:hAnsi="Times New Roman"/>
          <w:noProof/>
          <w:sz w:val="24"/>
        </w:rPr>
        <w:footnoteReference w:id="16"/>
      </w:r>
      <w:r>
        <w:rPr>
          <w:rFonts w:ascii="Times New Roman" w:eastAsiaTheme="minorHAnsi" w:hAnsi="Times New Roman"/>
          <w:noProof/>
          <w:sz w:val="24"/>
        </w:rPr>
        <w:t xml:space="preserve"> uvádí: „Aby bylo možné co nejvíce vytěžit z velikosti vnitřního trhu, je naprosto nezbytná normalizace a interoperabilita, zejména pak pro elektromobilitu, a je třeba odstranit překážky pro dobíjení elektromobilů v celé EU.“ Komise se chystá přijmout první z řady nařízení Komise v přenesené pravomoci, kterým se doplní nebo aktualizují odkazy na normy uvedené v technických specifikacích stanovených v příloze II směrnice 2014/94/EU o zavádění infrastruktury pro alternativní paliva. </w:t>
      </w:r>
    </w:p>
    <w:p>
      <w:pPr>
        <w:jc w:val="both"/>
        <w:rPr>
          <w:rFonts w:ascii="Times New Roman" w:eastAsiaTheme="minorHAnsi" w:hAnsi="Times New Roman" w:cs="Times New Roman"/>
          <w:noProof/>
          <w:sz w:val="24"/>
          <w:szCs w:val="24"/>
        </w:rPr>
      </w:pPr>
    </w:p>
    <w:p>
      <w:pPr>
        <w:pStyle w:val="Heading1"/>
        <w:shd w:val="clear" w:color="auto" w:fill="FFFFFF" w:themeFill="background1"/>
        <w:rPr>
          <w:rFonts w:ascii="Times New Roman" w:hAnsi="Times New Roman" w:cs="Times New Roman"/>
          <w:noProof/>
          <w:color w:val="auto"/>
          <w:sz w:val="24"/>
          <w:szCs w:val="24"/>
        </w:rPr>
      </w:pPr>
      <w:bookmarkStart w:id="4" w:name="_Toc464483306"/>
      <w:bookmarkStart w:id="5" w:name="_Toc465162385"/>
      <w:r>
        <w:rPr>
          <w:rFonts w:ascii="Times New Roman" w:hAnsi="Times New Roman"/>
          <w:noProof/>
          <w:color w:val="auto"/>
          <w:sz w:val="24"/>
        </w:rPr>
        <w:t xml:space="preserve">Zvyšování kvality, bezpečnosti, zabezpečení a udržitelnosti výrobků a služeb </w:t>
      </w:r>
    </w:p>
    <w:bookmarkEnd w:id="4"/>
    <w:bookmarkEnd w:id="5"/>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Účinná normalizační politika přispívá k plnění zákonných požadavků na bezpečnost tvorbou technických specifikací odpovídajících nejnovějším poznatkům a poskytováním společně akceptovaných zkušebních metod k měření shody výrobků a služeb se stanovenými hodnotami pro kvalitu, bezpečnost, zabezpečení, energetickou a surovinovou účinnost.  Cíle týkající se kvality, bezpečnosti, zabezpečení a udržitelnosti se v zásadě doplňují, ale v některých případech mohou být též protichůdné. Sledování cílů v oblasti normalizace způsobem, který je co nejvyváženější a založený na vzájemné podpoře, je stále výzvou.</w:t>
      </w:r>
    </w:p>
    <w:p>
      <w:pPr>
        <w:pStyle w:val="Heading2"/>
        <w:shd w:val="clear" w:color="auto" w:fill="FFFFFF" w:themeFill="background1"/>
        <w:rPr>
          <w:rFonts w:ascii="Times New Roman" w:hAnsi="Times New Roman"/>
          <w:noProof/>
          <w:color w:val="auto"/>
          <w:sz w:val="24"/>
        </w:rPr>
      </w:pPr>
      <w:bookmarkStart w:id="6" w:name="_Toc464483307"/>
      <w:bookmarkStart w:id="7" w:name="_Toc465162386"/>
      <w:r>
        <w:rPr>
          <w:rFonts w:ascii="Times New Roman" w:hAnsi="Times New Roman"/>
          <w:noProof/>
          <w:color w:val="auto"/>
          <w:sz w:val="24"/>
        </w:rPr>
        <w:t>Kvalita</w:t>
      </w:r>
      <w:bookmarkEnd w:id="6"/>
      <w:bookmarkEnd w:id="7"/>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Za účelem pomoci zlepšit kvalitu služeb požádala Komise evropské normalizační organizace</w:t>
      </w:r>
      <w:r>
        <w:rPr>
          <w:rStyle w:val="FootnoteReference"/>
          <w:rFonts w:ascii="Times New Roman" w:hAnsi="Times New Roman"/>
          <w:noProof/>
          <w:sz w:val="24"/>
        </w:rPr>
        <w:footnoteReference w:id="17"/>
      </w:r>
      <w:r>
        <w:rPr>
          <w:rFonts w:ascii="Times New Roman" w:hAnsi="Times New Roman"/>
          <w:noProof/>
          <w:sz w:val="24"/>
        </w:rPr>
        <w:t xml:space="preserve">, aby vypracovaly evropské normy v oblastech, jako jsou poštovní služby, kde normy přispěly k rozvoji odvětví služeb přepravy balíkových zásilek, i horizontální normy pro služby, které vytváří CEN s cílem pomoci poskytovatelům služeb, např. při měření jejich výkonnosti.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Nedávno vyžádané evropské normy v oblasti metrologie</w:t>
      </w:r>
      <w:r>
        <w:rPr>
          <w:rStyle w:val="FootnoteReference"/>
          <w:rFonts w:ascii="Times New Roman" w:hAnsi="Times New Roman"/>
          <w:noProof/>
          <w:sz w:val="24"/>
        </w:rPr>
        <w:footnoteReference w:id="18"/>
      </w:r>
      <w:r>
        <w:rPr>
          <w:rFonts w:ascii="Times New Roman" w:hAnsi="Times New Roman"/>
          <w:noProof/>
          <w:sz w:val="24"/>
        </w:rPr>
        <w:t xml:space="preserve"> by měly zlepšit kvalitu měření, zejména měření vody a tepelné energie i decentralizované výroby elektřiny z obnovitelných zdrojů a přenosu energie do a z elektromobilů. </w:t>
      </w:r>
    </w:p>
    <w:p>
      <w:pPr>
        <w:pStyle w:val="Heading2"/>
        <w:shd w:val="clear" w:color="auto" w:fill="FFFFFF" w:themeFill="background1"/>
        <w:rPr>
          <w:rFonts w:ascii="Times New Roman" w:hAnsi="Times New Roman" w:cs="Times New Roman"/>
          <w:noProof/>
          <w:color w:val="auto"/>
          <w:sz w:val="24"/>
          <w:szCs w:val="24"/>
        </w:rPr>
      </w:pPr>
      <w:bookmarkStart w:id="8" w:name="_Toc464483308"/>
      <w:bookmarkStart w:id="9" w:name="_Toc465162387"/>
      <w:r>
        <w:rPr>
          <w:rFonts w:ascii="Times New Roman" w:hAnsi="Times New Roman"/>
          <w:noProof/>
          <w:color w:val="auto"/>
          <w:sz w:val="24"/>
        </w:rPr>
        <w:t>Bezpečnost</w:t>
      </w:r>
      <w:bookmarkEnd w:id="8"/>
      <w:bookmarkEnd w:id="9"/>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Bezpečnost je jednou z hlavních oblastí evropské normalizace. Zaujímá zhruba 60 % normalizačních požadavků Komise, což odráží dopad bezpečnosti na každodenní život občanů EU. Harmonizované právní předpisy EU i směrnice o obecné bezpečnosti výrobků</w:t>
      </w:r>
      <w:r>
        <w:rPr>
          <w:rStyle w:val="FootnoteReference"/>
          <w:rFonts w:ascii="Times New Roman" w:hAnsi="Times New Roman"/>
          <w:noProof/>
          <w:sz w:val="24"/>
        </w:rPr>
        <w:footnoteReference w:id="19"/>
      </w:r>
      <w:r>
        <w:rPr>
          <w:rFonts w:ascii="Times New Roman" w:hAnsi="Times New Roman"/>
          <w:noProof/>
          <w:sz w:val="24"/>
        </w:rPr>
        <w:t>, které zajišťují bezpečnost stovek výrobků na trzích v EU, vycházejí z harmonizovaných norem a dalších norem na podporu právních předpisů EU</w:t>
      </w:r>
      <w:r>
        <w:rPr>
          <w:rStyle w:val="FootnoteReference"/>
          <w:rFonts w:ascii="Times New Roman" w:hAnsi="Times New Roman"/>
          <w:noProof/>
          <w:sz w:val="24"/>
        </w:rPr>
        <w:footnoteReference w:id="20"/>
      </w:r>
      <w:r>
        <w:rPr>
          <w:rFonts w:ascii="Times New Roman" w:hAnsi="Times New Roman"/>
          <w:noProof/>
          <w:sz w:val="24"/>
        </w:rPr>
        <w:t xml:space="preserve"> v zájmu zajištění shody s bezpečnostními požadavky právních předpisů.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Nedávno vypracované normy podporují harmonizaci v široké škále oblastí, jako je bezpečnost dětí a osobní ochranné prostředky. Nedávno přijatá evropská norma o bezpečnosti dětí specifikuje bezpečnostní požadavky na zapalovače, které dětem znemožní aktivovat zapalovací mechanismus. Dále nově přijaté normy upravující dětská nosítka zajišťují, aby děti nemohly uchopit komponenty nosítka. A konečně normalizace stanovila technické požadavky na ochranu očí před laserovými paprsky v rámci osobních ochranných prostředků, které chrání pracovníky před náhodným vystavením laserovému záření. </w:t>
      </w:r>
    </w:p>
    <w:p>
      <w:pPr>
        <w:rPr>
          <w:noProof/>
        </w:rPr>
      </w:pPr>
    </w:p>
    <w:p>
      <w:pPr>
        <w:shd w:val="clear" w:color="auto" w:fill="FFFFFF" w:themeFill="background1"/>
        <w:jc w:val="both"/>
        <w:rPr>
          <w:rFonts w:ascii="Times New Roman" w:hAnsi="Times New Roman" w:cs="Times New Roman"/>
          <w:noProof/>
          <w:sz w:val="24"/>
          <w:szCs w:val="24"/>
        </w:rPr>
      </w:pPr>
    </w:p>
    <w:p>
      <w:pPr>
        <w:pStyle w:val="Heading2"/>
        <w:shd w:val="clear" w:color="auto" w:fill="FFFFFF" w:themeFill="background1"/>
        <w:rPr>
          <w:rFonts w:ascii="Times New Roman" w:hAnsi="Times New Roman" w:cs="Times New Roman"/>
          <w:noProof/>
          <w:color w:val="auto"/>
          <w:sz w:val="24"/>
          <w:szCs w:val="24"/>
        </w:rPr>
      </w:pPr>
      <w:bookmarkStart w:id="10" w:name="_Toc464483309"/>
      <w:bookmarkStart w:id="11" w:name="_Toc465162388"/>
      <w:r>
        <w:rPr>
          <w:rFonts w:ascii="Times New Roman" w:hAnsi="Times New Roman"/>
          <w:noProof/>
          <w:color w:val="auto"/>
          <w:sz w:val="24"/>
        </w:rPr>
        <w:t>Zabezpečení</w:t>
      </w:r>
      <w:bookmarkEnd w:id="10"/>
      <w:bookmarkEnd w:id="11"/>
      <w:r>
        <w:rPr>
          <w:rFonts w:ascii="Times New Roman" w:hAnsi="Times New Roman"/>
          <w:noProof/>
          <w:color w:val="auto"/>
          <w:sz w:val="24"/>
        </w:rPr>
        <w:t xml:space="preserve">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S ohledem na technologický i mezinárodní politický vývoj je zabezpečení stále více upřednostňováno coby politická oblast EU. V souvislosti se zabezpečením určila Komise od roku 2016 normalizační potřeby v oblasti krizového řízení a chemické, biologické, radiologické a jaderné ochrany a požádala CEN o vypracování příslušných norem. Kromě toho byl prostřednictvím programu Horizont 2020 zahájen prenormativní výzkum v řadě oblastí zahrnujících bezpečnostní hrozby, jako je radiologické a jaderné ohrožení kritické infrastruktury.</w:t>
      </w:r>
      <w:bookmarkStart w:id="12" w:name="_Toc465162389"/>
      <w:r>
        <w:rPr>
          <w:rFonts w:ascii="Times New Roman" w:hAnsi="Times New Roman"/>
          <w:noProof/>
          <w:sz w:val="24"/>
        </w:rPr>
        <w:t xml:space="preserve"> V oblasti IKT Komise též iniciovala normalizační požadavek na ochranu soukromí již od návrhu s cílem pomoci výrobcům konzistentně zohledňovat otázky ochrany údajů.</w:t>
      </w:r>
    </w:p>
    <w:p>
      <w:pPr>
        <w:pStyle w:val="Heading2"/>
        <w:shd w:val="clear" w:color="auto" w:fill="FFFFFF" w:themeFill="background1"/>
        <w:rPr>
          <w:rFonts w:ascii="Times New Roman" w:hAnsi="Times New Roman" w:cs="Times New Roman"/>
          <w:noProof/>
          <w:color w:val="auto"/>
          <w:sz w:val="24"/>
          <w:szCs w:val="24"/>
        </w:rPr>
      </w:pPr>
      <w:r>
        <w:rPr>
          <w:rFonts w:ascii="Times New Roman" w:hAnsi="Times New Roman"/>
          <w:noProof/>
          <w:color w:val="auto"/>
          <w:sz w:val="24"/>
        </w:rPr>
        <w:t>Udržitelnost</w:t>
      </w:r>
      <w:bookmarkEnd w:id="12"/>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Udržitelnost patří k významným dlouhodobým cílům evropské normalizace. Normy jsou nutné k provádění klíčových priorit EU, jako je politika energetické unie a její výzkumná a inovační strategie – Urychlení inovací v oblasti čisté energie</w:t>
      </w:r>
      <w:r>
        <w:rPr>
          <w:rStyle w:val="FootnoteReference"/>
          <w:rFonts w:ascii="Times New Roman" w:hAnsi="Times New Roman"/>
          <w:noProof/>
          <w:sz w:val="24"/>
        </w:rPr>
        <w:footnoteReference w:id="21"/>
      </w:r>
      <w:r>
        <w:rPr>
          <w:rFonts w:ascii="Times New Roman" w:hAnsi="Times New Roman"/>
          <w:noProof/>
          <w:sz w:val="24"/>
        </w:rPr>
        <w:t> – která zahrnuje opatření zaměřená na zmírňování dopadů změny klimatu a přizpůsobení se této změně a dekarbonizaci energetického systému. V letech 2016</w:t>
      </w:r>
      <w:r>
        <w:rPr>
          <w:rStyle w:val="FootnoteReference"/>
          <w:rFonts w:ascii="Times New Roman" w:hAnsi="Times New Roman"/>
          <w:noProof/>
          <w:sz w:val="24"/>
        </w:rPr>
        <w:footnoteReference w:id="22"/>
      </w:r>
      <w:r>
        <w:rPr>
          <w:rStyle w:val="FootnoteReference"/>
          <w:noProof/>
        </w:rPr>
        <w:t xml:space="preserve"> </w:t>
      </w:r>
      <w:r>
        <w:rPr>
          <w:rFonts w:ascii="Times New Roman" w:hAnsi="Times New Roman"/>
          <w:noProof/>
          <w:sz w:val="24"/>
        </w:rPr>
        <w:t>a 2017</w:t>
      </w:r>
      <w:r>
        <w:rPr>
          <w:rStyle w:val="FootnoteReference"/>
          <w:rFonts w:ascii="Times New Roman" w:hAnsi="Times New Roman"/>
          <w:noProof/>
          <w:sz w:val="24"/>
        </w:rPr>
        <w:footnoteReference w:id="23"/>
      </w:r>
      <w:r>
        <w:rPr>
          <w:rStyle w:val="FootnoteReference"/>
          <w:noProof/>
        </w:rPr>
        <w:t xml:space="preserve"> </w:t>
      </w:r>
      <w:r>
        <w:rPr>
          <w:rFonts w:ascii="Times New Roman" w:hAnsi="Times New Roman"/>
          <w:noProof/>
          <w:sz w:val="24"/>
        </w:rPr>
        <w:t xml:space="preserve">Komise požádala evropské normalizační organizace, aby vypracovaly normy týkající se systémů environmentálního řízení, obalů a obalových odpadů, polycyklických aromatických uhlovodíků, environmentálního řízení, ekodesignu a označování energetické účinnosti spotřebičů, rámcové směrnice o vodě, emisí skleníkových plynů, používání pesticidů, zařízení pro rekuperaci par, baterií, zeleného vodíku, těkavých organických sloučenin, pyrolyzních olejů, řas, snižování energetické náročnosti budov, zavádění ekologické infrastruktury, kvality vzduchu a snižování emisí. Uvedené požadavky byly založeny na stávajících právních a politických rámcích a jsou v souladu s kritérii stanovenými v těchto rámcích. Za účelem odstranění překážek pro technologie šetrné ke klimatu v odvětví chlazení, klimatizace, tepelných čerpadel a lehčených plastů Komise požádala výbory CEN a CENELEC, aby vypracovaly příslušné evropské normy. </w:t>
      </w:r>
    </w:p>
    <w:p>
      <w:pPr>
        <w:pStyle w:val="Heading1"/>
        <w:shd w:val="clear" w:color="auto" w:fill="FFFFFF" w:themeFill="background1"/>
        <w:rPr>
          <w:rFonts w:ascii="Times New Roman" w:hAnsi="Times New Roman" w:cs="Times New Roman"/>
          <w:noProof/>
          <w:color w:val="auto"/>
          <w:sz w:val="24"/>
          <w:szCs w:val="24"/>
          <w:lang w:val="pl-PL"/>
        </w:rPr>
      </w:pPr>
      <w:bookmarkStart w:id="13" w:name="_Toc464483310"/>
      <w:bookmarkStart w:id="14" w:name="_Toc465162390"/>
      <w:r>
        <w:rPr>
          <w:rFonts w:ascii="Times New Roman" w:hAnsi="Times New Roman"/>
          <w:noProof/>
          <w:color w:val="auto"/>
          <w:sz w:val="24"/>
          <w:lang w:val="pl-PL"/>
        </w:rPr>
        <w:t>Podpora tvorby pracovních míst a růstu</w:t>
      </w:r>
      <w:bookmarkEnd w:id="13"/>
      <w:bookmarkEnd w:id="14"/>
      <w:r>
        <w:rPr>
          <w:rFonts w:ascii="Times New Roman" w:hAnsi="Times New Roman"/>
          <w:noProof/>
          <w:color w:val="auto"/>
          <w:sz w:val="24"/>
          <w:lang w:val="pl-PL"/>
        </w:rPr>
        <w:t xml:space="preserve"> </w:t>
      </w:r>
    </w:p>
    <w:p>
      <w:pPr>
        <w:shd w:val="clear" w:color="auto" w:fill="FFFFFF" w:themeFill="background1"/>
        <w:jc w:val="both"/>
        <w:rPr>
          <w:rFonts w:ascii="Times New Roman" w:hAnsi="Times New Roman" w:cs="Times New Roman"/>
          <w:noProof/>
          <w:sz w:val="24"/>
          <w:szCs w:val="24"/>
          <w:lang w:val="pl-PL"/>
        </w:rPr>
      </w:pPr>
      <w:r>
        <w:rPr>
          <w:rFonts w:ascii="Times New Roman" w:hAnsi="Times New Roman"/>
          <w:noProof/>
          <w:sz w:val="24"/>
          <w:lang w:val="pl-PL"/>
        </w:rPr>
        <w:t xml:space="preserve">Normalizace je proces vedený zdola nahoru, který umožňuje přizvat zástupce průmyslu, státní správy, vědy a dalších zúčastněných subjektů, a tím vede k vysoké míře přijetí norem mezi těmito zúčastněnými subjekty. Pro EU jsou normy a normalizace jasnou strategickou výhodou k zajištění konkurenceschopnosti Unie a klíčovými nástroji pro podporu inovace a pokroku na jednotném trhu. Obecně se má za to, že normy a normalizace jsou nezbytné pro podporu hospodářského růstu díky své úloze při zvyšování produktivity a konkurenceschopnosti a podněcování inovací a prosperity.  Jsou též prostředkem, který EU umožňuje zachovat si vedoucí postavení v technickém rozvoji a světovém obchodu.  </w:t>
      </w:r>
    </w:p>
    <w:p>
      <w:pPr>
        <w:shd w:val="clear" w:color="auto" w:fill="FFFFFF" w:themeFill="background1"/>
        <w:jc w:val="both"/>
        <w:rPr>
          <w:rFonts w:ascii="Times New Roman" w:hAnsi="Times New Roman" w:cs="Times New Roman"/>
          <w:noProof/>
          <w:sz w:val="24"/>
          <w:szCs w:val="24"/>
          <w:lang w:val="pl-PL"/>
        </w:rPr>
      </w:pPr>
      <w:r>
        <w:rPr>
          <w:rFonts w:ascii="Times New Roman" w:hAnsi="Times New Roman"/>
          <w:noProof/>
          <w:sz w:val="24"/>
          <w:lang w:val="pl-PL"/>
        </w:rPr>
        <w:t>Přestože vnitrostátní studie, které provedly Francie, Německo, Spojené království a další státy</w:t>
      </w:r>
      <w:r>
        <w:rPr>
          <w:rStyle w:val="FootnoteReference"/>
          <w:rFonts w:ascii="Times New Roman" w:hAnsi="Times New Roman"/>
          <w:noProof/>
          <w:sz w:val="24"/>
        </w:rPr>
        <w:footnoteReference w:id="24"/>
      </w:r>
      <w:r>
        <w:rPr>
          <w:rFonts w:ascii="Times New Roman" w:hAnsi="Times New Roman"/>
          <w:noProof/>
          <w:sz w:val="24"/>
          <w:lang w:val="pl-PL"/>
        </w:rPr>
        <w:t xml:space="preserve">, poukazují na to, jak normy a normalizace přispívají ke konkurenceschopnosti podniků v EU, účinky norem a normalizace v širším evropském rozsahu jsou stále nepostřehnutelné. Právě tato otázka se znovu projednávala v souvislosti se společnou iniciativou v oblasti normalizace s cílem posílit empirickou základnu ročního správního cyklu týkající se normalizační politiky EU.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lang w:val="pl-PL"/>
        </w:rPr>
        <w:t>Komise uznává, že je důležité hlouběji porozumět ekonomickým a sociálním dopadům norem a normalizace, a v ročním pracovním programu Unie pro rok 2017 stanoví svůj záměr zahájit studii</w:t>
      </w:r>
      <w:r>
        <w:rPr>
          <w:rStyle w:val="FootnoteReference"/>
          <w:rFonts w:ascii="Times New Roman" w:hAnsi="Times New Roman"/>
          <w:noProof/>
          <w:sz w:val="24"/>
        </w:rPr>
        <w:footnoteReference w:id="25"/>
      </w:r>
      <w:r>
        <w:rPr>
          <w:rFonts w:ascii="Times New Roman" w:hAnsi="Times New Roman"/>
          <w:noProof/>
          <w:sz w:val="24"/>
          <w:lang w:val="pl-PL"/>
        </w:rPr>
        <w:t>. Předmět je rozsáhlý a měření (hospodářských) dopadů norem a normalizace i shromáždění údajů, na jejichž základě by bylo možné vyjádřit dopady norem a normalizace v penězích a jejich vnější faktory na makroekonomické, odvětvové a podnikové úrovni, s sebou nesou metodologické výzvy. S ohledem na výše uvedené Komise tento rok ve spolupráci s vnitrostátními normalizačními orgány a dalšími účastníky zahájila studii proveditelnosti příslušného opatření společné iniciativy v oblasti normalizace, jehož se uvedená studie týká</w:t>
      </w:r>
      <w:r>
        <w:rPr>
          <w:rStyle w:val="FootnoteReference"/>
          <w:rFonts w:ascii="Times New Roman" w:hAnsi="Times New Roman"/>
          <w:noProof/>
          <w:sz w:val="24"/>
        </w:rPr>
        <w:footnoteReference w:id="26"/>
      </w:r>
      <w:r>
        <w:rPr>
          <w:rFonts w:ascii="Times New Roman" w:hAnsi="Times New Roman"/>
          <w:noProof/>
          <w:sz w:val="24"/>
          <w:lang w:val="pl-PL"/>
        </w:rPr>
        <w:t xml:space="preserve">. </w:t>
      </w:r>
      <w:r>
        <w:rPr>
          <w:rFonts w:ascii="Times New Roman" w:hAnsi="Times New Roman"/>
          <w:noProof/>
          <w:sz w:val="24"/>
        </w:rPr>
        <w:t>Účelem studie je vyhodnotit další posouzení provedení výsledné studie.</w:t>
      </w:r>
    </w:p>
    <w:p>
      <w:pPr>
        <w:pStyle w:val="Heading1"/>
        <w:shd w:val="clear" w:color="auto" w:fill="FFFFFF" w:themeFill="background1"/>
        <w:rPr>
          <w:rFonts w:ascii="Times New Roman" w:hAnsi="Times New Roman" w:cs="Times New Roman"/>
          <w:noProof/>
          <w:color w:val="auto"/>
          <w:sz w:val="24"/>
          <w:szCs w:val="24"/>
        </w:rPr>
      </w:pPr>
      <w:bookmarkStart w:id="15" w:name="_Toc464483311"/>
      <w:bookmarkStart w:id="16" w:name="_Toc465162391"/>
      <w:r>
        <w:rPr>
          <w:rFonts w:ascii="Times New Roman" w:hAnsi="Times New Roman"/>
          <w:noProof/>
          <w:color w:val="auto"/>
          <w:sz w:val="24"/>
        </w:rPr>
        <w:t xml:space="preserve">Podpora globálních hodnotových řetězců </w:t>
      </w:r>
    </w:p>
    <w:bookmarkEnd w:id="15"/>
    <w:bookmarkEnd w:id="16"/>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Evropský systém normalizace hraje klíčovou úlohu při podpoře evropských podniků a malých a středních podniků, aby mohly rozšiřovat svoji činnost za hranice Evropy, a při zajišťování kvality a bezpečnosti dovážených výrobků a služeb. Příkladem jsou dohody mezi evropskými a mezinárodními normalizačními organizacemi jako ISO</w:t>
      </w:r>
      <w:r>
        <w:rPr>
          <w:rStyle w:val="FootnoteReference"/>
          <w:noProof/>
        </w:rPr>
        <w:footnoteReference w:id="27"/>
      </w:r>
      <w:r>
        <w:rPr>
          <w:rFonts w:ascii="Times New Roman" w:hAnsi="Times New Roman"/>
          <w:noProof/>
          <w:sz w:val="24"/>
        </w:rPr>
        <w:t>, IEC</w:t>
      </w:r>
      <w:r>
        <w:rPr>
          <w:rStyle w:val="FootnoteReference"/>
          <w:noProof/>
        </w:rPr>
        <w:footnoteReference w:id="28"/>
      </w:r>
      <w:r>
        <w:rPr>
          <w:rStyle w:val="FootnoteReference"/>
          <w:noProof/>
        </w:rPr>
        <w:t xml:space="preserve"> </w:t>
      </w:r>
      <w:r>
        <w:rPr>
          <w:rFonts w:ascii="Times New Roman" w:hAnsi="Times New Roman"/>
          <w:noProof/>
          <w:sz w:val="24"/>
        </w:rPr>
        <w:t>i globální partnerství jako</w:t>
      </w:r>
      <w:r>
        <w:rPr>
          <w:noProof/>
        </w:rPr>
        <w:t xml:space="preserve"> Projekt partnerství třetí generace</w:t>
      </w:r>
      <w:r>
        <w:rPr>
          <w:rStyle w:val="Emphasis"/>
          <w:noProof/>
        </w:rPr>
        <w:t xml:space="preserve"> (</w:t>
      </w:r>
      <w:r>
        <w:rPr>
          <w:noProof/>
        </w:rPr>
        <w:t>3GPP)</w:t>
      </w:r>
      <w:r>
        <w:rPr>
          <w:rStyle w:val="FootnoteReference"/>
          <w:noProof/>
        </w:rPr>
        <w:footnoteReference w:id="29"/>
      </w:r>
      <w:r>
        <w:rPr>
          <w:noProof/>
        </w:rPr>
        <w:t xml:space="preserve"> a organizace oneM2M</w:t>
      </w:r>
      <w:r>
        <w:rPr>
          <w:rStyle w:val="FootnoteReference"/>
          <w:noProof/>
        </w:rPr>
        <w:footnoteReference w:id="30"/>
      </w:r>
      <w:r>
        <w:rPr>
          <w:rFonts w:ascii="Times New Roman" w:hAnsi="Times New Roman"/>
          <w:noProof/>
          <w:sz w:val="24"/>
        </w:rPr>
        <w:t>. Od roku 2016 se Komise též snaží prosazovat evropský regulační model opírající se o dobrovolné normy a úzkou vazbu na mezinárodní normalizaci ve třetích zemích v souladu s rámcem společné iniciativy v oblasti normalizace</w:t>
      </w:r>
      <w:r>
        <w:rPr>
          <w:rFonts w:ascii="Times New Roman" w:hAnsi="Times New Roman"/>
          <w:noProof/>
          <w:sz w:val="24"/>
        </w:rPr>
        <w:footnoteReference w:id="31"/>
      </w:r>
      <w:r>
        <w:rPr>
          <w:rFonts w:ascii="Times New Roman" w:hAnsi="Times New Roman"/>
          <w:noProof/>
          <w:sz w:val="24"/>
        </w:rPr>
        <w:t xml:space="preserve">. Komise se rovněž zapojila do přímého dialogu s organizacemi ISO a IEC s cílem minimalizovat přijímání totožných evropských a mezinárodních norem a zároveň evropským spotřebitelům zajistit nejvyšší ochranu.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Normalizace je klíčovou součástí jednání o dohodě o volném obchodu mezi EU a třetími zeměmi.  Komise usiluje o to, aby se její partneři zavázali, že budou při vytváření předpisů ovlivňujících stěžejní výrobky a služby používat moderní mezinárodní normy, aby byla zajištěna bezpečnost a ochrana občanů EU i zlepšena mezinárodní konkurenceschopnost podniků v EU. Nedávno ukončená jednání o dohodě o volném obchodu, při nichž se normalizace dostala na přední místo, zahrnují dohodu mezi EU a Kanadou (CETA, která vstoupila v platnost prozatímně dne 21. září 2017), Singapurem a Vietnamem (jednání byla ukončena) a Japonskem (dohody o hlavních aspektech bylo v zásadě dosaženo).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S cílem lépe zachytit příležitosti, které nabízejí největší rozvíjející se trhy, byli dva odborníci EU v oblasti normalizace (společně financovaní Komisí, ESVO a třemi evropskými normalizačními organizacemi) vysláni do Číny a Indie, aby prováděli osvětové aktivity týkající se příslušných normalizačních systémů a získali informace o trhu a právních předpisech ve specifických oblastech s významem pro trh. Jelikož aktuální fáze projektu vyslaného evropského odborníka na normalizaci v Číně (SESEC) v prosinci 2017 končí, Komise spolupracuje se svými projektovými partnery na obnovení projektu od začátku roku 2018.</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Pokud jde o mezinárodní dosah evropské normalizace v oblasti IKT, spolupráce a podpora v rámci programu Horizont 2020 v kombinaci s opatřeními nástroje zahraniční politiky pomohou posílit přítomnost EU zřízením střediska pro sledování globálních normalizačních aktivit v oblasti IKT a nástroje financování pro podporu účasti evropských odborníků na mezinárodní normalizaci v oblasti IKT a prosazováním evropské normalizace v ostatních regionech.</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Normalizace související se zabezpečením je projednávána při diskusích Evropské hospodářské komise OSN s cílem posílit přítomnost EU a zapojení evropských zúčastněných subjektů do bezpečnostních otázek.</w:t>
      </w:r>
    </w:p>
    <w:p>
      <w:pPr>
        <w:jc w:val="both"/>
        <w:rPr>
          <w:rFonts w:ascii="Times New Roman" w:hAnsi="Times New Roman" w:cs="Times New Roman"/>
          <w:noProof/>
          <w:sz w:val="24"/>
          <w:szCs w:val="24"/>
        </w:rPr>
      </w:pPr>
      <w:r>
        <w:rPr>
          <w:rFonts w:ascii="Times New Roman" w:hAnsi="Times New Roman"/>
          <w:noProof/>
          <w:sz w:val="24"/>
        </w:rPr>
        <w:t>Nové příležitosti spolupráce v oblasti normalizace přináší také africký kontinent. Společná strategie EU-Afrika by mohla poskytnout rámec k vytvoření celoafrického normalizačního systému jako technického přispění k integraci trhů v celé Africe. V roce 2016 Komise podpořila spolupráci výborů CEN a CENELEC s africkými normalizačními organizacemi (ARSO, AFSEC) zaměřenou na to, aby se normalizace stala ústředním bodem plánu summitu EU-Afrika v listopadu 2017. Sjednocený africký trh opírající se o evropský normalizační model je jasným přínosem pro oba partnery.</w:t>
      </w:r>
    </w:p>
    <w:p>
      <w:pPr>
        <w:pStyle w:val="Heading1"/>
        <w:shd w:val="clear" w:color="auto" w:fill="FFFFFF" w:themeFill="background1"/>
        <w:rPr>
          <w:rFonts w:ascii="Times New Roman" w:hAnsi="Times New Roman" w:cs="Times New Roman"/>
          <w:noProof/>
          <w:color w:val="auto"/>
          <w:sz w:val="24"/>
          <w:szCs w:val="24"/>
        </w:rPr>
      </w:pPr>
      <w:bookmarkStart w:id="17" w:name="_Toc464483312"/>
      <w:bookmarkStart w:id="18" w:name="_Toc465162392"/>
      <w:r>
        <w:rPr>
          <w:rFonts w:ascii="Times New Roman" w:hAnsi="Times New Roman"/>
          <w:noProof/>
          <w:color w:val="auto"/>
          <w:sz w:val="24"/>
        </w:rPr>
        <w:t>Prevence nákladné roztříštěnosti jednotného trhu</w:t>
      </w:r>
      <w:bookmarkEnd w:id="17"/>
      <w:bookmarkEnd w:id="18"/>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Každá evropská norma nahrazuje jednu normu či skupinu vnitrostátních norem v každém členském státě jedinou normou. To pomáhá vytvářet moderní veřejné služby a snižuje administrativní zátěž a náklady na dodržování předpisů, a tak usnadňuje život podnikům i občanům. Včasné provedení evropských norem ve vnitrostátním právu a zveřejnění odkazu na ně (v příslušných případech) v Úředním věstníku Evropské unie je nezbytné k uspokojení potřeb trhu. Průměrná míra provedení evropských norem ve vnitrostátním právu (norem EN na podporu právních předpisů a politik EU a ostatních norem EN) v zemích EU-28 je přibližně 99 % (pohybuje se od 93 % do 100 % na členský stát).</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Legislativní změny zavedené v roce 2013, zejména nově stanovené povinnosti Komise týkající se ověřování harmonizovaných norem vypracovaných evropskými normalizačními organizacemi, měly dopad na proces zveřejňování odkazů na harmonizované normy v Úředním věstníku. To následně vedlo k nárůstu počtu necitovaných odkazů. Různé zúčastněné normalizační subjekty proto uvedenou situaci kritizovaly, jelikož vedla k právní nejistotě a zbytečným vícenákladům evropských odvětví. V roce 2017 byla tato situace přezkoumána v rámci programu Komise s názvem Program pro účelnost a účinnost právních předpisů (REFIT) s cílem řešit aktuální soubor necitovaných harmonizovaných norem a zajistit, aby citování bylo prováděno transparentnějším a odpovědnějším způsobem. Na základě doporučení platformy REFIT</w:t>
      </w:r>
      <w:r>
        <w:rPr>
          <w:rStyle w:val="FootnoteReference"/>
          <w:rFonts w:ascii="Times New Roman" w:hAnsi="Times New Roman"/>
          <w:noProof/>
          <w:sz w:val="24"/>
        </w:rPr>
        <w:footnoteReference w:id="32"/>
      </w:r>
      <w:r>
        <w:rPr>
          <w:rFonts w:ascii="Times New Roman" w:hAnsi="Times New Roman"/>
          <w:noProof/>
          <w:sz w:val="24"/>
        </w:rPr>
        <w:t xml:space="preserve"> Komise a evropské normalizační organizace sestavily a schválily akční plán pro včasné zveřejňování odkazů na harmonizované normy v Úředním věstníku</w:t>
      </w:r>
      <w:r>
        <w:rPr>
          <w:rStyle w:val="FootnoteReference"/>
          <w:rFonts w:ascii="Times New Roman" w:hAnsi="Times New Roman"/>
          <w:noProof/>
          <w:sz w:val="24"/>
        </w:rPr>
        <w:footnoteReference w:id="33"/>
      </w:r>
      <w:r>
        <w:rPr>
          <w:noProof/>
        </w:rPr>
        <w:t>.</w:t>
      </w:r>
    </w:p>
    <w:p>
      <w:pPr>
        <w:pStyle w:val="Pp"/>
        <w:numPr>
          <w:ilvl w:val="0"/>
          <w:numId w:val="0"/>
        </w:numPr>
        <w:spacing w:after="240"/>
        <w:ind w:left="850" w:hanging="850"/>
        <w:rPr>
          <w:rStyle w:val="BookTitle"/>
          <w:noProof/>
          <w:sz w:val="24"/>
          <w:szCs w:val="24"/>
        </w:rPr>
      </w:pPr>
      <w:r>
        <w:rPr>
          <w:rStyle w:val="BookTitle"/>
          <w:noProof/>
          <w:sz w:val="24"/>
        </w:rPr>
        <w:t>Úzká spolupráce se zúčastněnými subjekty</w:t>
      </w:r>
    </w:p>
    <w:p>
      <w:pPr>
        <w:shd w:val="clear" w:color="auto" w:fill="FFFFFF" w:themeFill="background1"/>
        <w:jc w:val="both"/>
        <w:rPr>
          <w:rFonts w:ascii="Times New Roman" w:hAnsi="Times New Roman" w:cs="Times New Roman"/>
          <w:noProof/>
          <w:sz w:val="24"/>
          <w:szCs w:val="24"/>
        </w:rPr>
      </w:pPr>
      <w:bookmarkStart w:id="19" w:name="_Toc464483313"/>
      <w:bookmarkStart w:id="20" w:name="_Toc465162393"/>
      <w:r>
        <w:rPr>
          <w:rFonts w:ascii="Times New Roman" w:eastAsiaTheme="minorHAnsi" w:hAnsi="Times New Roman"/>
          <w:noProof/>
          <w:sz w:val="24"/>
        </w:rPr>
        <w:t xml:space="preserve">Komise si je dobře vědoma, že nestačí jen stanovit priority. Úspěch závisí také na tom, aby normalizaci byla věnována pozornost na vysoké úrovni, a to širokou základnou zúčastněných subjektů zahrnujících průmysl, normalizační organizace, výzkumné organizace a další instituce EU a vnitrostátní správy.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Norma je výsledkem dobrovolné spolupráce partnerů v obchodním vztahu, jejímž cílem je vytvořit technickou specifikaci založenou na zásadách transparentnosti, otevřenosti, inkluzivnosti, nestrannosti a konsensu mezi zúčastněnými subjekty. Nařízení o evropské normalizaci</w:t>
      </w:r>
      <w:r>
        <w:rPr>
          <w:rStyle w:val="FootnoteReference"/>
          <w:rFonts w:ascii="Times New Roman" w:hAnsi="Times New Roman"/>
          <w:noProof/>
          <w:sz w:val="24"/>
        </w:rPr>
        <w:footnoteReference w:id="34"/>
      </w:r>
      <w:r>
        <w:rPr>
          <w:rFonts w:ascii="Times New Roman" w:hAnsi="Times New Roman"/>
          <w:noProof/>
          <w:sz w:val="24"/>
        </w:rPr>
        <w:t xml:space="preserve"> uznává tuto potřebu a vyzývá k všeobecné konzultaci se všemi zúčastněnými subjekty před přijetím ročního pracovního programu Unie. Zároveň podněcuje evropské organizace zastupující zájmy malých a středních podniků, spotřebitelů a environmentální a sociální zájmy, aby se aktivně zapojily. </w:t>
      </w:r>
    </w:p>
    <w:p>
      <w:pPr>
        <w:shd w:val="clear" w:color="auto" w:fill="FFFFFF" w:themeFill="background1"/>
        <w:jc w:val="both"/>
        <w:rPr>
          <w:rFonts w:ascii="Times New Roman" w:eastAsiaTheme="minorHAnsi" w:hAnsi="Times New Roman" w:cs="Times New Roman"/>
          <w:noProof/>
          <w:sz w:val="24"/>
          <w:szCs w:val="24"/>
        </w:rPr>
      </w:pPr>
      <w:r>
        <w:rPr>
          <w:rFonts w:ascii="Times New Roman" w:hAnsi="Times New Roman"/>
          <w:noProof/>
          <w:sz w:val="24"/>
        </w:rPr>
        <w:t>Komise uznává, že překonání tradičních hranic mezi IKT, výrobky a službami vyžaduje závazek ze strany různých zúčastněných subjektů, dobrou spolupráci a vzájemnou důvěru. Pokud jde o normalizaci v oblasti IKT, Komise se pravidelně setkávala se zúčastněnými subjekty prostřednictvím partnerství veřejného a soukromého sektoru</w:t>
      </w:r>
      <w:r>
        <w:rPr>
          <w:rStyle w:val="FootnoteReference"/>
          <w:rFonts w:ascii="Times New Roman" w:eastAsiaTheme="minorHAnsi" w:hAnsi="Times New Roman"/>
          <w:noProof/>
          <w:sz w:val="24"/>
        </w:rPr>
        <w:footnoteReference w:id="35"/>
      </w:r>
      <w:r>
        <w:rPr>
          <w:rFonts w:ascii="Times New Roman" w:hAnsi="Times New Roman"/>
          <w:noProof/>
          <w:sz w:val="24"/>
        </w:rPr>
        <w:t xml:space="preserve"> a také prostřednictvím evropských normalizačních organizací s cílem jednat o provádění různých navrhovaných opatření. Mnohostranná platforma pro normalizaci v oblasti IKT, která sleduje pokrok při provádění opatření Komise na pravidelných zasedáních, sdružuje členské státy, evropské a mezinárodní normalizační organizace, fóra a konsorcia, organizace zastupující průmysl a zástupce malých a středních podniků a společnosti.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Komise upevňuje své vztahy s různými zúčastněnými subjekty evropského systému normalizace a snaží se zlepšovat jeho fungování a účinnost v rámci společné iniciativy v oblasti normalizace. Komise navíc byla v minulém roce pravidelně v kontaktu s ostatními evropskými institucemi a vedla s nimi dialog.  Zejména se úzce zapojila do konzultací, které předcházely usnesení Evropského parlamentu ze dne 4. července 2017 o Evropských normách pro 21. století</w:t>
      </w:r>
      <w:bookmarkStart w:id="21" w:name="_Ref488145598"/>
      <w:r>
        <w:rPr>
          <w:rStyle w:val="FootnoteReference"/>
          <w:rFonts w:ascii="Times New Roman" w:hAnsi="Times New Roman"/>
          <w:noProof/>
          <w:sz w:val="24"/>
        </w:rPr>
        <w:footnoteReference w:id="36"/>
      </w:r>
      <w:bookmarkEnd w:id="21"/>
      <w:r>
        <w:rPr>
          <w:rFonts w:ascii="Times New Roman" w:hAnsi="Times New Roman"/>
          <w:noProof/>
          <w:sz w:val="24"/>
        </w:rPr>
        <w:t>. Komise též iniciovala a zavedla praxi trvalého strukturovaného dialogu se třemi evropskými normalizačními organizacemi v zájmu zajištění vysoce kvalitní spolupráce a bezproblémové komunikace.</w:t>
      </w:r>
    </w:p>
    <w:p>
      <w:pPr>
        <w:pStyle w:val="Heading1"/>
        <w:numPr>
          <w:ilvl w:val="0"/>
          <w:numId w:val="2"/>
        </w:numPr>
        <w:shd w:val="clear" w:color="auto" w:fill="FFFFFF" w:themeFill="background1"/>
        <w:rPr>
          <w:rFonts w:ascii="Times New Roman" w:hAnsi="Times New Roman" w:cs="Times New Roman"/>
          <w:noProof/>
          <w:color w:val="auto"/>
          <w:sz w:val="24"/>
          <w:szCs w:val="24"/>
        </w:rPr>
      </w:pPr>
      <w:r>
        <w:rPr>
          <w:rFonts w:ascii="Times New Roman" w:hAnsi="Times New Roman"/>
          <w:noProof/>
          <w:color w:val="auto"/>
          <w:sz w:val="24"/>
        </w:rPr>
        <w:t xml:space="preserve">Společná iniciativa v oblasti evropské normalizace  </w:t>
      </w:r>
    </w:p>
    <w:bookmarkEnd w:id="19"/>
    <w:bookmarkEnd w:id="20"/>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Společnou iniciativu v oblasti normalizace dosud podepsalo 104 účastníků, což představuje vysokou míru účasti z každého segmentu evropského systému normalizace. V návaznosti na podpis společné iniciativy v oblasti normalizace zúčastněnými subjekty dne 13. června 2016 v Amsterodamu a členskými státy dne 29. září 2016 Komise uspořádala několik zasedání řídící skupiny společné iniciativy v oblasti normalizace s cílem doladit patnáct dohodnutých opatření</w:t>
      </w:r>
      <w:r>
        <w:rPr>
          <w:rStyle w:val="FootnoteReference"/>
          <w:rFonts w:ascii="Times New Roman" w:hAnsi="Times New Roman"/>
          <w:noProof/>
          <w:sz w:val="24"/>
        </w:rPr>
        <w:footnoteReference w:id="37"/>
      </w:r>
      <w:r>
        <w:rPr>
          <w:rFonts w:ascii="Times New Roman" w:hAnsi="Times New Roman"/>
          <w:noProof/>
          <w:sz w:val="24"/>
        </w:rPr>
        <w:t xml:space="preserve">. Členy řídící skupiny jsou převážně signatáři společné iniciativy v oblasti normalizace, kteří se podíleli na její přípravě. Signatáři společné iniciativy v oblasti normalizace dobrovolně přispívali ke každému opatření. Ke každému opatření byli přiděleni vedoucí.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Práce jednotlivých akčních skupin společné iniciativy v oblasti normalizace se dosud zaměřovala na vypracování základních prvků každého opatření. V této fázi nebyly stanoveny konkrétní harmonogramy. Lhůty a milníky pro výsledky u každého opatření bude možné stanovit na základě přesnějších informací o obsahu opatření.  </w:t>
      </w:r>
    </w:p>
    <w:p>
      <w:pPr>
        <w:pStyle w:val="Heading1"/>
        <w:shd w:val="clear" w:color="auto" w:fill="FFFFFF" w:themeFill="background1"/>
        <w:rPr>
          <w:rFonts w:ascii="Times New Roman" w:hAnsi="Times New Roman" w:cs="Times New Roman"/>
          <w:noProof/>
          <w:color w:val="auto"/>
          <w:sz w:val="24"/>
          <w:szCs w:val="24"/>
        </w:rPr>
      </w:pPr>
      <w:bookmarkStart w:id="22" w:name="_Toc464483315"/>
      <w:bookmarkStart w:id="23" w:name="_Toc465162395"/>
      <w:r>
        <w:rPr>
          <w:rFonts w:ascii="Times New Roman" w:hAnsi="Times New Roman"/>
          <w:noProof/>
          <w:color w:val="auto"/>
          <w:sz w:val="24"/>
        </w:rPr>
        <w:t>Inkluzivnost</w:t>
      </w:r>
      <w:bookmarkEnd w:id="22"/>
      <w:bookmarkEnd w:id="23"/>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Komise formalizovala své partnerství veřejného a soukromého sektoru s organizacemi stanovenými v příloze III (SBS, ANEC, EKOS a ECOS)</w:t>
      </w:r>
      <w:r>
        <w:rPr>
          <w:rStyle w:val="FootnoteReference"/>
          <w:rFonts w:ascii="Times New Roman" w:hAnsi="Times New Roman"/>
          <w:noProof/>
          <w:sz w:val="24"/>
        </w:rPr>
        <w:footnoteReference w:id="38"/>
      </w:r>
      <w:r>
        <w:rPr>
          <w:rFonts w:ascii="Times New Roman" w:hAnsi="Times New Roman"/>
          <w:noProof/>
          <w:sz w:val="24"/>
        </w:rPr>
        <w:t>, které zastupují malé a střední podniky, spotřebitele, zaměstnance a zájmy v oblasti životního prostředí v uvedeném pořadí v oblasti normalizace, podpisem čtyř různých rámcových dohod o partnerství. To zajistí soudržnost a stabilitu, pokud jde o financování a sledování činnosti.</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Kromě finančního příspěvku Komise přijímá opatření k zajištění přítomnosti a aktivní účasti organizací stanovených v příloze III na důležitých zasedáních a akcích, jako je Výbor pro normy (pozorovatelé), společná iniciativa v oblasti normalizace (partneři), mnohostranná platforma pro normalizaci v oblasti IKT</w:t>
      </w:r>
      <w:r>
        <w:rPr>
          <w:rStyle w:val="FootnoteReference"/>
          <w:rFonts w:ascii="Times New Roman" w:hAnsi="Times New Roman"/>
          <w:noProof/>
          <w:sz w:val="24"/>
        </w:rPr>
        <w:footnoteReference w:id="39"/>
      </w:r>
      <w:r>
        <w:rPr>
          <w:rFonts w:ascii="Times New Roman" w:hAnsi="Times New Roman"/>
          <w:noProof/>
          <w:sz w:val="24"/>
        </w:rPr>
        <w:t xml:space="preserve"> a zasedání Komise a evropských normalizačních organizací.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S cílem zajistit soudržný přístup k podpoře zájmů malých a středních podniků, spotřebitelů, zaměstnanců a zájmů životního prostředí a společnosti na normalizačním procesu výbory CEN/CENELEC zřídily dvě pracovní skupiny, pracovní skupinu pro malé a střední podniky (</w:t>
      </w:r>
      <w:r>
        <w:rPr>
          <w:rFonts w:ascii="Times New Roman" w:hAnsi="Times New Roman"/>
          <w:i/>
          <w:noProof/>
          <w:sz w:val="24"/>
        </w:rPr>
        <w:t>SME Working Group</w:t>
      </w:r>
      <w:r>
        <w:rPr>
          <w:rFonts w:ascii="Times New Roman" w:hAnsi="Times New Roman"/>
          <w:noProof/>
          <w:sz w:val="24"/>
        </w:rPr>
        <w:t>) a skupinu zúčastněných společenských subjektů (</w:t>
      </w:r>
      <w:r>
        <w:rPr>
          <w:rFonts w:ascii="Times New Roman" w:hAnsi="Times New Roman"/>
          <w:i/>
          <w:noProof/>
          <w:sz w:val="24"/>
        </w:rPr>
        <w:t>Societal Stakeholder Group</w:t>
      </w:r>
      <w:r>
        <w:rPr>
          <w:rFonts w:ascii="Times New Roman" w:hAnsi="Times New Roman"/>
          <w:noProof/>
          <w:sz w:val="24"/>
        </w:rPr>
        <w:t>). Členy jsou organizace stanovené v příloze III – SBS v případě první skupiny a ANEC, ECOS a EKOS v případě druhé skupiny. Tyto dvě pracovní skupiny projednávají témata, jako je přístup k normám, zvyšování informovanosti, odborná příprava a podpora účasti na normalizační práci na technické úrovni. Díky tomu již byla vytvořena řada nástrojů, jako jsou on-line sady nástrojů pro malé a střední podniky a mechanismus pro předkládání stanovisek pro zúčastněné společenské subjekty.</w:t>
      </w:r>
    </w:p>
    <w:p>
      <w:pPr>
        <w:jc w:val="both"/>
        <w:rPr>
          <w:rFonts w:ascii="Times New Roman" w:hAnsi="Times New Roman" w:cs="Times New Roman"/>
          <w:noProof/>
          <w:sz w:val="24"/>
          <w:szCs w:val="24"/>
        </w:rPr>
      </w:pPr>
      <w:r>
        <w:rPr>
          <w:rFonts w:ascii="Times New Roman" w:hAnsi="Times New Roman"/>
          <w:noProof/>
          <w:sz w:val="24"/>
        </w:rPr>
        <w:t>Nařízení o normalizaci zdůrazňuje zejména</w:t>
      </w:r>
      <w:r>
        <w:rPr>
          <w:rStyle w:val="FootnoteReference"/>
          <w:rFonts w:ascii="Times New Roman" w:hAnsi="Times New Roman"/>
          <w:noProof/>
          <w:sz w:val="24"/>
        </w:rPr>
        <w:footnoteReference w:id="40"/>
      </w:r>
      <w:r>
        <w:rPr>
          <w:rFonts w:ascii="Times New Roman" w:hAnsi="Times New Roman"/>
          <w:noProof/>
          <w:sz w:val="24"/>
        </w:rPr>
        <w:t xml:space="preserve"> zapojení malých podniků do procesu tvorby norem s cílem vytvářet normy příznivé pro malé a střední podniky, které mohou snižovat náklady a otevírat trhy. V zájmu dosažení tohoto cíle a jako hlavní část svého pracovního programu na rok 2017 vypracovala organizace SBS dlouhodobou strategii pro malé a střední podniky v oblasti normalizace na období 2018–2021. Tato strategie stanoví cíle a opatření pro malé a střední podniky v oblasti normalizace, aby byla zajištěna kompatibilita vytvářených norem se zájmy malých a středních podniků podle zásady „zelenou malým a středním podnikům“.</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Inkluzivnost je jedním z témat dlouhodobé strategie Evropského ústavu pro telekomunikační normy (ETSI) a je řešena v rámci skupiny tohoto ústavu s názvem „</w:t>
      </w:r>
      <w:r>
        <w:rPr>
          <w:rFonts w:ascii="Times New Roman" w:hAnsi="Times New Roman"/>
          <w:i/>
          <w:noProof/>
          <w:sz w:val="24"/>
        </w:rPr>
        <w:t>ETSI in the European Standardisation Landscape</w:t>
      </w:r>
      <w:r>
        <w:rPr>
          <w:rFonts w:ascii="Times New Roman" w:hAnsi="Times New Roman"/>
          <w:noProof/>
          <w:sz w:val="24"/>
        </w:rPr>
        <w:t>“ (ETSI v evropském normalizačním prostředí). Na základě diskusí této skupiny byl zahájen program 3SI (</w:t>
      </w:r>
      <w:r>
        <w:rPr>
          <w:rFonts w:ascii="Times New Roman" w:hAnsi="Times New Roman"/>
          <w:i/>
          <w:noProof/>
          <w:sz w:val="24"/>
        </w:rPr>
        <w:t>Societal Stakeholder Support and Inclusiveness</w:t>
      </w:r>
      <w:r>
        <w:rPr>
          <w:rFonts w:ascii="Times New Roman" w:hAnsi="Times New Roman"/>
          <w:noProof/>
          <w:sz w:val="24"/>
        </w:rPr>
        <w:t xml:space="preserve"> (Podpora a začleňování zúčastněných společenských subjektů)), který stanoví soubor opatření, jež mají podpořit začleňování a zvýšit viditelnost, informovanost a zapojení organizací podle přílohy III v ETSI. Všechny organizace stanovené v příloze III jsou právoplatnými členy ETSI.</w:t>
      </w:r>
    </w:p>
    <w:p>
      <w:pPr>
        <w:pStyle w:val="Pp"/>
        <w:numPr>
          <w:ilvl w:val="0"/>
          <w:numId w:val="0"/>
        </w:numPr>
        <w:spacing w:after="240"/>
        <w:ind w:left="850" w:hanging="850"/>
        <w:rPr>
          <w:rStyle w:val="BookTitle"/>
          <w:noProof/>
          <w:sz w:val="24"/>
          <w:szCs w:val="24"/>
        </w:rPr>
      </w:pPr>
      <w:r>
        <w:rPr>
          <w:rStyle w:val="BookTitle"/>
          <w:noProof/>
          <w:sz w:val="24"/>
        </w:rPr>
        <w:t>Závěr</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Účelem této zprávy je podpořit nově zavedený interinstitucionální dialog o normalizaci na úrovni EU i oznámené sdělení ze dne 1. června 2016. Měla by podnítit debatu se spolunormotvůrci, Evropským parlamentem a Radou, i s EHSV a Výborem regionů a uvádí orientační body pro nadcházející priority v oblasti normalizace, které přispějí k tvorbě pracovních míst, růstu a konkurenceschopnosti. Tento interinstitucionální dialog je zaváděn v souladu s novou interinstitucionální dohodou Evropského parlamentu, Rady Evropské unie a Evropské komise o zdokonalení tvorby právních předpisů</w:t>
      </w:r>
      <w:r>
        <w:rPr>
          <w:rStyle w:val="FootnoteReference"/>
          <w:rFonts w:ascii="Times New Roman" w:hAnsi="Times New Roman"/>
          <w:noProof/>
          <w:sz w:val="24"/>
        </w:rPr>
        <w:footnoteReference w:id="41"/>
      </w:r>
      <w:r>
        <w:rPr>
          <w:rFonts w:ascii="Times New Roman" w:hAnsi="Times New Roman"/>
          <w:noProof/>
          <w:sz w:val="24"/>
        </w:rPr>
        <w:t>.</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Úzká spolupráce spolunormotvůrců při formulování priorit ročního pracovního programu Unie na rok 2019 bude stěžejní pro úspěšné provádění programu. Společně stanovené politické priority v oblasti evropské normalizace posílí zefektivňování normalizační práce v budoucích legislativních procesech. Dosažení cílů normalizační politiky EU vyžaduje obecnou shodu a aktivní účast všech subjektů evropského systému normalizace: podpora začleňování, zvyšování povědomí o významu normalizace v hospodářství a společnosti, zlepšování postupů pro posuzování harmonizovaných norem</w:t>
      </w:r>
      <w:r>
        <w:rPr>
          <w:rStyle w:val="FootnoteReference"/>
          <w:rFonts w:ascii="Times New Roman" w:hAnsi="Times New Roman"/>
          <w:noProof/>
          <w:sz w:val="24"/>
        </w:rPr>
        <w:footnoteReference w:id="42"/>
      </w:r>
      <w:r>
        <w:rPr>
          <w:rFonts w:ascii="Times New Roman" w:hAnsi="Times New Roman"/>
          <w:noProof/>
          <w:sz w:val="24"/>
        </w:rPr>
        <w:t>, provádění priorit normalizace v oblasti IKT a překonávání překážek v odvětví služeb.</w:t>
      </w:r>
    </w:p>
    <w:p>
      <w:pPr>
        <w:shd w:val="clear" w:color="auto" w:fill="FFFFFF" w:themeFill="background1"/>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407A1D" w15:done="0"/>
  <w15:commentEx w15:paraId="2499A053" w15:done="0"/>
  <w15:commentEx w15:paraId="34A8584F" w15:done="0"/>
  <w15:commentEx w15:paraId="3950A578" w15:done="0"/>
  <w15:commentEx w15:paraId="65E8AD1B" w15:done="0"/>
  <w15:commentEx w15:paraId="2A45CDB6" w15:done="0"/>
  <w15:commentEx w15:paraId="52F17DFB" w15:done="0"/>
  <w15:commentEx w15:paraId="157AEF3C" w15:done="0"/>
  <w15:commentEx w15:paraId="28389D9A" w15:done="0"/>
  <w15:commentEx w15:paraId="1F02D764" w15:done="0"/>
  <w15:commentEx w15:paraId="4B0DE4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407A1D" w16cid:durableId="1D740289"/>
  <w16cid:commentId w16cid:paraId="2499A053" w16cid:durableId="1D74028A"/>
  <w16cid:commentId w16cid:paraId="34A8584F" w16cid:durableId="1D7402FA"/>
  <w16cid:commentId w16cid:paraId="3950A578" w16cid:durableId="1D74028B"/>
  <w16cid:commentId w16cid:paraId="65E8AD1B" w16cid:durableId="1D74028C"/>
  <w16cid:commentId w16cid:paraId="2A45CDB6" w16cid:durableId="1D74028D"/>
  <w16cid:commentId w16cid:paraId="52F17DFB" w16cid:durableId="1D74028E"/>
  <w16cid:commentId w16cid:paraId="157AEF3C" w16cid:durableId="1D74028F"/>
  <w16cid:commentId w16cid:paraId="28389D9A" w16cid:durableId="1D74046B"/>
  <w16cid:commentId w16cid:paraId="1F02D764" w16cid:durableId="1D740290"/>
  <w16cid:commentId w16cid:paraId="4B0DE4E1" w16cid:durableId="1D7402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5126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szCs w:val="24"/>
        </w:rPr>
      </w:pPr>
      <w:r>
        <w:footnoteRef/>
      </w:r>
      <w:r>
        <w:t xml:space="preserve"> </w:t>
      </w:r>
      <w:hyperlink r:id="rId1">
        <w:r>
          <w:t>COM(2016)0358 final.</w:t>
        </w:r>
      </w:hyperlink>
    </w:p>
  </w:footnote>
  <w:footnote w:id="3">
    <w:p>
      <w:pPr>
        <w:pStyle w:val="FootnoteText"/>
        <w:ind w:left="142" w:hanging="142"/>
        <w:jc w:val="left"/>
        <w:rPr>
          <w:szCs w:val="24"/>
        </w:rPr>
      </w:pPr>
      <w:r>
        <w:footnoteRef/>
      </w:r>
      <w:r>
        <w:t xml:space="preserve"> C(2016)3211. Společná iniciativa v oblasti normalizace stanoví společnou vizi evropské normalizace s cílem lépe určovat priority a modernizovat stávající evropský systém normalizace i usilovat o včasné plnění cílů v této oblasti. Podporuje příslušné aspekty deseti priorit Evropské komise a další politické cíle a zároveň jasně respektuje rozdělení různých kompetencí mezi EU a členské státy. Měla by též EU umožnit posilovat hnací sílu v globálním měřítku.</w:t>
      </w:r>
    </w:p>
  </w:footnote>
  <w:footnote w:id="4">
    <w:p>
      <w:pPr>
        <w:pStyle w:val="FootnoteText"/>
        <w:rPr>
          <w:szCs w:val="24"/>
          <w:lang w:val="pt-PT"/>
        </w:rPr>
      </w:pPr>
      <w:r>
        <w:footnoteRef/>
      </w:r>
      <w:r>
        <w:rPr>
          <w:lang w:val="pt-PT"/>
        </w:rPr>
        <w:t xml:space="preserve"> Viz strana 4 dokumentu COM(2016)0358 final.</w:t>
      </w:r>
    </w:p>
  </w:footnote>
  <w:footnote w:id="5">
    <w:p>
      <w:pPr>
        <w:pStyle w:val="FootnoteText"/>
        <w:rPr>
          <w:szCs w:val="24"/>
          <w:lang w:val="pt-PT"/>
        </w:rPr>
      </w:pPr>
      <w:r>
        <w:footnoteRef/>
      </w:r>
      <w:r>
        <w:rPr>
          <w:lang w:val="pt-PT"/>
        </w:rPr>
        <w:t xml:space="preserve"> COM (2016) 176 final.</w:t>
      </w:r>
    </w:p>
  </w:footnote>
  <w:footnote w:id="6">
    <w:p>
      <w:pPr>
        <w:pStyle w:val="FootnoteText"/>
        <w:rPr>
          <w:lang w:val="pt-PT"/>
        </w:rPr>
      </w:pPr>
      <w:r>
        <w:footnoteRef/>
      </w:r>
      <w:r>
        <w:rPr>
          <w:lang w:val="pt-PT"/>
        </w:rPr>
        <w:t xml:space="preserve"> O pokroku pojednává přiložený pracovní dokument útvarů Komise.</w:t>
      </w:r>
    </w:p>
  </w:footnote>
  <w:footnote w:id="7">
    <w:p>
      <w:pPr>
        <w:pStyle w:val="FootnoteText"/>
        <w:rPr>
          <w:lang w:val="pt-PT"/>
        </w:rPr>
      </w:pPr>
      <w:r>
        <w:rPr>
          <w:rStyle w:val="FootnoteReference"/>
        </w:rPr>
        <w:footnoteRef/>
      </w:r>
      <w:r>
        <w:rPr>
          <w:lang w:val="pt-PT"/>
        </w:rPr>
        <w:t xml:space="preserve"> Zveřejňovaný každoročně v červenci, poslední verze: COM(2017)453.</w:t>
      </w:r>
    </w:p>
  </w:footnote>
  <w:footnote w:id="8">
    <w:p>
      <w:pPr>
        <w:pStyle w:val="FootnoteText"/>
        <w:rPr>
          <w:lang w:val="pt-PT"/>
        </w:rPr>
      </w:pPr>
      <w:r>
        <w:rPr>
          <w:rStyle w:val="FootnoteReference"/>
        </w:rPr>
        <w:footnoteRef/>
      </w:r>
      <w:r>
        <w:rPr>
          <w:lang w:val="pt-PT"/>
        </w:rPr>
        <w:t xml:space="preserve"> http://ec.europa.eu/growth/content/2017-rolling-plan-ict-standardisation-released-0_en/.</w:t>
      </w:r>
    </w:p>
  </w:footnote>
  <w:footnote w:id="9">
    <w:p>
      <w:pPr>
        <w:pStyle w:val="FootnoteText"/>
        <w:ind w:left="0" w:firstLine="0"/>
        <w:rPr>
          <w:lang w:val="pt-PT"/>
        </w:rPr>
      </w:pPr>
      <w:r>
        <w:rPr>
          <w:rStyle w:val="FootnoteReference"/>
        </w:rPr>
        <w:footnoteRef/>
      </w:r>
      <w:r>
        <w:rPr>
          <w:lang w:val="pt-PT"/>
        </w:rPr>
        <w:t xml:space="preserve"> Průběžný plán pro normalizaci IKT zveřejňuje Komise každý rok v zájmu konsolidace různých normalizačních potřeb v oblasti IKT na podporu politik EU do jednotného dokumentu. Je určen pro evropské normalizační organizace i pro mezinárodní a světové standardizační subjekty, které se mohou vyjádřit k navrhovaným opatřením a podporovat příslušné politické cíle pomocí výsledků v oblasti normalizace.</w:t>
      </w:r>
    </w:p>
  </w:footnote>
  <w:footnote w:id="10">
    <w:p>
      <w:pPr>
        <w:pStyle w:val="FootnoteText"/>
        <w:rPr>
          <w:lang w:val="pt-PT"/>
        </w:rPr>
      </w:pPr>
      <w:r>
        <w:rPr>
          <w:rStyle w:val="FootnoteReference"/>
        </w:rPr>
        <w:footnoteRef/>
      </w:r>
      <w:r>
        <w:rPr>
          <w:lang w:val="pt-PT"/>
        </w:rPr>
        <w:t xml:space="preserve"> COM (2016) 176 final.</w:t>
      </w:r>
    </w:p>
  </w:footnote>
  <w:footnote w:id="11">
    <w:p>
      <w:pPr>
        <w:pStyle w:val="FootnoteText"/>
        <w:rPr>
          <w:lang w:val="pt-PT"/>
        </w:rPr>
      </w:pPr>
      <w:r>
        <w:rPr>
          <w:rStyle w:val="FootnoteReference"/>
        </w:rPr>
        <w:footnoteRef/>
      </w:r>
      <w:r>
        <w:rPr>
          <w:lang w:val="pt-PT"/>
        </w:rPr>
        <w:t xml:space="preserve"> COM(2011) 311 final. </w:t>
      </w:r>
    </w:p>
  </w:footnote>
  <w:footnote w:id="12">
    <w:p>
      <w:pPr>
        <w:pStyle w:val="FootnoteText"/>
        <w:rPr>
          <w:lang w:val="pl-PL"/>
        </w:rPr>
      </w:pPr>
      <w:r>
        <w:rPr>
          <w:rStyle w:val="FootnoteReference"/>
        </w:rPr>
        <w:footnoteRef/>
      </w:r>
      <w:r>
        <w:rPr>
          <w:lang w:val="pt-PT"/>
        </w:rPr>
        <w:t xml:space="preserve"> Viz čl. 5 odst. </w:t>
      </w:r>
      <w:r>
        <w:rPr>
          <w:lang w:val="pl-PL"/>
        </w:rPr>
        <w:t>2, článek 9 a čl. 15 odst. 1 písm. c).</w:t>
      </w:r>
    </w:p>
  </w:footnote>
  <w:footnote w:id="13">
    <w:p>
      <w:pPr>
        <w:pStyle w:val="FootnoteText"/>
        <w:rPr>
          <w:lang w:val="pt-PT"/>
        </w:rPr>
      </w:pPr>
      <w:r>
        <w:rPr>
          <w:rStyle w:val="FootnoteReference"/>
        </w:rPr>
        <w:footnoteRef/>
      </w:r>
      <w:r>
        <w:rPr>
          <w:lang w:val="pt-PT"/>
        </w:rPr>
        <w:t xml:space="preserve"> Společná iniciativa v oblasti normalizace, opatření 2.</w:t>
      </w:r>
    </w:p>
  </w:footnote>
  <w:footnote w:id="14">
    <w:p>
      <w:pPr>
        <w:pStyle w:val="FootnoteText"/>
        <w:rPr>
          <w:lang w:val="pt-PT"/>
        </w:rPr>
      </w:pPr>
      <w:r>
        <w:rPr>
          <w:rStyle w:val="FootnoteReference"/>
        </w:rPr>
        <w:footnoteRef/>
      </w:r>
      <w:r>
        <w:rPr>
          <w:lang w:val="pt-PT"/>
        </w:rPr>
        <w:t xml:space="preserve"> COM(2017) 477 final/2.</w:t>
      </w:r>
    </w:p>
  </w:footnote>
  <w:footnote w:id="15">
    <w:p>
      <w:pPr>
        <w:pStyle w:val="FootnoteText"/>
        <w:rPr>
          <w:lang w:val="pt-PT"/>
        </w:rPr>
      </w:pPr>
      <w:r>
        <w:rPr>
          <w:rStyle w:val="FootnoteReference"/>
        </w:rPr>
        <w:footnoteRef/>
      </w:r>
      <w:r>
        <w:rPr>
          <w:lang w:val="pt-PT"/>
        </w:rPr>
        <w:t xml:space="preserve"> COM(2017) 712 final.</w:t>
      </w:r>
    </w:p>
  </w:footnote>
  <w:footnote w:id="16">
    <w:p>
      <w:pPr>
        <w:pStyle w:val="FootnoteText"/>
        <w:rPr>
          <w:lang w:val="pt-PT"/>
        </w:rPr>
      </w:pPr>
      <w:r>
        <w:rPr>
          <w:rStyle w:val="FootnoteReference"/>
        </w:rPr>
        <w:footnoteRef/>
      </w:r>
      <w:r>
        <w:rPr>
          <w:lang w:val="pt-PT"/>
        </w:rPr>
        <w:t xml:space="preserve"> </w:t>
      </w:r>
      <w:r>
        <w:rPr>
          <w:color w:val="000000"/>
          <w:lang w:val="pt-PT"/>
        </w:rPr>
        <w:t>COM(2016) 501 final.</w:t>
      </w:r>
    </w:p>
  </w:footnote>
  <w:footnote w:id="17">
    <w:p>
      <w:pPr>
        <w:pStyle w:val="FootnoteText"/>
        <w:rPr>
          <w:lang w:val="pt-PT"/>
        </w:rPr>
      </w:pPr>
      <w:r>
        <w:rPr>
          <w:rStyle w:val="FootnoteReference"/>
        </w:rPr>
        <w:footnoteRef/>
      </w:r>
      <w:r>
        <w:rPr>
          <w:lang w:val="pt-PT"/>
        </w:rPr>
        <w:t xml:space="preserve"> CEN – Evropský výbor pro normalizaci, CENELEC – Evropský výbor pro normalizaci v elektrotechnice a ETSI – Evropský ústav pro telekomunikační normy.</w:t>
      </w:r>
    </w:p>
  </w:footnote>
  <w:footnote w:id="18">
    <w:p>
      <w:pPr>
        <w:pStyle w:val="FootnoteText"/>
        <w:rPr>
          <w:lang w:val="pt-PT"/>
        </w:rPr>
      </w:pPr>
      <w:r>
        <w:rPr>
          <w:rStyle w:val="FootnoteReference"/>
        </w:rPr>
        <w:footnoteRef/>
      </w:r>
      <w:r>
        <w:rPr>
          <w:lang w:val="pt-PT"/>
        </w:rPr>
        <w:t xml:space="preserve"> Podrobnosti naleznete v přiloženém pracovním dokumentu útvarů Komise.</w:t>
      </w:r>
    </w:p>
  </w:footnote>
  <w:footnote w:id="19">
    <w:p>
      <w:pPr>
        <w:pStyle w:val="FootnoteText"/>
        <w:rPr>
          <w:lang w:val="pt-PT"/>
        </w:rPr>
      </w:pPr>
      <w:r>
        <w:rPr>
          <w:rStyle w:val="FootnoteReference"/>
        </w:rPr>
        <w:footnoteRef/>
      </w:r>
      <w:r>
        <w:rPr>
          <w:lang w:val="pt-PT"/>
        </w:rPr>
        <w:t xml:space="preserve"> Směrnice 2001/95/ES.</w:t>
      </w:r>
    </w:p>
  </w:footnote>
  <w:footnote w:id="20">
    <w:p>
      <w:pPr>
        <w:pStyle w:val="FootnoteText"/>
        <w:rPr>
          <w:lang w:val="pt-PT"/>
        </w:rPr>
      </w:pPr>
      <w:r>
        <w:rPr>
          <w:rStyle w:val="FootnoteReference"/>
        </w:rPr>
        <w:footnoteRef/>
      </w:r>
      <w:r>
        <w:rPr>
          <w:lang w:val="pt-PT"/>
        </w:rPr>
        <w:t xml:space="preserve"> Například normy uvedené v Úředním věstníku Evropské unie v rámci směrnice 2001/95/ES.</w:t>
      </w:r>
    </w:p>
  </w:footnote>
  <w:footnote w:id="21">
    <w:p>
      <w:pPr>
        <w:pStyle w:val="FootnoteText"/>
        <w:rPr>
          <w:lang w:val="pt-PT"/>
        </w:rPr>
      </w:pPr>
      <w:r>
        <w:rPr>
          <w:rStyle w:val="FootnoteReference"/>
        </w:rPr>
        <w:footnoteRef/>
      </w:r>
      <w:r>
        <w:rPr>
          <w:lang w:val="pt-PT"/>
        </w:rPr>
        <w:t xml:space="preserve"> COM(2016) 763.</w:t>
      </w:r>
    </w:p>
  </w:footnote>
  <w:footnote w:id="22">
    <w:p>
      <w:pPr>
        <w:pStyle w:val="FootnoteText"/>
        <w:rPr>
          <w:lang w:val="pt-PT"/>
        </w:rPr>
      </w:pPr>
      <w:r>
        <w:rPr>
          <w:rStyle w:val="FootnoteReference"/>
        </w:rPr>
        <w:footnoteRef/>
      </w:r>
      <w:r>
        <w:rPr>
          <w:lang w:val="pt-PT"/>
        </w:rPr>
        <w:t xml:space="preserve"> COM(2016) 357.</w:t>
      </w:r>
    </w:p>
  </w:footnote>
  <w:footnote w:id="23">
    <w:p>
      <w:pPr>
        <w:pStyle w:val="FootnoteText"/>
        <w:rPr>
          <w:lang w:val="pt-PT"/>
        </w:rPr>
      </w:pPr>
      <w:r>
        <w:rPr>
          <w:rStyle w:val="FootnoteReference"/>
        </w:rPr>
        <w:footnoteRef/>
      </w:r>
      <w:r>
        <w:rPr>
          <w:lang w:val="pt-PT"/>
        </w:rPr>
        <w:t xml:space="preserve"> COM(2017) 453.</w:t>
      </w:r>
    </w:p>
  </w:footnote>
  <w:footnote w:id="24">
    <w:p>
      <w:pPr>
        <w:pStyle w:val="FootnoteText"/>
        <w:rPr>
          <w:lang w:val="pt-PT"/>
        </w:rPr>
      </w:pPr>
      <w:r>
        <w:rPr>
          <w:rStyle w:val="FootnoteReference"/>
        </w:rPr>
        <w:footnoteRef/>
      </w:r>
      <w:r>
        <w:rPr>
          <w:rStyle w:val="FootnoteReference"/>
          <w:lang w:val="pt-PT"/>
        </w:rPr>
        <w:t xml:space="preserve"> </w:t>
      </w:r>
      <w:r>
        <w:rPr>
          <w:lang w:val="pt-PT"/>
        </w:rPr>
        <w:t xml:space="preserve">DIN (2000): </w:t>
      </w:r>
      <w:r>
        <w:rPr>
          <w:i/>
          <w:lang w:val="pt-PT"/>
        </w:rPr>
        <w:t>Economic Benefits of Standardisation</w:t>
      </w:r>
      <w:r>
        <w:rPr>
          <w:lang w:val="pt-PT"/>
        </w:rPr>
        <w:t xml:space="preserve"> (Hospodářské přínosy normalizace), 3 svazky. Berlín: Beuth. (aktualizace 2011), DTI (2005): </w:t>
      </w:r>
    </w:p>
    <w:p>
      <w:pPr>
        <w:pStyle w:val="FootnoteText"/>
      </w:pPr>
      <w:r>
        <w:rPr>
          <w:lang w:val="pt-PT"/>
        </w:rPr>
        <w:t xml:space="preserve">   </w:t>
      </w:r>
      <w:r>
        <w:rPr>
          <w:i/>
          <w:lang w:val="pt-PT"/>
        </w:rPr>
        <w:t>The Empirical Economics of Standards</w:t>
      </w:r>
      <w:r>
        <w:rPr>
          <w:lang w:val="pt-PT"/>
        </w:rPr>
        <w:t xml:space="preserve"> (Empirická ekonomie norem), DTI ECONOMICS PAPER NO. 12. </w:t>
      </w:r>
      <w:r>
        <w:t xml:space="preserve">Londýn a AFNOR (2009): </w:t>
      </w:r>
    </w:p>
    <w:p>
      <w:pPr>
        <w:pStyle w:val="FootnoteText"/>
      </w:pPr>
      <w:r>
        <w:t xml:space="preserve">   </w:t>
      </w:r>
      <w:r>
        <w:rPr>
          <w:i/>
        </w:rPr>
        <w:t>The Economic Impact of  Standardisation – Technological Change, Standards and Long-Term Growth in France</w:t>
      </w:r>
      <w:r>
        <w:t xml:space="preserve"> Paříž. </w:t>
      </w:r>
    </w:p>
  </w:footnote>
  <w:footnote w:id="25">
    <w:p>
      <w:pPr>
        <w:pStyle w:val="FootnoteText"/>
      </w:pPr>
      <w:r>
        <w:rPr>
          <w:rStyle w:val="FootnoteReference"/>
        </w:rPr>
        <w:footnoteRef/>
      </w:r>
      <w:r>
        <w:t xml:space="preserve"> COM(2016) 357.</w:t>
      </w:r>
    </w:p>
  </w:footnote>
  <w:footnote w:id="26">
    <w:p>
      <w:pPr>
        <w:pStyle w:val="FootnoteText"/>
      </w:pPr>
      <w:r>
        <w:rPr>
          <w:rStyle w:val="FootnoteReference"/>
        </w:rPr>
        <w:footnoteRef/>
      </w:r>
      <w:r>
        <w:t xml:space="preserve"> Opatření č. 1: Studie o hospodářských a společenských dopadech a o přístupu k normám v EU a zemích ESVO.</w:t>
      </w:r>
    </w:p>
  </w:footnote>
  <w:footnote w:id="27">
    <w:p>
      <w:pPr>
        <w:pStyle w:val="FootnoteText"/>
      </w:pPr>
      <w:r>
        <w:rPr>
          <w:rStyle w:val="FootnoteReference"/>
        </w:rPr>
        <w:footnoteRef/>
      </w:r>
      <w:r>
        <w:t xml:space="preserve"> Mezinárodní organizace pro normalizaci.</w:t>
      </w:r>
    </w:p>
  </w:footnote>
  <w:footnote w:id="28">
    <w:p>
      <w:pPr>
        <w:pStyle w:val="FootnoteText"/>
      </w:pPr>
      <w:r>
        <w:rPr>
          <w:rStyle w:val="FootnoteReference"/>
        </w:rPr>
        <w:footnoteRef/>
      </w:r>
      <w:r>
        <w:t xml:space="preserve"> Mezinárodní elektrotechnická komise.</w:t>
      </w:r>
    </w:p>
  </w:footnote>
  <w:footnote w:id="29">
    <w:p>
      <w:pPr>
        <w:pStyle w:val="FootnoteText"/>
      </w:pPr>
      <w:r>
        <w:rPr>
          <w:rStyle w:val="FootnoteReference"/>
        </w:rPr>
        <w:footnoteRef/>
      </w:r>
      <w:r>
        <w:t xml:space="preserve"> http://www.3gpp.org/.</w:t>
      </w:r>
    </w:p>
  </w:footnote>
  <w:footnote w:id="30">
    <w:p>
      <w:pPr>
        <w:pStyle w:val="FootnoteText"/>
      </w:pPr>
      <w:r>
        <w:rPr>
          <w:rStyle w:val="FootnoteReference"/>
        </w:rPr>
        <w:footnoteRef/>
      </w:r>
      <w:r>
        <w:t xml:space="preserve"> http://www.onem2m.org/.</w:t>
      </w:r>
    </w:p>
  </w:footnote>
  <w:footnote w:id="31">
    <w:p>
      <w:pPr>
        <w:pStyle w:val="FootnoteText"/>
      </w:pPr>
      <w:r>
        <w:rPr>
          <w:rStyle w:val="FootnoteReference"/>
        </w:rPr>
        <w:footnoteRef/>
      </w:r>
      <w:r>
        <w:t xml:space="preserve"> Společná iniciativa v oblasti normalizace, opatření 13. </w:t>
      </w:r>
    </w:p>
  </w:footnote>
  <w:footnote w:id="32">
    <w:p>
      <w:pPr>
        <w:pStyle w:val="FootnoteText"/>
      </w:pPr>
      <w:r>
        <w:rPr>
          <w:rStyle w:val="FootnoteReference"/>
        </w:rPr>
        <w:footnoteRef/>
      </w:r>
      <w:r>
        <w:t>https://ec.europa.eu/info/law/law-making-process/evaluating-and-improving-existing-laws/refit-making-eu-law-simpler-and-less-costly/refit-platform_cs/.</w:t>
      </w:r>
    </w:p>
  </w:footnote>
  <w:footnote w:id="33">
    <w:p>
      <w:pPr>
        <w:pStyle w:val="FootnoteText"/>
      </w:pPr>
      <w:r>
        <w:rPr>
          <w:rStyle w:val="FootnoteReference"/>
        </w:rPr>
        <w:footnoteRef/>
      </w:r>
      <w:r>
        <w:t xml:space="preserve"> Viz akční plán v přiloženém pracovním dokumentu útvarů Komise.</w:t>
      </w:r>
    </w:p>
  </w:footnote>
  <w:footnote w:id="34">
    <w:p>
      <w:pPr>
        <w:pStyle w:val="FootnoteText"/>
      </w:pPr>
      <w:r>
        <w:rPr>
          <w:rStyle w:val="FootnoteReference"/>
        </w:rPr>
        <w:footnoteRef/>
      </w:r>
      <w:r>
        <w:t xml:space="preserve"> Ustanovení čl. 8 odst. 5 a 31. bod odůvodnění nařízení č. 1025/2012.</w:t>
      </w:r>
    </w:p>
  </w:footnote>
  <w:footnote w:id="35">
    <w:p>
      <w:pPr>
        <w:pStyle w:val="FootnoteText"/>
      </w:pPr>
      <w:r>
        <w:rPr>
          <w:rStyle w:val="FootnoteReference"/>
        </w:rPr>
        <w:footnoteRef/>
      </w:r>
      <w:r>
        <w:t xml:space="preserve"> Tj., 5G PPP, AIOTI, BDVA, ECSO.</w:t>
      </w:r>
    </w:p>
  </w:footnote>
  <w:footnote w:id="36">
    <w:p>
      <w:pPr>
        <w:pStyle w:val="FootnoteText"/>
        <w:ind w:left="0" w:firstLine="0"/>
      </w:pPr>
      <w:r>
        <w:rPr>
          <w:rStyle w:val="FootnoteReference"/>
        </w:rPr>
        <w:footnoteRef/>
      </w:r>
      <w:r>
        <w:t>http://www.europarl.europa.eu/sides/getDoc.do?pubRef=-//EP//TEXT+TA+P8-TA-2017-0278+0+DOC+XML+V0//CS/.</w:t>
      </w:r>
    </w:p>
  </w:footnote>
  <w:footnote w:id="37">
    <w:p>
      <w:pPr>
        <w:pStyle w:val="FootnoteText"/>
      </w:pPr>
      <w:r>
        <w:rPr>
          <w:rStyle w:val="FootnoteReference"/>
        </w:rPr>
        <w:footnoteRef/>
      </w:r>
      <w:r>
        <w:t xml:space="preserve"> Iniciativy jsou rozděleny do těchto tří kategorií: I) Povědomí, vzdělávání a porozumění týkající se evropského systému normalizace; II) koordinace, transparentnost a inkluzivnost; III) konkurenceschopnost a mezinárodní rozměr.</w:t>
      </w:r>
    </w:p>
  </w:footnote>
  <w:footnote w:id="38">
    <w:p>
      <w:pPr>
        <w:pStyle w:val="FootnoteText"/>
      </w:pPr>
      <w:r>
        <w:rPr>
          <w:rStyle w:val="FootnoteReference"/>
        </w:rPr>
        <w:footnoteRef/>
      </w:r>
      <w:r>
        <w:t xml:space="preserve">    </w:t>
      </w:r>
      <w:hyperlink r:id="rId2">
        <w:r>
          <w:rPr>
            <w:rStyle w:val="Hyperlink"/>
            <w:rFonts w:eastAsiaTheme="majorEastAsia"/>
          </w:rPr>
          <w:t>Small Business Standards</w:t>
        </w:r>
      </w:hyperlink>
      <w:r>
        <w:t xml:space="preserve">, </w:t>
      </w:r>
      <w:hyperlink r:id="rId3">
        <w:r>
          <w:rPr>
            <w:rStyle w:val="Hyperlink"/>
            <w:rFonts w:eastAsiaTheme="majorEastAsia"/>
          </w:rPr>
          <w:t>European Consumer Voice in Standardisation</w:t>
        </w:r>
      </w:hyperlink>
      <w:r>
        <w:t xml:space="preserve">, </w:t>
      </w:r>
      <w:hyperlink r:id="rId4">
        <w:r>
          <w:rPr>
            <w:rStyle w:val="Hyperlink"/>
            <w:rFonts w:eastAsiaTheme="majorEastAsia"/>
          </w:rPr>
          <w:t>Evropská konfederace odborových svazů</w:t>
        </w:r>
      </w:hyperlink>
      <w:r>
        <w:t xml:space="preserve"> a </w:t>
      </w:r>
      <w:hyperlink r:id="rId5">
        <w:r>
          <w:rPr>
            <w:rStyle w:val="Hyperlink"/>
            <w:rFonts w:eastAsiaTheme="majorEastAsia"/>
          </w:rPr>
          <w:t>European Environmental Citizens’ Organisation for Standardisation</w:t>
        </w:r>
      </w:hyperlink>
      <w:r>
        <w:t>.</w:t>
      </w:r>
    </w:p>
  </w:footnote>
  <w:footnote w:id="39">
    <w:p>
      <w:pPr>
        <w:pStyle w:val="FootnoteText"/>
      </w:pPr>
      <w:r>
        <w:rPr>
          <w:rStyle w:val="FootnoteReference"/>
        </w:rPr>
        <w:footnoteRef/>
      </w:r>
      <w:r>
        <w:t xml:space="preserve"> https://ec.europa.eu/digital-single-market/en/european-multi-stakeholder-platform-ict-standardisation/.</w:t>
      </w:r>
    </w:p>
  </w:footnote>
  <w:footnote w:id="40">
    <w:p>
      <w:pPr>
        <w:pStyle w:val="FootnoteText"/>
      </w:pPr>
      <w:r>
        <w:rPr>
          <w:rStyle w:val="FootnoteReference"/>
        </w:rPr>
        <w:footnoteRef/>
      </w:r>
      <w:r>
        <w:t xml:space="preserve"> Viz článek 6 nařízení (EU) 1025/2012.</w:t>
      </w:r>
    </w:p>
  </w:footnote>
  <w:footnote w:id="41">
    <w:p>
      <w:pPr>
        <w:pStyle w:val="FootnoteText"/>
        <w:rPr>
          <w:lang w:val="pt-PT"/>
        </w:rPr>
      </w:pPr>
      <w:r>
        <w:rPr>
          <w:rStyle w:val="FootnoteReference"/>
        </w:rPr>
        <w:footnoteRef/>
      </w:r>
      <w:r>
        <w:t xml:space="preserve"> Úř. věst. </w:t>
      </w:r>
      <w:r>
        <w:rPr>
          <w:lang w:val="pt-PT"/>
        </w:rPr>
        <w:t>L 123, 12.5.2016, s. 1.</w:t>
      </w:r>
    </w:p>
  </w:footnote>
  <w:footnote w:id="42">
    <w:p>
      <w:pPr>
        <w:pStyle w:val="FootnoteText"/>
        <w:rPr>
          <w:lang w:val="pt-PT"/>
        </w:rPr>
      </w:pPr>
      <w:r>
        <w:rPr>
          <w:rStyle w:val="FootnoteReference"/>
        </w:rPr>
        <w:footnoteRef/>
      </w:r>
      <w:r>
        <w:rPr>
          <w:lang w:val="pt-PT"/>
        </w:rPr>
        <w:t xml:space="preserve"> A další normy, o něž se opírají právní předpisy 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575"/>
    <w:multiLevelType w:val="hybridMultilevel"/>
    <w:tmpl w:val="31A4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0734B2"/>
    <w:multiLevelType w:val="multilevel"/>
    <w:tmpl w:val="D9728D64"/>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1090"/>
        </w:tabs>
        <w:ind w:left="1090" w:hanging="850"/>
      </w:pPr>
      <w:rPr>
        <w:rFonts w:hint="default"/>
        <w:color w:val="auto"/>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tin Nogarede">
    <w15:presenceInfo w15:providerId="None" w15:userId="Justin Nogar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E4A8DC97-3926-4A1F-B1B2-7FC88C075CA4"/>
    <w:docVar w:name="LW_COVERPAGE_TYPE" w:val="1"/>
    <w:docVar w:name="LW_CROSSREFERENCE" w:val="{SWD(2018) 15 final}"/>
    <w:docVar w:name="LW_DocType" w:val="NORMAL"/>
    <w:docVar w:name="LW_EMISSION" w:val="16.1.2018"/>
    <w:docVar w:name="LW_EMISSION_ISODATE" w:val="2018-01-16"/>
    <w:docVar w:name="LW_EMISSION_LOCATION" w:val="BRX"/>
    <w:docVar w:name="LW_EMISSION_PREFIX" w:val="V Bruselu dne "/>
    <w:docVar w:name="LW_EMISSION_SUFFIX" w:val="&lt;EMPTY&gt;"/>
    <w:docVar w:name="LW_ID_DOCTYPE_NONLW" w:val="CP-008"/>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18) 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 provád\u283?ní normaliza\u269?ní politiky EU a o p\u345?ínosu evropských norem k politikám Unie"/>
    <w:docVar w:name="LW_TYPE.DOC.CP" w:val="ZPRÁVA KOMISE EVROPSKÉMU PARLAMENTU, RAD\u282?, EVROPSKÉMU HOSPODÁ\u344?SKÉMU A SOCIÁLNÍMU VÝBORU A VÝBORU REGION\u366?"/>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Text1">
    <w:name w:val="Text 1"/>
    <w:basedOn w:val="Normal"/>
    <w:link w:val="Text1Char"/>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lang w:eastAsia="en-US"/>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rFonts w:ascii="Times New Roman" w:eastAsia="Times New Roman" w:hAnsi="Times New Roman" w:cs="Times New Roman"/>
      <w:sz w:val="20"/>
      <w:szCs w:val="20"/>
      <w:lang w:eastAsia="en-US"/>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Pr>
      <w:vertAlign w:val="superscript"/>
    </w:rPr>
  </w:style>
  <w:style w:type="character" w:customStyle="1" w:styleId="Text1Char">
    <w:name w:val="Text 1 Char"/>
    <w:link w:val="Text1"/>
    <w:locked/>
    <w:rPr>
      <w:rFonts w:ascii="Times New Roman" w:eastAsia="Calibri" w:hAnsi="Times New Roman" w:cs="Times New Roman"/>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qFormat/>
    <w:pPr>
      <w:numPr>
        <w:numId w:val="0"/>
      </w:numPr>
      <w:outlineLvl w:val="9"/>
    </w:pPr>
    <w:rPr>
      <w:lang w:val="en-US" w:eastAsia="ja-JP"/>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semiHidden/>
    <w:unhideWhenUsed/>
    <w:qFormat/>
    <w:pPr>
      <w:spacing w:after="100"/>
      <w:ind w:left="440"/>
    </w:pPr>
    <w:rPr>
      <w:lang w:val="en-US" w:eastAsia="ja-JP"/>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st">
    <w:name w:val="st"/>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character" w:styleId="BookTitle">
    <w:name w:val="Book Title"/>
    <w:basedOn w:val="DefaultParagraphFont"/>
    <w:uiPriority w:val="33"/>
    <w:qFormat/>
    <w:rPr>
      <w:b/>
      <w:bCs/>
      <w:smallCaps/>
      <w:spacing w:val="5"/>
    </w:rPr>
  </w:style>
  <w:style w:type="paragraph" w:customStyle="1" w:styleId="Pp">
    <w:name w:val="Pp"/>
    <w:basedOn w:val="Heading1"/>
    <w:pPr>
      <w:shd w:val="clear" w:color="auto" w:fill="FFFFFF" w:themeFill="background1"/>
    </w:pPr>
    <w:rPr>
      <w:rFonts w:ascii="Times New Roman" w:hAnsi="Times New Roman" w:cs="Times New Roman"/>
      <w:color w:val="auto"/>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
    <w:name w:val="iceouttxt"/>
    <w:basedOn w:val="DefaultParagraphFont"/>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Text1">
    <w:name w:val="Text 1"/>
    <w:basedOn w:val="Normal"/>
    <w:link w:val="Text1Char"/>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lang w:eastAsia="en-US"/>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rFonts w:ascii="Times New Roman" w:eastAsia="Times New Roman" w:hAnsi="Times New Roman" w:cs="Times New Roman"/>
      <w:sz w:val="20"/>
      <w:szCs w:val="20"/>
      <w:lang w:eastAsia="en-US"/>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Pr>
      <w:vertAlign w:val="superscript"/>
    </w:rPr>
  </w:style>
  <w:style w:type="character" w:customStyle="1" w:styleId="Text1Char">
    <w:name w:val="Text 1 Char"/>
    <w:link w:val="Text1"/>
    <w:locked/>
    <w:rPr>
      <w:rFonts w:ascii="Times New Roman" w:eastAsia="Calibri" w:hAnsi="Times New Roman" w:cs="Times New Roman"/>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qFormat/>
    <w:pPr>
      <w:numPr>
        <w:numId w:val="0"/>
      </w:numPr>
      <w:outlineLvl w:val="9"/>
    </w:pPr>
    <w:rPr>
      <w:lang w:val="en-US" w:eastAsia="ja-JP"/>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semiHidden/>
    <w:unhideWhenUsed/>
    <w:qFormat/>
    <w:pPr>
      <w:spacing w:after="100"/>
      <w:ind w:left="440"/>
    </w:pPr>
    <w:rPr>
      <w:lang w:val="en-US" w:eastAsia="ja-JP"/>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st">
    <w:name w:val="st"/>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character" w:styleId="BookTitle">
    <w:name w:val="Book Title"/>
    <w:basedOn w:val="DefaultParagraphFont"/>
    <w:uiPriority w:val="33"/>
    <w:qFormat/>
    <w:rPr>
      <w:b/>
      <w:bCs/>
      <w:smallCaps/>
      <w:spacing w:val="5"/>
    </w:rPr>
  </w:style>
  <w:style w:type="paragraph" w:customStyle="1" w:styleId="Pp">
    <w:name w:val="Pp"/>
    <w:basedOn w:val="Heading1"/>
    <w:pPr>
      <w:shd w:val="clear" w:color="auto" w:fill="FFFFFF" w:themeFill="background1"/>
    </w:pPr>
    <w:rPr>
      <w:rFonts w:ascii="Times New Roman" w:hAnsi="Times New Roman" w:cs="Times New Roman"/>
      <w:color w:val="auto"/>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
    <w:name w:val="iceouttxt"/>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2354">
      <w:bodyDiv w:val="1"/>
      <w:marLeft w:val="0"/>
      <w:marRight w:val="0"/>
      <w:marTop w:val="0"/>
      <w:marBottom w:val="0"/>
      <w:divBdr>
        <w:top w:val="none" w:sz="0" w:space="0" w:color="auto"/>
        <w:left w:val="none" w:sz="0" w:space="0" w:color="auto"/>
        <w:bottom w:val="none" w:sz="0" w:space="0" w:color="auto"/>
        <w:right w:val="none" w:sz="0" w:space="0" w:color="auto"/>
      </w:divBdr>
    </w:div>
    <w:div w:id="335615093">
      <w:bodyDiv w:val="1"/>
      <w:marLeft w:val="0"/>
      <w:marRight w:val="0"/>
      <w:marTop w:val="0"/>
      <w:marBottom w:val="0"/>
      <w:divBdr>
        <w:top w:val="none" w:sz="0" w:space="0" w:color="auto"/>
        <w:left w:val="none" w:sz="0" w:space="0" w:color="auto"/>
        <w:bottom w:val="none" w:sz="0" w:space="0" w:color="auto"/>
        <w:right w:val="none" w:sz="0" w:space="0" w:color="auto"/>
      </w:divBdr>
    </w:div>
    <w:div w:id="612830305">
      <w:bodyDiv w:val="1"/>
      <w:marLeft w:val="0"/>
      <w:marRight w:val="0"/>
      <w:marTop w:val="0"/>
      <w:marBottom w:val="0"/>
      <w:divBdr>
        <w:top w:val="none" w:sz="0" w:space="0" w:color="auto"/>
        <w:left w:val="none" w:sz="0" w:space="0" w:color="auto"/>
        <w:bottom w:val="none" w:sz="0" w:space="0" w:color="auto"/>
        <w:right w:val="none" w:sz="0" w:space="0" w:color="auto"/>
      </w:divBdr>
    </w:div>
    <w:div w:id="663975001">
      <w:bodyDiv w:val="1"/>
      <w:marLeft w:val="0"/>
      <w:marRight w:val="0"/>
      <w:marTop w:val="30"/>
      <w:marBottom w:val="0"/>
      <w:divBdr>
        <w:top w:val="none" w:sz="0" w:space="0" w:color="auto"/>
        <w:left w:val="none" w:sz="0" w:space="0" w:color="auto"/>
        <w:bottom w:val="none" w:sz="0" w:space="0" w:color="auto"/>
        <w:right w:val="none" w:sz="0" w:space="0" w:color="auto"/>
      </w:divBdr>
      <w:divsChild>
        <w:div w:id="1141923814">
          <w:marLeft w:val="0"/>
          <w:marRight w:val="0"/>
          <w:marTop w:val="0"/>
          <w:marBottom w:val="0"/>
          <w:divBdr>
            <w:top w:val="none" w:sz="0" w:space="0" w:color="auto"/>
            <w:left w:val="none" w:sz="0" w:space="0" w:color="auto"/>
            <w:bottom w:val="none" w:sz="0" w:space="0" w:color="auto"/>
            <w:right w:val="none" w:sz="0" w:space="0" w:color="auto"/>
          </w:divBdr>
          <w:divsChild>
            <w:div w:id="2123527158">
              <w:marLeft w:val="0"/>
              <w:marRight w:val="0"/>
              <w:marTop w:val="0"/>
              <w:marBottom w:val="0"/>
              <w:divBdr>
                <w:top w:val="none" w:sz="0" w:space="0" w:color="auto"/>
                <w:left w:val="none" w:sz="0" w:space="0" w:color="auto"/>
                <w:bottom w:val="none" w:sz="0" w:space="0" w:color="auto"/>
                <w:right w:val="none" w:sz="0" w:space="0" w:color="auto"/>
              </w:divBdr>
              <w:divsChild>
                <w:div w:id="1837919590">
                  <w:marLeft w:val="0"/>
                  <w:marRight w:val="0"/>
                  <w:marTop w:val="0"/>
                  <w:marBottom w:val="0"/>
                  <w:divBdr>
                    <w:top w:val="none" w:sz="0" w:space="0" w:color="auto"/>
                    <w:left w:val="none" w:sz="0" w:space="0" w:color="auto"/>
                    <w:bottom w:val="none" w:sz="0" w:space="0" w:color="auto"/>
                    <w:right w:val="none" w:sz="0" w:space="0" w:color="auto"/>
                  </w:divBdr>
                  <w:divsChild>
                    <w:div w:id="348797862">
                      <w:marLeft w:val="2"/>
                      <w:marRight w:val="0"/>
                      <w:marTop w:val="0"/>
                      <w:marBottom w:val="0"/>
                      <w:divBdr>
                        <w:top w:val="none" w:sz="0" w:space="0" w:color="auto"/>
                        <w:left w:val="none" w:sz="0" w:space="0" w:color="auto"/>
                        <w:bottom w:val="none" w:sz="0" w:space="0" w:color="auto"/>
                        <w:right w:val="none" w:sz="0" w:space="0" w:color="auto"/>
                      </w:divBdr>
                      <w:divsChild>
                        <w:div w:id="1673410397">
                          <w:marLeft w:val="0"/>
                          <w:marRight w:val="0"/>
                          <w:marTop w:val="0"/>
                          <w:marBottom w:val="0"/>
                          <w:divBdr>
                            <w:top w:val="none" w:sz="0" w:space="0" w:color="auto"/>
                            <w:left w:val="none" w:sz="0" w:space="0" w:color="auto"/>
                            <w:bottom w:val="none" w:sz="0" w:space="0" w:color="auto"/>
                            <w:right w:val="none" w:sz="0" w:space="0" w:color="auto"/>
                          </w:divBdr>
                          <w:divsChild>
                            <w:div w:id="13380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386715">
      <w:bodyDiv w:val="1"/>
      <w:marLeft w:val="0"/>
      <w:marRight w:val="0"/>
      <w:marTop w:val="0"/>
      <w:marBottom w:val="0"/>
      <w:divBdr>
        <w:top w:val="none" w:sz="0" w:space="0" w:color="auto"/>
        <w:left w:val="none" w:sz="0" w:space="0" w:color="auto"/>
        <w:bottom w:val="none" w:sz="0" w:space="0" w:color="auto"/>
        <w:right w:val="none" w:sz="0" w:space="0" w:color="auto"/>
      </w:divBdr>
    </w:div>
    <w:div w:id="926036236">
      <w:bodyDiv w:val="1"/>
      <w:marLeft w:val="0"/>
      <w:marRight w:val="0"/>
      <w:marTop w:val="0"/>
      <w:marBottom w:val="0"/>
      <w:divBdr>
        <w:top w:val="none" w:sz="0" w:space="0" w:color="auto"/>
        <w:left w:val="none" w:sz="0" w:space="0" w:color="auto"/>
        <w:bottom w:val="none" w:sz="0" w:space="0" w:color="auto"/>
        <w:right w:val="none" w:sz="0" w:space="0" w:color="auto"/>
      </w:divBdr>
    </w:div>
    <w:div w:id="960191554">
      <w:bodyDiv w:val="1"/>
      <w:marLeft w:val="0"/>
      <w:marRight w:val="0"/>
      <w:marTop w:val="0"/>
      <w:marBottom w:val="0"/>
      <w:divBdr>
        <w:top w:val="none" w:sz="0" w:space="0" w:color="auto"/>
        <w:left w:val="none" w:sz="0" w:space="0" w:color="auto"/>
        <w:bottom w:val="none" w:sz="0" w:space="0" w:color="auto"/>
        <w:right w:val="none" w:sz="0" w:space="0" w:color="auto"/>
      </w:divBdr>
      <w:divsChild>
        <w:div w:id="2075203420">
          <w:marLeft w:val="0"/>
          <w:marRight w:val="0"/>
          <w:marTop w:val="0"/>
          <w:marBottom w:val="0"/>
          <w:divBdr>
            <w:top w:val="single" w:sz="6" w:space="0" w:color="666666"/>
            <w:left w:val="single" w:sz="6" w:space="0" w:color="666666"/>
            <w:bottom w:val="single" w:sz="6" w:space="0" w:color="666666"/>
            <w:right w:val="single" w:sz="6" w:space="0" w:color="666666"/>
          </w:divBdr>
          <w:divsChild>
            <w:div w:id="1567648388">
              <w:marLeft w:val="0"/>
              <w:marRight w:val="0"/>
              <w:marTop w:val="150"/>
              <w:marBottom w:val="0"/>
              <w:divBdr>
                <w:top w:val="none" w:sz="0" w:space="0" w:color="auto"/>
                <w:left w:val="none" w:sz="0" w:space="0" w:color="auto"/>
                <w:bottom w:val="none" w:sz="0" w:space="0" w:color="auto"/>
                <w:right w:val="none" w:sz="0" w:space="0" w:color="auto"/>
              </w:divBdr>
              <w:divsChild>
                <w:div w:id="1786197745">
                  <w:marLeft w:val="0"/>
                  <w:marRight w:val="0"/>
                  <w:marTop w:val="0"/>
                  <w:marBottom w:val="0"/>
                  <w:divBdr>
                    <w:top w:val="none" w:sz="0" w:space="0" w:color="auto"/>
                    <w:left w:val="none" w:sz="0" w:space="0" w:color="auto"/>
                    <w:bottom w:val="none" w:sz="0" w:space="0" w:color="auto"/>
                    <w:right w:val="none" w:sz="0" w:space="0" w:color="auto"/>
                  </w:divBdr>
                  <w:divsChild>
                    <w:div w:id="1986274503">
                      <w:marLeft w:val="0"/>
                      <w:marRight w:val="0"/>
                      <w:marTop w:val="0"/>
                      <w:marBottom w:val="0"/>
                      <w:divBdr>
                        <w:top w:val="none" w:sz="0" w:space="0" w:color="auto"/>
                        <w:left w:val="none" w:sz="0" w:space="0" w:color="auto"/>
                        <w:bottom w:val="none" w:sz="0" w:space="0" w:color="auto"/>
                        <w:right w:val="none" w:sz="0" w:space="0" w:color="auto"/>
                      </w:divBdr>
                      <w:divsChild>
                        <w:div w:id="1043598824">
                          <w:marLeft w:val="0"/>
                          <w:marRight w:val="0"/>
                          <w:marTop w:val="0"/>
                          <w:marBottom w:val="0"/>
                          <w:divBdr>
                            <w:top w:val="none" w:sz="0" w:space="0" w:color="auto"/>
                            <w:left w:val="none" w:sz="0" w:space="0" w:color="auto"/>
                            <w:bottom w:val="none" w:sz="0" w:space="0" w:color="auto"/>
                            <w:right w:val="none" w:sz="0" w:space="0" w:color="auto"/>
                          </w:divBdr>
                          <w:divsChild>
                            <w:div w:id="1565215347">
                              <w:marLeft w:val="0"/>
                              <w:marRight w:val="0"/>
                              <w:marTop w:val="0"/>
                              <w:marBottom w:val="0"/>
                              <w:divBdr>
                                <w:top w:val="none" w:sz="0" w:space="0" w:color="auto"/>
                                <w:left w:val="none" w:sz="0" w:space="0" w:color="auto"/>
                                <w:bottom w:val="none" w:sz="0" w:space="0" w:color="auto"/>
                                <w:right w:val="none" w:sz="0" w:space="0" w:color="auto"/>
                              </w:divBdr>
                              <w:divsChild>
                                <w:div w:id="2066682643">
                                  <w:marLeft w:val="0"/>
                                  <w:marRight w:val="0"/>
                                  <w:marTop w:val="0"/>
                                  <w:marBottom w:val="0"/>
                                  <w:divBdr>
                                    <w:top w:val="none" w:sz="0" w:space="0" w:color="auto"/>
                                    <w:left w:val="none" w:sz="0" w:space="0" w:color="auto"/>
                                    <w:bottom w:val="none" w:sz="0" w:space="0" w:color="auto"/>
                                    <w:right w:val="none" w:sz="0" w:space="0" w:color="auto"/>
                                  </w:divBdr>
                                  <w:divsChild>
                                    <w:div w:id="956714963">
                                      <w:marLeft w:val="0"/>
                                      <w:marRight w:val="0"/>
                                      <w:marTop w:val="0"/>
                                      <w:marBottom w:val="0"/>
                                      <w:divBdr>
                                        <w:top w:val="none" w:sz="0" w:space="0" w:color="auto"/>
                                        <w:left w:val="none" w:sz="0" w:space="0" w:color="auto"/>
                                        <w:bottom w:val="none" w:sz="0" w:space="0" w:color="auto"/>
                                        <w:right w:val="none" w:sz="0" w:space="0" w:color="auto"/>
                                      </w:divBdr>
                                      <w:divsChild>
                                        <w:div w:id="1472751251">
                                          <w:marLeft w:val="0"/>
                                          <w:marRight w:val="0"/>
                                          <w:marTop w:val="0"/>
                                          <w:marBottom w:val="0"/>
                                          <w:divBdr>
                                            <w:top w:val="none" w:sz="0" w:space="0" w:color="auto"/>
                                            <w:left w:val="none" w:sz="0" w:space="0" w:color="auto"/>
                                            <w:bottom w:val="none" w:sz="0" w:space="0" w:color="auto"/>
                                            <w:right w:val="none" w:sz="0" w:space="0" w:color="auto"/>
                                          </w:divBdr>
                                          <w:divsChild>
                                            <w:div w:id="793138831">
                                              <w:marLeft w:val="0"/>
                                              <w:marRight w:val="0"/>
                                              <w:marTop w:val="0"/>
                                              <w:marBottom w:val="0"/>
                                              <w:divBdr>
                                                <w:top w:val="none" w:sz="0" w:space="0" w:color="auto"/>
                                                <w:left w:val="none" w:sz="0" w:space="0" w:color="auto"/>
                                                <w:bottom w:val="none" w:sz="0" w:space="0" w:color="auto"/>
                                                <w:right w:val="none" w:sz="0" w:space="0" w:color="auto"/>
                                              </w:divBdr>
                                              <w:divsChild>
                                                <w:div w:id="1903172291">
                                                  <w:marLeft w:val="0"/>
                                                  <w:marRight w:val="0"/>
                                                  <w:marTop w:val="0"/>
                                                  <w:marBottom w:val="0"/>
                                                  <w:divBdr>
                                                    <w:top w:val="none" w:sz="0" w:space="0" w:color="auto"/>
                                                    <w:left w:val="none" w:sz="0" w:space="0" w:color="auto"/>
                                                    <w:bottom w:val="none" w:sz="0" w:space="0" w:color="auto"/>
                                                    <w:right w:val="none" w:sz="0" w:space="0" w:color="auto"/>
                                                  </w:divBdr>
                                                  <w:divsChild>
                                                    <w:div w:id="1234583152">
                                                      <w:marLeft w:val="0"/>
                                                      <w:marRight w:val="0"/>
                                                      <w:marTop w:val="0"/>
                                                      <w:marBottom w:val="0"/>
                                                      <w:divBdr>
                                                        <w:top w:val="none" w:sz="0" w:space="0" w:color="auto"/>
                                                        <w:left w:val="none" w:sz="0" w:space="0" w:color="auto"/>
                                                        <w:bottom w:val="none" w:sz="0" w:space="0" w:color="auto"/>
                                                        <w:right w:val="none" w:sz="0" w:space="0" w:color="auto"/>
                                                      </w:divBdr>
                                                      <w:divsChild>
                                                        <w:div w:id="2021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0601021">
      <w:bodyDiv w:val="1"/>
      <w:marLeft w:val="0"/>
      <w:marRight w:val="0"/>
      <w:marTop w:val="0"/>
      <w:marBottom w:val="0"/>
      <w:divBdr>
        <w:top w:val="none" w:sz="0" w:space="0" w:color="auto"/>
        <w:left w:val="none" w:sz="0" w:space="0" w:color="auto"/>
        <w:bottom w:val="none" w:sz="0" w:space="0" w:color="auto"/>
        <w:right w:val="none" w:sz="0" w:space="0" w:color="auto"/>
      </w:divBdr>
    </w:div>
    <w:div w:id="1214971971">
      <w:bodyDiv w:val="1"/>
      <w:marLeft w:val="0"/>
      <w:marRight w:val="0"/>
      <w:marTop w:val="0"/>
      <w:marBottom w:val="0"/>
      <w:divBdr>
        <w:top w:val="none" w:sz="0" w:space="0" w:color="auto"/>
        <w:left w:val="none" w:sz="0" w:space="0" w:color="auto"/>
        <w:bottom w:val="none" w:sz="0" w:space="0" w:color="auto"/>
        <w:right w:val="none" w:sz="0" w:space="0" w:color="auto"/>
      </w:divBdr>
    </w:div>
    <w:div w:id="1314140100">
      <w:bodyDiv w:val="1"/>
      <w:marLeft w:val="0"/>
      <w:marRight w:val="0"/>
      <w:marTop w:val="0"/>
      <w:marBottom w:val="0"/>
      <w:divBdr>
        <w:top w:val="none" w:sz="0" w:space="0" w:color="auto"/>
        <w:left w:val="none" w:sz="0" w:space="0" w:color="auto"/>
        <w:bottom w:val="none" w:sz="0" w:space="0" w:color="auto"/>
        <w:right w:val="none" w:sz="0" w:space="0" w:color="auto"/>
      </w:divBdr>
    </w:div>
    <w:div w:id="1661272579">
      <w:bodyDiv w:val="1"/>
      <w:marLeft w:val="0"/>
      <w:marRight w:val="0"/>
      <w:marTop w:val="0"/>
      <w:marBottom w:val="0"/>
      <w:divBdr>
        <w:top w:val="none" w:sz="0" w:space="0" w:color="auto"/>
        <w:left w:val="none" w:sz="0" w:space="0" w:color="auto"/>
        <w:bottom w:val="none" w:sz="0" w:space="0" w:color="auto"/>
        <w:right w:val="none" w:sz="0" w:space="0" w:color="auto"/>
      </w:divBdr>
    </w:div>
    <w:div w:id="1800299421">
      <w:bodyDiv w:val="1"/>
      <w:marLeft w:val="0"/>
      <w:marRight w:val="0"/>
      <w:marTop w:val="0"/>
      <w:marBottom w:val="0"/>
      <w:divBdr>
        <w:top w:val="none" w:sz="0" w:space="0" w:color="auto"/>
        <w:left w:val="none" w:sz="0" w:space="0" w:color="auto"/>
        <w:bottom w:val="none" w:sz="0" w:space="0" w:color="auto"/>
        <w:right w:val="none" w:sz="0" w:space="0" w:color="auto"/>
      </w:divBdr>
    </w:div>
    <w:div w:id="2050304136">
      <w:bodyDiv w:val="1"/>
      <w:marLeft w:val="0"/>
      <w:marRight w:val="0"/>
      <w:marTop w:val="0"/>
      <w:marBottom w:val="0"/>
      <w:divBdr>
        <w:top w:val="none" w:sz="0" w:space="0" w:color="auto"/>
        <w:left w:val="none" w:sz="0" w:space="0" w:color="auto"/>
        <w:bottom w:val="none" w:sz="0" w:space="0" w:color="auto"/>
        <w:right w:val="none" w:sz="0" w:space="0" w:color="auto"/>
      </w:divBdr>
    </w:div>
    <w:div w:id="2079857094">
      <w:bodyDiv w:val="1"/>
      <w:marLeft w:val="0"/>
      <w:marRight w:val="0"/>
      <w:marTop w:val="30"/>
      <w:marBottom w:val="0"/>
      <w:divBdr>
        <w:top w:val="none" w:sz="0" w:space="0" w:color="auto"/>
        <w:left w:val="none" w:sz="0" w:space="0" w:color="auto"/>
        <w:bottom w:val="none" w:sz="0" w:space="0" w:color="auto"/>
        <w:right w:val="none" w:sz="0" w:space="0" w:color="auto"/>
      </w:divBdr>
      <w:divsChild>
        <w:div w:id="869145552">
          <w:marLeft w:val="0"/>
          <w:marRight w:val="0"/>
          <w:marTop w:val="0"/>
          <w:marBottom w:val="0"/>
          <w:divBdr>
            <w:top w:val="none" w:sz="0" w:space="0" w:color="auto"/>
            <w:left w:val="none" w:sz="0" w:space="0" w:color="auto"/>
            <w:bottom w:val="none" w:sz="0" w:space="0" w:color="auto"/>
            <w:right w:val="none" w:sz="0" w:space="0" w:color="auto"/>
          </w:divBdr>
          <w:divsChild>
            <w:div w:id="71003755">
              <w:marLeft w:val="0"/>
              <w:marRight w:val="0"/>
              <w:marTop w:val="0"/>
              <w:marBottom w:val="0"/>
              <w:divBdr>
                <w:top w:val="none" w:sz="0" w:space="0" w:color="auto"/>
                <w:left w:val="none" w:sz="0" w:space="0" w:color="auto"/>
                <w:bottom w:val="none" w:sz="0" w:space="0" w:color="auto"/>
                <w:right w:val="none" w:sz="0" w:space="0" w:color="auto"/>
              </w:divBdr>
              <w:divsChild>
                <w:div w:id="1291546231">
                  <w:marLeft w:val="0"/>
                  <w:marRight w:val="0"/>
                  <w:marTop w:val="0"/>
                  <w:marBottom w:val="0"/>
                  <w:divBdr>
                    <w:top w:val="none" w:sz="0" w:space="0" w:color="auto"/>
                    <w:left w:val="none" w:sz="0" w:space="0" w:color="auto"/>
                    <w:bottom w:val="none" w:sz="0" w:space="0" w:color="auto"/>
                    <w:right w:val="none" w:sz="0" w:space="0" w:color="auto"/>
                  </w:divBdr>
                  <w:divsChild>
                    <w:div w:id="975833858">
                      <w:marLeft w:val="2"/>
                      <w:marRight w:val="0"/>
                      <w:marTop w:val="0"/>
                      <w:marBottom w:val="0"/>
                      <w:divBdr>
                        <w:top w:val="none" w:sz="0" w:space="0" w:color="auto"/>
                        <w:left w:val="none" w:sz="0" w:space="0" w:color="auto"/>
                        <w:bottom w:val="none" w:sz="0" w:space="0" w:color="auto"/>
                        <w:right w:val="none" w:sz="0" w:space="0" w:color="auto"/>
                      </w:divBdr>
                      <w:divsChild>
                        <w:div w:id="1613828509">
                          <w:marLeft w:val="0"/>
                          <w:marRight w:val="0"/>
                          <w:marTop w:val="0"/>
                          <w:marBottom w:val="0"/>
                          <w:divBdr>
                            <w:top w:val="none" w:sz="0" w:space="0" w:color="auto"/>
                            <w:left w:val="none" w:sz="0" w:space="0" w:color="auto"/>
                            <w:bottom w:val="none" w:sz="0" w:space="0" w:color="auto"/>
                            <w:right w:val="none" w:sz="0" w:space="0" w:color="auto"/>
                          </w:divBdr>
                          <w:divsChild>
                            <w:div w:id="6379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anec.eu/anec.asp" TargetMode="External"/><Relationship Id="rId2" Type="http://schemas.openxmlformats.org/officeDocument/2006/relationships/hyperlink" Target="http://sbs-sme.eu/" TargetMode="External"/><Relationship Id="rId1" Type="http://schemas.openxmlformats.org/officeDocument/2006/relationships/hyperlink" Target="http://eur-lex.europa.eu/legal-content/EN/TXT/?uri=COM:2016:358:FIN" TargetMode="External"/><Relationship Id="rId5" Type="http://schemas.openxmlformats.org/officeDocument/2006/relationships/hyperlink" Target="http://ecostandard.org/" TargetMode="External"/><Relationship Id="rId4" Type="http://schemas.openxmlformats.org/officeDocument/2006/relationships/hyperlink" Target="http://www.etu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167F3-9AA5-4BE5-89FC-1F17AB78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3528</Words>
  <Characters>22407</Characters>
  <Application>Microsoft Office Word</Application>
  <DocSecurity>0</DocSecurity>
  <Lines>334</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2017-11-22T09:08:00Z</cp:lastPrinted>
  <dcterms:created xsi:type="dcterms:W3CDTF">2018-01-12T11:26:00Z</dcterms:created>
  <dcterms:modified xsi:type="dcterms:W3CDTF">2018-01-15T11:08:00Z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lassification">
    <vt:lpwstr> </vt:lpwstr>
  </property>
</Properties>
</file>