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B61FD2A-9310-4CCE-87DD-2C36B19AB9C8" style="width:455.25pt;height:544.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Shrnutí</w:t>
      </w:r>
    </w:p>
    <w:p>
      <w:pPr>
        <w:pBdr>
          <w:top w:val="single" w:sz="4" w:space="1" w:color="auto"/>
          <w:left w:val="single" w:sz="4" w:space="4" w:color="auto"/>
          <w:bottom w:val="single" w:sz="4" w:space="7" w:color="auto"/>
          <w:right w:val="single" w:sz="4" w:space="4" w:color="auto"/>
        </w:pBdr>
        <w:spacing w:after="0"/>
        <w:rPr>
          <w:rFonts w:eastAsia="Times New Roman" w:cs="Times New Roman"/>
          <w:noProof/>
        </w:rPr>
      </w:pPr>
      <w:r>
        <w:rPr>
          <w:noProof/>
        </w:rPr>
        <w:t xml:space="preserve">Strukturální reforma kyperského soudního systému pokračuje, ale zaznamenala zpoždění. Návrh právního předpisu o rozdělení současného Nejvyššího soudu na Nejvyšší ústavní soud a Vrchní soud a o postupech jmenování soudců a předsedů těchto dvou nových soudů čeká na schválení parlamentem. O tomto jmenování bude rozhodovat prezident republiky na nezávazný návrh poradní rady pro soudnictví. Je důležité, aby tato reforma zaručila nezávislost soudnictví v souladu s právem EU a při zohlednění doporučení Rady Evropy. Parlament projednává také zřízení odvolacího soudu. Probíhá zřizování specializovaných soudů a restrukturalizace soudů. Byla schválena nová pravidla občanskoprávního řízení, jejichž cílem je urychlit soudní řízení. Pokračuje posilování kapacity Úřadu státního zastupitelství, což se týká mimo jiné rozdělení funkcí a postupů přijímání zaměstnanců. Cílem dalších reforem je překonat závažné problémy týkající efektivnosti a kvality soudního systému, zejména v oblasti digitalizace. Občanskoprávní, obchodní a správní soudní řízení jsou i nadále velmi zdlouhavá.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spacing w:after="0"/>
        <w:rPr>
          <w:rFonts w:eastAsia="Times New Roman" w:cs="Times New Roman"/>
          <w:bCs/>
          <w:noProof/>
          <w:szCs w:val="20"/>
        </w:rPr>
      </w:pPr>
      <w:r>
        <w:rPr>
          <w:noProof/>
        </w:rPr>
        <w:t xml:space="preserve">Kypr pokračuje ve zlepšování svého legislativního rámce pro boj proti korupci, ovšem několik důležitých reforem, týkajících se například zřízení protikorupčního orgánu, ochrany oznamovatelů, regulace lobbingu a podávání majetkových přiznání volených zástupců, dosud nebylo schváleno. Dohledem nad prováděním nového plánu proti korupci na období 2021–2026 byl pověřen Úřad pro transparentnost a předcházení korupci. Pokračovalo vyšetřování případů korupce, přičemž se jako zvlášť riziková oblast projevuje manipulování sportovních soutěží, ačkoli se v případech korupce vydává jen málo soudních rozhodnutí. Nejvyšší státní zastupitelství obdrželo nové zdroje a změna trestního zákoníku zvýšila sankce za trestný čin zneužití funkce, čímž při vyšetřování tohoto trestného činu umožnila využití zvláštních vyšetřovacích metod. Vláda v reakci na obvinění z korupce týkající se zahraničních fyzických osob a vysoce postavených úředníků zahájila šetření režimů občanství pro investory. Cílem nového protikorupčního kodexu chování je posílit bezúhonnost policie. Během pandemie COVID-19 byly činnosti zaměřené na poskytování finanční úlevy doplněny opatřeními ke zmírnění rizika podvodů a korupce.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rPr>
          <w:rFonts w:eastAsia="Times New Roman" w:cs="Times New Roman"/>
          <w:noProof/>
        </w:rPr>
      </w:pPr>
      <w:r>
        <w:rPr>
          <w:noProof/>
        </w:rPr>
        <w:t xml:space="preserve">Právní a formální ochrana svobody projevu a práva na přístup k informacím je zaručena ústavou. Sekundární právní předpisy výslovně zajišťují ochranu novinářských zdrojů a podporují pluralitu sdělovacích prostředků v odvětví rozhlasového a televizního vysílání. V prosinci 2020 zavedly sekundární právní předpisy rámec a podmínky pro přístup veřejnosti k informacím a zřídily úřad komisaře pro informace. Cílem návrhů zákonů, které by měly být přijaty v druhé polovině roku 2021, je zvýšit nezávislost kyperského orgánu pro rozhlasové a televizní vysílání a posílit záruky svobody projevu a transparentnost vlastnictví. </w:t>
      </w:r>
    </w:p>
    <w:p>
      <w:pPr>
        <w:pBdr>
          <w:top w:val="single" w:sz="4" w:space="1" w:color="auto"/>
          <w:left w:val="single" w:sz="4" w:space="4" w:color="auto"/>
          <w:bottom w:val="single" w:sz="4" w:space="7" w:color="auto"/>
          <w:right w:val="single" w:sz="4" w:space="4" w:color="auto"/>
        </w:pBdr>
        <w:rPr>
          <w:rFonts w:cs="Times New Roman"/>
          <w:bCs/>
          <w:noProof/>
        </w:rPr>
      </w:pPr>
      <w:r>
        <w:rPr>
          <w:noProof/>
        </w:rPr>
        <w:t xml:space="preserve">Systém brzd a protivah zahrnuje konzultační proces, který je součástí projektu zlepšování právní úpravy. Konzultační proces v souvislosti s návrhy právních předpisů je však omezen na diskuse ve Sněmovně reprezentantů a existují obavy ohledně přístupu veřejnosti k návrhům. Nouzový stav zakotvený v ústavě během pandemie vyhlášen nebyl. Na občany a podniky však byla uvalena omezení podle zákona o karanténě, který zmocňuje radu ministrů k vydávání vyhlášek týkajících se pandemie COVID-19. Jak je uvedeno ve zprávě o právním státu pro rok 2020, některé organizace občanské společnosti stále čelí určitým problémům v souvislosti s registračním rámcem, i když nové právní předpisy obsahují zlepšení, která </w:t>
      </w:r>
      <w:r>
        <w:rPr>
          <w:noProof/>
          <w:color w:val="000000" w:themeColor="text1"/>
        </w:rPr>
        <w:t>umožní jednodušší registraci federací nevládních organizací</w:t>
      </w:r>
      <w:r>
        <w:rPr>
          <w:noProof/>
        </w:rPr>
        <w:t xml:space="preserve">. </w:t>
      </w:r>
    </w:p>
    <w:p>
      <w:pPr>
        <w:keepNext/>
        <w:numPr>
          <w:ilvl w:val="0"/>
          <w:numId w:val="8"/>
        </w:numPr>
        <w:outlineLvl w:val="0"/>
        <w:rPr>
          <w:rFonts w:eastAsia="Times New Roman" w:cs="Times New Roman"/>
          <w:b/>
          <w:smallCaps/>
          <w:noProof/>
          <w:szCs w:val="24"/>
          <w:u w:val="single"/>
          <w:lang w:eastAsia="fr-FR"/>
        </w:rPr>
      </w:pPr>
      <w:r>
        <w:rPr>
          <w:rFonts w:eastAsia="Times New Roman" w:cs="Times New Roman"/>
          <w:b/>
          <w:smallCaps/>
          <w:noProof/>
          <w:szCs w:val="24"/>
          <w:u w:val="single"/>
          <w:lang w:eastAsia="fr-FR"/>
        </w:rPr>
        <w:lastRenderedPageBreak/>
        <w:t xml:space="preserve">Systém soudnictví </w:t>
      </w:r>
    </w:p>
    <w:p>
      <w:pPr>
        <w:rPr>
          <w:rFonts w:eastAsia="Times New Roman" w:cs="Times New Roman"/>
          <w:noProof/>
          <w:szCs w:val="20"/>
        </w:rPr>
      </w:pPr>
      <w:r>
        <w:rPr>
          <w:noProof/>
        </w:rPr>
        <w:t>Soudní systém</w:t>
      </w:r>
      <w:r>
        <w:rPr>
          <w:rFonts w:eastAsia="Times New Roman" w:cs="Times New Roman"/>
          <w:noProof/>
          <w:szCs w:val="20"/>
          <w:vertAlign w:val="superscript"/>
          <w:lang w:eastAsia="fr-FR"/>
        </w:rPr>
        <w:footnoteReference w:id="2"/>
      </w:r>
      <w:r>
        <w:rPr>
          <w:noProof/>
        </w:rPr>
        <w:t xml:space="preserve"> se skládá ze šesti okresních soudů, šesti porotních soudů</w:t>
      </w:r>
      <w:r>
        <w:rPr>
          <w:rFonts w:eastAsia="Times New Roman" w:cs="Times New Roman"/>
          <w:noProof/>
          <w:szCs w:val="20"/>
          <w:vertAlign w:val="superscript"/>
          <w:lang w:eastAsia="fr-FR"/>
        </w:rPr>
        <w:footnoteReference w:id="3"/>
      </w:r>
      <w:r>
        <w:rPr>
          <w:noProof/>
        </w:rPr>
        <w:t>, správního soudu</w:t>
      </w:r>
      <w:r>
        <w:rPr>
          <w:rFonts w:eastAsia="Times New Roman" w:cs="Times New Roman"/>
          <w:noProof/>
          <w:szCs w:val="20"/>
          <w:vertAlign w:val="superscript"/>
          <w:lang w:eastAsia="fr-FR"/>
        </w:rPr>
        <w:footnoteReference w:id="4"/>
      </w:r>
      <w:r>
        <w:rPr>
          <w:noProof/>
        </w:rPr>
        <w:t>, správního soudu pro mezinárodní ochranu</w:t>
      </w:r>
      <w:r>
        <w:rPr>
          <w:rFonts w:eastAsia="Times New Roman" w:cs="Times New Roman"/>
          <w:noProof/>
          <w:szCs w:val="20"/>
          <w:vertAlign w:val="superscript"/>
          <w:lang w:eastAsia="fr-FR"/>
        </w:rPr>
        <w:footnoteReference w:id="5"/>
      </w:r>
      <w:r>
        <w:rPr>
          <w:noProof/>
        </w:rPr>
        <w:t xml:space="preserve"> a Nejvyššího soudu</w:t>
      </w:r>
      <w:r>
        <w:rPr>
          <w:rFonts w:eastAsia="Times New Roman" w:cs="Times New Roman"/>
          <w:noProof/>
          <w:szCs w:val="20"/>
          <w:vertAlign w:val="superscript"/>
          <w:lang w:eastAsia="fr-FR"/>
        </w:rPr>
        <w:footnoteReference w:id="6"/>
      </w:r>
      <w:r>
        <w:rPr>
          <w:noProof/>
        </w:rPr>
        <w:t>. Vytváření ústavního soudu právě probíhá. Kromě toho existují rodinné soudy, soudy pro věci regulovaného nájemného, soudy pro pracovněprávní spory a vojenský soud</w:t>
      </w:r>
      <w:r>
        <w:rPr>
          <w:rFonts w:eastAsia="Times New Roman" w:cs="Times New Roman"/>
          <w:noProof/>
          <w:szCs w:val="20"/>
          <w:vertAlign w:val="superscript"/>
          <w:lang w:eastAsia="fr-FR"/>
        </w:rPr>
        <w:footnoteReference w:id="7"/>
      </w:r>
      <w:r>
        <w:rPr>
          <w:noProof/>
        </w:rPr>
        <w:t>. U soudů prvního stupně působí celkem 113 soudců a u Nejvyššího soudu 13 soudců. Soudci Nejvyššího soudu jsou jmenováni prezidentem republiky z řad soudců a na doporučení Nejvyššího soudu, jímž se však prezident nemusí řídit. Podle zavedeného postupu se však prezident republiky doporučením Nejvyššího soudu řídí a tento soud navrhuje na každé volné místo nejstaršího soudce ve službě na základě délky výkonu funkce. Tentýž postup se uplatňuje při jmenování předsedy Nejvyššího soudu, kdy se prezident republiky vždy řídí doporučením jmenovat nejstaršího soudce ve službě daného soudu</w:t>
      </w:r>
      <w:r>
        <w:rPr>
          <w:rFonts w:eastAsia="Times New Roman" w:cs="Times New Roman"/>
          <w:noProof/>
          <w:szCs w:val="20"/>
          <w:vertAlign w:val="superscript"/>
          <w:lang w:eastAsia="fr-FR"/>
        </w:rPr>
        <w:footnoteReference w:id="8"/>
      </w:r>
      <w:r>
        <w:rPr>
          <w:noProof/>
        </w:rPr>
        <w:t>. Soudci prvního stupně jsou jmenováni, překládáni a povyšováni Nejvyšší radou soudců, kterou tvoří všichni členové Nejvyššího soudu (předseda a dvanáct soudců)</w:t>
      </w:r>
      <w:r>
        <w:rPr>
          <w:rFonts w:eastAsia="Times New Roman" w:cs="Times New Roman"/>
          <w:noProof/>
          <w:szCs w:val="20"/>
          <w:vertAlign w:val="superscript"/>
          <w:lang w:eastAsia="fr-FR"/>
        </w:rPr>
        <w:footnoteReference w:id="9"/>
      </w:r>
      <w:r>
        <w:rPr>
          <w:noProof/>
        </w:rPr>
        <w:t>. Státní zastupitelství je nezávislé a vedené nejvyšším státním zástupcem republiky. Nejvyšší státní zástupce řídí právní úřad republiky, což je nezávislá služba, která je mu nápomocná a nepodléhá žádnému ministerstvu</w:t>
      </w:r>
      <w:r>
        <w:rPr>
          <w:rFonts w:eastAsia="Times New Roman" w:cs="Times New Roman"/>
          <w:noProof/>
          <w:szCs w:val="20"/>
          <w:vertAlign w:val="superscript"/>
          <w:lang w:eastAsia="fr-FR"/>
        </w:rPr>
        <w:footnoteReference w:id="10"/>
      </w:r>
      <w:r>
        <w:rPr>
          <w:noProof/>
        </w:rPr>
        <w:t>. Nejvyšší státní zástupce je oprávněn podle svého uvážení ve veřejném zájmu zahájit, vést a převzít jakékoli trestní řízení proti jakékoli osobě (právnické či fyzické) a v řízení pokračovat nebo jej zastavit. Je také právním poradcem republiky, prezidenta, rady ministrů a jednotlivých ministrů. Vykonává všechny další funkce a povinnosti, které mu jsou svěřeny ústavou nebo zákonem</w:t>
      </w:r>
      <w:r>
        <w:rPr>
          <w:rFonts w:eastAsia="Times New Roman" w:cs="Times New Roman"/>
          <w:noProof/>
          <w:szCs w:val="20"/>
          <w:vertAlign w:val="superscript"/>
          <w:lang w:eastAsia="fr-FR"/>
        </w:rPr>
        <w:footnoteReference w:id="11"/>
      </w:r>
      <w:r>
        <w:rPr>
          <w:noProof/>
        </w:rPr>
        <w:t>. Kypr je zapojen do Úřadu evropského veřejného žalobce. Nezávislá národní advokátní komora má ve vztahu ke svým členům regulační a disciplinární pravomoc.</w:t>
      </w:r>
    </w:p>
    <w:p>
      <w:pPr>
        <w:keepNext/>
        <w:outlineLvl w:val="1"/>
        <w:rPr>
          <w:rFonts w:eastAsia="Times New Roman" w:cs="Times New Roman"/>
          <w:b/>
          <w:noProof/>
          <w:szCs w:val="24"/>
          <w:lang w:eastAsia="en-GB"/>
        </w:rPr>
      </w:pPr>
      <w:r>
        <w:rPr>
          <w:rFonts w:eastAsia="Times New Roman" w:cs="Times New Roman"/>
          <w:b/>
          <w:noProof/>
          <w:szCs w:val="24"/>
          <w:lang w:eastAsia="en-GB"/>
        </w:rPr>
        <w:t xml:space="preserve">Nezávislost </w:t>
      </w:r>
    </w:p>
    <w:p>
      <w:pPr>
        <w:rPr>
          <w:rFonts w:eastAsia="Times New Roman" w:cs="Times New Roman"/>
          <w:b/>
          <w:bCs/>
          <w:noProof/>
        </w:rPr>
      </w:pPr>
      <w:r>
        <w:rPr>
          <w:b/>
          <w:bCs/>
          <w:noProof/>
        </w:rPr>
        <w:t>Úroveň vnímané nezávislosti soudnictví je průměrná.</w:t>
      </w:r>
      <w:r>
        <w:rPr>
          <w:noProof/>
        </w:rPr>
        <w:t xml:space="preserve"> Nezávislost soudnictví považuje 48 % široké veřejnosti za „poměrně dobrou“ nebo „velmi dobrou“, přičemž tento podíl se v roce 2021 ve srovnání s rokem 2020 snížil o 7 procentních bodů. Odpovídající údaj mezi podniky činí 45 % a od roku 2020 se snížil o 3 procentní body</w:t>
      </w:r>
      <w:r>
        <w:rPr>
          <w:rFonts w:eastAsia="Times New Roman" w:cs="Times New Roman"/>
          <w:noProof/>
          <w:vertAlign w:val="superscript"/>
          <w:lang w:eastAsia="fr-FR"/>
        </w:rPr>
        <w:footnoteReference w:id="12"/>
      </w:r>
      <w:r>
        <w:rPr>
          <w:noProof/>
        </w:rPr>
        <w:t>. Úroveň vnímané nezávislosti soudnictví</w:t>
      </w:r>
      <w:r>
        <w:rPr>
          <w:rFonts w:eastAsia="Times New Roman" w:cs="Times New Roman"/>
          <w:noProof/>
          <w:vertAlign w:val="superscript"/>
          <w:lang w:eastAsia="fr-FR"/>
        </w:rPr>
        <w:footnoteReference w:id="13"/>
      </w:r>
      <w:r>
        <w:rPr>
          <w:noProof/>
        </w:rPr>
        <w:t xml:space="preserve"> je od roku 2016 průměrná.</w:t>
      </w:r>
    </w:p>
    <w:p>
      <w:pPr>
        <w:autoSpaceDE w:val="0"/>
        <w:autoSpaceDN w:val="0"/>
        <w:spacing w:before="40" w:after="40"/>
        <w:rPr>
          <w:rFonts w:eastAsia="Times New Roman"/>
          <w:noProof/>
          <w:szCs w:val="20"/>
        </w:rPr>
      </w:pPr>
      <w:r>
        <w:rPr>
          <w:b/>
          <w:noProof/>
        </w:rPr>
        <w:t>Rozdělení současného Nejvyššího soudu na nejvyšší ústavní soud a vrchní soud čeká na schválení parlamentem</w:t>
      </w:r>
      <w:r>
        <w:rPr>
          <w:rFonts w:cs="Times New Roman"/>
          <w:b/>
          <w:bCs/>
          <w:noProof/>
          <w:vertAlign w:val="superscript"/>
        </w:rPr>
        <w:footnoteReference w:id="14"/>
      </w:r>
      <w:r>
        <w:rPr>
          <w:b/>
          <w:noProof/>
        </w:rPr>
        <w:t>.</w:t>
      </w:r>
      <w:r>
        <w:rPr>
          <w:b/>
          <w:bCs/>
          <w:noProof/>
        </w:rPr>
        <w:t xml:space="preserve"> </w:t>
      </w:r>
      <w:r>
        <w:rPr>
          <w:noProof/>
        </w:rPr>
        <w:t xml:space="preserve">Návrh právního předpisu byl parlamentu předložen na konci roku 2020 a byl zřízen </w:t>
      </w:r>
      <w:r>
        <w:rPr>
          <w:i/>
          <w:iCs/>
          <w:noProof/>
        </w:rPr>
        <w:t>ad hoc</w:t>
      </w:r>
      <w:r>
        <w:rPr>
          <w:noProof/>
        </w:rPr>
        <w:t xml:space="preserve"> výbor pověřený finalizací jeho znění</w:t>
      </w:r>
      <w:r>
        <w:rPr>
          <w:rFonts w:cs="Times New Roman"/>
          <w:noProof/>
          <w:vertAlign w:val="superscript"/>
        </w:rPr>
        <w:footnoteReference w:id="15"/>
      </w:r>
      <w:r>
        <w:rPr>
          <w:noProof/>
        </w:rPr>
        <w:t>. Tento návrh v současné době stanoví, že za jmenování soudců a předsedů těchto soudů bude odpovídat výlučně prezident republiky</w:t>
      </w:r>
      <w:r>
        <w:rPr>
          <w:rFonts w:eastAsia="Times New Roman" w:cs="Times New Roman"/>
          <w:noProof/>
          <w:szCs w:val="20"/>
          <w:vertAlign w:val="superscript"/>
          <w:lang w:eastAsia="fr-FR"/>
        </w:rPr>
        <w:footnoteReference w:id="16"/>
      </w:r>
      <w:r>
        <w:rPr>
          <w:noProof/>
        </w:rPr>
        <w:t>. Vznikla by poradní rada pro soudnictví</w:t>
      </w:r>
      <w:r>
        <w:rPr>
          <w:rFonts w:eastAsia="Times New Roman" w:cs="Times New Roman"/>
          <w:noProof/>
          <w:szCs w:val="20"/>
          <w:vertAlign w:val="superscript"/>
          <w:lang w:eastAsia="fr-FR"/>
        </w:rPr>
        <w:footnoteReference w:id="17"/>
      </w:r>
      <w:r>
        <w:rPr>
          <w:noProof/>
        </w:rPr>
        <w:t xml:space="preserve"> – nezávislá na Nejvyšší radě soudců –, která by byla pověřena přípravou seznamu nejvhodnějších kandidátů na jmenování, který by však pro prezidenta nebyl závazný</w:t>
      </w:r>
      <w:r>
        <w:rPr>
          <w:rFonts w:eastAsia="Times New Roman" w:cs="Times New Roman"/>
          <w:noProof/>
          <w:szCs w:val="20"/>
          <w:vertAlign w:val="superscript"/>
          <w:lang w:eastAsia="fr-FR"/>
        </w:rPr>
        <w:footnoteReference w:id="18"/>
      </w:r>
      <w:r>
        <w:rPr>
          <w:noProof/>
        </w:rPr>
        <w:t>. Je důležité, aby tato reforma zaručila nezávislost soudnictví v souladu s právem EU a při zohlednění doporučení Rady Evropy</w:t>
      </w:r>
      <w:r>
        <w:rPr>
          <w:rFonts w:cs="Times New Roman"/>
          <w:noProof/>
          <w:szCs w:val="24"/>
          <w:vertAlign w:val="superscript"/>
        </w:rPr>
        <w:footnoteReference w:id="19"/>
      </w:r>
      <w:r>
        <w:rPr>
          <w:noProof/>
        </w:rPr>
        <w:t xml:space="preserve">. Konzultace ohledně tohoto legislativního návrhu s Benátskou komisí by byla zárukou, že navrhovaná reforma splní svůj účel. Tento legislativní návrh dále upravuje zřízení odvolacího soudu, jehož soudce a předsedu by jmenovala Nejvyšší rada soudců. Po rozpuštění parlamentu dne 14. dubna 2021 s ohledem na parlamentní volby konané dne 30. května budou dosud neschválené návrhy zákonů projednány nově zvoleným parlamentem. </w:t>
      </w:r>
    </w:p>
    <w:p>
      <w:pPr>
        <w:autoSpaceDE w:val="0"/>
        <w:autoSpaceDN w:val="0"/>
        <w:spacing w:before="40" w:after="40"/>
        <w:rPr>
          <w:rFonts w:ascii="Calibri" w:eastAsia="Times New Roman" w:hAnsi="Calibri" w:cs="Calibri"/>
          <w:b/>
          <w:noProof/>
          <w:szCs w:val="24"/>
          <w:lang w:eastAsia="en-GB"/>
        </w:rPr>
      </w:pPr>
    </w:p>
    <w:p>
      <w:pPr>
        <w:rPr>
          <w:rFonts w:cs="Times New Roman"/>
          <w:noProof/>
        </w:rPr>
      </w:pPr>
      <w:r>
        <w:rPr>
          <w:b/>
          <w:bCs/>
          <w:noProof/>
        </w:rPr>
        <w:t>Probíhají reformy týkající se Nejvyšší rady soudců, aby lépe odrážela složky systému soudnictví.</w:t>
      </w:r>
      <w:r>
        <w:rPr>
          <w:noProof/>
        </w:rPr>
        <w:t xml:space="preserve"> V návrhu zákona vypracovaném v roce 2020 bylo navrženo rozšíření Nejvyšší rady soudců. Ta by se skládala ze členů Nejvyššího soudu, z předsedy a soudců vrchního soudu, z předsedy odvolacího soudu, ze služebně nejstaršího předsedy okresních soudů, z předsedy sdružení soudců, z nejvyššího státního zástupce a z předsedy Kyperské advokátní komory. Soudy se vyjádřily, že by upřednostnily takovou reformu, po níž by se Nejvyšší rada soudců skládala výlučně ze soudců</w:t>
      </w:r>
      <w:r>
        <w:rPr>
          <w:rFonts w:cs="Times New Roman"/>
          <w:noProof/>
          <w:vertAlign w:val="superscript"/>
        </w:rPr>
        <w:footnoteReference w:id="20"/>
      </w:r>
      <w:r>
        <w:rPr>
          <w:noProof/>
        </w:rPr>
        <w:t>. Tento návrh od konce roku 2020 čeká na schválení a před rozpuštěním parlamentu letos na jaře nebyl přijat</w:t>
      </w:r>
      <w:r>
        <w:rPr>
          <w:rFonts w:cs="Times New Roman"/>
          <w:noProof/>
          <w:vertAlign w:val="superscript"/>
        </w:rPr>
        <w:footnoteReference w:id="21"/>
      </w:r>
      <w:r>
        <w:rPr>
          <w:noProof/>
        </w:rPr>
        <w:t>. Je důležité, aby při této reformě byla zohledněna doporučení Rady Evropy</w:t>
      </w:r>
      <w:r>
        <w:rPr>
          <w:rFonts w:cs="Times New Roman"/>
          <w:noProof/>
          <w:vertAlign w:val="superscript"/>
        </w:rPr>
        <w:footnoteReference w:id="22"/>
      </w:r>
      <w:r>
        <w:rPr>
          <w:noProof/>
        </w:rPr>
        <w:t>.</w:t>
      </w:r>
    </w:p>
    <w:p>
      <w:pPr>
        <w:spacing w:after="0"/>
        <w:rPr>
          <w:rFonts w:eastAsia="Calibri" w:cs="Times New Roman"/>
          <w:noProof/>
          <w:szCs w:val="24"/>
        </w:rPr>
      </w:pPr>
      <w:r>
        <w:rPr>
          <w:rFonts w:eastAsia="Calibri" w:cs="Times New Roman"/>
          <w:b/>
          <w:noProof/>
          <w:szCs w:val="20"/>
        </w:rPr>
        <w:t>Je prováděn akční plán pro posílení právního úřadu republiky</w:t>
      </w:r>
      <w:r>
        <w:rPr>
          <w:rFonts w:eastAsia="Times New Roman" w:cs="Times New Roman"/>
          <w:b/>
          <w:noProof/>
          <w:szCs w:val="20"/>
          <w:vertAlign w:val="superscript"/>
          <w:lang w:eastAsia="fr-FR"/>
        </w:rPr>
        <w:footnoteReference w:id="23"/>
      </w:r>
      <w:r>
        <w:rPr>
          <w:rFonts w:eastAsia="Calibri" w:cs="Times New Roman"/>
          <w:b/>
          <w:noProof/>
          <w:szCs w:val="20"/>
        </w:rPr>
        <w:t xml:space="preserve"> a jsou plánovány právní předpisy k zajištění jeho rozpočtové nezávislosti. </w:t>
      </w:r>
      <w:r>
        <w:rPr>
          <w:rFonts w:eastAsia="Calibri" w:cs="Times New Roman"/>
          <w:noProof/>
        </w:rPr>
        <w:t>Reforma</w:t>
      </w:r>
      <w:r>
        <w:rPr>
          <w:rFonts w:eastAsia="Times New Roman" w:cs="Times New Roman"/>
          <w:noProof/>
          <w:szCs w:val="20"/>
          <w:vertAlign w:val="superscript"/>
          <w:lang w:eastAsia="fr-FR"/>
        </w:rPr>
        <w:footnoteReference w:id="24"/>
      </w:r>
      <w:r>
        <w:rPr>
          <w:rFonts w:eastAsia="Calibri" w:cs="Times New Roman"/>
          <w:noProof/>
        </w:rPr>
        <w:t xml:space="preserve"> mimo jiné zahrnuje restrukturalizaci a vytvoření samostatných, soběstačných ředitelství v rámci právního úřadu, aby bylo rozdělení dvou hlavních funkcí nejvyššího státního zástupce účinnější, dále zahrnuje vytvoření nových pracovních míst, racionalizaci postupů, rozdělení funkcí a postupy přijímání zaměstnanců. Nejvyšší státní zástupce a Ministerstvo financí stále projednávají návrh právního předpisu týkající se rozpočtové nezávislosti právního úřadu</w:t>
      </w:r>
      <w:r>
        <w:rPr>
          <w:rFonts w:eastAsia="Times New Roman" w:cs="Times New Roman"/>
          <w:noProof/>
          <w:szCs w:val="20"/>
          <w:vertAlign w:val="superscript"/>
          <w:lang w:eastAsia="fr-FR"/>
        </w:rPr>
        <w:footnoteReference w:id="25"/>
      </w:r>
      <w:r>
        <w:rPr>
          <w:rFonts w:eastAsia="Calibri" w:cs="Times New Roman"/>
          <w:noProof/>
        </w:rPr>
        <w:t>. V rámci přípravy na zamýšlenou reformu přijal právní úřad na konci roku 2020 významný počet nových právníků a řada z nich se zabývá trestními věcmi včetně případů korupce</w:t>
      </w:r>
      <w:r>
        <w:rPr>
          <w:rFonts w:eastAsia="Calibri" w:cs="Times New Roman"/>
          <w:noProof/>
          <w:szCs w:val="24"/>
          <w:vertAlign w:val="superscript"/>
        </w:rPr>
        <w:footnoteReference w:id="26"/>
      </w:r>
      <w:r>
        <w:rPr>
          <w:rFonts w:eastAsia="Calibri" w:cs="Times New Roman"/>
          <w:noProof/>
        </w:rPr>
        <w:t xml:space="preserve">. </w:t>
      </w:r>
    </w:p>
    <w:p>
      <w:pPr>
        <w:spacing w:after="0"/>
        <w:rPr>
          <w:rFonts w:eastAsia="Calibri" w:cs="Times New Roman"/>
          <w:noProof/>
          <w:szCs w:val="24"/>
        </w:rPr>
      </w:pPr>
    </w:p>
    <w:p>
      <w:pPr>
        <w:keepNext/>
        <w:outlineLvl w:val="1"/>
        <w:rPr>
          <w:rFonts w:eastAsia="Times New Roman" w:cs="Times New Roman"/>
          <w:b/>
          <w:noProof/>
          <w:szCs w:val="24"/>
          <w:lang w:eastAsia="en-GB"/>
        </w:rPr>
      </w:pPr>
      <w:r>
        <w:rPr>
          <w:rFonts w:eastAsia="Times New Roman" w:cs="Times New Roman"/>
          <w:b/>
          <w:noProof/>
          <w:szCs w:val="24"/>
          <w:lang w:eastAsia="en-GB"/>
        </w:rPr>
        <w:t xml:space="preserve">Kvalita </w:t>
      </w:r>
    </w:p>
    <w:p>
      <w:pPr>
        <w:rPr>
          <w:rFonts w:eastAsia="Times New Roman" w:cs="Times New Roman"/>
          <w:noProof/>
          <w:szCs w:val="20"/>
        </w:rPr>
      </w:pPr>
      <w:r>
        <w:rPr>
          <w:b/>
          <w:noProof/>
          <w:szCs w:val="20"/>
        </w:rPr>
        <w:t xml:space="preserve">Byla přijata opatření ke zlepšení digitalizace soudního systému, avšak v této oblasti přetrvávají vážné obavy. </w:t>
      </w:r>
      <w:r>
        <w:rPr>
          <w:noProof/>
        </w:rPr>
        <w:t>Široká veřejnost má o soudním systému k dispozici jen velmi omezené informace dostupné online</w:t>
      </w:r>
      <w:r>
        <w:rPr>
          <w:rFonts w:eastAsia="Times New Roman" w:cs="Times New Roman"/>
          <w:noProof/>
          <w:szCs w:val="20"/>
          <w:vertAlign w:val="superscript"/>
          <w:lang w:eastAsia="fr-FR"/>
        </w:rPr>
        <w:footnoteReference w:id="27"/>
      </w:r>
      <w:r>
        <w:rPr>
          <w:noProof/>
        </w:rPr>
        <w:t>. Kromě toho existuje jen málo digitálních řešení pro zahajování a sledování řízení v občanskoprávních/obchodních a správních věcech</w:t>
      </w:r>
      <w:r>
        <w:rPr>
          <w:rFonts w:eastAsia="Times New Roman" w:cs="Times New Roman"/>
          <w:noProof/>
          <w:szCs w:val="20"/>
          <w:vertAlign w:val="superscript"/>
          <w:lang w:eastAsia="fr-FR"/>
        </w:rPr>
        <w:footnoteReference w:id="28"/>
      </w:r>
      <w:r>
        <w:rPr>
          <w:noProof/>
        </w:rPr>
        <w:t>. Zavedení elektronického systému soudní správy je jedním z hlavních cílů probíhajících reforem</w:t>
      </w:r>
      <w:r>
        <w:rPr>
          <w:rFonts w:eastAsia="Times New Roman" w:cs="Times New Roman"/>
          <w:noProof/>
          <w:szCs w:val="20"/>
          <w:vertAlign w:val="superscript"/>
          <w:lang w:eastAsia="fr-FR"/>
        </w:rPr>
        <w:footnoteReference w:id="29"/>
      </w:r>
      <w:r>
        <w:rPr>
          <w:noProof/>
        </w:rPr>
        <w:t>. Realizace a příslušná zadávací řízení však mají od roku 2017 zpoždění. Mezitím byl ve všech civilních rejstřících a u Nejvyššího soudu připraven a v roce 2020 zprovozněn elektronický miniregistr k evidenci případů, který má umožnit účinnější vyřizování žádostí, dokud nebude plně zaveden systém e-justice</w:t>
      </w:r>
      <w:r>
        <w:rPr>
          <w:rFonts w:eastAsia="Times New Roman" w:cs="Times New Roman"/>
          <w:noProof/>
          <w:szCs w:val="20"/>
          <w:vertAlign w:val="superscript"/>
          <w:lang w:eastAsia="fr-FR"/>
        </w:rPr>
        <w:footnoteReference w:id="30"/>
      </w:r>
      <w:r>
        <w:rPr>
          <w:noProof/>
        </w:rPr>
        <w:t>. Pandemie COVID-19 zavádění registru urychlila.</w:t>
      </w:r>
    </w:p>
    <w:p>
      <w:pPr>
        <w:rPr>
          <w:rFonts w:cs="Times New Roman"/>
          <w:noProof/>
        </w:rPr>
      </w:pPr>
      <w:r>
        <w:rPr>
          <w:b/>
          <w:noProof/>
        </w:rPr>
        <w:t>Pokračoval vývoj informačních internetových stránek pro veřejnost týkajících se judikatury a právních předpisů.</w:t>
      </w:r>
      <w:r>
        <w:rPr>
          <w:noProof/>
        </w:rPr>
        <w:t xml:space="preserve"> Internetová stránka, kterou spravuje Kyperská advokátní komora, poskytuje veřejnosti otevřený a bezplatný přístup k řadě souborů údajů, jako je databáze judikatury a právních předpisů. Konkrétně poskytuje přístup k databázi kyperské judikatury, judikatury Nejvyššího soudu Kyperské republiky, judikatury Evropského soudu pro lidská práva a kyperských právních předpisů. Kyperským soudcům poskytuje přístup k vnitrostátním a zahraničním online databázím Nejvyšší soud, který nese související náklady</w:t>
      </w:r>
      <w:r>
        <w:rPr>
          <w:rFonts w:cs="Times New Roman"/>
          <w:noProof/>
          <w:vertAlign w:val="superscript"/>
        </w:rPr>
        <w:footnoteReference w:id="31"/>
      </w:r>
      <w:r>
        <w:rPr>
          <w:noProof/>
        </w:rPr>
        <w:t>.</w:t>
      </w:r>
    </w:p>
    <w:p>
      <w:pPr>
        <w:keepNext/>
        <w:outlineLvl w:val="1"/>
        <w:rPr>
          <w:rFonts w:eastAsia="Times New Roman" w:cs="Times New Roman"/>
          <w:b/>
          <w:noProof/>
          <w:szCs w:val="24"/>
          <w:lang w:eastAsia="en-GB"/>
        </w:rPr>
      </w:pPr>
      <w:r>
        <w:rPr>
          <w:rFonts w:eastAsia="Times New Roman" w:cs="Times New Roman"/>
          <w:b/>
          <w:noProof/>
          <w:szCs w:val="24"/>
          <w:lang w:eastAsia="en-GB"/>
        </w:rPr>
        <w:t>Účinnost</w:t>
      </w:r>
    </w:p>
    <w:p>
      <w:pPr>
        <w:rPr>
          <w:rFonts w:cs="Times New Roman"/>
          <w:noProof/>
          <w:szCs w:val="24"/>
        </w:rPr>
      </w:pPr>
      <w:r>
        <w:rPr>
          <w:b/>
          <w:noProof/>
          <w:szCs w:val="24"/>
        </w:rPr>
        <w:t>Systém soudnictví stále čelí vážným obavám ohledně své účinnosti</w:t>
      </w:r>
      <w:r>
        <w:rPr>
          <w:rFonts w:cs="Times New Roman"/>
          <w:b/>
          <w:noProof/>
          <w:szCs w:val="24"/>
          <w:vertAlign w:val="superscript"/>
        </w:rPr>
        <w:footnoteReference w:id="32"/>
      </w:r>
      <w:r>
        <w:rPr>
          <w:b/>
          <w:noProof/>
          <w:szCs w:val="24"/>
        </w:rPr>
        <w:t xml:space="preserve">. </w:t>
      </w:r>
      <w:r>
        <w:rPr>
          <w:noProof/>
        </w:rPr>
        <w:t>Čas potřebný k vyřešení občanskoprávních, obchodních a správních věcí u soudů prvního stupně (882 dní v roce 2019 oproti 737 dnům v roce 2018) stále patří k nejvyšším v EU</w:t>
      </w:r>
      <w:r>
        <w:rPr>
          <w:rFonts w:cs="Times New Roman"/>
          <w:noProof/>
          <w:szCs w:val="24"/>
          <w:vertAlign w:val="superscript"/>
        </w:rPr>
        <w:footnoteReference w:id="33"/>
      </w:r>
      <w:r>
        <w:rPr>
          <w:noProof/>
        </w:rPr>
        <w:t>. V oblasti správního soudnictví se v prvním stupni délka řízení prodloužila (495 dní v roce 2019 oproti 487 dnům v roce 2018)</w:t>
      </w:r>
      <w:r>
        <w:rPr>
          <w:rFonts w:cs="Times New Roman"/>
          <w:noProof/>
          <w:szCs w:val="24"/>
          <w:vertAlign w:val="superscript"/>
        </w:rPr>
        <w:footnoteReference w:id="34"/>
      </w:r>
      <w:r>
        <w:rPr>
          <w:noProof/>
        </w:rPr>
        <w:t xml:space="preserve"> a snížila se míra vyřešených případů (přibližně 170 % v roce 2019 oproti přibližně 219 % v roce 2018)</w:t>
      </w:r>
      <w:r>
        <w:rPr>
          <w:rFonts w:cs="Times New Roman"/>
          <w:noProof/>
          <w:szCs w:val="24"/>
          <w:vertAlign w:val="superscript"/>
        </w:rPr>
        <w:footnoteReference w:id="35"/>
      </w:r>
      <w:r>
        <w:rPr>
          <w:noProof/>
        </w:rPr>
        <w:t>. Od září 2020 probíhá na okresním soudu v Pafosu pilotní projekt zaměřený na snížení počtu nevyřízených případů. Po přijetí několika dodatečných soudců byla vytvořena pracovní skupina, která se zaměřuje zejména na řešení nevyřízených případů</w:t>
      </w:r>
      <w:r>
        <w:rPr>
          <w:rFonts w:cs="Times New Roman"/>
          <w:noProof/>
          <w:szCs w:val="24"/>
          <w:vertAlign w:val="superscript"/>
        </w:rPr>
        <w:footnoteReference w:id="36"/>
      </w:r>
      <w:r>
        <w:rPr>
          <w:noProof/>
        </w:rPr>
        <w:t>.</w:t>
      </w:r>
    </w:p>
    <w:p>
      <w:pPr>
        <w:rPr>
          <w:rFonts w:cs="Times New Roman"/>
          <w:noProof/>
        </w:rPr>
      </w:pPr>
      <w:r>
        <w:rPr>
          <w:b/>
          <w:noProof/>
          <w:szCs w:val="20"/>
        </w:rPr>
        <w:t>Provádění akčního plánu k řešení problémů spojených s účinností pokračuje, byť s jistým zpožděním</w:t>
      </w:r>
      <w:r>
        <w:rPr>
          <w:rFonts w:eastAsia="Times New Roman" w:cs="Times New Roman"/>
          <w:b/>
          <w:noProof/>
          <w:szCs w:val="20"/>
          <w:vertAlign w:val="superscript"/>
          <w:lang w:eastAsia="fr-FR"/>
        </w:rPr>
        <w:footnoteReference w:id="37"/>
      </w:r>
      <w:r>
        <w:rPr>
          <w:b/>
          <w:noProof/>
          <w:szCs w:val="20"/>
        </w:rPr>
        <w:t xml:space="preserve">. </w:t>
      </w:r>
      <w:r>
        <w:rPr>
          <w:noProof/>
        </w:rPr>
        <w:t>V tomto kontextu zajišťuje návrh zákona, který na konci roku 2020 vypracovalo Ministerstvo spravedlnosti a veřejného pořádku, rozšíření příslušnosti soudců okresních soudů a služebně starších soudců okresních soudů v občanskoprávních věcech, pokud jde o množství sporů, jež mohou rozhodnout, aby byla zajištěna větší flexibilita systému</w:t>
      </w:r>
      <w:r>
        <w:rPr>
          <w:rFonts w:cs="Times New Roman"/>
          <w:noProof/>
          <w:vertAlign w:val="superscript"/>
        </w:rPr>
        <w:footnoteReference w:id="38"/>
      </w:r>
      <w:r>
        <w:rPr>
          <w:noProof/>
        </w:rPr>
        <w:t>. Nadále je prováděno rozhodnutí Nejvyššího soudu z února 2019, kterým bylo řešení finančních sporů – soudní řízení týkající se úvěrů se selháním – přiděleno šesti soudcům okresního soudu, kteří již byli v aktivní službě</w:t>
      </w:r>
      <w:bookmarkStart w:id="2" w:name="_Hlk18567410"/>
      <w:r>
        <w:rPr>
          <w:rFonts w:cs="Times New Roman"/>
          <w:noProof/>
          <w:vertAlign w:val="superscript"/>
        </w:rPr>
        <w:footnoteReference w:id="39"/>
      </w:r>
      <w:r>
        <w:rPr>
          <w:noProof/>
        </w:rPr>
        <w:t>.</w:t>
      </w:r>
      <w:bookmarkEnd w:id="2"/>
    </w:p>
    <w:p>
      <w:pPr>
        <w:rPr>
          <w:rFonts w:cs="Times New Roman"/>
          <w:noProof/>
        </w:rPr>
      </w:pPr>
      <w:r>
        <w:rPr>
          <w:b/>
          <w:noProof/>
          <w:szCs w:val="24"/>
        </w:rPr>
        <w:t xml:space="preserve">Byla schválena nová pravidla občanskoprávního řízení. </w:t>
      </w:r>
      <w:r>
        <w:rPr>
          <w:noProof/>
        </w:rPr>
        <w:t>Dne 19. května 2021 schválil Nejvyšší soud nová pravidla občanskoprávního řízení, která nahradila zastaralý právní rámec platný od roku 1958</w:t>
      </w:r>
      <w:r>
        <w:rPr>
          <w:rFonts w:eastAsia="Times New Roman" w:cs="Times New Roman"/>
          <w:noProof/>
          <w:szCs w:val="24"/>
          <w:vertAlign w:val="superscript"/>
          <w:lang w:eastAsia="en-GB"/>
        </w:rPr>
        <w:footnoteReference w:id="40"/>
      </w:r>
      <w:r>
        <w:rPr>
          <w:noProof/>
        </w:rPr>
        <w:t>. Cílem těchto pravidel, která zatím nejsou uplatňována, je zrychlit soudní řízení a zvýšit celkovou účinnost občanskoprávního soudního řízení, mimo jiné pokud jde o výkon soudních rozhodnutí</w:t>
      </w:r>
      <w:r>
        <w:rPr>
          <w:rFonts w:cs="Times New Roman"/>
          <w:noProof/>
          <w:vertAlign w:val="superscript"/>
        </w:rPr>
        <w:footnoteReference w:id="41"/>
      </w:r>
      <w:r>
        <w:rPr>
          <w:noProof/>
        </w:rPr>
        <w:t>.</w:t>
      </w:r>
    </w:p>
    <w:p>
      <w:pPr>
        <w:keepNext/>
        <w:numPr>
          <w:ilvl w:val="0"/>
          <w:numId w:val="8"/>
        </w:numPr>
        <w:outlineLvl w:val="0"/>
        <w:rPr>
          <w:rFonts w:eastAsia="Times New Roman" w:cs="Times New Roman"/>
          <w:b/>
          <w:smallCaps/>
          <w:noProof/>
          <w:szCs w:val="24"/>
          <w:u w:val="single"/>
          <w:lang w:eastAsia="fr-FR"/>
        </w:rPr>
      </w:pPr>
      <w:r>
        <w:rPr>
          <w:rFonts w:eastAsia="Times New Roman" w:cs="Times New Roman"/>
          <w:b/>
          <w:smallCaps/>
          <w:noProof/>
          <w:szCs w:val="24"/>
          <w:u w:val="single"/>
          <w:lang w:eastAsia="fr-FR"/>
        </w:rPr>
        <w:t xml:space="preserve">Protikorupční rámec </w:t>
      </w:r>
    </w:p>
    <w:p>
      <w:pPr>
        <w:textAlignment w:val="baseline"/>
        <w:rPr>
          <w:rFonts w:eastAsia="Times New Roman" w:cs="Times New Roman"/>
          <w:bCs/>
          <w:noProof/>
          <w:szCs w:val="24"/>
          <w:lang w:eastAsia="en-IE"/>
        </w:rPr>
      </w:pPr>
      <w:r>
        <w:rPr>
          <w:rFonts w:eastAsia="Times New Roman" w:cs="Times New Roman"/>
          <w:noProof/>
          <w:szCs w:val="24"/>
          <w:lang w:eastAsia="en-IE"/>
        </w:rPr>
        <w:t xml:space="preserve">Byl přijat </w:t>
      </w:r>
      <w:r>
        <w:rPr>
          <w:rFonts w:eastAsia="Times New Roman" w:cs="Times New Roman"/>
          <w:noProof/>
          <w:szCs w:val="24"/>
          <w:shd w:val="clear" w:color="auto" w:fill="FFFFFF"/>
          <w:lang w:eastAsia="en-IE"/>
        </w:rPr>
        <w:t>nový akční plán</w:t>
      </w:r>
      <w:r>
        <w:rPr>
          <w:rFonts w:eastAsia="Times New Roman" w:cs="Times New Roman"/>
          <w:noProof/>
          <w:szCs w:val="24"/>
          <w:lang w:eastAsia="en-IE"/>
        </w:rPr>
        <w:t xml:space="preserve"> proti korupci na období 2021–2026 a úřad pro transparentnost a předcházení korupci je pověřen sledováním jeho provádění. </w:t>
      </w:r>
      <w:r>
        <w:rPr>
          <w:rFonts w:eastAsia="Times New Roman" w:cs="Times New Roman"/>
          <w:noProof/>
          <w:szCs w:val="24"/>
          <w:shd w:val="clear" w:color="auto" w:fill="FFFFFF"/>
          <w:lang w:eastAsia="en-IE"/>
        </w:rPr>
        <w:t xml:space="preserve">Nejvyšší státní zástupce má všeobecnou pravomoc stíhat trestné činy, včetně korupce. Státní zastupitelství poskytuje právní poradenství donucovacím orgánům vyšetřujícím trestné činy korupce. </w:t>
      </w:r>
      <w:r>
        <w:rPr>
          <w:rFonts w:eastAsia="Times New Roman" w:cs="Times New Roman"/>
          <w:noProof/>
          <w:szCs w:val="24"/>
          <w:lang w:eastAsia="en-IE"/>
        </w:rPr>
        <w:t xml:space="preserve">Byl jmenován </w:t>
      </w:r>
      <w:r>
        <w:rPr>
          <w:rFonts w:eastAsia="Times New Roman" w:cs="Times New Roman"/>
          <w:noProof/>
          <w:szCs w:val="24"/>
          <w:bdr w:val="none" w:sz="0" w:space="0" w:color="auto" w:frame="1"/>
          <w:lang w:eastAsia="en-IE"/>
        </w:rPr>
        <w:t>nový</w:t>
      </w:r>
      <w:r>
        <w:rPr>
          <w:rFonts w:eastAsia="Times New Roman" w:cs="Times New Roman"/>
          <w:noProof/>
          <w:szCs w:val="24"/>
          <w:lang w:eastAsia="en-IE"/>
        </w:rPr>
        <w:t xml:space="preserve"> nejvyšší státní zástupce a zároveň byli přijati noví zaměstnanci a proběhla reorganizace úřadu pro stíhání finančních trestných činů. </w:t>
      </w:r>
      <w:r>
        <w:rPr>
          <w:rFonts w:eastAsia="Times New Roman" w:cs="Times New Roman"/>
          <w:noProof/>
          <w:szCs w:val="24"/>
          <w:shd w:val="clear" w:color="auto" w:fill="FFFFFF"/>
          <w:lang w:eastAsia="en-IE"/>
        </w:rPr>
        <w:t xml:space="preserve">Nový návrh zákona o přístupu k veřejným informacím představuje zlepšení protikorupčního legislativního rámce. </w:t>
      </w:r>
    </w:p>
    <w:p>
      <w:pPr>
        <w:spacing w:line="259" w:lineRule="auto"/>
        <w:jc w:val="left"/>
        <w:rPr>
          <w:rFonts w:cs="Times New Roman"/>
          <w:noProof/>
          <w:szCs w:val="24"/>
        </w:rPr>
      </w:pPr>
      <w:r>
        <w:rPr>
          <w:b/>
          <w:noProof/>
          <w:szCs w:val="24"/>
        </w:rPr>
        <w:t>Odborníci a vedoucí pracovníci podniků vnímají míru korupce ve veřejném sektoru jako poměrně vysokou.</w:t>
      </w:r>
      <w:r>
        <w:rPr>
          <w:noProof/>
        </w:rPr>
        <w:t xml:space="preserve"> V indexu vnímání korupce za rok 2020 organizace Transparency International má dosáhl Kypr skóre 57/100 a řadí se na 12. místo v Evropské unii a 42. místo celosvětově</w:t>
      </w:r>
      <w:r>
        <w:rPr>
          <w:rFonts w:cs="Times New Roman"/>
          <w:bCs/>
          <w:noProof/>
          <w:szCs w:val="24"/>
          <w:vertAlign w:val="superscript"/>
        </w:rPr>
        <w:footnoteReference w:id="42"/>
      </w:r>
      <w:r>
        <w:rPr>
          <w:noProof/>
        </w:rPr>
        <w:t>. Toto vnímání se v uplynulých pěti letech</w:t>
      </w:r>
      <w:r>
        <w:rPr>
          <w:rFonts w:cs="Times New Roman"/>
          <w:noProof/>
          <w:szCs w:val="24"/>
          <w:vertAlign w:val="superscript"/>
        </w:rPr>
        <w:footnoteReference w:id="43"/>
      </w:r>
      <w:r>
        <w:rPr>
          <w:noProof/>
        </w:rPr>
        <w:t xml:space="preserve"> zhoršovalo</w:t>
      </w:r>
      <w:r>
        <w:rPr>
          <w:rFonts w:cs="Times New Roman"/>
          <w:noProof/>
          <w:szCs w:val="24"/>
          <w:vertAlign w:val="superscript"/>
          <w:lang w:val="en-IE"/>
        </w:rPr>
        <w:footnoteReference w:id="44"/>
      </w:r>
      <w:r>
        <w:rPr>
          <w:noProof/>
        </w:rPr>
        <w:t>.</w:t>
      </w:r>
    </w:p>
    <w:p>
      <w:pPr>
        <w:autoSpaceDE w:val="0"/>
        <w:autoSpaceDN w:val="0"/>
        <w:adjustRightInd w:val="0"/>
        <w:spacing w:after="0"/>
        <w:rPr>
          <w:rFonts w:cs="Times New Roman"/>
          <w:b/>
          <w:bCs/>
          <w:noProof/>
          <w:color w:val="000000"/>
          <w:szCs w:val="24"/>
        </w:rPr>
      </w:pPr>
      <w:r>
        <w:rPr>
          <w:b/>
          <w:noProof/>
          <w:szCs w:val="24"/>
        </w:rPr>
        <w:t xml:space="preserve">Byl proveden přezkum protikorupčního strategického rámce. </w:t>
      </w:r>
      <w:r>
        <w:rPr>
          <w:noProof/>
        </w:rPr>
        <w:t>V lednu 2021 přijali prezident republiky a ministr spravedlnosti a veřejného pořádku novou strategii proti korupci na období 2021–2026. Navrhovaná opatření se týkají transparentnosti, odpovědnosti a otázek korupce a jejich cílem je posílit stávající instituce a vytvořit nové záruky</w:t>
      </w:r>
      <w:r>
        <w:rPr>
          <w:rFonts w:cs="Times New Roman"/>
          <w:noProof/>
          <w:szCs w:val="24"/>
          <w:vertAlign w:val="superscript"/>
        </w:rPr>
        <w:footnoteReference w:id="45"/>
      </w:r>
      <w:r>
        <w:rPr>
          <w:noProof/>
        </w:rPr>
        <w:t>. Strategie má tři pilíře</w:t>
      </w:r>
      <w:r>
        <w:rPr>
          <w:rFonts w:cs="Times New Roman"/>
          <w:noProof/>
          <w:szCs w:val="24"/>
          <w:vertAlign w:val="superscript"/>
        </w:rPr>
        <w:footnoteReference w:id="46"/>
      </w:r>
      <w:r>
        <w:rPr>
          <w:noProof/>
        </w:rPr>
        <w:t xml:space="preserve"> rozdělené na konkrétní činnosti</w:t>
      </w:r>
      <w:r>
        <w:rPr>
          <w:rFonts w:cs="Times New Roman"/>
          <w:bCs/>
          <w:noProof/>
          <w:szCs w:val="24"/>
          <w:vertAlign w:val="superscript"/>
        </w:rPr>
        <w:footnoteReference w:id="47"/>
      </w:r>
      <w:r>
        <w:rPr>
          <w:noProof/>
        </w:rPr>
        <w:t xml:space="preserve">. </w:t>
      </w:r>
      <w:r>
        <w:rPr>
          <w:noProof/>
          <w:color w:val="000000"/>
          <w:szCs w:val="24"/>
        </w:rPr>
        <w:t>Úřad pro transparentnost a předcházení korupci (podléhající Ministerstvu spravedlnosti a veřejného pořádku) jmenoval dva úředníky pověřené interinstitucionální koordinací a provedením strategie. Každá veřejná instituce má kontaktní místo pro protikorupční strategii, které podává zprávy o pokroku dosaženém při provádění protikorupčních opatření v rámci své odpovědnosti. Úřad pro transparentnost a předcházení korupci informace o provádění strategie shromažďuje a centralizuje a výsledky zveřejňuje na online platformě</w:t>
      </w:r>
      <w:r>
        <w:rPr>
          <w:rFonts w:eastAsia="Times New Roman" w:cs="Times New Roman"/>
          <w:noProof/>
          <w:color w:val="000000"/>
          <w:szCs w:val="24"/>
          <w:vertAlign w:val="superscript"/>
          <w:lang w:eastAsia="en-GB"/>
        </w:rPr>
        <w:footnoteReference w:id="48"/>
      </w:r>
      <w:r>
        <w:rPr>
          <w:noProof/>
          <w:color w:val="000000"/>
          <w:szCs w:val="24"/>
        </w:rPr>
        <w:t xml:space="preserve">. </w:t>
      </w:r>
      <w:r>
        <w:rPr>
          <w:noProof/>
        </w:rPr>
        <w:t xml:space="preserve">Na konci roku 2020 rada ministrů rovněž zahájila národní program integrity na základě normy </w:t>
      </w:r>
      <w:r>
        <w:rPr>
          <w:noProof/>
          <w:szCs w:val="24"/>
          <w:shd w:val="clear" w:color="auto" w:fill="FFFFFF"/>
        </w:rPr>
        <w:t>Mezinárodní organizace pro normalizaci (ISO)</w:t>
      </w:r>
      <w:r>
        <w:rPr>
          <w:noProof/>
        </w:rPr>
        <w:t xml:space="preserve"> o </w:t>
      </w:r>
      <w:r>
        <w:rPr>
          <w:noProof/>
          <w:szCs w:val="24"/>
          <w:shd w:val="clear" w:color="auto" w:fill="FFFFFF"/>
        </w:rPr>
        <w:t>systémech řízení proti úplatkářství</w:t>
      </w:r>
      <w:r>
        <w:rPr>
          <w:noProof/>
        </w:rPr>
        <w:t>. Za dohled na tento program a jeho provádění odpovídá Ministerstvo spravedlnosti</w:t>
      </w:r>
      <w:r>
        <w:rPr>
          <w:rFonts w:eastAsia="Times New Roman" w:cs="Times New Roman"/>
          <w:noProof/>
          <w:szCs w:val="24"/>
          <w:vertAlign w:val="superscript"/>
          <w:lang w:eastAsia="en-GB"/>
        </w:rPr>
        <w:footnoteReference w:id="49"/>
      </w:r>
      <w:r>
        <w:rPr>
          <w:noProof/>
        </w:rPr>
        <w:t>.</w:t>
      </w:r>
    </w:p>
    <w:p>
      <w:pPr>
        <w:autoSpaceDE w:val="0"/>
        <w:autoSpaceDN w:val="0"/>
        <w:adjustRightInd w:val="0"/>
        <w:spacing w:after="0"/>
        <w:rPr>
          <w:rFonts w:cs="Times New Roman"/>
          <w:b/>
          <w:bCs/>
          <w:noProof/>
          <w:color w:val="000000"/>
          <w:szCs w:val="24"/>
        </w:rPr>
      </w:pPr>
    </w:p>
    <w:p>
      <w:pPr>
        <w:widowControl w:val="0"/>
        <w:autoSpaceDE w:val="0"/>
        <w:autoSpaceDN w:val="0"/>
        <w:adjustRightInd w:val="0"/>
        <w:spacing w:after="160"/>
        <w:rPr>
          <w:rFonts w:cs="Times New Roman"/>
          <w:bCs/>
          <w:noProof/>
          <w:szCs w:val="24"/>
        </w:rPr>
      </w:pPr>
      <w:r>
        <w:rPr>
          <w:b/>
          <w:noProof/>
          <w:szCs w:val="24"/>
        </w:rPr>
        <w:t xml:space="preserve">Zákon o přístupu k veřejným informacím byl schválen, avšak další protikorupční právní předpisy jsou stále projednávány v parlamentu. </w:t>
      </w:r>
      <w:r>
        <w:rPr>
          <w:noProof/>
        </w:rPr>
        <w:t>V prosinci 2020 vstoupil v platnost zákon o právu na přístup k informacím veřejného sektoru</w:t>
      </w:r>
      <w:r>
        <w:rPr>
          <w:rFonts w:cs="Times New Roman"/>
          <w:bCs/>
          <w:noProof/>
          <w:szCs w:val="24"/>
          <w:vertAlign w:val="superscript"/>
        </w:rPr>
        <w:footnoteReference w:id="50"/>
      </w:r>
      <w:r>
        <w:rPr>
          <w:noProof/>
        </w:rPr>
        <w:t xml:space="preserve">, </w:t>
      </w:r>
      <w:r>
        <w:rPr>
          <w:noProof/>
          <w:color w:val="212529"/>
          <w:szCs w:val="24"/>
          <w:shd w:val="clear" w:color="auto" w:fill="FFFFFF"/>
        </w:rPr>
        <w:t>který opravňuje soukromé a právnické osoby k přístupu k informacím od orgánu veřejné moci</w:t>
      </w:r>
      <w:r>
        <w:rPr>
          <w:noProof/>
        </w:rPr>
        <w:t>. Návrh zákona o zřízení nezávislého úřadu pro boj proti korupci a návrh zákona o lobbingu byly přijaty v prvním čtení v příslušném parlamentním výboru. Několik návrhů zákonů o majetkových přiznáních volených zástupců a státních úředníků je stále v parlamentním výboru pro instituce, zásluhy a komisaře pro správu</w:t>
      </w:r>
      <w:r>
        <w:rPr>
          <w:rFonts w:cs="Times New Roman"/>
          <w:noProof/>
          <w:szCs w:val="24"/>
          <w:vertAlign w:val="superscript"/>
        </w:rPr>
        <w:footnoteReference w:id="51"/>
      </w:r>
      <w:r>
        <w:rPr>
          <w:noProof/>
        </w:rPr>
        <w:t xml:space="preserve">. Chybí však informace o lhůtě pro konečné přijetí. </w:t>
      </w:r>
    </w:p>
    <w:p>
      <w:pPr>
        <w:autoSpaceDE w:val="0"/>
        <w:autoSpaceDN w:val="0"/>
        <w:adjustRightInd w:val="0"/>
        <w:spacing w:after="0"/>
        <w:rPr>
          <w:rFonts w:cs="Times New Roman"/>
          <w:noProof/>
          <w:color w:val="000000"/>
          <w:shd w:val="clear" w:color="auto" w:fill="FFFFFF"/>
        </w:rPr>
      </w:pPr>
      <w:r>
        <w:rPr>
          <w:b/>
          <w:bCs/>
          <w:noProof/>
          <w:color w:val="000000"/>
        </w:rPr>
        <w:t xml:space="preserve">Byla zvýšena sankce za trestný čin zneužití pravomoci veřejného činitele. </w:t>
      </w:r>
      <w:r>
        <w:rPr>
          <w:noProof/>
          <w:color w:val="000000"/>
        </w:rPr>
        <w:t>V březnu 2021 byla sankce za trestný čin zneužití pravomoci</w:t>
      </w:r>
      <w:r>
        <w:rPr>
          <w:rFonts w:cs="Times New Roman"/>
          <w:noProof/>
          <w:color w:val="000000"/>
          <w:vertAlign w:val="superscript"/>
        </w:rPr>
        <w:footnoteReference w:id="52"/>
      </w:r>
      <w:r>
        <w:rPr>
          <w:noProof/>
          <w:color w:val="000000"/>
        </w:rPr>
        <w:t xml:space="preserve"> veřejného činitele (ať už zvoleného, či jmenovaného) zvýšena ze tří na sedm let odnětí svobody</w:t>
      </w:r>
      <w:r>
        <w:rPr>
          <w:rFonts w:cs="Times New Roman"/>
          <w:noProof/>
          <w:color w:val="000000"/>
          <w:vertAlign w:val="superscript"/>
        </w:rPr>
        <w:footnoteReference w:id="53"/>
      </w:r>
      <w:r>
        <w:rPr>
          <w:noProof/>
          <w:color w:val="000000"/>
        </w:rPr>
        <w:t xml:space="preserve">. </w:t>
      </w:r>
    </w:p>
    <w:p>
      <w:pPr>
        <w:autoSpaceDE w:val="0"/>
        <w:autoSpaceDN w:val="0"/>
        <w:adjustRightInd w:val="0"/>
        <w:spacing w:after="0"/>
        <w:rPr>
          <w:rFonts w:cs="Times New Roman"/>
          <w:noProof/>
          <w:color w:val="000000"/>
          <w:szCs w:val="24"/>
          <w:shd w:val="clear" w:color="auto" w:fill="FFFFFF"/>
        </w:rPr>
      </w:pPr>
    </w:p>
    <w:p>
      <w:pPr>
        <w:widowControl w:val="0"/>
        <w:autoSpaceDE w:val="0"/>
        <w:autoSpaceDN w:val="0"/>
        <w:adjustRightInd w:val="0"/>
        <w:spacing w:after="160"/>
        <w:rPr>
          <w:rFonts w:cs="Times New Roman"/>
          <w:noProof/>
          <w:szCs w:val="24"/>
        </w:rPr>
      </w:pPr>
      <w:r>
        <w:rPr>
          <w:b/>
          <w:noProof/>
          <w:szCs w:val="24"/>
        </w:rPr>
        <w:t>Nejvyšší státní zastupitelství dále zlepšuje svou kapacitu.</w:t>
      </w:r>
      <w:r>
        <w:rPr>
          <w:noProof/>
        </w:rPr>
        <w:t xml:space="preserve"> Na konci června 2020 byl jmenován nový nejvyšší státní zástupce.</w:t>
      </w:r>
      <w:r>
        <w:rPr>
          <w:b/>
          <w:noProof/>
          <w:szCs w:val="24"/>
        </w:rPr>
        <w:t xml:space="preserve"> </w:t>
      </w:r>
      <w:r>
        <w:rPr>
          <w:noProof/>
        </w:rPr>
        <w:t>Úřad v poslední době přijal 24 právníků první úrovně pověřených stíháním finančních trestných činů včetně korupce a tři úředníci byli na nejvyšší státní zastupitelství přesunuti z personálního oddělení. Mezi lety 2013 a 2020 bylo vyšetřováno 149 případů korupce a ve 20 z nich bylo rozhodnuto (včetně pěti případů týkajících se vysoce postavených úředníků a politicky exponovaných osob)</w:t>
      </w:r>
      <w:r>
        <w:rPr>
          <w:rFonts w:cs="Times New Roman"/>
          <w:noProof/>
          <w:szCs w:val="24"/>
          <w:vertAlign w:val="superscript"/>
        </w:rPr>
        <w:footnoteReference w:id="54"/>
      </w:r>
      <w:r>
        <w:rPr>
          <w:noProof/>
        </w:rPr>
        <w:t>. V jedné zvlášť rizikové oblasti, regulované zákonem o boji proti manipulování sportovních soutěží</w:t>
      </w:r>
      <w:r>
        <w:rPr>
          <w:rFonts w:cs="Times New Roman"/>
          <w:noProof/>
          <w:szCs w:val="24"/>
          <w:bdr w:val="none" w:sz="0" w:space="0" w:color="auto" w:frame="1"/>
          <w:vertAlign w:val="superscript"/>
        </w:rPr>
        <w:footnoteReference w:id="55"/>
      </w:r>
      <w:r>
        <w:rPr>
          <w:noProof/>
        </w:rPr>
        <w:t>, bylo zahájeno několik vyšetřování korupce (12 případů v roce 2020 a tři případy v roce 2021) a střetů zájmů (dva případy v roce 2020 a jeden v roce 2021), ale dosud nebylo vydáno žádné rozhodnutí</w:t>
      </w:r>
      <w:r>
        <w:rPr>
          <w:rFonts w:cs="Times New Roman"/>
          <w:noProof/>
          <w:szCs w:val="24"/>
          <w:vertAlign w:val="superscript"/>
        </w:rPr>
        <w:footnoteReference w:id="56"/>
      </w:r>
      <w:r>
        <w:rPr>
          <w:noProof/>
        </w:rPr>
        <w:t>. V průběhu roku 2020 koordinoval nejvyšší státní zástupce setkání se sázkovým sdružením a policí ohledně provádění zákona o boji proti manipulování sportovních soutěží</w:t>
      </w:r>
      <w:r>
        <w:rPr>
          <w:rFonts w:cs="Times New Roman"/>
          <w:noProof/>
          <w:szCs w:val="24"/>
          <w:bdr w:val="none" w:sz="0" w:space="0" w:color="auto" w:frame="1"/>
          <w:vertAlign w:val="superscript"/>
        </w:rPr>
        <w:footnoteReference w:id="57"/>
      </w:r>
      <w:r>
        <w:rPr>
          <w:noProof/>
        </w:rPr>
        <w:t>.</w:t>
      </w:r>
    </w:p>
    <w:p>
      <w:pPr>
        <w:spacing w:after="0"/>
        <w:textAlignment w:val="baseline"/>
        <w:rPr>
          <w:rFonts w:eastAsia="Times New Roman" w:cs="Times New Roman"/>
          <w:noProof/>
          <w:bdr w:val="none" w:sz="0" w:space="0" w:color="auto" w:frame="1"/>
        </w:rPr>
      </w:pPr>
      <w:r>
        <w:rPr>
          <w:b/>
          <w:bCs/>
          <w:noProof/>
          <w:bdr w:val="none" w:sz="0" w:space="0" w:color="auto" w:frame="1"/>
        </w:rPr>
        <w:t xml:space="preserve">Vláda zřídila vyšetřovací komisi, aby prošetřila kyperský režim občanství pro investory. </w:t>
      </w:r>
      <w:r>
        <w:rPr>
          <w:noProof/>
          <w:bdr w:val="none" w:sz="0" w:space="0" w:color="auto" w:frame="1"/>
        </w:rPr>
        <w:t>V reakci na obvinění z korupce týkající se zahraničních fyzických osob a vysoce postavených úředníků (včetně možné účasti politicky exponovaných osob) nejvyšší státní zástupce na žádost rady ministrů dne 7. září 2020 jmenoval vyšetřovací komisi pověřenou prošetřením a prozkoumáním všech případů naturalizace podle kyperského režimu občanství pro investory v období 2007–2020. Komise údajně prozkoumala 6 779 případů naturalizace na základě investice</w:t>
      </w:r>
      <w:r>
        <w:rPr>
          <w:rFonts w:eastAsia="Times New Roman" w:cs="Times New Roman"/>
          <w:noProof/>
          <w:bdr w:val="none" w:sz="0" w:space="0" w:color="auto" w:frame="1"/>
          <w:vertAlign w:val="superscript"/>
          <w:lang w:eastAsia="en-IE"/>
        </w:rPr>
        <w:footnoteReference w:id="58"/>
      </w:r>
      <w:r>
        <w:rPr>
          <w:noProof/>
          <w:bdr w:val="none" w:sz="0" w:space="0" w:color="auto" w:frame="1"/>
        </w:rPr>
        <w:t>. Z předběžných závěrů komise, vydaných v dubnu 2021, vyplývá, že více než 53 % analyzovaných občanství bylo uděleno v rozporu se zákonem</w:t>
      </w:r>
      <w:r>
        <w:rPr>
          <w:rFonts w:eastAsia="Times New Roman" w:cs="Times New Roman"/>
          <w:noProof/>
          <w:bdr w:val="none" w:sz="0" w:space="0" w:color="auto" w:frame="1"/>
          <w:vertAlign w:val="superscript"/>
          <w:lang w:eastAsia="en-IE"/>
        </w:rPr>
        <w:footnoteReference w:id="59"/>
      </w:r>
      <w:r>
        <w:rPr>
          <w:noProof/>
          <w:bdr w:val="none" w:sz="0" w:space="0" w:color="auto" w:frame="1"/>
        </w:rPr>
        <w:t xml:space="preserve">. </w:t>
      </w:r>
      <w:r>
        <w:rPr>
          <w:bCs/>
          <w:noProof/>
          <w:bdr w:val="none" w:sz="0" w:space="0" w:color="auto" w:frame="1"/>
        </w:rPr>
        <w:t>V souvislosti s režimem občanství pro investory zahájila Evropská komise proti Kypru řízení o nesplnění povinnosti</w:t>
      </w:r>
      <w:r>
        <w:rPr>
          <w:rFonts w:eastAsia="Times New Roman" w:cs="Times New Roman"/>
          <w:bCs/>
          <w:noProof/>
          <w:bdr w:val="none" w:sz="0" w:space="0" w:color="auto" w:frame="1"/>
          <w:vertAlign w:val="superscript"/>
          <w:lang w:eastAsia="en-IE"/>
        </w:rPr>
        <w:footnoteReference w:id="60"/>
      </w:r>
      <w:r>
        <w:rPr>
          <w:bCs/>
          <w:noProof/>
          <w:bdr w:val="none" w:sz="0" w:space="0" w:color="auto" w:frame="1"/>
        </w:rPr>
        <w:t>.</w:t>
      </w:r>
      <w:r>
        <w:rPr>
          <w:noProof/>
          <w:bdr w:val="none" w:sz="0" w:space="0" w:color="auto" w:frame="1"/>
        </w:rPr>
        <w:t xml:space="preserve"> </w:t>
      </w:r>
    </w:p>
    <w:p>
      <w:pPr>
        <w:spacing w:after="0"/>
        <w:textAlignment w:val="baseline"/>
        <w:rPr>
          <w:rFonts w:eastAsia="Times New Roman" w:cs="Times New Roman"/>
          <w:noProof/>
          <w:bdr w:val="none" w:sz="0" w:space="0" w:color="auto" w:frame="1"/>
          <w:lang w:eastAsia="en-IE"/>
        </w:rPr>
      </w:pPr>
    </w:p>
    <w:p>
      <w:pPr>
        <w:spacing w:after="0"/>
        <w:textAlignment w:val="baseline"/>
        <w:rPr>
          <w:rFonts w:eastAsia="Times New Roman" w:cs="Times New Roman"/>
          <w:noProof/>
          <w:color w:val="000000"/>
          <w:szCs w:val="24"/>
          <w:bdr w:val="none" w:sz="0" w:space="0" w:color="auto" w:frame="1"/>
        </w:rPr>
      </w:pPr>
      <w:r>
        <w:rPr>
          <w:b/>
          <w:iCs/>
          <w:noProof/>
          <w:szCs w:val="24"/>
        </w:rPr>
        <w:t xml:space="preserve">Proběhla reorganizace úřadu pro stíhání finančních trestných činů. </w:t>
      </w:r>
      <w:r>
        <w:rPr>
          <w:noProof/>
        </w:rPr>
        <w:t>V roce 2020 byl úřad pro stíhání finančních trestných činů reorganizován a rozdělen na dvě oddělení: oddělení odpovědné za vyšetřování finančních trestných činů a podpůrné oddělení (jež svoji činnost zahájilo v únoru 2021) se dvěma policejními vyšetřovateli a čtyřmi forenzními účetními</w:t>
      </w:r>
      <w:r>
        <w:rPr>
          <w:rFonts w:eastAsia="Times New Roman" w:cs="Times New Roman"/>
          <w:iCs/>
          <w:noProof/>
          <w:szCs w:val="24"/>
          <w:vertAlign w:val="superscript"/>
          <w:lang w:eastAsia="en-IE"/>
        </w:rPr>
        <w:footnoteReference w:id="61"/>
      </w:r>
      <w:r>
        <w:rPr>
          <w:noProof/>
        </w:rPr>
        <w:t>. Podpůrné oddělení poskytuje podporu dalším oddělením formou finanční zpravodajské analýzy a náležitého prověření podezřelých osob. Úřad se však potýká s problémem s přilákáním a udržením kvalifikovaných pracovníků</w:t>
      </w:r>
      <w:r>
        <w:rPr>
          <w:rFonts w:eastAsia="Times New Roman" w:cs="Times New Roman"/>
          <w:iCs/>
          <w:noProof/>
          <w:szCs w:val="24"/>
          <w:vertAlign w:val="superscript"/>
          <w:lang w:eastAsia="en-IE"/>
        </w:rPr>
        <w:footnoteReference w:id="62"/>
      </w:r>
      <w:r>
        <w:rPr>
          <w:noProof/>
        </w:rPr>
        <w:t>. Některá vyšetřování finančních trestných činů se zpozdila kvůli pomalé reakci finančních institucí na soudní příkazy k zpřístupnění důkazů a v některých mezinárodních případech kvůli údajně pomalým reakcím zahraničních orgánů na žádosti o vzájemnou právní pomoc</w:t>
      </w:r>
      <w:r>
        <w:rPr>
          <w:rFonts w:eastAsia="Times New Roman" w:cs="Times New Roman"/>
          <w:bCs/>
          <w:iCs/>
          <w:noProof/>
          <w:szCs w:val="24"/>
          <w:vertAlign w:val="superscript"/>
          <w:lang w:eastAsia="en-IE"/>
        </w:rPr>
        <w:footnoteReference w:id="63"/>
      </w:r>
      <w:r>
        <w:rPr>
          <w:noProof/>
        </w:rPr>
        <w:t>. V roce 2020 došlo k jedné konfiskaci v souvislosti s trestným činem korupce spáchaným čtyřmi obžalovanými, včetně jednoho úředníka</w:t>
      </w:r>
      <w:r>
        <w:rPr>
          <w:rFonts w:eastAsia="Times New Roman" w:cs="Times New Roman"/>
          <w:iCs/>
          <w:noProof/>
          <w:szCs w:val="24"/>
          <w:vertAlign w:val="superscript"/>
          <w:lang w:eastAsia="en-IE"/>
        </w:rPr>
        <w:footnoteReference w:id="64"/>
      </w:r>
      <w:r>
        <w:rPr>
          <w:noProof/>
        </w:rPr>
        <w:t xml:space="preserve">. </w:t>
      </w:r>
    </w:p>
    <w:p>
      <w:pPr>
        <w:autoSpaceDE w:val="0"/>
        <w:autoSpaceDN w:val="0"/>
        <w:adjustRightInd w:val="0"/>
        <w:spacing w:after="0"/>
        <w:rPr>
          <w:rFonts w:cs="Times New Roman"/>
          <w:iCs/>
          <w:noProof/>
          <w:color w:val="000000"/>
          <w:szCs w:val="24"/>
        </w:rPr>
      </w:pPr>
    </w:p>
    <w:p>
      <w:pPr>
        <w:rPr>
          <w:rFonts w:cs="Times New Roman"/>
          <w:b/>
          <w:noProof/>
          <w:szCs w:val="24"/>
        </w:rPr>
      </w:pPr>
      <w:r>
        <w:rPr>
          <w:b/>
          <w:iCs/>
          <w:noProof/>
          <w:color w:val="000000"/>
          <w:szCs w:val="24"/>
        </w:rPr>
        <w:t xml:space="preserve">Byly zavedeny nové nástroje k posílení bezúhonnosti policie, včetně online platformy pro oznamování. </w:t>
      </w:r>
      <w:r>
        <w:rPr>
          <w:noProof/>
          <w:color w:val="000000"/>
          <w:szCs w:val="24"/>
        </w:rPr>
        <w:t>V roce 2020 spustil policejní útvar pro vnitřní záležitosti, který je pověřený vyšetřováním obvinění z korupce v rámci policie, online platformu pro oznamování. Od té doby obdržel 141 stížností</w:t>
      </w:r>
      <w:r>
        <w:rPr>
          <w:rFonts w:cs="Times New Roman"/>
          <w:iCs/>
          <w:noProof/>
          <w:color w:val="000000"/>
          <w:szCs w:val="24"/>
          <w:vertAlign w:val="superscript"/>
        </w:rPr>
        <w:footnoteReference w:id="65"/>
      </w:r>
      <w:r>
        <w:rPr>
          <w:noProof/>
          <w:color w:val="000000"/>
          <w:szCs w:val="24"/>
        </w:rPr>
        <w:t>:</w:t>
      </w:r>
      <w:r>
        <w:rPr>
          <w:iCs/>
          <w:noProof/>
          <w:color w:val="000000"/>
          <w:szCs w:val="24"/>
        </w:rPr>
        <w:t xml:space="preserve"> 36 stížností již bylo vyšetřeno (21 z nich bylo později zamítnuto). O rozhodnutích nejsou k dispozici žádné informace. Na začátku roku 2021</w:t>
      </w:r>
      <w:r>
        <w:rPr>
          <w:noProof/>
          <w:szCs w:val="24"/>
        </w:rPr>
        <w:t xml:space="preserve"> </w:t>
      </w:r>
      <w:r>
        <w:rPr>
          <w:noProof/>
          <w:color w:val="121314"/>
          <w:szCs w:val="24"/>
          <w:shd w:val="clear" w:color="auto" w:fill="FFFFFF"/>
        </w:rPr>
        <w:t>přijal policejní útvar pro vnitřní záležitosti policejní kodex chování zaměřený proti korupci (který je zakotvený ve stávajícím policejním kodexu chování)</w:t>
      </w:r>
      <w:r>
        <w:rPr>
          <w:rFonts w:cs="Times New Roman"/>
          <w:noProof/>
          <w:color w:val="121314"/>
          <w:szCs w:val="24"/>
          <w:shd w:val="clear" w:color="auto" w:fill="FFFFFF"/>
          <w:vertAlign w:val="superscript"/>
        </w:rPr>
        <w:footnoteReference w:id="66"/>
      </w:r>
      <w:r>
        <w:rPr>
          <w:noProof/>
          <w:color w:val="121314"/>
          <w:szCs w:val="24"/>
          <w:shd w:val="clear" w:color="auto" w:fill="FFFFFF"/>
        </w:rPr>
        <w:t xml:space="preserve"> a objasnil své pravomoci v komunitním informačním letáku. V případě podezření z korupce týkajícího se příslušníka policie může policejní útvar pro vnitřní záležitosti rozhodnout o podrobení podezřelé osoby</w:t>
      </w:r>
      <w:r>
        <w:rPr>
          <w:iCs/>
          <w:noProof/>
          <w:color w:val="000000"/>
          <w:szCs w:val="24"/>
        </w:rPr>
        <w:t xml:space="preserve"> „zkoušce bezúhonnosti“. Zatímco podezření z korupce jsou oznamována nejvyššímu státnímu zástupci, aspekty nasvědčující porušení disciplinárních ustanovení jsou zasílány řediteli policie pro případná nápravná opatření. Mezi lety 2018 a 2020 bylo nejvyššímu státnímu zastupitelství předáno 13 případů a v jednom případě bylo rozhodnuto (odsuzující rozsudek). V současné době probíhá vyšetřování 11 případů a jeden čeká na vyšetření na nejvyšším státním zastupitelství</w:t>
      </w:r>
      <w:r>
        <w:rPr>
          <w:rFonts w:cs="Times New Roman"/>
          <w:iCs/>
          <w:noProof/>
          <w:color w:val="000000"/>
          <w:szCs w:val="24"/>
          <w:vertAlign w:val="superscript"/>
        </w:rPr>
        <w:footnoteReference w:id="67"/>
      </w:r>
      <w:r>
        <w:rPr>
          <w:iCs/>
          <w:noProof/>
          <w:color w:val="000000"/>
          <w:szCs w:val="24"/>
        </w:rPr>
        <w:t>.</w:t>
      </w:r>
    </w:p>
    <w:p>
      <w:pPr>
        <w:spacing w:after="160"/>
        <w:rPr>
          <w:rFonts w:cs="Times New Roman"/>
          <w:noProof/>
          <w:szCs w:val="24"/>
        </w:rPr>
      </w:pPr>
      <w:r>
        <w:rPr>
          <w:b/>
          <w:noProof/>
          <w:szCs w:val="24"/>
        </w:rPr>
        <w:t>Byla přijata nová ustanovení týkající se střetu zájmů poslanců parlamentu.</w:t>
      </w:r>
      <w:r>
        <w:rPr>
          <w:noProof/>
        </w:rPr>
        <w:t xml:space="preserve"> V únoru 2021 přijala Sněmovna reprezentantů kodex chování pro své členy, který obsahuje ustanovení týkající se neslučitelnosti, majetkových přiznání, darů a lobbingu</w:t>
      </w:r>
      <w:r>
        <w:rPr>
          <w:rFonts w:cs="Times New Roman"/>
          <w:noProof/>
          <w:szCs w:val="24"/>
          <w:vertAlign w:val="superscript"/>
        </w:rPr>
        <w:footnoteReference w:id="68"/>
      </w:r>
      <w:r>
        <w:rPr>
          <w:noProof/>
        </w:rPr>
        <w:t>. Dodržování kodexu bude sledovat zvláštní parlamentní výbor. Pokud jde o ostatní úředníky, kromě stávajícího správního zákona</w:t>
      </w:r>
      <w:r>
        <w:rPr>
          <w:rFonts w:cs="Times New Roman"/>
          <w:noProof/>
          <w:szCs w:val="24"/>
          <w:vertAlign w:val="superscript"/>
        </w:rPr>
        <w:footnoteReference w:id="69"/>
      </w:r>
      <w:r>
        <w:rPr>
          <w:noProof/>
        </w:rPr>
        <w:t xml:space="preserve"> usiluje jeden probíhající projekt o navržení společného souboru zásad týkajících se střetů zájmů pro státní úředníky ze všech odvětví</w:t>
      </w:r>
      <w:r>
        <w:rPr>
          <w:rFonts w:cs="Times New Roman"/>
          <w:iCs/>
          <w:noProof/>
          <w:szCs w:val="24"/>
          <w:vertAlign w:val="superscript"/>
        </w:rPr>
        <w:footnoteReference w:id="70"/>
      </w:r>
      <w:r>
        <w:rPr>
          <w:noProof/>
        </w:rPr>
        <w:t>.</w:t>
      </w:r>
    </w:p>
    <w:p>
      <w:pPr>
        <w:spacing w:after="0"/>
        <w:textAlignment w:val="baseline"/>
        <w:rPr>
          <w:rFonts w:eastAsia="Times New Roman" w:cs="Times New Roman"/>
          <w:noProof/>
          <w:color w:val="000000"/>
          <w:szCs w:val="24"/>
        </w:rPr>
      </w:pPr>
      <w:r>
        <w:rPr>
          <w:b/>
          <w:noProof/>
          <w:szCs w:val="24"/>
        </w:rPr>
        <w:t>Nejsou k dispozici údaje o provádění rámce pro podávání majetkových přiznání.</w:t>
      </w:r>
      <w:r>
        <w:rPr>
          <w:noProof/>
        </w:rPr>
        <w:t xml:space="preserve"> Přestože jsou pravidla pro majetková přiznání zavedena, vyvstaly otázky ohledně přesnosti a ověřování těchto přiznání</w:t>
      </w:r>
      <w:r>
        <w:rPr>
          <w:rFonts w:eastAsia="Times New Roman" w:cs="Times New Roman"/>
          <w:noProof/>
          <w:color w:val="000000"/>
          <w:szCs w:val="24"/>
          <w:bdr w:val="none" w:sz="0" w:space="0" w:color="auto" w:frame="1"/>
          <w:vertAlign w:val="superscript"/>
          <w:lang w:eastAsia="en-IE"/>
        </w:rPr>
        <w:footnoteReference w:id="71"/>
      </w:r>
      <w:r>
        <w:rPr>
          <w:noProof/>
        </w:rPr>
        <w:t>. Kromě toho sice existují pravidla a sankce pro případ nesplnění povinností v souvislosti s majetkovými přiznáními, a to i pro vysoce postavené úředníky a politicky exponované osoby (jako jsou poslanci parlamentu nebo prezident republiky), jejich účinnost však není známá, jelikož nejsou k dispozici žádné informace o provádění systému majetkových přiznání.</w:t>
      </w:r>
      <w:r>
        <w:rPr>
          <w:noProof/>
          <w:color w:val="000000"/>
          <w:szCs w:val="24"/>
          <w:bdr w:val="none" w:sz="0" w:space="0" w:color="auto" w:frame="1"/>
        </w:rPr>
        <w:t xml:space="preserve"> Proto stále platí obavy vyjádřené v loňské zprávě. </w:t>
      </w:r>
    </w:p>
    <w:p>
      <w:pPr>
        <w:autoSpaceDE w:val="0"/>
        <w:autoSpaceDN w:val="0"/>
        <w:adjustRightInd w:val="0"/>
        <w:spacing w:after="0"/>
        <w:rPr>
          <w:rFonts w:cs="Times New Roman"/>
          <w:b/>
          <w:noProof/>
          <w:color w:val="000000"/>
          <w:szCs w:val="24"/>
          <w:bdr w:val="none" w:sz="0" w:space="0" w:color="auto" w:frame="1"/>
        </w:rPr>
      </w:pPr>
    </w:p>
    <w:p>
      <w:pPr>
        <w:autoSpaceDE w:val="0"/>
        <w:autoSpaceDN w:val="0"/>
        <w:adjustRightInd w:val="0"/>
        <w:spacing w:after="0"/>
        <w:rPr>
          <w:rFonts w:cs="Times New Roman"/>
          <w:noProof/>
          <w:color w:val="000000"/>
        </w:rPr>
      </w:pPr>
      <w:r>
        <w:rPr>
          <w:b/>
          <w:bCs/>
          <w:noProof/>
        </w:rPr>
        <w:t>Návrh zákona o „oznamování korupčního jednání“ čeká na schválení</w:t>
      </w:r>
      <w:r>
        <w:rPr>
          <w:rFonts w:cs="Times New Roman"/>
          <w:b/>
          <w:noProof/>
          <w:color w:val="000000"/>
          <w:vertAlign w:val="superscript"/>
        </w:rPr>
        <w:footnoteReference w:id="72"/>
      </w:r>
      <w:r>
        <w:rPr>
          <w:b/>
          <w:bCs/>
          <w:noProof/>
        </w:rPr>
        <w:t xml:space="preserve"> normotvůrce od května 2017.</w:t>
      </w:r>
      <w:r>
        <w:rPr>
          <w:noProof/>
          <w:color w:val="000000"/>
        </w:rPr>
        <w:t xml:space="preserve"> Tento zákon by zavedl nová ustanovení o ochraně osob oznamujících korupční jednání jak ve veřejném, tak v soukromém sektoru</w:t>
      </w:r>
      <w:r>
        <w:rPr>
          <w:rFonts w:cs="Times New Roman"/>
          <w:noProof/>
          <w:color w:val="000000"/>
          <w:vertAlign w:val="superscript"/>
        </w:rPr>
        <w:footnoteReference w:id="73"/>
      </w:r>
      <w:r>
        <w:rPr>
          <w:noProof/>
          <w:color w:val="000000"/>
        </w:rPr>
        <w:t>.</w:t>
      </w:r>
    </w:p>
    <w:p>
      <w:pPr>
        <w:autoSpaceDE w:val="0"/>
        <w:autoSpaceDN w:val="0"/>
        <w:adjustRightInd w:val="0"/>
        <w:spacing w:after="0"/>
        <w:rPr>
          <w:rFonts w:cs="Times New Roman"/>
          <w:iCs/>
          <w:noProof/>
          <w:color w:val="000000"/>
          <w:szCs w:val="24"/>
        </w:rPr>
      </w:pPr>
    </w:p>
    <w:p>
      <w:pPr>
        <w:spacing w:after="160"/>
        <w:rPr>
          <w:rFonts w:cs="Times New Roman"/>
          <w:noProof/>
          <w:sz w:val="22"/>
        </w:rPr>
      </w:pPr>
      <w:r>
        <w:rPr>
          <w:b/>
          <w:noProof/>
          <w:szCs w:val="24"/>
        </w:rPr>
        <w:t xml:space="preserve">Během pandemie COVID-19 byla přijata opatření k předcházení podvodům v režimech úlev. </w:t>
      </w:r>
      <w:r>
        <w:rPr>
          <w:noProof/>
        </w:rPr>
        <w:t>Ministerstvo práce a sociálních věcí spustilo kontrolní mechanismus spojený s databází služeb sociálního pojištění, který umožní automatické kontroly příjemců dotací v souvislosti s pandemií COVID-19 (také nazvaný „zvláštní režim“). V případě porušení kritérií způsobilosti pro „zvláštní režim“ Ministerstvo práce a sociálních věcí požadovalo vrácení příslušných dávek. Ve zdravotnictví patří mezi opatření zaměřená na řešení rizika korupce stanovení cenových stropů pro prostředky nezbytné k ochraně před onemocněním (například roušky nebo lékařské testy na COVID-19)</w:t>
      </w:r>
      <w:r>
        <w:rPr>
          <w:rFonts w:cs="Times New Roman"/>
          <w:bCs/>
          <w:noProof/>
          <w:szCs w:val="24"/>
          <w:vertAlign w:val="superscript"/>
        </w:rPr>
        <w:footnoteReference w:id="74"/>
      </w:r>
      <w:r>
        <w:rPr>
          <w:noProof/>
        </w:rPr>
        <w:t>.</w:t>
      </w:r>
    </w:p>
    <w:p>
      <w:pPr>
        <w:keepNext/>
        <w:numPr>
          <w:ilvl w:val="0"/>
          <w:numId w:val="8"/>
        </w:numPr>
        <w:outlineLvl w:val="0"/>
        <w:rPr>
          <w:rFonts w:eastAsia="Times New Roman" w:cs="Times New Roman"/>
          <w:b/>
          <w:smallCaps/>
          <w:noProof/>
          <w:szCs w:val="24"/>
          <w:u w:val="single"/>
          <w:lang w:eastAsia="fr-FR"/>
        </w:rPr>
      </w:pPr>
      <w:r>
        <w:rPr>
          <w:rFonts w:eastAsia="Times New Roman" w:cs="Times New Roman"/>
          <w:b/>
          <w:smallCaps/>
          <w:noProof/>
          <w:szCs w:val="24"/>
          <w:u w:val="single"/>
          <w:lang w:eastAsia="fr-FR"/>
        </w:rPr>
        <w:t>Pluralita a svoboda sdělovacích prostředků</w:t>
      </w:r>
    </w:p>
    <w:p>
      <w:pPr>
        <w:rPr>
          <w:noProof/>
        </w:rPr>
      </w:pPr>
      <w:r>
        <w:rPr>
          <w:noProof/>
        </w:rPr>
        <w:t>Právní a formální ochrana svobody projevu a práva na přístup k informacím je na Kypru zaručena článkem 19 Ústavy Kyperské republiky. Sekundární právní předpisy výslovně zajišťují ochranu novinářských zdrojů a podporují pluralitu sdělovacích prostředků v odvětví rozhlasového a televizního vysílání. Zákon o právu na přístup k informacím veřejného sektoru (2017) vstoupil v platnost po několika odkladech v prosinci 2020 a jeho cílem je zakotvit toto právo v sekundárním právu</w:t>
      </w:r>
      <w:r>
        <w:rPr>
          <w:noProof/>
          <w:vertAlign w:val="superscript"/>
        </w:rPr>
        <w:footnoteReference w:id="75"/>
      </w:r>
      <w:r>
        <w:rPr>
          <w:noProof/>
        </w:rPr>
        <w:t>. Tento zákon stanovil rámec a podmínky pro přístup veřejnosti k informacím od orgánů veřejné moci a zřídil úřad komisaře pro informace. Dva samostatné návrhy zákonů, které mají být přijaty v druhé polovině roku 2021, by měly sladit kyperské právní předpisy se směrnicí o audiovizuálních mediálních službách a podpořit svobodu tisku</w:t>
      </w:r>
      <w:r>
        <w:rPr>
          <w:rFonts w:eastAsia="Times New Roman" w:cs="Times New Roman"/>
          <w:noProof/>
          <w:vertAlign w:val="superscript"/>
          <w:lang w:eastAsia="en-GB"/>
        </w:rPr>
        <w:footnoteReference w:id="76"/>
      </w:r>
      <w:r>
        <w:rPr>
          <w:noProof/>
        </w:rPr>
        <w:t>. Kypr rozdělil státní dotaci, kterou tvořily především příjmy z reklamy vyplacené sdělovacím prostředkům, aby veřejnost informovaly o pandemii COVID-19.</w:t>
      </w:r>
    </w:p>
    <w:p>
      <w:pPr>
        <w:rPr>
          <w:noProof/>
        </w:rPr>
      </w:pPr>
      <w:r>
        <w:rPr>
          <w:b/>
          <w:bCs/>
          <w:noProof/>
        </w:rPr>
        <w:t>Byly předloženy pozměňovací návrhy</w:t>
      </w:r>
      <w:r>
        <w:rPr>
          <w:b/>
          <w:bCs/>
          <w:noProof/>
          <w:vertAlign w:val="superscript"/>
        </w:rPr>
        <w:footnoteReference w:id="77"/>
      </w:r>
      <w:r>
        <w:rPr>
          <w:b/>
          <w:bCs/>
          <w:noProof/>
        </w:rPr>
        <w:t xml:space="preserve"> za účelem posílení nezávislosti regulačního orgánu pro audiovizuální mediální služby, kyperského orgánu pro rozhlasové a televizní vysílání. </w:t>
      </w:r>
      <w:r>
        <w:rPr>
          <w:noProof/>
        </w:rPr>
        <w:t>Parlamentu byly předloženy změny zákona o provozovatelích rozhlasového a televizního vysílání 7(I)/1998, které výslovně stanoví funkční a faktickou nezávislost orgánu a sladí zákon se směrnicí o audiovizuálních mediálních službách</w:t>
      </w:r>
      <w:r>
        <w:rPr>
          <w:noProof/>
          <w:vertAlign w:val="superscript"/>
        </w:rPr>
        <w:footnoteReference w:id="78"/>
      </w:r>
      <w:r>
        <w:rPr>
          <w:noProof/>
        </w:rPr>
        <w:t>. Kromě toho jsou kritéria pro výběr členů správní rady kyperského orgánu pro rozhlasové a televizní vysílání v souladu s kyperským kodexem veřejné správy, který zavedla rada ministrů ve svém rozhodnutí č. 87/869, a tudíž zajišťují, aby členové správní rady měli vysokou úroveň odborné kvalifikace</w:t>
      </w:r>
      <w:r>
        <w:rPr>
          <w:noProof/>
          <w:vertAlign w:val="superscript"/>
        </w:rPr>
        <w:footnoteReference w:id="79"/>
      </w:r>
      <w:r>
        <w:rPr>
          <w:noProof/>
        </w:rPr>
        <w:t>.</w:t>
      </w:r>
    </w:p>
    <w:p>
      <w:pPr>
        <w:rPr>
          <w:noProof/>
        </w:rPr>
      </w:pPr>
      <w:r>
        <w:rPr>
          <w:b/>
          <w:bCs/>
          <w:noProof/>
        </w:rPr>
        <w:t>Kyperská nezávislá tisková rada, komise pro stížnosti související se sdělovacími prostředky, má 13 členů a odpovídá za samoregulaci tištěných i elektronických zpravodajských médií.</w:t>
      </w:r>
      <w:r>
        <w:rPr>
          <w:noProof/>
        </w:rPr>
        <w:t xml:space="preserve"> Pokud bude přijat návrh zákona o zajištění svobody tisku a činnosti sdělovacích prostředků</w:t>
      </w:r>
      <w:r>
        <w:rPr>
          <w:noProof/>
          <w:vertAlign w:val="superscript"/>
        </w:rPr>
        <w:footnoteReference w:id="80"/>
      </w:r>
      <w:r>
        <w:rPr>
          <w:noProof/>
        </w:rPr>
        <w:t>, zakotví komisi pro stížnosti v právu</w:t>
      </w:r>
      <w:r>
        <w:rPr>
          <w:noProof/>
          <w:vertAlign w:val="superscript"/>
        </w:rPr>
        <w:footnoteReference w:id="81"/>
      </w:r>
      <w:r>
        <w:rPr>
          <w:noProof/>
        </w:rPr>
        <w:t>. Zatímco je komise pro stížnosti zcela nezávislá na vládě a dohledu soudů, zpráva nástroje pro sledování plurality sdělovacích prostředků upozorňuje na to, že pandemie COVID-19 a související propouštění jen zhoršily dlouhodobé problémy, kvůli čemuž je činnost komise zaměřena převážně na zajištění zaměstnanosti a platů a méně na vydavatelskou nezávislost</w:t>
      </w:r>
      <w:r>
        <w:rPr>
          <w:noProof/>
          <w:vertAlign w:val="superscript"/>
        </w:rPr>
        <w:footnoteReference w:id="82"/>
      </w:r>
      <w:r>
        <w:rPr>
          <w:noProof/>
        </w:rPr>
        <w:t>.</w:t>
      </w:r>
    </w:p>
    <w:p>
      <w:pPr>
        <w:rPr>
          <w:noProof/>
        </w:rPr>
      </w:pPr>
      <w:r>
        <w:rPr>
          <w:b/>
          <w:bCs/>
          <w:noProof/>
        </w:rPr>
        <w:t xml:space="preserve">Předpokládá se, že regulační rámec Kypru, který již nyní umožňuje určitou míru transparentnosti vlastnictví audiovizuálních sdělovacích prostředků, bude posílen. </w:t>
      </w:r>
      <w:r>
        <w:rPr>
          <w:noProof/>
        </w:rPr>
        <w:t>Zpráva nástroje pro sledování plurality sdělovacích prostředků pro rok 2021 připomíná již vyjádřené obavy a potvrzuje úroveň rizika zdůrazněnou ve zprávě pro rok 2020, pokud jde o účinné provádění stávajících ustanovení a neexistenci rámce, který by zaručoval transparentnost vlastnictví v odvětví tisku a digitálních médií, což ztěžuje identifikaci a ověřování konečných majitelů nebo křížového vlastnictví v těchto odvětvích. Cílem návrhu zákona, který je nyní projednáván, je řešit tyto nedostatky</w:t>
      </w:r>
      <w:r>
        <w:rPr>
          <w:noProof/>
          <w:vertAlign w:val="superscript"/>
        </w:rPr>
        <w:footnoteReference w:id="83"/>
      </w:r>
      <w:r>
        <w:rPr>
          <w:noProof/>
        </w:rPr>
        <w:t xml:space="preserve"> uložením povinnosti všem sdělovacím prostředkům zveřejňovat své ověřené účty, jež obsahují informace o jejich skutečných vlastnících</w:t>
      </w:r>
      <w:r>
        <w:rPr>
          <w:noProof/>
          <w:vertAlign w:val="superscript"/>
        </w:rPr>
        <w:footnoteReference w:id="84"/>
      </w:r>
      <w:r>
        <w:rPr>
          <w:noProof/>
        </w:rPr>
        <w:t xml:space="preserve">. </w:t>
      </w:r>
    </w:p>
    <w:p>
      <w:pPr>
        <w:rPr>
          <w:noProof/>
        </w:rPr>
      </w:pPr>
      <w:r>
        <w:rPr>
          <w:b/>
          <w:bCs/>
          <w:noProof/>
        </w:rPr>
        <w:t>Nadále jsou uplatňovány mechanismy na ochranu politické nezávislosti sdělovacích prostředků a k předcházení střetům zájmů.</w:t>
      </w:r>
      <w:r>
        <w:rPr>
          <w:noProof/>
        </w:rPr>
        <w:t xml:space="preserve"> Přestože stále neexistuje žádný rámec, který by reguloval státní reklamu, byla poskytnuta státní dotace ve výši 700 000 EUR, kterou tvořily především příjmy z reklamy vyplacené sdělovacím prostředkům, aby veřejnost informovaly o pandemii COVID-19. Podle zprávy nástroje pro sledování plurality sdělovacích prostředků pro rok 2021 jsou poskytované dotace rozmanitější než v dřívějších režimech a vedly k prudkému snížení rizikového faktoru souvisejícího s ukazatelem státní regulace prostředků</w:t>
      </w:r>
      <w:r>
        <w:rPr>
          <w:noProof/>
          <w:vertAlign w:val="superscript"/>
        </w:rPr>
        <w:footnoteReference w:id="85"/>
      </w:r>
      <w:r>
        <w:rPr>
          <w:noProof/>
        </w:rPr>
        <w:t>. Ze zprávy vyplývá, že došlo k celkovému snížení rizika v oblasti politické nezávislosti (z 59 % na 55 %), ačkoli redakční nezávislost je stále ohrožena a vystavena vysokému riziku kvůli vlastníkům sdělovacích prostředků, kteří sledují své politické zájmy, což má za následek jistou míru autocenzury redakčních pracovníků</w:t>
      </w:r>
      <w:r>
        <w:rPr>
          <w:noProof/>
          <w:vertAlign w:val="superscript"/>
        </w:rPr>
        <w:footnoteReference w:id="86"/>
      </w:r>
      <w:r>
        <w:rPr>
          <w:noProof/>
        </w:rPr>
        <w:t>. V současné době probíhá příprava podrobného mechanismu regulace vyplácení příjmů z reklamy na státní propagační kampaně mimo pandemii COVID-19</w:t>
      </w:r>
      <w:r>
        <w:rPr>
          <w:noProof/>
          <w:vertAlign w:val="superscript"/>
        </w:rPr>
        <w:footnoteReference w:id="87"/>
      </w:r>
      <w:r>
        <w:rPr>
          <w:noProof/>
        </w:rPr>
        <w:t>.</w:t>
      </w:r>
    </w:p>
    <w:p>
      <w:pPr>
        <w:rPr>
          <w:noProof/>
        </w:rPr>
      </w:pPr>
      <w:r>
        <w:rPr>
          <w:b/>
          <w:bCs/>
          <w:noProof/>
        </w:rPr>
        <w:t>Zatímco přímé hrozby jsou vzácné, byl hlášen jeden případ obtěžování na internetu a sledování novináře.</w:t>
      </w:r>
      <w:r>
        <w:rPr>
          <w:noProof/>
        </w:rPr>
        <w:t xml:space="preserve"> Jsou zavedeny regulační záruky na ochranu novinářských zdrojů. Předpokládá se, že přijetí návrhu zákona o zajištění svobody tisku a činnosti sdělovacích prostředků povede k posílení záruk svobody projevu online i offline</w:t>
      </w:r>
      <w:r>
        <w:rPr>
          <w:noProof/>
          <w:vertAlign w:val="superscript"/>
        </w:rPr>
        <w:footnoteReference w:id="88"/>
      </w:r>
      <w:r>
        <w:rPr>
          <w:noProof/>
        </w:rPr>
        <w:t>. Zúčastněné subjekty vyjádřily obavy ohledně pronásledování, kybernetického útoku na investigativního novináře a jeho vážné obtěžování v digitálním prostředí</w:t>
      </w:r>
      <w:r>
        <w:rPr>
          <w:noProof/>
          <w:vertAlign w:val="superscript"/>
        </w:rPr>
        <w:footnoteReference w:id="89"/>
      </w:r>
      <w:r>
        <w:rPr>
          <w:noProof/>
        </w:rPr>
        <w:t>, a to zejména na sociálních sítích</w:t>
      </w:r>
      <w:r>
        <w:rPr>
          <w:noProof/>
          <w:vertAlign w:val="superscript"/>
        </w:rPr>
        <w:footnoteReference w:id="90"/>
      </w:r>
      <w:r>
        <w:rPr>
          <w:noProof/>
        </w:rPr>
        <w:t xml:space="preserve">. Platforma Rady Evropy na podporu ochrany žurnalistiky a bezpečnosti novinářů nevydala od zprávy o právním státu pro rok 2020 žádné výstrahy týkající se Kyperské republiky. </w:t>
      </w:r>
    </w:p>
    <w:p>
      <w:pPr>
        <w:keepNext/>
        <w:numPr>
          <w:ilvl w:val="0"/>
          <w:numId w:val="8"/>
        </w:numPr>
        <w:outlineLvl w:val="0"/>
        <w:rPr>
          <w:rFonts w:eastAsia="Times New Roman" w:cs="Times New Roman"/>
          <w:b/>
          <w:smallCaps/>
          <w:noProof/>
          <w:szCs w:val="24"/>
          <w:u w:val="single"/>
          <w:lang w:eastAsia="fr-FR"/>
        </w:rPr>
      </w:pPr>
      <w:r>
        <w:rPr>
          <w:rFonts w:eastAsia="Times New Roman" w:cs="Times New Roman"/>
          <w:b/>
          <w:smallCaps/>
          <w:noProof/>
          <w:szCs w:val="24"/>
          <w:u w:val="single"/>
          <w:lang w:eastAsia="fr-FR"/>
        </w:rPr>
        <w:t>Další institucionální otázky týkající se systému brzd a protivah</w:t>
      </w:r>
    </w:p>
    <w:p>
      <w:pPr>
        <w:rPr>
          <w:rFonts w:eastAsia="Times New Roman" w:cs="Times New Roman"/>
          <w:noProof/>
          <w:szCs w:val="20"/>
        </w:rPr>
      </w:pPr>
      <w:r>
        <w:rPr>
          <w:noProof/>
        </w:rPr>
        <w:t>Kyperská republika je prezidentskou zastupitelskou republikou. Prezident Kypru je hlavou státu i předsedou vlády. Sněmovna reprezentantů je parlamentem a má legislativní pravomoc. Jak poslanci, tak ministři mají právo legislativního podnětu. Nejvyšší soud má pravomoc posuzovat ústavnost zákonů v souvislosti s konkrétními případy, které mu jsou předloženy</w:t>
      </w:r>
      <w:r>
        <w:rPr>
          <w:rFonts w:eastAsia="Times New Roman" w:cs="Times New Roman"/>
          <w:noProof/>
          <w:szCs w:val="20"/>
          <w:vertAlign w:val="superscript"/>
          <w:lang w:eastAsia="fr-FR"/>
        </w:rPr>
        <w:footnoteReference w:id="91"/>
      </w:r>
      <w:r>
        <w:rPr>
          <w:noProof/>
        </w:rPr>
        <w:t>. Ochraně a zaručení lidských práv se věnuje řada vnitrostátních nezávislých orgánů, organizací a institucí.</w:t>
      </w:r>
    </w:p>
    <w:p>
      <w:pPr>
        <w:rPr>
          <w:rFonts w:eastAsia="Times New Roman" w:cs="Times New Roman"/>
          <w:b/>
          <w:noProof/>
          <w:szCs w:val="20"/>
        </w:rPr>
      </w:pPr>
      <w:r>
        <w:rPr>
          <w:b/>
          <w:noProof/>
        </w:rPr>
        <w:t>Navzdory opatřením přijatým ke zlepšení zapojení zúčastněných subjektů veřejné konzultace neprobíhají vždy v rané fázi navrhování a přípravy politik.</w:t>
      </w:r>
      <w:r>
        <w:rPr>
          <w:noProof/>
        </w:rPr>
        <w:t xml:space="preserve"> Navzdory závazku přijatému v rámci projektu zlepšování právní úpravy a příslušným oběžníkům ministerstva financí a právního úřadu republiky</w:t>
      </w:r>
      <w:r>
        <w:rPr>
          <w:rFonts w:eastAsia="Times New Roman" w:cs="Times New Roman"/>
          <w:noProof/>
          <w:szCs w:val="20"/>
          <w:vertAlign w:val="superscript"/>
          <w:lang w:eastAsia="fr-FR"/>
        </w:rPr>
        <w:footnoteReference w:id="92"/>
      </w:r>
      <w:r>
        <w:rPr>
          <w:noProof/>
        </w:rPr>
        <w:t xml:space="preserve"> dochází k veřejným konzultacím ohledně právních předpisů málokdy</w:t>
      </w:r>
      <w:r>
        <w:rPr>
          <w:rFonts w:eastAsia="Times New Roman" w:cs="Times New Roman"/>
          <w:noProof/>
          <w:szCs w:val="20"/>
          <w:vertAlign w:val="superscript"/>
          <w:lang w:eastAsia="fr-FR"/>
        </w:rPr>
        <w:footnoteReference w:id="93"/>
      </w:r>
      <w:r>
        <w:rPr>
          <w:noProof/>
        </w:rPr>
        <w:t>. Namísto toho není proces konzultací o návrzích právních předpisů snadno přístupný pro veřejnost a je omezen na diskuse ve Sněmovně reprezentantů. V této fázi jsou návrhy právních předpisů sdíleny s předem určenými zúčastněnými subjekty</w:t>
      </w:r>
      <w:r>
        <w:rPr>
          <w:rFonts w:eastAsia="Times New Roman" w:cs="Times New Roman"/>
          <w:noProof/>
          <w:szCs w:val="20"/>
          <w:vertAlign w:val="superscript"/>
          <w:lang w:eastAsia="fr-FR"/>
        </w:rPr>
        <w:footnoteReference w:id="94"/>
      </w:r>
      <w:r>
        <w:rPr>
          <w:noProof/>
        </w:rPr>
        <w:t xml:space="preserve"> prostřednictvím běžného distribučního seznamu Ministerstva spravedlnosti, aby tyto subjekty mohly vyjádřit svá stanoviska nebo se zapojit do diskusí v příslušných stálých parlamentních výborech</w:t>
      </w:r>
      <w:r>
        <w:rPr>
          <w:rFonts w:eastAsia="Times New Roman" w:cs="Times New Roman"/>
          <w:noProof/>
          <w:szCs w:val="20"/>
          <w:vertAlign w:val="superscript"/>
          <w:lang w:eastAsia="fr-FR"/>
        </w:rPr>
        <w:footnoteReference w:id="95"/>
      </w:r>
      <w:r>
        <w:rPr>
          <w:noProof/>
        </w:rPr>
        <w:t>. Nejvyšší státní zástupce pokračuje předběžným přezkumem návrhu právního předpisu zaměřeným na dodržení zásad zákonnosti a přiměřenosti</w:t>
      </w:r>
      <w:r>
        <w:rPr>
          <w:rFonts w:eastAsia="Times New Roman" w:cs="Times New Roman"/>
          <w:noProof/>
          <w:szCs w:val="20"/>
          <w:vertAlign w:val="superscript"/>
          <w:lang w:eastAsia="fr-FR"/>
        </w:rPr>
        <w:footnoteReference w:id="96"/>
      </w:r>
      <w:r>
        <w:rPr>
          <w:noProof/>
        </w:rPr>
        <w:t xml:space="preserve">. </w:t>
      </w:r>
    </w:p>
    <w:p>
      <w:pPr>
        <w:rPr>
          <w:rFonts w:cs="Times New Roman"/>
          <w:bCs/>
          <w:noProof/>
        </w:rPr>
      </w:pPr>
      <w:r>
        <w:rPr>
          <w:b/>
          <w:bCs/>
          <w:noProof/>
        </w:rPr>
        <w:t>Vláda byla zmocněna k přijímání opatření s cílem čelit pandemii COVID-19.</w:t>
      </w:r>
      <w:r>
        <w:rPr>
          <w:noProof/>
        </w:rPr>
        <w:t xml:space="preserve"> Nouzový stav zakotvený v ústavě na Kypru nebyl vyhlášen. Omezení však byla uvalena podle zákona o karanténě, který v souvislosti s pandemií COVID-19 zmocňuje radu ministrů</w:t>
      </w:r>
      <w:r>
        <w:rPr>
          <w:rFonts w:cs="Times New Roman"/>
          <w:bCs/>
          <w:noProof/>
          <w:vertAlign w:val="superscript"/>
        </w:rPr>
        <w:footnoteReference w:id="97"/>
      </w:r>
      <w:r>
        <w:rPr>
          <w:noProof/>
        </w:rPr>
        <w:t xml:space="preserve"> k vydávání nařízení, jež se vztahují na občany, orgány veřejné moci i podniky</w:t>
      </w:r>
      <w:r>
        <w:rPr>
          <w:rFonts w:cs="Times New Roman"/>
          <w:bCs/>
          <w:noProof/>
          <w:vertAlign w:val="superscript"/>
        </w:rPr>
        <w:footnoteReference w:id="98"/>
      </w:r>
      <w:r>
        <w:rPr>
          <w:noProof/>
        </w:rPr>
        <w:t>. Provádění veškerých opatření souvisejících s pandemií COVID-19 pravidelně sleduje kyperský parlament</w:t>
      </w:r>
      <w:r>
        <w:rPr>
          <w:rFonts w:cs="Times New Roman"/>
          <w:bCs/>
          <w:noProof/>
          <w:vertAlign w:val="superscript"/>
        </w:rPr>
        <w:footnoteReference w:id="99"/>
      </w:r>
      <w:r>
        <w:rPr>
          <w:noProof/>
        </w:rPr>
        <w:t>. Podle informací od vlády byla omezující opatření napadena pouze jednou, a to v případě, který byl v roce 2020 předložen správnímu soudu, je stále projednáván a týká se maximálního počtu zaměstnanců, při němž kanceláře a ostatní pracoviště mohou fungovat</w:t>
      </w:r>
      <w:r>
        <w:rPr>
          <w:rFonts w:cs="Times New Roman"/>
          <w:bCs/>
          <w:noProof/>
          <w:szCs w:val="24"/>
          <w:vertAlign w:val="superscript"/>
        </w:rPr>
        <w:footnoteReference w:id="100"/>
      </w:r>
      <w:r>
        <w:rPr>
          <w:noProof/>
        </w:rPr>
        <w:t xml:space="preserve">. </w:t>
      </w:r>
    </w:p>
    <w:p>
      <w:pPr>
        <w:rPr>
          <w:rFonts w:asciiTheme="minorHAnsi" w:hAnsiTheme="minorHAnsi"/>
          <w:noProof/>
          <w:sz w:val="22"/>
        </w:rPr>
      </w:pPr>
      <w:r>
        <w:rPr>
          <w:b/>
          <w:bCs/>
          <w:noProof/>
        </w:rPr>
        <w:t>V souvislosti s pandemií COVID-19 veřejný ochránce práv aktivně pomáhá občanům.</w:t>
      </w:r>
      <w:r>
        <w:rPr>
          <w:noProof/>
        </w:rPr>
        <w:t xml:space="preserve"> Od března 2020 provádí veřejný ochránce práv osvětovou kampaň týkající se pandemie COVID-19 a ochrany lidských práv</w:t>
      </w:r>
      <w:r>
        <w:rPr>
          <w:rFonts w:cs="Times New Roman"/>
          <w:bCs/>
          <w:noProof/>
          <w:vertAlign w:val="superscript"/>
        </w:rPr>
        <w:footnoteReference w:id="101"/>
      </w:r>
      <w:r>
        <w:rPr>
          <w:noProof/>
        </w:rPr>
        <w:t>. Veřejný ochránce práv získal v roce 2015 akreditaci Globální aliance vnitrostátních institucí pro lidská práva (GANHRI) se statusem B</w:t>
      </w:r>
      <w:r>
        <w:rPr>
          <w:rFonts w:cs="Times New Roman"/>
          <w:bCs/>
          <w:noProof/>
          <w:vertAlign w:val="superscript"/>
        </w:rPr>
        <w:footnoteReference w:id="102"/>
      </w:r>
      <w:r>
        <w:rPr>
          <w:noProof/>
        </w:rPr>
        <w:t xml:space="preserve"> a tato akreditace bude v červnu 2021 přezkoumána</w:t>
      </w:r>
      <w:r>
        <w:rPr>
          <w:rFonts w:cs="Times New Roman"/>
          <w:bCs/>
          <w:noProof/>
          <w:vertAlign w:val="superscript"/>
        </w:rPr>
        <w:footnoteReference w:id="103"/>
      </w:r>
      <w:r>
        <w:rPr>
          <w:noProof/>
        </w:rPr>
        <w:t xml:space="preserve">. </w:t>
      </w:r>
    </w:p>
    <w:p>
      <w:pPr>
        <w:rPr>
          <w:noProof/>
          <w:color w:val="000000" w:themeColor="text1"/>
        </w:rPr>
      </w:pPr>
      <w:r>
        <w:rPr>
          <w:b/>
          <w:noProof/>
        </w:rPr>
        <w:t>I když došlo k určitému pokroku, přetrvávají obavy ohledně registrace organizací občanské společnosti</w:t>
      </w:r>
      <w:r>
        <w:rPr>
          <w:rFonts w:eastAsia="Times New Roman" w:cs="Times New Roman"/>
          <w:b/>
          <w:noProof/>
          <w:szCs w:val="20"/>
          <w:vertAlign w:val="superscript"/>
          <w:lang w:eastAsia="fr-FR"/>
        </w:rPr>
        <w:footnoteReference w:id="104"/>
      </w:r>
      <w:r>
        <w:rPr>
          <w:b/>
          <w:noProof/>
        </w:rPr>
        <w:t>.</w:t>
      </w:r>
      <w:r>
        <w:rPr>
          <w:b/>
          <w:noProof/>
          <w:szCs w:val="20"/>
        </w:rPr>
        <w:t xml:space="preserve"> </w:t>
      </w:r>
      <w:r>
        <w:rPr>
          <w:noProof/>
        </w:rPr>
        <w:t>Tyto obavy připomněla komisařka Rady Evropy pro lidská práva</w:t>
      </w:r>
      <w:r>
        <w:rPr>
          <w:rFonts w:cs="Times New Roman"/>
          <w:noProof/>
          <w:szCs w:val="24"/>
          <w:vertAlign w:val="superscript"/>
          <w:lang w:eastAsia="en-GB"/>
        </w:rPr>
        <w:footnoteReference w:id="105"/>
      </w:r>
      <w:r>
        <w:rPr>
          <w:noProof/>
        </w:rPr>
        <w:t>, a to konkrétně v souvislosti s možností nevládních organizací působit na Kypru a s prováděním zákona o sdruženích, který nedávno vedl ke zrušení registrace několika nevládních organizací. V reakci na tyto obavy</w:t>
      </w:r>
      <w:r>
        <w:rPr>
          <w:rFonts w:cs="Times New Roman"/>
          <w:noProof/>
          <w:szCs w:val="24"/>
          <w:vertAlign w:val="superscript"/>
          <w:lang w:eastAsia="en-GB"/>
        </w:rPr>
        <w:footnoteReference w:id="106"/>
      </w:r>
      <w:r>
        <w:rPr>
          <w:noProof/>
        </w:rPr>
        <w:t xml:space="preserve"> vláda zdůraznila, že zákon z roku 2017</w:t>
      </w:r>
      <w:r>
        <w:rPr>
          <w:rFonts w:cs="Times New Roman"/>
          <w:noProof/>
          <w:szCs w:val="24"/>
          <w:vertAlign w:val="superscript"/>
          <w:lang w:eastAsia="en-GB"/>
        </w:rPr>
        <w:footnoteReference w:id="107"/>
      </w:r>
      <w:r>
        <w:rPr>
          <w:noProof/>
        </w:rPr>
        <w:t xml:space="preserve"> zavádí prvky transparentnosti činnosti nevládních organizací a odpovědnosti za ni v souladu s pokyny Finančního akčního výboru (FATF)</w:t>
      </w:r>
      <w:r>
        <w:rPr>
          <w:rFonts w:cs="Times New Roman"/>
          <w:noProof/>
          <w:szCs w:val="24"/>
          <w:vertAlign w:val="superscript"/>
          <w:lang w:eastAsia="en-GB"/>
        </w:rPr>
        <w:footnoteReference w:id="108"/>
      </w:r>
      <w:r>
        <w:rPr>
          <w:noProof/>
        </w:rPr>
        <w:t xml:space="preserve"> pro ochranu nevládních organizací před zneužitím k financování terorismu a s pátou směrnicí EU o předcházení praní peněz a dohledu nad bojem proti němu</w:t>
      </w:r>
      <w:r>
        <w:rPr>
          <w:rFonts w:cs="Times New Roman"/>
          <w:noProof/>
          <w:szCs w:val="24"/>
          <w:vertAlign w:val="superscript"/>
          <w:lang w:eastAsia="en-GB"/>
        </w:rPr>
        <w:footnoteReference w:id="109"/>
      </w:r>
      <w:r>
        <w:rPr>
          <w:noProof/>
        </w:rPr>
        <w:t>. Nyní lze federace organizací registrovat přímo, aniž by byli zvlášť zaregistrování také jejich jednotliví členové</w:t>
      </w:r>
      <w:r>
        <w:rPr>
          <w:noProof/>
          <w:color w:val="000000" w:themeColor="text1"/>
          <w:vertAlign w:val="superscript"/>
        </w:rPr>
        <w:footnoteReference w:id="110"/>
      </w:r>
      <w:r>
        <w:rPr>
          <w:noProof/>
        </w:rPr>
        <w:t>.</w:t>
      </w:r>
      <w:r>
        <w:rPr>
          <w:noProof/>
          <w:color w:val="000000" w:themeColor="text1"/>
        </w:rPr>
        <w:t xml:space="preserve"> </w:t>
      </w:r>
    </w:p>
    <w:p>
      <w:pPr>
        <w:rPr>
          <w:rFonts w:eastAsia="Times New Roman" w:cs="Times New Roman"/>
          <w:noProof/>
          <w:szCs w:val="20"/>
          <w:lang w:eastAsia="fr-FR"/>
        </w:rPr>
      </w:pPr>
    </w:p>
    <w:p>
      <w:pPr>
        <w:pageBreakBefore/>
        <w:spacing w:after="120"/>
        <w:rPr>
          <w:rFonts w:eastAsia="Times New Roman" w:cs="Times New Roman"/>
          <w:b/>
          <w:bCs/>
          <w:noProof/>
          <w:sz w:val="22"/>
        </w:rPr>
      </w:pPr>
      <w:r>
        <w:rPr>
          <w:b/>
          <w:bCs/>
          <w:noProof/>
          <w:sz w:val="22"/>
        </w:rPr>
        <w:t>Příloha I: Seznam zdrojů v abecedním pořadí*</w:t>
      </w:r>
    </w:p>
    <w:p>
      <w:pPr>
        <w:spacing w:after="120"/>
        <w:rPr>
          <w:rFonts w:eastAsia="Times New Roman" w:cs="Times New Roman"/>
          <w:i/>
          <w:iCs/>
          <w:noProof/>
          <w:sz w:val="22"/>
        </w:rPr>
      </w:pPr>
      <w:r>
        <w:rPr>
          <w:i/>
          <w:iCs/>
          <w:noProof/>
          <w:sz w:val="22"/>
        </w:rPr>
        <w:t xml:space="preserve">* Seznam příspěvků obdržených v rámci konzultací ke zprávě o právním státu pro rok 2021 je k dispozici na adrese </w:t>
      </w:r>
      <w:hyperlink r:id="rId16" w:history="1">
        <w:r>
          <w:rPr>
            <w:i/>
            <w:iCs/>
            <w:noProof/>
            <w:color w:val="0563C1" w:themeColor="hyperlink"/>
            <w:sz w:val="22"/>
            <w:u w:val="single"/>
          </w:rPr>
          <w:t>https://ec.europa.eu/info/policies/justice-and-fundamental-rights/upholding-rule-law/rule-law/rule-law-mechanism/2021-rule-law-report-targeted-stakeholder-consultation_cs</w:t>
        </w:r>
      </w:hyperlink>
      <w:r>
        <w:rPr>
          <w:i/>
          <w:iCs/>
          <w:noProof/>
          <w:sz w:val="22"/>
        </w:rPr>
        <w:t>.</w:t>
      </w:r>
    </w:p>
    <w:p>
      <w:pPr>
        <w:spacing w:after="120"/>
        <w:rPr>
          <w:rFonts w:cs="Times New Roman"/>
          <w:noProof/>
          <w:sz w:val="22"/>
        </w:rPr>
      </w:pPr>
      <w:r>
        <w:rPr>
          <w:noProof/>
          <w:sz w:val="22"/>
        </w:rPr>
        <w:t xml:space="preserve">Centrum pro pluralitu a svobodu sdělovacích prostředků (2021), </w:t>
      </w:r>
      <w:r>
        <w:rPr>
          <w:i/>
          <w:iCs/>
          <w:noProof/>
          <w:sz w:val="22"/>
        </w:rPr>
        <w:t>zpráva nástroje pro sledování plurality sdělovacích prostředků 2021</w:t>
      </w:r>
      <w:r>
        <w:rPr>
          <w:noProof/>
          <w:sz w:val="22"/>
        </w:rPr>
        <w:t xml:space="preserve"> – </w:t>
      </w:r>
      <w:r>
        <w:rPr>
          <w:i/>
          <w:iCs/>
          <w:noProof/>
          <w:sz w:val="22"/>
        </w:rPr>
        <w:t>zpráva o Kypru</w:t>
      </w:r>
      <w:r>
        <w:rPr>
          <w:noProof/>
          <w:sz w:val="22"/>
        </w:rPr>
        <w:t xml:space="preserve"> (odkaz bude doplněn, jakmile bude k dispozici).</w:t>
      </w:r>
    </w:p>
    <w:p>
      <w:pPr>
        <w:spacing w:after="120"/>
        <w:rPr>
          <w:rFonts w:cs="Times New Roman"/>
          <w:noProof/>
          <w:sz w:val="22"/>
        </w:rPr>
      </w:pPr>
      <w:r>
        <w:rPr>
          <w:noProof/>
          <w:sz w:val="22"/>
        </w:rPr>
        <w:t>CEPEJ (2020), Studie o fungování soudních systémů v členských státech EU.</w:t>
      </w:r>
    </w:p>
    <w:p>
      <w:pPr>
        <w:spacing w:after="120"/>
        <w:rPr>
          <w:rFonts w:cs="Times New Roman"/>
          <w:noProof/>
          <w:color w:val="000000"/>
          <w:sz w:val="22"/>
        </w:rPr>
      </w:pPr>
      <w:r>
        <w:rPr>
          <w:noProof/>
          <w:color w:val="000000"/>
          <w:sz w:val="22"/>
        </w:rPr>
        <w:t xml:space="preserve">Rada Evropy: Výbor ministrů (2010), </w:t>
      </w:r>
      <w:r>
        <w:rPr>
          <w:i/>
          <w:noProof/>
          <w:color w:val="000000"/>
          <w:sz w:val="22"/>
        </w:rPr>
        <w:t xml:space="preserve">doporučení CM/Rec(2010)12 Výboru ministrů členským státům o soudcích: </w:t>
      </w:r>
      <w:r>
        <w:rPr>
          <w:i/>
          <w:iCs/>
          <w:noProof/>
          <w:color w:val="000000"/>
          <w:sz w:val="22"/>
        </w:rPr>
        <w:t>nezávislost, účinnost a odpovědnost.</w:t>
      </w:r>
    </w:p>
    <w:p>
      <w:pPr>
        <w:spacing w:after="120"/>
        <w:rPr>
          <w:rFonts w:cs="Times New Roman"/>
          <w:bCs/>
          <w:noProof/>
          <w:sz w:val="22"/>
        </w:rPr>
      </w:pPr>
      <w:r>
        <w:rPr>
          <w:bCs/>
          <w:noProof/>
          <w:sz w:val="22"/>
        </w:rPr>
        <w:t xml:space="preserve">Kyperská advokátní komora (2021), </w:t>
      </w:r>
      <w:r>
        <w:rPr>
          <w:bCs/>
          <w:i/>
          <w:noProof/>
          <w:sz w:val="22"/>
        </w:rPr>
        <w:t>příspěvek Kyperské advokátní komory ke zprávě o právním státu 2021.</w:t>
      </w:r>
    </w:p>
    <w:p>
      <w:pPr>
        <w:spacing w:after="120"/>
        <w:rPr>
          <w:rFonts w:cs="Times New Roman"/>
          <w:bCs/>
          <w:noProof/>
          <w:sz w:val="22"/>
        </w:rPr>
      </w:pPr>
      <w:r>
        <w:rPr>
          <w:bCs/>
          <w:noProof/>
          <w:sz w:val="22"/>
        </w:rPr>
        <w:t xml:space="preserve">Kyperská vyšetřovací komise (2021), </w:t>
      </w:r>
      <w:r>
        <w:rPr>
          <w:bCs/>
          <w:i/>
          <w:noProof/>
          <w:sz w:val="22"/>
        </w:rPr>
        <w:t>Průběžná zpráva o postupu udělování občanství zahraničním investorům a podnikatelům</w:t>
      </w:r>
      <w:r>
        <w:rPr>
          <w:bCs/>
          <w:noProof/>
          <w:sz w:val="22"/>
        </w:rPr>
        <w:t xml:space="preserve"> (</w:t>
      </w:r>
      <w:hyperlink r:id="rId17" w:history="1">
        <w:hyperlink r:id="rId18" w:history="1">
          <w:r>
            <w:rPr>
              <w:bCs/>
              <w:noProof/>
              <w:color w:val="0563C1" w:themeColor="hyperlink"/>
              <w:sz w:val="22"/>
              <w:u w:val="single"/>
            </w:rPr>
            <w:t>https://www.pio.gov.cy/assets/pdf/newsroom/2021/04/Interim Report 27 04 2021(pdf).pdf</w:t>
          </w:r>
        </w:hyperlink>
      </w:hyperlink>
      <w:r>
        <w:rPr>
          <w:bCs/>
          <w:noProof/>
          <w:sz w:val="22"/>
        </w:rPr>
        <w:t>).</w:t>
      </w:r>
    </w:p>
    <w:p>
      <w:pPr>
        <w:spacing w:after="120"/>
        <w:rPr>
          <w:rFonts w:cs="Times New Roman"/>
          <w:bCs/>
          <w:noProof/>
          <w:sz w:val="22"/>
        </w:rPr>
      </w:pPr>
      <w:r>
        <w:rPr>
          <w:bCs/>
          <w:noProof/>
          <w:sz w:val="22"/>
        </w:rPr>
        <w:t xml:space="preserve">Kyperská vláda (2021), </w:t>
      </w:r>
      <w:r>
        <w:rPr>
          <w:bCs/>
          <w:i/>
          <w:iCs/>
          <w:noProof/>
          <w:sz w:val="22"/>
        </w:rPr>
        <w:t>Příspěvek Kypru ke zprávě o právním státu pro rok 2021</w:t>
      </w:r>
      <w:r>
        <w:rPr>
          <w:bCs/>
          <w:noProof/>
          <w:sz w:val="22"/>
        </w:rPr>
        <w:t>.</w:t>
      </w:r>
    </w:p>
    <w:p>
      <w:pPr>
        <w:spacing w:after="120"/>
        <w:rPr>
          <w:rFonts w:cs="Times New Roman"/>
          <w:noProof/>
          <w:sz w:val="22"/>
        </w:rPr>
      </w:pPr>
      <w:r>
        <w:rPr>
          <w:noProof/>
          <w:sz w:val="22"/>
        </w:rPr>
        <w:t xml:space="preserve">Generální ředitelství pro komunikaci (2019), </w:t>
      </w:r>
      <w:r>
        <w:rPr>
          <w:i/>
          <w:iCs/>
          <w:noProof/>
          <w:sz w:val="22"/>
        </w:rPr>
        <w:t>bleskový průzkum Eurobarometr 482: postoje podniků ke korupci v EU.</w:t>
      </w:r>
    </w:p>
    <w:p>
      <w:pPr>
        <w:spacing w:after="120"/>
        <w:rPr>
          <w:rFonts w:cs="Times New Roman"/>
          <w:noProof/>
          <w:sz w:val="22"/>
        </w:rPr>
      </w:pPr>
      <w:r>
        <w:rPr>
          <w:noProof/>
          <w:sz w:val="22"/>
        </w:rPr>
        <w:t xml:space="preserve">Generální ředitelství pro komunikaci (2020), </w:t>
      </w:r>
      <w:r>
        <w:rPr>
          <w:i/>
          <w:iCs/>
          <w:noProof/>
          <w:sz w:val="22"/>
        </w:rPr>
        <w:t>zvláštní průzkum Eurobarometr 502: korupce.</w:t>
      </w:r>
    </w:p>
    <w:p>
      <w:pPr>
        <w:spacing w:after="120"/>
        <w:rPr>
          <w:rFonts w:cs="Times New Roman"/>
          <w:bCs/>
          <w:i/>
          <w:noProof/>
          <w:sz w:val="22"/>
        </w:rPr>
      </w:pPr>
      <w:r>
        <w:rPr>
          <w:bCs/>
          <w:noProof/>
          <w:sz w:val="22"/>
        </w:rPr>
        <w:t xml:space="preserve">GRECO (2020), </w:t>
      </w:r>
      <w:r>
        <w:rPr>
          <w:bCs/>
          <w:i/>
          <w:iCs/>
          <w:noProof/>
          <w:sz w:val="22"/>
        </w:rPr>
        <w:t xml:space="preserve">čtvrté kolo hodnocení – Druhá hodnotící zpráva o Kypru o prevenci korupce poslanců, soudců a státních zástupců </w:t>
      </w:r>
      <w:r>
        <w:rPr>
          <w:bCs/>
          <w:noProof/>
          <w:sz w:val="22"/>
        </w:rPr>
        <w:t>(</w:t>
      </w:r>
      <w:hyperlink r:id="rId19" w:history="1">
        <w:r>
          <w:rPr>
            <w:bCs/>
            <w:noProof/>
            <w:color w:val="0563C1" w:themeColor="hyperlink"/>
            <w:sz w:val="22"/>
            <w:u w:val="single"/>
          </w:rPr>
          <w:t>https://rm.coe.int/fourth-evaluation-round-corruption-prevention-in-respect-of-members-of/1680a06389</w:t>
        </w:r>
      </w:hyperlink>
      <w:r>
        <w:rPr>
          <w:bCs/>
          <w:noProof/>
          <w:color w:val="0563C1" w:themeColor="hyperlink"/>
          <w:sz w:val="22"/>
          <w:u w:val="single"/>
        </w:rPr>
        <w:t>)</w:t>
      </w:r>
    </w:p>
    <w:p>
      <w:pPr>
        <w:spacing w:after="120"/>
        <w:rPr>
          <w:rFonts w:cs="Times New Roman"/>
          <w:bCs/>
          <w:i/>
          <w:noProof/>
          <w:color w:val="0563C1" w:themeColor="hyperlink"/>
          <w:sz w:val="22"/>
          <w:u w:val="single"/>
        </w:rPr>
      </w:pPr>
      <w:r>
        <w:rPr>
          <w:bCs/>
          <w:noProof/>
          <w:color w:val="0563C1" w:themeColor="hyperlink"/>
          <w:sz w:val="22"/>
          <w:u w:val="single"/>
        </w:rPr>
        <w:t xml:space="preserve">Evropská komise (2020), </w:t>
      </w:r>
      <w:r>
        <w:rPr>
          <w:bCs/>
          <w:i/>
          <w:iCs/>
          <w:noProof/>
          <w:color w:val="0563C1" w:themeColor="hyperlink"/>
          <w:sz w:val="22"/>
          <w:u w:val="single"/>
        </w:rPr>
        <w:t>zpráva o právním státu pro rok 2020 – Stav právního státu v Evropské unii</w:t>
      </w:r>
    </w:p>
    <w:p>
      <w:pPr>
        <w:spacing w:after="120"/>
        <w:rPr>
          <w:rFonts w:cs="Times New Roman"/>
          <w:bCs/>
          <w:noProof/>
          <w:color w:val="0563C1" w:themeColor="hyperlink"/>
          <w:sz w:val="22"/>
          <w:u w:val="single"/>
        </w:rPr>
      </w:pPr>
      <w:r>
        <w:rPr>
          <w:bCs/>
          <w:noProof/>
          <w:sz w:val="22"/>
        </w:rPr>
        <w:t xml:space="preserve">Evropská komise (2020), </w:t>
      </w:r>
      <w:r>
        <w:rPr>
          <w:bCs/>
          <w:i/>
          <w:iCs/>
          <w:noProof/>
          <w:sz w:val="22"/>
        </w:rPr>
        <w:t>Režimy občanství pro investory:</w:t>
      </w:r>
      <w:r>
        <w:rPr>
          <w:bCs/>
          <w:i/>
          <w:noProof/>
          <w:sz w:val="22"/>
        </w:rPr>
        <w:t xml:space="preserve"> Evropská komise zahajuje řízení o nesplnění povinnosti proti Kypru a Maltě kvůli „prodeji“ občanství EU</w:t>
      </w:r>
      <w:r>
        <w:rPr>
          <w:bCs/>
          <w:noProof/>
          <w:sz w:val="22"/>
        </w:rPr>
        <w:t>, INFR(2020)2300 (</w:t>
      </w:r>
      <w:hyperlink r:id="rId20" w:history="1">
        <w:r>
          <w:rPr>
            <w:noProof/>
            <w:color w:val="0563C1" w:themeColor="hyperlink"/>
            <w:sz w:val="22"/>
            <w:u w:val="single"/>
          </w:rPr>
          <w:t>https://ec.europa.eu/commission/presscorner/detail/cs/ip_20_1925</w:t>
        </w:r>
      </w:hyperlink>
      <w:r>
        <w:rPr>
          <w:bCs/>
          <w:noProof/>
          <w:sz w:val="22"/>
        </w:rPr>
        <w:t xml:space="preserve">). </w:t>
      </w:r>
    </w:p>
    <w:p>
      <w:pPr>
        <w:spacing w:after="120"/>
        <w:rPr>
          <w:rFonts w:cs="Times New Roman"/>
          <w:noProof/>
          <w:color w:val="000000"/>
          <w:sz w:val="22"/>
        </w:rPr>
      </w:pPr>
      <w:r>
        <w:rPr>
          <w:noProof/>
          <w:color w:val="000000"/>
          <w:sz w:val="22"/>
        </w:rPr>
        <w:t xml:space="preserve">Evropská komise (2021), </w:t>
      </w:r>
      <w:r>
        <w:rPr>
          <w:i/>
          <w:noProof/>
          <w:color w:val="000000"/>
          <w:sz w:val="22"/>
        </w:rPr>
        <w:t>srovnávací přehled EU o soudnictví</w:t>
      </w:r>
      <w:r>
        <w:rPr>
          <w:noProof/>
          <w:color w:val="000000"/>
          <w:sz w:val="22"/>
        </w:rPr>
        <w:t>.</w:t>
      </w:r>
    </w:p>
    <w:p>
      <w:pPr>
        <w:spacing w:after="120"/>
        <w:rPr>
          <w:rFonts w:cs="Times New Roman"/>
          <w:noProof/>
          <w:color w:val="000000"/>
          <w:sz w:val="22"/>
        </w:rPr>
      </w:pPr>
      <w:r>
        <w:rPr>
          <w:noProof/>
          <w:color w:val="000000"/>
          <w:sz w:val="22"/>
        </w:rPr>
        <w:t xml:space="preserve">Evropská komise, média (2021), </w:t>
      </w:r>
      <w:r>
        <w:rPr>
          <w:i/>
          <w:noProof/>
          <w:color w:val="000000"/>
          <w:sz w:val="22"/>
        </w:rPr>
        <w:t xml:space="preserve">Červnové případy porušení právních předpisů: hlavní rozhodnutí </w:t>
      </w:r>
      <w:r>
        <w:rPr>
          <w:noProof/>
          <w:color w:val="000000"/>
          <w:sz w:val="22"/>
        </w:rPr>
        <w:t>(</w:t>
      </w:r>
      <w:hyperlink r:id="rId21" w:history="1">
        <w:r>
          <w:rPr>
            <w:bCs/>
            <w:noProof/>
            <w:color w:val="0563C1" w:themeColor="hyperlink"/>
            <w:sz w:val="22"/>
            <w:u w:val="single"/>
          </w:rPr>
          <w:t>https://ec.europa.eu/commission/presscorner/detail/cs/inf_21_2743</w:t>
        </w:r>
      </w:hyperlink>
      <w:r>
        <w:rPr>
          <w:bCs/>
          <w:noProof/>
          <w:color w:val="000000"/>
          <w:sz w:val="22"/>
        </w:rPr>
        <w:t>).</w:t>
      </w:r>
    </w:p>
    <w:p>
      <w:pPr>
        <w:spacing w:after="120"/>
        <w:rPr>
          <w:rFonts w:cs="Times New Roman"/>
          <w:bCs/>
          <w:noProof/>
          <w:sz w:val="22"/>
        </w:rPr>
      </w:pPr>
      <w:r>
        <w:rPr>
          <w:bCs/>
          <w:noProof/>
          <w:sz w:val="22"/>
        </w:rPr>
        <w:t>Předsednictví Kyperské republiky, informační a komunikační internetová stránka Exandas (</w:t>
      </w:r>
      <w:hyperlink r:id="rId22" w:history="1">
        <w:r>
          <w:rPr>
            <w:bCs/>
            <w:noProof/>
            <w:color w:val="0563C1" w:themeColor="hyperlink"/>
            <w:sz w:val="22"/>
            <w:u w:val="single"/>
          </w:rPr>
          <w:t>https://exandas.presidency.gov.cy/</w:t>
        </w:r>
      </w:hyperlink>
      <w:r>
        <w:rPr>
          <w:bCs/>
          <w:noProof/>
          <w:sz w:val="22"/>
        </w:rPr>
        <w:t xml:space="preserve">). </w:t>
      </w:r>
    </w:p>
    <w:p>
      <w:pPr>
        <w:spacing w:after="120"/>
        <w:rPr>
          <w:rFonts w:cs="Times New Roman"/>
          <w:bCs/>
          <w:noProof/>
          <w:sz w:val="22"/>
        </w:rPr>
      </w:pPr>
      <w:r>
        <w:rPr>
          <w:bCs/>
          <w:noProof/>
          <w:sz w:val="22"/>
        </w:rPr>
        <w:t xml:space="preserve">Finanční akční výbor (2015), </w:t>
      </w:r>
      <w:r>
        <w:rPr>
          <w:bCs/>
          <w:i/>
          <w:noProof/>
          <w:sz w:val="22"/>
        </w:rPr>
        <w:t>Boj proti zneužívání neziskových organizací (doporučení 8)</w:t>
      </w:r>
      <w:r>
        <w:rPr>
          <w:bCs/>
          <w:noProof/>
          <w:sz w:val="22"/>
        </w:rPr>
        <w:t xml:space="preserve"> (</w:t>
      </w:r>
      <w:hyperlink r:id="rId23" w:history="1">
        <w:r>
          <w:rPr>
            <w:bCs/>
            <w:noProof/>
            <w:color w:val="0563C1" w:themeColor="hyperlink"/>
            <w:sz w:val="22"/>
            <w:u w:val="single"/>
          </w:rPr>
          <w:t>http://www.fatf-gafi.org/media/fatf/documents/reports/BPP-combating-abuse-non-profit-organisations.pdf</w:t>
        </w:r>
      </w:hyperlink>
      <w:r>
        <w:rPr>
          <w:bCs/>
          <w:noProof/>
          <w:color w:val="0563C1" w:themeColor="hyperlink"/>
          <w:sz w:val="22"/>
          <w:u w:val="single"/>
        </w:rPr>
        <w:t>)</w:t>
      </w:r>
      <w:r>
        <w:rPr>
          <w:bCs/>
          <w:noProof/>
          <w:sz w:val="22"/>
        </w:rPr>
        <w:t xml:space="preserve"> </w:t>
      </w:r>
    </w:p>
    <w:p>
      <w:pPr>
        <w:spacing w:after="120"/>
        <w:rPr>
          <w:rFonts w:cs="Times New Roman"/>
          <w:bCs/>
          <w:i/>
          <w:noProof/>
          <w:color w:val="0563C1" w:themeColor="hyperlink"/>
          <w:sz w:val="22"/>
          <w:u w:val="single"/>
        </w:rPr>
      </w:pPr>
      <w:r>
        <w:rPr>
          <w:noProof/>
          <w:color w:val="000000" w:themeColor="text1"/>
          <w:sz w:val="22"/>
        </w:rPr>
        <w:t>Agentura pro základní práva (2021),</w:t>
      </w:r>
      <w:r>
        <w:rPr>
          <w:i/>
          <w:noProof/>
          <w:sz w:val="22"/>
        </w:rPr>
        <w:t xml:space="preserve"> </w:t>
      </w:r>
      <w:r>
        <w:rPr>
          <w:bCs/>
          <w:i/>
          <w:noProof/>
          <w:color w:val="0563C1" w:themeColor="hyperlink"/>
          <w:sz w:val="22"/>
          <w:u w:val="single"/>
        </w:rPr>
        <w:t>příspěvek</w:t>
      </w:r>
      <w:r>
        <w:rPr>
          <w:i/>
          <w:noProof/>
          <w:sz w:val="22"/>
        </w:rPr>
        <w:t xml:space="preserve"> Agentury pro základní práva ke </w:t>
      </w:r>
      <w:r>
        <w:rPr>
          <w:bCs/>
          <w:i/>
          <w:noProof/>
          <w:color w:val="0563C1" w:themeColor="hyperlink"/>
          <w:sz w:val="22"/>
          <w:u w:val="single"/>
        </w:rPr>
        <w:t>zprávě o právním státu pro rok 2021</w:t>
      </w:r>
      <w:r>
        <w:rPr>
          <w:i/>
          <w:noProof/>
          <w:sz w:val="22"/>
        </w:rPr>
        <w:t>.</w:t>
      </w:r>
    </w:p>
    <w:p>
      <w:pPr>
        <w:spacing w:after="120"/>
        <w:rPr>
          <w:rFonts w:cs="Times New Roman"/>
          <w:bCs/>
          <w:noProof/>
          <w:color w:val="0563C1" w:themeColor="hyperlink"/>
          <w:sz w:val="22"/>
          <w:u w:val="single"/>
        </w:rPr>
      </w:pPr>
      <w:r>
        <w:rPr>
          <w:bCs/>
          <w:noProof/>
          <w:sz w:val="22"/>
        </w:rPr>
        <w:t xml:space="preserve">Kathimerini (2021), </w:t>
      </w:r>
      <w:r>
        <w:rPr>
          <w:bCs/>
          <w:i/>
          <w:noProof/>
          <w:sz w:val="22"/>
        </w:rPr>
        <w:t>Byla předložena průběžná zpráva o zlatých pasech</w:t>
      </w:r>
      <w:r>
        <w:rPr>
          <w:bCs/>
          <w:noProof/>
          <w:sz w:val="22"/>
        </w:rPr>
        <w:t xml:space="preserve"> (</w:t>
      </w:r>
      <w:hyperlink r:id="rId24" w:history="1">
        <w:r>
          <w:rPr>
            <w:bCs/>
            <w:noProof/>
            <w:color w:val="0563C1" w:themeColor="hyperlink"/>
            <w:sz w:val="22"/>
            <w:u w:val="single"/>
          </w:rPr>
          <w:t>https://knews.kathimerini.com.cy/en/news/interim-report-on-golden-passports-delivered</w:t>
        </w:r>
      </w:hyperlink>
      <w:r>
        <w:rPr>
          <w:bCs/>
          <w:noProof/>
          <w:sz w:val="22"/>
          <w:u w:val="single"/>
        </w:rPr>
        <w:t>).</w:t>
      </w:r>
    </w:p>
    <w:p>
      <w:pPr>
        <w:spacing w:after="120"/>
        <w:rPr>
          <w:rFonts w:cs="Times New Roman"/>
          <w:bCs/>
          <w:noProof/>
          <w:sz w:val="22"/>
        </w:rPr>
      </w:pPr>
      <w:r>
        <w:rPr>
          <w:bCs/>
          <w:noProof/>
          <w:sz w:val="22"/>
        </w:rPr>
        <w:t>Dopis od Dunji Mijatovićové, komisařky pro lidská práva, pro pana Nicose Nourise, kyperského ministra vnitra (2021) (</w:t>
      </w:r>
      <w:hyperlink r:id="rId25" w:history="1">
        <w:r>
          <w:rPr>
            <w:bCs/>
            <w:noProof/>
            <w:color w:val="0563C1" w:themeColor="hyperlink"/>
            <w:sz w:val="22"/>
            <w:u w:val="single"/>
          </w:rPr>
          <w:t>https://rm.coe.int/letter-to-mr-nicos-nouris-minister-of-interior-of-cyprus-by-ms-dunja-m/1680a1c09b</w:t>
        </w:r>
      </w:hyperlink>
      <w:r>
        <w:rPr>
          <w:bCs/>
          <w:noProof/>
          <w:sz w:val="22"/>
        </w:rPr>
        <w:t>).</w:t>
      </w:r>
    </w:p>
    <w:p>
      <w:pPr>
        <w:spacing w:after="120"/>
        <w:rPr>
          <w:rFonts w:cs="Times New Roman"/>
          <w:bCs/>
          <w:noProof/>
          <w:sz w:val="22"/>
        </w:rPr>
      </w:pPr>
      <w:r>
        <w:rPr>
          <w:bCs/>
          <w:noProof/>
          <w:sz w:val="22"/>
        </w:rPr>
        <w:t>Odpověď od pana Nicose Nourise, kyperského ministra vnitra, Dunji Mijatovićové, komisařce pro lidská práva (2021) (</w:t>
      </w:r>
      <w:hyperlink r:id="rId26" w:history="1">
        <w:r>
          <w:rPr>
            <w:bCs/>
            <w:noProof/>
            <w:color w:val="0563C1" w:themeColor="hyperlink"/>
            <w:sz w:val="22"/>
            <w:u w:val="single"/>
          </w:rPr>
          <w:t>https://rm.coe.int/reply-of-mr-nicos-nouris-minister-of-the-interiorof-cyprus-to-the-lett/1680a1cb15</w:t>
        </w:r>
      </w:hyperlink>
      <w:r>
        <w:rPr>
          <w:bCs/>
          <w:noProof/>
          <w:sz w:val="22"/>
        </w:rPr>
        <w:t>)</w:t>
      </w:r>
    </w:p>
    <w:p>
      <w:pPr>
        <w:spacing w:after="120"/>
        <w:rPr>
          <w:rFonts w:cs="Times New Roman"/>
          <w:bCs/>
          <w:noProof/>
          <w:sz w:val="22"/>
        </w:rPr>
      </w:pPr>
      <w:r>
        <w:rPr>
          <w:bCs/>
          <w:noProof/>
          <w:sz w:val="22"/>
        </w:rPr>
        <w:t xml:space="preserve">OECD(2019), </w:t>
      </w:r>
      <w:r>
        <w:rPr>
          <w:bCs/>
          <w:i/>
          <w:iCs/>
          <w:noProof/>
          <w:sz w:val="22"/>
        </w:rPr>
        <w:t>Ukazatele regulační politiky a správy – Kypr</w:t>
      </w:r>
      <w:r>
        <w:rPr>
          <w:bCs/>
          <w:noProof/>
          <w:sz w:val="22"/>
        </w:rPr>
        <w:t>.</w:t>
      </w:r>
    </w:p>
    <w:p>
      <w:pPr>
        <w:spacing w:after="120"/>
        <w:rPr>
          <w:rFonts w:cs="Times New Roman"/>
          <w:bCs/>
          <w:noProof/>
          <w:sz w:val="22"/>
        </w:rPr>
      </w:pPr>
      <w:r>
        <w:rPr>
          <w:bCs/>
          <w:noProof/>
          <w:sz w:val="22"/>
        </w:rPr>
        <w:t>Projekt pro podávání zpráv o organizované trestné činnosti, „</w:t>
      </w:r>
      <w:r>
        <w:rPr>
          <w:bCs/>
          <w:i/>
          <w:noProof/>
          <w:sz w:val="22"/>
        </w:rPr>
        <w:t>Kyperský novinář uvedl, že je sledován, a bojí se o život</w:t>
      </w:r>
      <w:r>
        <w:rPr>
          <w:bCs/>
          <w:noProof/>
          <w:sz w:val="22"/>
        </w:rPr>
        <w:t>“ (</w:t>
      </w:r>
      <w:hyperlink r:id="rId27" w:history="1">
        <w:r>
          <w:rPr>
            <w:bCs/>
            <w:noProof/>
            <w:color w:val="0563C1" w:themeColor="hyperlink"/>
            <w:sz w:val="22"/>
            <w:u w:val="single"/>
          </w:rPr>
          <w:t>https://www.occrp.org/en/daily/12631-cypriot-journalist-says-he-is-being-spied-on-and-fears-for-his-life</w:t>
        </w:r>
      </w:hyperlink>
      <w:r>
        <w:rPr>
          <w:bCs/>
          <w:noProof/>
          <w:sz w:val="22"/>
        </w:rPr>
        <w:t>).</w:t>
      </w:r>
    </w:p>
    <w:p>
      <w:pPr>
        <w:spacing w:after="120"/>
        <w:rPr>
          <w:rFonts w:cs="Times New Roman"/>
          <w:bCs/>
          <w:i/>
          <w:noProof/>
          <w:sz w:val="22"/>
        </w:rPr>
      </w:pPr>
      <w:r>
        <w:rPr>
          <w:bCs/>
          <w:noProof/>
          <w:sz w:val="22"/>
        </w:rPr>
        <w:t xml:space="preserve">Reportéři bez hranic (2021), </w:t>
      </w:r>
      <w:r>
        <w:rPr>
          <w:bCs/>
          <w:i/>
          <w:noProof/>
          <w:sz w:val="22"/>
        </w:rPr>
        <w:t>příspěvek Reportérů bez hranic ke zprávě o právním státu 2021.</w:t>
      </w:r>
    </w:p>
    <w:p>
      <w:pPr>
        <w:spacing w:after="120"/>
        <w:rPr>
          <w:rFonts w:cs="Times New Roman"/>
          <w:bCs/>
          <w:iCs/>
          <w:noProof/>
          <w:sz w:val="22"/>
        </w:rPr>
      </w:pPr>
      <w:r>
        <w:rPr>
          <w:bCs/>
          <w:iCs/>
          <w:noProof/>
          <w:sz w:val="22"/>
        </w:rPr>
        <w:t xml:space="preserve">Reportéři bez hranic (2021), </w:t>
      </w:r>
      <w:r>
        <w:rPr>
          <w:bCs/>
          <w:i/>
          <w:iCs/>
          <w:noProof/>
          <w:sz w:val="22"/>
        </w:rPr>
        <w:t>světový index svobody tisku 2021 – Kypr</w:t>
      </w:r>
      <w:r>
        <w:rPr>
          <w:bCs/>
          <w:iCs/>
          <w:noProof/>
          <w:sz w:val="22"/>
        </w:rPr>
        <w:t xml:space="preserve"> (</w:t>
      </w:r>
      <w:hyperlink r:id="rId28" w:history="1">
        <w:r>
          <w:rPr>
            <w:bCs/>
            <w:iCs/>
            <w:noProof/>
            <w:color w:val="0563C1" w:themeColor="hyperlink"/>
            <w:sz w:val="22"/>
            <w:u w:val="single"/>
          </w:rPr>
          <w:t>https://rsf.org/en/cyprus</w:t>
        </w:r>
      </w:hyperlink>
      <w:r>
        <w:rPr>
          <w:bCs/>
          <w:iCs/>
          <w:noProof/>
          <w:sz w:val="22"/>
        </w:rPr>
        <w:t>).</w:t>
      </w:r>
    </w:p>
    <w:p>
      <w:pPr>
        <w:spacing w:after="120"/>
        <w:rPr>
          <w:rFonts w:cs="Times New Roman"/>
          <w:bCs/>
          <w:noProof/>
          <w:sz w:val="22"/>
        </w:rPr>
      </w:pPr>
      <w:r>
        <w:rPr>
          <w:bCs/>
          <w:noProof/>
          <w:sz w:val="22"/>
        </w:rPr>
        <w:t xml:space="preserve">Sigma Live (2021), </w:t>
      </w:r>
      <w:r>
        <w:rPr>
          <w:bCs/>
          <w:i/>
          <w:noProof/>
          <w:sz w:val="22"/>
        </w:rPr>
        <w:t>Zpráva o občanství</w:t>
      </w:r>
      <w:r>
        <w:rPr>
          <w:bCs/>
          <w:noProof/>
          <w:sz w:val="22"/>
        </w:rPr>
        <w:t xml:space="preserve"> (</w:t>
      </w:r>
      <w:hyperlink r:id="rId29" w:history="1">
        <w:r>
          <w:rPr>
            <w:bCs/>
            <w:noProof/>
            <w:color w:val="0563C1" w:themeColor="hyperlink"/>
            <w:sz w:val="22"/>
            <w:u w:val="single"/>
          </w:rPr>
          <w:t>https://www.sigmalive.com/news/politics/795517/ekthesi-politografiseonto-53-ektos-nomikou-plaisioupeitharxikes-efthynes</w:t>
        </w:r>
      </w:hyperlink>
      <w:r>
        <w:rPr>
          <w:bCs/>
          <w:noProof/>
          <w:sz w:val="22"/>
        </w:rPr>
        <w:t>).</w:t>
      </w:r>
    </w:p>
    <w:p>
      <w:pPr>
        <w:spacing w:after="120"/>
        <w:rPr>
          <w:rFonts w:cs="Times New Roman"/>
          <w:bCs/>
          <w:i/>
          <w:noProof/>
          <w:sz w:val="22"/>
        </w:rPr>
      </w:pPr>
      <w:r>
        <w:rPr>
          <w:bCs/>
          <w:noProof/>
          <w:sz w:val="22"/>
        </w:rPr>
        <w:t xml:space="preserve">Nejvyšší soud Kyperské republiky (2021), </w:t>
      </w:r>
      <w:r>
        <w:rPr>
          <w:bCs/>
          <w:i/>
          <w:noProof/>
          <w:sz w:val="22"/>
        </w:rPr>
        <w:t>příspěvek Nejvyššího soudu Kyperské republiky ke zprávě o právním státu pro rok 2021.</w:t>
      </w:r>
    </w:p>
    <w:p>
      <w:pPr>
        <w:spacing w:after="120"/>
        <w:rPr>
          <w:rFonts w:cs="Times New Roman"/>
          <w:i/>
          <w:iCs/>
          <w:noProof/>
          <w:sz w:val="22"/>
        </w:rPr>
      </w:pPr>
      <w:r>
        <w:rPr>
          <w:noProof/>
          <w:sz w:val="22"/>
        </w:rPr>
        <w:t xml:space="preserve">Transparency International (2021), </w:t>
      </w:r>
      <w:r>
        <w:rPr>
          <w:i/>
          <w:iCs/>
          <w:noProof/>
          <w:sz w:val="22"/>
        </w:rPr>
        <w:t>Index vnímání korupce za rok 2020</w:t>
      </w:r>
      <w:r>
        <w:rPr>
          <w:noProof/>
          <w:sz w:val="22"/>
        </w:rPr>
        <w:t>.</w:t>
      </w:r>
    </w:p>
    <w:p>
      <w:pPr>
        <w:pageBreakBefore/>
        <w:spacing w:after="120"/>
        <w:rPr>
          <w:rFonts w:eastAsia="Times New Roman" w:cs="Times New Roman"/>
          <w:b/>
          <w:noProof/>
          <w:sz w:val="22"/>
        </w:rPr>
      </w:pPr>
      <w:r>
        <w:rPr>
          <w:b/>
          <w:noProof/>
          <w:sz w:val="22"/>
        </w:rPr>
        <w:t>Příloha II: Návštěva Kypru</w:t>
      </w:r>
    </w:p>
    <w:p>
      <w:pPr>
        <w:spacing w:after="120"/>
        <w:rPr>
          <w:rFonts w:eastAsia="Times New Roman" w:cs="Times New Roman"/>
          <w:noProof/>
          <w:sz w:val="22"/>
          <w:shd w:val="clear" w:color="auto" w:fill="FFFFFF"/>
        </w:rPr>
      </w:pPr>
      <w:r>
        <w:rPr>
          <w:noProof/>
          <w:sz w:val="22"/>
        </w:rPr>
        <w:t>Útvary Komise uspořádaly v dubnu 2021 virtuální jednání s těmito účastníky:</w:t>
      </w:r>
    </w:p>
    <w:p>
      <w:pPr>
        <w:numPr>
          <w:ilvl w:val="0"/>
          <w:numId w:val="2"/>
        </w:numPr>
        <w:spacing w:after="120"/>
        <w:ind w:left="714" w:hanging="357"/>
        <w:contextualSpacing/>
        <w:rPr>
          <w:rFonts w:cs="Times New Roman"/>
          <w:noProof/>
          <w:sz w:val="22"/>
          <w:shd w:val="clear" w:color="auto" w:fill="FFFFFF"/>
        </w:rPr>
      </w:pPr>
      <w:r>
        <w:rPr>
          <w:noProof/>
          <w:sz w:val="22"/>
          <w:bdr w:val="none" w:sz="0" w:space="0" w:color="auto" w:frame="1"/>
        </w:rPr>
        <w:t xml:space="preserve">Ministerstvo spravedlnosti </w:t>
      </w:r>
    </w:p>
    <w:p>
      <w:pPr>
        <w:numPr>
          <w:ilvl w:val="0"/>
          <w:numId w:val="2"/>
        </w:numPr>
        <w:spacing w:after="120"/>
        <w:contextualSpacing/>
        <w:rPr>
          <w:rFonts w:cs="Times New Roman"/>
          <w:noProof/>
          <w:sz w:val="22"/>
          <w:shd w:val="clear" w:color="auto" w:fill="FFFFFF"/>
        </w:rPr>
      </w:pPr>
      <w:r>
        <w:rPr>
          <w:noProof/>
          <w:sz w:val="22"/>
          <w:shd w:val="clear" w:color="auto" w:fill="FFFFFF"/>
        </w:rPr>
        <w:t>Nejvyšší soud</w:t>
      </w:r>
    </w:p>
    <w:p>
      <w:pPr>
        <w:numPr>
          <w:ilvl w:val="0"/>
          <w:numId w:val="2"/>
        </w:numPr>
        <w:spacing w:after="120"/>
        <w:contextualSpacing/>
        <w:rPr>
          <w:rFonts w:cs="Times New Roman"/>
          <w:noProof/>
          <w:sz w:val="22"/>
          <w:shd w:val="clear" w:color="auto" w:fill="FFFFFF"/>
        </w:rPr>
      </w:pPr>
      <w:r>
        <w:rPr>
          <w:noProof/>
          <w:sz w:val="22"/>
          <w:shd w:val="clear" w:color="auto" w:fill="FFFFFF"/>
        </w:rPr>
        <w:t>Kyperská advokátní komora</w:t>
      </w:r>
    </w:p>
    <w:p>
      <w:pPr>
        <w:numPr>
          <w:ilvl w:val="0"/>
          <w:numId w:val="2"/>
        </w:numPr>
        <w:spacing w:after="120"/>
        <w:contextualSpacing/>
        <w:rPr>
          <w:rFonts w:cs="Times New Roman"/>
          <w:noProof/>
          <w:sz w:val="22"/>
          <w:shd w:val="clear" w:color="auto" w:fill="FFFFFF"/>
        </w:rPr>
      </w:pPr>
      <w:r>
        <w:rPr>
          <w:noProof/>
          <w:sz w:val="22"/>
          <w:shd w:val="clear" w:color="auto" w:fill="FFFFFF"/>
        </w:rPr>
        <w:t>Úřad pro transparentnost a předcházení korupci</w:t>
      </w:r>
    </w:p>
    <w:p>
      <w:pPr>
        <w:numPr>
          <w:ilvl w:val="0"/>
          <w:numId w:val="2"/>
        </w:numPr>
        <w:spacing w:after="120"/>
        <w:contextualSpacing/>
        <w:rPr>
          <w:rFonts w:cs="Times New Roman"/>
          <w:noProof/>
          <w:sz w:val="22"/>
          <w:shd w:val="clear" w:color="auto" w:fill="FFFFFF"/>
        </w:rPr>
      </w:pPr>
      <w:r>
        <w:rPr>
          <w:noProof/>
          <w:sz w:val="22"/>
          <w:shd w:val="clear" w:color="auto" w:fill="FFFFFF"/>
        </w:rPr>
        <w:t>Policie – útvar pro vnitřní záležitosti</w:t>
      </w:r>
    </w:p>
    <w:p>
      <w:pPr>
        <w:numPr>
          <w:ilvl w:val="0"/>
          <w:numId w:val="2"/>
        </w:numPr>
        <w:spacing w:after="120"/>
        <w:contextualSpacing/>
        <w:rPr>
          <w:rFonts w:cs="Times New Roman"/>
          <w:noProof/>
          <w:sz w:val="22"/>
          <w:shd w:val="clear" w:color="auto" w:fill="FFFFFF"/>
        </w:rPr>
      </w:pPr>
      <w:r>
        <w:rPr>
          <w:noProof/>
          <w:sz w:val="22"/>
          <w:shd w:val="clear" w:color="auto" w:fill="FFFFFF"/>
        </w:rPr>
        <w:t>Policie – úřad pro vyšetřování finančních trestných činů</w:t>
      </w:r>
    </w:p>
    <w:p>
      <w:pPr>
        <w:numPr>
          <w:ilvl w:val="0"/>
          <w:numId w:val="2"/>
        </w:numPr>
        <w:spacing w:after="120"/>
        <w:contextualSpacing/>
        <w:rPr>
          <w:rFonts w:cs="Times New Roman"/>
          <w:noProof/>
          <w:sz w:val="22"/>
          <w:shd w:val="clear" w:color="auto" w:fill="FFFFFF"/>
        </w:rPr>
      </w:pPr>
      <w:r>
        <w:rPr>
          <w:noProof/>
          <w:sz w:val="22"/>
          <w:shd w:val="clear" w:color="auto" w:fill="FFFFFF"/>
        </w:rPr>
        <w:t>Orgán pro rozhlasové a televizní vysílání</w:t>
      </w:r>
    </w:p>
    <w:p>
      <w:pPr>
        <w:numPr>
          <w:ilvl w:val="0"/>
          <w:numId w:val="2"/>
        </w:numPr>
        <w:spacing w:after="120"/>
        <w:contextualSpacing/>
        <w:rPr>
          <w:rFonts w:cs="Times New Roman"/>
          <w:noProof/>
          <w:sz w:val="22"/>
          <w:shd w:val="clear" w:color="auto" w:fill="FFFFFF"/>
        </w:rPr>
      </w:pPr>
      <w:r>
        <w:rPr>
          <w:noProof/>
          <w:sz w:val="22"/>
          <w:shd w:val="clear" w:color="auto" w:fill="FFFFFF"/>
        </w:rPr>
        <w:t>Tisková a informační kancelář</w:t>
      </w:r>
    </w:p>
    <w:p>
      <w:pPr>
        <w:numPr>
          <w:ilvl w:val="0"/>
          <w:numId w:val="2"/>
        </w:numPr>
        <w:spacing w:after="120"/>
        <w:contextualSpacing/>
        <w:rPr>
          <w:rFonts w:cs="Times New Roman"/>
          <w:noProof/>
          <w:sz w:val="22"/>
          <w:shd w:val="clear" w:color="auto" w:fill="FFFFFF"/>
        </w:rPr>
      </w:pPr>
      <w:r>
        <w:rPr>
          <w:noProof/>
          <w:sz w:val="22"/>
        </w:rPr>
        <w:t xml:space="preserve">Zástupci nejvyššího státního zástupce </w:t>
      </w:r>
    </w:p>
    <w:p>
      <w:pPr>
        <w:numPr>
          <w:ilvl w:val="0"/>
          <w:numId w:val="2"/>
        </w:numPr>
        <w:spacing w:after="120"/>
        <w:contextualSpacing/>
        <w:rPr>
          <w:rFonts w:cs="Times New Roman"/>
          <w:noProof/>
          <w:sz w:val="22"/>
          <w:shd w:val="clear" w:color="auto" w:fill="FFFFFF"/>
        </w:rPr>
      </w:pPr>
      <w:r>
        <w:rPr>
          <w:noProof/>
          <w:sz w:val="22"/>
          <w:shd w:val="clear" w:color="auto" w:fill="FFFFFF"/>
        </w:rPr>
        <w:t>Ministerstvo vnitra – sdělovací prostředky</w:t>
      </w:r>
    </w:p>
    <w:p>
      <w:pPr>
        <w:numPr>
          <w:ilvl w:val="0"/>
          <w:numId w:val="2"/>
        </w:numPr>
        <w:spacing w:after="120"/>
        <w:contextualSpacing/>
        <w:rPr>
          <w:rFonts w:cs="Times New Roman"/>
          <w:noProof/>
          <w:sz w:val="22"/>
          <w:shd w:val="clear" w:color="auto" w:fill="FFFFFF"/>
        </w:rPr>
      </w:pPr>
      <w:r>
        <w:rPr>
          <w:noProof/>
          <w:sz w:val="22"/>
          <w:shd w:val="clear" w:color="auto" w:fill="FFFFFF"/>
        </w:rPr>
        <w:t>Kyperské fórum pro bezúhonnost</w:t>
      </w:r>
    </w:p>
    <w:p>
      <w:pPr>
        <w:spacing w:after="120"/>
        <w:contextualSpacing/>
        <w:rPr>
          <w:rFonts w:cs="Times New Roman"/>
          <w:noProof/>
          <w:sz w:val="22"/>
          <w:shd w:val="clear" w:color="auto" w:fill="FFFFFF"/>
        </w:rPr>
      </w:pPr>
    </w:p>
    <w:p>
      <w:pPr>
        <w:spacing w:after="120"/>
        <w:contextualSpacing/>
        <w:rPr>
          <w:rFonts w:cs="Times New Roman"/>
          <w:noProof/>
          <w:sz w:val="22"/>
          <w:shd w:val="clear" w:color="auto" w:fill="FFFFFF"/>
        </w:rPr>
      </w:pPr>
      <w:r>
        <w:rPr>
          <w:noProof/>
          <w:sz w:val="22"/>
          <w:shd w:val="clear" w:color="auto" w:fill="FFFFFF"/>
        </w:rPr>
        <w:t>* Komise se na řadě horizontálních jednání setkala rovněž s těmito organizacemi:</w:t>
      </w:r>
    </w:p>
    <w:p>
      <w:pPr>
        <w:numPr>
          <w:ilvl w:val="0"/>
          <w:numId w:val="13"/>
        </w:numPr>
        <w:spacing w:after="120"/>
        <w:contextualSpacing/>
        <w:rPr>
          <w:rFonts w:cs="Times New Roman"/>
          <w:noProof/>
          <w:sz w:val="22"/>
          <w:shd w:val="clear" w:color="auto" w:fill="FFFFFF"/>
        </w:rPr>
      </w:pPr>
      <w:r>
        <w:rPr>
          <w:noProof/>
          <w:sz w:val="22"/>
          <w:shd w:val="clear" w:color="auto" w:fill="FFFFFF"/>
        </w:rPr>
        <w:t>Amnesty International</w:t>
      </w:r>
    </w:p>
    <w:p>
      <w:pPr>
        <w:numPr>
          <w:ilvl w:val="0"/>
          <w:numId w:val="13"/>
        </w:numPr>
        <w:spacing w:after="120"/>
        <w:contextualSpacing/>
        <w:rPr>
          <w:rFonts w:cs="Times New Roman"/>
          <w:noProof/>
          <w:sz w:val="22"/>
          <w:shd w:val="clear" w:color="auto" w:fill="FFFFFF"/>
        </w:rPr>
      </w:pPr>
      <w:r>
        <w:rPr>
          <w:noProof/>
          <w:sz w:val="22"/>
          <w:shd w:val="clear" w:color="auto" w:fill="FFFFFF"/>
        </w:rPr>
        <w:t>Centrum pro reprodukční práva</w:t>
      </w:r>
    </w:p>
    <w:p>
      <w:pPr>
        <w:numPr>
          <w:ilvl w:val="0"/>
          <w:numId w:val="13"/>
        </w:numPr>
        <w:spacing w:after="120"/>
        <w:contextualSpacing/>
        <w:rPr>
          <w:rFonts w:cs="Times New Roman"/>
          <w:noProof/>
          <w:sz w:val="22"/>
          <w:shd w:val="clear" w:color="auto" w:fill="FFFFFF"/>
        </w:rPr>
      </w:pPr>
      <w:r>
        <w:rPr>
          <w:noProof/>
          <w:sz w:val="22"/>
          <w:shd w:val="clear" w:color="auto" w:fill="FFFFFF"/>
        </w:rPr>
        <w:t>CIVICUS</w:t>
      </w:r>
    </w:p>
    <w:p>
      <w:pPr>
        <w:numPr>
          <w:ilvl w:val="0"/>
          <w:numId w:val="13"/>
        </w:numPr>
        <w:spacing w:after="120"/>
        <w:contextualSpacing/>
        <w:rPr>
          <w:rFonts w:cs="Times New Roman"/>
          <w:noProof/>
          <w:sz w:val="22"/>
          <w:shd w:val="clear" w:color="auto" w:fill="FFFFFF"/>
        </w:rPr>
      </w:pPr>
      <w:r>
        <w:rPr>
          <w:noProof/>
          <w:sz w:val="22"/>
          <w:shd w:val="clear" w:color="auto" w:fill="FFFFFF"/>
        </w:rPr>
        <w:t>Unie pro občanské svobody v Evropě</w:t>
      </w:r>
    </w:p>
    <w:p>
      <w:pPr>
        <w:numPr>
          <w:ilvl w:val="0"/>
          <w:numId w:val="13"/>
        </w:numPr>
        <w:spacing w:after="120"/>
        <w:contextualSpacing/>
        <w:rPr>
          <w:rFonts w:cs="Times New Roman"/>
          <w:noProof/>
          <w:sz w:val="22"/>
          <w:shd w:val="clear" w:color="auto" w:fill="FFFFFF"/>
        </w:rPr>
      </w:pPr>
      <w:r>
        <w:rPr>
          <w:noProof/>
          <w:sz w:val="22"/>
          <w:shd w:val="clear" w:color="auto" w:fill="FFFFFF"/>
        </w:rPr>
        <w:t>Civil Society Europe</w:t>
      </w:r>
    </w:p>
    <w:p>
      <w:pPr>
        <w:numPr>
          <w:ilvl w:val="0"/>
          <w:numId w:val="13"/>
        </w:numPr>
        <w:spacing w:after="120"/>
        <w:contextualSpacing/>
        <w:rPr>
          <w:rFonts w:cs="Times New Roman"/>
          <w:noProof/>
          <w:sz w:val="22"/>
          <w:shd w:val="clear" w:color="auto" w:fill="FFFFFF"/>
        </w:rPr>
      </w:pPr>
      <w:r>
        <w:rPr>
          <w:noProof/>
          <w:sz w:val="22"/>
          <w:shd w:val="clear" w:color="auto" w:fill="FFFFFF"/>
        </w:rPr>
        <w:t>Konference evropských církví</w:t>
      </w:r>
    </w:p>
    <w:p>
      <w:pPr>
        <w:numPr>
          <w:ilvl w:val="0"/>
          <w:numId w:val="13"/>
        </w:numPr>
        <w:spacing w:after="120"/>
        <w:contextualSpacing/>
        <w:rPr>
          <w:rFonts w:cs="Times New Roman"/>
          <w:noProof/>
          <w:sz w:val="22"/>
          <w:shd w:val="clear" w:color="auto" w:fill="FFFFFF"/>
        </w:rPr>
      </w:pPr>
      <w:r>
        <w:rPr>
          <w:noProof/>
          <w:sz w:val="22"/>
          <w:shd w:val="clear" w:color="auto" w:fill="FFFFFF"/>
        </w:rPr>
        <w:t>EuroCommerce</w:t>
      </w:r>
    </w:p>
    <w:p>
      <w:pPr>
        <w:numPr>
          <w:ilvl w:val="0"/>
          <w:numId w:val="13"/>
        </w:numPr>
        <w:spacing w:after="120"/>
        <w:contextualSpacing/>
        <w:rPr>
          <w:rFonts w:cs="Times New Roman"/>
          <w:noProof/>
          <w:sz w:val="22"/>
          <w:shd w:val="clear" w:color="auto" w:fill="FFFFFF"/>
        </w:rPr>
      </w:pPr>
      <w:r>
        <w:rPr>
          <w:noProof/>
          <w:sz w:val="22"/>
          <w:shd w:val="clear" w:color="auto" w:fill="FFFFFF"/>
        </w:rPr>
        <w:t>Evropské středisko pro právní záležitosti neziskového sektoru</w:t>
      </w:r>
    </w:p>
    <w:p>
      <w:pPr>
        <w:numPr>
          <w:ilvl w:val="0"/>
          <w:numId w:val="13"/>
        </w:numPr>
        <w:spacing w:after="120"/>
        <w:contextualSpacing/>
        <w:rPr>
          <w:rFonts w:cs="Times New Roman"/>
          <w:noProof/>
          <w:sz w:val="22"/>
          <w:shd w:val="clear" w:color="auto" w:fill="FFFFFF"/>
        </w:rPr>
      </w:pPr>
      <w:r>
        <w:rPr>
          <w:noProof/>
          <w:sz w:val="22"/>
          <w:shd w:val="clear" w:color="auto" w:fill="FFFFFF"/>
        </w:rPr>
        <w:t>Evropské středisko pro svobodu tisku a sdělovacích prostředků</w:t>
      </w:r>
    </w:p>
    <w:p>
      <w:pPr>
        <w:numPr>
          <w:ilvl w:val="0"/>
          <w:numId w:val="13"/>
        </w:numPr>
        <w:spacing w:after="120"/>
        <w:contextualSpacing/>
        <w:rPr>
          <w:rFonts w:cs="Times New Roman"/>
          <w:noProof/>
          <w:sz w:val="22"/>
          <w:shd w:val="clear" w:color="auto" w:fill="FFFFFF"/>
        </w:rPr>
      </w:pPr>
      <w:r>
        <w:rPr>
          <w:noProof/>
          <w:sz w:val="22"/>
          <w:shd w:val="clear" w:color="auto" w:fill="FFFFFF"/>
        </w:rPr>
        <w:t>Evropské občanské fórum</w:t>
      </w:r>
    </w:p>
    <w:p>
      <w:pPr>
        <w:numPr>
          <w:ilvl w:val="0"/>
          <w:numId w:val="13"/>
        </w:numPr>
        <w:spacing w:after="120"/>
        <w:contextualSpacing/>
        <w:rPr>
          <w:rFonts w:cs="Times New Roman"/>
          <w:noProof/>
          <w:sz w:val="22"/>
          <w:shd w:val="clear" w:color="auto" w:fill="FFFFFF"/>
        </w:rPr>
      </w:pPr>
      <w:r>
        <w:rPr>
          <w:noProof/>
          <w:sz w:val="22"/>
          <w:shd w:val="clear" w:color="auto" w:fill="FFFFFF"/>
        </w:rPr>
        <w:t>Evropská federace novinářů</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Evropské partnerství pro demokracii </w:t>
      </w:r>
    </w:p>
    <w:p>
      <w:pPr>
        <w:numPr>
          <w:ilvl w:val="0"/>
          <w:numId w:val="13"/>
        </w:numPr>
        <w:spacing w:after="120"/>
        <w:contextualSpacing/>
        <w:rPr>
          <w:rFonts w:cs="Times New Roman"/>
          <w:noProof/>
          <w:sz w:val="22"/>
          <w:shd w:val="clear" w:color="auto" w:fill="FFFFFF"/>
        </w:rPr>
      </w:pPr>
      <w:r>
        <w:rPr>
          <w:noProof/>
          <w:sz w:val="22"/>
          <w:shd w:val="clear" w:color="auto" w:fill="FFFFFF"/>
        </w:rPr>
        <w:t>Evropské fórum mládeže</w:t>
      </w:r>
    </w:p>
    <w:p>
      <w:pPr>
        <w:numPr>
          <w:ilvl w:val="0"/>
          <w:numId w:val="13"/>
        </w:numPr>
        <w:spacing w:after="120"/>
        <w:contextualSpacing/>
        <w:rPr>
          <w:rFonts w:cs="Times New Roman"/>
          <w:noProof/>
          <w:sz w:val="22"/>
          <w:shd w:val="clear" w:color="auto" w:fill="FFFFFF"/>
        </w:rPr>
      </w:pPr>
      <w:r>
        <w:rPr>
          <w:noProof/>
          <w:sz w:val="22"/>
          <w:shd w:val="clear" w:color="auto" w:fill="FFFFFF"/>
        </w:rPr>
        <w:t>Front Line Defenders</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House Foundation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Watch </w:t>
      </w:r>
    </w:p>
    <w:p>
      <w:pPr>
        <w:numPr>
          <w:ilvl w:val="0"/>
          <w:numId w:val="13"/>
        </w:numPr>
        <w:spacing w:after="120"/>
        <w:contextualSpacing/>
        <w:rPr>
          <w:rFonts w:cs="Times New Roman"/>
          <w:noProof/>
          <w:sz w:val="22"/>
          <w:shd w:val="clear" w:color="auto" w:fill="FFFFFF"/>
        </w:rPr>
      </w:pPr>
      <w:r>
        <w:rPr>
          <w:noProof/>
          <w:sz w:val="22"/>
          <w:shd w:val="clear" w:color="auto" w:fill="FFFFFF"/>
        </w:rPr>
        <w:t>evropská pobočka Mezinárodní asociace leseb a gayů (ILGA-Europe)</w:t>
      </w:r>
    </w:p>
    <w:p>
      <w:pPr>
        <w:numPr>
          <w:ilvl w:val="0"/>
          <w:numId w:val="13"/>
        </w:numPr>
        <w:spacing w:after="120"/>
        <w:contextualSpacing/>
        <w:rPr>
          <w:rFonts w:cs="Times New Roman"/>
          <w:noProof/>
          <w:sz w:val="22"/>
          <w:shd w:val="clear" w:color="auto" w:fill="FFFFFF"/>
        </w:rPr>
      </w:pPr>
      <w:r>
        <w:rPr>
          <w:noProof/>
          <w:sz w:val="22"/>
          <w:shd w:val="clear" w:color="auto" w:fill="FFFFFF"/>
        </w:rPr>
        <w:t>Mezinárodní výbor právníků</w:t>
      </w:r>
    </w:p>
    <w:p>
      <w:pPr>
        <w:numPr>
          <w:ilvl w:val="0"/>
          <w:numId w:val="13"/>
        </w:numPr>
        <w:spacing w:after="120"/>
        <w:contextualSpacing/>
        <w:rPr>
          <w:rFonts w:cs="Times New Roman"/>
          <w:noProof/>
          <w:sz w:val="22"/>
          <w:shd w:val="clear" w:color="auto" w:fill="FFFFFF"/>
        </w:rPr>
      </w:pPr>
      <w:r>
        <w:rPr>
          <w:noProof/>
          <w:sz w:val="22"/>
          <w:shd w:val="clear" w:color="auto" w:fill="FFFFFF"/>
        </w:rPr>
        <w:t>Mezinárodní federace pro lidská práva</w:t>
      </w:r>
    </w:p>
    <w:p>
      <w:pPr>
        <w:numPr>
          <w:ilvl w:val="0"/>
          <w:numId w:val="13"/>
        </w:numPr>
        <w:spacing w:after="120"/>
        <w:contextualSpacing/>
        <w:rPr>
          <w:rFonts w:cs="Times New Roman"/>
          <w:noProof/>
          <w:sz w:val="22"/>
          <w:shd w:val="clear" w:color="auto" w:fill="FFFFFF"/>
        </w:rPr>
      </w:pPr>
      <w:r>
        <w:rPr>
          <w:noProof/>
          <w:sz w:val="22"/>
          <w:shd w:val="clear" w:color="auto" w:fill="FFFFFF"/>
        </w:rPr>
        <w:t>Mezinárodní federace plánovaného rodičovství – evropská síť (IPPF EN)</w:t>
      </w:r>
    </w:p>
    <w:p>
      <w:pPr>
        <w:numPr>
          <w:ilvl w:val="0"/>
          <w:numId w:val="13"/>
        </w:numPr>
        <w:spacing w:after="120"/>
        <w:contextualSpacing/>
        <w:rPr>
          <w:rFonts w:cs="Times New Roman"/>
          <w:noProof/>
          <w:sz w:val="22"/>
          <w:shd w:val="clear" w:color="auto" w:fill="FFFFFF"/>
        </w:rPr>
      </w:pPr>
      <w:r>
        <w:rPr>
          <w:noProof/>
          <w:sz w:val="22"/>
          <w:shd w:val="clear" w:color="auto" w:fill="FFFFFF"/>
        </w:rPr>
        <w:t>Mezinárodní tiskový institut</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Nizozemský helsinský výbor </w:t>
      </w:r>
    </w:p>
    <w:p>
      <w:pPr>
        <w:numPr>
          <w:ilvl w:val="0"/>
          <w:numId w:val="13"/>
        </w:numPr>
        <w:spacing w:after="120"/>
        <w:contextualSpacing/>
        <w:rPr>
          <w:rFonts w:cs="Times New Roman"/>
          <w:noProof/>
          <w:sz w:val="22"/>
          <w:shd w:val="clear" w:color="auto" w:fill="FFFFFF"/>
        </w:rPr>
      </w:pPr>
      <w:r>
        <w:rPr>
          <w:noProof/>
          <w:sz w:val="22"/>
          <w:shd w:val="clear" w:color="auto" w:fill="FFFFFF"/>
        </w:rPr>
        <w:t>Institut pro otevřenou společnost a evropské politiky</w:t>
      </w:r>
    </w:p>
    <w:p>
      <w:pPr>
        <w:numPr>
          <w:ilvl w:val="0"/>
          <w:numId w:val="13"/>
        </w:numPr>
        <w:spacing w:after="120"/>
        <w:contextualSpacing/>
        <w:rPr>
          <w:rFonts w:cs="Times New Roman"/>
          <w:noProof/>
          <w:sz w:val="22"/>
          <w:shd w:val="clear" w:color="auto" w:fill="FFFFFF"/>
        </w:rPr>
      </w:pPr>
      <w:r>
        <w:rPr>
          <w:noProof/>
          <w:sz w:val="22"/>
          <w:shd w:val="clear" w:color="auto" w:fill="FFFFFF"/>
        </w:rPr>
        <w:t>Philanthropy Advocacy</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Protection International </w:t>
      </w:r>
    </w:p>
    <w:p>
      <w:pPr>
        <w:numPr>
          <w:ilvl w:val="0"/>
          <w:numId w:val="13"/>
        </w:numPr>
        <w:spacing w:after="120"/>
        <w:contextualSpacing/>
        <w:rPr>
          <w:rFonts w:cs="Times New Roman"/>
          <w:noProof/>
          <w:sz w:val="22"/>
          <w:shd w:val="clear" w:color="auto" w:fill="FFFFFF"/>
        </w:rPr>
      </w:pPr>
      <w:r>
        <w:rPr>
          <w:noProof/>
          <w:sz w:val="22"/>
          <w:shd w:val="clear" w:color="auto" w:fill="FFFFFF"/>
        </w:rPr>
        <w:t>Reportéři bez hranic</w:t>
      </w:r>
    </w:p>
    <w:p>
      <w:pPr>
        <w:numPr>
          <w:ilvl w:val="0"/>
          <w:numId w:val="13"/>
        </w:numPr>
        <w:spacing w:after="120"/>
        <w:contextualSpacing/>
        <w:rPr>
          <w:rFonts w:cs="Times New Roman"/>
          <w:noProof/>
          <w:sz w:val="22"/>
          <w:shd w:val="clear" w:color="auto" w:fill="FFFFFF"/>
        </w:rPr>
      </w:pPr>
      <w:r>
        <w:rPr>
          <w:noProof/>
          <w:sz w:val="22"/>
          <w:shd w:val="clear" w:color="auto" w:fill="FFFFFF"/>
        </w:rPr>
        <w:t>Transparency International EU</w:t>
      </w:r>
    </w:p>
    <w:p>
      <w:pPr>
        <w:spacing w:after="120"/>
        <w:contextualSpacing/>
        <w:rPr>
          <w:rFonts w:cs="Times New Roman"/>
          <w:noProof/>
          <w:sz w:val="22"/>
          <w:shd w:val="clear" w:color="auto" w:fill="FFFFFF"/>
          <w:lang w:val="en-IE"/>
        </w:rPr>
      </w:pPr>
    </w:p>
    <w:p>
      <w:pPr>
        <w:pBdr>
          <w:top w:val="single" w:sz="4" w:space="1" w:color="auto"/>
          <w:left w:val="single" w:sz="4" w:space="0" w:color="auto"/>
          <w:bottom w:val="single" w:sz="4" w:space="7" w:color="auto"/>
          <w:right w:val="single" w:sz="4" w:space="4" w:color="auto"/>
        </w:pBdr>
        <w:rPr>
          <w:rFonts w:cs="Times New Roman"/>
          <w:noProof/>
          <w:sz w:val="22"/>
          <w:shd w:val="clear" w:color="auto" w:fill="FFFFFF"/>
          <w:lang w:val="en-IE"/>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560D8F" w16cex:dateUtc="2021-05-02T07:57:33.875Z"/>
  <w16cex:commentExtensible w16cex:durableId="5D54AC24" w16cex:dateUtc="2021-05-02T08:14:35.188Z"/>
  <w16cex:commentExtensible w16cex:durableId="29A8A50E" w16cex:dateUtc="2021-05-03T10:41:44.703Z"/>
  <w16cex:commentExtensible w16cex:durableId="2D93D7A4" w16cex:dateUtc="2021-05-03T10:43:53.409Z"/>
  <w16cex:commentExtensible w16cex:durableId="053B61BA" w16cex:dateUtc="2021-05-03T10:47:25.25Z"/>
  <w16cex:commentExtensible w16cex:durableId="1CF36120" w16cex:dateUtc="2021-05-03T10:50:01.935Z"/>
  <w16cex:commentExtensible w16cex:durableId="6E1F52D3" w16cex:dateUtc="2021-05-03T10:51:15.482Z"/>
  <w16cex:commentExtensible w16cex:durableId="4959B330" w16cex:dateUtc="2021-05-03T11:01:24.143Z"/>
  <w16cex:commentExtensible w16cex:durableId="3AD66359" w16cex:dateUtc="2021-05-03T11:03:37.986Z"/>
  <w16cex:commentExtensible w16cex:durableId="38D34018" w16cex:dateUtc="2021-05-03T11:04:47.83Z"/>
  <w16cex:commentExtensible w16cex:durableId="6C3F3410" w16cex:dateUtc="2021-05-03T11:05:21.199Z"/>
  <w16cex:commentExtensible w16cex:durableId="5E44F0C0" w16cex:dateUtc="2021-05-03T11:06:55.998Z"/>
  <w16cex:commentExtensible w16cex:durableId="134EF830" w16cex:dateUtc="2021-05-03T11:08:01.916Z"/>
  <w16cex:commentExtensible w16cex:durableId="3C1A14CA" w16cex:dateUtc="2021-05-03T11:12:40.697Z"/>
  <w16cex:commentExtensible w16cex:durableId="17C03F18" w16cex:dateUtc="2021-05-03T11:18:05.55Z"/>
  <w16cex:commentExtensible w16cex:durableId="3B5BB2CC" w16cex:dateUtc="2021-05-03T11:28:04.922Z"/>
  <w16cex:commentExtensible w16cex:durableId="7105AE7D" w16cex:dateUtc="2021-05-03T11:29:01.163Z"/>
  <w16cex:commentExtensible w16cex:durableId="4193B5E5" w16cex:dateUtc="2021-05-03T12:21:16.191Z"/>
</w16cex:commentsExtensible>
</file>

<file path=word/commentsIds.xml><?xml version="1.0" encoding="utf-8"?>
<w16cid:commentsIds xmlns:mc="http://schemas.openxmlformats.org/markup-compatibility/2006" xmlns:w16cid="http://schemas.microsoft.com/office/word/2016/wordml/cid" mc:Ignorable="w16cid">
  <w16cid:commentId w16cid:paraId="7F58061A" w16cid:durableId="443CB60F"/>
  <w16cid:commentId w16cid:paraId="19E4D605" w16cid:durableId="615B7C9E"/>
  <w16cid:commentId w16cid:paraId="55B20530" w16cid:durableId="28420AC1"/>
  <w16cid:commentId w16cid:paraId="1CE1EF3D" w16cid:durableId="121F2438"/>
  <w16cid:commentId w16cid:paraId="6DBAD076" w16cid:durableId="0AD04A60"/>
  <w16cid:commentId w16cid:paraId="3CA568C7" w16cid:durableId="1C34F9E4"/>
  <w16cid:commentId w16cid:paraId="23A2759F" w16cid:durableId="7C9CC4D1"/>
  <w16cid:commentId w16cid:paraId="7E8E843D" w16cid:durableId="421D84C1"/>
  <w16cid:commentId w16cid:paraId="7531E4AB" w16cid:durableId="78EAF405"/>
  <w16cid:commentId w16cid:paraId="3E21561C" w16cid:durableId="65E2B4CF"/>
  <w16cid:commentId w16cid:paraId="73B349B0" w16cid:durableId="479FF7C5"/>
  <w16cid:commentId w16cid:paraId="0B925E49" w16cid:durableId="480A3563"/>
  <w16cid:commentId w16cid:paraId="3F1F8591" w16cid:durableId="68F8CDA0"/>
  <w16cid:commentId w16cid:paraId="256B4D00" w16cid:durableId="421124FC"/>
  <w16cid:commentId w16cid:paraId="34AA7F78" w16cid:durableId="695E2206"/>
  <w16cid:commentId w16cid:paraId="3E19BF9B" w16cid:durableId="4C5D68E9"/>
  <w16cid:commentId w16cid:paraId="01BFB5C3" w16cid:durableId="2D58CC60"/>
  <w16cid:commentId w16cid:paraId="0E4AB3B7" w16cid:durableId="261D7450"/>
  <w16cid:commentId w16cid:paraId="4FB2433F" w16cid:durableId="3A5008CA"/>
  <w16cid:commentId w16cid:paraId="7E98E88B" w16cid:durableId="0FD8DA7E"/>
  <w16cid:commentId w16cid:paraId="5DA6B7CD" w16cid:durableId="0313A49B"/>
  <w16cid:commentId w16cid:paraId="5E0CD234" w16cid:durableId="4B7CFA09"/>
  <w16cid:commentId w16cid:paraId="69C4A880" w16cid:durableId="41080596"/>
  <w16cid:commentId w16cid:paraId="3804E784" w16cid:durableId="245CEAB5"/>
  <w16cid:commentId w16cid:paraId="1D71F3F0" w16cid:durableId="4DD5C797"/>
  <w16cid:commentId w16cid:paraId="17F703DD" w16cid:durableId="3D186AB6"/>
  <w16cid:commentId w16cid:paraId="6661E124" w16cid:durableId="61F38679"/>
  <w16cid:commentId w16cid:paraId="235B2E46" w16cid:durableId="5525BF02"/>
  <w16cid:commentId w16cid:paraId="7DA17E45" w16cid:durableId="56BAB4E9"/>
  <w16cid:commentId w16cid:paraId="62B92675" w16cid:durableId="4811F665"/>
  <w16cid:commentId w16cid:paraId="4FBCAB8B" w16cid:durableId="344D8DBD"/>
  <w16cid:commentId w16cid:paraId="71B71F7F" w16cid:durableId="1F5529CE"/>
  <w16cid:commentId w16cid:paraId="08EF4130" w16cid:durableId="0F5FE77B"/>
  <w16cid:commentId w16cid:paraId="6439D64C" w16cid:durableId="55075831"/>
  <w16cid:commentId w16cid:paraId="494E8770" w16cid:durableId="09C90521"/>
  <w16cid:commentId w16cid:paraId="11C4546C" w16cid:durableId="5D291631"/>
  <w16cid:commentId w16cid:paraId="28FB5689" w16cid:durableId="3777F78C"/>
  <w16cid:commentId w16cid:paraId="48FC7DD4" w16cid:durableId="7D037397"/>
  <w16cid:commentId w16cid:paraId="389A47A9" w16cid:durableId="4B91C453"/>
  <w16cid:commentId w16cid:paraId="14491CC4" w16cid:durableId="5D3CB3CA"/>
  <w16cid:commentId w16cid:paraId="53FB143E" w16cid:durableId="35087433"/>
  <w16cid:commentId w16cid:paraId="62446EBB" w16cid:durableId="18D99C0D"/>
  <w16cid:commentId w16cid:paraId="4A5B4F99" w16cid:durableId="51CB75ED"/>
  <w16cid:commentId w16cid:paraId="2C098ECE" w16cid:durableId="55EBD52D"/>
  <w16cid:commentId w16cid:paraId="05B82FBC" w16cid:durableId="44D18A1B"/>
  <w16cid:commentId w16cid:paraId="060BE9EF" w16cid:durableId="5BC882CE"/>
  <w16cid:commentId w16cid:paraId="12B7893D" w16cid:durableId="61FE24B2"/>
  <w16cid:commentId w16cid:paraId="34F1674C" w16cid:durableId="058F2FB7"/>
  <w16cid:commentId w16cid:paraId="2618B18B" w16cid:durableId="0FD01482"/>
  <w16cid:commentId w16cid:paraId="65402E56" w16cid:durableId="12143813"/>
  <w16cid:commentId w16cid:paraId="58CF2305" w16cid:durableId="39F79E74"/>
  <w16cid:commentId w16cid:paraId="4D996EA4" w16cid:durableId="09DE5ECC"/>
  <w16cid:commentId w16cid:paraId="5948B82A" w16cid:durableId="569FF0C5"/>
  <w16cid:commentId w16cid:paraId="75D0AB1A" w16cid:durableId="17C63FFA"/>
  <w16cid:commentId w16cid:paraId="454F494D" w16cid:durableId="3308649D"/>
  <w16cid:commentId w16cid:paraId="12D2AEB8" w16cid:durableId="78BFBC05"/>
  <w16cid:commentId w16cid:paraId="3C30A3F8" w16cid:durableId="20537708"/>
  <w16cid:commentId w16cid:paraId="16D26E8F" w16cid:durableId="03E5200C"/>
  <w16cid:commentId w16cid:paraId="5BBDB0CD" w16cid:durableId="44495CA0"/>
  <w16cid:commentId w16cid:paraId="038FCECB" w16cid:durableId="4DB7DFA9"/>
  <w16cid:commentId w16cid:paraId="4ABD580D" w16cid:durableId="3A41736A"/>
  <w16cid:commentId w16cid:paraId="6AB79435" w16cid:durableId="277705CF"/>
  <w16cid:commentId w16cid:paraId="5FB2FEA2" w16cid:durableId="6B62CFD7"/>
  <w16cid:commentId w16cid:paraId="2B0C2B0D" w16cid:durableId="30D8FDA0"/>
  <w16cid:commentId w16cid:paraId="248923B3" w16cid:durableId="31952712"/>
  <w16cid:commentId w16cid:paraId="4285A035" w16cid:durableId="284ACDF7"/>
  <w16cid:commentId w16cid:paraId="6CB51CCE" w16cid:durableId="38AA4DE8"/>
  <w16cid:commentId w16cid:paraId="44C398F9" w16cid:durableId="13F1756F"/>
  <w16cid:commentId w16cid:paraId="38A3D2F4" w16cid:durableId="38481FDB"/>
  <w16cid:commentId w16cid:paraId="5809F527" w16cid:durableId="0C350BD5"/>
  <w16cid:commentId w16cid:paraId="7DEC5E78" w16cid:durableId="14E5715D"/>
  <w16cid:commentId w16cid:paraId="56C31B67" w16cid:durableId="305558C8"/>
  <w16cid:commentId w16cid:paraId="4E95FD4B" w16cid:durableId="5A8BAFFC"/>
  <w16cid:commentId w16cid:paraId="4FE25A85" w16cid:durableId="5D1354FF"/>
  <w16cid:commentId w16cid:paraId="173FA43B" w16cid:durableId="5AD0664A"/>
  <w16cid:commentId w16cid:paraId="2BA13198" w16cid:durableId="6A3A088D"/>
  <w16cid:commentId w16cid:paraId="6D053A14" w16cid:durableId="79B1841B"/>
  <w16cid:commentId w16cid:paraId="22AAF518" w16cid:durableId="6B1C3068"/>
  <w16cid:commentId w16cid:paraId="1AA18D5B" w16cid:durableId="5F8B6099"/>
  <w16cid:commentId w16cid:paraId="25AA45E0" w16cid:durableId="720D44C8"/>
  <w16cid:commentId w16cid:paraId="3F5B1D0F" w16cid:durableId="5B1A4603"/>
  <w16cid:commentId w16cid:paraId="115CD928" w16cid:durableId="5C6456C2"/>
  <w16cid:commentId w16cid:paraId="4037E9A0" w16cid:durableId="4555AA80"/>
  <w16cid:commentId w16cid:paraId="22F7BFF4" w16cid:durableId="44A67CD6"/>
  <w16cid:commentId w16cid:paraId="59DDB285" w16cid:durableId="0E1A57F1"/>
  <w16cid:commentId w16cid:paraId="4224D562" w16cid:durableId="2A6F2EF1"/>
  <w16cid:commentId w16cid:paraId="0C9D0F2E" w16cid:durableId="48B53908"/>
  <w16cid:commentId w16cid:paraId="5ADD62FE" w16cid:durableId="7799A780"/>
  <w16cid:commentId w16cid:paraId="3F6FC11F" w16cid:durableId="21FEF394"/>
  <w16cid:commentId w16cid:paraId="52358AAF" w16cid:durableId="1109491B"/>
  <w16cid:commentId w16cid:paraId="5AA7E5BD" w16cid:durableId="3CD59F29"/>
  <w16cid:commentId w16cid:paraId="1EF2EEF5" w16cid:durableId="3392D780"/>
  <w16cid:commentId w16cid:paraId="0845EF56" w16cid:durableId="38BA16F7"/>
  <w16cid:commentId w16cid:paraId="60B4F609" w16cid:durableId="7DD9E4A9"/>
  <w16cid:commentId w16cid:paraId="0F22E749" w16cid:durableId="22FB4060"/>
  <w16cid:commentId w16cid:paraId="1AF7D013" w16cid:durableId="0D916E64"/>
  <w16cid:commentId w16cid:paraId="6150CA3B" w16cid:durableId="2D76CC35"/>
  <w16cid:commentId w16cid:paraId="4FFC04C0" w16cid:durableId="20F2784D"/>
  <w16cid:commentId w16cid:paraId="6E741CFD" w16cid:durableId="2456AE1B"/>
  <w16cid:commentId w16cid:paraId="5B87EB8E" w16cid:durableId="1C86BC24"/>
  <w16cid:commentId w16cid:paraId="57F583AB" w16cid:durableId="231E34E6"/>
  <w16cid:commentId w16cid:paraId="26A2CA7F" w16cid:durableId="4E0CAF43"/>
  <w16cid:commentId w16cid:paraId="6E5A7B23" w16cid:durableId="4D470FDB"/>
  <w16cid:commentId w16cid:paraId="20302268" w16cid:durableId="039B08AD"/>
  <w16cid:commentId w16cid:paraId="1DC40557" w16cid:durableId="7D2EC6B5"/>
  <w16cid:commentId w16cid:paraId="7096AE19" w16cid:durableId="09A245AC"/>
  <w16cid:commentId w16cid:paraId="0FB90548" w16cid:durableId="2F52AECF"/>
  <w16cid:commentId w16cid:paraId="45D12290" w16cid:durableId="798C9BC5"/>
  <w16cid:commentId w16cid:paraId="3B1AF4D2" w16cid:durableId="3CF5D9AF"/>
  <w16cid:commentId w16cid:paraId="31B80574" w16cid:durableId="48CE5C0F"/>
  <w16cid:commentId w16cid:paraId="60F8F98F" w16cid:durableId="00560D8F"/>
  <w16cid:commentId w16cid:paraId="0E8971A6" w16cid:durableId="5D54AC24"/>
  <w16cid:commentId w16cid:paraId="63835AA5" w16cid:durableId="1200AF1B"/>
  <w16cid:commentId w16cid:paraId="743F00F8" w16cid:durableId="5F1AFD6A"/>
  <w16cid:commentId w16cid:paraId="26F40EF3" w16cid:durableId="29A8A50E"/>
  <w16cid:commentId w16cid:paraId="0610DE11" w16cid:durableId="2D93D7A4"/>
  <w16cid:commentId w16cid:paraId="261A306F" w16cid:durableId="053B61BA"/>
  <w16cid:commentId w16cid:paraId="780F8F67" w16cid:durableId="1CF36120"/>
  <w16cid:commentId w16cid:paraId="12072800" w16cid:durableId="6E1F52D3"/>
  <w16cid:commentId w16cid:paraId="373086AF" w16cid:durableId="4959B330"/>
  <w16cid:commentId w16cid:paraId="739A2D6D" w16cid:durableId="3AD66359"/>
  <w16cid:commentId w16cid:paraId="3758F34B" w16cid:durableId="38D34018"/>
  <w16cid:commentId w16cid:paraId="6EDFC3F5" w16cid:durableId="6C3F3410"/>
  <w16cid:commentId w16cid:paraId="67AC2F24" w16cid:durableId="5E44F0C0"/>
  <w16cid:commentId w16cid:paraId="2FD4A793" w16cid:durableId="134EF830"/>
  <w16cid:commentId w16cid:paraId="0C849393" w16cid:durableId="3C1A14CA"/>
  <w16cid:commentId w16cid:paraId="2CFBD6C8" w16cid:durableId="17C03F18"/>
  <w16cid:commentId w16cid:paraId="15A4139A" w16cid:durableId="3B5BB2CC"/>
  <w16cid:commentId w16cid:paraId="68E6B0CB" w16cid:durableId="7105AE7D"/>
  <w16cid:commentId w16cid:paraId="3BB3F0BE" w16cid:durableId="4193B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739170965"/>
        <w:docPartObj>
          <w:docPartGallery w:val="Page Numbers (Bottom of Page)"/>
          <w:docPartUnique/>
        </w:docPartObj>
      </w:sdtPr>
      <w:sdtEndPr>
        <w:rPr>
          <w:rFonts w:cs="Times New Roman"/>
          <w:noProof/>
        </w:rPr>
      </w:sdtEndPr>
      <w:sdtContent>
        <w:r>
          <w:rPr>
            <w:rFonts w:cs="Times New Roman"/>
            <w:color w:val="2B579A"/>
            <w:sz w:val="20"/>
            <w:shd w:val="clear" w:color="auto" w:fill="E6E6E6"/>
          </w:rPr>
          <w:fldChar w:fldCharType="begin"/>
        </w:r>
        <w:r>
          <w:rPr>
            <w:rFonts w:cs="Times New Roman"/>
            <w:sz w:val="20"/>
          </w:rPr>
          <w:instrText xml:space="preserve"> PAGE   \* MERGEFORMAT </w:instrText>
        </w:r>
        <w:r>
          <w:rPr>
            <w:rFonts w:cs="Times New Roman"/>
            <w:color w:val="2B579A"/>
            <w:sz w:val="20"/>
            <w:shd w:val="clear" w:color="auto" w:fill="E6E6E6"/>
          </w:rPr>
          <w:fldChar w:fldCharType="separate"/>
        </w:r>
        <w:r>
          <w:rPr>
            <w:rFonts w:cs="Times New Roman"/>
            <w:noProof/>
            <w:sz w:val="20"/>
          </w:rPr>
          <w:t>2</w:t>
        </w:r>
        <w:r>
          <w:rPr>
            <w:rFonts w:cs="Times New Roman"/>
            <w:color w:val="2B579A"/>
            <w:sz w:val="20"/>
            <w:shd w:val="clear" w:color="auto" w:fill="E6E6E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8045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CEPEJ (2021), Studie o fungování soudních systémů v členských státech EU.</w:t>
      </w:r>
    </w:p>
  </w:footnote>
  <w:footnote w:id="3">
    <w:p>
      <w:pPr>
        <w:pStyle w:val="FootnoteText"/>
        <w:rPr>
          <w:rFonts w:cs="Times New Roman"/>
        </w:rPr>
      </w:pPr>
      <w:r>
        <w:rPr>
          <w:rStyle w:val="FootnoteReference"/>
          <w:rFonts w:cs="Times New Roman"/>
        </w:rPr>
        <w:footnoteRef/>
      </w:r>
      <w:r>
        <w:t xml:space="preserve"> </w:t>
      </w:r>
      <w:r>
        <w:tab/>
        <w:t>Porotní soud má neomezenou pravomoc rozhodovat v prvním stupni o všech trestních věcech.</w:t>
      </w:r>
    </w:p>
  </w:footnote>
  <w:footnote w:id="4">
    <w:p>
      <w:pPr>
        <w:pStyle w:val="FootnoteText"/>
        <w:rPr>
          <w:rFonts w:cs="Times New Roman"/>
        </w:rPr>
      </w:pPr>
      <w:r>
        <w:rPr>
          <w:rStyle w:val="FootnoteReference"/>
          <w:rFonts w:cs="Times New Roman"/>
        </w:rPr>
        <w:footnoteRef/>
      </w:r>
      <w:r>
        <w:t xml:space="preserve"> </w:t>
      </w:r>
      <w:r>
        <w:tab/>
        <w:t xml:space="preserve">Zákon 131 (I)/2015 o zřízení a funkci správního soudu. </w:t>
      </w:r>
    </w:p>
  </w:footnote>
  <w:footnote w:id="5">
    <w:p>
      <w:pPr>
        <w:pStyle w:val="FootnoteText"/>
        <w:rPr>
          <w:rFonts w:cs="Times New Roman"/>
        </w:rPr>
      </w:pPr>
      <w:r>
        <w:rPr>
          <w:rStyle w:val="FootnoteReference"/>
          <w:rFonts w:cs="Times New Roman"/>
        </w:rPr>
        <w:footnoteRef/>
      </w:r>
      <w:r>
        <w:t xml:space="preserve"> </w:t>
      </w:r>
      <w:r>
        <w:tab/>
        <w:t>Zákon 73 (I)/2018 o zřízení a funkci správního soudu pro mezinárodní ochranu.</w:t>
      </w:r>
    </w:p>
  </w:footnote>
  <w:footnote w:id="6">
    <w:p>
      <w:pPr>
        <w:pStyle w:val="FootnoteText"/>
        <w:rPr>
          <w:rFonts w:cs="Times New Roman"/>
        </w:rPr>
      </w:pPr>
      <w:r>
        <w:rPr>
          <w:rStyle w:val="FootnoteReference"/>
          <w:rFonts w:cs="Times New Roman"/>
        </w:rPr>
        <w:footnoteRef/>
      </w:r>
      <w:r>
        <w:t xml:space="preserve"> </w:t>
      </w:r>
      <w:r>
        <w:tab/>
        <w:t>Nejvyšší soud jedná jako odvolací orgán. Jedná rovněž jako ústavní soud.</w:t>
      </w:r>
    </w:p>
  </w:footnote>
  <w:footnote w:id="7">
    <w:p>
      <w:pPr>
        <w:spacing w:after="0"/>
        <w:ind w:left="284" w:hanging="284"/>
        <w:rPr>
          <w:rFonts w:cs="Times New Roman"/>
          <w:bCs/>
          <w:sz w:val="20"/>
          <w:szCs w:val="20"/>
        </w:rPr>
      </w:pPr>
      <w:r>
        <w:rPr>
          <w:rStyle w:val="FootnoteReference"/>
          <w:rFonts w:cs="Times New Roman"/>
          <w:sz w:val="20"/>
          <w:szCs w:val="20"/>
        </w:rPr>
        <w:footnoteRef/>
      </w:r>
      <w:r>
        <w:rPr>
          <w:bCs/>
          <w:sz w:val="20"/>
          <w:szCs w:val="20"/>
        </w:rPr>
        <w:t xml:space="preserve"> </w:t>
      </w:r>
      <w:r>
        <w:tab/>
      </w:r>
      <w:r>
        <w:rPr>
          <w:bCs/>
          <w:sz w:val="20"/>
          <w:szCs w:val="20"/>
        </w:rPr>
        <w:t>Příspěvek Nejvyššího soudu Kyperské republiky ke zprávě o právním státu pro rok 2021.</w:t>
      </w:r>
    </w:p>
  </w:footnote>
  <w:footnote w:id="8">
    <w:p>
      <w:pPr>
        <w:pStyle w:val="FootnoteText"/>
        <w:rPr>
          <w:rFonts w:cs="Times New Roman"/>
        </w:rPr>
      </w:pPr>
      <w:r>
        <w:rPr>
          <w:rStyle w:val="FootnoteReference"/>
          <w:rFonts w:cs="Times New Roman"/>
        </w:rPr>
        <w:footnoteRef/>
      </w:r>
      <w:r>
        <w:t xml:space="preserve"> </w:t>
      </w:r>
      <w:r>
        <w:tab/>
        <w:t>Příspěvek Kypru ke zprávě o právním státu pro rok 2021; příspěvek Nejvyššího soudu ke zprávě o právním státu pro rok 2021, s. 6 a informace získané Nejvyšším soudem v souvislosti s návštěvou Kypru.</w:t>
      </w:r>
    </w:p>
  </w:footnote>
  <w:footnote w:id="9">
    <w:p>
      <w:pPr>
        <w:pStyle w:val="FootnoteText"/>
        <w:rPr>
          <w:rFonts w:cs="Times New Roman"/>
        </w:rPr>
      </w:pPr>
      <w:r>
        <w:rPr>
          <w:rStyle w:val="FootnoteReference"/>
          <w:rFonts w:cs="Times New Roman"/>
        </w:rPr>
        <w:footnoteRef/>
      </w:r>
      <w:r>
        <w:t xml:space="preserve"> </w:t>
      </w:r>
      <w:r>
        <w:tab/>
        <w:t>Ustanovení čl. 157 odst. 2 Ústavy Kypru stanoví, že jmenování, povýšení, přeložení, ukončení výkonu funkce, odvolání a disciplinární záležitosti soudních vykonavatelů spadají výlučně do pravomoci Nejvyšší rady soudců. Výše uvedené ústavní ustanovení je dále rozvedeno v oddílu 10 zákona č. 33/64 o správě soudnictví.</w:t>
      </w:r>
    </w:p>
  </w:footnote>
  <w:footnote w:id="10">
    <w:p>
      <w:pPr>
        <w:pStyle w:val="FootnoteText"/>
        <w:rPr>
          <w:rFonts w:cs="Times New Roman"/>
        </w:rPr>
      </w:pPr>
      <w:r>
        <w:rPr>
          <w:rStyle w:val="FootnoteReference"/>
          <w:rFonts w:cs="Times New Roman"/>
        </w:rPr>
        <w:footnoteRef/>
      </w:r>
      <w:r>
        <w:t xml:space="preserve"> </w:t>
      </w:r>
      <w:r>
        <w:tab/>
        <w:t xml:space="preserve"> Obě funkce, státní zastupitelství a právní poradenství, jsou oddělené a fungují se dvěma různými skupinami zaměstnanců. Zástupci nejvyššího státního zástupce (poradci republiky) jednají jeho jménem a přijímají pokyny pouze od něj. Všichni poradci z právního úřadu republiky vykonávají veřejnou službu a vztahují se na ně právní předpisy a zákon o veřejné službě včetně disciplinárních řízení jako na všechny ostatní zaměstnance ve veřejné službě.</w:t>
      </w:r>
    </w:p>
  </w:footnote>
  <w:footnote w:id="11">
    <w:p>
      <w:pPr>
        <w:pStyle w:val="FootnoteText"/>
        <w:rPr>
          <w:rFonts w:cs="Times New Roman"/>
        </w:rPr>
      </w:pPr>
      <w:r>
        <w:rPr>
          <w:rStyle w:val="FootnoteReference"/>
          <w:rFonts w:cs="Times New Roman"/>
        </w:rPr>
        <w:footnoteRef/>
      </w:r>
      <w:r>
        <w:t xml:space="preserve"> </w:t>
      </w:r>
      <w:r>
        <w:tab/>
        <w:t>Ústava Kypru, článek 112.</w:t>
      </w:r>
    </w:p>
  </w:footnote>
  <w:footnote w:id="12">
    <w:p>
      <w:pPr>
        <w:pStyle w:val="FootnoteText"/>
        <w:rPr>
          <w:rFonts w:cs="Times New Roman"/>
        </w:rPr>
      </w:pPr>
      <w:r>
        <w:rPr>
          <w:rStyle w:val="FootnoteReference"/>
          <w:rFonts w:cs="Times New Roman"/>
        </w:rPr>
        <w:footnoteRef/>
      </w:r>
      <w:r>
        <w:t xml:space="preserve"> </w:t>
      </w:r>
      <w:r>
        <w:tab/>
        <w:t>Obrázky 47 a 49, Srovnávací přehled EU o soudnictví za rok 2021.</w:t>
      </w:r>
    </w:p>
  </w:footnote>
  <w:footnote w:id="13">
    <w:p>
      <w:pPr>
        <w:pStyle w:val="FootnoteText"/>
        <w:rPr>
          <w:rFonts w:cs="Times New Roman"/>
        </w:rPr>
      </w:pPr>
      <w:r>
        <w:rPr>
          <w:rStyle w:val="FootnoteReference"/>
          <w:rFonts w:cs="Times New Roman"/>
        </w:rPr>
        <w:footnoteRef/>
      </w:r>
      <w:r>
        <w:t xml:space="preserve"> </w:t>
      </w:r>
      <w:r>
        <w:tab/>
        <w:t>Úroveň vnímané nezávislosti soudnictví je rozdělena takto: velmi nízká (méně než 30 % respondentů vnímá nezávislost soudnictví jako poměrně dobrou a velmi dobrou), nízká (30–39 %), průměrná (40–59 %), vysoká (60–75 %), velmi vysoká (více než 75 %).</w:t>
      </w:r>
    </w:p>
  </w:footnote>
  <w:footnote w:id="14">
    <w:p>
      <w:pPr>
        <w:pStyle w:val="FootnoteText"/>
        <w:rPr>
          <w:rFonts w:cs="Times New Roman"/>
        </w:rPr>
      </w:pPr>
      <w:r>
        <w:rPr>
          <w:rStyle w:val="FootnoteReference"/>
          <w:rFonts w:cs="Times New Roman"/>
        </w:rPr>
        <w:footnoteRef/>
      </w:r>
      <w:r>
        <w:t xml:space="preserve"> </w:t>
      </w:r>
      <w:r>
        <w:tab/>
        <w:t>Zpráva o právním státu pro rok 2020, Kapitola o stavu právního státu na Kypru, s. 2.</w:t>
      </w:r>
    </w:p>
  </w:footnote>
  <w:footnote w:id="15">
    <w:p>
      <w:pPr>
        <w:pStyle w:val="FootnoteText"/>
        <w:rPr>
          <w:rFonts w:cs="Times New Roman"/>
        </w:rPr>
      </w:pPr>
      <w:r>
        <w:rPr>
          <w:rStyle w:val="FootnoteReference"/>
          <w:rFonts w:cs="Times New Roman"/>
        </w:rPr>
        <w:footnoteRef/>
      </w:r>
      <w:r>
        <w:t xml:space="preserve"> </w:t>
      </w:r>
      <w:r>
        <w:tab/>
        <w:t>Výboru předsedá ministr spravedlnosti a veřejného pořádku a skládá se z jednoho zástupce každé politické strany účastnící se parlamentního výboru pro právní záležitosti a z předsedy Kyperské advokátní komory. Ministr spravedlnosti a veřejného pořádku zároveň konzultuje s Nejvyšším soudem. Informace získané v souvislosti s návštěvou Kypru.</w:t>
      </w:r>
    </w:p>
  </w:footnote>
  <w:footnote w:id="16">
    <w:p>
      <w:pPr>
        <w:pStyle w:val="FootnoteText"/>
        <w:rPr>
          <w:rFonts w:cs="Times New Roman"/>
        </w:rPr>
      </w:pPr>
      <w:r>
        <w:rPr>
          <w:rStyle w:val="FootnoteReference"/>
          <w:rFonts w:cs="Times New Roman"/>
        </w:rPr>
        <w:footnoteRef/>
      </w:r>
      <w:r>
        <w:t xml:space="preserve"> </w:t>
      </w:r>
      <w:r>
        <w:tab/>
        <w:t>Písemný příspěvek, který obdrželo Ministerstvo spravedlnosti v souvislosti s návštěvou Kypru.</w:t>
      </w:r>
    </w:p>
  </w:footnote>
  <w:footnote w:id="17">
    <w:p>
      <w:pPr>
        <w:pStyle w:val="FootnoteText"/>
        <w:rPr>
          <w:rFonts w:cs="Times New Roman"/>
        </w:rPr>
      </w:pPr>
      <w:r>
        <w:rPr>
          <w:rStyle w:val="FootnoteReference"/>
          <w:rFonts w:cs="Times New Roman"/>
        </w:rPr>
        <w:footnoteRef/>
      </w:r>
      <w:r>
        <w:t xml:space="preserve"> </w:t>
      </w:r>
      <w:r>
        <w:tab/>
      </w:r>
      <w:r>
        <w:rPr>
          <w:i/>
        </w:rPr>
        <w:t>„Poradní rada pro soudnictví […] působí jako poradní orgán prezidenta republiky v otázkách vhodnosti kandidátů na jmenování na soudce nejvyššího ústavního soudu a vrchního soudu. Poradní rada pro soudnictví má dvojí složení podle toho, zda je jmenován soudce nejvyššího ústavního soudu nebo soudce vrchního soudu. V případě postupu jmenování členů nejvyššího ústavního soudu se bude skládat z předsedy nejvyššího ústavního soudu coby předsedy rady, ze čtyř nejstarších členů nejvyššího ústavního soudu, z nejvyššího státního zástupce republiky a z předsedy Kyperské advokátní komory. V případě postupu jmenování členů vrchního soudu se bude skládat z předsedy Nejvyššího soudu coby předsedy rady, ze čtyř nejstarších členů Nejvyššího soudu, z nejvyššího státního zástupce republiky a z předsedy Kyperské advokátní komory.“</w:t>
      </w:r>
      <w:r>
        <w:t xml:space="preserve"> Návrh právního předpisu získaný v souvislosti s návštěvou Kypru.</w:t>
      </w:r>
    </w:p>
  </w:footnote>
  <w:footnote w:id="18">
    <w:p>
      <w:pPr>
        <w:pStyle w:val="FootnoteText"/>
        <w:rPr>
          <w:rFonts w:cs="Times New Roman"/>
        </w:rPr>
      </w:pPr>
      <w:r>
        <w:rPr>
          <w:rStyle w:val="FootnoteReference"/>
          <w:rFonts w:cs="Times New Roman"/>
        </w:rPr>
        <w:footnoteRef/>
      </w:r>
      <w:r>
        <w:t xml:space="preserve"> </w:t>
      </w:r>
      <w:r>
        <w:tab/>
      </w:r>
      <w:r>
        <w:rPr>
          <w:i/>
        </w:rPr>
        <w:t>„Poradní rada pro soudnictví vypracuje seznam osob, jež považuje za vhodné kandidáty na jmenování a jejichž počet je alespoň třikrát vyšší než počet volných míst… a dále ke každému kandidátovi vypracuje hodnotící zprávu a tyto zprávy následně předloží v abecedním pořadí prezidentovi republiky. Zpráva obsahuje odůvodněné stanovisko rady k vhodnosti jednotlivých kandidátů a její obsah má pro prezidenta republiky poradní povahu.“</w:t>
      </w:r>
      <w:r>
        <w:t xml:space="preserve"> Návrh právního předpisu získaný v souvislosti s návštěvou Kypru.</w:t>
      </w:r>
    </w:p>
  </w:footnote>
  <w:footnote w:id="19">
    <w:p>
      <w:pPr>
        <w:pStyle w:val="FootnoteText"/>
        <w:rPr>
          <w:rFonts w:cs="Times New Roman"/>
        </w:rPr>
      </w:pPr>
      <w:r>
        <w:rPr>
          <w:rStyle w:val="FootnoteReference"/>
          <w:rFonts w:cs="Times New Roman"/>
        </w:rPr>
        <w:footnoteRef/>
      </w:r>
      <w:r>
        <w:t xml:space="preserve"> </w:t>
      </w:r>
      <w:r>
        <w:tab/>
        <w:t xml:space="preserve">Doporučení CM/Rec(2010)12 Výboru ministrů Rady Evropy, odst. 47. Rozsudek Soudního dvora ze dne 20. dubna 2021, </w:t>
      </w:r>
      <w:r>
        <w:rPr>
          <w:i/>
          <w:iCs/>
        </w:rPr>
        <w:t>Repubblika,</w:t>
      </w:r>
      <w:r>
        <w:t xml:space="preserve">, C-896/19,  ECLI:EU:C:2021:311, bod 71; rozsudek Soudního dvora ze dne 9. dubna 2021, </w:t>
      </w:r>
      <w:r>
        <w:rPr>
          <w:i/>
        </w:rPr>
        <w:t>AB</w:t>
      </w:r>
      <w:r>
        <w:t xml:space="preserve"> a další, C-824/18 bod 122.</w:t>
      </w:r>
    </w:p>
  </w:footnote>
  <w:footnote w:id="20">
    <w:p>
      <w:pPr>
        <w:pStyle w:val="FootnoteText"/>
        <w:rPr>
          <w:rFonts w:cs="Times New Roman"/>
        </w:rPr>
      </w:pPr>
      <w:r>
        <w:rPr>
          <w:rStyle w:val="FootnoteReference"/>
          <w:rFonts w:cs="Times New Roman"/>
        </w:rPr>
        <w:footnoteRef/>
      </w:r>
      <w:r>
        <w:t xml:space="preserve"> </w:t>
      </w:r>
      <w:r>
        <w:tab/>
        <w:t>GRECO, čtvrté kolo hodnocení – průběžná zpráva o plnění doporučení, s. 8. Informace získané v souvislosti s návštěvou Kypru.</w:t>
      </w:r>
    </w:p>
  </w:footnote>
  <w:footnote w:id="21">
    <w:p>
      <w:pPr>
        <w:pStyle w:val="FootnoteText"/>
        <w:rPr>
          <w:rFonts w:cs="Times New Roman"/>
        </w:rPr>
      </w:pPr>
      <w:r>
        <w:rPr>
          <w:rStyle w:val="FootnoteReference"/>
          <w:rFonts w:cs="Times New Roman"/>
        </w:rPr>
        <w:footnoteRef/>
      </w:r>
      <w:r>
        <w:t xml:space="preserve"> </w:t>
      </w:r>
      <w:r>
        <w:tab/>
        <w:t>Informace, které obdrželo Ministerstvo spravedlnosti v souvislosti s návštěvou Kypru.</w:t>
      </w:r>
    </w:p>
  </w:footnote>
  <w:footnote w:id="22">
    <w:p>
      <w:pPr>
        <w:pStyle w:val="FootnoteText"/>
        <w:rPr>
          <w:rFonts w:cs="Times New Roman"/>
        </w:rPr>
      </w:pPr>
      <w:r>
        <w:rPr>
          <w:rStyle w:val="FootnoteReference"/>
          <w:rFonts w:cs="Times New Roman"/>
        </w:rPr>
        <w:footnoteRef/>
      </w:r>
      <w:r>
        <w:t xml:space="preserve"> </w:t>
      </w:r>
      <w:r>
        <w:tab/>
        <w:t xml:space="preserve">Doporučení CM/Rec(2010)12 Výboru ministrů Rady Evropy, bod 27. </w:t>
      </w:r>
    </w:p>
  </w:footnote>
  <w:footnote w:id="23">
    <w:p>
      <w:pPr>
        <w:pStyle w:val="FootnoteText"/>
        <w:rPr>
          <w:rFonts w:cs="Times New Roman"/>
        </w:rPr>
      </w:pPr>
      <w:r>
        <w:rPr>
          <w:rStyle w:val="FootnoteReference"/>
          <w:rFonts w:cs="Times New Roman"/>
        </w:rPr>
        <w:footnoteRef/>
      </w:r>
      <w:r>
        <w:t xml:space="preserve"> </w:t>
      </w:r>
      <w:r>
        <w:tab/>
        <w:t>Zpráva o právním státu pro rok 2020, Kapitola o stavu právního státu na Kypru, s. 3.</w:t>
      </w:r>
    </w:p>
  </w:footnote>
  <w:footnote w:id="24">
    <w:p>
      <w:pPr>
        <w:pStyle w:val="FootnoteText"/>
        <w:rPr>
          <w:rFonts w:cs="Times New Roman"/>
        </w:rPr>
      </w:pPr>
      <w:r>
        <w:rPr>
          <w:rStyle w:val="FootnoteReference"/>
          <w:rFonts w:cs="Times New Roman"/>
        </w:rPr>
        <w:footnoteRef/>
      </w:r>
      <w:r>
        <w:t xml:space="preserve"> </w:t>
      </w:r>
      <w:r>
        <w:tab/>
        <w:t xml:space="preserve">V roce 2019 provedli nezávislí odborníci funkční přezkum právního úřadu. Na základě této zprávy byl dokončen akční plán a dne 15. října 2019 jej schválila rada ministrů. Akční plán obsahuje návrh komplexní reformy právního úřadu republiky. </w:t>
      </w:r>
    </w:p>
  </w:footnote>
  <w:footnote w:id="25">
    <w:p>
      <w:pPr>
        <w:pStyle w:val="FootnoteText"/>
        <w:rPr>
          <w:rFonts w:cs="Times New Roman"/>
        </w:rPr>
      </w:pPr>
      <w:r>
        <w:rPr>
          <w:rStyle w:val="FootnoteReference"/>
          <w:rFonts w:cs="Times New Roman"/>
        </w:rPr>
        <w:footnoteRef/>
      </w:r>
      <w:r>
        <w:t xml:space="preserve"> </w:t>
      </w:r>
      <w:r>
        <w:tab/>
        <w:t>Příspěvek Kypru ke zprávě o právním státu pro rok 2021, s. 2.</w:t>
      </w:r>
    </w:p>
  </w:footnote>
  <w:footnote w:id="26">
    <w:p>
      <w:pPr>
        <w:pStyle w:val="FootnoteText"/>
        <w:rPr>
          <w:rFonts w:cs="Times New Roman"/>
        </w:rPr>
      </w:pPr>
      <w:r>
        <w:rPr>
          <w:rStyle w:val="FootnoteReference"/>
          <w:rFonts w:cs="Times New Roman"/>
        </w:rPr>
        <w:footnoteRef/>
      </w:r>
      <w:r>
        <w:t xml:space="preserve"> </w:t>
      </w:r>
      <w:r>
        <w:tab/>
        <w:t>Příspěvek Kypru ke zprávě o právním státu pro rok 2021, s. 4; informace získané v souvislosti s návštěvou Kypru.</w:t>
      </w:r>
    </w:p>
  </w:footnote>
  <w:footnote w:id="27">
    <w:p>
      <w:pPr>
        <w:pStyle w:val="FootnoteText"/>
        <w:rPr>
          <w:rFonts w:cs="Times New Roman"/>
        </w:rPr>
      </w:pPr>
      <w:r>
        <w:rPr>
          <w:rStyle w:val="FootnoteReference"/>
          <w:rFonts w:cs="Times New Roman"/>
        </w:rPr>
        <w:footnoteRef/>
      </w:r>
      <w:r>
        <w:t xml:space="preserve"> </w:t>
      </w:r>
      <w:r>
        <w:tab/>
        <w:t>Obrázek 39, Srovnávací přehled EU o soudnictví za rok 2021.</w:t>
      </w:r>
    </w:p>
  </w:footnote>
  <w:footnote w:id="28">
    <w:p>
      <w:pPr>
        <w:pStyle w:val="FootnoteText"/>
        <w:rPr>
          <w:rFonts w:cs="Times New Roman"/>
        </w:rPr>
      </w:pPr>
      <w:r>
        <w:rPr>
          <w:rStyle w:val="FootnoteReference"/>
          <w:rFonts w:cs="Times New Roman"/>
        </w:rPr>
        <w:footnoteRef/>
      </w:r>
      <w:r>
        <w:t xml:space="preserve"> </w:t>
      </w:r>
      <w:r>
        <w:tab/>
        <w:t>Obrázek 43, Srovnávací přehled EU o soudnictví za rok 2021.</w:t>
      </w:r>
    </w:p>
  </w:footnote>
  <w:footnote w:id="29">
    <w:p>
      <w:pPr>
        <w:pStyle w:val="FootnoteText"/>
        <w:rPr>
          <w:rFonts w:cs="Times New Roman"/>
        </w:rPr>
      </w:pPr>
      <w:r>
        <w:rPr>
          <w:rStyle w:val="FootnoteReference"/>
          <w:rFonts w:cs="Times New Roman"/>
        </w:rPr>
        <w:footnoteRef/>
      </w:r>
      <w:r>
        <w:t xml:space="preserve"> </w:t>
      </w:r>
      <w:r>
        <w:tab/>
        <w:t>Kypr v této oblasti požádal o pomoc Nástroj pro oživení a odolnost. Předpokládá se, že za 12–15 měsíců bude proveden pilotní projekt e-justice.</w:t>
      </w:r>
    </w:p>
  </w:footnote>
  <w:footnote w:id="30">
    <w:p>
      <w:pPr>
        <w:pStyle w:val="FootnoteText"/>
        <w:rPr>
          <w:rFonts w:cs="Times New Roman"/>
        </w:rPr>
      </w:pPr>
      <w:r>
        <w:rPr>
          <w:rStyle w:val="FootnoteReference"/>
          <w:rFonts w:cs="Times New Roman"/>
        </w:rPr>
        <w:footnoteRef/>
      </w:r>
      <w:r>
        <w:t xml:space="preserve"> </w:t>
      </w:r>
      <w:r>
        <w:tab/>
        <w:t>Příspěvek Kypru ke zprávě o právním státu pro rok 2021, s. 6 a 7.</w:t>
      </w:r>
    </w:p>
  </w:footnote>
  <w:footnote w:id="31">
    <w:p>
      <w:pPr>
        <w:pStyle w:val="FootnoteText"/>
        <w:rPr>
          <w:rFonts w:cs="Times New Roman"/>
          <w:bCs/>
        </w:rPr>
      </w:pPr>
      <w:r>
        <w:rPr>
          <w:rStyle w:val="FootnoteReference"/>
          <w:rFonts w:cs="Times New Roman"/>
        </w:rPr>
        <w:footnoteRef/>
      </w:r>
      <w:r>
        <w:t xml:space="preserve"> </w:t>
      </w:r>
      <w:r>
        <w:tab/>
        <w:t>Internetové stránky o právních předpisech Kypru</w:t>
      </w:r>
      <w:r>
        <w:rPr>
          <w:rStyle w:val="Hyperlink"/>
          <w:color w:val="auto"/>
          <w:u w:val="none"/>
        </w:rPr>
        <w:t xml:space="preserve">; </w:t>
      </w:r>
      <w:r>
        <w:t>Informace získané v souvislosti s návštěvou Kypru.</w:t>
      </w:r>
    </w:p>
  </w:footnote>
  <w:footnote w:id="32">
    <w:p>
      <w:pPr>
        <w:pStyle w:val="FootnoteText"/>
        <w:rPr>
          <w:rFonts w:cs="Times New Roman"/>
        </w:rPr>
      </w:pPr>
      <w:r>
        <w:rPr>
          <w:rStyle w:val="FootnoteReference"/>
          <w:rFonts w:cs="Times New Roman"/>
        </w:rPr>
        <w:footnoteRef/>
      </w:r>
      <w:r>
        <w:t xml:space="preserve"> </w:t>
      </w:r>
      <w:r>
        <w:tab/>
        <w:t>Zpráva o právním státu pro rok 2020, Kapitola o stavu právního státu na Kypru, s. 4.</w:t>
      </w:r>
    </w:p>
  </w:footnote>
  <w:footnote w:id="33">
    <w:p>
      <w:pPr>
        <w:pStyle w:val="FootnoteText"/>
        <w:rPr>
          <w:rFonts w:cs="Times New Roman"/>
        </w:rPr>
      </w:pPr>
      <w:r>
        <w:rPr>
          <w:rStyle w:val="FootnoteReference"/>
          <w:rFonts w:cs="Times New Roman"/>
        </w:rPr>
        <w:footnoteRef/>
      </w:r>
      <w:r>
        <w:t xml:space="preserve"> </w:t>
      </w:r>
      <w:r>
        <w:tab/>
        <w:t>Obrázek 5, Srovnávací přehled EU o soudnictví za rok 2021.</w:t>
      </w:r>
    </w:p>
  </w:footnote>
  <w:footnote w:id="34">
    <w:p>
      <w:pPr>
        <w:pStyle w:val="FootnoteText"/>
        <w:rPr>
          <w:rFonts w:cs="Times New Roman"/>
        </w:rPr>
      </w:pPr>
      <w:r>
        <w:rPr>
          <w:rStyle w:val="FootnoteReference"/>
          <w:rFonts w:cs="Times New Roman"/>
        </w:rPr>
        <w:footnoteRef/>
      </w:r>
      <w:r>
        <w:t xml:space="preserve"> </w:t>
      </w:r>
      <w:r>
        <w:tab/>
        <w:t>Obrázek 8, Srovnávací přehled EU o soudnictví za rok 2021.</w:t>
      </w:r>
    </w:p>
  </w:footnote>
  <w:footnote w:id="35">
    <w:p>
      <w:pPr>
        <w:pStyle w:val="FootnoteText"/>
        <w:rPr>
          <w:rFonts w:cs="Times New Roman"/>
        </w:rPr>
      </w:pPr>
      <w:r>
        <w:rPr>
          <w:rStyle w:val="FootnoteReference"/>
          <w:rFonts w:cs="Times New Roman"/>
        </w:rPr>
        <w:footnoteRef/>
      </w:r>
      <w:r>
        <w:t xml:space="preserve"> </w:t>
      </w:r>
      <w:r>
        <w:tab/>
        <w:t>Obrázek 12, Srovnávací přehled EU o soudnictví za rok 2021.</w:t>
      </w:r>
    </w:p>
  </w:footnote>
  <w:footnote w:id="36">
    <w:p>
      <w:pPr>
        <w:pStyle w:val="FootnoteText"/>
        <w:rPr>
          <w:rFonts w:cs="Times New Roman"/>
        </w:rPr>
      </w:pPr>
      <w:r>
        <w:rPr>
          <w:rStyle w:val="FootnoteReference"/>
          <w:rFonts w:cs="Times New Roman"/>
        </w:rPr>
        <w:footnoteRef/>
      </w:r>
      <w:r>
        <w:t xml:space="preserve"> </w:t>
      </w:r>
      <w:r>
        <w:tab/>
        <w:t>Příspěvek Kypru ke zprávě o právním státu pro rok 2021, s. 9.</w:t>
      </w:r>
    </w:p>
  </w:footnote>
  <w:footnote w:id="37">
    <w:p>
      <w:pPr>
        <w:pStyle w:val="FootnoteText"/>
        <w:rPr>
          <w:rFonts w:cs="Times New Roman"/>
        </w:rPr>
      </w:pPr>
      <w:r>
        <w:rPr>
          <w:rStyle w:val="FootnoteReference"/>
          <w:rFonts w:cs="Times New Roman"/>
        </w:rPr>
        <w:footnoteRef/>
      </w:r>
      <w:r>
        <w:t xml:space="preserve"> </w:t>
      </w:r>
      <w:r>
        <w:tab/>
        <w:t>Zpráva o právním státu pro rok 2020, Kapitola o stavu právního státu na Kypru, s. 4.</w:t>
      </w:r>
    </w:p>
  </w:footnote>
  <w:footnote w:id="38">
    <w:p>
      <w:pPr>
        <w:pStyle w:val="FootnoteText"/>
        <w:rPr>
          <w:rFonts w:cs="Times New Roman"/>
        </w:rPr>
      </w:pPr>
      <w:r>
        <w:rPr>
          <w:rStyle w:val="FootnoteReference"/>
          <w:rFonts w:cs="Times New Roman"/>
        </w:rPr>
        <w:footnoteRef/>
      </w:r>
      <w:r>
        <w:t xml:space="preserve"> </w:t>
      </w:r>
      <w:r>
        <w:tab/>
        <w:t>Příspěvek Kypru ke zprávě o právním státu pro rok 2021, s. 9.</w:t>
      </w:r>
    </w:p>
  </w:footnote>
  <w:footnote w:id="39">
    <w:p>
      <w:pPr>
        <w:pStyle w:val="FootnoteText"/>
        <w:rPr>
          <w:rFonts w:cs="Times New Roman"/>
        </w:rPr>
      </w:pPr>
      <w:r>
        <w:rPr>
          <w:rStyle w:val="FootnoteReference"/>
          <w:rFonts w:cs="Times New Roman"/>
        </w:rPr>
        <w:footnoteRef/>
      </w:r>
      <w:r>
        <w:t xml:space="preserve"> </w:t>
      </w:r>
      <w:r>
        <w:tab/>
        <w:t>Tamtéž.</w:t>
      </w:r>
    </w:p>
  </w:footnote>
  <w:footnote w:id="40">
    <w:p>
      <w:pPr>
        <w:pStyle w:val="FootnoteText"/>
        <w:rPr>
          <w:rFonts w:cs="Times New Roman"/>
        </w:rPr>
      </w:pPr>
      <w:r>
        <w:rPr>
          <w:rStyle w:val="FootnoteReference"/>
          <w:rFonts w:cs="Times New Roman"/>
        </w:rPr>
        <w:footnoteRef/>
      </w:r>
      <w:r>
        <w:t xml:space="preserve"> </w:t>
      </w:r>
      <w:r>
        <w:tab/>
        <w:t>Nová pravidla občanskoprávního řízení byla schválena dne 19. května 2021.</w:t>
      </w:r>
    </w:p>
  </w:footnote>
  <w:footnote w:id="41">
    <w:p>
      <w:pPr>
        <w:pStyle w:val="FootnoteText"/>
        <w:rPr>
          <w:rFonts w:cs="Times New Roman"/>
          <w:bCs/>
        </w:rPr>
      </w:pPr>
      <w:r>
        <w:rPr>
          <w:rStyle w:val="FootnoteReference"/>
          <w:rFonts w:cs="Times New Roman"/>
        </w:rPr>
        <w:footnoteRef/>
      </w:r>
      <w:r>
        <w:t xml:space="preserve"> </w:t>
      </w:r>
      <w:r>
        <w:tab/>
        <w:t xml:space="preserve">Pro přijetí nových pravidel občanskoprávního řízení již nejsou zapotřebí žádné další legislativní kroky. Tato reforma byla provedena s technickou podporou, kterou Kypru poskytla Evropská komise. </w:t>
      </w:r>
    </w:p>
  </w:footnote>
  <w:footnote w:id="42">
    <w:p>
      <w:pPr>
        <w:pStyle w:val="FootnoteText"/>
        <w:rPr>
          <w:rFonts w:cs="Times New Roman"/>
          <w:lang w:val="en-IE"/>
        </w:rPr>
      </w:pPr>
      <w:r>
        <w:rPr>
          <w:rStyle w:val="FootnoteReference"/>
        </w:rPr>
        <w:footnoteRef/>
      </w:r>
      <w:r>
        <w:rPr>
          <w:lang w:val="en-IE"/>
        </w:rPr>
        <w:t xml:space="preserve"> </w:t>
      </w:r>
      <w:r>
        <w:rPr>
          <w:lang w:val="en-IE"/>
        </w:rPr>
        <w:tab/>
        <w:t>Transparency International, Index vnímání korupce 2020, s. 2–3. Míra vnímané korupce je rozdělena takto: nízká (vnímání korupce ve veřejném sektoru ze strany odborníků a vedoucích pracovníků podniků dosáhne skóre vyššího než 79), poměrně nízká (skóre 60–79), poměrně vysoká (skóre 50–59), vysoká (skóre nižší než 50).</w:t>
      </w:r>
    </w:p>
  </w:footnote>
  <w:footnote w:id="43">
    <w:p>
      <w:pPr>
        <w:pStyle w:val="FootnoteText"/>
        <w:rPr>
          <w:lang w:val="en-IE"/>
        </w:rPr>
      </w:pPr>
      <w:r>
        <w:rPr>
          <w:rStyle w:val="FootnoteReference"/>
        </w:rPr>
        <w:footnoteRef/>
      </w:r>
      <w:r>
        <w:rPr>
          <w:lang w:val="en-IE"/>
        </w:rPr>
        <w:t xml:space="preserve"> </w:t>
      </w:r>
      <w:r>
        <w:rPr>
          <w:lang w:val="en-IE"/>
        </w:rPr>
        <w:tab/>
        <w:t>Údaje Eurobarometru o vnímání korupce ze strany občanů a podniků a jejich zkušenostech s korupcí, které byly uvedeny v loňské zprávě, se aktualizují jednou za dva roky. Nejnovějším souborem údajů je zvláštní průzkum Eurobarometr 502 (2020) a bleskový průzkum Eurobarometr 482 (2019).</w:t>
      </w:r>
    </w:p>
  </w:footnote>
  <w:footnote w:id="44">
    <w:p>
      <w:pPr>
        <w:pStyle w:val="FootnoteText"/>
        <w:rPr>
          <w:lang w:val="en-IE"/>
        </w:rPr>
      </w:pPr>
      <w:r>
        <w:rPr>
          <w:rStyle w:val="FootnoteReference"/>
        </w:rPr>
        <w:footnoteRef/>
      </w:r>
      <w:r>
        <w:rPr>
          <w:lang w:val="en-IE"/>
        </w:rPr>
        <w:t xml:space="preserve"> </w:t>
      </w:r>
      <w:r>
        <w:rPr>
          <w:lang w:val="en-IE"/>
        </w:rPr>
        <w:tab/>
        <w:t>V roce 2015 činilo skóre 61, zatímco v roce 2020 činilo 57. Skóre se výrazně zvyšuje/snižuje, pokud se za posledních pět let změní o více než 5 bodů, zlepšuje/zhoršuje (změny o 4–5 bodů), je poměrně stabilní (změny o 1–3 body).</w:t>
      </w:r>
    </w:p>
  </w:footnote>
  <w:footnote w:id="45">
    <w:p>
      <w:pPr>
        <w:pStyle w:val="FootnoteText"/>
        <w:rPr>
          <w:rFonts w:cs="Times New Roman"/>
          <w:lang w:val="en-IE"/>
        </w:rPr>
      </w:pPr>
      <w:r>
        <w:rPr>
          <w:rStyle w:val="FootnoteReference"/>
          <w:rFonts w:cs="Times New Roman"/>
        </w:rPr>
        <w:footnoteRef/>
      </w:r>
      <w:r>
        <w:rPr>
          <w:lang w:val="en-IE"/>
        </w:rPr>
        <w:t xml:space="preserve"> </w:t>
      </w:r>
      <w:r>
        <w:rPr>
          <w:lang w:val="en-IE"/>
        </w:rPr>
        <w:tab/>
        <w:t>Příspěvek Kypru ke zprávě o právním státu pro rok 2021, s. 10.</w:t>
      </w:r>
    </w:p>
  </w:footnote>
  <w:footnote w:id="46">
    <w:p>
      <w:pPr>
        <w:pStyle w:val="FootnoteText"/>
        <w:rPr>
          <w:rFonts w:cs="Times New Roman"/>
          <w:lang w:val="en-IE"/>
        </w:rPr>
      </w:pPr>
      <w:r>
        <w:rPr>
          <w:rStyle w:val="FootnoteReference"/>
          <w:rFonts w:cs="Times New Roman"/>
        </w:rPr>
        <w:footnoteRef/>
      </w:r>
      <w:r>
        <w:rPr>
          <w:lang w:val="en-IE"/>
        </w:rPr>
        <w:t xml:space="preserve"> </w:t>
      </w:r>
      <w:r>
        <w:rPr>
          <w:lang w:val="en-IE"/>
        </w:rPr>
        <w:tab/>
        <w:t>Konkrétně 1) prevence, vzdělávání a povědomí; 2) právní opatření a 3) dohled nad riziky a jejich posuzování.</w:t>
      </w:r>
    </w:p>
  </w:footnote>
  <w:footnote w:id="47">
    <w:p>
      <w:pPr>
        <w:pStyle w:val="FootnoteText"/>
        <w:rPr>
          <w:rFonts w:cs="Times New Roman"/>
          <w:lang w:val="en-IE"/>
        </w:rPr>
      </w:pPr>
      <w:r>
        <w:rPr>
          <w:rStyle w:val="FootnoteReference"/>
          <w:rFonts w:cs="Times New Roman"/>
        </w:rPr>
        <w:footnoteRef/>
      </w:r>
      <w:r>
        <w:rPr>
          <w:lang w:val="en-IE"/>
        </w:rPr>
        <w:t xml:space="preserve"> </w:t>
      </w:r>
      <w:r>
        <w:rPr>
          <w:lang w:val="en-IE"/>
        </w:rPr>
        <w:tab/>
        <w:t>Mimo jiné: memoranda o porozumění mezi státem a univerzitami, zřízení útvaru pro boj proti korupci pod dohledem nejvyššího státního zástupce, vytvoření nezávislé komise pro řízení lidských zdrojů a zřízení nezávislého úřadu pro boj proti korupci. Informace získané v souvislosti s návštěvou Kypru.</w:t>
      </w:r>
    </w:p>
  </w:footnote>
  <w:footnote w:id="48">
    <w:p>
      <w:pPr>
        <w:pStyle w:val="FootnoteText"/>
        <w:rPr>
          <w:rFonts w:cs="Times New Roman"/>
          <w:lang w:val="en-IE"/>
        </w:rPr>
      </w:pPr>
      <w:r>
        <w:rPr>
          <w:rStyle w:val="FootnoteReference"/>
          <w:rFonts w:cs="Times New Roman"/>
        </w:rPr>
        <w:footnoteRef/>
      </w:r>
      <w:r>
        <w:rPr>
          <w:lang w:val="en-IE"/>
        </w:rPr>
        <w:t xml:space="preserve"> </w:t>
      </w:r>
      <w:r>
        <w:rPr>
          <w:lang w:val="en-IE"/>
        </w:rPr>
        <w:tab/>
        <w:t>Informační a komunikační internetová stránka Exandas</w:t>
      </w:r>
      <w:r>
        <w:rPr>
          <w:rStyle w:val="Hyperlink"/>
          <w:color w:val="auto"/>
          <w:u w:val="none"/>
          <w:lang w:val="en-IE"/>
        </w:rPr>
        <w:t>.</w:t>
      </w:r>
    </w:p>
  </w:footnote>
  <w:footnote w:id="49">
    <w:p>
      <w:pPr>
        <w:pStyle w:val="FootnoteText"/>
        <w:rPr>
          <w:rFonts w:cs="Times New Roman"/>
          <w:lang w:val="en-IE"/>
        </w:rPr>
      </w:pPr>
      <w:r>
        <w:rPr>
          <w:rStyle w:val="FootnoteReference"/>
          <w:rFonts w:cs="Times New Roman"/>
        </w:rPr>
        <w:footnoteRef/>
      </w:r>
      <w:r>
        <w:rPr>
          <w:lang w:val="en-IE"/>
        </w:rPr>
        <w:t xml:space="preserve"> </w:t>
      </w:r>
      <w:r>
        <w:rPr>
          <w:lang w:val="en-IE"/>
        </w:rPr>
        <w:tab/>
        <w:t>Informace, které obdrželo Ministerstvo spravedlnosti v souvislosti s návštěvou Kypru.</w:t>
      </w:r>
    </w:p>
  </w:footnote>
  <w:footnote w:id="50">
    <w:p>
      <w:pPr>
        <w:pStyle w:val="FootnoteText"/>
        <w:rPr>
          <w:rFonts w:cs="Times New Roman"/>
          <w:lang w:val="pl-PL"/>
        </w:rPr>
      </w:pPr>
      <w:r>
        <w:rPr>
          <w:rStyle w:val="FootnoteReference"/>
          <w:rFonts w:cs="Times New Roman"/>
        </w:rPr>
        <w:footnoteRef/>
      </w:r>
      <w:r>
        <w:rPr>
          <w:lang w:val="pl-PL"/>
        </w:rPr>
        <w:t xml:space="preserve"> </w:t>
      </w:r>
      <w:r>
        <w:rPr>
          <w:lang w:val="pl-PL"/>
        </w:rPr>
        <w:tab/>
        <w:t xml:space="preserve">Zákon o právu na přístup k informacím veřejného sektoru z roku 2017 (184 (I) / 2017). </w:t>
      </w:r>
    </w:p>
  </w:footnote>
  <w:footnote w:id="51">
    <w:p>
      <w:pPr>
        <w:pStyle w:val="FootnoteText"/>
        <w:rPr>
          <w:rFonts w:cs="Times New Roman"/>
          <w:lang w:val="pl-PL"/>
        </w:rPr>
      </w:pPr>
      <w:r>
        <w:rPr>
          <w:rStyle w:val="FootnoteReference"/>
          <w:rFonts w:cs="Times New Roman"/>
        </w:rPr>
        <w:footnoteRef/>
      </w:r>
      <w:r>
        <w:rPr>
          <w:lang w:val="pl-PL"/>
        </w:rPr>
        <w:t xml:space="preserve"> </w:t>
      </w:r>
      <w:r>
        <w:rPr>
          <w:lang w:val="pl-PL"/>
        </w:rPr>
        <w:tab/>
        <w:t>Příspěvek Kypru ke zprávě o právním státu pro rok 2021, s. 11.</w:t>
      </w:r>
    </w:p>
  </w:footnote>
  <w:footnote w:id="52">
    <w:p>
      <w:pPr>
        <w:pStyle w:val="FootnoteText"/>
        <w:rPr>
          <w:rFonts w:cs="Times New Roman"/>
          <w:lang w:val="pl-PL"/>
        </w:rPr>
      </w:pPr>
      <w:r>
        <w:rPr>
          <w:rStyle w:val="FootnoteReference"/>
          <w:rFonts w:cs="Times New Roman"/>
        </w:rPr>
        <w:footnoteRef/>
      </w:r>
      <w:r>
        <w:rPr>
          <w:lang w:val="pl-PL"/>
        </w:rPr>
        <w:t xml:space="preserve"> </w:t>
      </w:r>
      <w:r>
        <w:rPr>
          <w:lang w:val="pl-PL"/>
        </w:rPr>
        <w:tab/>
        <w:t>Trestní zákoník, paragraf 105.</w:t>
      </w:r>
    </w:p>
  </w:footnote>
  <w:footnote w:id="53">
    <w:p>
      <w:pPr>
        <w:pStyle w:val="FootnoteText"/>
        <w:rPr>
          <w:rFonts w:cs="Times New Roman"/>
          <w:lang w:val="pl-PL"/>
        </w:rPr>
      </w:pPr>
      <w:r>
        <w:rPr>
          <w:rStyle w:val="FootnoteReference"/>
          <w:rFonts w:cs="Times New Roman"/>
        </w:rPr>
        <w:footnoteRef/>
      </w:r>
      <w:r>
        <w:rPr>
          <w:lang w:val="pl-PL"/>
        </w:rPr>
        <w:t xml:space="preserve"> </w:t>
      </w:r>
      <w:r>
        <w:rPr>
          <w:lang w:val="pl-PL"/>
        </w:rPr>
        <w:tab/>
        <w:t xml:space="preserve">Příspěvek Kypru ke zprávě o právním státu pro rok 2021, s. 17. </w:t>
      </w:r>
    </w:p>
  </w:footnote>
  <w:footnote w:id="54">
    <w:p>
      <w:pPr>
        <w:pStyle w:val="FootnoteText"/>
        <w:rPr>
          <w:rFonts w:cs="Times New Roman"/>
          <w:lang w:val="pl-PL"/>
        </w:rPr>
      </w:pPr>
      <w:r>
        <w:rPr>
          <w:rStyle w:val="FootnoteReference"/>
          <w:rFonts w:cs="Times New Roman"/>
        </w:rPr>
        <w:footnoteRef/>
      </w:r>
      <w:r>
        <w:rPr>
          <w:lang w:val="pl-PL"/>
        </w:rPr>
        <w:t xml:space="preserve"> </w:t>
      </w:r>
      <w:r>
        <w:rPr>
          <w:lang w:val="pl-PL"/>
        </w:rPr>
        <w:tab/>
        <w:t>Informace, které obdržel úřad nejvyššího státního zástupce v souvislosti s návštěvou Kypru. Pro srovnání Kapitola o stavu právního státu na Kypru ve zprávě o právním státu pro rok 2020 uvádí, že v letech 2013 až 2018 bylo předmětem šetření 120 případů korupce, z nichž 98 bylo vyřešeno a 22 je dosud vyšetřováno. Čtyřicet sedm případů na soudní řízení čekalo nebo u nich již probíhalo. Za korupci bylo v 26 případech odsouzeno 37 osob, z nichž dvanáct bylo odsouzeno za korupci na vysoké úrovni, včetně náměstka nejvyššího státního zástupce, členů Sněmovny reprezentantů a bývalých ministrů.</w:t>
      </w:r>
    </w:p>
  </w:footnote>
  <w:footnote w:id="55">
    <w:p>
      <w:pPr>
        <w:pStyle w:val="FootnoteText"/>
        <w:rPr>
          <w:rFonts w:cs="Times New Roman"/>
          <w:lang w:val="pl-PL"/>
        </w:rPr>
      </w:pPr>
      <w:r>
        <w:rPr>
          <w:rStyle w:val="FootnoteReference"/>
          <w:rFonts w:cs="Times New Roman"/>
        </w:rPr>
        <w:footnoteRef/>
      </w:r>
      <w:r>
        <w:rPr>
          <w:lang w:val="pl-PL"/>
        </w:rPr>
        <w:t xml:space="preserve"> </w:t>
      </w:r>
      <w:r>
        <w:rPr>
          <w:lang w:val="pl-PL"/>
        </w:rPr>
        <w:tab/>
        <w:t>Zákon 180(I) z roku 2017.</w:t>
      </w:r>
    </w:p>
  </w:footnote>
  <w:footnote w:id="56">
    <w:p>
      <w:pPr>
        <w:pStyle w:val="FootnoteText"/>
        <w:rPr>
          <w:rFonts w:cs="Times New Roman"/>
          <w:lang w:val="pl-PL"/>
        </w:rPr>
      </w:pPr>
      <w:r>
        <w:rPr>
          <w:rStyle w:val="FootnoteReference"/>
          <w:rFonts w:cs="Times New Roman"/>
        </w:rPr>
        <w:footnoteRef/>
      </w:r>
      <w:r>
        <w:rPr>
          <w:lang w:val="pl-PL"/>
        </w:rPr>
        <w:t xml:space="preserve"> </w:t>
      </w:r>
      <w:r>
        <w:rPr>
          <w:lang w:val="pl-PL"/>
        </w:rPr>
        <w:tab/>
        <w:t>Informace, které obdržel úřad nejvyššího státního zástupce v souvislosti s návštěvou Kypru.</w:t>
      </w:r>
    </w:p>
  </w:footnote>
  <w:footnote w:id="57">
    <w:p>
      <w:pPr>
        <w:pStyle w:val="FootnoteText"/>
        <w:rPr>
          <w:rFonts w:cs="Times New Roman"/>
          <w:lang w:val="pl-PL"/>
        </w:rPr>
      </w:pPr>
      <w:r>
        <w:rPr>
          <w:rStyle w:val="FootnoteReference"/>
          <w:rFonts w:cs="Times New Roman"/>
        </w:rPr>
        <w:footnoteRef/>
      </w:r>
      <w:r>
        <w:rPr>
          <w:lang w:val="pl-PL"/>
        </w:rPr>
        <w:t xml:space="preserve"> </w:t>
      </w:r>
      <w:r>
        <w:rPr>
          <w:lang w:val="pl-PL"/>
        </w:rPr>
        <w:tab/>
        <w:t>Tamtéž.</w:t>
      </w:r>
    </w:p>
  </w:footnote>
  <w:footnote w:id="58">
    <w:p>
      <w:pPr>
        <w:pStyle w:val="FootnoteText"/>
        <w:rPr>
          <w:lang w:val="pl-PL"/>
        </w:rPr>
      </w:pPr>
      <w:r>
        <w:rPr>
          <w:rStyle w:val="FootnoteReference"/>
        </w:rPr>
        <w:footnoteRef/>
      </w:r>
      <w:r>
        <w:rPr>
          <w:lang w:val="pl-PL"/>
        </w:rPr>
        <w:t xml:space="preserve"> </w:t>
      </w:r>
      <w:r>
        <w:rPr>
          <w:lang w:val="pl-PL"/>
        </w:rPr>
        <w:tab/>
        <w:t>Viz Sigma Live, 7. června 2021, „Zpráva o občanství“.</w:t>
      </w:r>
    </w:p>
  </w:footnote>
  <w:footnote w:id="59">
    <w:p>
      <w:pPr>
        <w:pStyle w:val="FootnoteText"/>
        <w:rPr>
          <w:rFonts w:cs="Times New Roman"/>
          <w:color w:val="0563C1" w:themeColor="hyperlink"/>
          <w:u w:val="single"/>
          <w:lang w:val="pl-PL"/>
        </w:rPr>
      </w:pPr>
      <w:r>
        <w:rPr>
          <w:rStyle w:val="FootnoteReference"/>
          <w:rFonts w:cs="Times New Roman"/>
        </w:rPr>
        <w:footnoteRef/>
      </w:r>
      <w:r>
        <w:rPr>
          <w:lang w:val="pl-PL"/>
        </w:rPr>
        <w:t xml:space="preserve"> </w:t>
      </w:r>
      <w:r>
        <w:rPr>
          <w:lang w:val="pl-PL"/>
        </w:rPr>
        <w:tab/>
        <w:t>Informace získané v souvislosti s návštěvou Kypru a Kathimerini, „Byla předložena průběžná zpráva o zlatých pasech“, 10. června 2021</w:t>
      </w:r>
      <w:r>
        <w:rPr>
          <w:rStyle w:val="Hyperlink"/>
          <w:color w:val="auto"/>
          <w:u w:val="none"/>
          <w:lang w:val="pl-PL"/>
        </w:rPr>
        <w:t xml:space="preserve">. Dále také Kyperská vyšetřovací komise, ,,Průběžná zpráva o postupu udělování občanství zahraničním investorům a podnikatelům“, 16. dubna 2021. </w:t>
      </w:r>
    </w:p>
  </w:footnote>
  <w:footnote w:id="60">
    <w:p>
      <w:pPr>
        <w:pStyle w:val="FootnoteText"/>
        <w:rPr>
          <w:lang w:val="pl-PL"/>
        </w:rPr>
      </w:pPr>
      <w:r>
        <w:rPr>
          <w:rStyle w:val="FootnoteReference"/>
        </w:rPr>
        <w:footnoteRef/>
      </w:r>
      <w:r>
        <w:rPr>
          <w:lang w:val="pl-PL"/>
        </w:rPr>
        <w:t xml:space="preserve"> </w:t>
      </w:r>
      <w:r>
        <w:rPr>
          <w:lang w:val="pl-PL"/>
        </w:rPr>
        <w:tab/>
        <w:t xml:space="preserve">Evropská komise, Režimy občanství pro investory: Evropská komise zahajuje řízení o nesplnění povinnosti proti Kypru a Maltě kvůli „prodeji“ občanství EU, 20. října 2020, </w:t>
      </w:r>
      <w:r>
        <w:rPr>
          <w:bCs/>
          <w:bdr w:val="none" w:sz="0" w:space="0" w:color="auto" w:frame="1"/>
          <w:lang w:val="pl-PL"/>
        </w:rPr>
        <w:t>INFR(2020)2300</w:t>
      </w:r>
      <w:r>
        <w:rPr>
          <w:lang w:val="pl-PL"/>
        </w:rPr>
        <w:t>;</w:t>
      </w:r>
      <w:r>
        <w:rPr>
          <w:bCs/>
          <w:bdr w:val="none" w:sz="0" w:space="0" w:color="auto" w:frame="1"/>
          <w:lang w:val="pl-PL"/>
        </w:rPr>
        <w:t xml:space="preserve"> </w:t>
      </w:r>
      <w:r>
        <w:rPr>
          <w:lang w:val="pl-PL"/>
        </w:rPr>
        <w:t xml:space="preserve">Evropská komise, </w:t>
      </w:r>
      <w:r>
        <w:rPr>
          <w:i/>
          <w:iCs/>
          <w:lang w:val="pl-PL"/>
        </w:rPr>
        <w:t>Červnové případy porušení právních předpisů:</w:t>
      </w:r>
      <w:r>
        <w:rPr>
          <w:i/>
          <w:lang w:val="pl-PL"/>
        </w:rPr>
        <w:t xml:space="preserve"> hlavní rozhodnutí</w:t>
      </w:r>
      <w:r>
        <w:rPr>
          <w:lang w:val="pl-PL"/>
        </w:rPr>
        <w:t>, 9. června 2021</w:t>
      </w:r>
      <w:r>
        <w:rPr>
          <w:bCs/>
          <w:bdr w:val="none" w:sz="0" w:space="0" w:color="auto" w:frame="1"/>
          <w:lang w:val="pl-PL"/>
        </w:rPr>
        <w:t>. Řízení o nesplnění povinnosti se týká neschopnosti Kypru splnit své povinnosti vyplývající ze zásad loajální spolupráce a unijního občanství, jelikož občanství nabízel výměnou za předem stanovené platby a investice.</w:t>
      </w:r>
    </w:p>
  </w:footnote>
  <w:footnote w:id="61">
    <w:p>
      <w:pPr>
        <w:pStyle w:val="FootnoteText"/>
        <w:rPr>
          <w:rFonts w:cs="Times New Roman"/>
          <w:lang w:val="pl-PL"/>
        </w:rPr>
      </w:pPr>
      <w:r>
        <w:rPr>
          <w:rStyle w:val="FootnoteReference"/>
          <w:rFonts w:cs="Times New Roman"/>
        </w:rPr>
        <w:footnoteRef/>
      </w:r>
      <w:r>
        <w:rPr>
          <w:lang w:val="pl-PL"/>
        </w:rPr>
        <w:t xml:space="preserve"> </w:t>
      </w:r>
      <w:r>
        <w:rPr>
          <w:lang w:val="pl-PL"/>
        </w:rPr>
        <w:tab/>
        <w:t>Informace, které obdržel policejní úřad pro vyšetřování finančních trestných činů v souvislosti s návštěvou Kypru.</w:t>
      </w:r>
    </w:p>
  </w:footnote>
  <w:footnote w:id="62">
    <w:p>
      <w:pPr>
        <w:pStyle w:val="FootnoteText"/>
        <w:rPr>
          <w:rFonts w:cs="Times New Roman"/>
          <w:lang w:val="pl-PL"/>
        </w:rPr>
      </w:pPr>
      <w:r>
        <w:rPr>
          <w:rStyle w:val="FootnoteReference"/>
          <w:rFonts w:cs="Times New Roman"/>
        </w:rPr>
        <w:footnoteRef/>
      </w:r>
      <w:r>
        <w:rPr>
          <w:lang w:val="pl-PL"/>
        </w:rPr>
        <w:t xml:space="preserve"> </w:t>
      </w:r>
      <w:r>
        <w:rPr>
          <w:lang w:val="pl-PL"/>
        </w:rPr>
        <w:tab/>
        <w:t>Tamtéž.</w:t>
      </w:r>
    </w:p>
  </w:footnote>
  <w:footnote w:id="63">
    <w:p>
      <w:pPr>
        <w:pStyle w:val="FootnoteText"/>
        <w:rPr>
          <w:rFonts w:cs="Times New Roman"/>
          <w:lang w:val="pl-PL"/>
        </w:rPr>
      </w:pPr>
      <w:r>
        <w:rPr>
          <w:rStyle w:val="FootnoteReference"/>
          <w:rFonts w:cs="Times New Roman"/>
        </w:rPr>
        <w:footnoteRef/>
      </w:r>
      <w:r>
        <w:rPr>
          <w:lang w:val="pl-PL"/>
        </w:rPr>
        <w:t xml:space="preserve"> </w:t>
      </w:r>
      <w:r>
        <w:rPr>
          <w:lang w:val="pl-PL"/>
        </w:rPr>
        <w:tab/>
        <w:t>Příspěvek Kypru ke zprávě o právním státu pro rok 2021, s. 25.</w:t>
      </w:r>
    </w:p>
  </w:footnote>
  <w:footnote w:id="64">
    <w:p>
      <w:pPr>
        <w:pStyle w:val="FootnoteText"/>
        <w:rPr>
          <w:rFonts w:cs="Times New Roman"/>
          <w:lang w:val="pl-PL"/>
        </w:rPr>
      </w:pPr>
      <w:r>
        <w:rPr>
          <w:rStyle w:val="FootnoteReference"/>
          <w:rFonts w:cs="Times New Roman"/>
        </w:rPr>
        <w:footnoteRef/>
      </w:r>
      <w:r>
        <w:rPr>
          <w:lang w:val="pl-PL"/>
        </w:rPr>
        <w:t xml:space="preserve"> </w:t>
      </w:r>
      <w:r>
        <w:rPr>
          <w:lang w:val="pl-PL"/>
        </w:rPr>
        <w:tab/>
        <w:t>Příspěvek Kypru ke zprávě o právním státu pro rok 2021, s. 16.</w:t>
      </w:r>
    </w:p>
  </w:footnote>
  <w:footnote w:id="65">
    <w:p>
      <w:pPr>
        <w:pStyle w:val="FootnoteText"/>
        <w:rPr>
          <w:rFonts w:cs="Times New Roman"/>
          <w:lang w:val="pl-PL"/>
        </w:rPr>
      </w:pPr>
      <w:r>
        <w:rPr>
          <w:rStyle w:val="FootnoteReference"/>
          <w:rFonts w:cs="Times New Roman"/>
        </w:rPr>
        <w:footnoteRef/>
      </w:r>
      <w:r>
        <w:rPr>
          <w:lang w:val="pl-PL"/>
        </w:rPr>
        <w:t xml:space="preserve"> </w:t>
      </w:r>
      <w:r>
        <w:rPr>
          <w:lang w:val="pl-PL"/>
        </w:rPr>
        <w:tab/>
        <w:t>Příspěvek Kypru ke zprávě o právním státu pro rok 2021.</w:t>
      </w:r>
    </w:p>
  </w:footnote>
  <w:footnote w:id="66">
    <w:p>
      <w:pPr>
        <w:pStyle w:val="FootnoteText"/>
        <w:rPr>
          <w:rFonts w:cs="Times New Roman"/>
          <w:lang w:val="pl-PL"/>
        </w:rPr>
      </w:pPr>
      <w:r>
        <w:rPr>
          <w:rStyle w:val="FootnoteReference"/>
          <w:rFonts w:cs="Times New Roman"/>
        </w:rPr>
        <w:footnoteRef/>
      </w:r>
      <w:r>
        <w:rPr>
          <w:lang w:val="pl-PL"/>
        </w:rPr>
        <w:t xml:space="preserve"> </w:t>
      </w:r>
      <w:r>
        <w:rPr>
          <w:lang w:val="pl-PL"/>
        </w:rPr>
        <w:tab/>
        <w:t xml:space="preserve">Kyperská policie, kodex policejní etiky. </w:t>
      </w:r>
    </w:p>
  </w:footnote>
  <w:footnote w:id="67">
    <w:p>
      <w:pPr>
        <w:pStyle w:val="FootnoteText"/>
        <w:rPr>
          <w:rFonts w:cs="Times New Roman"/>
          <w:lang w:val="pl-PL"/>
        </w:rPr>
      </w:pPr>
      <w:r>
        <w:rPr>
          <w:rStyle w:val="FootnoteReference"/>
          <w:rFonts w:cs="Times New Roman"/>
        </w:rPr>
        <w:footnoteRef/>
      </w:r>
      <w:r>
        <w:rPr>
          <w:lang w:val="pl-PL"/>
        </w:rPr>
        <w:t xml:space="preserve"> </w:t>
      </w:r>
      <w:r>
        <w:rPr>
          <w:lang w:val="pl-PL"/>
        </w:rPr>
        <w:tab/>
        <w:t>Informace získané v souvislosti s návštěvou Kypru.</w:t>
      </w:r>
    </w:p>
  </w:footnote>
  <w:footnote w:id="68">
    <w:p>
      <w:pPr>
        <w:autoSpaceDE w:val="0"/>
        <w:autoSpaceDN w:val="0"/>
        <w:spacing w:after="0"/>
        <w:ind w:left="284" w:hanging="284"/>
        <w:rPr>
          <w:rFonts w:eastAsia="Times New Roman" w:cs="Times New Roman"/>
          <w:sz w:val="20"/>
          <w:szCs w:val="20"/>
          <w:lang w:val="pl-PL"/>
        </w:rPr>
      </w:pPr>
      <w:r>
        <w:rPr>
          <w:rStyle w:val="FootnoteReference"/>
          <w:rFonts w:cs="Times New Roman"/>
          <w:sz w:val="20"/>
          <w:szCs w:val="20"/>
        </w:rPr>
        <w:footnoteRef/>
      </w:r>
      <w:r>
        <w:rPr>
          <w:sz w:val="20"/>
          <w:szCs w:val="20"/>
          <w:lang w:val="pl-PL"/>
        </w:rPr>
        <w:t xml:space="preserve"> </w:t>
      </w:r>
      <w:r>
        <w:rPr>
          <w:lang w:val="pl-PL"/>
        </w:rPr>
        <w:tab/>
      </w:r>
      <w:r>
        <w:rPr>
          <w:sz w:val="20"/>
          <w:szCs w:val="20"/>
          <w:lang w:val="pl-PL"/>
        </w:rPr>
        <w:t>Příspěvek Kypru ke zprávě o právním státu pro rok 2021. Je třeba poznamenat, že zpráva o právním státu pro rok 2020, Kapitola o stavu právního státu na Kypru, s. 8., uvádí, že ačkoli pro členy vlády, státní úředníky a státní zástupce existují kodexy chování, pro členy Sněmovny reprezentantů podobná ustanovení nejsou k dispozici. Cílem kodexu bude poskytnout pokyny, jak předcházet střetům zájmů poslanců parlamentu a jak je řešit.</w:t>
      </w:r>
    </w:p>
  </w:footnote>
  <w:footnote w:id="69">
    <w:p>
      <w:pPr>
        <w:pStyle w:val="FootnoteText"/>
        <w:rPr>
          <w:rFonts w:cs="Times New Roman"/>
          <w:lang w:val="pl-PL"/>
        </w:rPr>
      </w:pPr>
      <w:r>
        <w:rPr>
          <w:rStyle w:val="FootnoteReference"/>
          <w:rFonts w:cs="Times New Roman"/>
        </w:rPr>
        <w:footnoteRef/>
      </w:r>
      <w:r>
        <w:rPr>
          <w:lang w:val="pl-PL"/>
        </w:rPr>
        <w:t xml:space="preserve"> </w:t>
      </w:r>
      <w:r>
        <w:rPr>
          <w:lang w:val="pl-PL"/>
        </w:rPr>
        <w:tab/>
      </w:r>
      <w:r>
        <w:rPr>
          <w:shd w:val="clear" w:color="auto" w:fill="FFFFFF"/>
          <w:lang w:val="pl-PL"/>
        </w:rPr>
        <w:t xml:space="preserve">Zákon č. 1 z roku 1990 týkající se veřejné služby a zákon č. 100(I) z roku 2015, kterým se mění zákon o veřejné službě. </w:t>
      </w:r>
    </w:p>
  </w:footnote>
  <w:footnote w:id="70">
    <w:p>
      <w:pPr>
        <w:pStyle w:val="FootnoteText"/>
        <w:rPr>
          <w:rFonts w:cs="Times New Roman"/>
          <w:lang w:val="pl-PL"/>
        </w:rPr>
      </w:pPr>
      <w:r>
        <w:rPr>
          <w:rStyle w:val="FootnoteReference"/>
          <w:rFonts w:cs="Times New Roman"/>
        </w:rPr>
        <w:footnoteRef/>
      </w:r>
      <w:r>
        <w:rPr>
          <w:lang w:val="pl-PL"/>
        </w:rPr>
        <w:t xml:space="preserve"> </w:t>
      </w:r>
      <w:r>
        <w:rPr>
          <w:lang w:val="pl-PL"/>
        </w:rPr>
        <w:tab/>
        <w:t>Příspěvek Kypru ke zprávě o právním státu pro rok 2021, s. 12.</w:t>
      </w:r>
    </w:p>
  </w:footnote>
  <w:footnote w:id="71">
    <w:p>
      <w:pPr>
        <w:pStyle w:val="FootnoteText"/>
        <w:rPr>
          <w:rFonts w:cs="Times New Roman"/>
          <w:lang w:val="pl-PL"/>
        </w:rPr>
      </w:pPr>
      <w:r>
        <w:rPr>
          <w:rStyle w:val="FootnoteReference"/>
          <w:rFonts w:cs="Times New Roman"/>
        </w:rPr>
        <w:footnoteRef/>
      </w:r>
      <w:r>
        <w:rPr>
          <w:lang w:val="pl-PL"/>
        </w:rPr>
        <w:t xml:space="preserve"> </w:t>
      </w:r>
      <w:r>
        <w:rPr>
          <w:lang w:val="pl-PL"/>
        </w:rPr>
        <w:tab/>
        <w:t>Zpráva o právním státu pro rok 2020, Kapitola o stavu právního státu na Kypru, s. 8.</w:t>
      </w:r>
    </w:p>
  </w:footnote>
  <w:footnote w:id="72">
    <w:p>
      <w:pPr>
        <w:pStyle w:val="FootnoteText"/>
        <w:rPr>
          <w:rFonts w:cs="Times New Roman"/>
          <w:lang w:val="pl-PL"/>
        </w:rPr>
      </w:pPr>
      <w:r>
        <w:rPr>
          <w:rStyle w:val="FootnoteReference"/>
          <w:rFonts w:cs="Times New Roman"/>
        </w:rPr>
        <w:footnoteRef/>
      </w:r>
      <w:r>
        <w:rPr>
          <w:lang w:val="pl-PL"/>
        </w:rPr>
        <w:t xml:space="preserve"> </w:t>
      </w:r>
      <w:r>
        <w:rPr>
          <w:lang w:val="pl-PL"/>
        </w:rPr>
        <w:tab/>
        <w:t>Příspěvek Kypru ke zprávě o právním státu pro rok 2021, s. 12.</w:t>
      </w:r>
    </w:p>
  </w:footnote>
  <w:footnote w:id="73">
    <w:p>
      <w:pPr>
        <w:pStyle w:val="FootnoteText"/>
        <w:rPr>
          <w:rFonts w:cs="Times New Roman"/>
          <w:lang w:val="pl-PL"/>
        </w:rPr>
      </w:pPr>
      <w:r>
        <w:rPr>
          <w:rStyle w:val="FootnoteReference"/>
          <w:rFonts w:cs="Times New Roman"/>
        </w:rPr>
        <w:footnoteRef/>
      </w:r>
      <w:r>
        <w:rPr>
          <w:lang w:val="pl-PL"/>
        </w:rPr>
        <w:t xml:space="preserve"> </w:t>
      </w:r>
      <w:r>
        <w:rPr>
          <w:lang w:val="pl-PL"/>
        </w:rPr>
        <w:tab/>
        <w:t>Podle navrhovaného zákona mohou mít osoby přímo zapojené do korupčního jednání, které jej však dobrovolně oznámí policii a/nebo nabídnou spolupráci s orgány, která povede k plnému vyšetřování a stíhání případu, prospěch v podobě zmírnění (až o polovinu z maxima) trestu stanoveného za daný trestný čin.</w:t>
      </w:r>
    </w:p>
  </w:footnote>
  <w:footnote w:id="74">
    <w:p>
      <w:pPr>
        <w:pStyle w:val="FootnoteText"/>
        <w:rPr>
          <w:rFonts w:cs="Times New Roman"/>
          <w:lang w:val="pl-PL"/>
        </w:rPr>
      </w:pPr>
      <w:r>
        <w:rPr>
          <w:rStyle w:val="FootnoteReference"/>
          <w:rFonts w:cs="Times New Roman"/>
        </w:rPr>
        <w:footnoteRef/>
      </w:r>
      <w:r>
        <w:rPr>
          <w:lang w:val="pl-PL"/>
        </w:rPr>
        <w:t xml:space="preserve"> </w:t>
      </w:r>
      <w:r>
        <w:rPr>
          <w:lang w:val="pl-PL"/>
        </w:rPr>
        <w:tab/>
        <w:t>Příspěvek Kypru ke zprávě o právním státu pro rok 2021, s. 13–14.</w:t>
      </w:r>
    </w:p>
  </w:footnote>
  <w:footnote w:id="75">
    <w:p>
      <w:pPr>
        <w:pStyle w:val="FootnoteText"/>
        <w:rPr>
          <w:rFonts w:cs="Times New Roman"/>
          <w:lang w:val="pl-PL"/>
        </w:rPr>
      </w:pPr>
      <w:r>
        <w:rPr>
          <w:rStyle w:val="FootnoteReference"/>
          <w:rFonts w:cs="Times New Roman"/>
        </w:rPr>
        <w:footnoteRef/>
      </w:r>
      <w:r>
        <w:rPr>
          <w:lang w:val="pl-PL"/>
        </w:rPr>
        <w:t xml:space="preserve"> </w:t>
      </w:r>
      <w:r>
        <w:rPr>
          <w:lang w:val="pl-PL"/>
        </w:rPr>
        <w:tab/>
        <w:t xml:space="preserve">Zákon 184 (I)/2017 o právu na přístup k informacím veřejného sektoru. </w:t>
      </w:r>
    </w:p>
  </w:footnote>
  <w:footnote w:id="76">
    <w:p>
      <w:pPr>
        <w:pStyle w:val="FootnoteText"/>
        <w:rPr>
          <w:rFonts w:cs="Times New Roman"/>
          <w:lang w:val="pl-PL"/>
        </w:rPr>
      </w:pPr>
      <w:r>
        <w:rPr>
          <w:rStyle w:val="FootnoteReference"/>
          <w:rFonts w:cs="Times New Roman"/>
        </w:rPr>
        <w:footnoteRef/>
      </w:r>
      <w:r>
        <w:rPr>
          <w:lang w:val="pl-PL"/>
        </w:rPr>
        <w:t xml:space="preserve"> </w:t>
      </w:r>
      <w:r>
        <w:rPr>
          <w:lang w:val="pl-PL"/>
        </w:rPr>
        <w:tab/>
        <w:t>Od roku 2020 se Kypr ve světovém indexu svobody tisku organizace Reportéři bez hranic posunul o další příčku výše, a je tak nyní celosvětově na 26. místě a v EU na 13. místě. Reportéři bez hranic – Kypr</w:t>
      </w:r>
      <w:r>
        <w:rPr>
          <w:rStyle w:val="Hyperlink"/>
          <w:lang w:val="pl-PL"/>
        </w:rPr>
        <w:t>.</w:t>
      </w:r>
      <w:r>
        <w:rPr>
          <w:lang w:val="pl-PL"/>
        </w:rPr>
        <w:t xml:space="preserve"> Od roku 2020 se Kypr ve světovém indexu svobody tisku organizace Reportéři bez hranic posunul o další příčku výše, a je tak nyní celosvětově na 26. místě a v EU na 13. místě.</w:t>
      </w:r>
    </w:p>
  </w:footnote>
  <w:footnote w:id="77">
    <w:p>
      <w:pPr>
        <w:pStyle w:val="FootnoteText"/>
        <w:rPr>
          <w:rFonts w:cs="Times New Roman"/>
          <w:lang w:val="pl-PL"/>
        </w:rPr>
      </w:pPr>
      <w:r>
        <w:rPr>
          <w:rStyle w:val="FootnoteReference"/>
          <w:rFonts w:cs="Times New Roman"/>
        </w:rPr>
        <w:footnoteRef/>
      </w:r>
      <w:r>
        <w:rPr>
          <w:lang w:val="pl-PL"/>
        </w:rPr>
        <w:t xml:space="preserve"> </w:t>
      </w:r>
      <w:r>
        <w:rPr>
          <w:lang w:val="pl-PL"/>
        </w:rPr>
        <w:tab/>
        <w:t>Dne 4. března 2021.</w:t>
      </w:r>
    </w:p>
  </w:footnote>
  <w:footnote w:id="78">
    <w:p>
      <w:pPr>
        <w:pStyle w:val="FootnoteText"/>
        <w:rPr>
          <w:rFonts w:cs="Times New Roman"/>
          <w:lang w:val="pl-PL"/>
        </w:rPr>
      </w:pPr>
      <w:r>
        <w:rPr>
          <w:rStyle w:val="FootnoteReference"/>
          <w:rFonts w:cs="Times New Roman"/>
        </w:rPr>
        <w:footnoteRef/>
      </w:r>
      <w:r>
        <w:rPr>
          <w:lang w:val="pl-PL"/>
        </w:rPr>
        <w:t xml:space="preserve"> </w:t>
      </w:r>
      <w:r>
        <w:rPr>
          <w:lang w:val="pl-PL"/>
        </w:rPr>
        <w:tab/>
        <w:t>Příspěvek Kypru ke zprávě o právním státu pro rok 2021, s. 20.</w:t>
      </w:r>
    </w:p>
  </w:footnote>
  <w:footnote w:id="79">
    <w:p>
      <w:pPr>
        <w:pStyle w:val="FootnoteText"/>
        <w:rPr>
          <w:rFonts w:cs="Times New Roman"/>
          <w:lang w:val="pl-PL"/>
        </w:rPr>
      </w:pPr>
      <w:r>
        <w:rPr>
          <w:rStyle w:val="FootnoteReference"/>
          <w:rFonts w:cs="Times New Roman"/>
        </w:rPr>
        <w:footnoteRef/>
      </w:r>
      <w:r>
        <w:rPr>
          <w:lang w:val="pl-PL"/>
        </w:rPr>
        <w:t xml:space="preserve"> </w:t>
      </w:r>
      <w:r>
        <w:rPr>
          <w:lang w:val="pl-PL"/>
        </w:rPr>
        <w:tab/>
        <w:t>Příspěvek Kypru ke zprávě o právním státu pro rok 2021, s. 19.</w:t>
      </w:r>
    </w:p>
  </w:footnote>
  <w:footnote w:id="80">
    <w:p>
      <w:pPr>
        <w:pStyle w:val="FootnoteText"/>
        <w:rPr>
          <w:rFonts w:cs="Times New Roman"/>
          <w:lang w:val="pl-PL"/>
        </w:rPr>
      </w:pPr>
      <w:r>
        <w:rPr>
          <w:rStyle w:val="FootnoteReference"/>
          <w:rFonts w:cs="Times New Roman"/>
        </w:rPr>
        <w:footnoteRef/>
      </w:r>
      <w:r>
        <w:rPr>
          <w:lang w:val="pl-PL"/>
        </w:rPr>
        <w:t xml:space="preserve"> </w:t>
      </w:r>
      <w:r>
        <w:rPr>
          <w:lang w:val="pl-PL"/>
        </w:rPr>
        <w:tab/>
        <w:t>Návrh zákona z roku 2021 o zajištění svobody tisku a činnosti sdělovacích prostředků v Kyperské republice.</w:t>
      </w:r>
    </w:p>
  </w:footnote>
  <w:footnote w:id="81">
    <w:p>
      <w:pPr>
        <w:pStyle w:val="FootnoteText"/>
        <w:rPr>
          <w:rFonts w:cs="Times New Roman"/>
          <w:lang w:val="pl-PL"/>
        </w:rPr>
      </w:pPr>
      <w:r>
        <w:rPr>
          <w:rStyle w:val="FootnoteReference"/>
          <w:rFonts w:cs="Times New Roman"/>
        </w:rPr>
        <w:footnoteRef/>
      </w:r>
      <w:r>
        <w:rPr>
          <w:lang w:val="pl-PL"/>
        </w:rPr>
        <w:t xml:space="preserve"> </w:t>
      </w:r>
      <w:r>
        <w:rPr>
          <w:lang w:val="pl-PL"/>
        </w:rPr>
        <w:tab/>
        <w:t>Komisi pro stížnosti související se sdělovacími prostředky byla zřízena v roce 1997 Asociací vydavatelů novin a periodik, vlastníky soukromých elektronických sdělovacích prostředků a Kyperským svazem novinářů.</w:t>
      </w:r>
    </w:p>
  </w:footnote>
  <w:footnote w:id="82">
    <w:p>
      <w:pPr>
        <w:pStyle w:val="FootnoteText"/>
        <w:rPr>
          <w:rFonts w:cs="Times New Roman"/>
          <w:lang w:val="pl-PL"/>
        </w:rPr>
      </w:pPr>
      <w:r>
        <w:rPr>
          <w:rStyle w:val="FootnoteReference"/>
          <w:rFonts w:cs="Times New Roman"/>
        </w:rPr>
        <w:footnoteRef/>
      </w:r>
      <w:r>
        <w:rPr>
          <w:lang w:val="pl-PL"/>
        </w:rPr>
        <w:t xml:space="preserve"> </w:t>
      </w:r>
      <w:r>
        <w:rPr>
          <w:lang w:val="pl-PL"/>
        </w:rPr>
        <w:tab/>
        <w:t>Zpráva nástroje pro sledování plurality sdělovacích prostředků 2021, s. 10.</w:t>
      </w:r>
    </w:p>
  </w:footnote>
  <w:footnote w:id="83">
    <w:p>
      <w:pPr>
        <w:pStyle w:val="FootnoteText"/>
        <w:rPr>
          <w:rFonts w:cs="Times New Roman"/>
          <w:lang w:val="pl-PL"/>
        </w:rPr>
      </w:pPr>
      <w:r>
        <w:rPr>
          <w:rStyle w:val="FootnoteReference"/>
          <w:rFonts w:cs="Times New Roman"/>
        </w:rPr>
        <w:footnoteRef/>
      </w:r>
      <w:r>
        <w:rPr>
          <w:lang w:val="pl-PL"/>
        </w:rPr>
        <w:t xml:space="preserve"> </w:t>
      </w:r>
      <w:r>
        <w:rPr>
          <w:lang w:val="pl-PL"/>
        </w:rPr>
        <w:tab/>
        <w:t>Návrh zákona z roku 2021 o zajištění svobody tisku a činnosti sdělovacích prostředků v Kyperské republice.</w:t>
      </w:r>
    </w:p>
  </w:footnote>
  <w:footnote w:id="84">
    <w:p>
      <w:pPr>
        <w:pStyle w:val="FootnoteText"/>
        <w:rPr>
          <w:rFonts w:cs="Times New Roman"/>
          <w:lang w:val="pl-PL"/>
        </w:rPr>
      </w:pPr>
      <w:r>
        <w:rPr>
          <w:rStyle w:val="FootnoteReference"/>
          <w:rFonts w:cs="Times New Roman"/>
        </w:rPr>
        <w:footnoteRef/>
      </w:r>
      <w:r>
        <w:rPr>
          <w:lang w:val="pl-PL"/>
        </w:rPr>
        <w:t xml:space="preserve"> </w:t>
      </w:r>
      <w:r>
        <w:rPr>
          <w:lang w:val="pl-PL"/>
        </w:rPr>
        <w:tab/>
        <w:t>Příspěvek Kypru ke zprávě o právním státu pro rok 2021, s. 19–20.</w:t>
      </w:r>
    </w:p>
  </w:footnote>
  <w:footnote w:id="85">
    <w:p>
      <w:pPr>
        <w:pStyle w:val="FootnoteText"/>
        <w:rPr>
          <w:lang w:val="pl-PL"/>
        </w:rPr>
      </w:pPr>
      <w:r>
        <w:rPr>
          <w:rStyle w:val="FootnoteReference"/>
        </w:rPr>
        <w:footnoteRef/>
      </w:r>
      <w:r>
        <w:rPr>
          <w:lang w:val="pl-PL"/>
        </w:rPr>
        <w:t xml:space="preserve"> </w:t>
      </w:r>
      <w:r>
        <w:rPr>
          <w:lang w:val="pl-PL"/>
        </w:rPr>
        <w:tab/>
        <w:t>Zpráva nástroje pro sledování plurality sdělovacích prostředků 2021, s. 14.</w:t>
      </w:r>
    </w:p>
  </w:footnote>
  <w:footnote w:id="86">
    <w:p>
      <w:pPr>
        <w:pStyle w:val="FootnoteText"/>
        <w:rPr>
          <w:rFonts w:cs="Times New Roman"/>
          <w:lang w:val="pl-PL"/>
        </w:rPr>
      </w:pPr>
      <w:r>
        <w:rPr>
          <w:rStyle w:val="FootnoteReference"/>
          <w:rFonts w:cs="Times New Roman"/>
        </w:rPr>
        <w:footnoteRef/>
      </w:r>
      <w:r>
        <w:rPr>
          <w:lang w:val="pl-PL"/>
        </w:rPr>
        <w:t xml:space="preserve"> </w:t>
      </w:r>
      <w:r>
        <w:rPr>
          <w:lang w:val="pl-PL"/>
        </w:rPr>
        <w:tab/>
        <w:t>Tamtéž.</w:t>
      </w:r>
    </w:p>
  </w:footnote>
  <w:footnote w:id="87">
    <w:p>
      <w:pPr>
        <w:pStyle w:val="FootnoteText"/>
        <w:rPr>
          <w:rFonts w:cs="Times New Roman"/>
          <w:lang w:val="pl-PL"/>
        </w:rPr>
      </w:pPr>
      <w:r>
        <w:rPr>
          <w:rStyle w:val="FootnoteReference"/>
          <w:rFonts w:cs="Times New Roman"/>
        </w:rPr>
        <w:footnoteRef/>
      </w:r>
      <w:r>
        <w:rPr>
          <w:lang w:val="pl-PL"/>
        </w:rPr>
        <w:t xml:space="preserve"> </w:t>
      </w:r>
      <w:r>
        <w:rPr>
          <w:lang w:val="pl-PL"/>
        </w:rPr>
        <w:tab/>
        <w:t>Příspěvek Kypru ke zprávě o právním státu pro rok 2021, s. 20–21, a informace získané v souvislosti s návštěvou Kypru.</w:t>
      </w:r>
    </w:p>
  </w:footnote>
  <w:footnote w:id="88">
    <w:p>
      <w:pPr>
        <w:pStyle w:val="FootnoteText"/>
        <w:rPr>
          <w:rFonts w:cs="Times New Roman"/>
          <w:lang w:val="pl-PL"/>
        </w:rPr>
      </w:pPr>
      <w:r>
        <w:rPr>
          <w:rStyle w:val="FootnoteReference"/>
          <w:rFonts w:cs="Times New Roman"/>
        </w:rPr>
        <w:footnoteRef/>
      </w:r>
      <w:r>
        <w:rPr>
          <w:lang w:val="pl-PL"/>
        </w:rPr>
        <w:t xml:space="preserve"> </w:t>
      </w:r>
      <w:r>
        <w:rPr>
          <w:lang w:val="pl-PL"/>
        </w:rPr>
        <w:tab/>
        <w:t>Příspěvek Kypru ke zprávě o právním státu pro rok 2021, s. 20–21, a informace, které obdržela tisková a informační kancelář v souvislosti s návštěvou Kypru.</w:t>
      </w:r>
    </w:p>
  </w:footnote>
  <w:footnote w:id="89">
    <w:p>
      <w:pPr>
        <w:pStyle w:val="FootnoteText"/>
        <w:rPr>
          <w:rFonts w:cs="Times New Roman"/>
          <w:lang w:val="pl-PL"/>
        </w:rPr>
      </w:pPr>
      <w:r>
        <w:rPr>
          <w:rStyle w:val="FootnoteReference"/>
          <w:rFonts w:cs="Times New Roman"/>
        </w:rPr>
        <w:footnoteRef/>
      </w:r>
      <w:r>
        <w:rPr>
          <w:lang w:val="pl-PL"/>
        </w:rPr>
        <w:t xml:space="preserve"> </w:t>
      </w:r>
      <w:r>
        <w:rPr>
          <w:lang w:val="pl-PL"/>
        </w:rPr>
        <w:tab/>
        <w:t>Projekt pro podávání zpráv o organizované trestné činnosti, „</w:t>
      </w:r>
      <w:r>
        <w:rPr>
          <w:i/>
          <w:lang w:val="pl-PL"/>
        </w:rPr>
        <w:t>Kyperský novinář uvedl, že je sledován, a bojí se o život</w:t>
      </w:r>
      <w:r>
        <w:rPr>
          <w:lang w:val="pl-PL"/>
        </w:rPr>
        <w:t>“.</w:t>
      </w:r>
    </w:p>
  </w:footnote>
  <w:footnote w:id="90">
    <w:p>
      <w:pPr>
        <w:pStyle w:val="FootnoteText"/>
        <w:rPr>
          <w:rFonts w:cs="Times New Roman"/>
          <w:lang w:val="pl-PL"/>
        </w:rPr>
      </w:pPr>
      <w:r>
        <w:rPr>
          <w:rStyle w:val="FootnoteReference"/>
          <w:rFonts w:cs="Times New Roman"/>
        </w:rPr>
        <w:footnoteRef/>
      </w:r>
      <w:r>
        <w:rPr>
          <w:lang w:val="pl-PL"/>
        </w:rPr>
        <w:t xml:space="preserve"> </w:t>
      </w:r>
      <w:r>
        <w:rPr>
          <w:lang w:val="pl-PL"/>
        </w:rPr>
        <w:tab/>
        <w:t>Reportéři bez hranic – Kypr</w:t>
      </w:r>
      <w:r>
        <w:rPr>
          <w:rStyle w:val="Hyperlink"/>
          <w:color w:val="auto"/>
          <w:u w:val="none"/>
          <w:lang w:val="pl-PL"/>
        </w:rPr>
        <w:t>.</w:t>
      </w:r>
      <w:r>
        <w:rPr>
          <w:lang w:val="pl-PL"/>
        </w:rPr>
        <w:t xml:space="preserve"> </w:t>
      </w:r>
    </w:p>
  </w:footnote>
  <w:footnote w:id="91">
    <w:p>
      <w:pPr>
        <w:pStyle w:val="FootnoteText"/>
        <w:rPr>
          <w:rFonts w:cs="Times New Roman"/>
          <w:lang w:val="pl-PL"/>
        </w:rPr>
      </w:pPr>
      <w:r>
        <w:rPr>
          <w:rStyle w:val="FootnoteReference"/>
          <w:rFonts w:cs="Times New Roman"/>
        </w:rPr>
        <w:footnoteRef/>
      </w:r>
      <w:r>
        <w:rPr>
          <w:lang w:val="pl-PL"/>
        </w:rPr>
        <w:t xml:space="preserve"> </w:t>
      </w:r>
      <w:r>
        <w:rPr>
          <w:lang w:val="pl-PL"/>
        </w:rPr>
        <w:tab/>
        <w:t>Je plánováno zřízení Ústavního soudu, který od Nejvyššího soudu převezme přezkum ústavnosti zákonů (viz část I). Příspěvek Kypru ke zprávě o právním státu pro rok 2021.</w:t>
      </w:r>
    </w:p>
  </w:footnote>
  <w:footnote w:id="92">
    <w:p>
      <w:pPr>
        <w:pStyle w:val="FootnoteText"/>
        <w:rPr>
          <w:rFonts w:cs="Times New Roman"/>
          <w:lang w:val="pl-PL"/>
        </w:rPr>
      </w:pPr>
      <w:r>
        <w:rPr>
          <w:rStyle w:val="FootnoteReference"/>
          <w:rFonts w:cs="Times New Roman"/>
        </w:rPr>
        <w:footnoteRef/>
      </w:r>
      <w:r>
        <w:rPr>
          <w:lang w:val="pl-PL"/>
        </w:rPr>
        <w:t xml:space="preserve"> </w:t>
      </w:r>
      <w:r>
        <w:rPr>
          <w:lang w:val="pl-PL"/>
        </w:rPr>
        <w:tab/>
        <w:t xml:space="preserve">Zpráva o právním státu pro rok 2020, Kapitola o stavu právního státu na Kypru, s. 10; OECD(2019), </w:t>
      </w:r>
      <w:r>
        <w:rPr>
          <w:i/>
          <w:iCs/>
          <w:lang w:val="pl-PL"/>
        </w:rPr>
        <w:t>Ukazatele regulační politiky a správy – Kypr</w:t>
      </w:r>
      <w:r>
        <w:rPr>
          <w:lang w:val="pl-PL"/>
        </w:rPr>
        <w:t>.</w:t>
      </w:r>
    </w:p>
  </w:footnote>
  <w:footnote w:id="93">
    <w:p>
      <w:pPr>
        <w:pStyle w:val="FootnoteText"/>
        <w:rPr>
          <w:rFonts w:cs="Times New Roman"/>
          <w:lang w:val="pl-PL"/>
        </w:rPr>
      </w:pPr>
      <w:r>
        <w:rPr>
          <w:rStyle w:val="FootnoteReference"/>
          <w:rFonts w:cs="Times New Roman"/>
        </w:rPr>
        <w:footnoteRef/>
      </w:r>
      <w:r>
        <w:rPr>
          <w:lang w:val="pl-PL"/>
        </w:rPr>
        <w:t xml:space="preserve"> </w:t>
      </w:r>
      <w:r>
        <w:rPr>
          <w:lang w:val="pl-PL"/>
        </w:rPr>
        <w:tab/>
        <w:t>Příspěvek Agentury pro základní práva ke zprávě o právním státu pro rok 2021 – Kypr, s. 5.</w:t>
      </w:r>
    </w:p>
  </w:footnote>
  <w:footnote w:id="94">
    <w:p>
      <w:pPr>
        <w:pStyle w:val="FootnoteText"/>
        <w:rPr>
          <w:rFonts w:cs="Times New Roman"/>
          <w:lang w:val="pl-PL"/>
        </w:rPr>
      </w:pPr>
      <w:r>
        <w:rPr>
          <w:rStyle w:val="FootnoteReference"/>
          <w:rFonts w:cs="Times New Roman"/>
        </w:rPr>
        <w:footnoteRef/>
      </w:r>
      <w:r>
        <w:rPr>
          <w:lang w:val="pl-PL"/>
        </w:rPr>
        <w:t xml:space="preserve"> </w:t>
      </w:r>
      <w:r>
        <w:rPr>
          <w:lang w:val="pl-PL"/>
        </w:rPr>
        <w:tab/>
        <w:t>Např. advokátní komora, organizace občanské společnosti. Informace získané v souvislosti s návštěvou Kypru.</w:t>
      </w:r>
    </w:p>
  </w:footnote>
  <w:footnote w:id="95">
    <w:p>
      <w:pPr>
        <w:pStyle w:val="FootnoteText"/>
        <w:rPr>
          <w:rFonts w:cs="Times New Roman"/>
          <w:lang w:val="pl-PL"/>
        </w:rPr>
      </w:pPr>
      <w:r>
        <w:rPr>
          <w:rStyle w:val="FootnoteReference"/>
          <w:rFonts w:cs="Times New Roman"/>
        </w:rPr>
        <w:footnoteRef/>
      </w:r>
      <w:r>
        <w:rPr>
          <w:lang w:val="pl-PL"/>
        </w:rPr>
        <w:t xml:space="preserve"> </w:t>
      </w:r>
      <w:r>
        <w:rPr>
          <w:lang w:val="pl-PL"/>
        </w:rPr>
        <w:tab/>
        <w:t xml:space="preserve">Informace získané v souvislosti s návštěvou Kypru. </w:t>
      </w:r>
    </w:p>
  </w:footnote>
  <w:footnote w:id="96">
    <w:p>
      <w:pPr>
        <w:pStyle w:val="FootnoteText"/>
        <w:rPr>
          <w:rFonts w:cs="Times New Roman"/>
          <w:lang w:val="pl-PL"/>
        </w:rPr>
      </w:pPr>
      <w:r>
        <w:rPr>
          <w:rStyle w:val="FootnoteReference"/>
          <w:rFonts w:cs="Times New Roman"/>
        </w:rPr>
        <w:footnoteRef/>
      </w:r>
      <w:r>
        <w:rPr>
          <w:lang w:val="pl-PL"/>
        </w:rPr>
        <w:t xml:space="preserve"> </w:t>
      </w:r>
      <w:r>
        <w:rPr>
          <w:lang w:val="pl-PL"/>
        </w:rPr>
        <w:tab/>
        <w:t>Informace, které obdržel úřad nejvyššího státního zástupce v souvislosti s návštěvou Kypru.</w:t>
      </w:r>
    </w:p>
  </w:footnote>
  <w:footnote w:id="97">
    <w:p>
      <w:pPr>
        <w:pStyle w:val="FootnoteText"/>
        <w:rPr>
          <w:rFonts w:cs="Times New Roman"/>
          <w:lang w:val="pl-PL"/>
        </w:rPr>
      </w:pPr>
      <w:r>
        <w:rPr>
          <w:rStyle w:val="FootnoteReference"/>
          <w:rFonts w:cs="Times New Roman"/>
        </w:rPr>
        <w:footnoteRef/>
      </w:r>
      <w:r>
        <w:rPr>
          <w:lang w:val="pl-PL"/>
        </w:rPr>
        <w:t xml:space="preserve"> </w:t>
      </w:r>
      <w:r>
        <w:rPr>
          <w:lang w:val="pl-PL"/>
        </w:rPr>
        <w:tab/>
        <w:t>Tato pravomoc byla přenesena na ministra zdravotnictví.</w:t>
      </w:r>
    </w:p>
  </w:footnote>
  <w:footnote w:id="98">
    <w:p>
      <w:pPr>
        <w:pStyle w:val="FootnoteText"/>
        <w:rPr>
          <w:rFonts w:cs="Times New Roman"/>
          <w:lang w:val="pl-PL"/>
        </w:rPr>
      </w:pPr>
      <w:r>
        <w:rPr>
          <w:rStyle w:val="FootnoteReference"/>
          <w:rFonts w:cs="Times New Roman"/>
        </w:rPr>
        <w:footnoteRef/>
      </w:r>
      <w:r>
        <w:rPr>
          <w:lang w:val="pl-PL"/>
        </w:rPr>
        <w:t xml:space="preserve"> </w:t>
      </w:r>
      <w:r>
        <w:rPr>
          <w:lang w:val="pl-PL"/>
        </w:rPr>
        <w:tab/>
        <w:t xml:space="preserve">Právní předpisy týkající se trestných činů a sankcí v souvislosti s pandemií COVID-19 byly v roce 2020 projednány a schváleny kyperským parlamentem. Informace získané v souvislosti s návštěvou Kypru. </w:t>
      </w:r>
    </w:p>
  </w:footnote>
  <w:footnote w:id="99">
    <w:p>
      <w:pPr>
        <w:pStyle w:val="FootnoteText"/>
        <w:rPr>
          <w:rFonts w:cs="Times New Roman"/>
          <w:lang w:val="pl-PL"/>
        </w:rPr>
      </w:pPr>
      <w:r>
        <w:rPr>
          <w:rStyle w:val="FootnoteReference"/>
          <w:rFonts w:cs="Times New Roman"/>
        </w:rPr>
        <w:footnoteRef/>
      </w:r>
      <w:r>
        <w:rPr>
          <w:lang w:val="pl-PL"/>
        </w:rPr>
        <w:t xml:space="preserve"> </w:t>
      </w:r>
      <w:r>
        <w:rPr>
          <w:lang w:val="pl-PL"/>
        </w:rPr>
        <w:tab/>
        <w:t>Informace, které obdrželo Ministerstvo spravedlnosti v souvislosti s návštěvou Kypru.</w:t>
      </w:r>
    </w:p>
  </w:footnote>
  <w:footnote w:id="100">
    <w:p>
      <w:pPr>
        <w:pStyle w:val="FootnoteText"/>
        <w:rPr>
          <w:rFonts w:cs="Times New Roman"/>
          <w:lang w:val="pl-PL"/>
        </w:rPr>
      </w:pPr>
      <w:r>
        <w:rPr>
          <w:rStyle w:val="FootnoteReference"/>
          <w:rFonts w:cs="Times New Roman"/>
        </w:rPr>
        <w:footnoteRef/>
      </w:r>
      <w:r>
        <w:rPr>
          <w:lang w:val="pl-PL"/>
        </w:rPr>
        <w:t xml:space="preserve"> </w:t>
      </w:r>
      <w:r>
        <w:rPr>
          <w:lang w:val="pl-PL"/>
        </w:rPr>
        <w:tab/>
        <w:t>Příspěvek Kypru ke zprávě o právním státu pro rok 2021, s. 22–24.</w:t>
      </w:r>
    </w:p>
  </w:footnote>
  <w:footnote w:id="101">
    <w:p>
      <w:pPr>
        <w:pStyle w:val="FootnoteText"/>
        <w:rPr>
          <w:rFonts w:cs="Times New Roman"/>
          <w:lang w:val="pl-PL"/>
        </w:rPr>
      </w:pPr>
      <w:r>
        <w:rPr>
          <w:rStyle w:val="FootnoteReference"/>
          <w:rFonts w:cs="Times New Roman"/>
        </w:rPr>
        <w:footnoteRef/>
      </w:r>
      <w:r>
        <w:rPr>
          <w:lang w:val="pl-PL"/>
        </w:rPr>
        <w:t xml:space="preserve"> </w:t>
      </w:r>
      <w:r>
        <w:rPr>
          <w:lang w:val="pl-PL"/>
        </w:rPr>
        <w:tab/>
        <w:t>Příspěvek Evropské sítě vnitrostátních institucí pro lidská práva ke zprávě o právním státu pro rok 2021.</w:t>
      </w:r>
    </w:p>
  </w:footnote>
  <w:footnote w:id="102">
    <w:p>
      <w:pPr>
        <w:pStyle w:val="FootnoteText"/>
        <w:rPr>
          <w:rFonts w:cs="Times New Roman"/>
          <w:lang w:val="pl-PL"/>
        </w:rPr>
      </w:pPr>
      <w:r>
        <w:rPr>
          <w:rStyle w:val="FootnoteReference"/>
          <w:rFonts w:cs="Times New Roman"/>
        </w:rPr>
        <w:footnoteRef/>
      </w:r>
      <w:r>
        <w:rPr>
          <w:lang w:val="pl-PL"/>
        </w:rPr>
        <w:t xml:space="preserve"> </w:t>
      </w:r>
      <w:r>
        <w:rPr>
          <w:lang w:val="pl-PL"/>
        </w:rPr>
        <w:tab/>
        <w:t>Zpráva o právním státu pro rok 2020, Kapitola o stavu právního státu na Kypru, s. 11.</w:t>
      </w:r>
    </w:p>
  </w:footnote>
  <w:footnote w:id="103">
    <w:p>
      <w:pPr>
        <w:pStyle w:val="FootnoteText"/>
        <w:rPr>
          <w:rFonts w:cs="Times New Roman"/>
          <w:lang w:val="pl-PL"/>
        </w:rPr>
      </w:pPr>
      <w:r>
        <w:rPr>
          <w:rStyle w:val="FootnoteReference"/>
          <w:rFonts w:cs="Times New Roman"/>
        </w:rPr>
        <w:footnoteRef/>
      </w:r>
      <w:r>
        <w:rPr>
          <w:lang w:val="pl-PL"/>
        </w:rPr>
        <w:t xml:space="preserve"> </w:t>
      </w:r>
      <w:r>
        <w:rPr>
          <w:lang w:val="pl-PL"/>
        </w:rPr>
        <w:tab/>
        <w:t>Všeobecný pravidelný přezkum OSN (2019) – Kypr přijal sedm obdržených doporučení k zajištění souladu národní instituce pro lidská práva s pařížskými zásadami.</w:t>
      </w:r>
    </w:p>
  </w:footnote>
  <w:footnote w:id="104">
    <w:p>
      <w:pPr>
        <w:pStyle w:val="FootnoteText"/>
        <w:rPr>
          <w:rFonts w:cs="Times New Roman"/>
          <w:lang w:val="pl-PL"/>
        </w:rPr>
      </w:pPr>
      <w:r>
        <w:rPr>
          <w:rStyle w:val="FootnoteReference"/>
          <w:rFonts w:cs="Times New Roman"/>
        </w:rPr>
        <w:footnoteRef/>
      </w:r>
      <w:r>
        <w:rPr>
          <w:lang w:val="pl-PL"/>
        </w:rPr>
        <w:t xml:space="preserve"> </w:t>
      </w:r>
      <w:r>
        <w:rPr>
          <w:lang w:val="pl-PL"/>
        </w:rPr>
        <w:tab/>
        <w:t>Zpráva o právním státu pro rok 2020, Kapitola o stavu právního státu na Kypru, s. 12.</w:t>
      </w:r>
    </w:p>
  </w:footnote>
  <w:footnote w:id="105">
    <w:p>
      <w:pPr>
        <w:pStyle w:val="FootnoteText"/>
        <w:rPr>
          <w:rFonts w:cs="Times New Roman"/>
          <w:lang w:val="pl-PL"/>
        </w:rPr>
      </w:pPr>
      <w:r>
        <w:rPr>
          <w:rStyle w:val="FootnoteReference"/>
          <w:rFonts w:cs="Times New Roman"/>
        </w:rPr>
        <w:footnoteRef/>
      </w:r>
      <w:r>
        <w:rPr>
          <w:lang w:val="pl-PL"/>
        </w:rPr>
        <w:t xml:space="preserve"> </w:t>
      </w:r>
      <w:r>
        <w:rPr>
          <w:lang w:val="pl-PL"/>
        </w:rPr>
        <w:tab/>
        <w:t>Dopis od Dunji Mijatovićové, komisařky pro lidská práva, pro pana Nicose Nourise, kyperského ministra vnitra, 18. března 2021.</w:t>
      </w:r>
    </w:p>
  </w:footnote>
  <w:footnote w:id="106">
    <w:p>
      <w:pPr>
        <w:pStyle w:val="FootnoteText"/>
        <w:rPr>
          <w:rFonts w:cs="Times New Roman"/>
          <w:lang w:val="pl-PL"/>
        </w:rPr>
      </w:pPr>
      <w:r>
        <w:rPr>
          <w:rStyle w:val="FootnoteReference"/>
          <w:rFonts w:cs="Times New Roman"/>
        </w:rPr>
        <w:footnoteRef/>
      </w:r>
      <w:r>
        <w:rPr>
          <w:lang w:val="pl-PL"/>
        </w:rPr>
        <w:t xml:space="preserve"> </w:t>
      </w:r>
      <w:r>
        <w:rPr>
          <w:lang w:val="pl-PL"/>
        </w:rPr>
        <w:tab/>
        <w:t>Odpověď od pana Nicose Nourise, kyperského ministra vnitra, Dunji Mijatovićové, komisařce pro lidská práva (2021)</w:t>
      </w:r>
      <w:r>
        <w:rPr>
          <w:rStyle w:val="Hyperlink"/>
          <w:color w:val="auto"/>
          <w:u w:val="none"/>
          <w:lang w:val="pl-PL"/>
        </w:rPr>
        <w:t>.</w:t>
      </w:r>
    </w:p>
  </w:footnote>
  <w:footnote w:id="107">
    <w:p>
      <w:pPr>
        <w:pStyle w:val="FootnoteText"/>
        <w:rPr>
          <w:rFonts w:cs="Times New Roman"/>
          <w:lang w:val="pl-PL"/>
        </w:rPr>
      </w:pPr>
      <w:r>
        <w:rPr>
          <w:rStyle w:val="FootnoteReference"/>
          <w:rFonts w:cs="Times New Roman"/>
        </w:rPr>
        <w:footnoteRef/>
      </w:r>
      <w:r>
        <w:rPr>
          <w:lang w:val="pl-PL"/>
        </w:rPr>
        <w:t xml:space="preserve"> </w:t>
      </w:r>
      <w:r>
        <w:rPr>
          <w:lang w:val="pl-PL"/>
        </w:rPr>
        <w:tab/>
        <w:t>Zákon o sdruženích a nadacích a dalších souvisejících záležitostech. Příspěvek Kypru ke zprávě o právním státu pro rok 2020, s. 47.</w:t>
      </w:r>
    </w:p>
  </w:footnote>
  <w:footnote w:id="108">
    <w:p>
      <w:pPr>
        <w:pStyle w:val="FootnoteText"/>
        <w:rPr>
          <w:rFonts w:cs="Times New Roman"/>
          <w:lang w:val="pl-PL"/>
        </w:rPr>
      </w:pPr>
      <w:r>
        <w:rPr>
          <w:rStyle w:val="FootnoteReference"/>
          <w:rFonts w:cs="Times New Roman"/>
        </w:rPr>
        <w:footnoteRef/>
      </w:r>
      <w:r>
        <w:rPr>
          <w:lang w:val="pl-PL"/>
        </w:rPr>
        <w:t xml:space="preserve"> </w:t>
      </w:r>
      <w:r>
        <w:rPr>
          <w:lang w:val="pl-PL"/>
        </w:rPr>
        <w:tab/>
        <w:t xml:space="preserve">Finanční akční výbor (2015), </w:t>
      </w:r>
      <w:r>
        <w:rPr>
          <w:i/>
          <w:lang w:val="pl-PL"/>
        </w:rPr>
        <w:t>Boj proti zneužívání neziskových organizací (doporučení 8)</w:t>
      </w:r>
      <w:r>
        <w:rPr>
          <w:lang w:val="pl-PL"/>
        </w:rPr>
        <w:t>, s. 22–23.</w:t>
      </w:r>
    </w:p>
  </w:footnote>
  <w:footnote w:id="109">
    <w:p>
      <w:pPr>
        <w:pStyle w:val="FootnoteText"/>
        <w:rPr>
          <w:rFonts w:cs="Times New Roman"/>
          <w:lang w:val="pl-PL"/>
        </w:rPr>
      </w:pPr>
      <w:r>
        <w:rPr>
          <w:rStyle w:val="FootnoteReference"/>
          <w:rFonts w:cs="Times New Roman"/>
        </w:rPr>
        <w:footnoteRef/>
      </w:r>
      <w:r>
        <w:rPr>
          <w:lang w:val="pl-PL"/>
        </w:rPr>
        <w:t xml:space="preserve"> </w:t>
      </w:r>
      <w:r>
        <w:rPr>
          <w:lang w:val="pl-PL"/>
        </w:rPr>
        <w:tab/>
        <w:t>Kromě toho vláda vysvětlila, že všechny stávající nevládní organizace musely změnit svůj status a přijmout další opatření, například připravit do 31. prosince 2019 své finanční účty a informovat správce rejstříku o členech správní rady. Z přibližně 6 500 nevládních organizací vyhovělo požadavkům v dané lhůtě 3 500 organizací. Organizace, které lhůtu do konce roku 2019 nesplnily, mají další možnost splnit požadavky do října 2020. Velká většina dotčených nevládních organizací neprojevila žádnou snahu o splnění nové lhůty. Z 2020 případů nevládních organizací, jejichž registrace byla zamítnuta, bylo podáno 60 odvolání ke správnímu přezkumu, z nichž orgán provádějící přezkum (hlavní registrační úřad) ve 23 případech zrušil rozhodnutí správce rejstříku o zamítnutí registrace. Jen jedna nevládní organizace napadla správní rozhodnutí o zamítnutí registrace na konci roku 2020 před Nejvyšším soudem a případ se stále projednává.</w:t>
      </w:r>
    </w:p>
  </w:footnote>
  <w:footnote w:id="110">
    <w:p>
      <w:pPr>
        <w:pStyle w:val="FootnoteText"/>
        <w:rPr>
          <w:rFonts w:cs="Times New Roman"/>
          <w:i/>
          <w:lang w:val="pl-PL"/>
        </w:rPr>
      </w:pPr>
      <w:r>
        <w:rPr>
          <w:rStyle w:val="FootnoteReference"/>
          <w:rFonts w:cs="Times New Roman"/>
        </w:rPr>
        <w:footnoteRef/>
      </w:r>
      <w:r>
        <w:rPr>
          <w:lang w:val="pl-PL"/>
        </w:rPr>
        <w:t xml:space="preserve"> </w:t>
      </w:r>
      <w:r>
        <w:rPr>
          <w:lang w:val="pl-PL"/>
        </w:rPr>
        <w:tab/>
        <w:t xml:space="preserve">Příspěvek Agentury pro základní práva ke zprávě o právním státu pro rok 2021. Čl. 44 odst. 1 </w:t>
      </w:r>
      <w:r>
        <w:rPr>
          <w:i/>
          <w:iCs/>
          <w:lang w:val="pl-PL"/>
        </w:rPr>
        <w:t>zákona</w:t>
      </w:r>
      <w:r>
        <w:rPr>
          <w:lang w:val="pl-PL"/>
        </w:rPr>
        <w:t xml:space="preserve"> 104(I)/2017 ve znění zákona 118(I</w:t>
      </w:r>
      <w:r>
        <w:rPr>
          <w:shd w:val="clear" w:color="auto" w:fill="FAFAFA"/>
          <w:lang w:val="pl-PL"/>
        </w:rPr>
        <w:t>)/2020</w:t>
      </w:r>
      <w:r>
        <w:rPr>
          <w:lang w:val="pl-PL"/>
        </w:rPr>
        <w:t xml:space="preserve"> </w:t>
      </w:r>
      <w:r>
        <w:rPr>
          <w:i/>
          <w:iCs/>
          <w:lang w:val="pl-PL"/>
        </w:rPr>
        <w:t>„Pět (5) nebo více sdružení, nadací, neziskových organizací či jiných obdobných neziskových právních subjektů, ať už zahraničních, či domácích, které mají společný účel, může s výhradou ustanovení příslušného práva zakládat federace nebo sdružení a tak být zapsáno v rejstříku spravovaném registračním úřadem, pokud jejich stanovy uvádějí, že právem rozhodným pro jejich činnost je právo použitelné v republice.“</w:t>
      </w:r>
    </w:p>
    <w:p>
      <w:pPr>
        <w:pStyle w:val="FootnoteText"/>
        <w:ind w:firstLine="0"/>
        <w:rPr>
          <w:rFonts w:cs="Times New Roman"/>
          <w:i/>
          <w:lang w:val="pl-PL"/>
        </w:rPr>
      </w:pPr>
      <w:r>
        <w:rPr>
          <w:i/>
          <w:lang w:val="pl-PL"/>
        </w:rPr>
        <w:t>„Má se za to, že s výhradou ustanovení zákona o ratifikaci Evropské úmluvy o uznání právní subjektivity mezinárodních nevládních organizací z roku 2003 mohou být tyto federace nebo sdružení zakládány také s odpovídajícími zahraničními organizacemi, pokud jejich stanovy uvádějí, že právem rozhodným pro jejich činnost v Kyperské republice je právo použitelné v republice.“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B252BA"/>
    <w:multiLevelType w:val="hybridMultilevel"/>
    <w:tmpl w:val="1B7C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747AE"/>
    <w:multiLevelType w:val="multilevel"/>
    <w:tmpl w:val="47BAF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460101"/>
    <w:multiLevelType w:val="hybridMultilevel"/>
    <w:tmpl w:val="5A166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5A7C089B"/>
    <w:multiLevelType w:val="hybridMultilevel"/>
    <w:tmpl w:val="65E0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6042CE"/>
    <w:multiLevelType w:val="hybridMultilevel"/>
    <w:tmpl w:val="75FCDF28"/>
    <w:lvl w:ilvl="0" w:tplc="94A044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6AC01326"/>
    <w:multiLevelType w:val="hybridMultilevel"/>
    <w:tmpl w:val="79D0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477421"/>
    <w:multiLevelType w:val="hybridMultilevel"/>
    <w:tmpl w:val="D2746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11"/>
  </w:num>
  <w:num w:numId="7">
    <w:abstractNumId w:val="8"/>
  </w:num>
  <w:num w:numId="8">
    <w:abstractNumId w:val="9"/>
  </w:num>
  <w:num w:numId="9">
    <w:abstractNumId w:val="12"/>
  </w:num>
  <w:num w:numId="10">
    <w:abstractNumId w:val="6"/>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s-AR" w:vendorID="64" w:dllVersion="131078" w:nlCheck="1" w:checkStyle="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u367?vodní dokument ke"/>
    <w:docVar w:name="LW_CORRIGENDUM" w:val="&lt;UNUSED&gt;"/>
    <w:docVar w:name="LW_COVERPAGE_EXISTS" w:val="True"/>
    <w:docVar w:name="LW_COVERPAGE_GUID" w:val="4B61FD2A-9310-4CCE-87DD-2C36B19AB9C8"/>
    <w:docVar w:name="LW_COVERPAGE_TYPE" w:val="1"/>
    <w:docVar w:name="LW_CROSSREFERENCE" w:val="{COM(2021) 700 final} - {SWD(2021) 701 final} - {SWD(2021) 702 final} - {SWD(2021) 703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ATE.ADOPT.CP_ISODATE" w:val="&lt;EMPTY&gt;"/>
    <w:docVar w:name="LW_DocType" w:val="NORMAL"/>
    <w:docVar w:name="LW_EMISSION" w:val="20.7.2021"/>
    <w:docVar w:name="LW_EMISSION_ISODATE" w:val="2021-07-20"/>
    <w:docVar w:name="LW_EMISSION_LOCATION" w:val="BRX"/>
    <w:docVar w:name="LW_EMISSION_PREFIX" w:val="V Bruselu dne "/>
    <w:docVar w:name="LW_EMISSION_SUFFIX" w:val=" "/>
    <w:docVar w:name="LW_ID_DOCTYPE_NONLW" w:val="CP-025"/>
    <w:docVar w:name="LW_INTERETEEE.CP" w:val="&lt;UNUSED&gt;"/>
    <w:docVar w:name="LW_LANGUE" w:val="CS"/>
    <w:docVar w:name="LW_LANGUESFAISANTFOI.CP" w:val="&lt;UNUSED&gt;"/>
    <w:docVar w:name="LW_LEVEL_OF_SENSITIVITY" w:val="Standard treatment"/>
    <w:docVar w:name="LW_NOM.INST" w:val="EVROPSKÁ KOMISE"/>
    <w:docVar w:name="LW_NOM.INST_JOINTDOC" w:val="&lt;EMPTY&gt;"/>
    <w:docVar w:name="LW_OBJETACTEPRINCIPAL.CP" w:val="Zpráva o právním státu 2021_x000b_Stav právního státu v Evropské unii"/>
    <w:docVar w:name="LW_PART_NBR" w:val="1"/>
    <w:docVar w:name="LW_PART_NBR_TOTAL" w:val="1"/>
    <w:docVar w:name="LW_REF.II.NEW.CP" w:val="&lt;UNUSED&gt;"/>
    <w:docVar w:name="LW_REF.II.NEW.CP_NUMBER" w:val="&lt;UNUSED&gt;"/>
    <w:docVar w:name="LW_REF.II.NEW.CP_YEAR" w:val="2021"/>
    <w:docVar w:name="LW_REF.INST.NEW" w:val="SWD"/>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Zpráva o právním státu 2021_x000d__x000d__x000b_Kapitola o stavu právního státu na Kypru"/>
    <w:docVar w:name="LW_TYPE.DOC.CP" w:val="PRACOVNÍ DOKUMENT ÚTVAR\u366? KOMISE"/>
    <w:docVar w:name="LW_TYPEACTEPRINCIPAL.CP" w:val="SD\u282?LENÍ KOMISE EVROPSKÉMU PARLAMENTU, RAD\u282?, EVROPSKÉMU HOSPODÁ\u344?SKÉMU A SOCIÁLNÍMU VÝBORU A VÝBORU REGION\u366?"/>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lang w:val="cs-CZ"/>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n-GB"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val="en-IE"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cs-CZ"/>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cs-CZ"/>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cs-CZ"/>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cs-CZ"/>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cs-CZ"/>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lang w:val="cs-CZ"/>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n-GB"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val="en-IE"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cs-CZ"/>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cs-CZ"/>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cs-CZ"/>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cs-CZ"/>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cs-CZ"/>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2973">
      <w:bodyDiv w:val="1"/>
      <w:marLeft w:val="0"/>
      <w:marRight w:val="0"/>
      <w:marTop w:val="0"/>
      <w:marBottom w:val="0"/>
      <w:divBdr>
        <w:top w:val="none" w:sz="0" w:space="0" w:color="auto"/>
        <w:left w:val="none" w:sz="0" w:space="0" w:color="auto"/>
        <w:bottom w:val="none" w:sz="0" w:space="0" w:color="auto"/>
        <w:right w:val="none" w:sz="0" w:space="0" w:color="auto"/>
      </w:divBdr>
    </w:div>
    <w:div w:id="265429198">
      <w:bodyDiv w:val="1"/>
      <w:marLeft w:val="0"/>
      <w:marRight w:val="0"/>
      <w:marTop w:val="0"/>
      <w:marBottom w:val="0"/>
      <w:divBdr>
        <w:top w:val="none" w:sz="0" w:space="0" w:color="auto"/>
        <w:left w:val="none" w:sz="0" w:space="0" w:color="auto"/>
        <w:bottom w:val="none" w:sz="0" w:space="0" w:color="auto"/>
        <w:right w:val="none" w:sz="0" w:space="0" w:color="auto"/>
      </w:divBdr>
    </w:div>
    <w:div w:id="432287455">
      <w:bodyDiv w:val="1"/>
      <w:marLeft w:val="0"/>
      <w:marRight w:val="0"/>
      <w:marTop w:val="0"/>
      <w:marBottom w:val="0"/>
      <w:divBdr>
        <w:top w:val="none" w:sz="0" w:space="0" w:color="auto"/>
        <w:left w:val="none" w:sz="0" w:space="0" w:color="auto"/>
        <w:bottom w:val="none" w:sz="0" w:space="0" w:color="auto"/>
        <w:right w:val="none" w:sz="0" w:space="0" w:color="auto"/>
      </w:divBdr>
    </w:div>
    <w:div w:id="763839180">
      <w:bodyDiv w:val="1"/>
      <w:marLeft w:val="0"/>
      <w:marRight w:val="0"/>
      <w:marTop w:val="0"/>
      <w:marBottom w:val="0"/>
      <w:divBdr>
        <w:top w:val="none" w:sz="0" w:space="0" w:color="auto"/>
        <w:left w:val="none" w:sz="0" w:space="0" w:color="auto"/>
        <w:bottom w:val="none" w:sz="0" w:space="0" w:color="auto"/>
        <w:right w:val="none" w:sz="0" w:space="0" w:color="auto"/>
      </w:divBdr>
    </w:div>
    <w:div w:id="823592761">
      <w:bodyDiv w:val="1"/>
      <w:marLeft w:val="0"/>
      <w:marRight w:val="0"/>
      <w:marTop w:val="0"/>
      <w:marBottom w:val="0"/>
      <w:divBdr>
        <w:top w:val="none" w:sz="0" w:space="0" w:color="auto"/>
        <w:left w:val="none" w:sz="0" w:space="0" w:color="auto"/>
        <w:bottom w:val="none" w:sz="0" w:space="0" w:color="auto"/>
        <w:right w:val="none" w:sz="0" w:space="0" w:color="auto"/>
      </w:divBdr>
    </w:div>
    <w:div w:id="914582998">
      <w:bodyDiv w:val="1"/>
      <w:marLeft w:val="0"/>
      <w:marRight w:val="0"/>
      <w:marTop w:val="0"/>
      <w:marBottom w:val="0"/>
      <w:divBdr>
        <w:top w:val="none" w:sz="0" w:space="0" w:color="auto"/>
        <w:left w:val="none" w:sz="0" w:space="0" w:color="auto"/>
        <w:bottom w:val="none" w:sz="0" w:space="0" w:color="auto"/>
        <w:right w:val="none" w:sz="0" w:space="0" w:color="auto"/>
      </w:divBdr>
    </w:div>
    <w:div w:id="992683935">
      <w:bodyDiv w:val="1"/>
      <w:marLeft w:val="0"/>
      <w:marRight w:val="0"/>
      <w:marTop w:val="0"/>
      <w:marBottom w:val="0"/>
      <w:divBdr>
        <w:top w:val="none" w:sz="0" w:space="0" w:color="auto"/>
        <w:left w:val="none" w:sz="0" w:space="0" w:color="auto"/>
        <w:bottom w:val="none" w:sz="0" w:space="0" w:color="auto"/>
        <w:right w:val="none" w:sz="0" w:space="0" w:color="auto"/>
      </w:divBdr>
    </w:div>
    <w:div w:id="1057359516">
      <w:bodyDiv w:val="1"/>
      <w:marLeft w:val="0"/>
      <w:marRight w:val="0"/>
      <w:marTop w:val="0"/>
      <w:marBottom w:val="0"/>
      <w:divBdr>
        <w:top w:val="none" w:sz="0" w:space="0" w:color="auto"/>
        <w:left w:val="none" w:sz="0" w:space="0" w:color="auto"/>
        <w:bottom w:val="none" w:sz="0" w:space="0" w:color="auto"/>
        <w:right w:val="none" w:sz="0" w:space="0" w:color="auto"/>
      </w:divBdr>
    </w:div>
    <w:div w:id="1293252106">
      <w:bodyDiv w:val="1"/>
      <w:marLeft w:val="0"/>
      <w:marRight w:val="0"/>
      <w:marTop w:val="0"/>
      <w:marBottom w:val="0"/>
      <w:divBdr>
        <w:top w:val="none" w:sz="0" w:space="0" w:color="auto"/>
        <w:left w:val="none" w:sz="0" w:space="0" w:color="auto"/>
        <w:bottom w:val="none" w:sz="0" w:space="0" w:color="auto"/>
        <w:right w:val="none" w:sz="0" w:space="0" w:color="auto"/>
      </w:divBdr>
    </w:div>
    <w:div w:id="1351101209">
      <w:bodyDiv w:val="1"/>
      <w:marLeft w:val="0"/>
      <w:marRight w:val="0"/>
      <w:marTop w:val="0"/>
      <w:marBottom w:val="0"/>
      <w:divBdr>
        <w:top w:val="none" w:sz="0" w:space="0" w:color="auto"/>
        <w:left w:val="none" w:sz="0" w:space="0" w:color="auto"/>
        <w:bottom w:val="none" w:sz="0" w:space="0" w:color="auto"/>
        <w:right w:val="none" w:sz="0" w:space="0" w:color="auto"/>
      </w:divBdr>
    </w:div>
    <w:div w:id="1505166267">
      <w:bodyDiv w:val="1"/>
      <w:marLeft w:val="0"/>
      <w:marRight w:val="0"/>
      <w:marTop w:val="0"/>
      <w:marBottom w:val="0"/>
      <w:divBdr>
        <w:top w:val="none" w:sz="0" w:space="0" w:color="auto"/>
        <w:left w:val="none" w:sz="0" w:space="0" w:color="auto"/>
        <w:bottom w:val="none" w:sz="0" w:space="0" w:color="auto"/>
        <w:right w:val="none" w:sz="0" w:space="0" w:color="auto"/>
      </w:divBdr>
    </w:div>
    <w:div w:id="1699895586">
      <w:bodyDiv w:val="1"/>
      <w:marLeft w:val="0"/>
      <w:marRight w:val="0"/>
      <w:marTop w:val="0"/>
      <w:marBottom w:val="0"/>
      <w:divBdr>
        <w:top w:val="none" w:sz="0" w:space="0" w:color="auto"/>
        <w:left w:val="none" w:sz="0" w:space="0" w:color="auto"/>
        <w:bottom w:val="none" w:sz="0" w:space="0" w:color="auto"/>
        <w:right w:val="none" w:sz="0" w:space="0" w:color="auto"/>
      </w:divBdr>
    </w:div>
    <w:div w:id="1766345313">
      <w:bodyDiv w:val="1"/>
      <w:marLeft w:val="0"/>
      <w:marRight w:val="0"/>
      <w:marTop w:val="0"/>
      <w:marBottom w:val="0"/>
      <w:divBdr>
        <w:top w:val="none" w:sz="0" w:space="0" w:color="auto"/>
        <w:left w:val="none" w:sz="0" w:space="0" w:color="auto"/>
        <w:bottom w:val="none" w:sz="0" w:space="0" w:color="auto"/>
        <w:right w:val="none" w:sz="0" w:space="0" w:color="auto"/>
      </w:divBdr>
    </w:div>
    <w:div w:id="1848444504">
      <w:bodyDiv w:val="1"/>
      <w:marLeft w:val="0"/>
      <w:marRight w:val="0"/>
      <w:marTop w:val="0"/>
      <w:marBottom w:val="0"/>
      <w:divBdr>
        <w:top w:val="none" w:sz="0" w:space="0" w:color="auto"/>
        <w:left w:val="none" w:sz="0" w:space="0" w:color="auto"/>
        <w:bottom w:val="none" w:sz="0" w:space="0" w:color="auto"/>
        <w:right w:val="none" w:sz="0" w:space="0" w:color="auto"/>
      </w:divBdr>
    </w:div>
    <w:div w:id="1905799649">
      <w:bodyDiv w:val="1"/>
      <w:marLeft w:val="0"/>
      <w:marRight w:val="0"/>
      <w:marTop w:val="0"/>
      <w:marBottom w:val="0"/>
      <w:divBdr>
        <w:top w:val="none" w:sz="0" w:space="0" w:color="auto"/>
        <w:left w:val="none" w:sz="0" w:space="0" w:color="auto"/>
        <w:bottom w:val="none" w:sz="0" w:space="0" w:color="auto"/>
        <w:right w:val="none" w:sz="0" w:space="0" w:color="auto"/>
      </w:divBdr>
    </w:div>
    <w:div w:id="1958831906">
      <w:bodyDiv w:val="1"/>
      <w:marLeft w:val="0"/>
      <w:marRight w:val="0"/>
      <w:marTop w:val="0"/>
      <w:marBottom w:val="0"/>
      <w:divBdr>
        <w:top w:val="none" w:sz="0" w:space="0" w:color="auto"/>
        <w:left w:val="none" w:sz="0" w:space="0" w:color="auto"/>
        <w:bottom w:val="none" w:sz="0" w:space="0" w:color="auto"/>
        <w:right w:val="none" w:sz="0" w:space="0" w:color="auto"/>
      </w:divBdr>
    </w:div>
    <w:div w:id="21359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pio.gov.cy/assets/pdf/newsroom/2021/04/Interim%20Report%2027%2004%202021(pdf).pdf" TargetMode="External"/><Relationship Id="rId26" Type="http://schemas.openxmlformats.org/officeDocument/2006/relationships/hyperlink" Target="https://rm.coe.int/reply-of-mr-nicos-nouris-minister-of-the-interiorof-cyprus-to-the-lett/1680a1cb15" TargetMode="External"/><Relationship Id="rId3" Type="http://schemas.openxmlformats.org/officeDocument/2006/relationships/styles" Target="styles.xml"/><Relationship Id="rId21" Type="http://schemas.openxmlformats.org/officeDocument/2006/relationships/hyperlink" Target="https://ec.europa.eu/commission/presscorner/detail/cs/inf_21_2743"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pio.gov.cy/assets/pdf/newsroom/2021/04/Interim%20Report%2027%2004%202021(pdf).pdf" TargetMode="External"/><Relationship Id="rId25" Type="http://schemas.openxmlformats.org/officeDocument/2006/relationships/hyperlink" Target="https://rm.coe.int/letter-to-mr-nicos-nouris-minister-of-interior-of-cyprus-by-ms-dunja-m/1680a1c09b"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_cs" TargetMode="External"/><Relationship Id="rId20" Type="http://schemas.openxmlformats.org/officeDocument/2006/relationships/hyperlink" Target="https://ec.europa.eu/commission/presscorner/detail/cs/ip_20_1925" TargetMode="External"/><Relationship Id="rId29" Type="http://schemas.openxmlformats.org/officeDocument/2006/relationships/hyperlink" Target="https://www.sigmalive.com/news/politics/795517/ekthesi-politografiseonto-53-ektos-nomikou-plaisioupeitharxikes-efthyn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knews.kathimerini.com.cy/en/news/interim-report-on-golden-passports-delivered"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atf-gafi.org/media/fatf/documents/reports/BPP-combating-abuse-non-profit-organisations.pdf" TargetMode="External"/><Relationship Id="rId28" Type="http://schemas.openxmlformats.org/officeDocument/2006/relationships/hyperlink" Target="https://rsf.org/en/cyprus" TargetMode="External"/><Relationship Id="rId36" Type="http://schemas.openxmlformats.org/officeDocument/2006/relationships/fontTable" Target="fontTable.xml"/><Relationship Id="Rf9fc4da9052744be"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rm.coe.int/fourth-evaluation-round-corruption-prevention-in-respect-of-members-of/1680a06389"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xandas.presidency.gov.cy/" TargetMode="External"/><Relationship Id="rId27" Type="http://schemas.openxmlformats.org/officeDocument/2006/relationships/hyperlink" Target="https://www.occrp.org/en/daily/12631-cypriot-journalist-says-he-is-being-spied-on-and-fears-for-his-life" TargetMode="External"/><Relationship Id="rId30" Type="http://schemas.openxmlformats.org/officeDocument/2006/relationships/header" Target="header4.xml"/><Relationship Id="rId35" Type="http://schemas.openxmlformats.org/officeDocument/2006/relationships/footer" Target="footer6.xml"/><Relationship Id="R3d73e612b8cf4a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5A539-0CC3-4ABC-801D-AC59DA1B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4872</Words>
  <Characters>31187</Characters>
  <Application>Microsoft Office Word</Application>
  <DocSecurity>0</DocSecurity>
  <Lines>487</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2021-08-27T08:23:00Z</dcterms:created>
  <dcterms:modified xsi:type="dcterms:W3CDTF">2021-09-13T17:43:00Z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