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951C779-8465-4638-B92B-85C3DC2BB57A" style="width:455.5pt;height:545.15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u w:val="single"/>
        </w:rPr>
      </w:pPr>
      <w:bookmarkStart w:id="1" w:name="_GoBack"/>
      <w:bookmarkEnd w:id="1"/>
      <w:r>
        <w:rPr>
          <w:b/>
          <w:smallCaps/>
          <w:noProof/>
          <w:u w:val="single"/>
        </w:rPr>
        <w:lastRenderedPageBreak/>
        <w:t>Shrnutí</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I nadále pokračuje významné úsilí o zlepšení nezávislosti, integrity, kvality a účinnosti slovenského systému soudnictví, zmiňované již ve zprávě o právním státu 2020. V prosinci 2020 přijal parlament rozsáhlou reformu ústavy a prováděcí legislativy týkající se systému soudnictví, zejména Ústavního soudu a Soudní rady. Orgány rovněž zintenzivnily úsilí o řešení korupce v soudnictví. Připravuje se reforma soudní mapy za účasti Rady Evropy, která vyvolala řadu připomínek zúčastněných stran. Byl zřízen Nejvyšší správní soud. Byl zvolen nový generální prokurátor a speciální prokurátor podle nového transparentního postupu. Tyto reformy odrážejí úsilí o zlepšení systému soudnictví a při jejich provádění je nezbytné zohledňovat příslušné evropské normy na ochranu nezávislosti soudnictví. Je to nezbytné rovněž s ohledem na to, že se míra vnímané nezávislosti soudnictví u podniků sice zlepšila, avšak u široké veřejnosti je i nadále velmi nízká.</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Slovensko vynakládá výrazně vyšší úsilí na potlačování korupce, což se projevuje tím, že je vyšetřována a stíhána řada případů korupce na vysoké úrovni. Byli rovněž vybráni a jmenováni úředníci do vedoucích funkcí, včetně předsedkyně nového Úřadu na ochranu oznamovatelů, která nastoupí do funkce dne 1. září 2021. Kapacitu odhalování a vyšetřování trestných činů korupce lze ještě více posílit investicemi do specializace, specializované analytické odbornosti a školení v oblasti integrity pro Národní kriminální agenturu. Pokroku v oblasti prevence korupce se daří dosahovat jen pomalu. Několik dosavadních pokusů o regulaci lobbingu selhalo. Jsou však plánovány návrhy legislativy o lobbingu, „efektu otáčivých dveří“, majetkových přiznáních, střetech zájmů poslanců parlamentu a zadávání veřejných zakázek, případně se nacházejí v počáteční fázi.</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Slovenská ústava a sekundární legislativa poskytují právní rámec pro ochranu svobody projevu, právo na přístup k veřejným informacím a pluralitu sdělovacích prostředků a tiskových práv. Očekává se, že návrh zákona, který je v současnosti projednáván a jeho přijetí je naplánováno na září 2021, zavede rámec pro zajištění transparentnosti vlastnictví sdělovacích prostředků. Plány vlády na navržení legislativy s cílem zajistit příznivější prostředí pro novináře byly odloženy. Distribuce státní reklamy zůstává i nadále neregulovaná. Byla odsouzena řada osob zapojených do vraždy investigativního novináře Jána Kuciaka a jeho snoubenky v roce 2018. Nejvyšší soud zrušil rozsudky o osvobození údajných objednatelů jejich vraždy a vrátil tento případ Specializovanému trestnímu soudu. Jeden rozsudek o vině byl potvrzen. Nebyl zaveden žádný režim podpory sdělovacích prostředků, který by zmírnil dopad pandemie COVID-19.</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Co se týče systému brzd a protivah, i nadále přetrvává potřeba zlepšit legislativní postup prostřednictvím silnějšího zapojení zúčastněných stran a občanské společnosti, jak již bylo uvedeno ve zprávě o právním státu 2020. Ústavní reforma z prosince 2020 explicitně vylučuje pravomoc Ústavního soudu přezkoumávat ústavní zákony, což vedlo k přezkumu tohoto ustanovení Ústavním soudem. Nouzový stav související s pandemií COVID-19 trval po většinu roku 2020 a skončil v květnu 2021 poté, co v prosinci 2020 došlo ke změně zákona s cílem umožnit jeho prodloužení. Veřejná ochránkyně práv a Národní středisko pro lidská práva sehrály během pandemie aktivní úlohu při ochraně základních práv. Vzrůstají obavy ohledně financování některých nevládních organizací, zejména pokud jde o omezení vztahující se na nevládní organizace působící v oblasti rovnosti žen a mužů.</w:t>
      </w:r>
      <w:r>
        <w:rPr>
          <w:noProof/>
        </w:rPr>
        <w:br w:type="page"/>
      </w:r>
    </w:p>
    <w:p>
      <w:pPr>
        <w:pStyle w:val="Heading1"/>
        <w:rPr>
          <w:noProof/>
        </w:rPr>
      </w:pPr>
      <w:r>
        <w:rPr>
          <w:noProof/>
        </w:rPr>
        <w:lastRenderedPageBreak/>
        <w:t xml:space="preserve">Systém soudnictví </w:t>
      </w:r>
    </w:p>
    <w:p>
      <w:pPr>
        <w:rPr>
          <w:rFonts w:eastAsia="Times New Roman" w:cs="Times New Roman"/>
          <w:noProof/>
          <w:szCs w:val="20"/>
        </w:rPr>
      </w:pPr>
      <w:r>
        <w:rPr>
          <w:noProof/>
        </w:rPr>
        <w:t>Soudní systém Slovenské republiky se skládá z 54 okresních soudů, osmi krajských soudů, Specializovaného trestního soudu, Nejvyššího soudu, Nejvyššího správního soudu a Ústavního soudu</w:t>
      </w:r>
      <w:r>
        <w:rPr>
          <w:rFonts w:eastAsia="Times New Roman" w:cs="Times New Roman"/>
          <w:noProof/>
          <w:vertAlign w:val="superscript"/>
          <w:lang w:eastAsia="fr-FR"/>
        </w:rPr>
        <w:footnoteReference w:id="2"/>
      </w:r>
      <w:r>
        <w:rPr>
          <w:noProof/>
        </w:rPr>
        <w:t>. Krajské soudy fungují jako odvolací soudy v občanskoprávních, obchodních a trestních věcech a také jako soudy prvního stupně ve správních věcech. Specializovaný trestní soud rozhoduje v závažných trestních věcech, jak je uvedeno v příslušném ustanovení trestního řádu</w:t>
      </w:r>
      <w:r>
        <w:rPr>
          <w:rFonts w:eastAsia="Times New Roman" w:cs="Times New Roman"/>
          <w:noProof/>
          <w:vertAlign w:val="superscript"/>
          <w:lang w:eastAsia="fr-FR"/>
        </w:rPr>
        <w:footnoteReference w:id="3"/>
      </w:r>
      <w:r>
        <w:rPr>
          <w:noProof/>
        </w:rPr>
        <w:t>. Soudní rada hraje hlavní roli v samosprávě soudnictví, při jmenování, suspendování a odvolávání soudců a také při zachovávání soudní etiky. Polovinu jejích členů (devět z osmnácti) tvoří soudci zvolení svými kolegy. Další členy Soudní rady jmenuje prezident Slovenska, parlament a vláda</w:t>
      </w:r>
      <w:r>
        <w:rPr>
          <w:rFonts w:eastAsia="Times New Roman" w:cs="Times New Roman"/>
          <w:noProof/>
          <w:vertAlign w:val="superscript"/>
          <w:lang w:eastAsia="fr-FR"/>
        </w:rPr>
        <w:footnoteReference w:id="4"/>
      </w:r>
      <w:r>
        <w:rPr>
          <w:noProof/>
        </w:rPr>
        <w:t>. Prokuratura Slovenské republiky je nezávislým státním orgánem, v jehož čele stojí generální prokurátor</w:t>
      </w:r>
      <w:r>
        <w:rPr>
          <w:rFonts w:eastAsia="Times New Roman" w:cs="Times New Roman"/>
          <w:noProof/>
          <w:vertAlign w:val="superscript"/>
          <w:lang w:eastAsia="fr-FR"/>
        </w:rPr>
        <w:footnoteReference w:id="5"/>
      </w:r>
      <w:r>
        <w:rPr>
          <w:noProof/>
        </w:rPr>
        <w:t>.</w:t>
      </w:r>
      <w:r>
        <w:rPr>
          <w:i/>
          <w:iCs/>
          <w:noProof/>
        </w:rPr>
        <w:t xml:space="preserve"> </w:t>
      </w:r>
      <w:r>
        <w:rPr>
          <w:noProof/>
        </w:rPr>
        <w:t>Slovensko je zapojeno do Úřadu evropského veřejného žalobce. Slovenská advokátní komora je nezávislou samosprávnou profesní organizací</w:t>
      </w:r>
      <w:r>
        <w:rPr>
          <w:rFonts w:eastAsia="Times New Roman" w:cs="Times New Roman"/>
          <w:noProof/>
          <w:vertAlign w:val="superscript"/>
          <w:lang w:eastAsia="fr-FR"/>
        </w:rPr>
        <w:footnoteReference w:id="6"/>
      </w:r>
      <w:r>
        <w:rPr>
          <w:noProof/>
        </w:rPr>
        <w:t>.</w:t>
      </w:r>
    </w:p>
    <w:p>
      <w:pPr>
        <w:pStyle w:val="Heading2"/>
        <w:rPr>
          <w:noProof/>
        </w:rPr>
      </w:pPr>
      <w:r>
        <w:rPr>
          <w:noProof/>
        </w:rPr>
        <w:t xml:space="preserve">Nezávislost </w:t>
      </w:r>
    </w:p>
    <w:p>
      <w:pPr>
        <w:rPr>
          <w:rFonts w:eastAsia="Times New Roman" w:cs="Times New Roman"/>
          <w:noProof/>
          <w:szCs w:val="20"/>
        </w:rPr>
      </w:pPr>
      <w:r>
        <w:rPr>
          <w:b/>
          <w:bCs/>
          <w:noProof/>
        </w:rPr>
        <w:t xml:space="preserve">Vnímaná míra nezávislosti soudnictví u podniků se zlepšila, avšak zůstává stále nízká, zatímco u široké veřejnosti je velmi nízká. </w:t>
      </w:r>
      <w:r>
        <w:rPr>
          <w:noProof/>
        </w:rPr>
        <w:t>Míru nezávislosti soudnictví vnímá jako „docela nebo velmi dobrou“ 30 % podniků, což v porovnání s rokem 2020 představuje značné zlepšení (15 %)</w:t>
      </w:r>
      <w:r>
        <w:rPr>
          <w:rStyle w:val="FootnoteReference"/>
          <w:rFonts w:eastAsia="Times New Roman" w:cs="Times New Roman"/>
          <w:noProof/>
          <w:lang w:eastAsia="fr-FR"/>
        </w:rPr>
        <w:footnoteReference w:id="7"/>
      </w:r>
      <w:r>
        <w:rPr>
          <w:noProof/>
        </w:rPr>
        <w:t>. U široké veřejnosti však k takovému zlepšení vnímání nezávislosti soudů a soudců nedošlo; nezávislost soudnictví vnímá jako „docela nebo velmi dobrou“ 28 % respondentů a jako „docela nebo velmi špatnou“) 65 %</w:t>
      </w:r>
      <w:r>
        <w:rPr>
          <w:rStyle w:val="FootnoteReference"/>
          <w:rFonts w:eastAsia="Times New Roman" w:cs="Times New Roman"/>
          <w:noProof/>
          <w:lang w:eastAsia="fr-FR"/>
        </w:rPr>
        <w:footnoteReference w:id="8"/>
      </w:r>
      <w:r>
        <w:rPr>
          <w:noProof/>
        </w:rPr>
        <w:t>, což je v souladu s dlouhodobým trendem, který byl zaznamenán již ve zprávě o právním státu 2020</w:t>
      </w:r>
      <w:r>
        <w:rPr>
          <w:rStyle w:val="FootnoteReference"/>
          <w:rFonts w:eastAsia="Times New Roman" w:cs="Times New Roman"/>
          <w:noProof/>
          <w:lang w:eastAsia="fr-FR"/>
        </w:rPr>
        <w:footnoteReference w:id="9"/>
      </w:r>
      <w:r>
        <w:rPr>
          <w:noProof/>
        </w:rPr>
        <w:t>. Nejčastěji zmiňované důvody vnímaného nedostatku nezávislosti souvisejí téměř ve stejné míře se zásahy či tlakem ze strany vlády a politiků a se zásahy nebo tlakem motivovanými hospodářskými nebo jinými konkrétními zájmy</w:t>
      </w:r>
      <w:r>
        <w:rPr>
          <w:rStyle w:val="FootnoteReference"/>
          <w:rFonts w:eastAsia="Times New Roman" w:cs="Times New Roman"/>
          <w:noProof/>
          <w:lang w:eastAsia="fr-FR"/>
        </w:rPr>
        <w:footnoteReference w:id="10"/>
      </w:r>
      <w:r>
        <w:rPr>
          <w:noProof/>
        </w:rPr>
        <w:t xml:space="preserve">. </w:t>
      </w:r>
    </w:p>
    <w:p>
      <w:pPr>
        <w:rPr>
          <w:noProof/>
        </w:rPr>
      </w:pPr>
      <w:r>
        <w:rPr>
          <w:b/>
          <w:noProof/>
        </w:rPr>
        <w:t xml:space="preserve">Orgány podnikají kroky s cílem řešit obvinění z korupce a zneužití moci v soudnictví. </w:t>
      </w:r>
      <w:r>
        <w:rPr>
          <w:noProof/>
        </w:rPr>
        <w:t>Po významných policejních operacích uvedených ve zprávě o právním státu 2020</w:t>
      </w:r>
      <w:r>
        <w:rPr>
          <w:rStyle w:val="FootnoteReference"/>
          <w:noProof/>
        </w:rPr>
        <w:footnoteReference w:id="11"/>
      </w:r>
      <w:r>
        <w:rPr>
          <w:noProof/>
        </w:rPr>
        <w:t xml:space="preserve"> byly zahájeny i další operace. V současnosti je proti 20 soudcům</w:t>
      </w:r>
      <w:r>
        <w:rPr>
          <w:rStyle w:val="FootnoteReference"/>
          <w:rFonts w:cs="Times New Roman"/>
          <w:noProof/>
        </w:rPr>
        <w:footnoteReference w:id="12"/>
      </w:r>
      <w:r>
        <w:rPr>
          <w:noProof/>
        </w:rPr>
        <w:t xml:space="preserve"> a dalším představitelům spravedlnosti a donucovacích orgánů</w:t>
      </w:r>
      <w:r>
        <w:rPr>
          <w:rStyle w:val="FootnoteReference"/>
          <w:rFonts w:cs="Times New Roman"/>
          <w:noProof/>
        </w:rPr>
        <w:footnoteReference w:id="13"/>
      </w:r>
      <w:r>
        <w:rPr>
          <w:noProof/>
        </w:rPr>
        <w:t xml:space="preserve"> vedeno trestní řízení v souvislosti se závažnými obviněními z korupce a zneužití moci; jedná se o důsledek zvýšeného úsilí veřejných orgánů zaměřeného na snížení korupce v soudním systému. Jeden soudce byl odsouzen. Několik soudců v důsledku trestního stíhání odstoupilo z funkce nebo bylo dočasně odvoláno</w:t>
      </w:r>
      <w:r>
        <w:rPr>
          <w:rStyle w:val="FootnoteReference"/>
          <w:rFonts w:cs="Times New Roman"/>
          <w:noProof/>
        </w:rPr>
        <w:footnoteReference w:id="14"/>
      </w:r>
      <w:r>
        <w:rPr>
          <w:noProof/>
        </w:rPr>
        <w:t>. V rámci evropského semestru byla rovněž vyslovena potřeba pokračovat v řešení konkrétních problémů s celkovou integritou systému soudnictví a Slovensko v této souvislosti obdrželo specifické doporučení</w:t>
      </w:r>
      <w:r>
        <w:rPr>
          <w:rStyle w:val="FootnoteReference"/>
          <w:rFonts w:eastAsia="Times New Roman" w:cs="Times New Roman"/>
          <w:noProof/>
          <w:szCs w:val="20"/>
          <w:lang w:eastAsia="fr-FR"/>
        </w:rPr>
        <w:footnoteReference w:id="15"/>
      </w:r>
      <w:r>
        <w:rPr>
          <w:noProof/>
        </w:rPr>
        <w:t>.</w:t>
      </w:r>
    </w:p>
    <w:p>
      <w:pPr>
        <w:rPr>
          <w:noProof/>
        </w:rPr>
      </w:pPr>
      <w:r>
        <w:rPr>
          <w:b/>
          <w:bCs/>
          <w:noProof/>
        </w:rPr>
        <w:t xml:space="preserve">Byla přijata komplexní reforma soudnictví, která se skládá ze změn ústavy a prováděcí legislativy. </w:t>
      </w:r>
      <w:r>
        <w:rPr>
          <w:noProof/>
        </w:rPr>
        <w:t>Stalo se tak v návaznosti na oznámení vlády, že přistoupí k reformě s cílem zvýšit důvěru veřejnosti v právní stát</w:t>
      </w:r>
      <w:r>
        <w:rPr>
          <w:rStyle w:val="FootnoteReference"/>
          <w:rFonts w:eastAsia="Times New Roman" w:cs="Times New Roman"/>
          <w:noProof/>
          <w:lang w:eastAsia="fr-FR"/>
        </w:rPr>
        <w:footnoteReference w:id="16"/>
      </w:r>
      <w:r>
        <w:rPr>
          <w:noProof/>
        </w:rPr>
        <w:t>, jak je vysvětleno ve zprávě o právním státu 2020</w:t>
      </w:r>
      <w:r>
        <w:rPr>
          <w:rStyle w:val="FootnoteReference"/>
          <w:rFonts w:eastAsia="Times New Roman" w:cs="Times New Roman"/>
          <w:noProof/>
          <w:lang w:eastAsia="fr-FR"/>
        </w:rPr>
        <w:footnoteReference w:id="17"/>
      </w:r>
      <w:r>
        <w:rPr>
          <w:noProof/>
        </w:rPr>
        <w:t>. V prosinci 2020 byla přijata změna ústavy a prováděcí legislativy, jíž byl zejména zřízen Nejvyšší správní soud, zavedeny změny</w:t>
      </w:r>
      <w:r>
        <w:rPr>
          <w:rStyle w:val="FootnoteReference"/>
          <w:rFonts w:eastAsia="Times New Roman" w:cs="Times New Roman"/>
          <w:noProof/>
          <w:lang w:eastAsia="fr-FR"/>
        </w:rPr>
        <w:footnoteReference w:id="18"/>
      </w:r>
      <w:r>
        <w:rPr>
          <w:noProof/>
        </w:rPr>
        <w:t xml:space="preserve"> výběru a jmenování soudců Ústavního soudu a pozměněno několik ustanovení týkajících se Soudní rady. Zúčastněné strany konstatovaly, že tato reforma odráží úsilí o zlepšení systému soudnictví a posílení jeho nezávislosti</w:t>
      </w:r>
      <w:r>
        <w:rPr>
          <w:rStyle w:val="FootnoteReference"/>
          <w:rFonts w:eastAsia="Times New Roman" w:cs="Times New Roman"/>
          <w:noProof/>
          <w:lang w:eastAsia="fr-FR"/>
        </w:rPr>
        <w:footnoteReference w:id="19"/>
      </w:r>
      <w:r>
        <w:rPr>
          <w:noProof/>
        </w:rPr>
        <w:t xml:space="preserve">, ačkoli některé části reformy narazily na odpor (viz níže). </w:t>
      </w:r>
    </w:p>
    <w:p>
      <w:pPr>
        <w:rPr>
          <w:rFonts w:eastAsia="Times New Roman" w:cs="Times New Roman"/>
          <w:noProof/>
          <w:szCs w:val="20"/>
        </w:rPr>
      </w:pPr>
      <w:r>
        <w:rPr>
          <w:b/>
          <w:bCs/>
          <w:noProof/>
        </w:rPr>
        <w:t>Některé prvky reformy týkající se Soudní rady byly sice vítány, vyvstaly však obavy ohledně režimu odvolávání jejích členů.</w:t>
      </w:r>
      <w:r>
        <w:rPr>
          <w:noProof/>
        </w:rPr>
        <w:t xml:space="preserve"> Ústavní reforma zavedla změny způsobu jmenování členů Soudní rady, rozšířila její pravomoci a změnila ustanovení o odvolávání jejích členů</w:t>
      </w:r>
      <w:r>
        <w:rPr>
          <w:rStyle w:val="FootnoteReference"/>
          <w:rFonts w:eastAsia="Times New Roman" w:cs="Times New Roman"/>
          <w:noProof/>
          <w:lang w:eastAsia="fr-FR"/>
        </w:rPr>
        <w:footnoteReference w:id="20"/>
      </w:r>
      <w:r>
        <w:rPr>
          <w:noProof/>
        </w:rPr>
        <w:t>. Reforma zavádí pravidlo, podle něhož mají být soudci, kteří jsou zároveň členy Soudní rady, voleni ve více volebních obvodech</w:t>
      </w:r>
      <w:r>
        <w:rPr>
          <w:rStyle w:val="FootnoteReference"/>
          <w:rFonts w:eastAsia="Times New Roman" w:cs="Times New Roman"/>
          <w:noProof/>
          <w:lang w:eastAsia="fr-FR"/>
        </w:rPr>
        <w:footnoteReference w:id="21"/>
      </w:r>
      <w:r>
        <w:rPr>
          <w:noProof/>
        </w:rPr>
        <w:t>. Podle vlády je cílem této změny zvýšit legitimitu Soudní rady zajištěním rozmanitějšího zastoupení soudců. Tento cíl je v souladu s doporučeními Rady Evropy</w:t>
      </w:r>
      <w:r>
        <w:rPr>
          <w:rStyle w:val="FootnoteReference"/>
          <w:rFonts w:eastAsia="Times New Roman" w:cs="Times New Roman"/>
          <w:noProof/>
          <w:lang w:eastAsia="fr-FR"/>
        </w:rPr>
        <w:footnoteReference w:id="22"/>
      </w:r>
      <w:r>
        <w:rPr>
          <w:noProof/>
        </w:rPr>
        <w:t>. Reforma rovněž rozšiřuje pravomoci Soudní rady</w:t>
      </w:r>
      <w:r>
        <w:rPr>
          <w:rStyle w:val="FootnoteReference"/>
          <w:rFonts w:eastAsia="Times New Roman" w:cs="Times New Roman"/>
          <w:noProof/>
          <w:lang w:eastAsia="fr-FR"/>
        </w:rPr>
        <w:footnoteReference w:id="23"/>
      </w:r>
      <w:r>
        <w:rPr>
          <w:noProof/>
        </w:rPr>
        <w:t>. Reforma navíc výslovně stanoví, že členové Soudní rady, včetně jejího předsedy a místopředsedy, mohou být kdykoli odvoláni orgánem, který je jmenoval</w:t>
      </w:r>
      <w:r>
        <w:rPr>
          <w:rStyle w:val="FootnoteReference"/>
          <w:rFonts w:eastAsia="Times New Roman" w:cs="Times New Roman"/>
          <w:noProof/>
          <w:lang w:eastAsia="fr-FR"/>
        </w:rPr>
        <w:footnoteReference w:id="24"/>
      </w:r>
      <w:r>
        <w:rPr>
          <w:noProof/>
        </w:rPr>
        <w:t>. Podle důvodové zprávy</w:t>
      </w:r>
      <w:r>
        <w:rPr>
          <w:rStyle w:val="FootnoteReference"/>
          <w:rFonts w:eastAsia="Times New Roman" w:cs="Times New Roman"/>
          <w:noProof/>
          <w:lang w:eastAsia="fr-FR"/>
        </w:rPr>
        <w:footnoteReference w:id="25"/>
      </w:r>
      <w:r>
        <w:rPr>
          <w:noProof/>
        </w:rPr>
        <w:t xml:space="preserve"> to znamená, že takový návrh na odvolání se nemusí řídit žádnými zákonem stanovenými kritérii</w:t>
      </w:r>
      <w:r>
        <w:rPr>
          <w:rStyle w:val="FootnoteReference"/>
          <w:rFonts w:eastAsia="Times New Roman" w:cs="Times New Roman"/>
          <w:noProof/>
          <w:lang w:eastAsia="fr-FR"/>
        </w:rPr>
        <w:footnoteReference w:id="26"/>
      </w:r>
      <w:r>
        <w:rPr>
          <w:noProof/>
        </w:rPr>
        <w:t xml:space="preserve"> a namísto toho může být motivován nedostatkem důvěry</w:t>
      </w:r>
      <w:r>
        <w:rPr>
          <w:rStyle w:val="FootnoteReference"/>
          <w:rFonts w:eastAsia="Times New Roman" w:cs="Times New Roman"/>
          <w:noProof/>
          <w:lang w:eastAsia="fr-FR"/>
        </w:rPr>
        <w:footnoteReference w:id="27"/>
      </w:r>
      <w:r>
        <w:rPr>
          <w:noProof/>
        </w:rPr>
        <w:t>. Zúčastněné strany vyjádřily obavy, že tento aspekt reformy může mít nepříznivý dopad na nezávislost Soudní rady</w:t>
      </w:r>
      <w:r>
        <w:rPr>
          <w:rStyle w:val="FootnoteReference"/>
          <w:rFonts w:eastAsia="Times New Roman" w:cs="Times New Roman"/>
          <w:noProof/>
          <w:lang w:eastAsia="fr-FR"/>
        </w:rPr>
        <w:footnoteReference w:id="28"/>
      </w:r>
      <w:r>
        <w:rPr>
          <w:noProof/>
        </w:rPr>
        <w:t>. Tyto obavy se odrážejí rovněž ve stanovisku předsednictva Poradní rady evropských soudců (CCJE) ze dne 9. prosince 2020</w:t>
      </w:r>
      <w:r>
        <w:rPr>
          <w:rStyle w:val="FootnoteReference"/>
          <w:rFonts w:eastAsia="Times New Roman" w:cs="Times New Roman"/>
          <w:noProof/>
          <w:lang w:eastAsia="fr-FR"/>
        </w:rPr>
        <w:footnoteReference w:id="29"/>
      </w:r>
      <w:r>
        <w:rPr>
          <w:noProof/>
        </w:rPr>
        <w:t>.</w:t>
      </w:r>
      <w:r>
        <w:rPr>
          <w:rStyle w:val="FootnoteReference"/>
          <w:noProof/>
        </w:rPr>
        <w:t xml:space="preserve"> </w:t>
      </w:r>
      <w:r>
        <w:rPr>
          <w:noProof/>
        </w:rPr>
        <w:t>Odvolaný člen může rozhodnutí o odvolání napadnout u Ústavního soudu podáním ústavní stížnosti</w:t>
      </w:r>
      <w:r>
        <w:rPr>
          <w:rStyle w:val="FootnoteReference"/>
          <w:rFonts w:eastAsia="Times New Roman" w:cs="Times New Roman"/>
          <w:noProof/>
          <w:lang w:eastAsia="fr-FR"/>
        </w:rPr>
        <w:footnoteReference w:id="30"/>
      </w:r>
      <w:r>
        <w:rPr>
          <w:noProof/>
        </w:rPr>
        <w:t>. Je nezbytné, aby se na Soudní radu vztahovaly dostatečné záruky týkající se její nezávislosti ve vztahu k zákonodárné a výkonné moci, a to i pokud jde o způsob, jakým mohou být odvoláváni její členové</w:t>
      </w:r>
      <w:r>
        <w:rPr>
          <w:rStyle w:val="FootnoteReference"/>
          <w:rFonts w:eastAsia="Times New Roman" w:cs="Times New Roman"/>
          <w:noProof/>
          <w:lang w:eastAsia="fr-FR"/>
        </w:rPr>
        <w:footnoteReference w:id="31"/>
      </w:r>
      <w:r>
        <w:rPr>
          <w:noProof/>
        </w:rPr>
        <w:t xml:space="preserve">. </w:t>
      </w:r>
    </w:p>
    <w:p>
      <w:pPr>
        <w:rPr>
          <w:rFonts w:eastAsia="Times New Roman" w:cs="Times New Roman"/>
          <w:noProof/>
          <w:szCs w:val="20"/>
        </w:rPr>
      </w:pPr>
      <w:r>
        <w:rPr>
          <w:b/>
          <w:noProof/>
          <w:szCs w:val="20"/>
        </w:rPr>
        <w:t>Byl zaveden věk odchodu soudců do důchodu s cílem poskytnout jim jistotu</w:t>
      </w:r>
      <w:r>
        <w:rPr>
          <w:rStyle w:val="FootnoteReference"/>
          <w:rFonts w:eastAsia="Times New Roman" w:cs="Times New Roman"/>
          <w:b/>
          <w:noProof/>
          <w:szCs w:val="20"/>
          <w:lang w:eastAsia="fr-FR"/>
        </w:rPr>
        <w:footnoteReference w:id="32"/>
      </w:r>
      <w:r>
        <w:rPr>
          <w:b/>
          <w:noProof/>
          <w:szCs w:val="20"/>
        </w:rPr>
        <w:t>.</w:t>
      </w:r>
      <w:r>
        <w:rPr>
          <w:noProof/>
        </w:rPr>
        <w:t xml:space="preserve"> Na základě změn ústavy odcházejí soudci do důchodu po dosažení věku 67 let</w:t>
      </w:r>
      <w:r>
        <w:rPr>
          <w:rStyle w:val="FootnoteReference"/>
          <w:rFonts w:eastAsia="Times New Roman" w:cs="Times New Roman"/>
          <w:noProof/>
          <w:szCs w:val="20"/>
          <w:lang w:eastAsia="fr-FR"/>
        </w:rPr>
        <w:footnoteReference w:id="33"/>
      </w:r>
      <w:r>
        <w:rPr>
          <w:noProof/>
        </w:rPr>
        <w:t xml:space="preserve">. Vzhledem k tomu, že reforma zrušila diskreční pravomoc Soudní rady navrhnout odchod soudce staršího 65 let do důchodu, přinesla tato změna soudcům větší právní jistotu a stabilitu. </w:t>
      </w:r>
    </w:p>
    <w:p>
      <w:pPr>
        <w:rPr>
          <w:noProof/>
          <w:sz w:val="22"/>
        </w:rPr>
      </w:pPr>
      <w:r>
        <w:rPr>
          <w:b/>
          <w:noProof/>
        </w:rPr>
        <w:t xml:space="preserve">Došlo ke změně režimu trestněprávní odpovědnosti soudců. </w:t>
      </w:r>
      <w:r>
        <w:rPr>
          <w:noProof/>
        </w:rPr>
        <w:t>V říjnu 2020 byla přijata změna trestního zákona</w:t>
      </w:r>
      <w:r>
        <w:rPr>
          <w:rStyle w:val="FootnoteReference"/>
          <w:rFonts w:eastAsia="Times New Roman" w:cs="Times New Roman"/>
          <w:noProof/>
          <w:szCs w:val="20"/>
          <w:lang w:eastAsia="fr-FR"/>
        </w:rPr>
        <w:footnoteReference w:id="34"/>
      </w:r>
      <w:r>
        <w:rPr>
          <w:noProof/>
        </w:rPr>
        <w:t>, po níž následovala změna ustanovení ústavy o imunitě soudců. Podle těchto reforem nelze soudce</w:t>
      </w:r>
      <w:r>
        <w:rPr>
          <w:rStyle w:val="FootnoteReference"/>
          <w:rFonts w:eastAsia="Times New Roman" w:cs="Times New Roman"/>
          <w:noProof/>
          <w:lang w:eastAsia="fr-FR"/>
        </w:rPr>
        <w:footnoteReference w:id="35"/>
      </w:r>
      <w:r>
        <w:rPr>
          <w:noProof/>
        </w:rPr>
        <w:t xml:space="preserve"> stíhat za právní názor vyjádřený při rozhodování, kromě případů, kdy lze takovéto rozhodování soudce kvalifikovat jako spáchání trestného činu</w:t>
      </w:r>
      <w:r>
        <w:rPr>
          <w:rStyle w:val="FootnoteReference"/>
          <w:rFonts w:eastAsia="Times New Roman" w:cs="Times New Roman"/>
          <w:noProof/>
          <w:lang w:eastAsia="fr-FR"/>
        </w:rPr>
        <w:footnoteReference w:id="36"/>
      </w:r>
      <w:r>
        <w:rPr>
          <w:noProof/>
        </w:rPr>
        <w:t>. V této souvislosti byl do trestního zákona zaveden nový trestný čin „ohýbání práva“</w:t>
      </w:r>
      <w:r>
        <w:rPr>
          <w:rStyle w:val="FootnoteReference"/>
          <w:rFonts w:eastAsia="Times New Roman" w:cs="Times New Roman"/>
          <w:noProof/>
          <w:lang w:eastAsia="fr-FR"/>
        </w:rPr>
        <w:footnoteReference w:id="37"/>
      </w:r>
      <w:r>
        <w:rPr>
          <w:noProof/>
        </w:rPr>
        <w:t>. Podle tohoto ustanovení mohou být soudci stíháni</w:t>
      </w:r>
      <w:r>
        <w:rPr>
          <w:rStyle w:val="FootnoteReference"/>
          <w:rFonts w:eastAsia="Times New Roman" w:cs="Times New Roman"/>
          <w:noProof/>
          <w:lang w:eastAsia="fr-FR"/>
        </w:rPr>
        <w:footnoteReference w:id="38"/>
      </w:r>
      <w:r>
        <w:rPr>
          <w:noProof/>
        </w:rPr>
        <w:t>, pokud při rozhodování uplatní právo svévolně a jiného tím poškodí nebo zvýhodní</w:t>
      </w:r>
      <w:r>
        <w:rPr>
          <w:rStyle w:val="FootnoteReference"/>
          <w:rFonts w:eastAsia="Times New Roman" w:cs="Times New Roman"/>
          <w:noProof/>
          <w:lang w:eastAsia="fr-FR"/>
        </w:rPr>
        <w:footnoteReference w:id="39"/>
      </w:r>
      <w:r>
        <w:rPr>
          <w:noProof/>
        </w:rPr>
        <w:t>. Toto ustanovení by mělo být uplatňováno pouze v případě zjevně svévolných a nesprávných rozhodnutí</w:t>
      </w:r>
      <w:r>
        <w:rPr>
          <w:rStyle w:val="FootnoteReference"/>
          <w:rFonts w:eastAsia="Times New Roman" w:cs="Times New Roman"/>
          <w:noProof/>
          <w:lang w:eastAsia="fr-FR"/>
        </w:rPr>
        <w:footnoteReference w:id="40"/>
      </w:r>
      <w:r>
        <w:rPr>
          <w:noProof/>
        </w:rPr>
        <w:t>. Trestní řízení vede speciální prokurátor a Specializovaný trestní soud. Soudce stíhaný za tento trestný čin má právo požádat Soudní radu, aby vyjádřila s pokračováním trestního stíhání nesouhlas; pokud mu Soudní rada vyhoví, znamená to ukončení řízení</w:t>
      </w:r>
      <w:r>
        <w:rPr>
          <w:rStyle w:val="FootnoteReference"/>
          <w:rFonts w:eastAsia="Times New Roman" w:cs="Times New Roman"/>
          <w:noProof/>
          <w:lang w:eastAsia="fr-FR"/>
        </w:rPr>
        <w:footnoteReference w:id="41"/>
      </w:r>
      <w:r>
        <w:rPr>
          <w:noProof/>
        </w:rPr>
        <w:t>. Dočasné pozastavení výkonu funkce stíhaného soudce je možné pouze na základě rozhodnutí disciplinárního soudu</w:t>
      </w:r>
      <w:r>
        <w:rPr>
          <w:rStyle w:val="FootnoteReference"/>
          <w:rFonts w:eastAsia="Times New Roman" w:cs="Times New Roman"/>
          <w:noProof/>
          <w:lang w:eastAsia="fr-FR"/>
        </w:rPr>
        <w:footnoteReference w:id="42"/>
      </w:r>
      <w:r>
        <w:rPr>
          <w:noProof/>
        </w:rPr>
        <w:t>. Přestože evropské normy stanoví, že soudci mohou být voláni k odpovědnosti za své rozhodování jen ve výjimečných případech úmyslného pochybení nebo hrubé nedbalosti, musí každý režim upravující odpovědnost soudců stanovit jasně a přesně nezbytné záruky, aby se předešlo veškerému riziku, že bude zneužit jako nástroj k vyvíjení nátlaku na soudní činnost nebo jako systém politické kontroly nad obsahem soudních rozhodnutí</w:t>
      </w:r>
      <w:r>
        <w:rPr>
          <w:rStyle w:val="FootnoteReference"/>
          <w:rFonts w:eastAsia="Times New Roman" w:cs="Times New Roman"/>
          <w:noProof/>
          <w:lang w:eastAsia="fr-FR"/>
        </w:rPr>
        <w:footnoteReference w:id="43"/>
      </w:r>
      <w:r>
        <w:rPr>
          <w:noProof/>
        </w:rPr>
        <w:t>. Při uplatňování těchto nových ustanovení v praxi je důležité tyto záruky řádně dodržovat v souladu s evropskými normami. Některé zúčastněné strany vyjádřily znepokojení ohledně ústavní změny týkající se imunity soudců a uvedly, že by její obecné a nejasně formulované znění mohlo znamenat potenciální riziko zneužití</w:t>
      </w:r>
      <w:r>
        <w:rPr>
          <w:rStyle w:val="FootnoteReference"/>
          <w:rFonts w:eastAsia="Times New Roman" w:cs="Times New Roman"/>
          <w:noProof/>
          <w:lang w:eastAsia="fr-FR"/>
        </w:rPr>
        <w:footnoteReference w:id="44"/>
      </w:r>
      <w:r>
        <w:rPr>
          <w:noProof/>
        </w:rPr>
        <w:t>.</w:t>
      </w:r>
    </w:p>
    <w:p>
      <w:pPr>
        <w:rPr>
          <w:rFonts w:eastAsia="Times New Roman" w:cs="Times New Roman"/>
          <w:noProof/>
        </w:rPr>
      </w:pPr>
      <w:r>
        <w:rPr>
          <w:b/>
          <w:noProof/>
        </w:rPr>
        <w:t xml:space="preserve">Nedávná ústavní reforma změnila režim překládání soudců bez jejich souhlasu. </w:t>
      </w:r>
      <w:r>
        <w:rPr>
          <w:noProof/>
        </w:rPr>
        <w:t>Nedávná ústavní reforma stanoví, že soudce lze přeložit bez jejich souhlasu v případě změny soudní mapy, pokud je toto přeložení nezbytné pro zabezpečení řádného výkonu soudnictví</w:t>
      </w:r>
      <w:r>
        <w:rPr>
          <w:rStyle w:val="FootnoteReference"/>
          <w:rFonts w:eastAsia="Times New Roman" w:cs="Times New Roman"/>
          <w:noProof/>
          <w:lang w:eastAsia="fr-FR"/>
        </w:rPr>
        <w:footnoteReference w:id="45"/>
      </w:r>
      <w:r>
        <w:rPr>
          <w:noProof/>
        </w:rPr>
        <w:t>. Podle evropských norem je ve výjimečných případech možné přeložit soudce bez jejich souhlasu za předpokladu, že jsou zavedeny dostatečné záruky. Tyto záruky zahrnují požadavek, aby soudce nebyl přeložen k soudu nižšího stupně a aby mohl využít soudní přezkum</w:t>
      </w:r>
      <w:r>
        <w:rPr>
          <w:rStyle w:val="FootnoteReference"/>
          <w:rFonts w:eastAsia="Times New Roman" w:cs="Times New Roman"/>
          <w:noProof/>
          <w:lang w:eastAsia="fr-FR"/>
        </w:rPr>
        <w:footnoteReference w:id="46"/>
      </w:r>
      <w:r>
        <w:rPr>
          <w:noProof/>
        </w:rPr>
        <w:t>. Bude nezbytné, aby prováděcí zákon</w:t>
      </w:r>
      <w:r>
        <w:rPr>
          <w:rStyle w:val="FootnoteReference"/>
          <w:rFonts w:eastAsia="Times New Roman" w:cs="Times New Roman"/>
          <w:noProof/>
          <w:lang w:eastAsia="fr-FR"/>
        </w:rPr>
        <w:footnoteReference w:id="47"/>
      </w:r>
      <w:r>
        <w:rPr>
          <w:noProof/>
        </w:rPr>
        <w:t xml:space="preserve"> poskytoval dostatečné záruky s ohledem na evropské normy.</w:t>
      </w:r>
    </w:p>
    <w:p>
      <w:pPr>
        <w:rPr>
          <w:rFonts w:eastAsia="Times New Roman" w:cs="Times New Roman"/>
          <w:noProof/>
        </w:rPr>
      </w:pPr>
      <w:r>
        <w:rPr>
          <w:b/>
          <w:bCs/>
          <w:noProof/>
        </w:rPr>
        <w:t xml:space="preserve">Připravuje se návrh reformy soudní mapy. </w:t>
      </w:r>
      <w:r>
        <w:rPr>
          <w:noProof/>
        </w:rPr>
        <w:t>V návaznosti na doporučení ze zprávy Komise Rady Evropy pro účinnost soudnictví (CEPEJ)</w:t>
      </w:r>
      <w:r>
        <w:rPr>
          <w:rStyle w:val="FootnoteReference"/>
          <w:rFonts w:eastAsia="Times New Roman" w:cs="Times New Roman"/>
          <w:noProof/>
          <w:lang w:eastAsia="fr-FR"/>
        </w:rPr>
        <w:footnoteReference w:id="48"/>
      </w:r>
      <w:r>
        <w:rPr>
          <w:noProof/>
        </w:rPr>
        <w:t>, podle nichž by se mělo mimo jiné zvážit posílení specializace soudců a změna soudní mapy (zejména snížení počtu okresních soudů)</w:t>
      </w:r>
      <w:r>
        <w:rPr>
          <w:rStyle w:val="FootnoteReference"/>
          <w:rFonts w:eastAsia="Times New Roman" w:cs="Times New Roman"/>
          <w:noProof/>
          <w:lang w:eastAsia="fr-FR"/>
        </w:rPr>
        <w:footnoteReference w:id="49"/>
      </w:r>
      <w:r>
        <w:rPr>
          <w:noProof/>
        </w:rPr>
        <w:t>, zorganizovalo Ministerstvo spravedlnosti pracovní skupiny, v nichž byli mimo jiné zastoupeni i soudci a jejichž úkolem bylo vypracovat návrh reformy soudní mapy</w:t>
      </w:r>
      <w:r>
        <w:rPr>
          <w:rStyle w:val="FootnoteReference"/>
          <w:rFonts w:eastAsia="Times New Roman" w:cs="Times New Roman"/>
          <w:noProof/>
          <w:lang w:eastAsia="fr-FR"/>
        </w:rPr>
        <w:footnoteReference w:id="50"/>
      </w:r>
      <w:r>
        <w:rPr>
          <w:noProof/>
        </w:rPr>
        <w:t>. Cílem této reformy je zvýšit důvěru veřejnosti v soudnictví a zlepšit jeho účinnost a kvalitu</w:t>
      </w:r>
      <w:r>
        <w:rPr>
          <w:rStyle w:val="FootnoteReference"/>
          <w:rFonts w:eastAsia="Times New Roman" w:cs="Times New Roman"/>
          <w:noProof/>
          <w:lang w:eastAsia="fr-FR"/>
        </w:rPr>
        <w:footnoteReference w:id="51"/>
      </w:r>
      <w:r>
        <w:rPr>
          <w:noProof/>
        </w:rPr>
        <w:t>. Návrh mapy je založen na potřebě dostatečné velikosti soudů, která by umožňovala větší specializaci soudců na jednotlivých soudech, na respektování kulturní a regionální identity a na dostupnosti spravedlnosti</w:t>
      </w:r>
      <w:r>
        <w:rPr>
          <w:rStyle w:val="FootnoteReference"/>
          <w:rFonts w:eastAsia="Times New Roman" w:cs="Times New Roman"/>
          <w:noProof/>
          <w:lang w:eastAsia="fr-FR"/>
        </w:rPr>
        <w:footnoteReference w:id="52"/>
      </w:r>
      <w:r>
        <w:rPr>
          <w:noProof/>
        </w:rPr>
        <w:t>. Návrh reformy na základě údajů o pracovní zátěži současných soudů a o infrastruktuře a dostupnosti soudů navrhl snížit počet okresních soudů z 54 na 30 a krajských soudů z 8 na 3</w:t>
      </w:r>
      <w:r>
        <w:rPr>
          <w:rStyle w:val="FootnoteReference"/>
          <w:rFonts w:eastAsia="Times New Roman" w:cs="Times New Roman"/>
          <w:noProof/>
          <w:lang w:eastAsia="fr-FR"/>
        </w:rPr>
        <w:footnoteReference w:id="53"/>
      </w:r>
      <w:r>
        <w:rPr>
          <w:noProof/>
        </w:rPr>
        <w:t>. To by znamenalo přesun soudců, zaměstnanců soudů a spisů ze zaniklých soudů na zbývající nástupnické soudy</w:t>
      </w:r>
      <w:r>
        <w:rPr>
          <w:rStyle w:val="FootnoteReference"/>
          <w:rFonts w:eastAsia="Times New Roman" w:cs="Times New Roman"/>
          <w:noProof/>
          <w:lang w:eastAsia="fr-FR"/>
        </w:rPr>
        <w:footnoteReference w:id="54"/>
      </w:r>
      <w:r>
        <w:rPr>
          <w:noProof/>
        </w:rPr>
        <w:t>. Mezi zářím a prosincem 2020 byl návrh reformy předložen soudcům a dalším zúčastněným stranám; jednání o něm pokračovala i v lednu a únoru 2021</w:t>
      </w:r>
      <w:r>
        <w:rPr>
          <w:rStyle w:val="FootnoteReference"/>
          <w:rFonts w:eastAsia="Times New Roman" w:cs="Times New Roman"/>
          <w:noProof/>
          <w:lang w:eastAsia="fr-FR"/>
        </w:rPr>
        <w:footnoteReference w:id="55"/>
      </w:r>
      <w:r>
        <w:rPr>
          <w:noProof/>
        </w:rPr>
        <w:t>. Ministerstvo spravedlnosti v současnosti vyhodnocuje připomínky předložené v rámci veřejné konzultace, která probíhala od poloviny prosince 2020 do začátku března 2021</w:t>
      </w:r>
      <w:r>
        <w:rPr>
          <w:rStyle w:val="FootnoteReference"/>
          <w:rFonts w:eastAsia="Times New Roman" w:cs="Times New Roman"/>
          <w:noProof/>
          <w:lang w:eastAsia="fr-FR"/>
        </w:rPr>
        <w:footnoteReference w:id="56"/>
      </w:r>
      <w:r>
        <w:rPr>
          <w:noProof/>
        </w:rPr>
        <w:t>. Návrh reformy se setkal s kritikou několika zúčastněných stran, které mimo jiné uvedly, že nebyly do procesu jeho vypracování dostatečně zapojeny, a vyjádřily obavy ohledně dostupnosti soudů</w:t>
      </w:r>
      <w:r>
        <w:rPr>
          <w:rStyle w:val="FootnoteReference"/>
          <w:rFonts w:eastAsia="Times New Roman" w:cs="Times New Roman"/>
          <w:noProof/>
          <w:lang w:eastAsia="fr-FR"/>
        </w:rPr>
        <w:footnoteReference w:id="57"/>
      </w:r>
      <w:r>
        <w:rPr>
          <w:noProof/>
        </w:rPr>
        <w:t>. Na základě této kritiky se Ministerstvo spravedlnosti rozhodlo pokračovat v konzultacích se soudci až do září 2021 a následně znovu podrobit přepracovaný návrh reformy soudní mapy postupu veřejné konzultace</w:t>
      </w:r>
      <w:r>
        <w:rPr>
          <w:rStyle w:val="FootnoteReference"/>
          <w:rFonts w:eastAsia="Times New Roman" w:cs="Times New Roman"/>
          <w:noProof/>
          <w:lang w:eastAsia="fr-FR"/>
        </w:rPr>
        <w:footnoteReference w:id="58"/>
      </w:r>
      <w:r>
        <w:rPr>
          <w:noProof/>
        </w:rPr>
        <w:t>. Vzhledem k tomu, že se reforma bude týkat i překládání soudců</w:t>
      </w:r>
      <w:r>
        <w:rPr>
          <w:rStyle w:val="FootnoteReference"/>
          <w:rFonts w:eastAsia="Times New Roman" w:cs="Times New Roman"/>
          <w:noProof/>
          <w:lang w:eastAsia="fr-FR"/>
        </w:rPr>
        <w:footnoteReference w:id="59"/>
      </w:r>
      <w:r>
        <w:rPr>
          <w:noProof/>
        </w:rPr>
        <w:t>, je třeba uvést, že podle evropských norem by měli mít soudci, kteří budou v průběhu reformy přeloženi bez svého souhlasu, možnost využít procesní záruky, aby bylo zajištěno, že nebude ohrožena jejich nezávislost (viz výše). Komise CEPEJ návrh reformy přezkoumala a dospěla k závěru, že použitá metodika je v souladu s jejími pokyny a s její hodnoticí zprávou, a vyzdvihla přístup slovenských orgánů založený na důkazech</w:t>
      </w:r>
      <w:r>
        <w:rPr>
          <w:rStyle w:val="FootnoteReference"/>
          <w:rFonts w:eastAsia="Times New Roman" w:cs="Times New Roman"/>
          <w:noProof/>
          <w:lang w:eastAsia="fr-FR"/>
        </w:rPr>
        <w:footnoteReference w:id="60"/>
      </w:r>
      <w:r>
        <w:rPr>
          <w:noProof/>
        </w:rPr>
        <w:t>. Vydala i další doporučení, jako například zvážit odklad realizace reformy</w:t>
      </w:r>
      <w:r>
        <w:rPr>
          <w:rStyle w:val="FootnoteReference"/>
          <w:rFonts w:eastAsia="Times New Roman" w:cs="Times New Roman"/>
          <w:noProof/>
          <w:lang w:eastAsia="fr-FR"/>
        </w:rPr>
        <w:footnoteReference w:id="61"/>
      </w:r>
      <w:r>
        <w:rPr>
          <w:noProof/>
        </w:rPr>
        <w:t xml:space="preserve">. </w:t>
      </w:r>
    </w:p>
    <w:p>
      <w:pPr>
        <w:pStyle w:val="Heading2"/>
        <w:rPr>
          <w:b w:val="0"/>
          <w:noProof/>
        </w:rPr>
      </w:pPr>
      <w:r>
        <w:rPr>
          <w:noProof/>
        </w:rPr>
        <w:t>Byl zřízen Nejvyšší správní soud a je plánováno zřízení správních soudů</w:t>
      </w:r>
      <w:r>
        <w:rPr>
          <w:rStyle w:val="FootnoteReference"/>
          <w:noProof/>
        </w:rPr>
        <w:footnoteReference w:id="62"/>
      </w:r>
      <w:r>
        <w:rPr>
          <w:noProof/>
        </w:rPr>
        <w:t>.</w:t>
      </w:r>
      <w:r>
        <w:rPr>
          <w:b w:val="0"/>
          <w:noProof/>
        </w:rPr>
        <w:t xml:space="preserve"> Nový systém správního soudnictví má sestávat ze tří správních soudů, jejichž zřízení je navrženo v návrhu reformy soudní mapy, a z Nejvyššího správního soudu, který byl vytvořen nedávnou ústavní reformou a měl by začít fungovat v srpnu 2021</w:t>
      </w:r>
      <w:r>
        <w:rPr>
          <w:rStyle w:val="FootnoteReference"/>
          <w:b w:val="0"/>
          <w:noProof/>
        </w:rPr>
        <w:footnoteReference w:id="63"/>
      </w:r>
      <w:r>
        <w:rPr>
          <w:b w:val="0"/>
          <w:noProof/>
        </w:rPr>
        <w:t>. V květnu 2020 byl jmenován předseda Nejvyššího správního soudu</w:t>
      </w:r>
      <w:r>
        <w:rPr>
          <w:rStyle w:val="FootnoteReference"/>
          <w:b w:val="0"/>
          <w:noProof/>
        </w:rPr>
        <w:footnoteReference w:id="64"/>
      </w:r>
      <w:r>
        <w:rPr>
          <w:b w:val="0"/>
          <w:noProof/>
        </w:rPr>
        <w:t xml:space="preserve"> a v současnosti probíhá výběr soudců. Soudce vybírá Soudní rada</w:t>
      </w:r>
      <w:r>
        <w:rPr>
          <w:rStyle w:val="FootnoteReference"/>
          <w:b w:val="0"/>
          <w:noProof/>
        </w:rPr>
        <w:footnoteReference w:id="65"/>
      </w:r>
      <w:r>
        <w:rPr>
          <w:b w:val="0"/>
          <w:noProof/>
        </w:rPr>
        <w:t>. Návrh reformy soudní mapy (viz výše) počítá se zřízením tří samostatných správních soudů. Plánuje se</w:t>
      </w:r>
      <w:r>
        <w:rPr>
          <w:rStyle w:val="FootnoteReference"/>
          <w:b w:val="0"/>
          <w:noProof/>
        </w:rPr>
        <w:footnoteReference w:id="66"/>
      </w:r>
      <w:r>
        <w:rPr>
          <w:b w:val="0"/>
          <w:noProof/>
        </w:rPr>
        <w:t>, že předsedy těchto nových správních soudů bude vybírat pětičlenná komise, jejíž členy by měl vybrat ministr spravedlnosti; dva z těchto členů budou vybráni z kandidátů nominovaných Soudní radou</w:t>
      </w:r>
      <w:r>
        <w:rPr>
          <w:rStyle w:val="FootnoteReference"/>
          <w:b w:val="0"/>
          <w:noProof/>
        </w:rPr>
        <w:footnoteReference w:id="67"/>
      </w:r>
      <w:r>
        <w:rPr>
          <w:b w:val="0"/>
          <w:noProof/>
        </w:rPr>
        <w:t>. Pokud jde o výběr soudců správních soudů, navrhuje se</w:t>
      </w:r>
      <w:r>
        <w:rPr>
          <w:rStyle w:val="FootnoteReference"/>
          <w:b w:val="0"/>
          <w:noProof/>
        </w:rPr>
        <w:footnoteReference w:id="68"/>
      </w:r>
      <w:r>
        <w:rPr>
          <w:b w:val="0"/>
          <w:noProof/>
        </w:rPr>
        <w:t>, aby ministr spravedlnosti</w:t>
      </w:r>
      <w:r>
        <w:rPr>
          <w:rStyle w:val="FootnoteReference"/>
          <w:b w:val="0"/>
          <w:noProof/>
        </w:rPr>
        <w:footnoteReference w:id="69"/>
      </w:r>
      <w:r>
        <w:rPr>
          <w:b w:val="0"/>
          <w:noProof/>
        </w:rPr>
        <w:t xml:space="preserve"> určil, které pozice budou obsazeny na základě přeložení soudců</w:t>
      </w:r>
      <w:r>
        <w:rPr>
          <w:rStyle w:val="FootnoteReference"/>
          <w:b w:val="0"/>
          <w:noProof/>
        </w:rPr>
        <w:footnoteReference w:id="70"/>
      </w:r>
      <w:r>
        <w:rPr>
          <w:b w:val="0"/>
          <w:noProof/>
        </w:rPr>
        <w:t xml:space="preserve"> a které prostřednictvím výběrového řízení</w:t>
      </w:r>
      <w:r>
        <w:rPr>
          <w:rStyle w:val="FootnoteReference"/>
          <w:b w:val="0"/>
          <w:noProof/>
        </w:rPr>
        <w:footnoteReference w:id="71"/>
      </w:r>
      <w:r>
        <w:rPr>
          <w:b w:val="0"/>
          <w:noProof/>
        </w:rPr>
        <w:t>. Při zřizování těchto soudů a zavádění režimu, který se na ně bude vztahovat, bude nezbytné zohlednit evropské normy</w:t>
      </w:r>
      <w:r>
        <w:rPr>
          <w:rStyle w:val="FootnoteReference"/>
          <w:b w:val="0"/>
          <w:noProof/>
        </w:rPr>
        <w:footnoteReference w:id="72"/>
      </w:r>
      <w:r>
        <w:rPr>
          <w:b w:val="0"/>
          <w:noProof/>
        </w:rPr>
        <w:t>.</w:t>
      </w:r>
    </w:p>
    <w:p>
      <w:pPr>
        <w:rPr>
          <w:rFonts w:eastAsia="Times New Roman" w:cs="Times New Roman"/>
          <w:noProof/>
        </w:rPr>
      </w:pPr>
      <w:r>
        <w:rPr>
          <w:b/>
          <w:noProof/>
        </w:rPr>
        <w:t>Volba generálního prokurátora a speciálního prokurátora se uskutečnila podle nového transparentního postupu.</w:t>
      </w:r>
      <w:r>
        <w:rPr>
          <w:noProof/>
        </w:rPr>
        <w:t xml:space="preserve"> V září 2020 schválil parlament zákon</w:t>
      </w:r>
      <w:r>
        <w:rPr>
          <w:rStyle w:val="FootnoteReference"/>
          <w:rFonts w:eastAsia="Times New Roman" w:cs="Times New Roman"/>
          <w:noProof/>
          <w:szCs w:val="20"/>
          <w:lang w:eastAsia="fr-FR"/>
        </w:rPr>
        <w:footnoteReference w:id="73"/>
      </w:r>
      <w:r>
        <w:rPr>
          <w:noProof/>
        </w:rPr>
        <w:t>, který zavedl do postupu volby generálního prokurátora a speciálního prokurátora několik změn</w:t>
      </w:r>
      <w:r>
        <w:rPr>
          <w:rStyle w:val="FootnoteReference"/>
          <w:rFonts w:eastAsia="Times New Roman" w:cs="Times New Roman"/>
          <w:noProof/>
          <w:lang w:eastAsia="fr-FR"/>
        </w:rPr>
        <w:footnoteReference w:id="74"/>
      </w:r>
      <w:r>
        <w:rPr>
          <w:noProof/>
        </w:rPr>
        <w:t>. Tento zákon rozšířil seznam osob oprávněných navrhnout kandidáta na funkci generálního prokurátora</w:t>
      </w:r>
      <w:r>
        <w:rPr>
          <w:rStyle w:val="FootnoteReference"/>
          <w:rFonts w:eastAsia="Times New Roman" w:cs="Times New Roman"/>
          <w:noProof/>
          <w:szCs w:val="20"/>
          <w:lang w:eastAsia="fr-FR"/>
        </w:rPr>
        <w:footnoteReference w:id="75"/>
      </w:r>
      <w:r>
        <w:rPr>
          <w:noProof/>
        </w:rPr>
        <w:t>, umožnil kandidovat na tuto funkci i osobám, které nejsou prokurátory, a zavedl požadavek, aby kandidáti na generálního prokurátora i speciálního prokurátora absolvovali veřejné slyšení v parlamentu</w:t>
      </w:r>
      <w:r>
        <w:rPr>
          <w:rStyle w:val="FootnoteReference"/>
          <w:rFonts w:eastAsia="Times New Roman" w:cs="Times New Roman"/>
          <w:noProof/>
          <w:lang w:eastAsia="fr-FR"/>
        </w:rPr>
        <w:footnoteReference w:id="76"/>
      </w:r>
      <w:r>
        <w:rPr>
          <w:noProof/>
        </w:rPr>
        <w:t>. Tato nová pravidla se uplatnila v prosinci 2020 a v únoru 2021 při volbě kandidátů na generálního prokurátora a speciálního prokurátora. Obě tyto volby probíhaly za velkého zájmu sdělovacích prostředků a zúčastněné strany konstatovaly, že došlo ke zvýšení transparentnosti tohoto postupu</w:t>
      </w:r>
      <w:r>
        <w:rPr>
          <w:rStyle w:val="FootnoteReference"/>
          <w:rFonts w:eastAsia="Times New Roman" w:cs="Times New Roman"/>
          <w:noProof/>
          <w:szCs w:val="20"/>
          <w:lang w:eastAsia="fr-FR"/>
        </w:rPr>
        <w:footnoteReference w:id="77"/>
      </w:r>
      <w:r>
        <w:rPr>
          <w:noProof/>
        </w:rPr>
        <w:t xml:space="preserve">. </w:t>
      </w:r>
    </w:p>
    <w:p>
      <w:pPr>
        <w:pStyle w:val="Heading2"/>
        <w:rPr>
          <w:noProof/>
        </w:rPr>
      </w:pPr>
      <w:r>
        <w:rPr>
          <w:noProof/>
        </w:rPr>
        <w:t xml:space="preserve">Kvalita </w:t>
      </w:r>
    </w:p>
    <w:p>
      <w:pPr>
        <w:rPr>
          <w:b/>
          <w:noProof/>
        </w:rPr>
      </w:pPr>
      <w:r>
        <w:rPr>
          <w:b/>
          <w:noProof/>
        </w:rPr>
        <w:t>Snahy o dosažení pokroku při digitalizaci sice přinášejí určité výsledky, ale v praxi se objevují nedostatky.</w:t>
      </w:r>
      <w:r>
        <w:rPr>
          <w:noProof/>
        </w:rPr>
        <w:t xml:space="preserve"> Aktivní úsilí o dosažení pokroku při digitalizaci soudního systému z minulých let</w:t>
      </w:r>
      <w:r>
        <w:rPr>
          <w:rStyle w:val="FootnoteReference"/>
          <w:noProof/>
          <w:lang w:eastAsia="en-GB"/>
        </w:rPr>
        <w:footnoteReference w:id="78"/>
      </w:r>
      <w:r>
        <w:rPr>
          <w:noProof/>
        </w:rPr>
        <w:t xml:space="preserve"> začíná přinášet výsledky. Slovensko je dobře vybaveno z hlediska procesních pravidel umožňujících využívání digitální technologie u soudů</w:t>
      </w:r>
      <w:r>
        <w:rPr>
          <w:rStyle w:val="FootnoteReference"/>
          <w:noProof/>
          <w:lang w:eastAsia="en-GB"/>
        </w:rPr>
        <w:footnoteReference w:id="79"/>
      </w:r>
      <w:r>
        <w:rPr>
          <w:noProof/>
        </w:rPr>
        <w:t xml:space="preserve"> a má k dispozici rovněž celou řadu nástrojů a infrastrukturu, které umožňují komunikaci na dálku a bezpečný vzdálený přístup na pracoviště</w:t>
      </w:r>
      <w:r>
        <w:rPr>
          <w:rStyle w:val="FootnoteReference"/>
          <w:noProof/>
          <w:lang w:eastAsia="en-GB"/>
        </w:rPr>
        <w:footnoteReference w:id="80"/>
      </w:r>
      <w:r>
        <w:rPr>
          <w:noProof/>
        </w:rPr>
        <w:t>, bezpečnou elektronickou komunikaci mezi soudními útvary a advokáty a institucemi</w:t>
      </w:r>
      <w:r>
        <w:rPr>
          <w:rStyle w:val="FootnoteReference"/>
          <w:noProof/>
          <w:lang w:eastAsia="en-GB"/>
        </w:rPr>
        <w:footnoteReference w:id="81"/>
      </w:r>
      <w:r>
        <w:rPr>
          <w:noProof/>
        </w:rPr>
        <w:t>, případně možnost uživatelů zahájit a vést řízení v občanskoprávních, obchodních a správních věcech</w:t>
      </w:r>
      <w:r>
        <w:rPr>
          <w:rStyle w:val="FootnoteReference"/>
          <w:noProof/>
          <w:lang w:eastAsia="en-GB"/>
        </w:rPr>
        <w:footnoteReference w:id="82"/>
      </w:r>
      <w:r>
        <w:rPr>
          <w:noProof/>
        </w:rPr>
        <w:t>. Nedostatky se objevují zejména v oblasti prokuratury</w:t>
      </w:r>
      <w:r>
        <w:rPr>
          <w:rStyle w:val="FootnoteReference"/>
          <w:noProof/>
          <w:lang w:eastAsia="en-GB"/>
        </w:rPr>
        <w:footnoteReference w:id="83"/>
      </w:r>
      <w:r>
        <w:rPr>
          <w:noProof/>
        </w:rPr>
        <w:t xml:space="preserve"> a digitálních řešení soudních řízení v trestních věcech</w:t>
      </w:r>
      <w:r>
        <w:rPr>
          <w:rStyle w:val="FootnoteReference"/>
          <w:noProof/>
          <w:lang w:eastAsia="en-GB"/>
        </w:rPr>
        <w:footnoteReference w:id="84"/>
      </w:r>
      <w:r>
        <w:rPr>
          <w:noProof/>
        </w:rPr>
        <w:t>. Ukazuje se však, že nástroje a infrastruktury jsou sice zavedeny, avšak jejich využívání v praxi může být ztíženo překážkami, jako je například nízká uživatelská přívětivost, vzájemná nekompatibilita různých používaných informačních systémů nebo nedostatečné dovednosti uživatelů</w:t>
      </w:r>
      <w:r>
        <w:rPr>
          <w:rStyle w:val="FootnoteReference"/>
          <w:noProof/>
          <w:lang w:eastAsia="en-GB"/>
        </w:rPr>
        <w:footnoteReference w:id="85"/>
      </w:r>
      <w:r>
        <w:rPr>
          <w:noProof/>
        </w:rPr>
        <w:t>. Pandemie COVID-19 sice celkově přispěla k dynamice procesu digitalizace, avšak zároveň odhalila některé z těchto praktických nedostatků</w:t>
      </w:r>
      <w:r>
        <w:rPr>
          <w:rStyle w:val="FootnoteReference"/>
          <w:noProof/>
          <w:lang w:eastAsia="en-GB"/>
        </w:rPr>
        <w:footnoteReference w:id="86"/>
      </w:r>
      <w:r>
        <w:rPr>
          <w:noProof/>
        </w:rPr>
        <w:t>. V současnosti probíhá několik projektů zaměřených na řešení potřeb soudního systému pod vedením nové sekce informatiky na Ministerstvu spravedlnosti včetně vývoje nového systému správy případů a nového obchodního rejstříku, které byly zahrnuty rovněž do slovenského Plánu obnovy a odolnosti</w:t>
      </w:r>
      <w:r>
        <w:rPr>
          <w:rStyle w:val="FootnoteReference"/>
          <w:noProof/>
          <w:lang w:eastAsia="en-GB"/>
        </w:rPr>
        <w:footnoteReference w:id="87"/>
      </w:r>
      <w:r>
        <w:rPr>
          <w:noProof/>
        </w:rPr>
        <w:t xml:space="preserve">. </w:t>
      </w:r>
    </w:p>
    <w:p>
      <w:pPr>
        <w:rPr>
          <w:noProof/>
        </w:rPr>
      </w:pPr>
      <w:r>
        <w:rPr>
          <w:b/>
          <w:noProof/>
        </w:rPr>
        <w:t>Přestože pandemie měla na soudní systém významný dopad, soudy a advokáti obecně byli schopni pokračovat v práci.</w:t>
      </w:r>
      <w:r>
        <w:rPr>
          <w:noProof/>
        </w:rPr>
        <w:t xml:space="preserve"> Počet jednání u okresních a krajských soudů se snížil. Pokud se jednání konala, bylo to buď prostřednictvím videokonference, nebo v případě nutnosti osobně při dodržování bezpečnostních opatření. Nejvyšší soud byl ovlivněn méně, a to mimo jiné i proto, že většina jeho řízení probíhá písemnou formou</w:t>
      </w:r>
      <w:r>
        <w:rPr>
          <w:rStyle w:val="FootnoteReference"/>
          <w:noProof/>
        </w:rPr>
        <w:footnoteReference w:id="88"/>
      </w:r>
      <w:r>
        <w:rPr>
          <w:noProof/>
        </w:rPr>
        <w:t>. Pandemie měla dopad i na advokáty, kteří však žádné zásadní překážky výkonu své práce neuváděli</w:t>
      </w:r>
      <w:r>
        <w:rPr>
          <w:rStyle w:val="FootnoteReference"/>
          <w:noProof/>
        </w:rPr>
        <w:footnoteReference w:id="89"/>
      </w:r>
      <w:r>
        <w:rPr>
          <w:noProof/>
        </w:rPr>
        <w:t>. Soudní rada situaci na soudech bedlivě sleduje. Ministerstvo spravedlnosti zveřejňuje ohledně omezení pokyny a informace, což soudy oceňují</w:t>
      </w:r>
      <w:r>
        <w:rPr>
          <w:rStyle w:val="FootnoteReference"/>
          <w:noProof/>
        </w:rPr>
        <w:footnoteReference w:id="90"/>
      </w:r>
      <w:r>
        <w:rPr>
          <w:noProof/>
        </w:rPr>
        <w:t>.</w:t>
      </w:r>
    </w:p>
    <w:p>
      <w:pPr>
        <w:pStyle w:val="Heading2"/>
        <w:rPr>
          <w:noProof/>
        </w:rPr>
      </w:pPr>
      <w:r>
        <w:rPr>
          <w:noProof/>
        </w:rPr>
        <w:t>Účinnost</w:t>
      </w:r>
    </w:p>
    <w:p>
      <w:pPr>
        <w:rPr>
          <w:rFonts w:eastAsia="Times New Roman" w:cs="Times New Roman"/>
          <w:b/>
          <w:smallCaps/>
          <w:noProof/>
          <w:szCs w:val="24"/>
          <w:u w:val="single"/>
        </w:rPr>
      </w:pPr>
      <w:r>
        <w:rPr>
          <w:b/>
          <w:noProof/>
        </w:rPr>
        <w:t>Účinnost správních řízení se i nadále zhoršuje.</w:t>
      </w:r>
      <w:r>
        <w:rPr>
          <w:noProof/>
        </w:rPr>
        <w:t xml:space="preserve"> Trend prodlužování řízení ve správních věcech, která jsou z hlediska EU poměrně zdlouhavá, pokračoval i v roce 2019 a dosáhl 518 dnů v porovnání se 157 dny v roce 2018</w:t>
      </w:r>
      <w:r>
        <w:rPr>
          <w:rStyle w:val="FootnoteReference"/>
          <w:noProof/>
        </w:rPr>
        <w:footnoteReference w:id="91"/>
      </w:r>
      <w:r>
        <w:rPr>
          <w:noProof/>
        </w:rPr>
        <w:t>. Zároveň i nadále klesá míra vyřešených případů, která se v roce 2019 snížila na 81,4 % (oproti 96,1 % v roce 2018)</w:t>
      </w:r>
      <w:r>
        <w:rPr>
          <w:rStyle w:val="FootnoteReference"/>
          <w:noProof/>
        </w:rPr>
        <w:footnoteReference w:id="92"/>
      </w:r>
      <w:r>
        <w:rPr>
          <w:noProof/>
        </w:rPr>
        <w:t>. To naznačuje, že systém pravděpodobně není schopen pracovní zátěž ve správních věcech účinně řešit. Pokud jde o občanskoprávní a obchodní věci, odhadovaná délka řízení v občanskoprávních a obchodních sporech se v roce 2019 oproti roku 2018 prodloužila na 170 dnů (v porovnání se 157 dny v roce 2018)</w:t>
      </w:r>
      <w:r>
        <w:rPr>
          <w:rStyle w:val="FootnoteReference"/>
          <w:noProof/>
        </w:rPr>
        <w:footnoteReference w:id="93"/>
      </w:r>
      <w:r>
        <w:rPr>
          <w:noProof/>
        </w:rPr>
        <w:t>. Rada Evropy přezkoumala několik skupin případů týkajících se nepřiměřené délky občanskoprávních řízení</w:t>
      </w:r>
      <w:r>
        <w:rPr>
          <w:rStyle w:val="FootnoteReference"/>
          <w:noProof/>
        </w:rPr>
        <w:footnoteReference w:id="94"/>
      </w:r>
      <w:r>
        <w:rPr>
          <w:noProof/>
        </w:rPr>
        <w:t xml:space="preserve">. </w:t>
      </w:r>
    </w:p>
    <w:p>
      <w:pPr>
        <w:pStyle w:val="Heading1"/>
        <w:rPr>
          <w:noProof/>
        </w:rPr>
      </w:pPr>
      <w:r>
        <w:rPr>
          <w:noProof/>
        </w:rPr>
        <w:t xml:space="preserve">Protikorupční rámec </w:t>
      </w:r>
    </w:p>
    <w:p>
      <w:pPr>
        <w:rPr>
          <w:rFonts w:cstheme="minorHAnsi"/>
          <w:noProof/>
          <w:color w:val="000000"/>
          <w:shd w:val="clear" w:color="auto" w:fill="FFFFFF"/>
        </w:rPr>
      </w:pPr>
      <w:r>
        <w:rPr>
          <w:noProof/>
          <w:color w:val="000000"/>
          <w:bdr w:val="none" w:sz="0" w:space="0" w:color="auto" w:frame="1"/>
        </w:rPr>
        <w:t>Kompetence pro prevenci, odhalování a trestní stíhání korupce jsou na Slovensku rozděleny mezi několik orgánů. Ústředním orgánem pro koordinaci prevence korupce je Úřad vlády, který podléhá přímo předsedovi vlády. Národní kriminální agentura Prezidia Policejního sboru má na starosti odhalování a vyšetřování trestných činů korupce s výjimkou trestných činů korupce spáchaných členy samotné policie a některých donucovacích orgánů, jež spadají do pravomoci Úřadu inspekční služby</w:t>
      </w:r>
      <w:r>
        <w:rPr>
          <w:rStyle w:val="FootnoteReference"/>
          <w:rFonts w:cstheme="minorHAnsi"/>
          <w:noProof/>
          <w:color w:val="000000"/>
          <w:bdr w:val="none" w:sz="0" w:space="0" w:color="auto" w:frame="1"/>
        </w:rPr>
        <w:footnoteReference w:id="95"/>
      </w:r>
      <w:r>
        <w:rPr>
          <w:noProof/>
          <w:color w:val="000000"/>
          <w:bdr w:val="none" w:sz="0" w:space="0" w:color="auto" w:frame="1"/>
        </w:rPr>
        <w:t>. Úřad speciální prokuratury</w:t>
      </w:r>
      <w:r>
        <w:rPr>
          <w:rStyle w:val="FootnoteReference"/>
          <w:rFonts w:cstheme="minorHAnsi"/>
          <w:noProof/>
          <w:color w:val="000000"/>
          <w:bdr w:val="none" w:sz="0" w:space="0" w:color="auto" w:frame="1"/>
        </w:rPr>
        <w:footnoteReference w:id="96"/>
      </w:r>
      <w:r>
        <w:rPr>
          <w:noProof/>
          <w:color w:val="000000"/>
          <w:bdr w:val="none" w:sz="0" w:space="0" w:color="auto" w:frame="1"/>
        </w:rPr>
        <w:t xml:space="preserve"> má výlučnou pravomoc nad vyšetřováním trestných činů spadajících do věcné příslušnosti Specializovaného trestního soudu, včetně trestných činů korupce</w:t>
      </w:r>
      <w:r>
        <w:rPr>
          <w:rStyle w:val="FootnoteReference"/>
          <w:rFonts w:cstheme="minorHAnsi"/>
          <w:noProof/>
          <w:color w:val="000000"/>
          <w:bdr w:val="none" w:sz="0" w:space="0" w:color="auto" w:frame="1"/>
        </w:rPr>
        <w:footnoteReference w:id="97"/>
      </w:r>
      <w:r>
        <w:rPr>
          <w:noProof/>
          <w:color w:val="000000"/>
          <w:bdr w:val="none" w:sz="0" w:space="0" w:color="auto" w:frame="1"/>
        </w:rPr>
        <w:t xml:space="preserve">. </w:t>
      </w:r>
    </w:p>
    <w:p>
      <w:pPr>
        <w:rPr>
          <w:rFonts w:cs="Times New Roman"/>
          <w:noProof/>
          <w:szCs w:val="24"/>
        </w:rPr>
      </w:pPr>
      <w:r>
        <w:rPr>
          <w:b/>
          <w:bCs/>
          <w:noProof/>
        </w:rPr>
        <w:t xml:space="preserve">Odborníci i výkonní ředitelé podniků vnímají úroveň korupce ve veřejném sektoru i nadále jako vysokou. </w:t>
      </w:r>
      <w:r>
        <w:rPr>
          <w:noProof/>
        </w:rPr>
        <w:t>V indexu vnímání korupce 2020, který sestavila organizace Transparency International, dosahuje Slovensko skóre 49 ze 100 a řadí se na 17. místo v Evropské unii a 60. místo celosvětově</w:t>
      </w:r>
      <w:r>
        <w:rPr>
          <w:rFonts w:cs="Times New Roman"/>
          <w:bCs/>
          <w:noProof/>
          <w:szCs w:val="24"/>
          <w:vertAlign w:val="superscript"/>
        </w:rPr>
        <w:footnoteReference w:id="98"/>
      </w:r>
      <w:r>
        <w:rPr>
          <w:noProof/>
        </w:rPr>
        <w:t>. Toto vnímání je v posledních pěti letech</w:t>
      </w:r>
      <w:r>
        <w:rPr>
          <w:rFonts w:cs="Times New Roman"/>
          <w:noProof/>
          <w:szCs w:val="24"/>
          <w:vertAlign w:val="superscript"/>
        </w:rPr>
        <w:footnoteReference w:id="99"/>
      </w:r>
      <w:r>
        <w:rPr>
          <w:noProof/>
        </w:rPr>
        <w:t xml:space="preserve"> relativně stabilní</w:t>
      </w:r>
      <w:r>
        <w:rPr>
          <w:rFonts w:cs="Times New Roman"/>
          <w:noProof/>
          <w:szCs w:val="24"/>
          <w:vertAlign w:val="superscript"/>
        </w:rPr>
        <w:footnoteReference w:id="100"/>
      </w:r>
      <w:r>
        <w:rPr>
          <w:noProof/>
        </w:rPr>
        <w:t>.</w:t>
      </w:r>
    </w:p>
    <w:p>
      <w:pPr>
        <w:rPr>
          <w:rFonts w:cs="Times New Roman"/>
          <w:noProof/>
        </w:rPr>
      </w:pPr>
      <w:r>
        <w:rPr>
          <w:b/>
          <w:bCs/>
          <w:noProof/>
        </w:rPr>
        <w:t xml:space="preserve">Strategický protikorupční rámec je vytyčen v Protikorupční politice na roky 2019–2023. </w:t>
      </w:r>
      <w:r>
        <w:rPr>
          <w:noProof/>
        </w:rPr>
        <w:t>Tato politika</w:t>
      </w:r>
      <w:r>
        <w:rPr>
          <w:rFonts w:cs="Times New Roman"/>
          <w:noProof/>
          <w:vertAlign w:val="superscript"/>
        </w:rPr>
        <w:footnoteReference w:id="101"/>
      </w:r>
      <w:r>
        <w:rPr>
          <w:noProof/>
        </w:rPr>
        <w:t xml:space="preserve"> se zaměřuje především na prevenci prostřednictvím tzv. měkkých opatření a je doprovázena akčním plánem, národním protikorupčním programem</w:t>
      </w:r>
      <w:r>
        <w:rPr>
          <w:rFonts w:cs="Times New Roman"/>
          <w:noProof/>
          <w:vertAlign w:val="superscript"/>
        </w:rPr>
        <w:footnoteReference w:id="102"/>
      </w:r>
      <w:r>
        <w:rPr>
          <w:noProof/>
        </w:rPr>
        <w:t xml:space="preserve"> a několika rezortními programy</w:t>
      </w:r>
      <w:r>
        <w:rPr>
          <w:rFonts w:cs="Times New Roman"/>
          <w:noProof/>
          <w:vertAlign w:val="superscript"/>
        </w:rPr>
        <w:footnoteReference w:id="103"/>
      </w:r>
      <w:r>
        <w:rPr>
          <w:noProof/>
        </w:rPr>
        <w:t>. Vzhledem k tomu, že současný akční plán je s uvedenou politickou v zásadě totožný, nepřináší žádné konkrétní operativní kroky s cílem usnadnit realizaci jejích priorit. Národní protikorupční program je v současnosti aktualizován</w:t>
      </w:r>
      <w:r>
        <w:rPr>
          <w:rFonts w:cs="Times New Roman"/>
          <w:noProof/>
          <w:vertAlign w:val="superscript"/>
        </w:rPr>
        <w:footnoteReference w:id="104"/>
      </w:r>
      <w:r>
        <w:rPr>
          <w:noProof/>
        </w:rPr>
        <w:t>. Na provádění protikorupční politiky a akčního plánu dohlíží odbor prevence korupce Úřadu vlády. Dohled nad prováděním rezortních programů spadá do kompetence příslušných ústředních orgánů státní správy</w:t>
      </w:r>
      <w:r>
        <w:rPr>
          <w:rFonts w:cs="Times New Roman"/>
          <w:noProof/>
          <w:vertAlign w:val="superscript"/>
        </w:rPr>
        <w:footnoteReference w:id="105"/>
      </w:r>
      <w:r>
        <w:rPr>
          <w:noProof/>
        </w:rPr>
        <w:t xml:space="preserve">. </w:t>
      </w:r>
    </w:p>
    <w:p>
      <w:pPr>
        <w:rPr>
          <w:rFonts w:cs="Times New Roman"/>
          <w:noProof/>
        </w:rPr>
      </w:pPr>
      <w:r>
        <w:rPr>
          <w:b/>
          <w:bCs/>
          <w:noProof/>
        </w:rPr>
        <w:t>Rámec trestního práva byl doplněn nabytím účinnosti nového zákona o zajištění majetku.</w:t>
      </w:r>
      <w:r>
        <w:rPr>
          <w:noProof/>
        </w:rPr>
        <w:t xml:space="preserve"> Zákon o zajištění majetku</w:t>
      </w:r>
      <w:r>
        <w:rPr>
          <w:rFonts w:cs="Times New Roman"/>
          <w:noProof/>
          <w:vertAlign w:val="superscript"/>
        </w:rPr>
        <w:footnoteReference w:id="106"/>
      </w:r>
      <w:r>
        <w:rPr>
          <w:noProof/>
        </w:rPr>
        <w:t>, který nabyl účinnosti v lednu 2021, mimo jiné brání legalizaci majetku pocházejícího z trestné činnosti převodem na třetí osoby a mění trestní zákoník zavedením nových trestných činů, jako je například trestný čin získání nebo poskytnutí neoprávněné výhody a trestný čin nepřímé korupce</w:t>
      </w:r>
      <w:r>
        <w:rPr>
          <w:rFonts w:cs="Times New Roman"/>
          <w:noProof/>
          <w:vertAlign w:val="superscript"/>
        </w:rPr>
        <w:footnoteReference w:id="107"/>
      </w:r>
      <w:r>
        <w:rPr>
          <w:noProof/>
        </w:rPr>
        <w:t>. Tento zákon navíc zavádí definici výnosu z trestné činnosti. Tímto zákonem se zejména zřizuje nový Úřad pro správu zajištěného majetku</w:t>
      </w:r>
      <w:r>
        <w:rPr>
          <w:rFonts w:cs="Times New Roman"/>
          <w:noProof/>
          <w:vertAlign w:val="superscript"/>
        </w:rPr>
        <w:footnoteReference w:id="108"/>
      </w:r>
      <w:r>
        <w:rPr>
          <w:noProof/>
        </w:rPr>
        <w:t>. Existují legislativní nedostatky týkající se oprávnění policie vyžádat si od bank finanční informace o podezřelých osobách ve fázi vyšetřování těchto trestných činů</w:t>
      </w:r>
      <w:r>
        <w:rPr>
          <w:rFonts w:cs="Times New Roman"/>
          <w:noProof/>
          <w:vertAlign w:val="superscript"/>
        </w:rPr>
        <w:footnoteReference w:id="109"/>
      </w:r>
      <w:r>
        <w:rPr>
          <w:noProof/>
        </w:rPr>
        <w:t xml:space="preserve"> a v souvislosti s kriminalizací obchodování s údajným vlivem</w:t>
      </w:r>
      <w:r>
        <w:rPr>
          <w:rFonts w:cs="Times New Roman"/>
          <w:noProof/>
          <w:vertAlign w:val="superscript"/>
        </w:rPr>
        <w:footnoteReference w:id="110"/>
      </w:r>
      <w:r>
        <w:rPr>
          <w:noProof/>
        </w:rPr>
        <w:t>.</w:t>
      </w:r>
    </w:p>
    <w:p>
      <w:pPr>
        <w:rPr>
          <w:rFonts w:cs="Times New Roman"/>
          <w:bCs/>
          <w:noProof/>
          <w:szCs w:val="24"/>
        </w:rPr>
      </w:pPr>
      <w:r>
        <w:rPr>
          <w:b/>
          <w:bCs/>
          <w:noProof/>
          <w:szCs w:val="24"/>
        </w:rPr>
        <w:t>Zavádějí se opatření ke zvýšení zdrojů Úřadu speciální prokuratury s cílem posílit jeho kapacity.</w:t>
      </w:r>
      <w:r>
        <w:rPr>
          <w:noProof/>
        </w:rPr>
        <w:t xml:space="preserve"> Dne 10. února 2021 schválila vláda návrh na navýšení zdrojů a počtu specializovaných zaměstnanců Úřadu speciální prokuratury</w:t>
      </w:r>
      <w:r>
        <w:rPr>
          <w:rFonts w:cs="Times New Roman"/>
          <w:bCs/>
          <w:noProof/>
          <w:szCs w:val="24"/>
          <w:vertAlign w:val="superscript"/>
        </w:rPr>
        <w:footnoteReference w:id="111"/>
      </w:r>
      <w:r>
        <w:rPr>
          <w:noProof/>
        </w:rPr>
        <w:t>. Celkový počet prokurátorů se v roce 2021 zvýšil z 35 na 38. S cílem řešit obavy týkající se omezených zdrojů a kapacit ke stíhání korupce na vysoké úrovni</w:t>
      </w:r>
      <w:r>
        <w:rPr>
          <w:rFonts w:cs="Times New Roman"/>
          <w:bCs/>
          <w:noProof/>
          <w:szCs w:val="24"/>
          <w:vertAlign w:val="superscript"/>
        </w:rPr>
        <w:footnoteReference w:id="112"/>
      </w:r>
      <w:r>
        <w:rPr>
          <w:noProof/>
        </w:rPr>
        <w:t xml:space="preserve"> se počet zaměstnanců Úřadu speciální prokuratury v oddělení zabývajícím se speciálně korupcí a trestnou činností související s korupcí zdvojnásobil z pěti na současných deset prokurátorů</w:t>
      </w:r>
      <w:r>
        <w:rPr>
          <w:rFonts w:cs="Times New Roman"/>
          <w:bCs/>
          <w:noProof/>
          <w:szCs w:val="24"/>
          <w:vertAlign w:val="superscript"/>
        </w:rPr>
        <w:footnoteReference w:id="113"/>
      </w:r>
      <w:r>
        <w:rPr>
          <w:noProof/>
        </w:rPr>
        <w:t>. Tato reorganizace se uskutečnila v průběhu roku 2021</w:t>
      </w:r>
      <w:r>
        <w:rPr>
          <w:rFonts w:cs="Times New Roman"/>
          <w:bCs/>
          <w:noProof/>
          <w:szCs w:val="24"/>
          <w:vertAlign w:val="superscript"/>
        </w:rPr>
        <w:footnoteReference w:id="114"/>
      </w:r>
      <w:r>
        <w:rPr>
          <w:noProof/>
        </w:rPr>
        <w:t>. Podařilo se rovněž dosáhnout dohody o významném navýšení rozpočtových zdrojů Úřadu speciální prokuratury</w:t>
      </w:r>
      <w:r>
        <w:rPr>
          <w:rFonts w:cs="Times New Roman"/>
          <w:bCs/>
          <w:noProof/>
          <w:szCs w:val="24"/>
          <w:vertAlign w:val="superscript"/>
        </w:rPr>
        <w:footnoteReference w:id="115"/>
      </w:r>
      <w:r>
        <w:rPr>
          <w:noProof/>
        </w:rPr>
        <w:t>. Stále přetrvávají obavy týkající se úrovně důvěry v policii a rovněž její specializace a digitalizace, což má negativní dopad na spolupráci prokuratury s policií i na odhalování korupce a trestných činů souvisejících s korupcí</w:t>
      </w:r>
      <w:r>
        <w:rPr>
          <w:rFonts w:cs="Times New Roman"/>
          <w:bCs/>
          <w:noProof/>
          <w:szCs w:val="24"/>
          <w:vertAlign w:val="superscript"/>
        </w:rPr>
        <w:footnoteReference w:id="116"/>
      </w:r>
      <w:r>
        <w:rPr>
          <w:noProof/>
        </w:rPr>
        <w:t>. Jak je uvedeno ve zprávě o právním státu 2020, k účinnějšímu finančnímu vyšetřování by přispělo zejména posílení forenzních a analytických kapacit Národní kriminální agentury</w:t>
      </w:r>
      <w:r>
        <w:rPr>
          <w:rStyle w:val="FootnoteReference"/>
          <w:rFonts w:cs="Times New Roman"/>
          <w:bCs/>
          <w:noProof/>
          <w:szCs w:val="24"/>
        </w:rPr>
        <w:footnoteReference w:id="117"/>
      </w:r>
      <w:r>
        <w:rPr>
          <w:noProof/>
        </w:rPr>
        <w:t>. Do června 2022 se plánuje komplexní reforma policie s cílem zmodernizovat policii v tomto ohledu</w:t>
      </w:r>
      <w:r>
        <w:rPr>
          <w:rFonts w:cs="Times New Roman"/>
          <w:bCs/>
          <w:noProof/>
          <w:szCs w:val="24"/>
          <w:vertAlign w:val="superscript"/>
        </w:rPr>
        <w:footnoteReference w:id="118"/>
      </w:r>
      <w:r>
        <w:rPr>
          <w:noProof/>
        </w:rPr>
        <w:t>.</w:t>
      </w:r>
    </w:p>
    <w:p>
      <w:pPr>
        <w:rPr>
          <w:rFonts w:cs="Times New Roman"/>
          <w:noProof/>
        </w:rPr>
      </w:pPr>
      <w:r>
        <w:rPr>
          <w:b/>
          <w:bCs/>
          <w:noProof/>
        </w:rPr>
        <w:t xml:space="preserve">V průběhu sledovaného období se na Slovensku výrazně zintenzivnilo úsilí v oblasti boje proti korupci na vysoké úrovni. </w:t>
      </w:r>
      <w:r>
        <w:rPr>
          <w:noProof/>
        </w:rPr>
        <w:t>Schopnost vyšetřovat a stíhat korupci na vysoké úrovni se výrazně zlepšila po masových demonstracích veřejnosti proti vnímané beztrestnosti korupce na vysoké úrovni v návaznosti na odhalení v souvislosti s vraždou novináře Jána Kuciaka a jeho snoubenky Martiny Kušnírové v roce 2018. Od října 2020 čelí několik bývalých vysoce postavených představitelů policie, prokuratury a soudnictví i soukromého sektoru obvinění z korupce a trestných činů souvisejících s korupcí</w:t>
      </w:r>
      <w:r>
        <w:rPr>
          <w:rFonts w:cs="Times New Roman"/>
          <w:noProof/>
          <w:vertAlign w:val="superscript"/>
        </w:rPr>
        <w:footnoteReference w:id="119"/>
      </w:r>
      <w:r>
        <w:rPr>
          <w:noProof/>
        </w:rPr>
        <w:t>. V roce 2020 zahájila Národní kriminální agentura řízení ve 158 případech korupce</w:t>
      </w:r>
      <w:r>
        <w:rPr>
          <w:rFonts w:cs="Times New Roman"/>
          <w:noProof/>
          <w:vertAlign w:val="superscript"/>
        </w:rPr>
        <w:footnoteReference w:id="120"/>
      </w:r>
      <w:r>
        <w:rPr>
          <w:noProof/>
        </w:rPr>
        <w:t>. Počet osob odsouzených za trestné činy korupce se od roku 2019 (62 odsuzujících rozsudků) do roku 2020 (128 odsuzujících rozsudků) více než zdvojnásobil</w:t>
      </w:r>
      <w:r>
        <w:rPr>
          <w:rFonts w:cs="Times New Roman"/>
          <w:noProof/>
          <w:vertAlign w:val="superscript"/>
        </w:rPr>
        <w:footnoteReference w:id="121"/>
      </w:r>
      <w:r>
        <w:rPr>
          <w:noProof/>
        </w:rPr>
        <w:t>. V novější době v květnu 2021 zadržela Národní kriminální agentura rovněž několik vysoce postavených úředníků z Pozemkového fondu</w:t>
      </w:r>
      <w:r>
        <w:rPr>
          <w:rFonts w:cs="Times New Roman"/>
          <w:noProof/>
          <w:vertAlign w:val="superscript"/>
        </w:rPr>
        <w:footnoteReference w:id="122"/>
      </w:r>
      <w:r>
        <w:rPr>
          <w:noProof/>
        </w:rPr>
        <w:t>, kteří byli v letech 2016 až 2020 údajně zapojeni do korupčních systémů</w:t>
      </w:r>
      <w:r>
        <w:rPr>
          <w:rFonts w:cs="Times New Roman"/>
          <w:noProof/>
          <w:vertAlign w:val="superscript"/>
        </w:rPr>
        <w:footnoteReference w:id="123"/>
      </w:r>
      <w:r>
        <w:rPr>
          <w:noProof/>
        </w:rPr>
        <w:t>. Evropský úřad pro boj proti podvodům (OLAF) vyjádřil v této souvislosti již v roce 2020 po třech správních vyšetřováních zemědělských plateb ohledně nedostatků v Pozemkovém fondu obavy týkající se transparentnosti, rovného zacházení s žadateli o nájem a právní jistoty ve vnitřních postupech</w:t>
      </w:r>
      <w:r>
        <w:rPr>
          <w:rFonts w:cs="Times New Roman"/>
          <w:noProof/>
          <w:vertAlign w:val="superscript"/>
        </w:rPr>
        <w:footnoteReference w:id="124"/>
      </w:r>
      <w:r>
        <w:rPr>
          <w:noProof/>
        </w:rPr>
        <w:t>. V zájmu lepšího odhalování a dokumentace korupce by však bylo možné ještě více zlepšit a prohloubit spolupráci mezi Národní kriminální agenturou, Národním bezpečnostním úřadem, Nejvyšším kontrolním úřadem a Finanční zpravodajskou jednotkou</w:t>
      </w:r>
      <w:r>
        <w:rPr>
          <w:rFonts w:cs="Times New Roman"/>
          <w:noProof/>
          <w:vertAlign w:val="superscript"/>
        </w:rPr>
        <w:footnoteReference w:id="125"/>
      </w:r>
      <w:r>
        <w:rPr>
          <w:noProof/>
        </w:rPr>
        <w:t>. Problémem zůstává i účinné vymáhání práva při zahraničním podplácení</w:t>
      </w:r>
      <w:r>
        <w:rPr>
          <w:rFonts w:cs="Times New Roman"/>
          <w:noProof/>
          <w:vertAlign w:val="superscript"/>
        </w:rPr>
        <w:footnoteReference w:id="126"/>
      </w:r>
      <w:r>
        <w:rPr>
          <w:noProof/>
        </w:rPr>
        <w:t>.</w:t>
      </w:r>
    </w:p>
    <w:p>
      <w:pPr>
        <w:rPr>
          <w:rFonts w:cs="Times New Roman"/>
          <w:noProof/>
        </w:rPr>
      </w:pPr>
      <w:r>
        <w:rPr>
          <w:b/>
          <w:noProof/>
        </w:rPr>
        <w:t>V únoru 2021 jmenoval slovenský parlament předsedkyni Úřadu na ochranu oznamovatelů.</w:t>
      </w:r>
      <w:r>
        <w:rPr>
          <w:noProof/>
        </w:rPr>
        <w:t xml:space="preserve"> Tento úřad začne vykonávat svou činnost a plnit svou funkci</w:t>
      </w:r>
      <w:r>
        <w:rPr>
          <w:rFonts w:cs="Times New Roman"/>
          <w:noProof/>
          <w:szCs w:val="24"/>
          <w:vertAlign w:val="superscript"/>
        </w:rPr>
        <w:footnoteReference w:id="127"/>
      </w:r>
      <w:r>
        <w:rPr>
          <w:noProof/>
        </w:rPr>
        <w:t xml:space="preserve"> do šesti měsíců po uvedeném jmenování</w:t>
      </w:r>
      <w:r>
        <w:rPr>
          <w:rFonts w:cs="Times New Roman"/>
          <w:noProof/>
          <w:vertAlign w:val="superscript"/>
        </w:rPr>
        <w:footnoteReference w:id="128"/>
      </w:r>
      <w:r>
        <w:rPr>
          <w:noProof/>
        </w:rPr>
        <w:t>. Funkční období předsedy úřadu je sedm let. Úřad je nezávislý na jakémkoli jiném orgánu</w:t>
      </w:r>
      <w:r>
        <w:rPr>
          <w:rFonts w:cs="Times New Roman"/>
          <w:noProof/>
          <w:vertAlign w:val="superscript"/>
        </w:rPr>
        <w:footnoteReference w:id="129"/>
      </w:r>
      <w:r>
        <w:rPr>
          <w:noProof/>
        </w:rPr>
        <w:t>. Na základě zásad zachování důvěrnosti a anonymity bude mandát úřadu zaměřen na porušování práva a na ochranu před odvetnými opatřeními oznámeného subjektu</w:t>
      </w:r>
      <w:r>
        <w:rPr>
          <w:rFonts w:cs="Times New Roman"/>
          <w:noProof/>
          <w:vertAlign w:val="superscript"/>
        </w:rPr>
        <w:footnoteReference w:id="130"/>
      </w:r>
      <w:r>
        <w:rPr>
          <w:noProof/>
        </w:rPr>
        <w:t xml:space="preserve"> Úkolem úřadu je poskytovat poradenství, školení a metodické pokyny a zvyšovat povědomí veřejnosti o oznamování protispolečenské činnosti včetně případů korupce. Úřad je odpovědný parlamentu a předkládá mu výroční zprávu. Cílovou skupinou úřadu je veřejný i soukromý sektor. </w:t>
      </w:r>
    </w:p>
    <w:p>
      <w:pPr>
        <w:rPr>
          <w:rFonts w:cs="Times New Roman"/>
          <w:noProof/>
          <w:szCs w:val="24"/>
        </w:rPr>
      </w:pPr>
      <w:r>
        <w:rPr>
          <w:b/>
          <w:bCs/>
          <w:noProof/>
        </w:rPr>
        <w:t>Slovensko se zavázalo, že v listopadu 2021 předloží návrh zákona o lobbingu.</w:t>
      </w:r>
      <w:r>
        <w:rPr>
          <w:noProof/>
        </w:rPr>
        <w:t xml:space="preserve"> Tento proces, v jehož čele stojí Úřad vlády</w:t>
      </w:r>
      <w:r>
        <w:rPr>
          <w:rFonts w:cs="Times New Roman"/>
          <w:noProof/>
          <w:vertAlign w:val="superscript"/>
        </w:rPr>
        <w:footnoteReference w:id="131"/>
      </w:r>
      <w:r>
        <w:rPr>
          <w:noProof/>
        </w:rPr>
        <w:t>, se nachází v počáteční přípravné fázi</w:t>
      </w:r>
      <w:r>
        <w:rPr>
          <w:rFonts w:cs="Times New Roman"/>
          <w:noProof/>
          <w:vertAlign w:val="superscript"/>
        </w:rPr>
        <w:footnoteReference w:id="132"/>
      </w:r>
      <w:r>
        <w:rPr>
          <w:noProof/>
        </w:rPr>
        <w:t>. Přes několik pokusů o přijetí legislativy zůstává lobbing na Slovensku zatím i nadále neregulovaný</w:t>
      </w:r>
      <w:r>
        <w:rPr>
          <w:rStyle w:val="FootnoteReference"/>
          <w:rFonts w:cs="Times New Roman"/>
          <w:noProof/>
        </w:rPr>
        <w:footnoteReference w:id="133"/>
      </w:r>
      <w:r>
        <w:rPr>
          <w:noProof/>
        </w:rPr>
        <w:t>. Z toho důvodu neexistují právní definice lobbistů, lobbistických činností a cílů lobbingu ani účinné sankce za nekalý lobbing nebo legislativní stopu</w:t>
      </w:r>
      <w:r>
        <w:rPr>
          <w:rFonts w:cs="Times New Roman"/>
          <w:noProof/>
          <w:vertAlign w:val="superscript"/>
        </w:rPr>
        <w:footnoteReference w:id="134"/>
      </w:r>
      <w:r>
        <w:rPr>
          <w:noProof/>
        </w:rPr>
        <w:t xml:space="preserve"> . Související legislativa a nástroje však umožňují sledovat připomínky zúčastněných stran a zjistit, do jaké míry ovlivnily legislativní návrh</w:t>
      </w:r>
      <w:r>
        <w:rPr>
          <w:rFonts w:cs="Times New Roman"/>
          <w:noProof/>
          <w:vertAlign w:val="superscript"/>
        </w:rPr>
        <w:footnoteReference w:id="135"/>
      </w:r>
      <w:r>
        <w:rPr>
          <w:noProof/>
        </w:rPr>
        <w:t>. Na rok 2021 je naplánován rovněž Etický kodex poslanců parlamentu</w:t>
      </w:r>
      <w:r>
        <w:rPr>
          <w:rFonts w:cs="Times New Roman"/>
          <w:noProof/>
          <w:vertAlign w:val="superscript"/>
        </w:rPr>
        <w:footnoteReference w:id="136"/>
      </w:r>
      <w:r>
        <w:rPr>
          <w:noProof/>
        </w:rPr>
        <w:t xml:space="preserve"> a zavedení legislativní úpravy pravidel uplatňovaných po skončení výkonu funkce (tzv. „efekt otáčivých dveří“)</w:t>
      </w:r>
      <w:r>
        <w:rPr>
          <w:rFonts w:cs="Times New Roman"/>
          <w:noProof/>
          <w:vertAlign w:val="superscript"/>
        </w:rPr>
        <w:footnoteReference w:id="137"/>
      </w:r>
      <w:r>
        <w:rPr>
          <w:noProof/>
        </w:rPr>
        <w:t>. Účinnosti nabyly změny zákona o ochraně veřejného zájmu, které stanoví povinnost přiznávat dary nebo jiné výhody a používání movitého nebo nemovitého majetku</w:t>
      </w:r>
      <w:r>
        <w:rPr>
          <w:rFonts w:cs="Times New Roman"/>
          <w:noProof/>
          <w:vertAlign w:val="superscript"/>
        </w:rPr>
        <w:footnoteReference w:id="138"/>
      </w:r>
      <w:r>
        <w:rPr>
          <w:noProof/>
        </w:rPr>
        <w:t>.</w:t>
      </w:r>
    </w:p>
    <w:p>
      <w:pPr>
        <w:rPr>
          <w:rFonts w:cs="Times New Roman"/>
          <w:noProof/>
          <w:szCs w:val="24"/>
        </w:rPr>
      </w:pPr>
      <w:r>
        <w:rPr>
          <w:b/>
          <w:noProof/>
        </w:rPr>
        <w:t>Vláda má v úmyslu vytvořit nový centralizovaný úřad pro monitorování a ověřování majetku, který se bude vztahovat i na činitele zastávající vrcholné výkonné funkce.</w:t>
      </w:r>
      <w:r>
        <w:rPr>
          <w:noProof/>
        </w:rPr>
        <w:t xml:space="preserve"> Úřad vlády se ve spolupráci s parlamentem nachází v první fázi přípravy legislativního návrhu na zřízení jednotného úřadu</w:t>
      </w:r>
      <w:r>
        <w:rPr>
          <w:rFonts w:cs="Times New Roman"/>
          <w:noProof/>
          <w:vertAlign w:val="superscript"/>
        </w:rPr>
        <w:footnoteReference w:id="139"/>
      </w:r>
      <w:r>
        <w:rPr>
          <w:noProof/>
        </w:rPr>
        <w:t>. Systém majetkových přiznání poslanců parlamentu, soudců, prokurátorů, veřejných činitelů a státních zaměstnanců je v současnosti decentralizovaný. Na počátku roku 2021 byly oznámeny značné prodlevy při zveřejňování majetkových přiznání poslanců parlamentu za rok 2019, která měla být zveřejněna v srpnu 2020; důvody souvisely s pandemií COVID-19 a s probíhajícími postupy ukládání pokut za nedodržení předpisů</w:t>
      </w:r>
      <w:r>
        <w:rPr>
          <w:rFonts w:cs="Times New Roman"/>
          <w:noProof/>
          <w:vertAlign w:val="superscript"/>
        </w:rPr>
        <w:footnoteReference w:id="140"/>
      </w:r>
      <w:r>
        <w:rPr>
          <w:noProof/>
        </w:rPr>
        <w:t>.</w:t>
      </w:r>
    </w:p>
    <w:p>
      <w:pPr>
        <w:rPr>
          <w:rFonts w:cs="Times New Roman"/>
          <w:noProof/>
        </w:rPr>
      </w:pPr>
      <w:r>
        <w:rPr>
          <w:b/>
          <w:bCs/>
          <w:noProof/>
        </w:rPr>
        <w:t>Finance politických stran jsou transparentní, avšak dohled nad nimi bylo by možné více posílit.</w:t>
      </w:r>
      <w:r>
        <w:rPr>
          <w:noProof/>
        </w:rPr>
        <w:t xml:space="preserve"> Hlavním zákonem upravujícím financování politických stran na Slovensku je zákon o politických stranách a politických hnutích</w:t>
      </w:r>
      <w:r>
        <w:rPr>
          <w:rFonts w:cs="Times New Roman"/>
          <w:noProof/>
          <w:vertAlign w:val="superscript"/>
        </w:rPr>
        <w:footnoteReference w:id="141"/>
      </w:r>
      <w:r>
        <w:rPr>
          <w:noProof/>
        </w:rPr>
        <w:t>. Dary politickým stranám jsou omezeny na 5 000 EUR v hotovosti za kalendářní rok, přičemž v předvolebních v obdobích takový limit neexistuje. Dary od zahraničních subjektů a anonymních dárců jsou zakázány. V případě nesplnění této povinnosti může Státní komise pro volby a kontrolu financování politických stran uložit pokutu ve výši dvojnásobku příjmu z daného daru nebo bezúplatného plnění. Strany jsou povinny každoročně předkládat státní komisi o svých finančních prostředcích zprávu. Finanční zprávy se zveřejňují. Zprávy kontroluje Národní rada Slovenské republiky a musí v nich být uvedeny finanční informace týkající se volebních kampaní a totožnosti dárců</w:t>
      </w:r>
      <w:r>
        <w:rPr>
          <w:rFonts w:cs="Times New Roman"/>
          <w:noProof/>
          <w:vertAlign w:val="superscript"/>
        </w:rPr>
        <w:footnoteReference w:id="142"/>
      </w:r>
      <w:r>
        <w:rPr>
          <w:noProof/>
        </w:rPr>
        <w:t>. Lidské kapacity orgánů dohledu jsou omezené a byly vyjádřeny obavy ohledně politických nominací v rámci těchto orgánů</w:t>
      </w:r>
      <w:r>
        <w:rPr>
          <w:rFonts w:cs="Times New Roman"/>
          <w:noProof/>
          <w:vertAlign w:val="superscript"/>
        </w:rPr>
        <w:footnoteReference w:id="143"/>
      </w:r>
      <w:r>
        <w:rPr>
          <w:noProof/>
        </w:rPr>
        <w:t>. Zákon, který byl schválen během dvou dnů a který zpřísnil pravidla financování kampaně před volbami v roce 2020 omezením darů</w:t>
      </w:r>
      <w:r>
        <w:rPr>
          <w:rFonts w:cs="Times New Roman"/>
          <w:noProof/>
          <w:vertAlign w:val="superscript"/>
        </w:rPr>
        <w:footnoteReference w:id="144"/>
      </w:r>
      <w:r>
        <w:rPr>
          <w:noProof/>
        </w:rPr>
        <w:t>, ovlivnil zejména nově založené strany, a proto mezi novými stranami, občanskou společností a ve sdělovacích prostředcích vyvolal obavy ohledně spravedlivé soutěže mezi stranami</w:t>
      </w:r>
    </w:p>
    <w:p>
      <w:pPr>
        <w:rPr>
          <w:rFonts w:cs="Times New Roman"/>
          <w:noProof/>
        </w:rPr>
      </w:pPr>
      <w:r>
        <w:rPr>
          <w:b/>
          <w:bCs/>
          <w:noProof/>
        </w:rPr>
        <w:t>Podle prokuratury neměla pandemie COVID-19 na výskyt korupce, odhalování korupce ani na snahy o boj proti korupci na Slovensku údajně žádný konkrétní vliv.</w:t>
      </w:r>
      <w:r>
        <w:rPr>
          <w:noProof/>
        </w:rPr>
        <w:t xml:space="preserve"> Některá soudní řízení byla kvůli pandemii COVID-19 odložena, což přispělo k nárůstu počtu nevyřízených případů</w:t>
      </w:r>
      <w:r>
        <w:rPr>
          <w:rFonts w:cs="Times New Roman"/>
          <w:noProof/>
          <w:vertAlign w:val="superscript"/>
        </w:rPr>
        <w:footnoteReference w:id="145"/>
      </w:r>
      <w:r>
        <w:rPr>
          <w:noProof/>
        </w:rPr>
        <w:t>. Vysoce riziková odvětví, která byla náchylná ke korupci již před pandemií, včetně veřejných zakázek a zdravotnictví, zůstala do značné míry náchylná ke korupci i během pandemie, přičemž v odvětví zdravotnictví se zvýšilo riziko i výskyt systémů dotačních podvodů souvisejících s pandemií</w:t>
      </w:r>
      <w:r>
        <w:rPr>
          <w:rFonts w:cs="Times New Roman"/>
          <w:noProof/>
          <w:vertAlign w:val="superscript"/>
        </w:rPr>
        <w:footnoteReference w:id="146"/>
      </w:r>
      <w:r>
        <w:rPr>
          <w:noProof/>
        </w:rPr>
        <w:t>. V rámci resortního protikorupčního programu Ministerstva zdravotnictví</w:t>
      </w:r>
      <w:r>
        <w:rPr>
          <w:rFonts w:cs="Times New Roman"/>
          <w:noProof/>
          <w:vertAlign w:val="superscript"/>
        </w:rPr>
        <w:footnoteReference w:id="147"/>
      </w:r>
      <w:r>
        <w:rPr>
          <w:noProof/>
        </w:rPr>
        <w:t xml:space="preserve"> byla zřízena zvláštní pracovní skupina pro posuzování korupčních rizik v souvislosti s pandemií COVID-19, která objevila dvě rizikové oblasti týkající se žádostí o úhradu nezpůsobilých nákladů a duplikaci žádostí o proplacení</w:t>
      </w:r>
      <w:r>
        <w:rPr>
          <w:rFonts w:cs="Times New Roman"/>
          <w:noProof/>
          <w:vertAlign w:val="superscript"/>
        </w:rPr>
        <w:footnoteReference w:id="148"/>
      </w:r>
      <w:r>
        <w:rPr>
          <w:noProof/>
        </w:rPr>
        <w:t>. Vláda ve snaze zkrátit dobu potřebnou pro pořízení zboží, služeb a stavebních prací v průběhu pandemie připravila legislativní návrh</w:t>
      </w:r>
      <w:r>
        <w:rPr>
          <w:rFonts w:cs="Times New Roman"/>
          <w:noProof/>
          <w:vertAlign w:val="superscript"/>
        </w:rPr>
        <w:footnoteReference w:id="149"/>
      </w:r>
      <w:r>
        <w:rPr>
          <w:noProof/>
        </w:rPr>
        <w:t xml:space="preserve"> na změnu zákona o veřejných zakázkách. V květnu 2021 byl však tento návrh revidován na základě veřejné petice a kritiky vyloučení Úřadu pro zadávání veřejných zakázek z původně plánovaného procesu přezkumu, což znamenalo vyloučení veřejné kontroly nadlimitních zakázek</w:t>
      </w:r>
      <w:r>
        <w:rPr>
          <w:rFonts w:cs="Times New Roman"/>
          <w:noProof/>
          <w:vertAlign w:val="superscript"/>
        </w:rPr>
        <w:footnoteReference w:id="150"/>
      </w:r>
      <w:r>
        <w:rPr>
          <w:noProof/>
        </w:rPr>
        <w:t>. Podle občanské společnosti tento revidovaný legislativní návrh řeší obavy vyjádřené v petici, což zvyšuje transparentnost a veřejnou kontrolu, a tudíž snižuje korupční rizika</w:t>
      </w:r>
      <w:r>
        <w:rPr>
          <w:rFonts w:cs="Times New Roman"/>
          <w:noProof/>
          <w:vertAlign w:val="superscript"/>
        </w:rPr>
        <w:footnoteReference w:id="151"/>
      </w:r>
      <w:r>
        <w:rPr>
          <w:noProof/>
        </w:rPr>
        <w:t>.</w:t>
      </w:r>
    </w:p>
    <w:p>
      <w:pPr>
        <w:pStyle w:val="Heading1"/>
        <w:rPr>
          <w:noProof/>
        </w:rPr>
      </w:pPr>
      <w:r>
        <w:rPr>
          <w:noProof/>
        </w:rPr>
        <w:t xml:space="preserve">Pluralita a svoboda sdělovacích prostředků </w:t>
      </w:r>
    </w:p>
    <w:p>
      <w:pPr>
        <w:rPr>
          <w:rFonts w:cs="Times New Roman"/>
          <w:noProof/>
          <w:szCs w:val="24"/>
        </w:rPr>
      </w:pPr>
      <w:r>
        <w:rPr>
          <w:noProof/>
        </w:rPr>
        <w:t>Slovenská ústava zaručuje právo vyjadřovat názory slovem, tiskem, obrazem nebo jinými způsoby a také právo vyhledávat, přijímat a šířit myšlenky a informace i právo na přístup k informacím. Právo na přístup k informacím je právně vyjádřeno v zákoně o svobodě informací</w:t>
      </w:r>
      <w:r>
        <w:rPr>
          <w:rFonts w:cs="Times New Roman"/>
          <w:noProof/>
          <w:vertAlign w:val="superscript"/>
        </w:rPr>
        <w:footnoteReference w:id="152"/>
      </w:r>
      <w:r>
        <w:rPr>
          <w:noProof/>
        </w:rPr>
        <w:t>. Zákon o vysílání a retransmisi</w:t>
      </w:r>
      <w:r>
        <w:rPr>
          <w:rFonts w:cs="Times New Roman"/>
          <w:noProof/>
          <w:vertAlign w:val="superscript"/>
        </w:rPr>
        <w:footnoteReference w:id="153"/>
      </w:r>
      <w:r>
        <w:rPr>
          <w:noProof/>
        </w:rPr>
        <w:t xml:space="preserve"> má za cíl zajistit pluralitu informací a tiskový zákon</w:t>
      </w:r>
      <w:r>
        <w:rPr>
          <w:rFonts w:cs="Times New Roman"/>
          <w:noProof/>
          <w:vertAlign w:val="superscript"/>
        </w:rPr>
        <w:footnoteReference w:id="154"/>
      </w:r>
      <w:r>
        <w:rPr>
          <w:noProof/>
        </w:rPr>
        <w:t xml:space="preserve"> stanoví pravidla související s tiskem a novináři</w:t>
      </w:r>
      <w:r>
        <w:rPr>
          <w:rStyle w:val="FootnoteReference"/>
          <w:rFonts w:cs="Times New Roman"/>
          <w:noProof/>
        </w:rPr>
        <w:footnoteReference w:id="155"/>
      </w:r>
      <w:r>
        <w:rPr>
          <w:noProof/>
        </w:rPr>
        <w:t>. Dosud nebyla schválena legislativa, která by uváděla zákon o vysílání a retransmisi do souladu se směrnicí o audiovizuálních mediálních službách</w:t>
      </w:r>
      <w:r>
        <w:rPr>
          <w:rStyle w:val="FootnoteReference"/>
          <w:rFonts w:cs="Times New Roman"/>
          <w:noProof/>
        </w:rPr>
        <w:footnoteReference w:id="156"/>
      </w:r>
      <w:r>
        <w:rPr>
          <w:noProof/>
        </w:rPr>
        <w:t xml:space="preserve">. </w:t>
      </w:r>
    </w:p>
    <w:p>
      <w:pPr>
        <w:rPr>
          <w:rFonts w:cs="Times New Roman"/>
          <w:noProof/>
          <w:szCs w:val="24"/>
        </w:rPr>
      </w:pPr>
      <w:r>
        <w:rPr>
          <w:b/>
          <w:noProof/>
          <w:szCs w:val="24"/>
        </w:rPr>
        <w:t>Rada pro vysílání a retransmisi funguje nezávisle</w:t>
      </w:r>
      <w:r>
        <w:rPr>
          <w:rStyle w:val="FootnoteReference"/>
          <w:rFonts w:cs="Times New Roman"/>
          <w:b/>
          <w:noProof/>
          <w:szCs w:val="24"/>
        </w:rPr>
        <w:footnoteReference w:id="157"/>
      </w:r>
      <w:r>
        <w:rPr>
          <w:b/>
          <w:noProof/>
          <w:szCs w:val="24"/>
        </w:rPr>
        <w:t xml:space="preserve">. </w:t>
      </w:r>
      <w:r>
        <w:rPr>
          <w:noProof/>
        </w:rPr>
        <w:t>Vzhledem k tomu, že Rada pro vysílání a retransmisi má svůj vlastní rozpočet, jsou přidělené zdroje z hlediska plnění jejích úkolů považovány za přiměřené</w:t>
      </w:r>
      <w:r>
        <w:rPr>
          <w:rFonts w:cs="Times New Roman"/>
          <w:noProof/>
          <w:szCs w:val="24"/>
          <w:vertAlign w:val="superscript"/>
        </w:rPr>
        <w:footnoteReference w:id="158"/>
      </w:r>
      <w:r>
        <w:rPr>
          <w:noProof/>
        </w:rPr>
        <w:t xml:space="preserve"> a pravidla pro jmenování a odvolávání členů rady jsou jasně stanovena zákonem</w:t>
      </w:r>
      <w:r>
        <w:rPr>
          <w:rFonts w:cs="Times New Roman"/>
          <w:noProof/>
          <w:szCs w:val="24"/>
          <w:vertAlign w:val="superscript"/>
        </w:rPr>
        <w:footnoteReference w:id="159"/>
      </w:r>
      <w:r>
        <w:rPr>
          <w:noProof/>
        </w:rPr>
        <w:t>; monitor plurality sdělovacích prostředků 2021</w:t>
      </w:r>
      <w:r>
        <w:rPr>
          <w:rFonts w:cs="Times New Roman"/>
          <w:noProof/>
          <w:szCs w:val="24"/>
          <w:vertAlign w:val="superscript"/>
        </w:rPr>
        <w:footnoteReference w:id="160"/>
      </w:r>
      <w:r>
        <w:rPr>
          <w:noProof/>
        </w:rPr>
        <w:t xml:space="preserve"> potvrzuje, že nezávislost rady je celkově zaručena, přestože občasné politické nominace zůstávají i nadále problematické. </w:t>
      </w:r>
    </w:p>
    <w:p>
      <w:pPr>
        <w:rPr>
          <w:rFonts w:cs="Times New Roman"/>
          <w:noProof/>
        </w:rPr>
      </w:pPr>
      <w:r>
        <w:rPr>
          <w:b/>
          <w:bCs/>
          <w:noProof/>
        </w:rPr>
        <w:t>Očekává se, že změna zákona o vysílání a retransmisi zavede rámec pro zajištění transparentnosti vlastnictví sdělovacích prostředků.</w:t>
      </w:r>
      <w:r>
        <w:rPr>
          <w:noProof/>
        </w:rPr>
        <w:t xml:space="preserve"> Přestože se očekává, že tato změna, jejíž přijetí je naplánováno do konce roku 2021</w:t>
      </w:r>
      <w:r>
        <w:rPr>
          <w:rStyle w:val="FootnoteReference"/>
          <w:rFonts w:cs="Times New Roman"/>
          <w:noProof/>
        </w:rPr>
        <w:footnoteReference w:id="161"/>
      </w:r>
      <w:r>
        <w:rPr>
          <w:noProof/>
        </w:rPr>
        <w:t>, zavede ustanovení o transparentnosti vlastnické struktury a skutečného vlastnictví v souladu se směrnicí o audiovizuálních mediálních službách, monitor plurality sdělovacích prostředků 2021opět</w:t>
      </w:r>
      <w:r>
        <w:rPr>
          <w:rStyle w:val="FootnoteReference"/>
          <w:rFonts w:cs="Times New Roman"/>
          <w:noProof/>
        </w:rPr>
        <w:footnoteReference w:id="162"/>
      </w:r>
      <w:r>
        <w:rPr>
          <w:noProof/>
        </w:rPr>
        <w:t xml:space="preserve"> uvádí, že vzhledem k chybějící regulaci zůstává tato oblast i nadále vysoce riziková</w:t>
      </w:r>
      <w:r>
        <w:rPr>
          <w:rStyle w:val="FootnoteReference"/>
          <w:noProof/>
        </w:rPr>
        <w:t xml:space="preserve"> </w:t>
      </w:r>
      <w:r>
        <w:rPr>
          <w:rStyle w:val="FootnoteReference"/>
          <w:rFonts w:cs="Times New Roman"/>
          <w:noProof/>
        </w:rPr>
        <w:footnoteReference w:id="163"/>
      </w:r>
      <w:r>
        <w:rPr>
          <w:noProof/>
        </w:rPr>
        <w:t>. Zákon o vysílání a retransmisi obsahuje stropy a limity, jejichž cílem je zabránit vysoké míře horizontální koncentrace vlastnictví na televizním a rozhlasovém trhu. Současnou situaci je však obtížné posoudit vzhledem k nedostatku údajů o příjmech a podílech posluchačů na trhu</w:t>
      </w:r>
      <w:r>
        <w:rPr>
          <w:rStyle w:val="FootnoteReference"/>
          <w:noProof/>
        </w:rPr>
        <w:footnoteReference w:id="164"/>
      </w:r>
      <w:r>
        <w:rPr>
          <w:noProof/>
        </w:rPr>
        <w:t>.</w:t>
      </w:r>
    </w:p>
    <w:p>
      <w:pPr>
        <w:rPr>
          <w:rFonts w:eastAsia="Calibri"/>
          <w:noProof/>
          <w:szCs w:val="24"/>
        </w:rPr>
      </w:pPr>
      <w:r>
        <w:rPr>
          <w:b/>
          <w:bCs/>
          <w:noProof/>
        </w:rPr>
        <w:t xml:space="preserve">Byla odsouzena řada osob zapojených do vraždy novináře Jána Kuciaka a jeho snoubenky Martiny Kušnírové v roce 2018. </w:t>
      </w:r>
      <w:r>
        <w:rPr>
          <w:noProof/>
        </w:rPr>
        <w:t>Specializovaný trestní soud uznal vinnými a odsoudil tři osoby k trestu odnětí svobody v rozmezí 15 až 25 let. V jednom případě se obžalovaná osoba proti rozsudku odvolala. Prokurátor podal proti prvostupňovým rozsudkům o osvobození údajných objednatelů vraždy odvolání</w:t>
      </w:r>
      <w:r>
        <w:rPr>
          <w:rStyle w:val="FootnoteReference"/>
          <w:rFonts w:cs="Times New Roman"/>
          <w:noProof/>
        </w:rPr>
        <w:footnoteReference w:id="165"/>
      </w:r>
      <w:r>
        <w:rPr>
          <w:noProof/>
        </w:rPr>
        <w:t>. Dne 15. června 2021 Nejvyšší soud prvostupňové osvobozující rozsudky Specializovaného trestního soudu zrušil a vrátil daný případ tomuto soudu. Nejvyšší soud zároveň potvrdil trest odnětí svobody 25 let vyměřený dalšímu z obžalovaných</w:t>
      </w:r>
      <w:r>
        <w:rPr>
          <w:rStyle w:val="FootnoteReference"/>
          <w:rFonts w:eastAsia="Times New Roman" w:cs="Times New Roman"/>
          <w:noProof/>
          <w:lang w:eastAsia="fr-FR"/>
        </w:rPr>
        <w:footnoteReference w:id="166"/>
      </w:r>
      <w:r>
        <w:rPr>
          <w:noProof/>
        </w:rPr>
        <w:t>.</w:t>
      </w:r>
    </w:p>
    <w:p>
      <w:pPr>
        <w:rPr>
          <w:noProof/>
        </w:rPr>
      </w:pPr>
      <w:r>
        <w:rPr>
          <w:b/>
          <w:bCs/>
          <w:noProof/>
        </w:rPr>
        <w:t xml:space="preserve">Byly hlášeny slovní útoky vládních i opozičních politiků na novináře a na sdělovací prostředky. </w:t>
      </w:r>
      <w:r>
        <w:rPr>
          <w:noProof/>
        </w:rPr>
        <w:t>Novináři byli během pandemie COVID-19 obviňováni ze zákeřnosti a z podkopávání práce vlády.</w:t>
      </w:r>
      <w:r>
        <w:rPr>
          <w:b/>
          <w:bCs/>
          <w:noProof/>
        </w:rPr>
        <w:t xml:space="preserve"> </w:t>
      </w:r>
      <w:r>
        <w:rPr>
          <w:noProof/>
        </w:rPr>
        <w:t>Od září 2020 zveřejnila Platforma Rady Evropy na podporu ochrany žurnalistiky a bezpečnosti novinářů jedno upozornění pro Slovensko</w:t>
      </w:r>
      <w:r>
        <w:rPr>
          <w:rFonts w:cs="Times New Roman"/>
          <w:noProof/>
          <w:vertAlign w:val="superscript"/>
        </w:rPr>
        <w:footnoteReference w:id="167"/>
      </w:r>
      <w:r>
        <w:rPr>
          <w:noProof/>
        </w:rPr>
        <w:t>, které se týkalo sledování novináře neidentifikovanými osobami</w:t>
      </w:r>
      <w:r>
        <w:rPr>
          <w:rStyle w:val="FootnoteReference"/>
          <w:rFonts w:cs="Times New Roman"/>
          <w:noProof/>
        </w:rPr>
        <w:footnoteReference w:id="168"/>
      </w:r>
      <w:r>
        <w:rPr>
          <w:noProof/>
        </w:rPr>
        <w:t>. Navržená legislativa, která měla posílit ochranu novinářů, byla kvůli pandemii COVID-19 odložena</w:t>
      </w:r>
      <w:r>
        <w:rPr>
          <w:rStyle w:val="FootnoteReference"/>
          <w:rFonts w:cs="Times New Roman"/>
          <w:noProof/>
        </w:rPr>
        <w:footnoteReference w:id="169"/>
      </w:r>
      <w:r>
        <w:rPr>
          <w:noProof/>
        </w:rPr>
        <w:t>. Tyto návrhy zahrnují definici postavení novinářů, ochranu novinářských zdrojů a lepší přístup k informacím. Vláda navíc připravuje změny současných přísných slovenských zákonů o trestném činu pomluvy s cílem poskytnout novinářům záruky. Nebyl zaveden žádný režim podpory sdělovacích prostředků, který by zmírňoval dopad pandemie COVID-19</w:t>
      </w:r>
      <w:r>
        <w:rPr>
          <w:rStyle w:val="FootnoteReference"/>
          <w:rFonts w:cs="Times New Roman"/>
          <w:noProof/>
        </w:rPr>
        <w:footnoteReference w:id="170"/>
      </w:r>
      <w:r>
        <w:rPr>
          <w:noProof/>
        </w:rPr>
        <w:t xml:space="preserve">. </w:t>
      </w:r>
    </w:p>
    <w:p>
      <w:pPr>
        <w:pStyle w:val="Heading1"/>
        <w:rPr>
          <w:noProof/>
        </w:rPr>
      </w:pPr>
      <w:r>
        <w:rPr>
          <w:noProof/>
        </w:rPr>
        <w:t>Další institucionální otázky týkající se systému brzd a protivah</w:t>
      </w:r>
    </w:p>
    <w:p>
      <w:pPr>
        <w:rPr>
          <w:rFonts w:cs="Times New Roman"/>
          <w:noProof/>
          <w:szCs w:val="24"/>
        </w:rPr>
      </w:pPr>
      <w:r>
        <w:rPr>
          <w:noProof/>
        </w:rPr>
        <w:t>Slovensko je parlamentní republika, jejímž jediným ústavodárným a zákonodárným orgánem je Národní rada (parlament)</w:t>
      </w:r>
      <w:r>
        <w:rPr>
          <w:rFonts w:cs="Times New Roman"/>
          <w:noProof/>
          <w:szCs w:val="24"/>
          <w:vertAlign w:val="superscript"/>
        </w:rPr>
        <w:footnoteReference w:id="171"/>
      </w:r>
      <w:r>
        <w:rPr>
          <w:noProof/>
        </w:rPr>
        <w:t>. Návrh zákona mohou podat výbory parlamentu, jednotliví poslanci parlamentu a vláda</w:t>
      </w:r>
      <w:r>
        <w:rPr>
          <w:rFonts w:cs="Times New Roman"/>
          <w:noProof/>
          <w:szCs w:val="24"/>
          <w:vertAlign w:val="superscript"/>
        </w:rPr>
        <w:footnoteReference w:id="172"/>
      </w:r>
      <w:r>
        <w:rPr>
          <w:noProof/>
        </w:rPr>
        <w:t xml:space="preserve">. Ústavní soud rozhoduje o souladu zákonů s ústavou, ústavními zákony a mezinárodními smlouvami a zajišťuje respektování základních a ústavních práv. Při ochraně základních práv svou roli hrají i nezávislé orgány. </w:t>
      </w:r>
    </w:p>
    <w:p>
      <w:pPr>
        <w:rPr>
          <w:rFonts w:eastAsia="Times New Roman" w:cs="Times New Roman"/>
          <w:noProof/>
          <w:szCs w:val="20"/>
        </w:rPr>
      </w:pPr>
      <w:r>
        <w:rPr>
          <w:b/>
          <w:bCs/>
          <w:noProof/>
        </w:rPr>
        <w:t xml:space="preserve">Byly vyjádřeny obavy ohledně inkluzivnosti procesu tvorby právních předpisů. </w:t>
      </w:r>
      <w:r>
        <w:rPr>
          <w:noProof/>
        </w:rPr>
        <w:t>Nedávná ústavní reforma (viz oddíl I) byla oznámena v programovém prohlášení vlády z dubna 2020 a po její prezentaci několika zúčastněným stranám</w:t>
      </w:r>
      <w:r>
        <w:rPr>
          <w:rStyle w:val="FootnoteReference"/>
          <w:rFonts w:eastAsia="Times New Roman" w:cs="Times New Roman"/>
          <w:noProof/>
          <w:lang w:eastAsia="fr-FR"/>
        </w:rPr>
        <w:footnoteReference w:id="173"/>
      </w:r>
      <w:r>
        <w:rPr>
          <w:noProof/>
        </w:rPr>
        <w:t xml:space="preserve"> a písemné veřejné konzultaci v červenci 2020 byla počátkem října 2020 předložena parlamentu a schválena v prosinci 2020. Zúčastněné strany vyjádřily znepokojení nad tím, že o hlavních rysech reformy neproběhla široká a informovaná diskuse a že s ohledem na rozsah a význam reformy neproběhly dostatečné konzultace s Benátskou komisí</w:t>
      </w:r>
      <w:r>
        <w:rPr>
          <w:rStyle w:val="FootnoteReference"/>
          <w:rFonts w:eastAsia="Times New Roman" w:cs="Times New Roman"/>
          <w:noProof/>
          <w:lang w:eastAsia="fr-FR"/>
        </w:rPr>
        <w:footnoteReference w:id="174"/>
      </w:r>
      <w:r>
        <w:rPr>
          <w:noProof/>
        </w:rPr>
        <w:t>. Zúčastněné strany zdůraznily význam toho, aby byly změny ústavy provedeny až po otevřené a dobře načasované veřejné diskusi, do níž budou zapojeny zúčastněné strany a občanská společnost v souladu s evropskými normami</w:t>
      </w:r>
      <w:r>
        <w:rPr>
          <w:rStyle w:val="FootnoteReference"/>
          <w:rFonts w:eastAsia="Times New Roman" w:cs="Times New Roman"/>
          <w:noProof/>
          <w:lang w:eastAsia="fr-FR"/>
        </w:rPr>
        <w:footnoteReference w:id="175"/>
      </w:r>
      <w:r>
        <w:rPr>
          <w:noProof/>
        </w:rPr>
        <w:t>. Zúčastněné strany vyjádřily znepokojení rovněž v souvislosti s tím, že nebyly dostatečně zapojeny do dalších legislativních postupů</w:t>
      </w:r>
      <w:r>
        <w:rPr>
          <w:rStyle w:val="FootnoteReference"/>
          <w:rFonts w:eastAsia="Times New Roman" w:cs="Times New Roman"/>
          <w:noProof/>
          <w:lang w:eastAsia="fr-FR"/>
        </w:rPr>
        <w:footnoteReference w:id="176"/>
      </w:r>
      <w:r>
        <w:rPr>
          <w:noProof/>
        </w:rPr>
        <w:t>, a s používáním zrychlených postupů v parlamentu i v případě právních předpisů, které nesouvisely výlučně s pandemií</w:t>
      </w:r>
      <w:r>
        <w:rPr>
          <w:rStyle w:val="FootnoteReference"/>
          <w:rFonts w:eastAsia="Times New Roman" w:cs="Times New Roman"/>
          <w:noProof/>
          <w:lang w:eastAsia="fr-FR"/>
        </w:rPr>
        <w:footnoteReference w:id="177"/>
      </w:r>
      <w:r>
        <w:rPr>
          <w:noProof/>
        </w:rPr>
        <w:t xml:space="preserve">. </w:t>
      </w:r>
    </w:p>
    <w:p>
      <w:pPr>
        <w:rPr>
          <w:b/>
          <w:bCs/>
          <w:noProof/>
        </w:rPr>
      </w:pPr>
      <w:r>
        <w:rPr>
          <w:b/>
          <w:bCs/>
          <w:noProof/>
        </w:rPr>
        <w:t>Plány na zlepšení zákonodárného procesu a posílení transparentnosti, efektivity a odpovědnosti veřejné správy oznámené v roce 2020 nebyly dosud realizovány</w:t>
      </w:r>
      <w:r>
        <w:rPr>
          <w:rStyle w:val="FootnoteReference"/>
          <w:b/>
          <w:bCs/>
          <w:noProof/>
        </w:rPr>
        <w:footnoteReference w:id="178"/>
      </w:r>
      <w:r>
        <w:rPr>
          <w:b/>
          <w:bCs/>
          <w:noProof/>
        </w:rPr>
        <w:t xml:space="preserve">. </w:t>
      </w:r>
      <w:r>
        <w:rPr>
          <w:noProof/>
        </w:rPr>
        <w:t>Nová vláda, která je ve funkci od dubna 2021, zahrnula do svého programového prohlášení závazky předchozí vlády</w:t>
      </w:r>
      <w:r>
        <w:rPr>
          <w:rStyle w:val="FootnoteReference"/>
          <w:noProof/>
        </w:rPr>
        <w:footnoteReference w:id="179"/>
      </w:r>
      <w:r>
        <w:rPr>
          <w:noProof/>
        </w:rPr>
        <w:t>, které zahrnovaly zlepšení procesu přípravy a schvalování právních předpisů, posilování transparentnosti, efektivity a odpovědnosti veřejné správy a rozšíření přístupu k informacím a principu otevřeného vládnutí. Převzala rovněž závazek posílit pravomoci Nejvyššího kontrolního úřadu</w:t>
      </w:r>
      <w:r>
        <w:rPr>
          <w:rStyle w:val="FootnoteReference"/>
          <w:noProof/>
        </w:rPr>
        <w:footnoteReference w:id="180"/>
      </w:r>
      <w:r>
        <w:rPr>
          <w:noProof/>
        </w:rPr>
        <w:t>. Návrhy v tomto ohledu dosud nebyly předloženy a nebyly ani zahájeny konzultace se zúčastněnými stranami. Vláda připravuje pouze změnu zákona o svobodném přístupu k informacím</w:t>
      </w:r>
      <w:r>
        <w:rPr>
          <w:rStyle w:val="FootnoteReference"/>
          <w:noProof/>
        </w:rPr>
        <w:footnoteReference w:id="181"/>
      </w:r>
      <w:r>
        <w:rPr>
          <w:noProof/>
        </w:rPr>
        <w:t xml:space="preserve">. </w:t>
      </w:r>
    </w:p>
    <w:p>
      <w:pPr>
        <w:rPr>
          <w:rFonts w:eastAsia="Times New Roman" w:cs="Times New Roman"/>
          <w:noProof/>
          <w:szCs w:val="20"/>
        </w:rPr>
      </w:pPr>
      <w:r>
        <w:rPr>
          <w:b/>
          <w:bCs/>
          <w:noProof/>
        </w:rPr>
        <w:t>Ústavní reforma výslovně stanoví, že Ústavní soud nemá pravomoc přezkoumávat ústavní zákony</w:t>
      </w:r>
      <w:r>
        <w:rPr>
          <w:noProof/>
        </w:rPr>
        <w:t>. V minulosti si Ústavní soud udělil pravomoc posuzovat ústavnost ústavních zákonů, kterou jednou využil na ochranu nezávislosti soudnictví</w:t>
      </w:r>
      <w:r>
        <w:rPr>
          <w:rStyle w:val="FootnoteReference"/>
          <w:rFonts w:eastAsia="Times New Roman" w:cs="Times New Roman"/>
          <w:noProof/>
          <w:lang w:eastAsia="fr-FR"/>
        </w:rPr>
        <w:footnoteReference w:id="182"/>
      </w:r>
      <w:r>
        <w:rPr>
          <w:noProof/>
        </w:rPr>
        <w:t>. Nedávná ústavní reforma (viz oddíl I) pozměnila znění ústavy tak, že Ústavnímu soudu přezkoumávat ústavnost takovýchto zákonů výslovně zakazuje. Zúčastněné strany tuto změnu kritizovaly</w:t>
      </w:r>
      <w:r>
        <w:rPr>
          <w:rStyle w:val="FootnoteReference"/>
          <w:rFonts w:eastAsia="Times New Roman" w:cs="Times New Roman"/>
          <w:noProof/>
          <w:lang w:eastAsia="fr-FR"/>
        </w:rPr>
        <w:footnoteReference w:id="183"/>
      </w:r>
      <w:r>
        <w:rPr>
          <w:noProof/>
        </w:rPr>
        <w:t>. Ústavnost této změny byla napadena u Ústavního soudu, avšak ten v dané věci ještě nerozhodl</w:t>
      </w:r>
      <w:r>
        <w:rPr>
          <w:rStyle w:val="FootnoteReference"/>
          <w:rFonts w:eastAsia="Times New Roman" w:cs="Times New Roman"/>
          <w:noProof/>
          <w:lang w:eastAsia="fr-FR"/>
        </w:rPr>
        <w:footnoteReference w:id="184"/>
      </w:r>
      <w:r>
        <w:rPr>
          <w:noProof/>
        </w:rPr>
        <w:t xml:space="preserve">. </w:t>
      </w:r>
    </w:p>
    <w:p>
      <w:pPr>
        <w:rPr>
          <w:rFonts w:eastAsia="Times New Roman" w:cs="Times New Roman"/>
          <w:noProof/>
        </w:rPr>
      </w:pPr>
      <w:r>
        <w:rPr>
          <w:b/>
          <w:bCs/>
          <w:noProof/>
        </w:rPr>
        <w:t>Parlament změnil legislativu týkající se nouzového stavu tak, aby ho bylo možné prodloužit i po uplynutí 90 dnů</w:t>
      </w:r>
      <w:r>
        <w:rPr>
          <w:noProof/>
        </w:rPr>
        <w:t>. V době nouzového stavu pokračoval parlament ve své činnosti bez výraznějších narušení</w:t>
      </w:r>
      <w:r>
        <w:rPr>
          <w:rStyle w:val="FootnoteReference"/>
          <w:rFonts w:eastAsia="Times New Roman" w:cs="Times New Roman"/>
          <w:noProof/>
          <w:lang w:eastAsia="fr-FR"/>
        </w:rPr>
        <w:footnoteReference w:id="185"/>
      </w:r>
      <w:r>
        <w:rPr>
          <w:noProof/>
        </w:rPr>
        <w:t>. Nouzový stav umožňuje vládě přijímat nařízení, která omezují určitá práva a svobody, jako je například svoboda pohybu</w:t>
      </w:r>
      <w:r>
        <w:rPr>
          <w:rStyle w:val="FootnoteReference"/>
          <w:rFonts w:eastAsia="Times New Roman" w:cs="Times New Roman"/>
          <w:noProof/>
          <w:lang w:eastAsia="fr-FR"/>
        </w:rPr>
        <w:footnoteReference w:id="186"/>
      </w:r>
      <w:r>
        <w:rPr>
          <w:noProof/>
        </w:rPr>
        <w:t>. Vláda může vyhlásit nouzový stav nejvýše na 90 dnů za podmínek stanovených ústavním zákonem</w:t>
      </w:r>
      <w:r>
        <w:rPr>
          <w:rStyle w:val="FootnoteReference"/>
          <w:rFonts w:eastAsia="Times New Roman" w:cs="Times New Roman"/>
          <w:noProof/>
          <w:lang w:eastAsia="fr-FR"/>
        </w:rPr>
        <w:footnoteReference w:id="187"/>
      </w:r>
      <w:r>
        <w:rPr>
          <w:noProof/>
        </w:rPr>
        <w:t>. Po skončení nouzového stavu, který platil od 16. března 2020 do 13. června 2020</w:t>
      </w:r>
      <w:r>
        <w:rPr>
          <w:rStyle w:val="FootnoteReference"/>
          <w:rFonts w:eastAsia="Times New Roman" w:cs="Times New Roman"/>
          <w:noProof/>
          <w:lang w:eastAsia="fr-FR"/>
        </w:rPr>
        <w:footnoteReference w:id="188"/>
      </w:r>
      <w:r>
        <w:rPr>
          <w:noProof/>
        </w:rPr>
        <w:t>, vyhlásila vláda od 1. října 2020 nový nouzový stav. V prosinci 2020 parlament změnil příslušnou legislativu, aby vládě umožnil nouzový stav opakovaně prodlužovat o 40 dnů za podmínky, že parlament toto prodloužení musí následně schválit</w:t>
      </w:r>
      <w:r>
        <w:rPr>
          <w:rStyle w:val="FootnoteReference"/>
          <w:rFonts w:eastAsia="Times New Roman" w:cs="Times New Roman"/>
          <w:noProof/>
          <w:lang w:eastAsia="fr-FR"/>
        </w:rPr>
        <w:footnoteReference w:id="189"/>
      </w:r>
      <w:r>
        <w:rPr>
          <w:noProof/>
        </w:rPr>
        <w:t>. Nouzový stav skončil dne 15. května 2021. Ústavní soud má pravomoc přezkoumávat ústavnost vyhlášení a prodloužení nouzového stavu</w:t>
      </w:r>
      <w:r>
        <w:rPr>
          <w:rStyle w:val="FootnoteReference"/>
          <w:rFonts w:eastAsia="Times New Roman" w:cs="Times New Roman"/>
          <w:noProof/>
          <w:lang w:eastAsia="fr-FR"/>
        </w:rPr>
        <w:footnoteReference w:id="190"/>
      </w:r>
      <w:r>
        <w:rPr>
          <w:noProof/>
        </w:rPr>
        <w:t>. Zúčastněné strany však konstatovaly, že lhůty na takový přezkum jsou krátké</w:t>
      </w:r>
      <w:r>
        <w:rPr>
          <w:rStyle w:val="FootnoteReference"/>
          <w:rFonts w:eastAsia="Times New Roman" w:cs="Times New Roman"/>
          <w:noProof/>
          <w:lang w:eastAsia="fr-FR"/>
        </w:rPr>
        <w:footnoteReference w:id="191"/>
      </w:r>
      <w:r>
        <w:rPr>
          <w:noProof/>
        </w:rPr>
        <w:t>. Ústavnímu soudu byla předložena žádost o posouzení ústavnosti vyhlášení nouzového stavu a jednoho z jeho prodloužení; v obou případech Ústavní soud potvrdil soulad s příslušnou legislativou</w:t>
      </w:r>
      <w:r>
        <w:rPr>
          <w:rStyle w:val="FootnoteReference"/>
          <w:rFonts w:eastAsia="Times New Roman" w:cs="Times New Roman"/>
          <w:noProof/>
          <w:lang w:eastAsia="fr-FR"/>
        </w:rPr>
        <w:footnoteReference w:id="192"/>
      </w:r>
      <w:r>
        <w:rPr>
          <w:noProof/>
        </w:rPr>
        <w:t>. Ústavní soud rovněž přezkoumal několik opatření přijatých v souvislosti s pandemií a vyjasnil otázky týkající se pravomoci obecných soudů o těchto opatřeních rozhodovat. Po následných legislativních změnách</w:t>
      </w:r>
      <w:r>
        <w:rPr>
          <w:rStyle w:val="FootnoteReference"/>
          <w:rFonts w:eastAsia="Times New Roman" w:cs="Times New Roman"/>
          <w:noProof/>
          <w:lang w:eastAsia="fr-FR"/>
        </w:rPr>
        <w:footnoteReference w:id="193"/>
      </w:r>
      <w:r>
        <w:rPr>
          <w:noProof/>
        </w:rPr>
        <w:t xml:space="preserve"> však byly vyjádřeny obavy, že právo na soudní přezkum některých opatření nemusí být dostatečně zaručeno</w:t>
      </w:r>
      <w:r>
        <w:rPr>
          <w:rStyle w:val="FootnoteReference"/>
          <w:rFonts w:eastAsia="Times New Roman" w:cs="Times New Roman"/>
          <w:noProof/>
          <w:lang w:eastAsia="fr-FR"/>
        </w:rPr>
        <w:footnoteReference w:id="194"/>
      </w:r>
      <w:r>
        <w:rPr>
          <w:noProof/>
        </w:rPr>
        <w:t xml:space="preserve">. </w:t>
      </w:r>
    </w:p>
    <w:p>
      <w:pPr>
        <w:rPr>
          <w:rFonts w:eastAsia="Times New Roman" w:cs="Times New Roman"/>
          <w:noProof/>
        </w:rPr>
      </w:pPr>
      <w:r>
        <w:rPr>
          <w:b/>
          <w:bCs/>
          <w:noProof/>
        </w:rPr>
        <w:t xml:space="preserve">Během pandemie hrály aktivní úlohu při ochraně práv občanů veřejná ochránkyně práv a Národní středisko pro lidská práva. </w:t>
      </w:r>
      <w:r>
        <w:rPr>
          <w:noProof/>
        </w:rPr>
        <w:t>Veřejný ochránce práv je nezávislý orgán pověřený ochranou základních práv a svobod v řízeních před orgány veřejné správy a jinými orgány veřejné moci a Národní středisko pro lidská práva je na Slovensku kompetentní národní institucí pro lidská práva a také orgánem pro rovné zacházení</w:t>
      </w:r>
      <w:r>
        <w:rPr>
          <w:rStyle w:val="FootnoteReference"/>
          <w:rFonts w:eastAsia="Times New Roman" w:cs="Times New Roman"/>
          <w:noProof/>
          <w:lang w:eastAsia="fr-FR"/>
        </w:rPr>
        <w:footnoteReference w:id="195"/>
      </w:r>
      <w:r>
        <w:rPr>
          <w:noProof/>
        </w:rPr>
        <w:t>. Během pandemie COVID-19 zaznamenala veřejná ochránkyně práv nárůst počtu stížností téměř o 50 % i nárůst počtu žádostí veřejnosti o pokyny týkající se opatření v souvislosti s pandemií</w:t>
      </w:r>
      <w:r>
        <w:rPr>
          <w:rStyle w:val="FootnoteReference"/>
          <w:rFonts w:eastAsia="Times New Roman" w:cs="Times New Roman"/>
          <w:noProof/>
          <w:lang w:eastAsia="fr-FR"/>
        </w:rPr>
        <w:footnoteReference w:id="196"/>
      </w:r>
      <w:r>
        <w:rPr>
          <w:noProof/>
        </w:rPr>
        <w:t>. Pracovní zátěž Národního střediska pro lidská práva byla srovnatelná s pracovní zátěží v uplynulých letech, ale obsah stížností se změnil, přičemž většina se týkala opatření v souvislosti s pandemií</w:t>
      </w:r>
      <w:r>
        <w:rPr>
          <w:rStyle w:val="FootnoteReference"/>
          <w:rFonts w:eastAsia="Times New Roman" w:cs="Times New Roman"/>
          <w:noProof/>
          <w:lang w:eastAsia="fr-FR"/>
        </w:rPr>
        <w:footnoteReference w:id="197"/>
      </w:r>
      <w:r>
        <w:rPr>
          <w:noProof/>
        </w:rPr>
        <w:t>. Instituce konstatovaly, že došlo k porušení v několika oblastech, jako například v případě státem nařízené karantény osob po návratu ze zahraničí, izolace některých romských osad jako celku a omezení přístupu ke zdravotní péči a práva na vzdělání</w:t>
      </w:r>
      <w:r>
        <w:rPr>
          <w:rStyle w:val="FootnoteReference"/>
          <w:rFonts w:eastAsia="Times New Roman" w:cs="Times New Roman"/>
          <w:noProof/>
          <w:lang w:eastAsia="fr-FR"/>
        </w:rPr>
        <w:footnoteReference w:id="198"/>
      </w:r>
      <w:r>
        <w:rPr>
          <w:noProof/>
        </w:rPr>
        <w:t xml:space="preserve">. </w:t>
      </w:r>
    </w:p>
    <w:p>
      <w:pPr>
        <w:rPr>
          <w:rFonts w:eastAsia="Times New Roman" w:cs="Times New Roman"/>
          <w:b/>
          <w:bCs/>
          <w:noProof/>
        </w:rPr>
      </w:pPr>
      <w:r>
        <w:rPr>
          <w:b/>
          <w:bCs/>
          <w:noProof/>
        </w:rPr>
        <w:t>Právní rámec podporující organizace občanské společnosti zůstává v platnosti i nadále, byly však vyjádřeny obavy v souvislosti s omezováním financování některých nevládních organizací</w:t>
      </w:r>
      <w:r>
        <w:rPr>
          <w:b/>
          <w:bCs/>
          <w:noProof/>
          <w:vertAlign w:val="superscript"/>
        </w:rPr>
        <w:t xml:space="preserve"> </w:t>
      </w:r>
      <w:r>
        <w:rPr>
          <w:rStyle w:val="FootnoteReference"/>
          <w:rFonts w:eastAsia="Times New Roman" w:cs="Times New Roman"/>
          <w:b/>
          <w:bCs/>
          <w:noProof/>
          <w:lang w:eastAsia="fr-FR"/>
        </w:rPr>
        <w:footnoteReference w:id="199"/>
      </w:r>
      <w:r>
        <w:rPr>
          <w:b/>
          <w:bCs/>
          <w:noProof/>
        </w:rPr>
        <w:t xml:space="preserve">. </w:t>
      </w:r>
      <w:r>
        <w:rPr>
          <w:noProof/>
        </w:rPr>
        <w:t>Nová vláda převzala závazek pokračovat v posilování občanské společnosti</w:t>
      </w:r>
      <w:r>
        <w:rPr>
          <w:rStyle w:val="FootnoteReference"/>
          <w:rFonts w:eastAsia="Times New Roman" w:cs="Times New Roman"/>
          <w:noProof/>
          <w:lang w:eastAsia="fr-FR"/>
        </w:rPr>
        <w:footnoteReference w:id="200"/>
      </w:r>
      <w:r>
        <w:rPr>
          <w:noProof/>
        </w:rPr>
        <w:t>. V prosinci 2020 byl zahájen provoz nového registru nevládních neziskových organizací</w:t>
      </w:r>
      <w:r>
        <w:rPr>
          <w:rStyle w:val="FootnoteReference"/>
          <w:rFonts w:eastAsia="Times New Roman" w:cs="Times New Roman"/>
          <w:noProof/>
          <w:lang w:eastAsia="fr-FR"/>
        </w:rPr>
        <w:footnoteReference w:id="201"/>
      </w:r>
      <w:r>
        <w:rPr>
          <w:noProof/>
        </w:rPr>
        <w:t>. Jedná se o jediný veřejný registr všech organizací vymezených příslušným zákonem, který funguje na Slovensku; jeho cílem je dále zlepšovat transparentnost. Zúčastněné strany vyjádřily znepokojení nad slovními útoky veřejných orgánů a politiků na aktivisty a organizace občanské společnosti</w:t>
      </w:r>
      <w:r>
        <w:rPr>
          <w:rStyle w:val="FootnoteReference"/>
          <w:rFonts w:eastAsia="Times New Roman" w:cs="Times New Roman"/>
          <w:noProof/>
          <w:lang w:eastAsia="fr-FR"/>
        </w:rPr>
        <w:footnoteReference w:id="202"/>
      </w:r>
      <w:r>
        <w:rPr>
          <w:noProof/>
        </w:rPr>
        <w:t xml:space="preserve"> a nad záměrným omezováním veřejného financování organizací, které podporují rovnost žen a mužů</w:t>
      </w:r>
      <w:r>
        <w:rPr>
          <w:rStyle w:val="FootnoteReference"/>
          <w:rFonts w:eastAsia="Times New Roman" w:cs="Times New Roman"/>
          <w:noProof/>
          <w:lang w:eastAsia="fr-FR"/>
        </w:rPr>
        <w:footnoteReference w:id="203"/>
      </w:r>
      <w:r>
        <w:rPr>
          <w:noProof/>
        </w:rPr>
        <w:t>. Fungování řady organizací občanské společnosti bylo navíc vlivem pandemie COVID-19 ztíženo a zúčastněné strany byly obzvláště znepokojeny celkovým dopadem pandemie na finanční situaci nevládních organizací</w:t>
      </w:r>
      <w:r>
        <w:rPr>
          <w:rStyle w:val="FootnoteReference"/>
          <w:rFonts w:eastAsia="Times New Roman" w:cs="Times New Roman"/>
          <w:noProof/>
          <w:lang w:eastAsia="fr-FR"/>
        </w:rPr>
        <w:footnoteReference w:id="204"/>
      </w:r>
      <w:r>
        <w:rPr>
          <w:noProof/>
        </w:rPr>
        <w:t xml:space="preserve">. </w:t>
      </w:r>
    </w:p>
    <w:p>
      <w:pPr>
        <w:spacing w:after="120"/>
        <w:rPr>
          <w:noProof/>
        </w:rPr>
      </w:pPr>
      <w:r>
        <w:rPr>
          <w:noProof/>
        </w:rPr>
        <w:br w:type="page"/>
      </w:r>
    </w:p>
    <w:p>
      <w:pPr>
        <w:spacing w:after="120" w:line="264" w:lineRule="auto"/>
        <w:rPr>
          <w:rFonts w:eastAsia="Times New Roman" w:cs="Times New Roman"/>
          <w:b/>
          <w:bCs/>
          <w:noProof/>
          <w:sz w:val="22"/>
        </w:rPr>
      </w:pPr>
      <w:r>
        <w:rPr>
          <w:b/>
          <w:bCs/>
          <w:noProof/>
          <w:sz w:val="22"/>
        </w:rPr>
        <w:t>Příloha I: Seznam zdrojů v abecedním pořadí*</w:t>
      </w:r>
    </w:p>
    <w:p>
      <w:pPr>
        <w:spacing w:after="120"/>
        <w:rPr>
          <w:rFonts w:eastAsia="Times New Roman" w:cs="Times New Roman"/>
          <w:i/>
          <w:iCs/>
          <w:noProof/>
          <w:sz w:val="22"/>
        </w:rPr>
      </w:pPr>
      <w:r>
        <w:rPr>
          <w:i/>
          <w:iCs/>
          <w:noProof/>
          <w:sz w:val="22"/>
        </w:rPr>
        <w:t xml:space="preserve">* Seznam příspěvků obdržených v rámci konzultací ke zprávě o právním státu 2021 je k dispozici na adrese: </w:t>
      </w:r>
      <w:hyperlink r:id="rId19" w:history="1">
        <w:r>
          <w:rPr>
            <w:rStyle w:val="Hyperlink"/>
            <w:i/>
            <w:iCs/>
            <w:noProof/>
            <w:sz w:val="22"/>
          </w:rPr>
          <w:t>https://ec.europa.eu/info/policies/justice-and-fundamental-rights/upholding-rule-law/rule-law/rule-law-mechanism/2021-rule-law-report-targeted-stakeholder-consultation</w:t>
        </w:r>
      </w:hyperlink>
      <w:r>
        <w:rPr>
          <w:i/>
          <w:iCs/>
          <w:noProof/>
          <w:sz w:val="22"/>
        </w:rPr>
        <w:t>.</w:t>
      </w:r>
    </w:p>
    <w:p>
      <w:pPr>
        <w:spacing w:after="120"/>
        <w:rPr>
          <w:rFonts w:eastAsia="Times New Roman" w:cs="Times New Roman"/>
          <w:noProof/>
          <w:sz w:val="22"/>
        </w:rPr>
      </w:pPr>
      <w:r>
        <w:rPr>
          <w:iCs/>
          <w:noProof/>
          <w:sz w:val="22"/>
        </w:rPr>
        <w:t xml:space="preserve">Aktuality.sk (2021), </w:t>
      </w:r>
      <w:r>
        <w:rPr>
          <w:i/>
          <w:iCs/>
          <w:noProof/>
          <w:sz w:val="22"/>
        </w:rPr>
        <w:t>NAKA opět zadržela finančníka Kvietika a několik osob ze Slovenského pozemkového fondu</w:t>
      </w:r>
      <w:r>
        <w:rPr>
          <w:noProof/>
          <w:sz w:val="22"/>
        </w:rPr>
        <w:t xml:space="preserve"> (</w:t>
      </w:r>
      <w:hyperlink r:id="rId20" w:history="1">
        <w:r>
          <w:rPr>
            <w:rStyle w:val="Hyperlink"/>
            <w:noProof/>
            <w:sz w:val="22"/>
          </w:rPr>
          <w:t>https://www.aktuality.sk/clanok/892385/naka-opat-zadrzala-financnika-martina-kvietika</w:t>
        </w:r>
      </w:hyperlink>
      <w:r>
        <w:rPr>
          <w:noProof/>
          <w:sz w:val="22"/>
        </w:rPr>
        <w:t>).</w:t>
      </w:r>
    </w:p>
    <w:p>
      <w:pPr>
        <w:spacing w:after="120"/>
        <w:rPr>
          <w:rFonts w:eastAsia="Times New Roman" w:cs="Times New Roman"/>
          <w:noProof/>
          <w:sz w:val="22"/>
        </w:rPr>
      </w:pPr>
      <w:r>
        <w:rPr>
          <w:noProof/>
          <w:sz w:val="22"/>
        </w:rPr>
        <w:t xml:space="preserve">Centrum pro pluralitu a svobodu sdělovacích prostředků (2021). </w:t>
      </w:r>
      <w:r>
        <w:rPr>
          <w:i/>
          <w:iCs/>
          <w:noProof/>
          <w:sz w:val="22"/>
        </w:rPr>
        <w:t>Monitor plurality sdělovacích prostředků 2021</w:t>
      </w:r>
      <w:r>
        <w:rPr>
          <w:noProof/>
          <w:sz w:val="22"/>
        </w:rPr>
        <w:t>.</w:t>
      </w:r>
    </w:p>
    <w:p>
      <w:pPr>
        <w:spacing w:after="120"/>
        <w:rPr>
          <w:rFonts w:eastAsia="Times New Roman" w:cs="Times New Roman"/>
          <w:noProof/>
          <w:sz w:val="22"/>
        </w:rPr>
      </w:pPr>
      <w:r>
        <w:rPr>
          <w:noProof/>
          <w:sz w:val="22"/>
        </w:rPr>
        <w:t xml:space="preserve">Evropská komise (2017). </w:t>
      </w:r>
      <w:r>
        <w:rPr>
          <w:i/>
          <w:iCs/>
          <w:noProof/>
          <w:sz w:val="22"/>
        </w:rPr>
        <w:t>Účinnost a kvalita slovenského soudního systému, hodnocení a doporučení na základě nástrojů CEPEJ</w:t>
      </w:r>
      <w:r>
        <w:rPr>
          <w:noProof/>
          <w:sz w:val="22"/>
        </w:rPr>
        <w:t>, vypracovala Komise Rady Evropy pro účinnost soudnictví, CEPEJ-COOP(2017)14.</w:t>
      </w:r>
    </w:p>
    <w:p>
      <w:pPr>
        <w:spacing w:after="120"/>
        <w:rPr>
          <w:rFonts w:eastAsia="Times New Roman" w:cs="Times New Roman"/>
          <w:noProof/>
          <w:sz w:val="22"/>
        </w:rPr>
      </w:pPr>
      <w:r>
        <w:rPr>
          <w:noProof/>
          <w:sz w:val="22"/>
        </w:rPr>
        <w:t xml:space="preserve">Evropská komise (2020), </w:t>
      </w:r>
      <w:r>
        <w:rPr>
          <w:i/>
          <w:iCs/>
          <w:noProof/>
          <w:sz w:val="22"/>
        </w:rPr>
        <w:t>zpráva o právním státu 2021, kapitola o stavu právního státu na Slovensku</w:t>
      </w:r>
      <w:r>
        <w:rPr>
          <w:noProof/>
          <w:sz w:val="22"/>
        </w:rPr>
        <w:t xml:space="preserve">. </w:t>
      </w:r>
    </w:p>
    <w:p>
      <w:pPr>
        <w:spacing w:after="120"/>
        <w:rPr>
          <w:rFonts w:eastAsia="Times New Roman" w:cs="Times New Roman"/>
          <w:noProof/>
          <w:sz w:val="22"/>
        </w:rPr>
      </w:pPr>
      <w:r>
        <w:rPr>
          <w:noProof/>
          <w:sz w:val="22"/>
        </w:rPr>
        <w:t xml:space="preserve">Evropská komise (2020). </w:t>
      </w:r>
      <w:r>
        <w:rPr>
          <w:i/>
          <w:iCs/>
          <w:noProof/>
          <w:sz w:val="22"/>
        </w:rPr>
        <w:t>Přezkum reformy soudní mapy ve Slovenské republice odborníky CEPEJ</w:t>
      </w:r>
      <w:r>
        <w:rPr>
          <w:noProof/>
          <w:sz w:val="22"/>
        </w:rPr>
        <w:t>, vypracovala Komise Rady Evropy pro účinnost soudnictví.</w:t>
      </w:r>
    </w:p>
    <w:p>
      <w:pPr>
        <w:spacing w:after="120"/>
        <w:rPr>
          <w:rFonts w:eastAsia="Times New Roman" w:cs="Times New Roman"/>
          <w:noProof/>
          <w:color w:val="0563C1"/>
          <w:sz w:val="22"/>
          <w:u w:val="single"/>
        </w:rPr>
      </w:pPr>
      <w:r>
        <w:rPr>
          <w:noProof/>
          <w:sz w:val="22"/>
        </w:rPr>
        <w:t>Evropská komise (2021), tisková zpráva č. 03/2021: OLAF uzavírá případy týkající se zemědělských fondů EU na Slovensku (</w:t>
      </w:r>
      <w:hyperlink r:id="rId21" w:history="1">
        <w:r>
          <w:rPr>
            <w:rStyle w:val="Hyperlink"/>
            <w:noProof/>
            <w:sz w:val="22"/>
          </w:rPr>
          <w:t>https://ec.europa.eu/anti-fraud/media-corner/news/21-01-2021/olaf-closes-cases-eu-agricultural-funds-slovakia_sk</w:t>
        </w:r>
      </w:hyperlink>
      <w:r>
        <w:rPr>
          <w:noProof/>
          <w:sz w:val="22"/>
        </w:rPr>
        <w:t>).</w:t>
      </w:r>
    </w:p>
    <w:p>
      <w:pPr>
        <w:spacing w:after="120"/>
        <w:rPr>
          <w:rFonts w:eastAsia="Times New Roman" w:cs="Times New Roman"/>
          <w:noProof/>
          <w:sz w:val="22"/>
        </w:rPr>
      </w:pPr>
      <w:r>
        <w:rPr>
          <w:noProof/>
          <w:sz w:val="22"/>
        </w:rPr>
        <w:t xml:space="preserve">Evropská komise (2021). </w:t>
      </w:r>
      <w:r>
        <w:rPr>
          <w:i/>
          <w:iCs/>
          <w:noProof/>
          <w:sz w:val="22"/>
        </w:rPr>
        <w:t>Srovnávací přehled EU o soudnictví</w:t>
      </w:r>
      <w:r>
        <w:rPr>
          <w:noProof/>
          <w:sz w:val="22"/>
        </w:rPr>
        <w:t>.</w:t>
      </w:r>
    </w:p>
    <w:p>
      <w:pPr>
        <w:spacing w:after="120"/>
        <w:rPr>
          <w:rFonts w:eastAsia="Times New Roman" w:cs="Times New Roman"/>
          <w:noProof/>
          <w:sz w:val="22"/>
        </w:rPr>
      </w:pPr>
      <w:r>
        <w:rPr>
          <w:noProof/>
          <w:sz w:val="22"/>
        </w:rPr>
        <w:t xml:space="preserve">Evropská komise, </w:t>
      </w:r>
      <w:r>
        <w:rPr>
          <w:i/>
          <w:iCs/>
          <w:noProof/>
          <w:sz w:val="22"/>
        </w:rPr>
        <w:t>výroční studie</w:t>
      </w:r>
      <w:r>
        <w:rPr>
          <w:noProof/>
          <w:sz w:val="22"/>
        </w:rPr>
        <w:t>, vypracovala Komise Rady Evropy pro účinnost soudnictví.</w:t>
      </w:r>
    </w:p>
    <w:p>
      <w:pPr>
        <w:spacing w:after="120"/>
        <w:rPr>
          <w:rFonts w:eastAsia="Times New Roman" w:cs="Times New Roman"/>
          <w:noProof/>
          <w:sz w:val="22"/>
        </w:rPr>
      </w:pPr>
      <w:r>
        <w:rPr>
          <w:noProof/>
          <w:sz w:val="22"/>
        </w:rPr>
        <w:t xml:space="preserve">Evropská síť národních institucí pro lidská práva (2021), </w:t>
      </w:r>
      <w:r>
        <w:rPr>
          <w:i/>
          <w:iCs/>
          <w:noProof/>
          <w:sz w:val="22"/>
        </w:rPr>
        <w:t>příspěvek ke zprávě o právním státu 2021</w:t>
      </w:r>
      <w:r>
        <w:rPr>
          <w:noProof/>
          <w:sz w:val="22"/>
        </w:rPr>
        <w:t>.</w:t>
      </w:r>
    </w:p>
    <w:p>
      <w:pPr>
        <w:spacing w:after="120"/>
        <w:rPr>
          <w:rFonts w:eastAsia="Times New Roman" w:cs="Times New Roman"/>
          <w:noProof/>
          <w:sz w:val="22"/>
        </w:rPr>
      </w:pPr>
      <w:r>
        <w:rPr>
          <w:noProof/>
          <w:sz w:val="22"/>
        </w:rPr>
        <w:t xml:space="preserve">Evropská síť rad pro soudnictví (2012–2013). </w:t>
      </w:r>
      <w:r>
        <w:rPr>
          <w:i/>
          <w:iCs/>
          <w:noProof/>
          <w:sz w:val="22"/>
        </w:rPr>
        <w:t>Zpráva</w:t>
      </w:r>
      <w:r>
        <w:rPr>
          <w:noProof/>
          <w:sz w:val="22"/>
        </w:rPr>
        <w:t xml:space="preserve"> </w:t>
      </w:r>
      <w:r>
        <w:rPr>
          <w:i/>
          <w:iCs/>
          <w:noProof/>
          <w:sz w:val="22"/>
        </w:rPr>
        <w:t>o minimálních normách pro hodnocení profesionální výkonnosti a neodvolatelnost soudců.</w:t>
      </w:r>
    </w:p>
    <w:p>
      <w:pPr>
        <w:spacing w:after="120"/>
        <w:rPr>
          <w:rFonts w:eastAsia="Times New Roman" w:cs="Times New Roman"/>
          <w:noProof/>
          <w:sz w:val="22"/>
        </w:rPr>
      </w:pPr>
      <w:r>
        <w:rPr>
          <w:noProof/>
          <w:sz w:val="22"/>
        </w:rPr>
        <w:t xml:space="preserve">Evropský soud pro lidská práva, rozsudek ze dne 15. září 2015, </w:t>
      </w:r>
      <w:r>
        <w:rPr>
          <w:i/>
          <w:iCs/>
          <w:noProof/>
          <w:sz w:val="22"/>
        </w:rPr>
        <w:t>Javor a Javorová</w:t>
      </w:r>
      <w:r>
        <w:rPr>
          <w:iCs/>
          <w:noProof/>
          <w:sz w:val="22"/>
        </w:rPr>
        <w:t>, 42360/10</w:t>
      </w:r>
      <w:r>
        <w:rPr>
          <w:noProof/>
          <w:sz w:val="22"/>
        </w:rPr>
        <w:t>, stav výkonu (</w:t>
      </w:r>
      <w:hyperlink r:id="rId22" w:history="1">
        <w:r>
          <w:rPr>
            <w:rStyle w:val="Hyperlink"/>
            <w:noProof/>
            <w:sz w:val="22"/>
          </w:rPr>
          <w:t>http://hudoc.exec.coe.int/eng?i=004-7717</w:t>
        </w:r>
      </w:hyperlink>
      <w:r>
        <w:rPr>
          <w:noProof/>
          <w:sz w:val="22"/>
        </w:rPr>
        <w:t>).</w:t>
      </w:r>
    </w:p>
    <w:p>
      <w:pPr>
        <w:spacing w:after="120"/>
        <w:rPr>
          <w:rFonts w:eastAsia="Times New Roman" w:cs="Times New Roman"/>
          <w:noProof/>
          <w:sz w:val="22"/>
        </w:rPr>
      </w:pPr>
      <w:r>
        <w:rPr>
          <w:noProof/>
          <w:sz w:val="22"/>
        </w:rPr>
        <w:t xml:space="preserve">Evropský soud pro lidská práva, rozsudek ze dne 24. července 2012, </w:t>
      </w:r>
      <w:r>
        <w:rPr>
          <w:i/>
          <w:iCs/>
          <w:noProof/>
          <w:sz w:val="22"/>
        </w:rPr>
        <w:t>Maxián a Maxiánová</w:t>
      </w:r>
      <w:r>
        <w:rPr>
          <w:noProof/>
          <w:sz w:val="22"/>
        </w:rPr>
        <w:t>, 44482/09, stav výkonu (</w:t>
      </w:r>
      <w:hyperlink r:id="rId23" w:history="1">
        <w:r>
          <w:rPr>
            <w:rStyle w:val="Hyperlink"/>
            <w:noProof/>
            <w:sz w:val="22"/>
          </w:rPr>
          <w:t>http://hudoc.exec.coe.int/eng?i=004-7711</w:t>
        </w:r>
      </w:hyperlink>
      <w:r>
        <w:rPr>
          <w:noProof/>
          <w:sz w:val="22"/>
        </w:rPr>
        <w:t>).</w:t>
      </w:r>
    </w:p>
    <w:p>
      <w:pPr>
        <w:spacing w:after="120"/>
        <w:rPr>
          <w:rFonts w:eastAsia="Times New Roman" w:cs="Times New Roman"/>
          <w:noProof/>
          <w:sz w:val="22"/>
        </w:rPr>
      </w:pPr>
      <w:r>
        <w:rPr>
          <w:noProof/>
          <w:sz w:val="22"/>
        </w:rPr>
        <w:t xml:space="preserve">Evropský soud pro lidská práva, rozsudek ze dne 27. června 2017, </w:t>
      </w:r>
      <w:r>
        <w:rPr>
          <w:i/>
          <w:noProof/>
          <w:sz w:val="22"/>
        </w:rPr>
        <w:t>Ivan</w:t>
      </w:r>
      <w:r>
        <w:rPr>
          <w:noProof/>
          <w:sz w:val="22"/>
        </w:rPr>
        <w:t>, 57405/15, stav výkonu (</w:t>
      </w:r>
      <w:hyperlink r:id="rId24" w:history="1">
        <w:r>
          <w:rPr>
            <w:rStyle w:val="Hyperlink"/>
            <w:noProof/>
            <w:sz w:val="22"/>
          </w:rPr>
          <w:t>http://hudoc.exec.coe.int/eng?i=004-47309</w:t>
        </w:r>
      </w:hyperlink>
      <w:r>
        <w:rPr>
          <w:noProof/>
          <w:sz w:val="22"/>
        </w:rPr>
        <w:t>).</w:t>
      </w:r>
    </w:p>
    <w:p>
      <w:pPr>
        <w:spacing w:after="120"/>
        <w:rPr>
          <w:rFonts w:eastAsia="Times New Roman" w:cs="Times New Roman"/>
          <w:noProof/>
          <w:sz w:val="22"/>
        </w:rPr>
      </w:pPr>
      <w:r>
        <w:rPr>
          <w:noProof/>
          <w:sz w:val="22"/>
        </w:rPr>
        <w:t xml:space="preserve">Evropský soud pro lidská práva, rozsudek ze dne 31. srpna 2018, </w:t>
      </w:r>
      <w:r>
        <w:rPr>
          <w:i/>
          <w:noProof/>
          <w:sz w:val="22"/>
        </w:rPr>
        <w:t>Balogh a další</w:t>
      </w:r>
      <w:r>
        <w:rPr>
          <w:noProof/>
          <w:sz w:val="22"/>
        </w:rPr>
        <w:t>, 35142/15, stav výkonu (</w:t>
      </w:r>
      <w:hyperlink r:id="rId25" w:history="1">
        <w:r>
          <w:rPr>
            <w:rStyle w:val="Hyperlink"/>
            <w:noProof/>
            <w:sz w:val="22"/>
          </w:rPr>
          <w:t>http://hudoc.exec.coe.int/eng?i=004-51541</w:t>
        </w:r>
      </w:hyperlink>
      <w:r>
        <w:rPr>
          <w:noProof/>
          <w:sz w:val="22"/>
        </w:rPr>
        <w:t>).</w:t>
      </w:r>
    </w:p>
    <w:p>
      <w:pPr>
        <w:spacing w:after="120"/>
        <w:rPr>
          <w:rFonts w:eastAsia="Times New Roman" w:cs="Times New Roman"/>
          <w:noProof/>
          <w:sz w:val="22"/>
        </w:rPr>
      </w:pPr>
      <w:r>
        <w:rPr>
          <w:noProof/>
          <w:sz w:val="22"/>
        </w:rPr>
        <w:t xml:space="preserve">Evropský soud pro lidská práva, rozsudek ze dne 9. března 2021, </w:t>
      </w:r>
      <w:r>
        <w:rPr>
          <w:i/>
          <w:iCs/>
          <w:noProof/>
          <w:sz w:val="22"/>
        </w:rPr>
        <w:t>Bilgen v. Turecko</w:t>
      </w:r>
      <w:r>
        <w:rPr>
          <w:noProof/>
          <w:sz w:val="22"/>
        </w:rPr>
        <w:t>, 1571/07.</w:t>
      </w:r>
    </w:p>
    <w:p>
      <w:pPr>
        <w:spacing w:after="120" w:line="254" w:lineRule="auto"/>
        <w:rPr>
          <w:rFonts w:eastAsia="Times New Roman" w:cs="Times New Roman"/>
          <w:noProof/>
          <w:sz w:val="22"/>
        </w:rPr>
      </w:pPr>
      <w:r>
        <w:rPr>
          <w:noProof/>
          <w:sz w:val="22"/>
        </w:rPr>
        <w:t xml:space="preserve">Generální ředitelství pro komunikaci (2019), </w:t>
      </w:r>
      <w:r>
        <w:rPr>
          <w:i/>
          <w:iCs/>
          <w:noProof/>
          <w:sz w:val="22"/>
        </w:rPr>
        <w:t>bleskový průzkum Eurobarometr 482</w:t>
      </w:r>
      <w:r>
        <w:rPr>
          <w:noProof/>
          <w:sz w:val="22"/>
        </w:rPr>
        <w:t>:</w:t>
      </w:r>
      <w:r>
        <w:rPr>
          <w:i/>
          <w:iCs/>
          <w:noProof/>
          <w:sz w:val="22"/>
        </w:rPr>
        <w:t xml:space="preserve"> postoje podniků ke korupci v EU.</w:t>
      </w:r>
    </w:p>
    <w:p>
      <w:pPr>
        <w:spacing w:after="120" w:line="254" w:lineRule="auto"/>
        <w:rPr>
          <w:rFonts w:eastAsia="Times New Roman" w:cs="Times New Roman"/>
          <w:noProof/>
          <w:sz w:val="22"/>
        </w:rPr>
      </w:pPr>
      <w:r>
        <w:rPr>
          <w:noProof/>
          <w:sz w:val="22"/>
        </w:rPr>
        <w:t xml:space="preserve">Generální ředitelství pro komunikaci (2020), </w:t>
      </w:r>
      <w:r>
        <w:rPr>
          <w:i/>
          <w:iCs/>
          <w:noProof/>
          <w:sz w:val="22"/>
        </w:rPr>
        <w:t>zvláštní průzkum Eurobarometr 502</w:t>
      </w:r>
      <w:r>
        <w:rPr>
          <w:noProof/>
          <w:sz w:val="22"/>
        </w:rPr>
        <w:t>:</w:t>
      </w:r>
      <w:r>
        <w:rPr>
          <w:i/>
          <w:iCs/>
          <w:noProof/>
          <w:sz w:val="22"/>
        </w:rPr>
        <w:t xml:space="preserve"> korupce.</w:t>
      </w:r>
    </w:p>
    <w:p>
      <w:pPr>
        <w:spacing w:after="120"/>
        <w:rPr>
          <w:rFonts w:eastAsia="Times New Roman" w:cs="Times New Roman"/>
          <w:noProof/>
          <w:sz w:val="22"/>
        </w:rPr>
      </w:pPr>
      <w:r>
        <w:rPr>
          <w:noProof/>
          <w:sz w:val="22"/>
        </w:rPr>
        <w:t xml:space="preserve">GRECO (2019), </w:t>
      </w:r>
      <w:r>
        <w:rPr>
          <w:i/>
          <w:iCs/>
          <w:noProof/>
          <w:sz w:val="22"/>
        </w:rPr>
        <w:t>čtvrté kolo hodnocení, dodatek ke druhé zprávě o stavu plnění, Slovenská republika</w:t>
      </w:r>
      <w:r>
        <w:rPr>
          <w:noProof/>
          <w:sz w:val="22"/>
        </w:rPr>
        <w:t>.</w:t>
      </w:r>
    </w:p>
    <w:p>
      <w:pPr>
        <w:spacing w:after="120"/>
        <w:rPr>
          <w:rFonts w:eastAsia="Times New Roman" w:cs="Times New Roman"/>
          <w:noProof/>
          <w:sz w:val="22"/>
        </w:rPr>
      </w:pPr>
      <w:r>
        <w:rPr>
          <w:noProof/>
          <w:sz w:val="22"/>
        </w:rPr>
        <w:t>GRECO (2019)</w:t>
      </w:r>
      <w:r>
        <w:rPr>
          <w:i/>
          <w:iCs/>
          <w:noProof/>
          <w:sz w:val="22"/>
        </w:rPr>
        <w:t>, páté kolo hodnocení – hodnoticí zpráva, Slovenská republika.</w:t>
      </w:r>
    </w:p>
    <w:p>
      <w:pPr>
        <w:spacing w:after="120"/>
        <w:rPr>
          <w:rFonts w:eastAsia="Times New Roman" w:cs="Times New Roman"/>
          <w:i/>
          <w:iCs/>
          <w:noProof/>
          <w:sz w:val="22"/>
        </w:rPr>
      </w:pPr>
      <w:r>
        <w:rPr>
          <w:noProof/>
          <w:sz w:val="22"/>
        </w:rPr>
        <w:t>GRECO (2021),</w:t>
      </w:r>
      <w:r>
        <w:rPr>
          <w:i/>
          <w:iCs/>
          <w:noProof/>
          <w:sz w:val="22"/>
        </w:rPr>
        <w:t xml:space="preserve"> čtvrté kolo hodnocení, druhý dodatek ke druhé zprávě o stavu plnění, Slovenská republika.</w:t>
      </w:r>
    </w:p>
    <w:p>
      <w:pPr>
        <w:spacing w:after="120"/>
        <w:rPr>
          <w:rFonts w:eastAsia="Times New Roman" w:cs="Times New Roman"/>
          <w:noProof/>
          <w:color w:val="0563C1"/>
          <w:sz w:val="22"/>
          <w:u w:val="single"/>
        </w:rPr>
      </w:pPr>
      <w:r>
        <w:rPr>
          <w:noProof/>
          <w:sz w:val="22"/>
        </w:rPr>
        <w:t xml:space="preserve">GRECO (2021), Slovensko: </w:t>
      </w:r>
      <w:r>
        <w:rPr>
          <w:noProof/>
        </w:rPr>
        <w:t>GRECO vyjadřuje politování nad pomalým pokrokem při prevenci korupce poslanců, soudců a prokurátorů</w:t>
      </w:r>
      <w:r>
        <w:rPr>
          <w:noProof/>
          <w:sz w:val="22"/>
        </w:rPr>
        <w:t xml:space="preserve"> (</w:t>
      </w:r>
      <w:hyperlink r:id="rId26" w:history="1">
        <w:r>
          <w:rPr>
            <w:rStyle w:val="Hyperlink"/>
            <w:noProof/>
            <w:sz w:val="22"/>
          </w:rPr>
          <w:t>https://www.coe.int/en/web/portal/-/slovakia-greco-regrets-slow-progress-in-preventing-corruption-of-parliamentarians-judges-and-prosecutors</w:t>
        </w:r>
      </w:hyperlink>
      <w:r>
        <w:rPr>
          <w:noProof/>
          <w:sz w:val="22"/>
        </w:rPr>
        <w:t>).</w:t>
      </w:r>
    </w:p>
    <w:p>
      <w:pPr>
        <w:spacing w:after="120"/>
        <w:jc w:val="left"/>
        <w:rPr>
          <w:noProof/>
          <w:sz w:val="22"/>
        </w:rPr>
      </w:pPr>
      <w:r>
        <w:rPr>
          <w:noProof/>
          <w:sz w:val="22"/>
        </w:rPr>
        <w:t xml:space="preserve">Komunikační platforma slovenských soudců a Sdružení slovenských soudců (2021), </w:t>
      </w:r>
      <w:r>
        <w:rPr>
          <w:i/>
          <w:iCs/>
          <w:noProof/>
          <w:sz w:val="22"/>
        </w:rPr>
        <w:t>příspěvek ke zprávě o právním státu 2021.</w:t>
      </w:r>
    </w:p>
    <w:p>
      <w:pPr>
        <w:spacing w:after="120"/>
        <w:rPr>
          <w:rFonts w:eastAsia="Times New Roman" w:cs="Times New Roman"/>
          <w:noProof/>
          <w:color w:val="0563C1"/>
          <w:sz w:val="22"/>
          <w:u w:val="single"/>
        </w:rPr>
      </w:pPr>
      <w:r>
        <w:rPr>
          <w:noProof/>
          <w:sz w:val="22"/>
        </w:rPr>
        <w:t xml:space="preserve">Ministerstvo investic, regionálního rozvoje a informatizace Slovenské republiky (2020), tisková zpráva: </w:t>
      </w:r>
      <w:r>
        <w:rPr>
          <w:i/>
          <w:noProof/>
          <w:sz w:val="22"/>
        </w:rPr>
        <w:t xml:space="preserve">Vicepremiérka Remišová: 1,1 milionu eur na pomoc nevládním organizacím v boji s COVID-19 </w:t>
      </w:r>
      <w:r>
        <w:rPr>
          <w:noProof/>
          <w:sz w:val="22"/>
        </w:rPr>
        <w:t>(</w:t>
      </w:r>
      <w:hyperlink r:id="rId27" w:history="1">
        <w:r>
          <w:rPr>
            <w:rStyle w:val="Hyperlink"/>
            <w:noProof/>
            <w:sz w:val="22"/>
          </w:rPr>
          <w:t>https://www.mirri.gov.sk/aktuality/podpredsednicka-vlady/vicepremierka-remisova-11-miliona-eur-na-pomoc-mimovladnym-organizaciam-v-boji-s-covid-19/</w:t>
        </w:r>
      </w:hyperlink>
      <w:r>
        <w:rPr>
          <w:noProof/>
          <w:sz w:val="22"/>
        </w:rPr>
        <w:t>).</w:t>
      </w:r>
    </w:p>
    <w:p>
      <w:pPr>
        <w:spacing w:after="120"/>
        <w:rPr>
          <w:rFonts w:eastAsia="Times New Roman" w:cs="Times New Roman"/>
          <w:noProof/>
          <w:sz w:val="22"/>
        </w:rPr>
      </w:pPr>
      <w:r>
        <w:rPr>
          <w:noProof/>
        </w:rPr>
        <w:t>Ministerstvo spravedlnosti Slovenské republiky</w:t>
      </w:r>
      <w:r>
        <w:rPr>
          <w:noProof/>
          <w:sz w:val="22"/>
        </w:rPr>
        <w:t xml:space="preserve">, Analytické centrum (2020). </w:t>
      </w:r>
      <w:r>
        <w:rPr>
          <w:i/>
          <w:iCs/>
          <w:noProof/>
          <w:sz w:val="22"/>
        </w:rPr>
        <w:t>Doporučení pro tvorbu nové soudní mapy</w:t>
      </w:r>
      <w:r>
        <w:rPr>
          <w:noProof/>
          <w:sz w:val="22"/>
        </w:rPr>
        <w:t xml:space="preserve"> (</w:t>
      </w:r>
      <w:hyperlink r:id="rId28"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 xml:space="preserve">Ministerstvo spravedlnosti Slovenské republiky, Analytické centrum (2020). </w:t>
      </w:r>
      <w:r>
        <w:rPr>
          <w:i/>
          <w:iCs/>
          <w:noProof/>
          <w:sz w:val="22"/>
        </w:rPr>
        <w:t>Doporučení pro tvorbu nové soudní mapy</w:t>
      </w:r>
      <w:r>
        <w:rPr>
          <w:noProof/>
          <w:sz w:val="22"/>
        </w:rPr>
        <w:t xml:space="preserve"> (</w:t>
      </w:r>
      <w:hyperlink r:id="rId29"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 xml:space="preserve">Ministerstvo spravedlnosti Slovenské republiky, Analytické centrum (2020). </w:t>
      </w:r>
      <w:r>
        <w:rPr>
          <w:i/>
          <w:iCs/>
          <w:noProof/>
          <w:sz w:val="22"/>
        </w:rPr>
        <w:t>Reforma soudní mapy</w:t>
      </w:r>
      <w:r>
        <w:rPr>
          <w:noProof/>
          <w:sz w:val="22"/>
        </w:rPr>
        <w:t xml:space="preserve"> (</w:t>
      </w:r>
      <w:hyperlink r:id="rId30" w:history="1">
        <w:r>
          <w:rPr>
            <w:rStyle w:val="Hyperlink"/>
            <w:noProof/>
            <w:sz w:val="22"/>
          </w:rPr>
          <w:t>http://web.ac-mssr.sk/wp-content/uploads/2020/sudna_mapa/Reforma_sudnej_mapy_na_citanie.pdf</w:t>
        </w:r>
      </w:hyperlink>
      <w:r>
        <w:rPr>
          <w:noProof/>
          <w:sz w:val="22"/>
        </w:rPr>
        <w:t>).</w:t>
      </w:r>
    </w:p>
    <w:p>
      <w:pPr>
        <w:spacing w:after="120"/>
        <w:rPr>
          <w:rFonts w:eastAsia="Times New Roman" w:cs="Times New Roman"/>
          <w:noProof/>
          <w:color w:val="0563C1"/>
          <w:sz w:val="22"/>
          <w:u w:val="single"/>
        </w:rPr>
      </w:pPr>
      <w:r>
        <w:rPr>
          <w:noProof/>
          <w:sz w:val="22"/>
        </w:rPr>
        <w:t xml:space="preserve">Ministerstvo spravedlnosti Slovenské republiky. </w:t>
      </w:r>
      <w:r>
        <w:rPr>
          <w:i/>
          <w:iCs/>
          <w:noProof/>
          <w:sz w:val="22"/>
        </w:rPr>
        <w:t>Časová osa tvorby soudní mapy</w:t>
      </w:r>
      <w:r>
        <w:rPr>
          <w:noProof/>
          <w:sz w:val="22"/>
        </w:rPr>
        <w:t xml:space="preserve"> (</w:t>
      </w:r>
      <w:hyperlink r:id="rId31" w:history="1">
        <w:r>
          <w:rPr>
            <w:rStyle w:val="Hyperlink"/>
            <w:noProof/>
            <w:sz w:val="22"/>
          </w:rPr>
          <w:t>http://web.ac-mssr.sk/wp-content/uploads/2020/sudna_mapa/20210223_Casov%C3%A1_os_Sudna_mapa_v.2.pdf</w:t>
        </w:r>
      </w:hyperlink>
      <w:r>
        <w:rPr>
          <w:noProof/>
          <w:sz w:val="22"/>
        </w:rPr>
        <w:t>).</w:t>
      </w:r>
    </w:p>
    <w:p>
      <w:pPr>
        <w:spacing w:after="120"/>
        <w:rPr>
          <w:rFonts w:eastAsia="Times New Roman" w:cs="Times New Roman"/>
          <w:noProof/>
          <w:sz w:val="22"/>
        </w:rPr>
      </w:pPr>
      <w:r>
        <w:rPr>
          <w:noProof/>
        </w:rPr>
        <w:t>Ministerstvo zdravotnictví Slovenské republiky. Rezortní protikorupční program</w:t>
      </w:r>
      <w:r>
        <w:rPr>
          <w:noProof/>
          <w:sz w:val="22"/>
        </w:rPr>
        <w:t xml:space="preserve"> (</w:t>
      </w:r>
      <w:hyperlink r:id="rId32" w:history="1">
        <w:r>
          <w:rPr>
            <w:rStyle w:val="Hyperlink"/>
            <w:noProof/>
            <w:sz w:val="22"/>
          </w:rPr>
          <w:t>https://www.health.gov.sk/Zdroje?/dokumenty/mzsr/rezortny-protikorupcny-program.rtf</w:t>
        </w:r>
      </w:hyperlink>
      <w:r>
        <w:rPr>
          <w:noProof/>
          <w:sz w:val="22"/>
        </w:rPr>
        <w:t>).</w:t>
      </w:r>
    </w:p>
    <w:p>
      <w:pPr>
        <w:spacing w:after="120"/>
        <w:rPr>
          <w:rFonts w:eastAsia="Times New Roman" w:cs="Times New Roman"/>
          <w:noProof/>
          <w:sz w:val="22"/>
        </w:rPr>
      </w:pPr>
      <w:r>
        <w:rPr>
          <w:noProof/>
          <w:sz w:val="22"/>
        </w:rPr>
        <w:t xml:space="preserve">OECD (2012). </w:t>
      </w:r>
      <w:r>
        <w:rPr>
          <w:i/>
          <w:iCs/>
          <w:noProof/>
          <w:sz w:val="22"/>
        </w:rPr>
        <w:t>Provádění Úmluvy OECD o boji proti podplácení, fáze 3: Slovenská republika.</w:t>
      </w:r>
    </w:p>
    <w:p>
      <w:pPr>
        <w:spacing w:after="120"/>
        <w:rPr>
          <w:rFonts w:eastAsia="Times New Roman" w:cs="Times New Roman"/>
          <w:noProof/>
          <w:sz w:val="22"/>
        </w:rPr>
      </w:pPr>
      <w:r>
        <w:rPr>
          <w:noProof/>
          <w:sz w:val="22"/>
        </w:rPr>
        <w:t xml:space="preserve">OECD (2014). </w:t>
      </w:r>
      <w:r>
        <w:rPr>
          <w:i/>
          <w:iCs/>
          <w:noProof/>
          <w:sz w:val="22"/>
        </w:rPr>
        <w:t>Provádění Úmluvy OECD o boji proti podplácení, navazující zpráva ke zprávě o fázi 3 a doporučení</w:t>
      </w:r>
      <w:r>
        <w:rPr>
          <w:noProof/>
          <w:sz w:val="22"/>
        </w:rPr>
        <w:t>:</w:t>
      </w:r>
      <w:r>
        <w:rPr>
          <w:i/>
          <w:iCs/>
          <w:noProof/>
          <w:sz w:val="22"/>
        </w:rPr>
        <w:t xml:space="preserve"> Slovenská republika.</w:t>
      </w:r>
    </w:p>
    <w:p>
      <w:pPr>
        <w:spacing w:after="120"/>
        <w:rPr>
          <w:rFonts w:eastAsia="Times New Roman" w:cs="Times New Roman"/>
          <w:noProof/>
          <w:sz w:val="22"/>
        </w:rPr>
      </w:pPr>
      <w:r>
        <w:rPr>
          <w:noProof/>
          <w:sz w:val="22"/>
        </w:rPr>
        <w:t xml:space="preserve">OECD (2017). </w:t>
      </w:r>
      <w:r>
        <w:rPr>
          <w:i/>
          <w:iCs/>
          <w:noProof/>
          <w:sz w:val="22"/>
        </w:rPr>
        <w:t>Provádění Úmluvy OECD o boji proti podplácení, zpráva o fázi 1a: Slovenská republika.</w:t>
      </w:r>
    </w:p>
    <w:p>
      <w:pPr>
        <w:spacing w:after="120"/>
        <w:rPr>
          <w:rFonts w:eastAsia="Times New Roman" w:cs="Times New Roman"/>
          <w:i/>
          <w:iCs/>
          <w:noProof/>
          <w:sz w:val="22"/>
        </w:rPr>
      </w:pPr>
      <w:r>
        <w:rPr>
          <w:noProof/>
          <w:sz w:val="22"/>
        </w:rPr>
        <w:t xml:space="preserve">Poradní rada evropských soudců (2007), </w:t>
      </w:r>
      <w:r>
        <w:rPr>
          <w:i/>
          <w:iCs/>
          <w:noProof/>
          <w:sz w:val="22"/>
        </w:rPr>
        <w:t>stanovisko č. 10.</w:t>
      </w:r>
    </w:p>
    <w:p>
      <w:pPr>
        <w:spacing w:after="120"/>
        <w:rPr>
          <w:rFonts w:eastAsia="Times New Roman" w:cs="Times New Roman"/>
          <w:noProof/>
          <w:sz w:val="22"/>
        </w:rPr>
      </w:pPr>
      <w:r>
        <w:rPr>
          <w:noProof/>
          <w:sz w:val="22"/>
        </w:rPr>
        <w:t xml:space="preserve">Poradní rada evropských soudců (2016), </w:t>
      </w:r>
      <w:r>
        <w:rPr>
          <w:i/>
          <w:iCs/>
          <w:noProof/>
          <w:sz w:val="22"/>
        </w:rPr>
        <w:t>stanovisko č. 19.</w:t>
      </w:r>
    </w:p>
    <w:p>
      <w:pPr>
        <w:spacing w:after="120"/>
        <w:jc w:val="left"/>
        <w:rPr>
          <w:noProof/>
          <w:sz w:val="22"/>
        </w:rPr>
      </w:pPr>
      <w:r>
        <w:rPr>
          <w:noProof/>
          <w:sz w:val="22"/>
        </w:rPr>
        <w:t xml:space="preserve">Předsednictvo Poradní rady evropských soudců (2020), </w:t>
      </w:r>
      <w:r>
        <w:rPr>
          <w:i/>
          <w:iCs/>
          <w:noProof/>
          <w:sz w:val="22"/>
        </w:rPr>
        <w:t>stanovisko ze dne 9. prosince 2020</w:t>
      </w:r>
      <w:r>
        <w:rPr>
          <w:noProof/>
          <w:sz w:val="22"/>
        </w:rPr>
        <w:t>, CCJE-BU(2020)3.</w:t>
      </w:r>
    </w:p>
    <w:p>
      <w:pPr>
        <w:spacing w:after="120"/>
        <w:rPr>
          <w:rFonts w:eastAsia="Times New Roman" w:cs="Times New Roman"/>
          <w:noProof/>
          <w:sz w:val="22"/>
        </w:rPr>
      </w:pPr>
      <w:r>
        <w:rPr>
          <w:noProof/>
          <w:sz w:val="22"/>
        </w:rPr>
        <w:t xml:space="preserve">Přezkum </w:t>
      </w:r>
      <w:r>
        <w:rPr>
          <w:i/>
          <w:iCs/>
          <w:noProof/>
          <w:sz w:val="22"/>
        </w:rPr>
        <w:t>provádění Úmluvy OSN proti korupci – první cyklus (2010–2015), zpráva o přezkumu ve Slovenské republice,</w:t>
      </w:r>
      <w:r>
        <w:rPr>
          <w:noProof/>
          <w:sz w:val="22"/>
        </w:rPr>
        <w:t xml:space="preserve"> (</w:t>
      </w:r>
      <w:hyperlink r:id="rId33" w:history="1">
        <w:r>
          <w:rPr>
            <w:rStyle w:val="Hyperlink"/>
            <w:noProof/>
            <w:sz w:val="22"/>
          </w:rPr>
          <w:t>https://www.unodc.org/documents/treaties/UNCAC/CountryVisitFinalReports/2013_07_11_Slovakia_Final_Country_Report.pdf</w:t>
        </w:r>
      </w:hyperlink>
      <w:r>
        <w:rPr>
          <w:noProof/>
          <w:sz w:val="22"/>
        </w:rPr>
        <w:t>).</w:t>
      </w:r>
    </w:p>
    <w:p>
      <w:pPr>
        <w:spacing w:after="120"/>
        <w:rPr>
          <w:rFonts w:eastAsia="Times New Roman" w:cs="Times New Roman"/>
          <w:i/>
          <w:iCs/>
          <w:noProof/>
          <w:sz w:val="22"/>
        </w:rPr>
      </w:pPr>
      <w:r>
        <w:rPr>
          <w:noProof/>
          <w:sz w:val="22"/>
        </w:rPr>
        <w:t xml:space="preserve">Rada Evropské unie (2020): </w:t>
      </w:r>
      <w:r>
        <w:rPr>
          <w:i/>
          <w:iCs/>
          <w:noProof/>
          <w:sz w:val="22"/>
        </w:rPr>
        <w:t>doporučení ze dne 20. května 2020 k národnímu programu reforem Slovenska na rok 2020 a stanovisko Rady k programu stability Slovenska z roku 2020, COM(2020) 525 final.</w:t>
      </w:r>
    </w:p>
    <w:p>
      <w:pPr>
        <w:spacing w:after="120"/>
        <w:rPr>
          <w:rFonts w:eastAsia="Times New Roman" w:cs="Times New Roman"/>
          <w:i/>
          <w:iCs/>
          <w:noProof/>
          <w:sz w:val="22"/>
        </w:rPr>
      </w:pPr>
      <w:r>
        <w:rPr>
          <w:noProof/>
          <w:sz w:val="22"/>
        </w:rPr>
        <w:t xml:space="preserve">Rada Evropy, Benátská komise (2013), </w:t>
      </w:r>
      <w:r>
        <w:rPr>
          <w:i/>
          <w:iCs/>
          <w:noProof/>
          <w:sz w:val="22"/>
        </w:rPr>
        <w:t>stanovisko k návrhu změn základního zákona o všeobecných soudech Gruzie, CDL-AD(2013)007-e.</w:t>
      </w:r>
    </w:p>
    <w:p>
      <w:pPr>
        <w:spacing w:after="120"/>
        <w:rPr>
          <w:rFonts w:eastAsia="Times New Roman" w:cs="Times New Roman"/>
          <w:noProof/>
          <w:sz w:val="22"/>
        </w:rPr>
      </w:pPr>
      <w:r>
        <w:rPr>
          <w:noProof/>
          <w:sz w:val="22"/>
        </w:rPr>
        <w:t xml:space="preserve">Rada Evropy: Benátská komise (2005), </w:t>
      </w:r>
      <w:r>
        <w:rPr>
          <w:i/>
          <w:iCs/>
          <w:noProof/>
          <w:sz w:val="22"/>
        </w:rPr>
        <w:t>druhé předběžné stanovisko k ústavním reformám v Arménské republice, CDL-AD(2005)016</w:t>
      </w:r>
      <w:r>
        <w:rPr>
          <w:noProof/>
          <w:sz w:val="22"/>
        </w:rPr>
        <w:t>.</w:t>
      </w:r>
    </w:p>
    <w:p>
      <w:pPr>
        <w:spacing w:after="120"/>
        <w:rPr>
          <w:rFonts w:eastAsia="Times New Roman" w:cs="Times New Roman"/>
          <w:noProof/>
          <w:sz w:val="22"/>
        </w:rPr>
      </w:pPr>
      <w:r>
        <w:rPr>
          <w:noProof/>
          <w:sz w:val="22"/>
        </w:rPr>
        <w:t xml:space="preserve">Rada Evropy: Benátská komise (2010), </w:t>
      </w:r>
      <w:r>
        <w:rPr>
          <w:i/>
          <w:iCs/>
          <w:noProof/>
          <w:sz w:val="22"/>
        </w:rPr>
        <w:t>zpráva o změně ústavy, CDL-AD(2010)001</w:t>
      </w:r>
      <w:r>
        <w:rPr>
          <w:noProof/>
          <w:sz w:val="22"/>
        </w:rPr>
        <w:t>.</w:t>
      </w:r>
    </w:p>
    <w:p>
      <w:pPr>
        <w:spacing w:after="120"/>
        <w:jc w:val="left"/>
        <w:rPr>
          <w:noProof/>
          <w:sz w:val="22"/>
        </w:rPr>
      </w:pPr>
      <w:r>
        <w:rPr>
          <w:noProof/>
          <w:sz w:val="22"/>
        </w:rPr>
        <w:t xml:space="preserve">Rada Evropy: Výbor ministrů (2010), </w:t>
      </w:r>
      <w:r>
        <w:rPr>
          <w:i/>
          <w:iCs/>
          <w:noProof/>
          <w:sz w:val="22"/>
        </w:rPr>
        <w:t>doporučení CM/Rec(2010)12 Výboru ministrů členským státům ohledně soudců</w:t>
      </w:r>
      <w:r>
        <w:rPr>
          <w:noProof/>
          <w:sz w:val="22"/>
        </w:rPr>
        <w:t>:</w:t>
      </w:r>
      <w:r>
        <w:rPr>
          <w:i/>
          <w:iCs/>
          <w:noProof/>
          <w:sz w:val="22"/>
        </w:rPr>
        <w:t xml:space="preserve"> nezávislost, účinnost a odpovědnost.</w:t>
      </w:r>
    </w:p>
    <w:p>
      <w:pPr>
        <w:spacing w:after="120"/>
        <w:rPr>
          <w:rFonts w:eastAsia="Times New Roman" w:cs="Times New Roman"/>
          <w:noProof/>
          <w:sz w:val="22"/>
        </w:rPr>
      </w:pPr>
      <w:r>
        <w:rPr>
          <w:noProof/>
          <w:sz w:val="22"/>
        </w:rPr>
        <w:t>Slovenská advokátní komora (2021), příspěvek ke zprávě o právním státu 2021.</w:t>
      </w:r>
    </w:p>
    <w:p>
      <w:pPr>
        <w:spacing w:after="120"/>
        <w:rPr>
          <w:rFonts w:eastAsia="Times New Roman" w:cs="Times New Roman"/>
          <w:noProof/>
          <w:color w:val="0563C1"/>
          <w:sz w:val="22"/>
          <w:u w:val="single"/>
        </w:rPr>
      </w:pPr>
      <w:r>
        <w:rPr>
          <w:noProof/>
          <w:sz w:val="22"/>
        </w:rPr>
        <w:t xml:space="preserve">Slovenská advokátní komora (2021), </w:t>
      </w:r>
      <w:r>
        <w:rPr>
          <w:i/>
          <w:iCs/>
          <w:noProof/>
          <w:sz w:val="22"/>
        </w:rPr>
        <w:t>tisková zpráva ze dne 23. března 2021, Předseda Slovenské advokátní komory navštívil nového generálního ředitele Sboru vězeňské a justiční stráže</w:t>
      </w:r>
      <w:r>
        <w:rPr>
          <w:noProof/>
          <w:sz w:val="22"/>
        </w:rPr>
        <w:t xml:space="preserve"> (</w:t>
      </w:r>
      <w:hyperlink r:id="rId34" w:history="1">
        <w:r>
          <w:rPr>
            <w:rStyle w:val="Hyperlink"/>
            <w:noProof/>
            <w:sz w:val="22"/>
          </w:rPr>
          <w:t>https://www.sak.sk/web/sk/cms/news/form/list/form/row/596497/_event</w:t>
        </w:r>
      </w:hyperlink>
      <w:r>
        <w:rPr>
          <w:noProof/>
          <w:sz w:val="22"/>
        </w:rPr>
        <w:t>).</w:t>
      </w:r>
    </w:p>
    <w:p>
      <w:pPr>
        <w:spacing w:after="120"/>
        <w:rPr>
          <w:rFonts w:eastAsia="Times New Roman" w:cs="Times New Roman"/>
          <w:noProof/>
          <w:color w:val="0563C1"/>
          <w:sz w:val="22"/>
          <w:u w:val="single"/>
        </w:rPr>
      </w:pPr>
      <w:r>
        <w:rPr>
          <w:noProof/>
        </w:rPr>
        <w:t xml:space="preserve">Slovenské národní středisko pro lidská práva </w:t>
      </w:r>
      <w:r>
        <w:rPr>
          <w:noProof/>
          <w:sz w:val="22"/>
        </w:rPr>
        <w:t xml:space="preserve">(2019). </w:t>
      </w:r>
      <w:r>
        <w:rPr>
          <w:i/>
          <w:iCs/>
          <w:noProof/>
          <w:sz w:val="22"/>
        </w:rPr>
        <w:t xml:space="preserve">Výroční zpráva o dodržování lidských práv </w:t>
      </w:r>
      <w:r>
        <w:rPr>
          <w:noProof/>
          <w:sz w:val="22"/>
        </w:rPr>
        <w:t>(</w:t>
      </w:r>
      <w:hyperlink r:id="rId35" w:history="1">
        <w:r>
          <w:rPr>
            <w:rStyle w:val="Hyperlink"/>
            <w:noProof/>
            <w:sz w:val="22"/>
          </w:rPr>
          <w:t>http://www.snslp.sk/wp-content/uploads/Sprava-o-LP-v-SR-za-rok-2020-.pdf</w:t>
        </w:r>
      </w:hyperlink>
      <w:r>
        <w:rPr>
          <w:noProof/>
          <w:sz w:val="22"/>
        </w:rPr>
        <w:t>).</w:t>
      </w:r>
    </w:p>
    <w:p>
      <w:pPr>
        <w:spacing w:after="120"/>
        <w:rPr>
          <w:rFonts w:eastAsia="Times New Roman" w:cs="Times New Roman"/>
          <w:noProof/>
          <w:sz w:val="22"/>
        </w:rPr>
      </w:pPr>
      <w:r>
        <w:rPr>
          <w:noProof/>
          <w:sz w:val="22"/>
        </w:rPr>
        <w:t xml:space="preserve">Slovenští právníci. </w:t>
      </w:r>
      <w:r>
        <w:rPr>
          <w:i/>
          <w:iCs/>
          <w:noProof/>
          <w:sz w:val="22"/>
        </w:rPr>
        <w:t>Otevřená výzva a příspěvek ke zprávě o právním státu 2021</w:t>
      </w:r>
      <w:r>
        <w:rPr>
          <w:noProof/>
          <w:sz w:val="22"/>
        </w:rPr>
        <w:t>, (</w:t>
      </w:r>
      <w:hyperlink r:id="rId36" w:history="1">
        <w:r>
          <w:rPr>
            <w:rStyle w:val="Hyperlink"/>
            <w:noProof/>
            <w:sz w:val="22"/>
          </w:rPr>
          <w:t>https://pravnystat.eu/</w:t>
        </w:r>
      </w:hyperlink>
      <w:r>
        <w:rPr>
          <w:noProof/>
          <w:sz w:val="22"/>
        </w:rPr>
        <w:t>).</w:t>
      </w:r>
    </w:p>
    <w:p>
      <w:pPr>
        <w:spacing w:after="120"/>
        <w:rPr>
          <w:rFonts w:eastAsia="Times New Roman" w:cs="Times New Roman"/>
          <w:noProof/>
          <w:sz w:val="22"/>
        </w:rPr>
      </w:pPr>
      <w:r>
        <w:rPr>
          <w:noProof/>
          <w:sz w:val="22"/>
        </w:rPr>
        <w:t xml:space="preserve">Soudní dvůr Evropské unie, rozsudek ze dne 18. května 2021, </w:t>
      </w:r>
      <w:r>
        <w:rPr>
          <w:i/>
          <w:iCs/>
          <w:noProof/>
          <w:sz w:val="22"/>
        </w:rPr>
        <w:t>spojené rumunské věci</w:t>
      </w:r>
      <w:r>
        <w:rPr>
          <w:noProof/>
          <w:sz w:val="22"/>
        </w:rPr>
        <w:t>, C-83/19, C-127/19, C-195/19, C-291/19, C-355/19 a C-397/19.</w:t>
      </w:r>
    </w:p>
    <w:p>
      <w:pPr>
        <w:spacing w:after="120"/>
        <w:rPr>
          <w:rFonts w:eastAsia="Times New Roman" w:cs="Times New Roman"/>
          <w:noProof/>
          <w:sz w:val="22"/>
        </w:rPr>
      </w:pPr>
      <w:r>
        <w:rPr>
          <w:noProof/>
          <w:sz w:val="22"/>
        </w:rPr>
        <w:t xml:space="preserve">Soudní dvůr Evropské unie, rozsudek ze dne 20. dubna 2021, </w:t>
      </w:r>
      <w:r>
        <w:rPr>
          <w:i/>
          <w:iCs/>
          <w:noProof/>
          <w:sz w:val="22"/>
        </w:rPr>
        <w:t>Repubblika</w:t>
      </w:r>
      <w:r>
        <w:rPr>
          <w:noProof/>
          <w:sz w:val="22"/>
        </w:rPr>
        <w:t>, C-896/19.</w:t>
      </w:r>
    </w:p>
    <w:p>
      <w:pPr>
        <w:spacing w:after="120"/>
        <w:rPr>
          <w:rFonts w:eastAsia="Times New Roman" w:cs="Times New Roman"/>
          <w:noProof/>
          <w:sz w:val="22"/>
        </w:rPr>
      </w:pPr>
      <w:r>
        <w:rPr>
          <w:noProof/>
          <w:sz w:val="22"/>
        </w:rPr>
        <w:t xml:space="preserve">Soudní dvůr Evropské unie, rozsudek ze dne 25. července 2018, </w:t>
      </w:r>
      <w:r>
        <w:rPr>
          <w:i/>
          <w:iCs/>
          <w:noProof/>
          <w:sz w:val="22"/>
        </w:rPr>
        <w:t>LM,</w:t>
      </w:r>
      <w:r>
        <w:rPr>
          <w:noProof/>
          <w:sz w:val="22"/>
        </w:rPr>
        <w:t xml:space="preserve"> C‑216/18 PPU. </w:t>
      </w:r>
    </w:p>
    <w:p>
      <w:pPr>
        <w:spacing w:after="120"/>
        <w:rPr>
          <w:rFonts w:eastAsia="Times New Roman" w:cs="Times New Roman"/>
          <w:noProof/>
          <w:sz w:val="22"/>
        </w:rPr>
      </w:pPr>
      <w:r>
        <w:rPr>
          <w:noProof/>
          <w:sz w:val="22"/>
        </w:rPr>
        <w:t xml:space="preserve">Transparency International (2020). </w:t>
      </w:r>
      <w:r>
        <w:rPr>
          <w:i/>
          <w:iCs/>
          <w:noProof/>
          <w:sz w:val="22"/>
        </w:rPr>
        <w:t>Zpráva o vývozu korupce.</w:t>
      </w:r>
      <w:r>
        <w:rPr>
          <w:noProof/>
          <w:sz w:val="22"/>
        </w:rPr>
        <w:t xml:space="preserve"> </w:t>
      </w:r>
    </w:p>
    <w:p>
      <w:pPr>
        <w:spacing w:after="120"/>
        <w:rPr>
          <w:rFonts w:eastAsia="Times New Roman" w:cs="Times New Roman"/>
          <w:noProof/>
          <w:sz w:val="22"/>
        </w:rPr>
      </w:pPr>
      <w:r>
        <w:rPr>
          <w:noProof/>
          <w:sz w:val="22"/>
        </w:rPr>
        <w:t xml:space="preserve">Transparency International (2021). </w:t>
      </w:r>
      <w:r>
        <w:rPr>
          <w:i/>
          <w:iCs/>
          <w:noProof/>
          <w:sz w:val="22"/>
        </w:rPr>
        <w:t>Index vnímání korupce 2020</w:t>
      </w:r>
      <w:r>
        <w:rPr>
          <w:noProof/>
          <w:sz w:val="22"/>
        </w:rPr>
        <w:t xml:space="preserve">. </w:t>
      </w:r>
    </w:p>
    <w:p>
      <w:pPr>
        <w:spacing w:after="120"/>
        <w:rPr>
          <w:rFonts w:eastAsia="Times New Roman" w:cs="Times New Roman"/>
          <w:i/>
          <w:iCs/>
          <w:noProof/>
          <w:sz w:val="22"/>
        </w:rPr>
      </w:pPr>
      <w:r>
        <w:rPr>
          <w:noProof/>
          <w:sz w:val="22"/>
        </w:rPr>
        <w:t xml:space="preserve">Unie občanských svobod pro Evropu (2021), </w:t>
      </w:r>
      <w:r>
        <w:rPr>
          <w:i/>
          <w:iCs/>
          <w:noProof/>
          <w:sz w:val="22"/>
        </w:rPr>
        <w:t>příspěvek za Evropu ke zprávě o právním státu 2021</w:t>
      </w:r>
      <w:r>
        <w:rPr>
          <w:noProof/>
          <w:sz w:val="22"/>
        </w:rPr>
        <w:t>.</w:t>
      </w:r>
    </w:p>
    <w:p>
      <w:pPr>
        <w:spacing w:after="120"/>
        <w:rPr>
          <w:rFonts w:eastAsia="Times New Roman" w:cs="Times New Roman"/>
          <w:noProof/>
          <w:sz w:val="22"/>
        </w:rPr>
      </w:pPr>
      <w:r>
        <w:rPr>
          <w:noProof/>
          <w:sz w:val="22"/>
        </w:rPr>
        <w:t>Ústavní soud Slovenské republiky, rozsudek ze dne 14. října 2020, Pl ÚS 22/2020.</w:t>
      </w:r>
    </w:p>
    <w:p>
      <w:pPr>
        <w:spacing w:after="120"/>
        <w:rPr>
          <w:rFonts w:eastAsia="Times New Roman" w:cs="Times New Roman"/>
          <w:noProof/>
          <w:sz w:val="22"/>
        </w:rPr>
      </w:pPr>
      <w:r>
        <w:rPr>
          <w:noProof/>
          <w:sz w:val="22"/>
        </w:rPr>
        <w:t>Ústavní soud Slovenské republiky, rozsudek ze dne 30. ledna 2019, Pl ÚS 21/2014-96.</w:t>
      </w:r>
    </w:p>
    <w:p>
      <w:pPr>
        <w:spacing w:after="120"/>
        <w:rPr>
          <w:rFonts w:eastAsia="Times New Roman" w:cs="Times New Roman"/>
          <w:noProof/>
          <w:sz w:val="22"/>
        </w:rPr>
      </w:pPr>
      <w:r>
        <w:rPr>
          <w:noProof/>
          <w:sz w:val="22"/>
        </w:rPr>
        <w:t>Ústavní soud Slovenské republiky, rozsudek ze dne 31. března 2021, Pl ÚS 2/2021.</w:t>
      </w:r>
    </w:p>
    <w:p>
      <w:pPr>
        <w:spacing w:after="120"/>
        <w:rPr>
          <w:rFonts w:eastAsia="Times New Roman" w:cs="Times New Roman"/>
          <w:noProof/>
          <w:sz w:val="22"/>
        </w:rPr>
      </w:pPr>
      <w:r>
        <w:rPr>
          <w:noProof/>
          <w:sz w:val="22"/>
        </w:rPr>
        <w:t xml:space="preserve">Veřejný ochránce práv (2020). </w:t>
      </w:r>
      <w:r>
        <w:rPr>
          <w:i/>
          <w:noProof/>
          <w:sz w:val="22"/>
        </w:rPr>
        <w:t>Zpráva o činnosti veřejného ochránce práv za období roku 2020</w:t>
      </w:r>
      <w:r>
        <w:rPr>
          <w:noProof/>
          <w:sz w:val="22"/>
        </w:rPr>
        <w:t xml:space="preserve"> (</w:t>
      </w:r>
      <w:hyperlink r:id="rId37" w:history="1">
        <w:r>
          <w:rPr>
            <w:rStyle w:val="Hyperlink"/>
            <w:noProof/>
            <w:sz w:val="22"/>
          </w:rPr>
          <w:t>https://www.vop.gov.sk/files/VOP_VS20_SK_1.pdf</w:t>
        </w:r>
      </w:hyperlink>
      <w:r>
        <w:rPr>
          <w:rStyle w:val="Hyperlink"/>
          <w:noProof/>
          <w:color w:val="auto"/>
          <w:sz w:val="22"/>
          <w:u w:val="none"/>
        </w:rPr>
        <w:t>).</w:t>
      </w:r>
    </w:p>
    <w:p>
      <w:pPr>
        <w:spacing w:after="120"/>
        <w:rPr>
          <w:rFonts w:eastAsia="Times New Roman" w:cs="Times New Roman"/>
          <w:noProof/>
          <w:color w:val="0563C1"/>
          <w:sz w:val="22"/>
          <w:u w:val="single"/>
        </w:rPr>
      </w:pPr>
      <w:r>
        <w:rPr>
          <w:noProof/>
          <w:sz w:val="22"/>
        </w:rPr>
        <w:t xml:space="preserve">Vláda Slovenské republiky (2018). </w:t>
      </w:r>
      <w:r>
        <w:rPr>
          <w:i/>
          <w:iCs/>
          <w:noProof/>
          <w:sz w:val="22"/>
        </w:rPr>
        <w:t xml:space="preserve">Protikorupční politika Slovenské republiky na roky 2019–2023 </w:t>
      </w:r>
      <w:r>
        <w:rPr>
          <w:noProof/>
          <w:sz w:val="22"/>
        </w:rPr>
        <w:t>(</w:t>
      </w:r>
      <w:hyperlink r:id="rId38" w:history="1">
        <w:r>
          <w:rPr>
            <w:rStyle w:val="Hyperlink"/>
            <w:noProof/>
            <w:sz w:val="22"/>
          </w:rPr>
          <w:t>https://rokovania.gov.sk/download.dat?id=588DFBA123494910A70AF18737B85A81-034BF7E75BABC88FC3A419E44DED1345</w:t>
        </w:r>
      </w:hyperlink>
      <w:r>
        <w:rPr>
          <w:noProof/>
          <w:sz w:val="22"/>
        </w:rPr>
        <w:t>).</w:t>
      </w:r>
    </w:p>
    <w:p>
      <w:pPr>
        <w:spacing w:after="120"/>
        <w:rPr>
          <w:rFonts w:eastAsia="Times New Roman" w:cs="Times New Roman"/>
          <w:noProof/>
          <w:color w:val="0563C1"/>
          <w:sz w:val="22"/>
          <w:u w:val="single"/>
        </w:rPr>
      </w:pPr>
      <w:r>
        <w:rPr>
          <w:noProof/>
          <w:sz w:val="22"/>
        </w:rPr>
        <w:t xml:space="preserve">Vláda Slovenské republiky (2019). </w:t>
      </w:r>
      <w:r>
        <w:rPr>
          <w:i/>
          <w:iCs/>
          <w:noProof/>
          <w:sz w:val="22"/>
        </w:rPr>
        <w:t xml:space="preserve">Národní protikorupční program Slovenské republiky </w:t>
      </w:r>
      <w:r>
        <w:rPr>
          <w:noProof/>
          <w:sz w:val="22"/>
        </w:rPr>
        <w:t>(</w:t>
      </w:r>
      <w:hyperlink r:id="rId39" w:history="1">
        <w:r>
          <w:rPr>
            <w:rStyle w:val="Hyperlink"/>
            <w:noProof/>
            <w:sz w:val="22"/>
          </w:rPr>
          <w:t>https://rokovania.gov.sk/download.dat?id=F75436C4AF3C4D96AE93D60FD6BCA184-99C291B1BA87B0B9BF1E773CB8DA6BA0</w:t>
        </w:r>
      </w:hyperlink>
      <w:r>
        <w:rPr>
          <w:noProof/>
          <w:sz w:val="22"/>
        </w:rPr>
        <w:t>).</w:t>
      </w:r>
    </w:p>
    <w:p>
      <w:pPr>
        <w:spacing w:after="120"/>
        <w:rPr>
          <w:rFonts w:eastAsia="Times New Roman" w:cs="Times New Roman"/>
          <w:noProof/>
          <w:sz w:val="22"/>
        </w:rPr>
      </w:pPr>
      <w:r>
        <w:rPr>
          <w:noProof/>
          <w:sz w:val="22"/>
        </w:rPr>
        <w:t xml:space="preserve">Vláda Slovenské republiky (2020). </w:t>
      </w:r>
      <w:r>
        <w:rPr>
          <w:i/>
          <w:iCs/>
          <w:noProof/>
          <w:sz w:val="22"/>
        </w:rPr>
        <w:t>Výroční zpráva o činnosti veřejného ochránce práv</w:t>
      </w:r>
      <w:r>
        <w:rPr>
          <w:noProof/>
          <w:sz w:val="22"/>
        </w:rPr>
        <w:t xml:space="preserve"> (</w:t>
      </w:r>
      <w:hyperlink r:id="rId40" w:history="1">
        <w:r>
          <w:rPr>
            <w:rStyle w:val="Hyperlink"/>
            <w:noProof/>
            <w:sz w:val="22"/>
          </w:rPr>
          <w:t>https://www.vop.gov.sk/files/VOP_VS20_SK_1.pdf</w:t>
        </w:r>
      </w:hyperlink>
      <w:r>
        <w:rPr>
          <w:noProof/>
          <w:sz w:val="22"/>
        </w:rPr>
        <w:t>).</w:t>
      </w:r>
    </w:p>
    <w:p>
      <w:pPr>
        <w:spacing w:after="120"/>
        <w:rPr>
          <w:rFonts w:eastAsia="Times New Roman" w:cs="Times New Roman"/>
          <w:i/>
          <w:iCs/>
          <w:noProof/>
          <w:sz w:val="22"/>
        </w:rPr>
      </w:pPr>
      <w:r>
        <w:rPr>
          <w:noProof/>
          <w:sz w:val="22"/>
        </w:rPr>
        <w:t xml:space="preserve">Vláda Slovenské republiky (2021), </w:t>
      </w:r>
      <w:r>
        <w:rPr>
          <w:i/>
          <w:iCs/>
          <w:noProof/>
          <w:sz w:val="22"/>
        </w:rPr>
        <w:t>údaje od Slovenské republiky pro zprávu o právním státu 2021</w:t>
      </w:r>
      <w:r>
        <w:rPr>
          <w:noProof/>
          <w:sz w:val="22"/>
        </w:rPr>
        <w:t>.</w:t>
      </w:r>
    </w:p>
    <w:p>
      <w:pPr>
        <w:spacing w:after="120"/>
        <w:rPr>
          <w:rFonts w:eastAsia="Times New Roman" w:cs="Times New Roman"/>
          <w:noProof/>
          <w:color w:val="0563C1"/>
          <w:sz w:val="22"/>
          <w:u w:val="single"/>
        </w:rPr>
      </w:pPr>
      <w:r>
        <w:rPr>
          <w:noProof/>
          <w:color w:val="0563C1"/>
          <w:sz w:val="22"/>
          <w:u w:val="single"/>
        </w:rPr>
        <w:t xml:space="preserve">Vláda Slovenské republiky (2021). </w:t>
      </w:r>
      <w:r>
        <w:rPr>
          <w:i/>
          <w:noProof/>
          <w:color w:val="0563C1"/>
          <w:sz w:val="22"/>
          <w:u w:val="single"/>
        </w:rPr>
        <w:t>Plán obnovy a odolnosti Slovenské republiky</w:t>
      </w:r>
      <w:r>
        <w:rPr>
          <w:noProof/>
          <w:color w:val="0563C1"/>
          <w:sz w:val="22"/>
          <w:u w:val="single"/>
        </w:rPr>
        <w:t xml:space="preserve"> (https://www.planobnovy.sk/kompletny-plan-obnovy/).</w:t>
      </w:r>
    </w:p>
    <w:p>
      <w:pPr>
        <w:spacing w:after="120"/>
        <w:rPr>
          <w:rFonts w:eastAsia="Times New Roman" w:cs="Times New Roman"/>
          <w:noProof/>
          <w:color w:val="0563C1"/>
          <w:sz w:val="22"/>
          <w:u w:val="single"/>
        </w:rPr>
      </w:pPr>
      <w:r>
        <w:rPr>
          <w:noProof/>
          <w:sz w:val="22"/>
        </w:rPr>
        <w:t xml:space="preserve">Vláda Slovenské republiky. </w:t>
      </w:r>
      <w:r>
        <w:rPr>
          <w:i/>
          <w:iCs/>
          <w:noProof/>
          <w:sz w:val="22"/>
        </w:rPr>
        <w:t>Plán legislativních úkolů vlády Slovenské republiky na rok 2021</w:t>
      </w:r>
      <w:r>
        <w:rPr>
          <w:noProof/>
          <w:sz w:val="22"/>
        </w:rPr>
        <w:t xml:space="preserve"> (</w:t>
      </w:r>
      <w:hyperlink r:id="rId41" w:history="1">
        <w:r>
          <w:rPr>
            <w:rStyle w:val="Hyperlink"/>
            <w:noProof/>
            <w:sz w:val="22"/>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rPr>
          <w:noProof/>
          <w:sz w:val="22"/>
        </w:rPr>
        <w:t>).</w:t>
      </w:r>
    </w:p>
    <w:p>
      <w:pPr>
        <w:spacing w:after="120"/>
        <w:rPr>
          <w:rFonts w:eastAsia="Times New Roman" w:cs="Times New Roman"/>
          <w:noProof/>
          <w:color w:val="0563C1"/>
          <w:sz w:val="22"/>
          <w:u w:val="single"/>
        </w:rPr>
      </w:pPr>
      <w:r>
        <w:rPr>
          <w:noProof/>
          <w:sz w:val="22"/>
        </w:rPr>
        <w:t xml:space="preserve">Vláda Slovenské republiky. </w:t>
      </w:r>
      <w:r>
        <w:rPr>
          <w:i/>
          <w:iCs/>
          <w:noProof/>
          <w:sz w:val="22"/>
        </w:rPr>
        <w:t>Programové prohlášení na období roků 2020–2024</w:t>
      </w:r>
      <w:r>
        <w:rPr>
          <w:noProof/>
          <w:sz w:val="22"/>
        </w:rPr>
        <w:t xml:space="preserve"> (</w:t>
      </w:r>
      <w:hyperlink r:id="rId42" w:history="1">
        <w:r>
          <w:rPr>
            <w:rStyle w:val="Hyperlink"/>
            <w:noProof/>
            <w:sz w:val="22"/>
          </w:rPr>
          <w:t>https://www.mpsr.sk/programove-vyhlasenie-vlady-slovenskej-republiky-na-obdobie-rokov-2020-2024/800-17-800-15434/</w:t>
        </w:r>
      </w:hyperlink>
      <w:r>
        <w:rPr>
          <w:noProof/>
          <w:sz w:val="22"/>
        </w:rPr>
        <w:t>).</w:t>
      </w:r>
    </w:p>
    <w:p>
      <w:pPr>
        <w:spacing w:after="120"/>
        <w:rPr>
          <w:rFonts w:eastAsia="Times New Roman" w:cs="Times New Roman"/>
          <w:noProof/>
          <w:sz w:val="22"/>
        </w:rPr>
      </w:pPr>
      <w:r>
        <w:rPr>
          <w:noProof/>
          <w:sz w:val="22"/>
        </w:rPr>
        <w:t xml:space="preserve">Vláda Slovenské republiky. </w:t>
      </w:r>
      <w:r>
        <w:rPr>
          <w:i/>
          <w:iCs/>
          <w:noProof/>
          <w:sz w:val="22"/>
        </w:rPr>
        <w:t>Programové prohlášení na období roků 2021–2024</w:t>
      </w:r>
      <w:r>
        <w:rPr>
          <w:noProof/>
          <w:sz w:val="22"/>
        </w:rPr>
        <w:t xml:space="preserve"> (</w:t>
      </w:r>
      <w:hyperlink r:id="rId43" w:history="1">
        <w:r>
          <w:rPr>
            <w:rStyle w:val="Hyperlink"/>
            <w:noProof/>
            <w:sz w:val="22"/>
          </w:rPr>
          <w:t>https://www.nrsr.sk/web/Dynamic/DocumentPreview.aspx?DocID=494677</w:t>
        </w:r>
      </w:hyperlink>
      <w:r>
        <w:rPr>
          <w:noProof/>
          <w:sz w:val="22"/>
        </w:rPr>
        <w:t>).</w:t>
      </w:r>
    </w:p>
    <w:p>
      <w:pPr>
        <w:spacing w:after="160" w:line="259" w:lineRule="auto"/>
        <w:jc w:val="left"/>
        <w:rPr>
          <w:rFonts w:eastAsia="Times New Roman" w:cs="Times New Roman"/>
          <w:noProof/>
          <w:sz w:val="22"/>
        </w:rPr>
      </w:pPr>
      <w:r>
        <w:rPr>
          <w:noProof/>
        </w:rPr>
        <w:br w:type="page"/>
      </w:r>
    </w:p>
    <w:p>
      <w:pPr>
        <w:pageBreakBefore/>
        <w:spacing w:after="120" w:line="264" w:lineRule="auto"/>
        <w:rPr>
          <w:rFonts w:eastAsia="Times New Roman" w:cs="Times New Roman"/>
          <w:b/>
          <w:bCs/>
          <w:noProof/>
          <w:sz w:val="22"/>
        </w:rPr>
      </w:pPr>
      <w:r>
        <w:rPr>
          <w:b/>
          <w:bCs/>
          <w:noProof/>
          <w:sz w:val="22"/>
        </w:rPr>
        <w:t>Příloha II: Návštěva Slovenska</w:t>
      </w:r>
    </w:p>
    <w:p>
      <w:pPr>
        <w:spacing w:after="120" w:line="264" w:lineRule="auto"/>
        <w:rPr>
          <w:rFonts w:eastAsia="Times New Roman" w:cs="Times New Roman"/>
          <w:noProof/>
          <w:sz w:val="22"/>
          <w:szCs w:val="20"/>
          <w:shd w:val="clear" w:color="auto" w:fill="FFFFFF"/>
        </w:rPr>
      </w:pPr>
      <w:r>
        <w:rPr>
          <w:noProof/>
          <w:sz w:val="22"/>
          <w:szCs w:val="20"/>
        </w:rPr>
        <w:t>Útvary Komise uspořádaly v dubnu 2021 virtuální setkání s těmito účastníky:</w:t>
      </w:r>
    </w:p>
    <w:p>
      <w:pPr>
        <w:numPr>
          <w:ilvl w:val="0"/>
          <w:numId w:val="2"/>
        </w:numPr>
        <w:spacing w:after="0" w:line="264" w:lineRule="auto"/>
        <w:rPr>
          <w:rFonts w:eastAsia="Times New Roman" w:cs="Times New Roman"/>
          <w:noProof/>
          <w:sz w:val="22"/>
          <w:szCs w:val="20"/>
        </w:rPr>
      </w:pPr>
      <w:r>
        <w:rPr>
          <w:noProof/>
          <w:sz w:val="22"/>
          <w:szCs w:val="20"/>
        </w:rPr>
        <w:t>Sdružení soudců</w:t>
      </w:r>
    </w:p>
    <w:p>
      <w:pPr>
        <w:numPr>
          <w:ilvl w:val="0"/>
          <w:numId w:val="2"/>
        </w:numPr>
        <w:spacing w:after="0" w:line="264" w:lineRule="auto"/>
        <w:rPr>
          <w:rFonts w:eastAsia="Times New Roman" w:cs="Times New Roman"/>
          <w:noProof/>
          <w:sz w:val="22"/>
          <w:szCs w:val="20"/>
        </w:rPr>
      </w:pPr>
      <w:r>
        <w:rPr>
          <w:noProof/>
          <w:sz w:val="22"/>
          <w:szCs w:val="20"/>
        </w:rPr>
        <w:t>Úřad vlády – Odbor prevence korupce</w:t>
      </w:r>
    </w:p>
    <w:p>
      <w:pPr>
        <w:numPr>
          <w:ilvl w:val="0"/>
          <w:numId w:val="2"/>
        </w:numPr>
        <w:spacing w:after="0" w:line="264" w:lineRule="auto"/>
        <w:rPr>
          <w:rFonts w:eastAsia="Times New Roman" w:cs="Times New Roman"/>
          <w:noProof/>
          <w:sz w:val="22"/>
          <w:szCs w:val="20"/>
        </w:rPr>
      </w:pPr>
      <w:r>
        <w:rPr>
          <w:noProof/>
          <w:sz w:val="22"/>
          <w:szCs w:val="20"/>
        </w:rPr>
        <w:t>Soudci za otevřenou justici</w:t>
      </w:r>
    </w:p>
    <w:p>
      <w:pPr>
        <w:numPr>
          <w:ilvl w:val="0"/>
          <w:numId w:val="2"/>
        </w:numPr>
        <w:spacing w:after="0" w:line="264" w:lineRule="auto"/>
        <w:rPr>
          <w:rFonts w:eastAsia="Times New Roman" w:cs="Times New Roman"/>
          <w:noProof/>
          <w:sz w:val="22"/>
          <w:szCs w:val="20"/>
        </w:rPr>
      </w:pPr>
      <w:r>
        <w:rPr>
          <w:noProof/>
          <w:sz w:val="22"/>
          <w:szCs w:val="20"/>
        </w:rPr>
        <w:t>Soudní rada</w:t>
      </w:r>
    </w:p>
    <w:p>
      <w:pPr>
        <w:numPr>
          <w:ilvl w:val="0"/>
          <w:numId w:val="2"/>
        </w:numPr>
        <w:spacing w:after="0" w:line="264" w:lineRule="auto"/>
        <w:rPr>
          <w:rFonts w:eastAsia="Times New Roman" w:cs="Times New Roman"/>
          <w:noProof/>
          <w:sz w:val="22"/>
          <w:szCs w:val="20"/>
        </w:rPr>
      </w:pPr>
      <w:r>
        <w:rPr>
          <w:noProof/>
          <w:sz w:val="22"/>
          <w:szCs w:val="20"/>
        </w:rPr>
        <w:t>Liga pro lidská práva</w:t>
      </w:r>
    </w:p>
    <w:p>
      <w:pPr>
        <w:numPr>
          <w:ilvl w:val="0"/>
          <w:numId w:val="2"/>
        </w:numPr>
        <w:spacing w:after="0" w:line="264" w:lineRule="auto"/>
        <w:rPr>
          <w:rFonts w:eastAsia="Times New Roman" w:cs="Times New Roman"/>
          <w:noProof/>
          <w:sz w:val="22"/>
          <w:szCs w:val="20"/>
        </w:rPr>
      </w:pPr>
      <w:r>
        <w:rPr>
          <w:noProof/>
          <w:sz w:val="22"/>
          <w:szCs w:val="20"/>
        </w:rPr>
        <w:t>Ministerstvo kultury</w:t>
      </w:r>
    </w:p>
    <w:p>
      <w:pPr>
        <w:numPr>
          <w:ilvl w:val="0"/>
          <w:numId w:val="2"/>
        </w:numPr>
        <w:spacing w:after="0" w:line="264" w:lineRule="auto"/>
        <w:rPr>
          <w:rFonts w:eastAsia="Times New Roman" w:cs="Times New Roman"/>
          <w:noProof/>
          <w:sz w:val="22"/>
          <w:szCs w:val="20"/>
        </w:rPr>
      </w:pPr>
      <w:r>
        <w:rPr>
          <w:noProof/>
          <w:sz w:val="22"/>
          <w:szCs w:val="20"/>
        </w:rPr>
        <w:t>Ministerstvo zdravotnictví</w:t>
      </w:r>
    </w:p>
    <w:p>
      <w:pPr>
        <w:numPr>
          <w:ilvl w:val="0"/>
          <w:numId w:val="2"/>
        </w:numPr>
        <w:spacing w:after="0" w:line="264" w:lineRule="auto"/>
        <w:rPr>
          <w:rFonts w:eastAsia="Times New Roman" w:cs="Times New Roman"/>
          <w:noProof/>
          <w:sz w:val="22"/>
          <w:szCs w:val="20"/>
        </w:rPr>
      </w:pPr>
      <w:r>
        <w:rPr>
          <w:noProof/>
          <w:sz w:val="22"/>
          <w:szCs w:val="20"/>
        </w:rPr>
        <w:t>Ministerstvo vnitra</w:t>
      </w:r>
    </w:p>
    <w:p>
      <w:pPr>
        <w:numPr>
          <w:ilvl w:val="0"/>
          <w:numId w:val="2"/>
        </w:numPr>
        <w:spacing w:after="0" w:line="264" w:lineRule="auto"/>
        <w:rPr>
          <w:rFonts w:eastAsia="Times New Roman" w:cs="Times New Roman"/>
          <w:noProof/>
          <w:sz w:val="22"/>
          <w:szCs w:val="20"/>
        </w:rPr>
      </w:pPr>
      <w:r>
        <w:rPr>
          <w:noProof/>
          <w:sz w:val="22"/>
          <w:szCs w:val="20"/>
        </w:rPr>
        <w:t xml:space="preserve">Ministerstvo spravedlnosti </w:t>
      </w:r>
    </w:p>
    <w:p>
      <w:pPr>
        <w:numPr>
          <w:ilvl w:val="0"/>
          <w:numId w:val="2"/>
        </w:numPr>
        <w:spacing w:after="0" w:line="264" w:lineRule="auto"/>
        <w:rPr>
          <w:rFonts w:eastAsia="Times New Roman" w:cs="Times New Roman"/>
          <w:noProof/>
          <w:sz w:val="22"/>
          <w:szCs w:val="20"/>
        </w:rPr>
      </w:pPr>
      <w:r>
        <w:rPr>
          <w:noProof/>
          <w:sz w:val="22"/>
          <w:szCs w:val="20"/>
        </w:rPr>
        <w:t>Národní středisko pro lidská práva.</w:t>
      </w:r>
    </w:p>
    <w:p>
      <w:pPr>
        <w:numPr>
          <w:ilvl w:val="0"/>
          <w:numId w:val="2"/>
        </w:numPr>
        <w:spacing w:after="0" w:line="264" w:lineRule="auto"/>
        <w:rPr>
          <w:rFonts w:eastAsia="Times New Roman" w:cs="Times New Roman"/>
          <w:noProof/>
          <w:sz w:val="22"/>
          <w:szCs w:val="20"/>
        </w:rPr>
      </w:pPr>
      <w:r>
        <w:rPr>
          <w:noProof/>
          <w:sz w:val="22"/>
          <w:szCs w:val="20"/>
        </w:rPr>
        <w:t>Národní kriminální agentura Policejního sboru</w:t>
      </w:r>
    </w:p>
    <w:p>
      <w:pPr>
        <w:numPr>
          <w:ilvl w:val="0"/>
          <w:numId w:val="2"/>
        </w:numPr>
        <w:spacing w:after="0" w:line="264" w:lineRule="auto"/>
        <w:rPr>
          <w:rFonts w:eastAsia="Times New Roman" w:cs="Times New Roman"/>
          <w:noProof/>
          <w:sz w:val="22"/>
          <w:szCs w:val="20"/>
        </w:rPr>
      </w:pPr>
      <w:r>
        <w:rPr>
          <w:noProof/>
          <w:sz w:val="22"/>
          <w:szCs w:val="20"/>
        </w:rPr>
        <w:t>Partnerství pro otevřené vládnutí</w:t>
      </w:r>
    </w:p>
    <w:p>
      <w:pPr>
        <w:numPr>
          <w:ilvl w:val="0"/>
          <w:numId w:val="2"/>
        </w:numPr>
        <w:spacing w:after="0" w:line="264" w:lineRule="auto"/>
        <w:rPr>
          <w:rFonts w:eastAsia="Times New Roman" w:cs="Times New Roman"/>
          <w:noProof/>
          <w:sz w:val="22"/>
          <w:szCs w:val="20"/>
        </w:rPr>
      </w:pPr>
      <w:r>
        <w:rPr>
          <w:noProof/>
          <w:sz w:val="22"/>
          <w:szCs w:val="20"/>
        </w:rPr>
        <w:t xml:space="preserve">Nejvyšší státní zastupitelství </w:t>
      </w:r>
    </w:p>
    <w:p>
      <w:pPr>
        <w:numPr>
          <w:ilvl w:val="0"/>
          <w:numId w:val="2"/>
        </w:numPr>
        <w:spacing w:after="0" w:line="264" w:lineRule="auto"/>
        <w:rPr>
          <w:rFonts w:eastAsia="Times New Roman" w:cs="Times New Roman"/>
          <w:noProof/>
          <w:sz w:val="22"/>
          <w:szCs w:val="20"/>
        </w:rPr>
      </w:pPr>
      <w:r>
        <w:rPr>
          <w:noProof/>
          <w:sz w:val="22"/>
          <w:szCs w:val="20"/>
        </w:rPr>
        <w:t>Veřejný ochránce práv</w:t>
      </w:r>
    </w:p>
    <w:p>
      <w:pPr>
        <w:numPr>
          <w:ilvl w:val="0"/>
          <w:numId w:val="2"/>
        </w:numPr>
        <w:spacing w:after="0" w:line="264" w:lineRule="auto"/>
        <w:rPr>
          <w:rFonts w:eastAsia="Times New Roman" w:cs="Times New Roman"/>
          <w:noProof/>
          <w:sz w:val="22"/>
          <w:szCs w:val="20"/>
        </w:rPr>
      </w:pPr>
      <w:r>
        <w:rPr>
          <w:noProof/>
          <w:sz w:val="22"/>
          <w:szCs w:val="20"/>
        </w:rPr>
        <w:t>Slovenská advokátní komora</w:t>
      </w:r>
    </w:p>
    <w:p>
      <w:pPr>
        <w:numPr>
          <w:ilvl w:val="0"/>
          <w:numId w:val="2"/>
        </w:numPr>
        <w:spacing w:after="0" w:line="264" w:lineRule="auto"/>
        <w:rPr>
          <w:rFonts w:eastAsia="Times New Roman" w:cs="Times New Roman"/>
          <w:noProof/>
          <w:sz w:val="22"/>
          <w:szCs w:val="20"/>
        </w:rPr>
      </w:pPr>
      <w:r>
        <w:rPr>
          <w:noProof/>
          <w:sz w:val="22"/>
          <w:szCs w:val="20"/>
        </w:rPr>
        <w:t>Slovenská Rada pro vysílání a retransmisi</w:t>
      </w:r>
    </w:p>
    <w:p>
      <w:pPr>
        <w:numPr>
          <w:ilvl w:val="0"/>
          <w:numId w:val="2"/>
        </w:numPr>
        <w:spacing w:after="0" w:line="264" w:lineRule="auto"/>
        <w:rPr>
          <w:rFonts w:eastAsia="Times New Roman" w:cs="Times New Roman"/>
          <w:noProof/>
          <w:sz w:val="22"/>
          <w:szCs w:val="20"/>
        </w:rPr>
      </w:pPr>
      <w:r>
        <w:rPr>
          <w:noProof/>
          <w:sz w:val="22"/>
          <w:szCs w:val="20"/>
        </w:rPr>
        <w:t xml:space="preserve">Úřad zvláštního státního zástupce </w:t>
      </w:r>
    </w:p>
    <w:p>
      <w:pPr>
        <w:numPr>
          <w:ilvl w:val="0"/>
          <w:numId w:val="2"/>
        </w:numPr>
        <w:spacing w:after="0" w:line="264" w:lineRule="auto"/>
        <w:rPr>
          <w:rFonts w:eastAsia="Times New Roman" w:cs="Times New Roman"/>
          <w:noProof/>
          <w:sz w:val="22"/>
          <w:szCs w:val="20"/>
        </w:rPr>
      </w:pPr>
      <w:r>
        <w:rPr>
          <w:noProof/>
          <w:sz w:val="22"/>
          <w:szCs w:val="20"/>
        </w:rPr>
        <w:t>Nejvyšší soud</w:t>
      </w:r>
    </w:p>
    <w:p>
      <w:pPr>
        <w:numPr>
          <w:ilvl w:val="0"/>
          <w:numId w:val="2"/>
        </w:numPr>
        <w:spacing w:after="0" w:line="264" w:lineRule="auto"/>
        <w:rPr>
          <w:rFonts w:eastAsia="Times New Roman" w:cs="Times New Roman"/>
          <w:noProof/>
          <w:sz w:val="22"/>
          <w:szCs w:val="20"/>
        </w:rPr>
      </w:pPr>
      <w:r>
        <w:rPr>
          <w:noProof/>
          <w:sz w:val="22"/>
          <w:szCs w:val="20"/>
        </w:rPr>
        <w:t>Transparency International</w:t>
      </w:r>
    </w:p>
    <w:p>
      <w:pPr>
        <w:numPr>
          <w:ilvl w:val="0"/>
          <w:numId w:val="2"/>
        </w:numPr>
        <w:spacing w:after="0" w:line="264" w:lineRule="auto"/>
        <w:rPr>
          <w:rFonts w:eastAsia="Times New Roman" w:cs="Times New Roman"/>
          <w:noProof/>
          <w:sz w:val="22"/>
          <w:szCs w:val="20"/>
        </w:rPr>
      </w:pPr>
      <w:r>
        <w:rPr>
          <w:noProof/>
          <w:sz w:val="22"/>
          <w:szCs w:val="20"/>
        </w:rPr>
        <w:t>Via Iuris</w:t>
      </w:r>
    </w:p>
    <w:p>
      <w:pPr>
        <w:spacing w:after="120"/>
        <w:rPr>
          <w:rFonts w:eastAsia="Calibri"/>
          <w:noProof/>
          <w:sz w:val="22"/>
          <w:szCs w:val="24"/>
          <w:lang w:eastAsia="en-GB"/>
        </w:rPr>
      </w:pPr>
    </w:p>
    <w:p>
      <w:pPr>
        <w:rPr>
          <w:rFonts w:cs="Times New Roman"/>
          <w:noProof/>
          <w:sz w:val="22"/>
        </w:rPr>
      </w:pPr>
      <w:r>
        <w:rPr>
          <w:noProof/>
          <w:sz w:val="22"/>
        </w:rPr>
        <w:t>* Komise se na řadě horizontálních jednání setkala rovněž s těmito organizacemi:</w:t>
      </w:r>
    </w:p>
    <w:p>
      <w:pPr>
        <w:pStyle w:val="ListParagraph"/>
        <w:numPr>
          <w:ilvl w:val="0"/>
          <w:numId w:val="9"/>
        </w:numPr>
        <w:spacing w:after="160" w:line="259" w:lineRule="auto"/>
        <w:jc w:val="left"/>
        <w:rPr>
          <w:rFonts w:cs="Times New Roman"/>
          <w:noProof/>
          <w:sz w:val="22"/>
        </w:rPr>
      </w:pPr>
      <w:r>
        <w:rPr>
          <w:noProof/>
          <w:sz w:val="22"/>
        </w:rPr>
        <w:t>Amnesty International</w:t>
      </w:r>
    </w:p>
    <w:p>
      <w:pPr>
        <w:pStyle w:val="ListParagraph"/>
        <w:numPr>
          <w:ilvl w:val="0"/>
          <w:numId w:val="9"/>
        </w:numPr>
        <w:spacing w:after="160" w:line="259" w:lineRule="auto"/>
        <w:jc w:val="left"/>
        <w:rPr>
          <w:rFonts w:cs="Times New Roman"/>
          <w:noProof/>
          <w:sz w:val="22"/>
        </w:rPr>
      </w:pPr>
      <w:r>
        <w:rPr>
          <w:noProof/>
          <w:sz w:val="22"/>
        </w:rPr>
        <w:t>Centrum pro reprodukční práva</w:t>
      </w:r>
    </w:p>
    <w:p>
      <w:pPr>
        <w:pStyle w:val="ListParagraph"/>
        <w:numPr>
          <w:ilvl w:val="0"/>
          <w:numId w:val="9"/>
        </w:numPr>
        <w:spacing w:after="160" w:line="259" w:lineRule="auto"/>
        <w:jc w:val="left"/>
        <w:rPr>
          <w:rFonts w:cs="Times New Roman"/>
          <w:noProof/>
          <w:sz w:val="22"/>
        </w:rPr>
      </w:pPr>
      <w:r>
        <w:rPr>
          <w:noProof/>
          <w:sz w:val="22"/>
        </w:rPr>
        <w:t>CIVICUS</w:t>
      </w:r>
    </w:p>
    <w:p>
      <w:pPr>
        <w:pStyle w:val="ListParagraph"/>
        <w:numPr>
          <w:ilvl w:val="0"/>
          <w:numId w:val="9"/>
        </w:numPr>
        <w:spacing w:after="160" w:line="259" w:lineRule="auto"/>
        <w:jc w:val="left"/>
        <w:rPr>
          <w:rFonts w:cs="Times New Roman"/>
          <w:noProof/>
          <w:sz w:val="22"/>
        </w:rPr>
      </w:pPr>
      <w:r>
        <w:rPr>
          <w:noProof/>
          <w:sz w:val="22"/>
        </w:rPr>
        <w:t>Unie občanských svobod pro Evropu</w:t>
      </w:r>
    </w:p>
    <w:p>
      <w:pPr>
        <w:pStyle w:val="ListParagraph"/>
        <w:numPr>
          <w:ilvl w:val="0"/>
          <w:numId w:val="9"/>
        </w:numPr>
        <w:spacing w:after="160" w:line="259" w:lineRule="auto"/>
        <w:jc w:val="left"/>
        <w:rPr>
          <w:rFonts w:cs="Times New Roman"/>
          <w:noProof/>
          <w:sz w:val="22"/>
        </w:rPr>
      </w:pPr>
      <w:r>
        <w:rPr>
          <w:noProof/>
          <w:sz w:val="22"/>
        </w:rPr>
        <w:t>Civil Society Europe</w:t>
      </w:r>
    </w:p>
    <w:p>
      <w:pPr>
        <w:pStyle w:val="ListParagraph"/>
        <w:numPr>
          <w:ilvl w:val="0"/>
          <w:numId w:val="9"/>
        </w:numPr>
        <w:spacing w:after="160" w:line="259" w:lineRule="auto"/>
        <w:jc w:val="left"/>
        <w:rPr>
          <w:rFonts w:cs="Times New Roman"/>
          <w:noProof/>
          <w:sz w:val="22"/>
        </w:rPr>
      </w:pPr>
      <w:r>
        <w:rPr>
          <w:noProof/>
          <w:sz w:val="22"/>
        </w:rPr>
        <w:t>Konference evropských církví</w:t>
      </w:r>
    </w:p>
    <w:p>
      <w:pPr>
        <w:pStyle w:val="ListParagraph"/>
        <w:numPr>
          <w:ilvl w:val="0"/>
          <w:numId w:val="9"/>
        </w:numPr>
        <w:spacing w:after="160" w:line="259" w:lineRule="auto"/>
        <w:jc w:val="left"/>
        <w:rPr>
          <w:rFonts w:cs="Times New Roman"/>
          <w:noProof/>
          <w:sz w:val="22"/>
        </w:rPr>
      </w:pPr>
      <w:r>
        <w:rPr>
          <w:noProof/>
          <w:sz w:val="22"/>
        </w:rPr>
        <w:t>EuroCommerce</w:t>
      </w:r>
    </w:p>
    <w:p>
      <w:pPr>
        <w:pStyle w:val="ListParagraph"/>
        <w:numPr>
          <w:ilvl w:val="0"/>
          <w:numId w:val="9"/>
        </w:numPr>
        <w:spacing w:after="160" w:line="259" w:lineRule="auto"/>
        <w:jc w:val="left"/>
        <w:rPr>
          <w:rFonts w:cs="Times New Roman"/>
          <w:noProof/>
          <w:sz w:val="22"/>
        </w:rPr>
      </w:pPr>
      <w:r>
        <w:rPr>
          <w:noProof/>
          <w:sz w:val="22"/>
        </w:rPr>
        <w:t>Evropské středisko pro právní záležitosti neziskového sektoru</w:t>
      </w:r>
    </w:p>
    <w:p>
      <w:pPr>
        <w:pStyle w:val="ListParagraph"/>
        <w:numPr>
          <w:ilvl w:val="0"/>
          <w:numId w:val="9"/>
        </w:numPr>
        <w:spacing w:after="160" w:line="259" w:lineRule="auto"/>
        <w:jc w:val="left"/>
        <w:rPr>
          <w:rFonts w:cs="Times New Roman"/>
          <w:noProof/>
          <w:sz w:val="22"/>
        </w:rPr>
      </w:pPr>
      <w:r>
        <w:rPr>
          <w:noProof/>
          <w:sz w:val="22"/>
        </w:rPr>
        <w:t>Evropské středisko pro svobodu tisku a sdělovacích prostředků</w:t>
      </w:r>
    </w:p>
    <w:p>
      <w:pPr>
        <w:pStyle w:val="ListParagraph"/>
        <w:numPr>
          <w:ilvl w:val="0"/>
          <w:numId w:val="9"/>
        </w:numPr>
        <w:spacing w:after="160" w:line="259" w:lineRule="auto"/>
        <w:jc w:val="left"/>
        <w:rPr>
          <w:rFonts w:cs="Times New Roman"/>
          <w:noProof/>
          <w:sz w:val="22"/>
        </w:rPr>
      </w:pPr>
      <w:r>
        <w:rPr>
          <w:noProof/>
          <w:sz w:val="22"/>
        </w:rPr>
        <w:t>Evropské občanské fórum</w:t>
      </w:r>
    </w:p>
    <w:p>
      <w:pPr>
        <w:pStyle w:val="ListParagraph"/>
        <w:numPr>
          <w:ilvl w:val="0"/>
          <w:numId w:val="9"/>
        </w:numPr>
        <w:spacing w:after="160" w:line="259" w:lineRule="auto"/>
        <w:jc w:val="left"/>
        <w:rPr>
          <w:rFonts w:cs="Times New Roman"/>
          <w:noProof/>
          <w:sz w:val="22"/>
        </w:rPr>
      </w:pPr>
      <w:r>
        <w:rPr>
          <w:noProof/>
          <w:sz w:val="22"/>
        </w:rPr>
        <w:t>Evropská federace novinářů</w:t>
      </w:r>
    </w:p>
    <w:p>
      <w:pPr>
        <w:pStyle w:val="ListParagraph"/>
        <w:numPr>
          <w:ilvl w:val="0"/>
          <w:numId w:val="9"/>
        </w:numPr>
        <w:spacing w:after="160" w:line="259" w:lineRule="auto"/>
        <w:jc w:val="left"/>
        <w:rPr>
          <w:rFonts w:cs="Times New Roman"/>
          <w:noProof/>
          <w:sz w:val="22"/>
        </w:rPr>
      </w:pPr>
      <w:r>
        <w:rPr>
          <w:noProof/>
          <w:sz w:val="22"/>
        </w:rPr>
        <w:t xml:space="preserve">Evropské partnerství pro demokracii </w:t>
      </w:r>
    </w:p>
    <w:p>
      <w:pPr>
        <w:pStyle w:val="ListParagraph"/>
        <w:numPr>
          <w:ilvl w:val="0"/>
          <w:numId w:val="9"/>
        </w:numPr>
        <w:spacing w:after="160" w:line="259" w:lineRule="auto"/>
        <w:jc w:val="left"/>
        <w:rPr>
          <w:rFonts w:cs="Times New Roman"/>
          <w:noProof/>
          <w:sz w:val="22"/>
        </w:rPr>
      </w:pPr>
      <w:r>
        <w:rPr>
          <w:noProof/>
          <w:sz w:val="22"/>
        </w:rPr>
        <w:t>Evropské fórum mládeže</w:t>
      </w:r>
    </w:p>
    <w:p>
      <w:pPr>
        <w:pStyle w:val="ListParagraph"/>
        <w:numPr>
          <w:ilvl w:val="0"/>
          <w:numId w:val="9"/>
        </w:numPr>
        <w:spacing w:after="160" w:line="259" w:lineRule="auto"/>
        <w:jc w:val="left"/>
        <w:rPr>
          <w:rFonts w:cs="Times New Roman"/>
          <w:noProof/>
          <w:sz w:val="22"/>
        </w:rPr>
      </w:pPr>
      <w:r>
        <w:rPr>
          <w:noProof/>
          <w:sz w:val="22"/>
        </w:rPr>
        <w:t>Front Line Defenders</w:t>
      </w:r>
    </w:p>
    <w:p>
      <w:pPr>
        <w:pStyle w:val="ListParagraph"/>
        <w:numPr>
          <w:ilvl w:val="0"/>
          <w:numId w:val="9"/>
        </w:numPr>
        <w:spacing w:after="160" w:line="259" w:lineRule="auto"/>
        <w:jc w:val="left"/>
        <w:rPr>
          <w:rFonts w:cs="Times New Roman"/>
          <w:noProof/>
          <w:sz w:val="22"/>
        </w:rPr>
      </w:pPr>
      <w:r>
        <w:rPr>
          <w:noProof/>
          <w:sz w:val="22"/>
        </w:rPr>
        <w:t xml:space="preserve">Human Rights House Foundation </w:t>
      </w:r>
    </w:p>
    <w:p>
      <w:pPr>
        <w:pStyle w:val="ListParagraph"/>
        <w:numPr>
          <w:ilvl w:val="0"/>
          <w:numId w:val="9"/>
        </w:numPr>
        <w:spacing w:after="160" w:line="259" w:lineRule="auto"/>
        <w:jc w:val="left"/>
        <w:rPr>
          <w:rFonts w:cs="Times New Roman"/>
          <w:noProof/>
          <w:sz w:val="22"/>
        </w:rPr>
      </w:pPr>
      <w:r>
        <w:rPr>
          <w:noProof/>
          <w:sz w:val="22"/>
        </w:rPr>
        <w:t xml:space="preserve">Human Rights Watch </w:t>
      </w:r>
    </w:p>
    <w:p>
      <w:pPr>
        <w:pStyle w:val="ListParagraph"/>
        <w:numPr>
          <w:ilvl w:val="0"/>
          <w:numId w:val="9"/>
        </w:numPr>
        <w:spacing w:after="160" w:line="259" w:lineRule="auto"/>
        <w:jc w:val="left"/>
        <w:rPr>
          <w:rFonts w:cs="Times New Roman"/>
          <w:noProof/>
          <w:sz w:val="22"/>
        </w:rPr>
      </w:pPr>
      <w:r>
        <w:rPr>
          <w:noProof/>
          <w:sz w:val="22"/>
        </w:rPr>
        <w:t>ILGA-Europe</w:t>
      </w:r>
    </w:p>
    <w:p>
      <w:pPr>
        <w:pStyle w:val="ListParagraph"/>
        <w:numPr>
          <w:ilvl w:val="0"/>
          <w:numId w:val="9"/>
        </w:numPr>
        <w:spacing w:after="160" w:line="259" w:lineRule="auto"/>
        <w:jc w:val="left"/>
        <w:rPr>
          <w:rFonts w:cs="Times New Roman"/>
          <w:noProof/>
          <w:sz w:val="22"/>
        </w:rPr>
      </w:pPr>
      <w:r>
        <w:rPr>
          <w:noProof/>
          <w:sz w:val="22"/>
        </w:rPr>
        <w:t>Mezinárodní výbor právníků</w:t>
      </w:r>
    </w:p>
    <w:p>
      <w:pPr>
        <w:pStyle w:val="ListParagraph"/>
        <w:numPr>
          <w:ilvl w:val="0"/>
          <w:numId w:val="9"/>
        </w:numPr>
        <w:spacing w:after="160" w:line="259" w:lineRule="auto"/>
        <w:jc w:val="left"/>
        <w:rPr>
          <w:rFonts w:cs="Times New Roman"/>
          <w:noProof/>
          <w:sz w:val="22"/>
        </w:rPr>
      </w:pPr>
      <w:r>
        <w:rPr>
          <w:noProof/>
          <w:sz w:val="22"/>
        </w:rPr>
        <w:t>Mezinárodní federace pro lidská práva</w:t>
      </w:r>
    </w:p>
    <w:p>
      <w:pPr>
        <w:pStyle w:val="ListParagraph"/>
        <w:numPr>
          <w:ilvl w:val="0"/>
          <w:numId w:val="9"/>
        </w:numPr>
        <w:spacing w:after="160" w:line="259" w:lineRule="auto"/>
        <w:jc w:val="left"/>
        <w:rPr>
          <w:rFonts w:cs="Times New Roman"/>
          <w:noProof/>
          <w:sz w:val="22"/>
        </w:rPr>
      </w:pPr>
      <w:r>
        <w:rPr>
          <w:noProof/>
          <w:sz w:val="22"/>
        </w:rPr>
        <w:t>Evropská síť Mezinárodní federace pro plánované rodičovství (IPPF EN)</w:t>
      </w:r>
    </w:p>
    <w:p>
      <w:pPr>
        <w:pStyle w:val="ListParagraph"/>
        <w:numPr>
          <w:ilvl w:val="0"/>
          <w:numId w:val="9"/>
        </w:numPr>
        <w:spacing w:after="160" w:line="259" w:lineRule="auto"/>
        <w:jc w:val="left"/>
        <w:rPr>
          <w:rFonts w:cs="Times New Roman"/>
          <w:noProof/>
          <w:sz w:val="22"/>
        </w:rPr>
      </w:pPr>
      <w:r>
        <w:rPr>
          <w:noProof/>
          <w:sz w:val="22"/>
        </w:rPr>
        <w:t>Mezinárodní tiskový institut</w:t>
      </w:r>
    </w:p>
    <w:p>
      <w:pPr>
        <w:pStyle w:val="ListParagraph"/>
        <w:numPr>
          <w:ilvl w:val="0"/>
          <w:numId w:val="9"/>
        </w:numPr>
        <w:spacing w:after="160" w:line="259" w:lineRule="auto"/>
        <w:jc w:val="left"/>
        <w:rPr>
          <w:rFonts w:cs="Times New Roman"/>
          <w:noProof/>
          <w:sz w:val="22"/>
        </w:rPr>
      </w:pPr>
      <w:r>
        <w:rPr>
          <w:noProof/>
          <w:sz w:val="22"/>
        </w:rPr>
        <w:t xml:space="preserve">Nizozemský helsinský výbor </w:t>
      </w:r>
    </w:p>
    <w:p>
      <w:pPr>
        <w:pStyle w:val="ListParagraph"/>
        <w:numPr>
          <w:ilvl w:val="0"/>
          <w:numId w:val="9"/>
        </w:numPr>
        <w:spacing w:after="160" w:line="259" w:lineRule="auto"/>
        <w:jc w:val="left"/>
        <w:rPr>
          <w:rFonts w:cs="Times New Roman"/>
          <w:noProof/>
          <w:sz w:val="22"/>
        </w:rPr>
      </w:pPr>
      <w:r>
        <w:rPr>
          <w:noProof/>
          <w:sz w:val="22"/>
        </w:rPr>
        <w:t>Institut evropské politiky nadace Open Society</w:t>
      </w:r>
    </w:p>
    <w:p>
      <w:pPr>
        <w:pStyle w:val="ListParagraph"/>
        <w:numPr>
          <w:ilvl w:val="0"/>
          <w:numId w:val="9"/>
        </w:numPr>
        <w:spacing w:after="160" w:line="259" w:lineRule="auto"/>
        <w:jc w:val="left"/>
        <w:rPr>
          <w:rFonts w:cs="Times New Roman"/>
          <w:noProof/>
          <w:sz w:val="22"/>
        </w:rPr>
      </w:pPr>
      <w:r>
        <w:rPr>
          <w:noProof/>
          <w:sz w:val="22"/>
        </w:rPr>
        <w:t>Philanthropy Advocacy</w:t>
      </w:r>
    </w:p>
    <w:p>
      <w:pPr>
        <w:pStyle w:val="ListParagraph"/>
        <w:numPr>
          <w:ilvl w:val="0"/>
          <w:numId w:val="9"/>
        </w:numPr>
        <w:spacing w:after="160" w:line="259" w:lineRule="auto"/>
        <w:jc w:val="left"/>
        <w:rPr>
          <w:rFonts w:cs="Times New Roman"/>
          <w:noProof/>
          <w:sz w:val="22"/>
        </w:rPr>
      </w:pPr>
      <w:r>
        <w:rPr>
          <w:noProof/>
          <w:sz w:val="22"/>
        </w:rPr>
        <w:t xml:space="preserve">Protection International </w:t>
      </w:r>
    </w:p>
    <w:p>
      <w:pPr>
        <w:pStyle w:val="ListParagraph"/>
        <w:numPr>
          <w:ilvl w:val="0"/>
          <w:numId w:val="9"/>
        </w:numPr>
        <w:spacing w:after="160" w:line="259" w:lineRule="auto"/>
        <w:jc w:val="left"/>
        <w:rPr>
          <w:rFonts w:cs="Times New Roman"/>
          <w:noProof/>
          <w:sz w:val="22"/>
        </w:rPr>
      </w:pPr>
      <w:r>
        <w:rPr>
          <w:noProof/>
          <w:sz w:val="22"/>
        </w:rPr>
        <w:t>Reportéři bez hranic</w:t>
      </w:r>
    </w:p>
    <w:p>
      <w:pPr>
        <w:pStyle w:val="ListParagraph"/>
        <w:numPr>
          <w:ilvl w:val="0"/>
          <w:numId w:val="9"/>
        </w:numPr>
        <w:spacing w:after="160" w:line="259" w:lineRule="auto"/>
        <w:jc w:val="left"/>
        <w:rPr>
          <w:rFonts w:cs="Times New Roman"/>
          <w:noProof/>
          <w:sz w:val="22"/>
        </w:rPr>
      </w:pPr>
      <w:r>
        <w:rPr>
          <w:noProof/>
          <w:sz w:val="22"/>
        </w:rPr>
        <w:t>Transparency International EU</w:t>
      </w:r>
    </w:p>
    <w:p>
      <w:pPr>
        <w:rPr>
          <w:noProof/>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3577A1" w16cex:dateUtc="2021-06-08T15:13:26.167Z"/>
  <w16cex:commentExtensible w16cex:durableId="704E952A" w16cex:dateUtc="2021-06-08T15:13:34.106Z"/>
  <w16cex:commentExtensible w16cex:durableId="547DBF81" w16cex:dateUtc="2021-06-08T16:08:10.65Z"/>
  <w16cex:commentExtensible w16cex:durableId="5132D335" w16cex:dateUtc="2021-06-08T16:08:47.364Z"/>
  <w16cex:commentExtensible w16cex:durableId="57D08228" w16cex:dateUtc="2021-06-08T16:14:25.577Z"/>
  <w16cex:commentExtensible w16cex:durableId="0BDE1965" w16cex:dateUtc="2021-06-08T16:31:38.953Z"/>
  <w16cex:commentExtensible w16cex:durableId="09C0E310" w16cex:dateUtc="2021-06-09T09:09:05.804Z"/>
  <w16cex:commentExtensible w16cex:durableId="76686EF6" w16cex:dateUtc="2021-06-14T17:28:25.349Z"/>
</w16cex:commentsExtensible>
</file>

<file path=word/commentsIds.xml><?xml version="1.0" encoding="utf-8"?>
<w16cid:commentsIds xmlns:mc="http://schemas.openxmlformats.org/markup-compatibility/2006" xmlns:w16cid="http://schemas.microsoft.com/office/word/2016/wordml/cid" mc:Ignorable="w16cid">
  <w16cid:commentId w16cid:paraId="3E253AB6" w16cid:durableId="18659C65"/>
  <w16cid:commentId w16cid:paraId="643F9114" w16cid:durableId="714D930C"/>
  <w16cid:commentId w16cid:paraId="0475D6D1" w16cid:durableId="2B47EC54"/>
  <w16cid:commentId w16cid:paraId="1DFE22E0" w16cid:durableId="41F7B415"/>
  <w16cid:commentId w16cid:paraId="79DDEA4B" w16cid:durableId="34DD19AF"/>
  <w16cid:commentId w16cid:paraId="6C88E9A3" w16cid:durableId="4E14ADB0"/>
  <w16cid:commentId w16cid:paraId="71932B1A" w16cid:durableId="3D2ADF2D"/>
  <w16cid:commentId w16cid:paraId="6CCF03C6" w16cid:durableId="00A3BE9F"/>
  <w16cid:commentId w16cid:paraId="41E31314" w16cid:durableId="403C92CC"/>
  <w16cid:commentId w16cid:paraId="782148C2" w16cid:durableId="6D7D0E32"/>
  <w16cid:commentId w16cid:paraId="13B1A125" w16cid:durableId="08184EDD"/>
  <w16cid:commentId w16cid:paraId="5C0FDDF0" w16cid:durableId="6CED35C2"/>
  <w16cid:commentId w16cid:paraId="3DBB6B06" w16cid:durableId="2D141894"/>
  <w16cid:commentId w16cid:paraId="7B76E0BC" w16cid:durableId="47F26F24"/>
  <w16cid:commentId w16cid:paraId="6AEA788E" w16cid:durableId="3BE4E5BF"/>
  <w16cid:commentId w16cid:paraId="46529485" w16cid:durableId="02C40FC9"/>
  <w16cid:commentId w16cid:paraId="0DAD5371" w16cid:durableId="3F8FFE2F"/>
  <w16cid:commentId w16cid:paraId="47B8FEC6" w16cid:durableId="7EE24AA1"/>
  <w16cid:commentId w16cid:paraId="4130619B" w16cid:durableId="5E18B7DA"/>
  <w16cid:commentId w16cid:paraId="630E2933" w16cid:durableId="7F1E5A90"/>
  <w16cid:commentId w16cid:paraId="19375335" w16cid:durableId="3F9F62E5"/>
  <w16cid:commentId w16cid:paraId="06095B19" w16cid:durableId="3E864EF9"/>
  <w16cid:commentId w16cid:paraId="4C2DC364" w16cid:durableId="5F631AA9"/>
  <w16cid:commentId w16cid:paraId="04490D7A" w16cid:durableId="47698B26"/>
  <w16cid:commentId w16cid:paraId="7F8525D4" w16cid:durableId="6BDFD937"/>
  <w16cid:commentId w16cid:paraId="5602DEE6" w16cid:durableId="794009E3"/>
  <w16cid:commentId w16cid:paraId="27D9A4A3" w16cid:durableId="1E3577A1"/>
  <w16cid:commentId w16cid:paraId="6F472775" w16cid:durableId="704E952A"/>
  <w16cid:commentId w16cid:paraId="30D69305" w16cid:durableId="547DBF81"/>
  <w16cid:commentId w16cid:paraId="0C2499B8" w16cid:durableId="5132D335"/>
  <w16cid:commentId w16cid:paraId="30DBE292" w16cid:durableId="57D08228"/>
  <w16cid:commentId w16cid:paraId="36B6EE9F" w16cid:durableId="0BDE1965"/>
  <w16cid:commentId w16cid:paraId="475BF795" w16cid:durableId="33FB3024"/>
  <w16cid:commentId w16cid:paraId="5664242E" w16cid:durableId="33E5503F"/>
  <w16cid:commentId w16cid:paraId="2EECAC43" w16cid:durableId="71B75642"/>
  <w16cid:commentId w16cid:paraId="4E75CB30" w16cid:durableId="7BE4E21B"/>
  <w16cid:commentId w16cid:paraId="35117657" w16cid:durableId="03A01F31"/>
  <w16cid:commentId w16cid:paraId="2FB28C08" w16cid:durableId="6DBAD305"/>
  <w16cid:commentId w16cid:paraId="57D16634" w16cid:durableId="09C0E310"/>
  <w16cid:commentId w16cid:paraId="27D45F53" w16cid:durableId="38BB7D6A"/>
  <w16cid:commentId w16cid:paraId="366CA039" w16cid:durableId="76686E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55467462"/>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94248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 xml:space="preserve"> </w:t>
      </w:r>
      <w:r>
        <w:tab/>
        <w:t>Popis soudního systému je k dispozici např. ve výroční studii pro Evropskou komisi provedené Komisí Rady Evropy pro účinnost soudnictví (CEPEJ).</w:t>
      </w:r>
    </w:p>
  </w:footnote>
  <w:footnote w:id="3">
    <w:p>
      <w:pPr>
        <w:pStyle w:val="FootnoteText"/>
        <w:rPr>
          <w:rFonts w:cs="Times New Roman"/>
        </w:rPr>
      </w:pPr>
      <w:r>
        <w:rPr>
          <w:rStyle w:val="FootnoteReference"/>
          <w:rFonts w:cs="Times New Roman"/>
        </w:rPr>
        <w:footnoteRef/>
      </w:r>
      <w:r>
        <w:t xml:space="preserve"> </w:t>
      </w:r>
      <w:r>
        <w:tab/>
        <w:t>Slovenský trestní řád, paragraf 14 (např. úkladná vražda, korupce, terorismus, organizovaná trestná činnost, závažné hospodářské trestné činy, poškozování finančních zájmů EU atd.).</w:t>
      </w:r>
    </w:p>
  </w:footnote>
  <w:footnote w:id="4">
    <w:p>
      <w:pPr>
        <w:pStyle w:val="FootnoteText"/>
        <w:rPr>
          <w:rFonts w:cs="Times New Roman"/>
        </w:rPr>
      </w:pPr>
      <w:r>
        <w:rPr>
          <w:rStyle w:val="FootnoteReference"/>
          <w:rFonts w:cs="Times New Roman"/>
        </w:rPr>
        <w:footnoteRef/>
      </w:r>
      <w:r>
        <w:t xml:space="preserve"> </w:t>
      </w:r>
      <w:r>
        <w:tab/>
        <w:t>Článek 141a slovenské ústavy.</w:t>
      </w:r>
    </w:p>
  </w:footnote>
  <w:footnote w:id="5">
    <w:p>
      <w:pPr>
        <w:pStyle w:val="FootnoteText"/>
        <w:rPr>
          <w:rFonts w:cs="Times New Roman"/>
        </w:rPr>
      </w:pPr>
      <w:r>
        <w:rPr>
          <w:rStyle w:val="FootnoteReference"/>
          <w:rFonts w:cs="Times New Roman"/>
        </w:rPr>
        <w:footnoteRef/>
      </w:r>
      <w:r>
        <w:t xml:space="preserve"> </w:t>
      </w:r>
      <w:r>
        <w:tab/>
        <w:t>Články 149–151 slovenské ústavy; zákon č. 153/2001 Sb., o prokuratuře.</w:t>
      </w:r>
    </w:p>
  </w:footnote>
  <w:footnote w:id="6">
    <w:p>
      <w:pPr>
        <w:pStyle w:val="FootnoteText"/>
        <w:rPr>
          <w:rFonts w:cs="Times New Roman"/>
        </w:rPr>
      </w:pPr>
      <w:r>
        <w:rPr>
          <w:rStyle w:val="FootnoteReference"/>
          <w:rFonts w:cs="Times New Roman"/>
        </w:rPr>
        <w:footnoteRef/>
      </w:r>
      <w:r>
        <w:t xml:space="preserve"> </w:t>
      </w:r>
      <w:r>
        <w:tab/>
        <w:t>Parlamentní zákon č. 586/2003 Sb., o advokacii a o změně a doplnění zákona č. 455/1991 Sb., o živnostenském podnikání (živnostenský zákon) ze dne 4. prosince 2003.</w:t>
      </w:r>
    </w:p>
  </w:footnote>
  <w:footnote w:id="7">
    <w:p>
      <w:pPr>
        <w:pStyle w:val="FootnoteText"/>
      </w:pPr>
      <w:r>
        <w:rPr>
          <w:rStyle w:val="FootnoteReference"/>
        </w:rPr>
        <w:footnoteRef/>
      </w:r>
      <w:r>
        <w:t xml:space="preserve"> </w:t>
      </w:r>
      <w:r>
        <w:tab/>
        <w:t>Graf 50, Srovnávací přehled EU o soudnictví z roku 2021. Míra vnímané nezávislosti soudů se dělí do těchto kategorií: velmi nízká (méně než 30 % respondentů vnímá nezávislost soudů jako docela dobrou a velmi dobrou); nízká (30 až 39 %), průměrná (40 až 59 %), vysoká (60 až 75 %), velmi vysoká (více než 75 %).</w:t>
      </w:r>
    </w:p>
  </w:footnote>
  <w:footnote w:id="8">
    <w:p>
      <w:pPr>
        <w:pStyle w:val="FootnoteText"/>
      </w:pPr>
      <w:r>
        <w:rPr>
          <w:rStyle w:val="FootnoteReference"/>
        </w:rPr>
        <w:footnoteRef/>
      </w:r>
      <w:r>
        <w:t xml:space="preserve"> </w:t>
      </w:r>
      <w:r>
        <w:tab/>
        <w:t xml:space="preserve">Graf 49, Srovnávací přehled EU o soudnictví z roku 2021. </w:t>
      </w:r>
    </w:p>
  </w:footnote>
  <w:footnote w:id="9">
    <w:p>
      <w:pPr>
        <w:pStyle w:val="FootnoteText"/>
      </w:pPr>
      <w:r>
        <w:rPr>
          <w:rStyle w:val="FootnoteReference"/>
        </w:rPr>
        <w:footnoteRef/>
      </w:r>
      <w:r>
        <w:t xml:space="preserve"> </w:t>
      </w:r>
      <w:r>
        <w:tab/>
        <w:t>Zpráva o právním státu 2020, kapitola o stavu právního státu na Slovensku, s. 2–3.</w:t>
      </w:r>
    </w:p>
  </w:footnote>
  <w:footnote w:id="10">
    <w:p>
      <w:pPr>
        <w:pStyle w:val="FootnoteText"/>
      </w:pPr>
      <w:r>
        <w:rPr>
          <w:rStyle w:val="FootnoteReference"/>
        </w:rPr>
        <w:footnoteRef/>
      </w:r>
      <w:r>
        <w:t xml:space="preserve"> </w:t>
      </w:r>
      <w:r>
        <w:tab/>
        <w:t xml:space="preserve">Grafy 49 a 51, Srovnávací přehled EU o soudnictví z roku 2021. </w:t>
      </w:r>
    </w:p>
  </w:footnote>
  <w:footnote w:id="11">
    <w:p>
      <w:pPr>
        <w:pStyle w:val="FootnoteText"/>
      </w:pPr>
      <w:r>
        <w:rPr>
          <w:rStyle w:val="FootnoteReference"/>
        </w:rPr>
        <w:footnoteRef/>
      </w:r>
      <w:r>
        <w:t xml:space="preserve"> </w:t>
      </w:r>
      <w:r>
        <w:tab/>
        <w:t>Zpráva o právním státu 2020, kapitola o stavu právního státu na Slovensku, s. 2</w:t>
      </w:r>
    </w:p>
  </w:footnote>
  <w:footnote w:id="12">
    <w:p>
      <w:pPr>
        <w:pStyle w:val="FootnoteText"/>
      </w:pPr>
      <w:r>
        <w:rPr>
          <w:rStyle w:val="FootnoteReference"/>
        </w:rPr>
        <w:footnoteRef/>
      </w:r>
      <w:r>
        <w:t xml:space="preserve"> </w:t>
      </w:r>
      <w:r>
        <w:tab/>
        <w:t>Od května 2021. Informace poskytnuté Soudní radou Slovenské republiky.</w:t>
      </w:r>
    </w:p>
  </w:footnote>
  <w:footnote w:id="13">
    <w:p>
      <w:pPr>
        <w:pStyle w:val="FootnoteText"/>
      </w:pPr>
      <w:r>
        <w:rPr>
          <w:rStyle w:val="FootnoteReference"/>
        </w:rPr>
        <w:footnoteRef/>
      </w:r>
      <w:r>
        <w:t xml:space="preserve"> </w:t>
      </w:r>
      <w:r>
        <w:tab/>
        <w:t xml:space="preserve">Prokurátoři, policisté a právníci včetně vysoce postavených úředníků, jako je například bývalý policejní prezident, generální prokurátor, speciální prokurátor nebo bývalý státní tajemník Ministerstva spravedlnosti. </w:t>
      </w:r>
    </w:p>
  </w:footnote>
  <w:footnote w:id="14">
    <w:p>
      <w:pPr>
        <w:pStyle w:val="FootnoteText"/>
      </w:pPr>
      <w:r>
        <w:rPr>
          <w:rStyle w:val="FootnoteReference"/>
        </w:rPr>
        <w:footnoteRef/>
      </w:r>
      <w:r>
        <w:t xml:space="preserve"> </w:t>
      </w:r>
      <w:r>
        <w:tab/>
        <w:t>Informace poskytnuté slovenskými orgány.</w:t>
      </w:r>
    </w:p>
  </w:footnote>
  <w:footnote w:id="15">
    <w:p>
      <w:pPr>
        <w:pStyle w:val="FootnoteText"/>
      </w:pPr>
      <w:r>
        <w:rPr>
          <w:rStyle w:val="FootnoteReference"/>
        </w:rPr>
        <w:footnoteRef/>
      </w:r>
      <w:r>
        <w:t xml:space="preserve"> </w:t>
      </w:r>
      <w:r>
        <w:tab/>
        <w:t>Doporučení Rady ze dne 20. května 2020 k národnímu programu reforem Slovenska na rok 2020 a stanovisko Rady k programu stability Slovenska z roku 2020, COM(2020) 525 final.</w:t>
      </w:r>
    </w:p>
  </w:footnote>
  <w:footnote w:id="16">
    <w:p>
      <w:pPr>
        <w:pStyle w:val="FootnoteText"/>
      </w:pPr>
      <w:r>
        <w:rPr>
          <w:rStyle w:val="FootnoteReference"/>
        </w:rPr>
        <w:footnoteRef/>
      </w:r>
      <w:r>
        <w:t xml:space="preserve"> </w:t>
      </w:r>
      <w:r>
        <w:tab/>
        <w:t>Programové prohlášení vlády Slovenské republiky na období roků 2020–2024 ze dne 19. dubna 2020, s. 8.</w:t>
      </w:r>
    </w:p>
  </w:footnote>
  <w:footnote w:id="17">
    <w:p>
      <w:pPr>
        <w:pStyle w:val="FootnoteText"/>
      </w:pPr>
      <w:r>
        <w:rPr>
          <w:rStyle w:val="FootnoteReference"/>
        </w:rPr>
        <w:footnoteRef/>
      </w:r>
      <w:r>
        <w:t xml:space="preserve"> </w:t>
      </w:r>
      <w:r>
        <w:tab/>
        <w:t>Zpráva o právním státu 2020, kapitola o stavu právního státu na Slovensku, s. 3.</w:t>
      </w:r>
    </w:p>
  </w:footnote>
  <w:footnote w:id="18">
    <w:p>
      <w:pPr>
        <w:pStyle w:val="FootnoteText"/>
      </w:pPr>
      <w:r>
        <w:rPr>
          <w:rStyle w:val="FootnoteReference"/>
        </w:rPr>
        <w:footnoteRef/>
      </w:r>
      <w:r>
        <w:t xml:space="preserve"> </w:t>
      </w:r>
      <w:r>
        <w:tab/>
        <w:t xml:space="preserve">Příspěvek od organizace Via Iuris (Unie občanských svobod) ke zprávě o právním státu 2021, s. 3; informace obdržené v souvislosti s návštěvou Slovenska. </w:t>
      </w:r>
    </w:p>
  </w:footnote>
  <w:footnote w:id="19">
    <w:p>
      <w:pPr>
        <w:pStyle w:val="FootnoteText"/>
      </w:pPr>
      <w:r>
        <w:rPr>
          <w:rStyle w:val="FootnoteReference"/>
        </w:rPr>
        <w:footnoteRef/>
      </w:r>
      <w:r>
        <w:t xml:space="preserve"> </w:t>
      </w:r>
      <w:r>
        <w:tab/>
        <w:t>Příspěvek od organizace Via Iuris (Unie občanských svobod) ke zprávě o právním státu 2021, s. 3; informace obdržené v souvislosti s návštěvou Slovenska.</w:t>
      </w:r>
    </w:p>
  </w:footnote>
  <w:footnote w:id="20">
    <w:p>
      <w:pPr>
        <w:pStyle w:val="FootnoteText"/>
      </w:pPr>
      <w:r>
        <w:rPr>
          <w:rStyle w:val="FootnoteReference"/>
        </w:rPr>
        <w:footnoteRef/>
      </w:r>
      <w:r>
        <w:t xml:space="preserve"> </w:t>
      </w:r>
      <w:r>
        <w:tab/>
        <w:t>Zpráva o právním státu 2020, kapitola o stavu právního státu na Slovensku, s. 4.</w:t>
      </w:r>
    </w:p>
  </w:footnote>
  <w:footnote w:id="21">
    <w:p>
      <w:pPr>
        <w:pStyle w:val="FootnoteText"/>
      </w:pPr>
      <w:r>
        <w:rPr>
          <w:rStyle w:val="FootnoteReference"/>
        </w:rPr>
        <w:footnoteRef/>
      </w:r>
      <w:r>
        <w:t xml:space="preserve"> </w:t>
      </w:r>
      <w:r>
        <w:tab/>
        <w:t>Rada se skládá z 18 členů, z nichž polovina jsou soudci volení svými kolegy. Vláda, parlament a prezident republiky volí rovněž po třech členech. Toto složení je v souladu s doporučením Výboru ministrů Rady Evropy CM/Rec(2010)12, body 26–27.</w:t>
      </w:r>
    </w:p>
  </w:footnote>
  <w:footnote w:id="22">
    <w:p>
      <w:pPr>
        <w:pStyle w:val="FootnoteText"/>
      </w:pPr>
      <w:r>
        <w:rPr>
          <w:rStyle w:val="FootnoteReference"/>
        </w:rPr>
        <w:footnoteRef/>
      </w:r>
      <w:r>
        <w:t xml:space="preserve"> </w:t>
      </w:r>
      <w:r>
        <w:tab/>
        <w:t>Doporučení Výboru ministrů Rady Evropy CM/Rec(2010)12, bod 27.</w:t>
      </w:r>
    </w:p>
  </w:footnote>
  <w:footnote w:id="23">
    <w:p>
      <w:pPr>
        <w:pStyle w:val="FootnoteText"/>
      </w:pPr>
      <w:r>
        <w:rPr>
          <w:rStyle w:val="FootnoteReference"/>
        </w:rPr>
        <w:footnoteRef/>
      </w:r>
      <w:r>
        <w:t xml:space="preserve"> </w:t>
      </w:r>
      <w:r>
        <w:tab/>
        <w:t xml:space="preserve">Tato změna uděluje Soudní radě zejména pravomoc posuzovat majetková přiznání soudců. </w:t>
      </w:r>
    </w:p>
  </w:footnote>
  <w:footnote w:id="24">
    <w:p>
      <w:pPr>
        <w:pStyle w:val="FootnoteText"/>
      </w:pPr>
      <w:r>
        <w:rPr>
          <w:rStyle w:val="FootnoteReference"/>
        </w:rPr>
        <w:footnoteRef/>
      </w:r>
      <w:r>
        <w:t xml:space="preserve"> </w:t>
      </w:r>
      <w:r>
        <w:tab/>
        <w:t>Další informace o jmenování viz poznámka pod čarou č. 20. Podle důvodové zprávy k ústavnímu zákonu č. 422/20, s. 20, tato možnost existovala v ústavě již dříve a uvedená změna její existenci výslovně potvrzuje. Ústavní soud však ve svém sjednocujícím stanovisku ze dne 19. září 2018 PLz. ÚS 2/2018 rozhodl o opaku.</w:t>
      </w:r>
    </w:p>
  </w:footnote>
  <w:footnote w:id="25">
    <w:p>
      <w:pPr>
        <w:pStyle w:val="FootnoteText"/>
      </w:pPr>
      <w:r>
        <w:rPr>
          <w:rStyle w:val="FootnoteReference"/>
        </w:rPr>
        <w:footnoteRef/>
      </w:r>
      <w:r>
        <w:t xml:space="preserve"> </w:t>
      </w:r>
      <w:r>
        <w:tab/>
        <w:t>Důvodová zpráva k ústavnímu zákonu č. 422/20, s. 24.</w:t>
      </w:r>
    </w:p>
  </w:footnote>
  <w:footnote w:id="26">
    <w:p>
      <w:pPr>
        <w:pStyle w:val="FootnoteText"/>
      </w:pPr>
      <w:r>
        <w:rPr>
          <w:rStyle w:val="FootnoteReference"/>
        </w:rPr>
        <w:footnoteRef/>
      </w:r>
      <w:r>
        <w:t xml:space="preserve"> </w:t>
      </w:r>
      <w:r>
        <w:tab/>
        <w:t>Jak objasnili představitelé slovenské vlády, podle zavedené judikatury Ústavního soudu nesmí být odvolání diskriminační nebo svévolné; informace obdržené v rámci navazujícího setkání ke zprávě o právním státu 2020.</w:t>
      </w:r>
    </w:p>
  </w:footnote>
  <w:footnote w:id="27">
    <w:p>
      <w:pPr>
        <w:pStyle w:val="FootnoteText"/>
      </w:pPr>
      <w:r>
        <w:rPr>
          <w:rStyle w:val="FootnoteReference"/>
        </w:rPr>
        <w:footnoteRef/>
      </w:r>
      <w:r>
        <w:t xml:space="preserve"> </w:t>
      </w:r>
      <w:r>
        <w:tab/>
        <w:t>Informace obdržené v rámci navazujícího setkání ke zprávě o právním státu 2020.</w:t>
      </w:r>
    </w:p>
  </w:footnote>
  <w:footnote w:id="28">
    <w:p>
      <w:pPr>
        <w:pStyle w:val="FootnoteText"/>
      </w:pPr>
      <w:r>
        <w:rPr>
          <w:rStyle w:val="FootnoteReference"/>
        </w:rPr>
        <w:footnoteRef/>
      </w:r>
      <w:r>
        <w:t xml:space="preserve"> </w:t>
      </w:r>
      <w:r>
        <w:tab/>
        <w:t xml:space="preserve">Otevřená výzva slovenských právníků, dostupná na adrese </w:t>
      </w:r>
      <w:hyperlink r:id="rId1" w:history="1">
        <w:r>
          <w:rPr>
            <w:rStyle w:val="Hyperlink"/>
          </w:rPr>
          <w:t>https://pravnystat.eu/</w:t>
        </w:r>
      </w:hyperlink>
      <w:r>
        <w:t xml:space="preserve"> a předložená jako příspěvek ke konzultaci se zúčastněnými stranami pro účely zprávy o právním státu 2021. Toto ustanovení bylo napadeno u Ústavního soudu, kde se dosud projednává, věc č. 414/2021. </w:t>
      </w:r>
    </w:p>
  </w:footnote>
  <w:footnote w:id="29">
    <w:p>
      <w:pPr>
        <w:pStyle w:val="FootnoteText"/>
      </w:pPr>
      <w:r>
        <w:rPr>
          <w:rStyle w:val="FootnoteReference"/>
        </w:rPr>
        <w:footnoteRef/>
      </w:r>
      <w:r>
        <w:t xml:space="preserve"> </w:t>
      </w:r>
      <w:r>
        <w:tab/>
        <w:t>Podle stanoviska předsednictva Poradní rady evropských soudců (CCJE) ze dne 9. prosince 2020, CCJE-BU(2020)3, které bylo vydáno na žádost člena CCJE v souvislosti se Slovenskou republikou ve věci reformy soudnictví na Slovensku (s. 2–3), by členům Soudní rady měly být poskytnuty záruky nezávislosti a ochrany před vnějším tlakem, mimo jiné zejména na základě jmenování na pevně stanovené funkční období. Viz rovněž stanovisko CCJE č. 10 (2007), 36; stanovisko k návrhu změn základního zákona o všeobecných soudech Gruzie, CDL-AD(2013)007-e, bod 71 „</w:t>
      </w:r>
      <w:r>
        <w:rPr>
          <w:i/>
          <w:iCs/>
        </w:rPr>
        <w:t>Benátská komise zastává názor, že parlament by se měl při využívání své legislativní pravomoci navrhovat budoucí organizaci a fungování soudnictví zdržet přijímání opatření, která by ohrozila kontinuitu členství ve Vysoké soudní radě</w:t>
      </w:r>
      <w:r>
        <w:t>“. Ústavní soud Slovenské republiky dospěl k podobným závěrům v usnesení z 19. září 2018 PLz. ÚS 2/2018, bod 12.</w:t>
      </w:r>
    </w:p>
  </w:footnote>
  <w:footnote w:id="30">
    <w:p>
      <w:pPr>
        <w:pStyle w:val="FootnoteText"/>
      </w:pPr>
      <w:r>
        <w:rPr>
          <w:rStyle w:val="FootnoteReference"/>
        </w:rPr>
        <w:footnoteRef/>
      </w:r>
      <w:r>
        <w:t xml:space="preserve"> </w:t>
      </w:r>
      <w:r>
        <w:tab/>
        <w:t xml:space="preserve">Není zřejmé, do jaké míry by Ústavní soud mohl posuzovat rozhodnutí o odvolání z hlediska nezávislosti soudnictví. Informace obdržené v rámci navazujícího setkání ke zprávě o právním státu 2020. </w:t>
      </w:r>
    </w:p>
  </w:footnote>
  <w:footnote w:id="31">
    <w:p>
      <w:pPr>
        <w:pStyle w:val="FootnoteText"/>
      </w:pPr>
      <w:r>
        <w:rPr>
          <w:rStyle w:val="FootnoteReference"/>
        </w:rPr>
        <w:footnoteRef/>
      </w:r>
      <w:r>
        <w:t xml:space="preserve"> </w:t>
      </w:r>
      <w:r>
        <w:tab/>
        <w:t xml:space="preserve">Soudní dvůr v souvislosti s postupem jmenování soudců připomněl, že aby mohla Rada soudnictví přispět ke zobjektivnění tohoto postupu, je zapotřebí, aby byl takový orgán sám o sobě dostatečně nezávislý na zákonodárné a výkonné moci a na orgánu, jemuž má předložit doporučení ohledně hodnocení uchazečů o soudcovské místo. Viz rozsudek Soudního dvora EU ze dne 20. dubna 2021, </w:t>
      </w:r>
      <w:r>
        <w:rPr>
          <w:i/>
        </w:rPr>
        <w:t>Repubblika</w:t>
      </w:r>
      <w:r>
        <w:t>, věc C-896/19, bod 66.</w:t>
      </w:r>
    </w:p>
  </w:footnote>
  <w:footnote w:id="32">
    <w:p>
      <w:pPr>
        <w:pStyle w:val="FootnoteText"/>
      </w:pPr>
      <w:r>
        <w:rPr>
          <w:rStyle w:val="FootnoteReference"/>
        </w:rPr>
        <w:footnoteRef/>
      </w:r>
      <w:r>
        <w:t xml:space="preserve"> </w:t>
      </w:r>
      <w:r>
        <w:tab/>
        <w:t>Zpráva o právním státu 2020, kapitola o stavu právního státu na Slovensku, s. 4.</w:t>
      </w:r>
    </w:p>
  </w:footnote>
  <w:footnote w:id="33">
    <w:p>
      <w:pPr>
        <w:pStyle w:val="FootnoteText"/>
      </w:pPr>
      <w:r>
        <w:rPr>
          <w:rStyle w:val="FootnoteReference"/>
        </w:rPr>
        <w:footnoteRef/>
      </w:r>
      <w:r>
        <w:t xml:space="preserve"> </w:t>
      </w:r>
      <w:r>
        <w:tab/>
        <w:t xml:space="preserve">V přechodném ustanovení bylo určeno, že soudci, kteří v okamžiku nabytí účinnosti změny ústavy (1. ledna 2021) dosáhli věku 67 let, odejdou do důchodu do 1. února 2021. Slovenské orgány potvrdily, že se nevyskytl ani jeden takový soudce, a toto ustanovení se tudíž neuplatnilo. </w:t>
      </w:r>
    </w:p>
  </w:footnote>
  <w:footnote w:id="34">
    <w:p>
      <w:pPr>
        <w:pStyle w:val="FootnoteText"/>
      </w:pPr>
      <w:r>
        <w:rPr>
          <w:rStyle w:val="FootnoteReference"/>
        </w:rPr>
        <w:footnoteRef/>
      </w:r>
      <w:r>
        <w:t xml:space="preserve"> </w:t>
      </w:r>
      <w:r>
        <w:tab/>
        <w:t> Zákon č. 312/2020 o výkonu rozhodnutí o zajištění majetku a správě zajištěného majetku a o změně a doplnění některých zákonů, účinný od 1. ledna 2021.</w:t>
      </w:r>
    </w:p>
  </w:footnote>
  <w:footnote w:id="35">
    <w:p>
      <w:pPr>
        <w:pStyle w:val="FootnoteText"/>
      </w:pPr>
      <w:r>
        <w:rPr>
          <w:rStyle w:val="FootnoteReference"/>
        </w:rPr>
        <w:footnoteRef/>
      </w:r>
      <w:r>
        <w:t xml:space="preserve"> </w:t>
      </w:r>
      <w:r>
        <w:tab/>
        <w:t>Toto ustanovení se vztahuje rovněž na přísedící.</w:t>
      </w:r>
    </w:p>
  </w:footnote>
  <w:footnote w:id="36">
    <w:p>
      <w:pPr>
        <w:pStyle w:val="FootnoteText"/>
      </w:pPr>
      <w:r>
        <w:rPr>
          <w:rStyle w:val="FootnoteReference"/>
        </w:rPr>
        <w:footnoteRef/>
      </w:r>
      <w:r>
        <w:t xml:space="preserve"> </w:t>
      </w:r>
      <w:r>
        <w:tab/>
        <w:t>Ustanovení čl. 148 odst. 4 ústavy.</w:t>
      </w:r>
    </w:p>
  </w:footnote>
  <w:footnote w:id="37">
    <w:p>
      <w:pPr>
        <w:pStyle w:val="FootnoteText"/>
      </w:pPr>
      <w:r>
        <w:rPr>
          <w:rStyle w:val="FootnoteReference"/>
        </w:rPr>
        <w:footnoteRef/>
      </w:r>
      <w:r>
        <w:t xml:space="preserve"> </w:t>
      </w:r>
      <w:r>
        <w:tab/>
        <w:t>§ 326a trestního zákona.</w:t>
      </w:r>
    </w:p>
  </w:footnote>
  <w:footnote w:id="38">
    <w:p>
      <w:pPr>
        <w:pStyle w:val="FootnoteText"/>
      </w:pPr>
      <w:r>
        <w:rPr>
          <w:rStyle w:val="FootnoteReference"/>
        </w:rPr>
        <w:footnoteRef/>
      </w:r>
      <w:r>
        <w:t xml:space="preserve"> </w:t>
      </w:r>
      <w:r>
        <w:tab/>
        <w:t>Toto ustanovení se vztahuje rovněž na přísedící a rozhodce.</w:t>
      </w:r>
    </w:p>
  </w:footnote>
  <w:footnote w:id="39">
    <w:p>
      <w:pPr>
        <w:pStyle w:val="FootnoteText"/>
      </w:pPr>
      <w:r>
        <w:rPr>
          <w:rStyle w:val="FootnoteReference"/>
        </w:rPr>
        <w:footnoteRef/>
      </w:r>
      <w:r>
        <w:t xml:space="preserve"> </w:t>
      </w:r>
      <w:r>
        <w:tab/>
        <w:t>Další informace viz příspěvek od organizace Via Iuris (Unie občanských svobod) ke zprávě o právním státu 2021, s. 8.</w:t>
      </w:r>
    </w:p>
  </w:footnote>
  <w:footnote w:id="40">
    <w:p>
      <w:pPr>
        <w:pStyle w:val="FootnoteText"/>
      </w:pPr>
      <w:r>
        <w:rPr>
          <w:rStyle w:val="FootnoteReference"/>
        </w:rPr>
        <w:footnoteRef/>
      </w:r>
      <w:r>
        <w:t xml:space="preserve"> </w:t>
      </w:r>
      <w:r>
        <w:tab/>
        <w:t>Důvodová zpráva k zákonu č. 312/2020, s. 40; informace obdržené v rámci navazujícího setkání ke zprávě o právním státu 2020.</w:t>
      </w:r>
    </w:p>
  </w:footnote>
  <w:footnote w:id="41">
    <w:p>
      <w:pPr>
        <w:pStyle w:val="FootnoteText"/>
      </w:pPr>
      <w:r>
        <w:rPr>
          <w:rStyle w:val="FootnoteReference"/>
        </w:rPr>
        <w:footnoteRef/>
      </w:r>
      <w:r>
        <w:t xml:space="preserve"> </w:t>
      </w:r>
      <w:r>
        <w:tab/>
        <w:t>Tato záruka je však zřejmě platná jen do roku 2024, zákon č. 423/2020, články III, XXX.</w:t>
      </w:r>
    </w:p>
  </w:footnote>
  <w:footnote w:id="42">
    <w:p>
      <w:pPr>
        <w:pStyle w:val="FootnoteText"/>
      </w:pPr>
      <w:r>
        <w:rPr>
          <w:rStyle w:val="FootnoteReference"/>
        </w:rPr>
        <w:footnoteRef/>
      </w:r>
      <w:r>
        <w:t xml:space="preserve"> </w:t>
      </w:r>
      <w:r>
        <w:tab/>
        <w:t>§ 22 zákona č. 385/2000 o soudcích a přísedících. Podle § 22a lze na základě rozhodnutí soudní rady dočasně pozastavit výkon funkce i soudci, u kterého existují důvodné pochybnosti o tom, že splňuje předpoklady soudcovské způsobilosti, pokud tím může být vážně ohrožena důvěryhodnost soudnictví nebo dobrá pověst soudnictví. Po přijetí změny ústavy v prosinci 2020 už není ke vzetí soudce do vazby nutný souhlas Ústavního soudu. Další informace viz příspěvek od organizace Via Iuris (Unie občanských svobod) ke zprávě o právním státu 2021, s. 8.</w:t>
      </w:r>
    </w:p>
  </w:footnote>
  <w:footnote w:id="43">
    <w:p>
      <w:pPr>
        <w:pStyle w:val="FootnoteText"/>
      </w:pPr>
      <w:r>
        <w:rPr>
          <w:rStyle w:val="FootnoteReference"/>
        </w:rPr>
        <w:footnoteRef/>
      </w:r>
      <w:r>
        <w:t xml:space="preserve"> </w:t>
      </w:r>
      <w:r>
        <w:tab/>
        <w:t xml:space="preserve">Doporučení Výboru ministrů Rady Evropy CM/Rec(2010)12, bod 68; viz analogický případ disciplinárních řízení proti soudcům: rozsudek Soudního dvora EU ze dne 19. listopadu 2019, </w:t>
      </w:r>
      <w:r>
        <w:rPr>
          <w:i/>
        </w:rPr>
        <w:t>LM</w:t>
      </w:r>
      <w:r>
        <w:t>, C-216/18, bod 67; pokud jde o odpovědnost soudců, viz rovněž rozsudek Soudního dvora EU ze dne 18. května 2021 ve spojených věcech C-83/19, C-127/19, C-195/19, C-291/19, C-355/19 a C-397/19, body 228–239.</w:t>
      </w:r>
    </w:p>
  </w:footnote>
  <w:footnote w:id="44">
    <w:p>
      <w:pPr>
        <w:pStyle w:val="FootnoteText"/>
      </w:pPr>
      <w:r>
        <w:rPr>
          <w:rStyle w:val="FootnoteReference"/>
        </w:rPr>
        <w:footnoteRef/>
      </w:r>
      <w:r>
        <w:t xml:space="preserve"> </w:t>
      </w:r>
      <w:r>
        <w:tab/>
        <w:t xml:space="preserve">Podle stanoviska předsednictva CCJE ze dne 9. prosince 2020 v souvislosti s ústavou (CCJE-BU(2020)3, s. 5) je nové znění ústavy nejasně formulované a zahrnuje potenciální riziko zneužití; otevřená výzva slovenských právníků, dostupná na adrese </w:t>
      </w:r>
      <w:hyperlink r:id="rId2" w:history="1">
        <w:r>
          <w:rPr>
            <w:rStyle w:val="Hyperlink"/>
          </w:rPr>
          <w:t>https://pravnystat.eu/</w:t>
        </w:r>
      </w:hyperlink>
      <w:r>
        <w:t xml:space="preserve"> a předložená jako příspěvek ke konzultaci se zúčastněnými stranami pro účely zprávy o právním státu 2021.</w:t>
      </w:r>
    </w:p>
  </w:footnote>
  <w:footnote w:id="45">
    <w:p>
      <w:pPr>
        <w:pStyle w:val="FootnoteText"/>
      </w:pPr>
      <w:r>
        <w:rPr>
          <w:rStyle w:val="FootnoteReference"/>
        </w:rPr>
        <w:footnoteRef/>
      </w:r>
      <w:r>
        <w:t xml:space="preserve"> V minulosti bylo možné překládat soudce bez jejich souhlasu pouze na základě soudního řízení. Ustanovení čl. 148 odst. 1 ústavy.</w:t>
      </w:r>
    </w:p>
  </w:footnote>
  <w:footnote w:id="46">
    <w:p>
      <w:pPr>
        <w:pStyle w:val="FootnoteText"/>
      </w:pPr>
      <w:r>
        <w:rPr>
          <w:rStyle w:val="FootnoteReference"/>
        </w:rPr>
        <w:footnoteRef/>
      </w:r>
      <w:r>
        <w:t xml:space="preserve"> </w:t>
      </w:r>
      <w:r>
        <w:tab/>
        <w:t xml:space="preserve">Doporučení Výboru ministrů Rady Evropy CM/Rec(2010)12, bod 52; Evropská charta o statutu soudců, články 1.4, 3.4; </w:t>
      </w:r>
      <w:r>
        <w:rPr>
          <w:rStyle w:val="sb8d990e2"/>
        </w:rPr>
        <w:t xml:space="preserve">zpráva Evropské sítě rad pro soudnictví o minimálních normách pro hodnocení profesionální výkonnosti a neodvolatelnost soudců, návrh 4.21; rozsudek Evropského soudu pro lidská práva ze dne 9. března 2021, </w:t>
      </w:r>
      <w:r>
        <w:rPr>
          <w:rStyle w:val="sb8d990e2"/>
          <w:i/>
        </w:rPr>
        <w:t>Bilgen v. Turecko</w:t>
      </w:r>
      <w:r>
        <w:rPr>
          <w:rStyle w:val="sb8d990e2"/>
        </w:rPr>
        <w:t>, 1571/07, bod 96.</w:t>
      </w:r>
    </w:p>
  </w:footnote>
  <w:footnote w:id="47">
    <w:p>
      <w:pPr>
        <w:pStyle w:val="FootnoteText"/>
      </w:pPr>
      <w:r>
        <w:rPr>
          <w:rStyle w:val="FootnoteReference"/>
        </w:rPr>
        <w:footnoteRef/>
      </w:r>
      <w:r>
        <w:t xml:space="preserve"> </w:t>
      </w:r>
      <w:r>
        <w:tab/>
        <w:t>Podle čl. 148 odst. 1 ústavy budou podrobnosti přeložení v případě změny soudní mapy stanoveny zákonem.</w:t>
      </w:r>
    </w:p>
  </w:footnote>
  <w:footnote w:id="48">
    <w:p>
      <w:pPr>
        <w:pStyle w:val="FootnoteText"/>
      </w:pPr>
      <w:r>
        <w:rPr>
          <w:rStyle w:val="FootnoteReference"/>
        </w:rPr>
        <w:footnoteRef/>
      </w:r>
      <w:r>
        <w:t xml:space="preserve"> </w:t>
      </w:r>
      <w:r>
        <w:tab/>
        <w:t>Zpráva o právním státu 2020, kapitola o stavu právního státu na Slovensku, s. 4.</w:t>
      </w:r>
    </w:p>
  </w:footnote>
  <w:footnote w:id="49">
    <w:p>
      <w:pPr>
        <w:pStyle w:val="FootnoteText"/>
      </w:pPr>
      <w:r>
        <w:rPr>
          <w:rStyle w:val="FootnoteReference"/>
        </w:rPr>
        <w:footnoteRef/>
      </w:r>
      <w:r>
        <w:t xml:space="preserve"> </w:t>
      </w:r>
      <w:r>
        <w:tab/>
        <w:t>CEPEJ (listopad 2017). Účinnost a kvalita slovenského soudního systému, hodnocení a doporučení na základě nástrojů CEPEJ, CEPEJ-COOP(2017)14, s. 20–28.</w:t>
      </w:r>
    </w:p>
  </w:footnote>
  <w:footnote w:id="50">
    <w:p>
      <w:pPr>
        <w:pStyle w:val="FootnoteText"/>
      </w:pPr>
      <w:r>
        <w:rPr>
          <w:rStyle w:val="FootnoteReference"/>
        </w:rPr>
        <w:footnoteRef/>
      </w:r>
      <w:r>
        <w:t xml:space="preserve"> </w:t>
      </w:r>
      <w:r>
        <w:tab/>
        <w:t xml:space="preserve">Postup vypracování návrhu reformy měl několik fází. V první fázi se pracovní skupina sestávající z téměř 50 členů (z nichž většinu tvořili soudci včetně předsedů soudů prvního a druhého stupně a členové soudní rady včetně jejího předsedy) dohodla na klíčových prvcích reformy. Ve druhé fázi, která proběhla v prvním pololetí roku 2020, vypracovala nová menší, přibližně desetičlenná pracovní skupina (z níž čtyři členové byli soudci) návrh reformy na základě doporučení první pracovní skupiny. Zúčastněné strany však zpochybňují rozsah, v němž byla tato doporučení zohledněna. Zápisy a prezenční listiny ze zasedání pracovní skupiny v první fázi jsou k dispozici na adrese </w:t>
      </w:r>
      <w:hyperlink r:id="rId3" w:history="1">
        <w:r>
          <w:rPr>
            <w:rStyle w:val="Hyperlink"/>
          </w:rPr>
          <w:t>http://web.ac-mssr.sk/sudna-mapa-otazky-a-odpovede/</w:t>
        </w:r>
      </w:hyperlink>
      <w:r>
        <w:t xml:space="preserve">. Informace obdržené v souvislosti s návštěvou Slovenska; informace zveřejněné Ministerstvem spravedlnosti na internetové stránce o nové soudní mapě, </w:t>
      </w:r>
      <w:hyperlink r:id="rId4" w:history="1">
        <w:r>
          <w:rPr>
            <w:rStyle w:val="Hyperlink"/>
          </w:rPr>
          <w:t>http://web.ac-mssr.sk/sudna-mapa-otazky-a-odpovede/</w:t>
        </w:r>
      </w:hyperlink>
      <w:r>
        <w:t>; Analytické centrum Ministerstva spravedlnosti (prosinec 2020). Doporučení pro tvorbu nové soudní mapy, s. 15–17.</w:t>
      </w:r>
    </w:p>
  </w:footnote>
  <w:footnote w:id="51">
    <w:p>
      <w:pPr>
        <w:pStyle w:val="FootnoteText"/>
      </w:pPr>
      <w:r>
        <w:rPr>
          <w:rStyle w:val="FootnoteReference"/>
        </w:rPr>
        <w:footnoteRef/>
      </w:r>
      <w:r>
        <w:t xml:space="preserve"> </w:t>
      </w:r>
      <w:r>
        <w:tab/>
        <w:t>Analytické centrum Ministerstva spravedlnosti (listopad 2020). Reforma soudní mapy, s. 4.</w:t>
      </w:r>
    </w:p>
  </w:footnote>
  <w:footnote w:id="52">
    <w:p>
      <w:pPr>
        <w:pStyle w:val="FootnoteText"/>
      </w:pPr>
      <w:r>
        <w:rPr>
          <w:rStyle w:val="FootnoteReference"/>
        </w:rPr>
        <w:footnoteRef/>
      </w:r>
      <w:r>
        <w:t xml:space="preserve"> </w:t>
      </w:r>
      <w:r>
        <w:tab/>
        <w:t xml:space="preserve">Analytické centrum Ministerstva spravedlnosti (listopad 2020). Reforma soudní mapy, s. 20–21. Vysvětlení posuzování těchto kritérií pro jednotlivé obvody viz Analytické centrum Ministerstva spravedlnosti (listopad 2020). Doporučení pro tvorbu nové soudní mapy, </w:t>
      </w:r>
      <w:hyperlink r:id="rId5" w:history="1">
        <w:r>
          <w:rPr>
            <w:rStyle w:val="Hyperlink"/>
          </w:rPr>
          <w:t>http://web.ac-mssr.sk/wp-content/uploads/2020/sudna_mapa/nova_sudna_mapa_3_0_final.pdf</w:t>
        </w:r>
      </w:hyperlink>
      <w:r>
        <w:t>.</w:t>
      </w:r>
    </w:p>
  </w:footnote>
  <w:footnote w:id="53">
    <w:p>
      <w:pPr>
        <w:pStyle w:val="FootnoteText"/>
      </w:pPr>
      <w:r>
        <w:rPr>
          <w:rStyle w:val="FootnoteReference"/>
        </w:rPr>
        <w:footnoteRef/>
      </w:r>
      <w:r>
        <w:t xml:space="preserve"> </w:t>
      </w:r>
      <w:r>
        <w:tab/>
        <w:t>Cílem této pracovní skupiny bylo vytvořit obvody, které by měly na základě průměrného počtu došlých případů na jednotlivé stávající soudy takový počet případů, který by dostatečně vytížil nejméně tři specializované soudce / tři specializované senáty na každou agendu. Návrh reformy obsahoval rovněž vytvoření samostatných správních soudů (viz níže). Analytické centrum Ministerstva spravedlnosti (listopad 2020). Reforma soudní mapy, s. 20–21; Analytické centrum Ministerstva spravedlnosti (listopad 2020). Doporučení pro tvorbu nové soudní mapy, s. 20–21, 34, 43.</w:t>
      </w:r>
    </w:p>
  </w:footnote>
  <w:footnote w:id="54">
    <w:p>
      <w:pPr>
        <w:pStyle w:val="FootnoteText"/>
      </w:pPr>
      <w:r>
        <w:rPr>
          <w:rStyle w:val="FootnoteReference"/>
        </w:rPr>
        <w:footnoteRef/>
      </w:r>
      <w:r>
        <w:t xml:space="preserve"> </w:t>
      </w:r>
      <w:r>
        <w:tab/>
        <w:t>Návrh zákona o sídlech a obvodech soudů, § 10 odst. 2 a § 11 odst. 2, dostupný na adrese https://www.slov-lex.sk/legislativne-procesy/SK/LP/2020/587.</w:t>
      </w:r>
    </w:p>
  </w:footnote>
  <w:footnote w:id="55">
    <w:p>
      <w:pPr>
        <w:pStyle w:val="FootnoteText"/>
      </w:pPr>
      <w:r>
        <w:rPr>
          <w:rStyle w:val="FootnoteReference"/>
        </w:rPr>
        <w:footnoteRef/>
      </w:r>
      <w:r>
        <w:t xml:space="preserve"> </w:t>
      </w:r>
      <w:r>
        <w:tab/>
        <w:t xml:space="preserve">Ministerstvo spravedlnosti. Časová osa tvorby soudní mapy, dostupná na adrese </w:t>
      </w:r>
      <w:hyperlink r:id="rId6" w:history="1">
        <w:r>
          <w:rPr>
            <w:rStyle w:val="Hyperlink"/>
          </w:rPr>
          <w:t>http://web.ac-mssr.sk/wp-content/uploads/2020/sudna_mapa/20210223_Casov%C3%A1_os_Sudna_mapa_v.2.pdf</w:t>
        </w:r>
      </w:hyperlink>
      <w:r>
        <w:t xml:space="preserve">. </w:t>
      </w:r>
    </w:p>
  </w:footnote>
  <w:footnote w:id="56">
    <w:p>
      <w:pPr>
        <w:pStyle w:val="FootnoteText"/>
      </w:pPr>
      <w:r>
        <w:rPr>
          <w:rStyle w:val="FootnoteReference"/>
        </w:rPr>
        <w:footnoteRef/>
      </w:r>
      <w:r>
        <w:t xml:space="preserve"> </w:t>
      </w:r>
      <w:r>
        <w:tab/>
        <w:t xml:space="preserve">Informační portál Slov-Lex, </w:t>
      </w:r>
      <w:hyperlink r:id="rId7" w:history="1">
        <w:r>
          <w:rPr>
            <w:rStyle w:val="Hyperlink"/>
          </w:rPr>
          <w:t>https://www.slov-lex.sk/legislativne-procesy/SK/LP/2020/587</w:t>
        </w:r>
      </w:hyperlink>
      <w:r>
        <w:t>.</w:t>
      </w:r>
    </w:p>
  </w:footnote>
  <w:footnote w:id="57">
    <w:p>
      <w:pPr>
        <w:pStyle w:val="FootnoteText"/>
      </w:pPr>
      <w:r>
        <w:rPr>
          <w:rStyle w:val="FootnoteReference"/>
        </w:rPr>
        <w:footnoteRef/>
      </w:r>
      <w:r>
        <w:t xml:space="preserve"> </w:t>
      </w:r>
      <w:r>
        <w:tab/>
        <w:t xml:space="preserve">Příspěvek od komunikační platformy slovenských soudců Sudnamoc.sk a Sdružení slovenských soudců ke zprávě o právním státu 2021; informace obdržené v souvislosti s návštěvou Slovenska. Návrh reformy obsahuje rovněž více alternativ výběru předsedů soudu, což vyvolává otázky ohledně diskreční pravomoci udělené výkonné moci, čl. XVI bod 35 návrhu zákona o sídlech a obvodech soudů, kterým se do zákona č. 757/2004 o soudech vkládá § 101f odst. 4. </w:t>
      </w:r>
    </w:p>
  </w:footnote>
  <w:footnote w:id="58">
    <w:p>
      <w:pPr>
        <w:pStyle w:val="FootnoteText"/>
      </w:pPr>
      <w:r>
        <w:rPr>
          <w:rStyle w:val="FootnoteReference"/>
        </w:rPr>
        <w:footnoteRef/>
      </w:r>
      <w:r>
        <w:t xml:space="preserve"> </w:t>
      </w:r>
      <w:r>
        <w:tab/>
        <w:t>Informace poskytnuté slovenskými orgány.</w:t>
      </w:r>
    </w:p>
  </w:footnote>
  <w:footnote w:id="59">
    <w:p>
      <w:pPr>
        <w:pStyle w:val="FootnoteText"/>
      </w:pPr>
      <w:r>
        <w:rPr>
          <w:rStyle w:val="FootnoteReference"/>
        </w:rPr>
        <w:footnoteRef/>
      </w:r>
      <w:r>
        <w:t xml:space="preserve"> </w:t>
      </w:r>
      <w:r>
        <w:tab/>
        <w:t xml:space="preserve">Je třeba konstatovat, že podle návrhu reformy se má překládání soudců uskutečňovat formou univerzálního nástupnictví bez využití ustanovení o překládání soudců ve smyslu § 14 zákona č. 385/2000 o soudcích a přísedících. V každém případě se uplatňují evropské normy týkající se překládání. </w:t>
      </w:r>
    </w:p>
  </w:footnote>
  <w:footnote w:id="60">
    <w:p>
      <w:pPr>
        <w:pStyle w:val="FootnoteText"/>
      </w:pPr>
      <w:r>
        <w:rPr>
          <w:rStyle w:val="FootnoteReference"/>
        </w:rPr>
        <w:footnoteRef/>
      </w:r>
      <w:r>
        <w:t xml:space="preserve"> </w:t>
      </w:r>
      <w:r>
        <w:tab/>
        <w:t> CEPEJ (14. prosince 2020), posudek expertů komise CEPEJ k reformě soudní mapy ve Slovenské republice, s. 8–9.</w:t>
      </w:r>
    </w:p>
  </w:footnote>
  <w:footnote w:id="61">
    <w:p>
      <w:pPr>
        <w:pStyle w:val="FootnoteText"/>
      </w:pPr>
      <w:r>
        <w:rPr>
          <w:rStyle w:val="FootnoteReference"/>
        </w:rPr>
        <w:footnoteRef/>
      </w:r>
      <w:r>
        <w:t xml:space="preserve"> </w:t>
      </w:r>
      <w:r>
        <w:tab/>
        <w:t> CEPEJ (14. prosince 2020), posudek expertů komise CEPEJ k reformě soudní mapy ve Slovenské republice, s. 10–11.</w:t>
      </w:r>
    </w:p>
  </w:footnote>
  <w:footnote w:id="62">
    <w:p>
      <w:pPr>
        <w:pStyle w:val="FootnoteText"/>
      </w:pPr>
      <w:r>
        <w:rPr>
          <w:rStyle w:val="FootnoteReference"/>
        </w:rPr>
        <w:footnoteRef/>
      </w:r>
      <w:r>
        <w:rPr>
          <w:rStyle w:val="FootnoteReference"/>
        </w:rPr>
        <w:t xml:space="preserve"> </w:t>
      </w:r>
      <w:r>
        <w:tab/>
        <w:t>Nejvyšší správní soud bude mimo jiné správním soudem druhého stupně. O správních věcech na prvním stupni v současnosti rozhodují správní senáty krajských soudů a po zřízení správních soudů budou převedeny na tyto nové správní soudy.</w:t>
      </w:r>
    </w:p>
  </w:footnote>
  <w:footnote w:id="63">
    <w:p>
      <w:pPr>
        <w:pStyle w:val="FootnoteText"/>
      </w:pPr>
      <w:r>
        <w:rPr>
          <w:rStyle w:val="FootnoteReference"/>
        </w:rPr>
        <w:footnoteRef/>
      </w:r>
      <w:r>
        <w:t xml:space="preserve"> </w:t>
      </w:r>
      <w:r>
        <w:tab/>
        <w:t> Dne 2. června 2021 požádalo Ministerstvo spravedlnosti Benátskou komisi o stanovisko ohledně možné pravomoci Nejvyššího správního soudu sloužit jako odvolací orgán, který přezkoumává disciplinární rozhodnutí týkající se advokátů Slovenské advokátní komory, a ohledně postavení a statusu advokátů ve slovenském právním systému. V současnosti se nepřipravuje žádná legislativa, která by tomuto soudu takovouto pravomoc udělila, avšak je to navrženo v důvodové zprávě k ústavnímu zákonu č. 422/20, s. 28.</w:t>
      </w:r>
    </w:p>
  </w:footnote>
  <w:footnote w:id="64">
    <w:p>
      <w:pPr>
        <w:pStyle w:val="FootnoteText"/>
      </w:pPr>
      <w:r>
        <w:rPr>
          <w:rStyle w:val="FootnoteReference"/>
        </w:rPr>
        <w:footnoteRef/>
      </w:r>
      <w:r>
        <w:t xml:space="preserve"> </w:t>
      </w:r>
      <w:r>
        <w:tab/>
        <w:t>Předseda Nejvyššího soudu byl jmenován prezidentkou republiky na základě návrhu Soudní rady podle přechodného ustanovení čl. 154g odst. 7 ústavy.</w:t>
      </w:r>
    </w:p>
  </w:footnote>
  <w:footnote w:id="65">
    <w:p>
      <w:pPr>
        <w:pStyle w:val="FootnoteText"/>
      </w:pPr>
      <w:r>
        <w:rPr>
          <w:rStyle w:val="FootnoteReference"/>
        </w:rPr>
        <w:footnoteRef/>
      </w:r>
      <w:r>
        <w:t xml:space="preserve"> </w:t>
      </w:r>
      <w:r>
        <w:tab/>
        <w:t xml:space="preserve">Ustanovení § 151zf zákona č. 385/2000 o soudcích a přísedících. </w:t>
      </w:r>
    </w:p>
  </w:footnote>
  <w:footnote w:id="66">
    <w:p>
      <w:pPr>
        <w:pStyle w:val="FootnoteText"/>
      </w:pPr>
      <w:r>
        <w:rPr>
          <w:rStyle w:val="FootnoteReference"/>
        </w:rPr>
        <w:footnoteRef/>
      </w:r>
      <w:r>
        <w:t xml:space="preserve"> </w:t>
      </w:r>
      <w:r>
        <w:tab/>
        <w:t>Ustanovení čl. XVI bodu 35 návrhu zákona o sídlech a obvodech soudů, kterým se do zákona č. 757/2004 o soudech vkládá § 101f odst. 1.</w:t>
      </w:r>
    </w:p>
  </w:footnote>
  <w:footnote w:id="67">
    <w:p>
      <w:pPr>
        <w:pStyle w:val="FootnoteText"/>
      </w:pPr>
      <w:r>
        <w:rPr>
          <w:rStyle w:val="FootnoteReference"/>
        </w:rPr>
        <w:footnoteRef/>
      </w:r>
      <w:r>
        <w:t xml:space="preserve"> </w:t>
      </w:r>
      <w:r>
        <w:tab/>
        <w:t xml:space="preserve">Podle standardního postupu jmenování předsedů soudů, který je stanoven v § 36 a § 37 zákona č. 757/2004 o soudech, vybírá čtyři členy výběrové komise ministr spravedlnosti ze seznamu kandidátů tak, aby jednoho člena na tento seznam navrhovala Soudní rada a tři členy ministr. Jednoho člena výběrové komise volí soudcovská rada příslušného soudu. Seznam kandidátů je zveřejněn na internetové stránce Ministerstva spravedlnosti, </w:t>
      </w:r>
      <w:hyperlink r:id="rId8" w:history="1">
        <w:r>
          <w:rPr>
            <w:rStyle w:val="Hyperlink"/>
          </w:rPr>
          <w:t>https://www.justice.gov.sk/Stranky/Sudy/Vyberove-konania-na-sudoch/Kandidati-na-clenov-vyberovych-komisii-na-vyber-predsedov-sudov.aspx</w:t>
        </w:r>
      </w:hyperlink>
      <w:r>
        <w:t xml:space="preserve">. </w:t>
      </w:r>
    </w:p>
  </w:footnote>
  <w:footnote w:id="68">
    <w:p>
      <w:pPr>
        <w:pStyle w:val="FootnoteText"/>
      </w:pPr>
      <w:r>
        <w:rPr>
          <w:rStyle w:val="FootnoteReference"/>
        </w:rPr>
        <w:footnoteRef/>
      </w:r>
      <w:r>
        <w:t xml:space="preserve"> </w:t>
      </w:r>
      <w:r>
        <w:tab/>
        <w:t>Článek IX bod 17 návrhu zákona o sídlech a obvodech soudů, kterým se do zákona č. 385/2000 o soudcích a přísedících vkládá § 151zg.</w:t>
      </w:r>
    </w:p>
  </w:footnote>
  <w:footnote w:id="69">
    <w:p>
      <w:pPr>
        <w:pStyle w:val="FootnoteText"/>
      </w:pPr>
      <w:r>
        <w:rPr>
          <w:rStyle w:val="FootnoteReference"/>
        </w:rPr>
        <w:footnoteRef/>
      </w:r>
      <w:r>
        <w:t xml:space="preserve"> </w:t>
      </w:r>
      <w:r>
        <w:tab/>
        <w:t>Po projednání se Soudní radou.</w:t>
      </w:r>
    </w:p>
  </w:footnote>
  <w:footnote w:id="70">
    <w:p>
      <w:pPr>
        <w:pStyle w:val="FootnoteText"/>
      </w:pPr>
      <w:r>
        <w:rPr>
          <w:rStyle w:val="FootnoteReference"/>
        </w:rPr>
        <w:footnoteRef/>
      </w:r>
      <w:r>
        <w:t xml:space="preserve"> </w:t>
      </w:r>
      <w:r>
        <w:tab/>
        <w:t>Soudní rada může přeložit soudce na jiný soud jen s jeho souhlasem, na jeho žádost nebo na základě rozhodnutí disciplinárního senátu, viz § 14 zákona č. 385/2000 o soudcích a přísedících.</w:t>
      </w:r>
    </w:p>
  </w:footnote>
  <w:footnote w:id="71">
    <w:p>
      <w:pPr>
        <w:pStyle w:val="FootnoteText"/>
      </w:pPr>
      <w:r>
        <w:rPr>
          <w:rStyle w:val="FootnoteReference"/>
        </w:rPr>
        <w:footnoteRef/>
      </w:r>
      <w:r>
        <w:t xml:space="preserve"> </w:t>
      </w:r>
      <w:r>
        <w:tab/>
        <w:t>Výběrové řízení provede pětičlenná výběrová komise sestávající ze dvou členů navržených ministrem spravedlnosti a tří členů navržených Soudní radou, viz § 29 zákona č. 385/2000 o soudcích a přísedících.</w:t>
      </w:r>
    </w:p>
  </w:footnote>
  <w:footnote w:id="72">
    <w:p>
      <w:pPr>
        <w:pStyle w:val="FootnoteText"/>
      </w:pPr>
      <w:r>
        <w:rPr>
          <w:rStyle w:val="FootnoteReference"/>
        </w:rPr>
        <w:footnoteRef/>
      </w:r>
      <w:r>
        <w:t xml:space="preserve"> </w:t>
      </w:r>
      <w:r>
        <w:tab/>
        <w:t>Poradní rada evropských soudců (2016), stanovisko č. 19 o úloze předsedů soudů, bod 53.</w:t>
      </w:r>
    </w:p>
  </w:footnote>
  <w:footnote w:id="73">
    <w:p>
      <w:pPr>
        <w:pStyle w:val="FootnoteText"/>
      </w:pPr>
      <w:r>
        <w:rPr>
          <w:rStyle w:val="FootnoteReference"/>
        </w:rPr>
        <w:footnoteRef/>
      </w:r>
      <w:r>
        <w:t xml:space="preserve"> </w:t>
      </w:r>
      <w:r>
        <w:tab/>
        <w:t>Zákon č. 241/2020.</w:t>
      </w:r>
    </w:p>
  </w:footnote>
  <w:footnote w:id="74">
    <w:p>
      <w:pPr>
        <w:pStyle w:val="FootnoteText"/>
      </w:pPr>
      <w:r>
        <w:rPr>
          <w:rStyle w:val="FootnoteReference"/>
        </w:rPr>
        <w:footnoteRef/>
      </w:r>
      <w:r>
        <w:t xml:space="preserve"> </w:t>
      </w:r>
      <w:r>
        <w:tab/>
        <w:t>Podle článku 150 ústavy jmenuje generálního prokurátora prezident Slovenské republiky na návrh parlamentu. Speciálního prokurátora volí parlament, viz § 24a zákona č. 154/2001 o prokurátorech a právních čekatelích prokuratury.</w:t>
      </w:r>
    </w:p>
  </w:footnote>
  <w:footnote w:id="75">
    <w:p>
      <w:pPr>
        <w:pStyle w:val="FootnoteText"/>
      </w:pPr>
      <w:r>
        <w:rPr>
          <w:rStyle w:val="FootnoteReference"/>
        </w:rPr>
        <w:footnoteRef/>
      </w:r>
      <w:r>
        <w:t xml:space="preserve"> </w:t>
      </w:r>
      <w:r>
        <w:tab/>
        <w:t>Kandidáty může nominovat poslanec parlamentu, ministr spravedlnosti, veřejný ochránce práv, rada prokurátorů, profesní organizace právníků, právnická fakulta a Akademie věd. Dříve mohli kandidáta nominovat pouze poslanci parlamentu, viz § 7 odst. 4 zákona č. 153/2001 o prokuratuře.</w:t>
      </w:r>
    </w:p>
  </w:footnote>
  <w:footnote w:id="76">
    <w:p>
      <w:pPr>
        <w:pStyle w:val="FootnoteText"/>
      </w:pPr>
      <w:r>
        <w:rPr>
          <w:rStyle w:val="FootnoteReference"/>
        </w:rPr>
        <w:footnoteRef/>
      </w:r>
      <w:r>
        <w:t xml:space="preserve"> </w:t>
      </w:r>
      <w:r>
        <w:tab/>
        <w:t>§ 125 odst. 2 zákona č. 153/2001 o prokuratuře.</w:t>
      </w:r>
    </w:p>
  </w:footnote>
  <w:footnote w:id="77">
    <w:p>
      <w:pPr>
        <w:pStyle w:val="FootnoteText"/>
      </w:pPr>
      <w:r>
        <w:rPr>
          <w:rStyle w:val="FootnoteReference"/>
        </w:rPr>
        <w:footnoteRef/>
      </w:r>
      <w:r>
        <w:t xml:space="preserve"> </w:t>
      </w:r>
      <w:r>
        <w:tab/>
        <w:t>Příspěvek od organizace Via Iuris (Unie občanských svobod) ke zprávě o právním státu 2021, s. 9; informace obdržené v souvislosti s návštěvou Slovenska.</w:t>
      </w:r>
    </w:p>
  </w:footnote>
  <w:footnote w:id="78">
    <w:p>
      <w:pPr>
        <w:pStyle w:val="FootnoteText"/>
      </w:pPr>
      <w:r>
        <w:rPr>
          <w:rStyle w:val="FootnoteReference"/>
        </w:rPr>
        <w:footnoteRef/>
      </w:r>
      <w:r>
        <w:t xml:space="preserve"> </w:t>
      </w:r>
      <w:r>
        <w:tab/>
        <w:t xml:space="preserve">Zpráva o právním státu 2020, kapitola o stavu právního státu na Slovensku, s. 5. </w:t>
      </w:r>
    </w:p>
  </w:footnote>
  <w:footnote w:id="79">
    <w:p>
      <w:pPr>
        <w:pStyle w:val="FootnoteText"/>
      </w:pPr>
      <w:r>
        <w:rPr>
          <w:rStyle w:val="FootnoteReference"/>
        </w:rPr>
        <w:footnoteRef/>
      </w:r>
      <w:r>
        <w:t xml:space="preserve"> </w:t>
      </w:r>
      <w:r>
        <w:tab/>
        <w:t xml:space="preserve">Graf 41, Srovnávací přehled EU o soudnictví z roku 2021. </w:t>
      </w:r>
    </w:p>
  </w:footnote>
  <w:footnote w:id="80">
    <w:p>
      <w:pPr>
        <w:pStyle w:val="FootnoteText"/>
      </w:pPr>
      <w:r>
        <w:rPr>
          <w:rStyle w:val="FootnoteReference"/>
        </w:rPr>
        <w:footnoteRef/>
      </w:r>
      <w:r>
        <w:t xml:space="preserve"> </w:t>
      </w:r>
      <w:r>
        <w:tab/>
        <w:t xml:space="preserve">Graf 42, Srovnávací přehled EU o soudnictví z roku 2021. </w:t>
      </w:r>
    </w:p>
  </w:footnote>
  <w:footnote w:id="81">
    <w:p>
      <w:pPr>
        <w:pStyle w:val="FootnoteText"/>
      </w:pPr>
      <w:r>
        <w:rPr>
          <w:rStyle w:val="FootnoteReference"/>
        </w:rPr>
        <w:footnoteRef/>
      </w:r>
      <w:r>
        <w:t xml:space="preserve"> </w:t>
      </w:r>
      <w:r>
        <w:tab/>
        <w:t xml:space="preserve">Graf 43, Srovnávací přehled EU o soudnictví z roku 2021. </w:t>
      </w:r>
    </w:p>
  </w:footnote>
  <w:footnote w:id="82">
    <w:p>
      <w:pPr>
        <w:pStyle w:val="FootnoteText"/>
      </w:pPr>
      <w:r>
        <w:rPr>
          <w:rStyle w:val="FootnoteReference"/>
        </w:rPr>
        <w:footnoteRef/>
      </w:r>
      <w:r>
        <w:t xml:space="preserve"> </w:t>
      </w:r>
      <w:r>
        <w:tab/>
        <w:t xml:space="preserve">Graf 45, Srovnávací přehled EU o soudnictví z roku 2021. </w:t>
      </w:r>
    </w:p>
  </w:footnote>
  <w:footnote w:id="83">
    <w:p>
      <w:pPr>
        <w:pStyle w:val="FootnoteText"/>
      </w:pPr>
      <w:r>
        <w:rPr>
          <w:rStyle w:val="FootnoteReference"/>
        </w:rPr>
        <w:footnoteRef/>
      </w:r>
      <w:r>
        <w:t xml:space="preserve"> </w:t>
      </w:r>
      <w:r>
        <w:tab/>
        <w:t xml:space="preserve">Graf 44, Srovnávací přehled EU o soudnictví z roku 2021. </w:t>
      </w:r>
    </w:p>
  </w:footnote>
  <w:footnote w:id="84">
    <w:p>
      <w:pPr>
        <w:pStyle w:val="FootnoteText"/>
      </w:pPr>
      <w:r>
        <w:rPr>
          <w:rStyle w:val="FootnoteReference"/>
        </w:rPr>
        <w:footnoteRef/>
      </w:r>
      <w:r>
        <w:t xml:space="preserve"> </w:t>
      </w:r>
      <w:r>
        <w:tab/>
        <w:t xml:space="preserve">Graf 46, Srovnávací přehled EU o soudnictví z roku 2021. </w:t>
      </w:r>
    </w:p>
  </w:footnote>
  <w:footnote w:id="85">
    <w:p>
      <w:pPr>
        <w:pStyle w:val="FootnoteText"/>
      </w:pPr>
      <w:r>
        <w:rPr>
          <w:rStyle w:val="FootnoteReference"/>
        </w:rPr>
        <w:footnoteRef/>
      </w:r>
      <w:r>
        <w:t xml:space="preserve"> </w:t>
      </w:r>
      <w:r>
        <w:tab/>
        <w:t>Příspěvek od Slovenské advokátní komory ke zprávě o právním státu 2021.</w:t>
      </w:r>
    </w:p>
  </w:footnote>
  <w:footnote w:id="86">
    <w:p>
      <w:pPr>
        <w:pStyle w:val="FootnoteText"/>
      </w:pPr>
      <w:r>
        <w:rPr>
          <w:rStyle w:val="FootnoteReference"/>
        </w:rPr>
        <w:footnoteRef/>
      </w:r>
      <w:r>
        <w:t xml:space="preserve"> </w:t>
      </w:r>
      <w:r>
        <w:tab/>
        <w:t xml:space="preserve">Dalším příkladem odhaleným v důsledku pandemie COVID-19 je potřeba digitalizace vazebních řízení, aby byla umožněna bezpečná digitální komunikace mezi obhájci a jejich klienty ve vazbě. Příspěvek od Slovenské advokátní komory ke zprávě o právním státu 2021. Viz rovněž tisková zpráva Slovenské advokátní komory ze dne 23. března 2021: Předseda Slovenské advokátní komory navštívil nového generálního ředitele Sboru vězeňské a justiční stráže. </w:t>
      </w:r>
    </w:p>
  </w:footnote>
  <w:footnote w:id="87">
    <w:p>
      <w:pPr>
        <w:pStyle w:val="FootnoteText"/>
      </w:pPr>
      <w:r>
        <w:rPr>
          <w:rStyle w:val="FootnoteReference"/>
        </w:rPr>
        <w:footnoteRef/>
      </w:r>
      <w:r>
        <w:t xml:space="preserve"> </w:t>
      </w:r>
      <w:r>
        <w:tab/>
        <w:t>Údaje od Slovenské republiky pro zprávu o právním státu 2021, s. 12; podle slovenského Plánu obnovy a odolnosti jsou plánovány investice do digitalizace a analytických kapacit systému soudnictví, viz komponenta 15 slovenského Plánu obnovy a odolnosti.</w:t>
      </w:r>
    </w:p>
  </w:footnote>
  <w:footnote w:id="88">
    <w:p>
      <w:pPr>
        <w:pStyle w:val="FootnoteText"/>
      </w:pPr>
      <w:r>
        <w:rPr>
          <w:rStyle w:val="FootnoteReference"/>
        </w:rPr>
        <w:footnoteRef/>
      </w:r>
      <w:r>
        <w:t xml:space="preserve"> </w:t>
      </w:r>
      <w:r>
        <w:tab/>
        <w:t>Informace obdržené v souvislosti s návštěvou Slovenska.</w:t>
      </w:r>
    </w:p>
  </w:footnote>
  <w:footnote w:id="89">
    <w:p>
      <w:pPr>
        <w:pStyle w:val="FootnoteText"/>
      </w:pPr>
      <w:r>
        <w:rPr>
          <w:rStyle w:val="FootnoteReference"/>
        </w:rPr>
        <w:footnoteRef/>
      </w:r>
      <w:r>
        <w:t xml:space="preserve"> </w:t>
      </w:r>
      <w:r>
        <w:tab/>
        <w:t>Informace obdržené v souvislosti s návštěvou Slovenska.</w:t>
      </w:r>
    </w:p>
  </w:footnote>
  <w:footnote w:id="90">
    <w:p>
      <w:pPr>
        <w:pStyle w:val="FootnoteText"/>
      </w:pPr>
      <w:r>
        <w:rPr>
          <w:rStyle w:val="FootnoteReference"/>
        </w:rPr>
        <w:footnoteRef/>
      </w:r>
      <w:r>
        <w:t xml:space="preserve"> </w:t>
      </w:r>
      <w:r>
        <w:tab/>
        <w:t>Informace obdržené v souvislosti s návštěvou Slovenska.</w:t>
      </w:r>
    </w:p>
  </w:footnote>
  <w:footnote w:id="91">
    <w:p>
      <w:pPr>
        <w:pStyle w:val="FootnoteText"/>
      </w:pPr>
      <w:r>
        <w:rPr>
          <w:rStyle w:val="FootnoteReference"/>
        </w:rPr>
        <w:footnoteRef/>
      </w:r>
      <w:r>
        <w:t xml:space="preserve"> </w:t>
      </w:r>
      <w:r>
        <w:tab/>
        <w:t xml:space="preserve">Graf 10, Srovnávací přehled EU o soudnictví z roku 2021. </w:t>
      </w:r>
    </w:p>
  </w:footnote>
  <w:footnote w:id="92">
    <w:p>
      <w:pPr>
        <w:pStyle w:val="FootnoteText"/>
      </w:pPr>
      <w:r>
        <w:rPr>
          <w:rStyle w:val="FootnoteReference"/>
        </w:rPr>
        <w:footnoteRef/>
      </w:r>
      <w:r>
        <w:t xml:space="preserve"> </w:t>
      </w:r>
      <w:r>
        <w:tab/>
        <w:t xml:space="preserve">Graf 13, Srovnávací přehled EU o soudnictví z roku 2021. </w:t>
      </w:r>
    </w:p>
  </w:footnote>
  <w:footnote w:id="93">
    <w:p>
      <w:pPr>
        <w:pStyle w:val="FootnoteText"/>
      </w:pPr>
      <w:r>
        <w:rPr>
          <w:rStyle w:val="FootnoteReference"/>
        </w:rPr>
        <w:footnoteRef/>
      </w:r>
      <w:r>
        <w:t xml:space="preserve"> </w:t>
      </w:r>
      <w:r>
        <w:tab/>
        <w:t xml:space="preserve">Graf 7, Srovnávací přehled EU o soudnictví z roku 2021. </w:t>
      </w:r>
    </w:p>
  </w:footnote>
  <w:footnote w:id="94">
    <w:p>
      <w:pPr>
        <w:pStyle w:val="FootnoteText"/>
      </w:pPr>
      <w:r>
        <w:rPr>
          <w:rStyle w:val="FootnoteReference"/>
        </w:rPr>
        <w:footnoteRef/>
      </w:r>
      <w:r>
        <w:t xml:space="preserve"> </w:t>
      </w:r>
      <w:r>
        <w:tab/>
        <w:t xml:space="preserve">Tyto skupiny případů se týkají nepřiměřeně dlouhého trvání občanskoprávních řízení, nepřiměřeně dlouhého trvání adhezních řízení týkajících se nároku poškozeného účastníka řízení na náhradu škody, která jsou součástí trestních řízení, účinnosti opravného prostředku v případě nepřiměřeně dlouhého trvání občanskoprávních řízení a nepřiměřeně dlouhého trvání řízení týkajících se restituce pozemků (dvoustupňové řízení skládající se z fáze správního řízení u pozemkového úřadu a ze soudní fáze v odvolacím řízení) a nedostatku účinných opravných prostředků. Rozhodnutí v těchto případech vydal Evropský soud pro lidská práva; slovenské orgány tyto rozsudky v současnosti vykonávají a Rada Evropy jejich výkon sleduje podle standardního postupu. Viz stav výkonu rozsudků Evropského soudu pro lidská práva ze dne 24. července 2012, </w:t>
      </w:r>
      <w:r>
        <w:rPr>
          <w:i/>
        </w:rPr>
        <w:t>Maxián a Maxiánová</w:t>
      </w:r>
      <w:r>
        <w:t xml:space="preserve">, 44482/09, ze dne 15. září 2015, </w:t>
      </w:r>
      <w:r>
        <w:rPr>
          <w:i/>
        </w:rPr>
        <w:t>Javor a Javorová</w:t>
      </w:r>
      <w:r>
        <w:t xml:space="preserve">, 42360/10, ze dne 27. června 2017, </w:t>
      </w:r>
      <w:r>
        <w:rPr>
          <w:i/>
        </w:rPr>
        <w:t>Ivan</w:t>
      </w:r>
      <w:r>
        <w:t xml:space="preserve">, 57405/15 ze dne 31. srpna 2018, </w:t>
      </w:r>
      <w:r>
        <w:rPr>
          <w:i/>
        </w:rPr>
        <w:t>Balogh a další</w:t>
      </w:r>
      <w:r>
        <w:t>,</w:t>
      </w:r>
      <w:r>
        <w:rPr>
          <w:rStyle w:val="Hyperlink"/>
        </w:rPr>
        <w:t xml:space="preserve"> </w:t>
      </w:r>
      <w:r>
        <w:t xml:space="preserve">35142/15. </w:t>
      </w:r>
    </w:p>
  </w:footnote>
  <w:footnote w:id="95">
    <w:p>
      <w:pPr>
        <w:pStyle w:val="FootnoteText"/>
      </w:pPr>
      <w:r>
        <w:rPr>
          <w:rStyle w:val="FootnoteReference"/>
        </w:rPr>
        <w:footnoteRef/>
      </w:r>
      <w:r>
        <w:tab/>
        <w:t>Viz čl. 4 odst. 3 zákona č. 171/1993 Sb., o policejním sboru.</w:t>
      </w:r>
    </w:p>
  </w:footnote>
  <w:footnote w:id="96">
    <w:p>
      <w:pPr>
        <w:pStyle w:val="FootnoteText"/>
      </w:pPr>
      <w:r>
        <w:rPr>
          <w:rStyle w:val="FootnoteReference"/>
        </w:rPr>
        <w:footnoteRef/>
      </w:r>
      <w:r>
        <w:t xml:space="preserve"> </w:t>
      </w:r>
      <w:r>
        <w:tab/>
        <w:t> Zákon Národní rady Slovenské republiky č. 458/2003 Sb., o zřízení Speciálního soudu a Úřadu speciální prokuratury.</w:t>
      </w:r>
    </w:p>
  </w:footnote>
  <w:footnote w:id="97">
    <w:p>
      <w:pPr>
        <w:pStyle w:val="FootnoteText"/>
        <w:rPr>
          <w:rFonts w:cs="Arial"/>
          <w:szCs w:val="14"/>
        </w:rPr>
      </w:pPr>
      <w:r>
        <w:rPr>
          <w:rStyle w:val="FootnoteReference"/>
        </w:rPr>
        <w:footnoteRef/>
      </w:r>
      <w:r>
        <w:t xml:space="preserve"> Zákon č. 291/2009 Sb., o Specializovaném trestním soudu.</w:t>
      </w:r>
    </w:p>
  </w:footnote>
  <w:footnote w:id="98">
    <w:p>
      <w:pPr>
        <w:pStyle w:val="FootnoteText"/>
      </w:pPr>
      <w:r>
        <w:rPr>
          <w:rStyle w:val="FootnoteReference"/>
        </w:rPr>
        <w:footnoteRef/>
      </w:r>
      <w:r>
        <w:t xml:space="preserve"> </w:t>
      </w:r>
      <w:r>
        <w:tab/>
        <w:t>Transparency International (2021). Index vnímání korupce 2020, s. 2–3. Míra vnímané korupce se dělí do těchto kategorií: nízká (skóre vnímání korupce ve veřejném sektoru ze strany odborníků a výkonných ředitelů podniků je vyšší než 79 bodů); relativně nízká (skóre mezi 79–60), relativně vysoká (skóre mezi 59–50), vysoká (skóre pod 50).</w:t>
      </w:r>
    </w:p>
  </w:footnote>
  <w:footnote w:id="99">
    <w:p>
      <w:pPr>
        <w:pStyle w:val="FootnoteText"/>
      </w:pPr>
      <w:r>
        <w:rPr>
          <w:rStyle w:val="FootnoteReference"/>
        </w:rPr>
        <w:footnoteRef/>
      </w:r>
      <w:r>
        <w:t xml:space="preserve"> </w:t>
      </w:r>
      <w:r>
        <w:tab/>
        <w:t>V roce 2015 činilo toto skóre 51 bodů, zatímco v roce 2020 činilo 49 bodů. O výrazném zvýšení/snížení tohoto skóre hovoříme při změně o více než pět bodů; o zlepšení/zhoršení při změně v rozmezí 4–5 bodů; o relativní stabilitě při změně v rozmezí 1–3 bodů v posledních pěti letech.</w:t>
      </w:r>
    </w:p>
  </w:footnote>
  <w:footnote w:id="100">
    <w:p>
      <w:pPr>
        <w:pStyle w:val="FootnoteText"/>
      </w:pPr>
      <w:r>
        <w:rPr>
          <w:rStyle w:val="FootnoteReference"/>
        </w:rPr>
        <w:footnoteRef/>
      </w:r>
      <w:r>
        <w:t xml:space="preserve"> </w:t>
      </w:r>
      <w:r>
        <w:tab/>
        <w:t>Údaje z průzkumu Eurobarometr o vnímání korupce a zkušenostech občanů a podniků, které jsou uvedeny ve zprávě z loňského roku, se aktualizují jednou za dva roky. Nejnovější soubor údajů představuje zvláštní průzkum Eurobarometr 502 (2020) a bleskový průzkum Eurobarometr 482 (2019).</w:t>
      </w:r>
    </w:p>
  </w:footnote>
  <w:footnote w:id="101">
    <w:p>
      <w:pPr>
        <w:pStyle w:val="FootnoteText"/>
      </w:pPr>
      <w:r>
        <w:rPr>
          <w:rStyle w:val="FootnoteReference"/>
        </w:rPr>
        <w:footnoteRef/>
      </w:r>
      <w:r>
        <w:t xml:space="preserve"> </w:t>
      </w:r>
      <w:r>
        <w:tab/>
        <w:t>Vláda Slovenské republiky. Protikorupční politika Slovenské republiky na roky 2019–2023 (2018).</w:t>
      </w:r>
    </w:p>
  </w:footnote>
  <w:footnote w:id="102">
    <w:p>
      <w:pPr>
        <w:pStyle w:val="FootnoteText"/>
      </w:pPr>
      <w:r>
        <w:rPr>
          <w:rStyle w:val="FootnoteReference"/>
        </w:rPr>
        <w:footnoteRef/>
      </w:r>
      <w:r>
        <w:t xml:space="preserve"> </w:t>
      </w:r>
      <w:r>
        <w:tab/>
        <w:t>Vláda Slovenské republiky. Národní protikorupční program Slovenské republiky (2019).</w:t>
      </w:r>
    </w:p>
  </w:footnote>
  <w:footnote w:id="103">
    <w:p>
      <w:pPr>
        <w:pStyle w:val="FootnoteText"/>
      </w:pPr>
      <w:r>
        <w:rPr>
          <w:rStyle w:val="FootnoteReference"/>
        </w:rPr>
        <w:footnoteRef/>
      </w:r>
      <w:r>
        <w:t xml:space="preserve"> </w:t>
      </w:r>
      <w:r>
        <w:tab/>
        <w:t>Rezortní programy přijala ministerstva a další instituce včetně Ministerstva spravedlnosti, Ministerstva hospodářství, Ministerstva vnitra, Ministerstva dopravy a výstavby, Ministerstva životního prostředí, Ministerstva financí, Ministerstva zahraničních věcí a evropských záležitostí, Ministerstva zdravotnictví a Ministerstva práce. Přijaté akční plány obsahují zejména preventivní prvky včetně zvyšování povědomí o korupci, protikorupčního vzdělávání a řízení rizik korupce.</w:t>
      </w:r>
    </w:p>
  </w:footnote>
  <w:footnote w:id="104">
    <w:p>
      <w:pPr>
        <w:pStyle w:val="FootnoteText"/>
      </w:pPr>
      <w:r>
        <w:rPr>
          <w:rStyle w:val="FootnoteReference"/>
        </w:rPr>
        <w:footnoteRef/>
      </w:r>
      <w:r>
        <w:t xml:space="preserve"> </w:t>
      </w:r>
      <w:r>
        <w:tab/>
        <w:t>Nový Národní protikorupční program se nachází v přípravné fázi. Podle slovenské vlády veřejné konzultace již proběhly. Doplňkové údaje od Slovenské republiky pro zprávu o právním státu 2021, s. 7.</w:t>
      </w:r>
    </w:p>
  </w:footnote>
  <w:footnote w:id="105">
    <w:p>
      <w:pPr>
        <w:pStyle w:val="FootnoteText"/>
      </w:pPr>
      <w:r>
        <w:rPr>
          <w:rStyle w:val="FootnoteReference"/>
        </w:rPr>
        <w:footnoteRef/>
      </w:r>
      <w:r>
        <w:t xml:space="preserve"> </w:t>
      </w:r>
      <w:r>
        <w:tab/>
        <w:t>Úlohou Odboru prevence korupce Úřadu vlády je pouze zkontrolovat, zda příslušné ministerstvo program připravilo, nehodnotí však tento program po obsahové stránce. Odbor prevence korupce však spolupracuje s protikorupčními koordinátory v Radě koordinátorů protikorupční prevence. Informace obdržené v souvislosti s návštěvou Slovenska.</w:t>
      </w:r>
    </w:p>
  </w:footnote>
  <w:footnote w:id="106">
    <w:p>
      <w:pPr>
        <w:pStyle w:val="FootnoteText"/>
      </w:pPr>
      <w:r>
        <w:rPr>
          <w:rStyle w:val="FootnoteReference"/>
        </w:rPr>
        <w:footnoteRef/>
      </w:r>
      <w:r>
        <w:t xml:space="preserve"> </w:t>
      </w:r>
      <w:r>
        <w:tab/>
        <w:t> Zákon č. 312/2020 o výkonu rozhodnutí o zajištění majetku a správě zajištěného majetku a o změně a doplnění některých zákonů, účinný od 1. ledna 2021.</w:t>
      </w:r>
    </w:p>
  </w:footnote>
  <w:footnote w:id="107">
    <w:p>
      <w:pPr>
        <w:pStyle w:val="FootnoteText"/>
      </w:pPr>
      <w:r>
        <w:rPr>
          <w:rStyle w:val="FootnoteReference"/>
        </w:rPr>
        <w:footnoteRef/>
      </w:r>
      <w:r>
        <w:t xml:space="preserve"> </w:t>
      </w:r>
      <w:r>
        <w:tab/>
        <w:t>Tento zákon také předefinoval pojem legalizace výnosů z trestné činnosti a zavedl nový trestný čin ohýbání práva, viz výše v oddíle I. Všechny formy aktivní, pasivní, přímé a nepřímé korupce byly na Slovensku považovány za trestný čin již dříve.</w:t>
      </w:r>
    </w:p>
  </w:footnote>
  <w:footnote w:id="108">
    <w:p>
      <w:pPr>
        <w:pStyle w:val="FootnoteText"/>
      </w:pPr>
      <w:r>
        <w:rPr>
          <w:rStyle w:val="FootnoteReference"/>
        </w:rPr>
        <w:footnoteRef/>
      </w:r>
      <w:r>
        <w:t xml:space="preserve"> </w:t>
      </w:r>
      <w:r>
        <w:tab/>
        <w:t>V době vypracování této zprávy probíhala výběrová řízení na ředitele úřadu, jak vyplývá z údajů od Slovenské republiky pro zprávu o právním státu 2021, s. 22. V souvislosti s korupcí bylo zavedeno několik dalších změn včetně zákona č. 279/2020, kterým se mění a doplňuje zákon č. 297/2008 o ochraně před legalizací příjmů z trestné činnosti a o ochraně před financováním terorismu (září 2020).</w:t>
      </w:r>
    </w:p>
  </w:footnote>
  <w:footnote w:id="109">
    <w:p>
      <w:pPr>
        <w:pStyle w:val="FootnoteText"/>
      </w:pPr>
      <w:r>
        <w:rPr>
          <w:rStyle w:val="FootnoteReference"/>
        </w:rPr>
        <w:footnoteRef/>
      </w:r>
      <w:r>
        <w:t xml:space="preserve"> </w:t>
      </w:r>
      <w:r>
        <w:tab/>
        <w:t>Údaje od Slovenské republiky pro zprávu o právním státu 2021, s. 24, viz § 29a odst. 4 zákona č. 171/1993 Sb., o policejním sboru; navzdory skutečnosti, že je policie oprávněna získávat tyto informace při odhalování jiných trestných činů, jako jsou například daňové úniky, nezákonné finanční operace nebo legalizace výnosů z trestné činnosti. Očekává se, že tyto nedostatky bude řešit zejména návrh zákona o centrálním registru bankovních účtů, který má začít platit od 1. prosince 2021.</w:t>
      </w:r>
    </w:p>
  </w:footnote>
  <w:footnote w:id="110">
    <w:p>
      <w:pPr>
        <w:pStyle w:val="FootnoteText"/>
      </w:pPr>
      <w:r>
        <w:rPr>
          <w:rStyle w:val="FootnoteReference"/>
        </w:rPr>
        <w:footnoteRef/>
      </w:r>
      <w:r>
        <w:t xml:space="preserve"> </w:t>
      </w:r>
      <w:r>
        <w:tab/>
        <w:t>Přezkum provádění Úmluvy OSN proti korupci – 1. cyklus (2010–2015), zpráva o přezkumu ve Slovenské republice, s. 22. Obchodování s vlivem je sice podle § 336 trestního zákona trestným činem, nevztahuje se však na případy, kdy jednotlivec nabídl nebo poskytl úplatek jiné osobě, která ve skutečnosti neměla vliv na to, kvůli čemu byl úplatek poskytnut, jak to vyžaduje Úmluva OSN proti korupci.</w:t>
      </w:r>
    </w:p>
  </w:footnote>
  <w:footnote w:id="111">
    <w:p>
      <w:pPr>
        <w:pStyle w:val="FootnoteText"/>
      </w:pPr>
      <w:r>
        <w:rPr>
          <w:rStyle w:val="FootnoteReference"/>
        </w:rPr>
        <w:footnoteRef/>
      </w:r>
      <w:r>
        <w:t xml:space="preserve"> </w:t>
      </w:r>
      <w:r>
        <w:tab/>
        <w:t xml:space="preserve">Rozhodnutí č. UV-1860/2021. Viz rovněž návrh vlády Slovenské republiky týkající se zvýšení počtu osob určených k plnění úkolů Úřadu speciální prokuratury v rámci Generální prokuratury Slovenské republiky a jejich funkčního zařazení. </w:t>
      </w:r>
    </w:p>
  </w:footnote>
  <w:footnote w:id="112">
    <w:p>
      <w:pPr>
        <w:pStyle w:val="FootnoteText"/>
      </w:pPr>
      <w:r>
        <w:rPr>
          <w:rStyle w:val="FootnoteReference"/>
        </w:rPr>
        <w:footnoteRef/>
      </w:r>
      <w:r>
        <w:t xml:space="preserve"> </w:t>
      </w:r>
      <w:r>
        <w:tab/>
        <w:t>Údaje od Slovenské republiky pro zprávu o právním státu 2021, s. 15. Úřad speciální prokuratury vyjádřil znepokojení nad tím, že každý prokurátor má průměrně na starosti přibližně 80 případů současně, což vyvolává otázky ohledně efektivního dozoru nad vyšetřováním. Viz zpráva o právním státu (2020), s. 7.</w:t>
      </w:r>
    </w:p>
  </w:footnote>
  <w:footnote w:id="113">
    <w:p>
      <w:pPr>
        <w:pStyle w:val="FootnoteText"/>
      </w:pPr>
      <w:r>
        <w:rPr>
          <w:rStyle w:val="FootnoteReference"/>
        </w:rPr>
        <w:footnoteRef/>
      </w:r>
      <w:r>
        <w:t xml:space="preserve"> </w:t>
      </w:r>
      <w:r>
        <w:tab/>
        <w:t>Podle údajů od Slovenské republiky pro zprávu o právním státu 2021, s. 16, působí ve stávajícím oddělení odboru všeobecné kriminality Úřadu speciální prokuratury jeden vedoucí prokurátor a devět prokurátorů.</w:t>
      </w:r>
    </w:p>
  </w:footnote>
  <w:footnote w:id="114">
    <w:p>
      <w:pPr>
        <w:pStyle w:val="FootnoteText"/>
      </w:pPr>
      <w:r>
        <w:rPr>
          <w:rStyle w:val="FootnoteReference"/>
        </w:rPr>
        <w:footnoteRef/>
      </w:r>
      <w:r>
        <w:t xml:space="preserve"> </w:t>
      </w:r>
      <w:r>
        <w:tab/>
        <w:t>Podle údajů od Slovenské republiky pro zprávu o právním státu 2021, s. 16, působí ve stávajícím oddělení odboru všeobecné kriminality Úřadu speciální prokuratury jeden vedoucí prokurátor a devět prokurátorů.</w:t>
      </w:r>
    </w:p>
  </w:footnote>
  <w:footnote w:id="115">
    <w:p>
      <w:pPr>
        <w:pStyle w:val="FootnoteText"/>
      </w:pPr>
      <w:r>
        <w:rPr>
          <w:rStyle w:val="FootnoteReference"/>
        </w:rPr>
        <w:footnoteRef/>
      </w:r>
      <w:r>
        <w:t xml:space="preserve"> </w:t>
      </w:r>
      <w:r>
        <w:tab/>
        <w:t>Úřad obdrží na realizaci této reformy dalších 1,3 milionu EUR.</w:t>
      </w:r>
    </w:p>
  </w:footnote>
  <w:footnote w:id="116">
    <w:p>
      <w:pPr>
        <w:pStyle w:val="FootnoteText"/>
      </w:pPr>
      <w:r>
        <w:rPr>
          <w:rStyle w:val="FootnoteReference"/>
        </w:rPr>
        <w:footnoteRef/>
      </w:r>
      <w:r>
        <w:t xml:space="preserve"> </w:t>
      </w:r>
      <w:r>
        <w:tab/>
        <w:t>Viz GRECO, páté kolo hodnocení – hodnoticí zpráva o Slovenské republice (2019), s. 37–57.</w:t>
      </w:r>
    </w:p>
  </w:footnote>
  <w:footnote w:id="117">
    <w:p>
      <w:pPr>
        <w:pStyle w:val="FootnoteText"/>
      </w:pPr>
      <w:r>
        <w:rPr>
          <w:rStyle w:val="FootnoteReference"/>
        </w:rPr>
        <w:footnoteRef/>
      </w:r>
      <w:r>
        <w:t xml:space="preserve"> </w:t>
      </w:r>
      <w:r>
        <w:tab/>
        <w:t>Zpráva o právním státu 2020, kapitola o stavu právního státu na Slovensku, s. 7.</w:t>
      </w:r>
    </w:p>
  </w:footnote>
  <w:footnote w:id="118">
    <w:p>
      <w:pPr>
        <w:pStyle w:val="FootnoteText"/>
      </w:pPr>
      <w:r>
        <w:rPr>
          <w:rStyle w:val="FootnoteReference"/>
        </w:rPr>
        <w:footnoteRef/>
      </w:r>
      <w:r>
        <w:t xml:space="preserve"> </w:t>
      </w:r>
      <w:r>
        <w:tab/>
        <w:t>Viz Plán obnovy a odolnosti Slovenské republiky.</w:t>
      </w:r>
    </w:p>
  </w:footnote>
  <w:footnote w:id="119">
    <w:p>
      <w:pPr>
        <w:pStyle w:val="FootnoteText"/>
      </w:pPr>
      <w:r>
        <w:rPr>
          <w:rStyle w:val="FootnoteReference"/>
        </w:rPr>
        <w:footnoteRef/>
      </w:r>
      <w:r>
        <w:t xml:space="preserve"> </w:t>
      </w:r>
      <w:r>
        <w:tab/>
        <w:t>Informace obdržené v souvislosti s návštěvou Slovenska. Viz též oddíl I.</w:t>
      </w:r>
    </w:p>
  </w:footnote>
  <w:footnote w:id="120">
    <w:p>
      <w:pPr>
        <w:pStyle w:val="FootnoteText"/>
      </w:pPr>
      <w:r>
        <w:rPr>
          <w:rStyle w:val="FootnoteReference"/>
        </w:rPr>
        <w:footnoteRef/>
      </w:r>
      <w:r>
        <w:t xml:space="preserve"> </w:t>
      </w:r>
      <w:r>
        <w:tab/>
        <w:t>Podle informací obdržených v souvislosti s návštěvou Slovenska se ze 158 zahájených případů korupce 73 případů týkalo poskytnutí úplatku, 71 přijetí úplatku, 8 nepřímé korupce, 5 korupce ve volbách a 1 případ se týkal manipulace s výsledky zápasů ve sportu.</w:t>
      </w:r>
    </w:p>
  </w:footnote>
  <w:footnote w:id="121">
    <w:p>
      <w:pPr>
        <w:pStyle w:val="FootnoteText"/>
        <w:rPr>
          <w:rFonts w:cs="Times New Roman"/>
        </w:rPr>
      </w:pPr>
      <w:r>
        <w:rPr>
          <w:rStyle w:val="FootnoteReference"/>
        </w:rPr>
        <w:footnoteRef/>
      </w:r>
      <w:r>
        <w:t xml:space="preserve"> </w:t>
      </w:r>
      <w:r>
        <w:tab/>
        <w:t xml:space="preserve">Mezi trestné činy zahrnuté do této statistiky patří pasivní korupce (§ 328), pasivní korupce – veřejné zakázky na věci obecného zájmu (§ 329), aktivní korupce (§ 332), aktivní korupce – veřejné zakázky na věci obecného zájmu (§ 333), obchodování s vlivem (§ 336), volební úplatkářství (§ 336a), korupce ve sportu (§ 336b). Doplňkové údaje od Slovenské republiky pro zprávu o právním státu 2021, dostupné na adrese </w:t>
      </w:r>
      <w:hyperlink r:id="rId9" w:history="1">
        <w:r>
          <w:rPr>
            <w:color w:val="0563C1" w:themeColor="hyperlink"/>
            <w:u w:val="single"/>
          </w:rPr>
          <w:t>http://web.ac-mssr.sk/wp-content/uploads/2020/rocenka2019/I.-Trestn%C3%A1-agenda_2019_pdf.pdf</w:t>
        </w:r>
      </w:hyperlink>
      <w:r>
        <w:rPr>
          <w:color w:val="0563C1" w:themeColor="hyperlink"/>
          <w:u w:val="single"/>
        </w:rPr>
        <w:t>.</w:t>
      </w:r>
      <w:r>
        <w:rPr>
          <w:color w:val="0563C1"/>
          <w:u w:val="single"/>
        </w:rPr>
        <w:t xml:space="preserve"> </w:t>
      </w:r>
      <w:r>
        <w:t>Ve výročních zprávách Národní kriminální agentury jsou navíc k dispozici statistiky o korupci, které obsahují údaje o počtu trestních vyšetřování a stíhání a o počtu osob obviněných z korupce. Měsíční statistiky trestné činnosti online uveřejňuje rovněž Ministerstvo vnitra.</w:t>
      </w:r>
    </w:p>
  </w:footnote>
  <w:footnote w:id="122">
    <w:p>
      <w:pPr>
        <w:pStyle w:val="FootnoteText"/>
      </w:pPr>
      <w:r>
        <w:rPr>
          <w:rStyle w:val="FootnoteReference"/>
        </w:rPr>
        <w:footnoteRef/>
      </w:r>
      <w:r>
        <w:rPr>
          <w:rStyle w:val="FootnoteReference"/>
        </w:rPr>
        <w:t xml:space="preserve"> </w:t>
      </w:r>
      <w:r>
        <w:tab/>
        <w:t xml:space="preserve">Slovenský pozemkový fond odpovídá za správu zemědělských pozemků ve vlastnictví státu nebo pozemků nezjištěných soukromých vlastníků. Tyto parcely zaujímají přibližně 20 % veškeré zemědělské půdy na Slovensku a ve většině případů jsou způsobilé pro poskytování grantů EU na přímé platby. </w:t>
      </w:r>
    </w:p>
  </w:footnote>
  <w:footnote w:id="123">
    <w:p>
      <w:pPr>
        <w:pStyle w:val="FootnoteText"/>
      </w:pPr>
      <w:r>
        <w:rPr>
          <w:rStyle w:val="FootnoteReference"/>
        </w:rPr>
        <w:footnoteRef/>
      </w:r>
      <w:r>
        <w:rPr>
          <w:rStyle w:val="FootnoteReference"/>
        </w:rPr>
        <w:t xml:space="preserve"> </w:t>
      </w:r>
      <w:r>
        <w:tab/>
        <w:t>Aktuality.sk (19. března 2021), NAKA opět zadržela finančníka Kvietika a další osoby ze Slovenského pozemkového fondu.</w:t>
      </w:r>
    </w:p>
  </w:footnote>
  <w:footnote w:id="124">
    <w:p>
      <w:pPr>
        <w:pStyle w:val="FootnoteText"/>
      </w:pPr>
      <w:r>
        <w:rPr>
          <w:rStyle w:val="FootnoteReference"/>
        </w:rPr>
        <w:footnoteRef/>
      </w:r>
      <w:r>
        <w:rPr>
          <w:rStyle w:val="FootnoteReference"/>
        </w:rPr>
        <w:t xml:space="preserve"> </w:t>
      </w:r>
      <w:r>
        <w:tab/>
        <w:t xml:space="preserve">Tisková zpráva Evropského úřadu pro boj proti podvodům (21. ledna 2021): OLAF uzavírá případy týkající se zemědělských fondů EU na Slovensku. </w:t>
      </w:r>
    </w:p>
  </w:footnote>
  <w:footnote w:id="125">
    <w:p>
      <w:pPr>
        <w:pStyle w:val="FootnoteText"/>
        <w:rPr>
          <w:rFonts w:cs="Times New Roman"/>
        </w:rPr>
      </w:pPr>
      <w:r>
        <w:rPr>
          <w:rStyle w:val="FootnoteReference"/>
          <w:rFonts w:cs="Times New Roman"/>
        </w:rPr>
        <w:footnoteRef/>
      </w:r>
      <w:r>
        <w:t xml:space="preserve"> </w:t>
      </w:r>
      <w:r>
        <w:tab/>
        <w:t>Údaje od Slovenské republiky pro zprávu o právním státu 2021, s. 25.</w:t>
      </w:r>
    </w:p>
  </w:footnote>
  <w:footnote w:id="126">
    <w:p>
      <w:pPr>
        <w:pStyle w:val="FootnoteText"/>
      </w:pPr>
      <w:r>
        <w:rPr>
          <w:rStyle w:val="FootnoteReference"/>
          <w:rFonts w:cs="Times New Roman"/>
        </w:rPr>
        <w:footnoteRef/>
      </w:r>
      <w:r>
        <w:t xml:space="preserve"> </w:t>
      </w:r>
      <w:r>
        <w:tab/>
        <w:t>Podle zprávy organizace Transparency International o vývozu korupce (2020), s. 102, zahájilo Slovensko v období 2016–2019 neznámý počet vyšetřování a nezahájilo ani neuzavřelo žádné případy. Byla změněna vnitrostátní ustanovení o trestných činech zahraničního podplácení v reakci na doporučení v dokumentu OECD Provádění Úmluvy OECD o boji proti podplácení, fáze 3: Slovenská republika (2012) a v navazující zprávě OECD ke zprávě o fázi 3 a doporučení: Slovenská republika (2014). Pokud jde o odpovědnost právnických osob v souvislosti se zahraničním podplácením, viz OECD, zpráva o fázi 1a: Slovenská republika (2017). V průběhu roku 2025 se má Slovenská republika podle plánu podrobit 4. fázi přezkumu provádění této úmluvy, při níž budou přezkoumána opatření přijatá za účelem řešení nedostatků zjištěných v předchozích hodnoceních a ve snaze o vymáhání práva.</w:t>
      </w:r>
    </w:p>
  </w:footnote>
  <w:footnote w:id="127">
    <w:p>
      <w:pPr>
        <w:pStyle w:val="FootnoteText"/>
      </w:pPr>
      <w:r>
        <w:rPr>
          <w:rStyle w:val="FootnoteReference"/>
        </w:rPr>
        <w:footnoteRef/>
      </w:r>
      <w:r>
        <w:t xml:space="preserve"> </w:t>
      </w:r>
      <w:r>
        <w:tab/>
        <w:t>Údaje od Slovenské republiky pro zprávu o právním státu 2021, s. 19; zpráva o právním státu 2020, kapitola o stavu právního státu na Slovensku, s. 8.</w:t>
      </w:r>
    </w:p>
  </w:footnote>
  <w:footnote w:id="128">
    <w:p>
      <w:pPr>
        <w:pStyle w:val="FootnoteText"/>
      </w:pPr>
      <w:r>
        <w:rPr>
          <w:rStyle w:val="FootnoteReference"/>
        </w:rPr>
        <w:footnoteRef/>
      </w:r>
      <w:r>
        <w:t xml:space="preserve"> </w:t>
      </w:r>
      <w:r>
        <w:tab/>
        <w:t>Úřad na ochranu oznamovatelů byl zřízen zákonem č. 54/2019 Sb., o ochraně oznamovatelů protispolečenské činnosti, který je účinný od března 2019.</w:t>
      </w:r>
    </w:p>
  </w:footnote>
  <w:footnote w:id="129">
    <w:p>
      <w:pPr>
        <w:pStyle w:val="FootnoteText"/>
      </w:pPr>
      <w:r>
        <w:rPr>
          <w:rStyle w:val="FootnoteReference"/>
        </w:rPr>
        <w:footnoteRef/>
      </w:r>
      <w:r>
        <w:t xml:space="preserve"> </w:t>
      </w:r>
      <w:r>
        <w:tab/>
        <w:t>Náklady na zaměstnance a provozní náklady budou činit přibližně 1,1 milionu EUR ročně.</w:t>
      </w:r>
    </w:p>
  </w:footnote>
  <w:footnote w:id="130">
    <w:p>
      <w:pPr>
        <w:pStyle w:val="FootnoteText"/>
      </w:pPr>
      <w:r>
        <w:rPr>
          <w:rStyle w:val="FootnoteReference"/>
        </w:rPr>
        <w:footnoteRef/>
      </w:r>
      <w:r>
        <w:t xml:space="preserve"> </w:t>
      </w:r>
      <w:r>
        <w:tab/>
        <w:t>Slovensko má samostatný zákon o ochraně oznamovatelů od roku 2019, konkrétně je zákon č. 54/2019 sb., o ochraně oznamovatelů protispolečenské činnosti.</w:t>
      </w:r>
    </w:p>
  </w:footnote>
  <w:footnote w:id="131">
    <w:p>
      <w:pPr>
        <w:pStyle w:val="FootnoteText"/>
      </w:pPr>
      <w:r>
        <w:rPr>
          <w:rStyle w:val="FootnoteReference"/>
        </w:rPr>
        <w:footnoteRef/>
      </w:r>
      <w:r>
        <w:t xml:space="preserve"> </w:t>
      </w:r>
      <w:r>
        <w:tab/>
        <w:t xml:space="preserve">Vláda Slovenské republiky. Plán legislativních úkolů vlády Slovenské republiky na rok 2021, </w:t>
      </w:r>
      <w:hyperlink r:id="rId10"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t>.</w:t>
      </w:r>
    </w:p>
  </w:footnote>
  <w:footnote w:id="132">
    <w:p>
      <w:pPr>
        <w:pStyle w:val="FootnoteText"/>
      </w:pPr>
      <w:r>
        <w:rPr>
          <w:rStyle w:val="FootnoteReference"/>
        </w:rPr>
        <w:footnoteRef/>
      </w:r>
      <w:r>
        <w:t xml:space="preserve"> </w:t>
      </w:r>
      <w:r>
        <w:tab/>
        <w:t>Informace obdržené od vlády v souvislosti s návštěvou Slovenska.</w:t>
      </w:r>
    </w:p>
  </w:footnote>
  <w:footnote w:id="133">
    <w:p>
      <w:pPr>
        <w:pStyle w:val="FootnoteText"/>
      </w:pPr>
      <w:r>
        <w:rPr>
          <w:rStyle w:val="FootnoteReference"/>
        </w:rPr>
        <w:footnoteRef/>
      </w:r>
      <w:r>
        <w:t xml:space="preserve"> </w:t>
      </w:r>
      <w:r>
        <w:tab/>
        <w:t>Zpráva o právním státu 2020, kapitola o stavu právního státu na Slovensku, s. 8.</w:t>
      </w:r>
    </w:p>
  </w:footnote>
  <w:footnote w:id="134">
    <w:p>
      <w:pPr>
        <w:pStyle w:val="FootnoteText"/>
      </w:pPr>
      <w:r>
        <w:rPr>
          <w:rStyle w:val="FootnoteReference"/>
        </w:rPr>
        <w:footnoteRef/>
      </w:r>
      <w:r>
        <w:t xml:space="preserve"> </w:t>
      </w:r>
      <w:r>
        <w:tab/>
        <w:t>Viz GRECO, čtvrté kolo hodnocení, Slovenská republika – dodatek ke druhé zprávě o stavu plnění (2019), bod 8, a GRECO, čtvrté kolo hodnocení – hodnoticí zpráva o Slovenské republice (2013), bod 25 (v souvislosti s poslanci parlamentu); GRECO, páté kolo hodnocení – hodnoticí zpráva, Slovenská republika (2019), bod 89 (v souvislosti s ústřední vládou / vrcholnými výkonnými funkcemi); GRECO, čtvrté kolo hodnocení (2019), dodatek ke druhé zprávě o stavu plnění, Slovenská republika.</w:t>
      </w:r>
    </w:p>
  </w:footnote>
  <w:footnote w:id="135">
    <w:p>
      <w:pPr>
        <w:pStyle w:val="FootnoteText"/>
      </w:pPr>
      <w:r>
        <w:rPr>
          <w:rStyle w:val="FootnoteReference"/>
        </w:rPr>
        <w:footnoteRef/>
      </w:r>
      <w:r>
        <w:t xml:space="preserve"> </w:t>
      </w:r>
      <w:r>
        <w:tab/>
        <w:t>Patří mezi ně mimo jiné silný zákon o svobodném přístupu k informacím a ústavní zákon č. 357/2004 Sb., o střetu zájmů.</w:t>
      </w:r>
    </w:p>
  </w:footnote>
  <w:footnote w:id="136">
    <w:p>
      <w:pPr>
        <w:pStyle w:val="FootnoteText"/>
      </w:pPr>
      <w:r>
        <w:rPr>
          <w:rStyle w:val="FootnoteReference"/>
        </w:rPr>
        <w:footnoteRef/>
      </w:r>
      <w:r>
        <w:t xml:space="preserve"> </w:t>
      </w:r>
      <w:r>
        <w:tab/>
        <w:t>Etický kodex poslanců parlamentu bude součástí návrhu zákona Úřadu vlády o lobbingu. Pokud jde o státní zaměstnance, legislativní změny zákona o státní službě z roku 2019 zahrnovaly etický kodex státních zaměstnanců a systém posuzování jeho dodržování, viz vyhláška č. 400/2019, kterou se vydává Etický kodex státního zaměstnance. O zavedení Etického kodexu poslanců viz rovněž GRECO, čtvrté kolo hodnocení, druhý dodatek ke druhé zprávě o stavu plnění, Slovenská republika (2021).</w:t>
      </w:r>
    </w:p>
  </w:footnote>
  <w:footnote w:id="137">
    <w:p>
      <w:pPr>
        <w:pStyle w:val="FootnoteText"/>
      </w:pPr>
      <w:r>
        <w:rPr>
          <w:rStyle w:val="FootnoteReference"/>
        </w:rPr>
        <w:footnoteRef/>
      </w:r>
      <w:r>
        <w:t xml:space="preserve"> </w:t>
      </w:r>
      <w:r>
        <w:tab/>
        <w:t>Údaje od Slovenské republiky pro zprávu o právním státu 2021, s. 19, a informace obdržené od odboru prevence korupce Úřadu vlády v souvislosti s návštěvou Slovenska. Pravidla uplatňovaná po skončení výkonu funkce jsou v současnosti zahrnuta do zákona o střetu zájmů, který se vztahuje na veřejné činitele zastávající výkonné funkce nebo na členy kolektivního rozhodovacího orgánu, bylo však zjištěno, že mají omezený rozsah působnosti. Viz GRECO, páté kolo hodnocení – hodnoticí zpráva, Slovenská republika (2019), body 127–128.</w:t>
      </w:r>
    </w:p>
  </w:footnote>
  <w:footnote w:id="138">
    <w:p>
      <w:pPr>
        <w:pStyle w:val="FootnoteText"/>
      </w:pPr>
      <w:r>
        <w:rPr>
          <w:rStyle w:val="FootnoteReference"/>
        </w:rPr>
        <w:footnoteRef/>
      </w:r>
      <w:r>
        <w:rPr>
          <w:rStyle w:val="FootnoteReference"/>
        </w:rPr>
        <w:t xml:space="preserve"> </w:t>
      </w:r>
      <w:r>
        <w:tab/>
        <w:t>Ústavní zákon č. 357/2004 o ochraně veřejného zájmu při výkonu funkcí veřejných činitelů ve znění ústavního zákona č. 545/2005. V současném vládním programu se předpokládají další komplexní změny tohoto zákona, zejména pokud jde o dary poslancům, s cílem řešit přetrvávající obavy v souvislosti s prahovými hodnotami oproti minimální mzdě. Viz GRECO, čtvrté kolo hodnocení: druhý dodatek ke druhé zprávě o stavu plnění – Slovenská republika (2021), body 20–21. Viz rovněž GRECO, Slovensko: GRECO vyjadřuje politování nad pomalým pokrokem při prevenci korupce poslanců, soudců a prokurátorů (2021)</w:t>
      </w:r>
      <w:r>
        <w:rPr>
          <w:rStyle w:val="Hyperlink"/>
          <w:color w:val="auto"/>
          <w:u w:val="none"/>
        </w:rPr>
        <w:t>.</w:t>
      </w:r>
    </w:p>
  </w:footnote>
  <w:footnote w:id="139">
    <w:p>
      <w:pPr>
        <w:pStyle w:val="FootnoteText"/>
      </w:pPr>
      <w:r>
        <w:rPr>
          <w:rStyle w:val="FootnoteReference"/>
        </w:rPr>
        <w:footnoteRef/>
      </w:r>
      <w:r>
        <w:t xml:space="preserve"> </w:t>
      </w:r>
      <w:r>
        <w:tab/>
        <w:t>Informace obdržené v souvislosti s návštěvou Slovenska. Viz rovněž zpráva o právním státu 2020, kapitola o stavu právního státu na Slovensku, s. 8–9.</w:t>
      </w:r>
    </w:p>
  </w:footnote>
  <w:footnote w:id="140">
    <w:p>
      <w:pPr>
        <w:pStyle w:val="FootnoteText"/>
      </w:pPr>
      <w:r>
        <w:rPr>
          <w:rStyle w:val="FootnoteReference"/>
        </w:rPr>
        <w:footnoteRef/>
      </w:r>
      <w:r>
        <w:t xml:space="preserve"> </w:t>
      </w:r>
      <w:r>
        <w:tab/>
        <w:t>Informace obdržené v souvislosti s návštěvou Slovenska. Do ledna 2021 nepředložila parlamentnímu výboru svá majetková přiznání čtvrtina poslanců (381).</w:t>
      </w:r>
    </w:p>
  </w:footnote>
  <w:footnote w:id="141">
    <w:p>
      <w:pPr>
        <w:pStyle w:val="FootnoteText"/>
      </w:pPr>
      <w:r>
        <w:rPr>
          <w:rStyle w:val="FootnoteReference"/>
        </w:rPr>
        <w:footnoteRef/>
      </w:r>
      <w:r>
        <w:t xml:space="preserve"> </w:t>
      </w:r>
      <w:r>
        <w:tab/>
        <w:t>Zákon č. 85/2005 o politických stranách a politických hnutích (ve znění změn z roku 2019).</w:t>
      </w:r>
    </w:p>
  </w:footnote>
  <w:footnote w:id="142">
    <w:p>
      <w:pPr>
        <w:pStyle w:val="FootnoteText"/>
      </w:pPr>
      <w:r>
        <w:rPr>
          <w:rStyle w:val="FootnoteReference"/>
        </w:rPr>
        <w:footnoteRef/>
      </w:r>
      <w:r>
        <w:t xml:space="preserve"> </w:t>
      </w:r>
      <w:r>
        <w:tab/>
        <w:t>Ustanovení § 22 odst. 5 zákona č. 85/2005 o politických stranách a politických hnutích (ve znění změn z roku 2019).</w:t>
      </w:r>
    </w:p>
  </w:footnote>
  <w:footnote w:id="143">
    <w:p>
      <w:pPr>
        <w:pStyle w:val="FootnoteText"/>
      </w:pPr>
      <w:r>
        <w:rPr>
          <w:rStyle w:val="FootnoteReference"/>
        </w:rPr>
        <w:footnoteRef/>
      </w:r>
      <w:r>
        <w:t xml:space="preserve"> </w:t>
      </w:r>
      <w:r>
        <w:tab/>
        <w:t>Informace obdržené v souvislosti s návštěvou Slovenska.</w:t>
      </w:r>
    </w:p>
  </w:footnote>
  <w:footnote w:id="144">
    <w:p>
      <w:pPr>
        <w:pStyle w:val="FootnoteText"/>
      </w:pPr>
      <w:r>
        <w:rPr>
          <w:rStyle w:val="FootnoteReference"/>
        </w:rPr>
        <w:footnoteRef/>
      </w:r>
      <w:r>
        <w:t xml:space="preserve"> </w:t>
      </w:r>
      <w:r>
        <w:tab/>
        <w:t xml:space="preserve">Zákon č. 85/2005 o politických stranách a politických hnutích (ve znění změn z roku 2019). Zákon omezil příjmy stran z darů a půjček či úvěrů na 3,5 milionu EUR během čtyřletého volebního období a stanovil horní hranici ročních členských příspěvků na 10 000 EUR od jednoho člena. </w:t>
      </w:r>
    </w:p>
  </w:footnote>
  <w:footnote w:id="145">
    <w:p>
      <w:pPr>
        <w:pStyle w:val="FootnoteText"/>
      </w:pPr>
      <w:r>
        <w:rPr>
          <w:rStyle w:val="FootnoteReference"/>
        </w:rPr>
        <w:footnoteRef/>
      </w:r>
      <w:r>
        <w:rPr>
          <w:rStyle w:val="FootnoteReference"/>
        </w:rPr>
        <w:t xml:space="preserve"> </w:t>
      </w:r>
      <w:r>
        <w:tab/>
        <w:t>Informace obdržené v souvislosti s návštěvou Slovenska. Viz též oddíl I.</w:t>
      </w:r>
    </w:p>
  </w:footnote>
  <w:footnote w:id="146">
    <w:p>
      <w:pPr>
        <w:pStyle w:val="FootnoteText"/>
      </w:pPr>
      <w:r>
        <w:rPr>
          <w:rStyle w:val="FootnoteReference"/>
        </w:rPr>
        <w:footnoteRef/>
      </w:r>
      <w:r>
        <w:rPr>
          <w:rStyle w:val="FootnoteReference"/>
        </w:rPr>
        <w:t xml:space="preserve"> </w:t>
      </w:r>
      <w:r>
        <w:tab/>
        <w:t>Informace obdržené v souvislosti s návštěvou Slovenska.</w:t>
      </w:r>
    </w:p>
  </w:footnote>
  <w:footnote w:id="147">
    <w:p>
      <w:pPr>
        <w:pStyle w:val="FootnoteText"/>
      </w:pPr>
      <w:r>
        <w:rPr>
          <w:rStyle w:val="FootnoteReference"/>
        </w:rPr>
        <w:footnoteRef/>
      </w:r>
      <w:r>
        <w:rPr>
          <w:rStyle w:val="FootnoteReference"/>
        </w:rPr>
        <w:t xml:space="preserve"> </w:t>
      </w:r>
      <w:r>
        <w:tab/>
        <w:t xml:space="preserve">Tento program je k dispozici na adrese </w:t>
      </w:r>
      <w:r>
        <w:rPr>
          <w:rStyle w:val="Hyperlink"/>
        </w:rPr>
        <w:t>https://www.health.gov.sk/Zdroje?/dokumenty/mzsr/rezortny-protikorupcny-program.rtf.</w:t>
      </w:r>
    </w:p>
  </w:footnote>
  <w:footnote w:id="148">
    <w:p>
      <w:pPr>
        <w:pStyle w:val="FootnoteText"/>
      </w:pPr>
      <w:r>
        <w:rPr>
          <w:rStyle w:val="FootnoteReference"/>
        </w:rPr>
        <w:footnoteRef/>
      </w:r>
      <w:r>
        <w:rPr>
          <w:rStyle w:val="FootnoteReference"/>
        </w:rPr>
        <w:t xml:space="preserve"> </w:t>
      </w:r>
      <w:r>
        <w:tab/>
        <w:t>Informace obdržené v souvislosti s návštěvou Slovenska.</w:t>
      </w:r>
    </w:p>
  </w:footnote>
  <w:footnote w:id="149">
    <w:p>
      <w:pPr>
        <w:pStyle w:val="FootnoteText"/>
      </w:pPr>
      <w:r>
        <w:rPr>
          <w:rStyle w:val="FootnoteReference"/>
        </w:rPr>
        <w:footnoteRef/>
      </w:r>
      <w:r>
        <w:t xml:space="preserve"> </w:t>
      </w:r>
      <w:r>
        <w:tab/>
        <w:t xml:space="preserve">Místopředseda vlády Slovenské republiky, návrh zákona, kterým se mění a doplňuje zákon č. 343/2015 Sb., o veřejných zakázkách a o změně a doplnění některých zákonů ve znění pozdějších předpisů, </w:t>
      </w:r>
      <w:hyperlink r:id="rId11"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w:t>
        </w:r>
      </w:hyperlink>
      <w:r>
        <w:t>.</w:t>
      </w:r>
    </w:p>
  </w:footnote>
  <w:footnote w:id="150">
    <w:p>
      <w:pPr>
        <w:pStyle w:val="FootnoteText"/>
      </w:pPr>
      <w:r>
        <w:rPr>
          <w:rStyle w:val="FootnoteReference"/>
        </w:rPr>
        <w:footnoteRef/>
      </w:r>
      <w:r>
        <w:t xml:space="preserve"> </w:t>
      </w:r>
      <w:r>
        <w:tab/>
        <w:t>Podle návrhu by přezkum postupu zadávání veřejných zakázek namísto toho podléhal přímému soudnímu vyšetřování. Námitky proti podmínkám zadávacího řízení by například neměly odkladný účinek, pokud by byly vzneseny u soudu, a smlouvy by bylo možno podepisovat před vydáním soudního rozhodnutí.</w:t>
      </w:r>
    </w:p>
  </w:footnote>
  <w:footnote w:id="151">
    <w:p>
      <w:pPr>
        <w:pStyle w:val="FootnoteText"/>
      </w:pPr>
      <w:r>
        <w:rPr>
          <w:rStyle w:val="FootnoteReference"/>
        </w:rPr>
        <w:footnoteRef/>
      </w:r>
      <w:r>
        <w:t xml:space="preserve"> </w:t>
      </w:r>
      <w:r>
        <w:tab/>
        <w:t xml:space="preserve">Transparency International – Slovensko, informace obdržené v souvislosti s návštěvou Slovenska. </w:t>
      </w:r>
    </w:p>
  </w:footnote>
  <w:footnote w:id="152">
    <w:p>
      <w:pPr>
        <w:pStyle w:val="FootnoteText"/>
        <w:rPr>
          <w:rFonts w:cs="Times New Roman"/>
        </w:rPr>
      </w:pPr>
      <w:r>
        <w:rPr>
          <w:rStyle w:val="FootnoteReference"/>
          <w:rFonts w:cs="Times New Roman"/>
        </w:rPr>
        <w:footnoteRef/>
      </w:r>
      <w:r>
        <w:t xml:space="preserve"> </w:t>
      </w:r>
      <w:r>
        <w:tab/>
        <w:t>Zákon č. 211/2000 Sb., o svobodě informací.</w:t>
      </w:r>
    </w:p>
  </w:footnote>
  <w:footnote w:id="153">
    <w:p>
      <w:pPr>
        <w:pStyle w:val="FootnoteText"/>
        <w:rPr>
          <w:rFonts w:cs="Times New Roman"/>
        </w:rPr>
      </w:pPr>
      <w:r>
        <w:rPr>
          <w:rStyle w:val="FootnoteReference"/>
          <w:rFonts w:cs="Times New Roman"/>
        </w:rPr>
        <w:footnoteRef/>
      </w:r>
      <w:r>
        <w:t xml:space="preserve"> </w:t>
      </w:r>
      <w:r>
        <w:tab/>
        <w:t>Zákon č. 308/2000 Sb., o vysílání a retransmisi.</w:t>
      </w:r>
    </w:p>
  </w:footnote>
  <w:footnote w:id="154">
    <w:p>
      <w:pPr>
        <w:pStyle w:val="FootnoteText"/>
        <w:rPr>
          <w:rFonts w:cs="Times New Roman"/>
        </w:rPr>
      </w:pPr>
      <w:r>
        <w:rPr>
          <w:rStyle w:val="FootnoteReference"/>
          <w:rFonts w:cs="Times New Roman"/>
        </w:rPr>
        <w:footnoteRef/>
      </w:r>
      <w:r>
        <w:t xml:space="preserve"> </w:t>
      </w:r>
      <w:r>
        <w:tab/>
        <w:t>Zákon č. 167/2008 Sb., o tisku.</w:t>
      </w:r>
    </w:p>
  </w:footnote>
  <w:footnote w:id="155">
    <w:p>
      <w:pPr>
        <w:pStyle w:val="FootnoteText"/>
      </w:pPr>
      <w:r>
        <w:rPr>
          <w:rStyle w:val="FootnoteReference"/>
        </w:rPr>
        <w:footnoteRef/>
      </w:r>
      <w:r>
        <w:rPr>
          <w:rStyle w:val="FootnoteReference"/>
        </w:rPr>
        <w:t xml:space="preserve"> </w:t>
      </w:r>
      <w:r>
        <w:tab/>
        <w:t xml:space="preserve">Slovensko se ve světovém indexu svobody tisku Reportérů bez hranic propadlo o dvě místa, takže se nyní nachází na 35. pozici celosvětově a na 17. pozici v rámci EU. Je tomu tak do značné míry v důsledku verbálních útoků politiků na novináře a sdělovací prostředky. </w:t>
      </w:r>
    </w:p>
  </w:footnote>
  <w:footnote w:id="156">
    <w:p>
      <w:pPr>
        <w:pStyle w:val="FootnoteText"/>
      </w:pPr>
      <w:r>
        <w:rPr>
          <w:rStyle w:val="FootnoteReference"/>
        </w:rPr>
        <w:footnoteRef/>
      </w:r>
      <w:r>
        <w:rPr>
          <w:rStyle w:val="FootnoteReference"/>
        </w:rPr>
        <w:t xml:space="preserve"> </w:t>
      </w:r>
      <w:r>
        <w:tab/>
        <w:t>Směrnice (EU) 2018/1808 ze dne 14. listopadu 2018.</w:t>
      </w:r>
    </w:p>
  </w:footnote>
  <w:footnote w:id="157">
    <w:p>
      <w:pPr>
        <w:pStyle w:val="FootnoteText"/>
      </w:pPr>
      <w:r>
        <w:rPr>
          <w:rStyle w:val="FootnoteReference"/>
        </w:rPr>
        <w:footnoteRef/>
      </w:r>
      <w:r>
        <w:t xml:space="preserve"> </w:t>
      </w:r>
      <w:r>
        <w:tab/>
        <w:t>Další informace viz zpráva o právním státu 2020, kapitola o stavu právního státu na Slovensku, s. 9.</w:t>
      </w:r>
    </w:p>
  </w:footnote>
  <w:footnote w:id="158">
    <w:p>
      <w:pPr>
        <w:pStyle w:val="FootnoteText"/>
        <w:rPr>
          <w:rFonts w:cs="Times New Roman"/>
        </w:rPr>
      </w:pPr>
      <w:r>
        <w:rPr>
          <w:rStyle w:val="FootnoteReference"/>
          <w:rFonts w:cs="Times New Roman"/>
        </w:rPr>
        <w:footnoteRef/>
      </w:r>
      <w:r>
        <w:t xml:space="preserve"> </w:t>
      </w:r>
      <w:r>
        <w:tab/>
        <w:t>Informace obdržené v souvislosti s návštěvou Slovenska.</w:t>
      </w:r>
    </w:p>
  </w:footnote>
  <w:footnote w:id="159">
    <w:p>
      <w:pPr>
        <w:pStyle w:val="FootnoteText"/>
        <w:rPr>
          <w:rFonts w:cs="Times New Roman"/>
        </w:rPr>
      </w:pPr>
      <w:r>
        <w:rPr>
          <w:rStyle w:val="FootnoteReference"/>
          <w:rFonts w:cs="Times New Roman"/>
        </w:rPr>
        <w:footnoteRef/>
      </w:r>
      <w:r>
        <w:t xml:space="preserve"> </w:t>
      </w:r>
      <w:r>
        <w:tab/>
        <w:t>Rada má devět členů, které volí a odvolává Národní rada Slovenské republiky (parlament).</w:t>
      </w:r>
    </w:p>
  </w:footnote>
  <w:footnote w:id="160">
    <w:p>
      <w:pPr>
        <w:pStyle w:val="FootnoteText"/>
        <w:rPr>
          <w:rFonts w:cs="Times New Roman"/>
        </w:rPr>
      </w:pPr>
      <w:r>
        <w:rPr>
          <w:rStyle w:val="FootnoteReference"/>
          <w:rFonts w:cs="Times New Roman"/>
        </w:rPr>
        <w:footnoteRef/>
      </w:r>
      <w:r>
        <w:t xml:space="preserve"> </w:t>
      </w:r>
      <w:r>
        <w:tab/>
        <w:t>Monitor plurality sdělovacích prostředků 2021, zpráva o Slovensku, s. 10.</w:t>
      </w:r>
    </w:p>
  </w:footnote>
  <w:footnote w:id="161">
    <w:p>
      <w:pPr>
        <w:pStyle w:val="FootnoteText"/>
      </w:pPr>
      <w:r>
        <w:rPr>
          <w:rStyle w:val="FootnoteReference"/>
        </w:rPr>
        <w:footnoteRef/>
      </w:r>
      <w:r>
        <w:t xml:space="preserve"> </w:t>
      </w:r>
      <w:r>
        <w:tab/>
        <w:t>Údaje od Slovenské republiky pro zprávu o právním státu 2021, s. 26; informace obdržené v souvislosti s návštěvou Slovenska.</w:t>
      </w:r>
    </w:p>
  </w:footnote>
  <w:footnote w:id="162">
    <w:p>
      <w:pPr>
        <w:pStyle w:val="FootnoteText"/>
      </w:pPr>
      <w:r>
        <w:rPr>
          <w:rStyle w:val="FootnoteReference"/>
        </w:rPr>
        <w:footnoteRef/>
      </w:r>
      <w:r>
        <w:t xml:space="preserve"> </w:t>
      </w:r>
      <w:r>
        <w:tab/>
        <w:t>Zpráva o právním státu 2020, kapitola o stavu právního státu na Slovensku, s. 9.</w:t>
      </w:r>
    </w:p>
  </w:footnote>
  <w:footnote w:id="163">
    <w:p>
      <w:pPr>
        <w:pStyle w:val="FootnoteText"/>
      </w:pPr>
      <w:r>
        <w:rPr>
          <w:rStyle w:val="FootnoteReference"/>
        </w:rPr>
        <w:footnoteRef/>
      </w:r>
      <w:r>
        <w:t xml:space="preserve"> </w:t>
      </w:r>
      <w:r>
        <w:tab/>
        <w:t>Monitor plurality sdělovacích prostředků 2021, zpráva o Slovensku, s. 11–12.</w:t>
      </w:r>
    </w:p>
  </w:footnote>
  <w:footnote w:id="164">
    <w:p>
      <w:pPr>
        <w:pStyle w:val="FootnoteText"/>
      </w:pPr>
      <w:r>
        <w:rPr>
          <w:rStyle w:val="FootnoteReference"/>
        </w:rPr>
        <w:footnoteRef/>
      </w:r>
      <w:r>
        <w:rPr>
          <w:rStyle w:val="FootnoteReference"/>
        </w:rPr>
        <w:t xml:space="preserve"> </w:t>
      </w:r>
      <w:r>
        <w:tab/>
        <w:t xml:space="preserve">Monitor plurality sdělovacích prostředků 2021, zpráva o Slovensku, s. 12. </w:t>
      </w:r>
    </w:p>
  </w:footnote>
  <w:footnote w:id="165">
    <w:p>
      <w:pPr>
        <w:pStyle w:val="FootnoteText"/>
      </w:pPr>
      <w:r>
        <w:rPr>
          <w:rStyle w:val="FootnoteReference"/>
        </w:rPr>
        <w:footnoteRef/>
      </w:r>
      <w:r>
        <w:rPr>
          <w:rStyle w:val="FootnoteReference"/>
        </w:rPr>
        <w:t xml:space="preserve"> </w:t>
      </w:r>
      <w:r>
        <w:tab/>
        <w:t xml:space="preserve">Platforma rychlé reakce na porušování svobody sdělovacích prostředků označila toto osvobození za výsměch spravedlnosti a uvítala rozhodnutí prokurátora se proti rozsudku odvolat. </w:t>
      </w:r>
    </w:p>
  </w:footnote>
  <w:footnote w:id="166">
    <w:p>
      <w:pPr>
        <w:pStyle w:val="FootnoteText"/>
      </w:pPr>
      <w:r>
        <w:rPr>
          <w:rStyle w:val="FootnoteReference"/>
        </w:rPr>
        <w:footnoteRef/>
      </w:r>
      <w:r>
        <w:t xml:space="preserve"> Informace obdržené od slovenských orgánů.</w:t>
      </w:r>
    </w:p>
  </w:footnote>
  <w:footnote w:id="167">
    <w:p>
      <w:pPr>
        <w:pStyle w:val="FootnoteText"/>
        <w:rPr>
          <w:rFonts w:cs="Times New Roman"/>
        </w:rPr>
      </w:pPr>
      <w:r>
        <w:rPr>
          <w:rStyle w:val="FootnoteReference"/>
          <w:rFonts w:cs="Times New Roman"/>
        </w:rPr>
        <w:footnoteRef/>
      </w:r>
      <w:r>
        <w:t xml:space="preserve"> </w:t>
      </w:r>
      <w:r>
        <w:tab/>
        <w:t xml:space="preserve">Rada Evropy, platforma na podporu ochrany žurnalistiky a bezpečnosti novinářů. </w:t>
      </w:r>
    </w:p>
  </w:footnote>
  <w:footnote w:id="168">
    <w:p>
      <w:pPr>
        <w:pStyle w:val="FootnoteText"/>
      </w:pPr>
      <w:r>
        <w:rPr>
          <w:rStyle w:val="FootnoteReference"/>
        </w:rPr>
        <w:footnoteRef/>
      </w:r>
      <w:r>
        <w:t xml:space="preserve"> </w:t>
      </w:r>
      <w:r>
        <w:tab/>
        <w:t xml:space="preserve">Slovensko na toto upozornění zareagovalo prohlášením, že v tomto případě bylo urychleně zahájeno policejní vyšetřování. </w:t>
      </w:r>
    </w:p>
  </w:footnote>
  <w:footnote w:id="169">
    <w:p>
      <w:pPr>
        <w:pStyle w:val="FootnoteText"/>
      </w:pPr>
      <w:r>
        <w:rPr>
          <w:rStyle w:val="FootnoteReference"/>
        </w:rPr>
        <w:footnoteRef/>
      </w:r>
      <w:r>
        <w:t xml:space="preserve"> </w:t>
      </w:r>
      <w:r>
        <w:tab/>
        <w:t>Její přijetí je naplánováno do konce roku 2021. Informace poskytnuté během návštěvy země, 22. dubna 2021.</w:t>
      </w:r>
    </w:p>
  </w:footnote>
  <w:footnote w:id="170">
    <w:p>
      <w:pPr>
        <w:pStyle w:val="FootnoteText"/>
      </w:pPr>
      <w:r>
        <w:rPr>
          <w:rStyle w:val="FootnoteReference"/>
        </w:rPr>
        <w:footnoteRef/>
      </w:r>
      <w:r>
        <w:t xml:space="preserve"> </w:t>
      </w:r>
      <w:r>
        <w:tab/>
        <w:t> Podle slovenských orgánů mohli novináři žádat o finanční podporu na základě stávajícího režimu zaměřeného na kulturní a kreativní odvětví.</w:t>
      </w:r>
    </w:p>
  </w:footnote>
  <w:footnote w:id="171">
    <w:p>
      <w:pPr>
        <w:pStyle w:val="FootnoteText"/>
        <w:rPr>
          <w:rFonts w:cs="Times New Roman"/>
        </w:rPr>
      </w:pPr>
      <w:r>
        <w:rPr>
          <w:rStyle w:val="FootnoteReference"/>
          <w:rFonts w:cs="Times New Roman"/>
        </w:rPr>
        <w:footnoteRef/>
      </w:r>
      <w:r>
        <w:t xml:space="preserve"> </w:t>
      </w:r>
      <w:r>
        <w:tab/>
        <w:t>Článek 72 slovenské ústavy.</w:t>
      </w:r>
    </w:p>
  </w:footnote>
  <w:footnote w:id="172">
    <w:p>
      <w:pPr>
        <w:pStyle w:val="FootnoteText"/>
        <w:rPr>
          <w:rFonts w:cs="Times New Roman"/>
        </w:rPr>
      </w:pPr>
      <w:r>
        <w:rPr>
          <w:rStyle w:val="FootnoteReference"/>
          <w:rFonts w:cs="Times New Roman"/>
        </w:rPr>
        <w:footnoteRef/>
      </w:r>
      <w:r>
        <w:t xml:space="preserve"> </w:t>
      </w:r>
      <w:r>
        <w:tab/>
        <w:t>Článek 87 slovenské ústavy.</w:t>
      </w:r>
    </w:p>
  </w:footnote>
  <w:footnote w:id="173">
    <w:p>
      <w:pPr>
        <w:pStyle w:val="FootnoteText"/>
      </w:pPr>
      <w:r>
        <w:rPr>
          <w:rStyle w:val="FootnoteReference"/>
        </w:rPr>
        <w:footnoteRef/>
      </w:r>
      <w:r>
        <w:t xml:space="preserve"> </w:t>
      </w:r>
      <w:r>
        <w:tab/>
        <w:t>Návrh reformy byl předložen předsedovi Soudní rady, předsedovi Nejvyššího soudu, předsedovi Ústavního soudu, generální prokuratuře, veřejné ochránkyni práv a zástupcům právnických organizací.</w:t>
      </w:r>
    </w:p>
  </w:footnote>
  <w:footnote w:id="174">
    <w:p>
      <w:pPr>
        <w:pStyle w:val="FootnoteText"/>
      </w:pPr>
      <w:r>
        <w:rPr>
          <w:rStyle w:val="FootnoteReference"/>
        </w:rPr>
        <w:footnoteRef/>
      </w:r>
      <w:r>
        <w:t xml:space="preserve"> </w:t>
      </w:r>
      <w:r>
        <w:tab/>
        <w:t xml:space="preserve">Zúčastněné strany dostaly možnost se k návrhu vyjádřit během písemné veřejné konzultace, která trvala 15 pracovních dnů v průběhu letních prázdnin. Zúčastněné strany kritizovaly rovněž délku a načasování veřejné konzultace. Viz připomínky předložené v průběhu veřejné konzultace generální prokuraturou, Právnickou fakultou Univerzity Komenského v Bratislavě, Slovenskou advokátní komorou a Soudní radou, dostupné na adrese https://www.slov-lex.sk/legislativne-procesy/SK/LP/2020/267; Otevřená výzva slovenských právníků, dostupná na adrese </w:t>
      </w:r>
      <w:hyperlink r:id="rId12" w:history="1">
        <w:r>
          <w:rPr>
            <w:rStyle w:val="Hyperlink"/>
          </w:rPr>
          <w:t>https://pravnystat.eu/</w:t>
        </w:r>
      </w:hyperlink>
      <w:r>
        <w:t xml:space="preserve"> a předložená jako příspěvek ke konzultaci se zúčastněnými stranami pro účely zprávy o právním státu 2021.</w:t>
      </w:r>
    </w:p>
  </w:footnote>
  <w:footnote w:id="175">
    <w:p>
      <w:pPr>
        <w:pStyle w:val="FootnoteText"/>
      </w:pPr>
      <w:r>
        <w:rPr>
          <w:rStyle w:val="FootnoteReference"/>
        </w:rPr>
        <w:footnoteRef/>
      </w:r>
      <w:r>
        <w:t xml:space="preserve"> </w:t>
      </w:r>
      <w:r>
        <w:tab/>
        <w:t>Benátská komise (19. ledna 2010), zpráva o změně ústavy, CDL-AD(2010)001, bod 205; Benátská komise, druhé předběžné stanovisko k ústavním reformám v Arménské republice, CDL-AD(2005)016, bod 31.</w:t>
      </w:r>
    </w:p>
  </w:footnote>
  <w:footnote w:id="176">
    <w:p>
      <w:pPr>
        <w:pStyle w:val="FootnoteText"/>
      </w:pPr>
      <w:r>
        <w:rPr>
          <w:rStyle w:val="FootnoteReference"/>
        </w:rPr>
        <w:footnoteRef/>
      </w:r>
      <w:r>
        <w:t xml:space="preserve"> </w:t>
      </w:r>
      <w:r>
        <w:tab/>
        <w:t>Příspěvek od organizace Via Iuris (Unie občanských svobod) ke zprávě o právním státu 2021, s. 19; příspěvek od Evropské sítě národních institucí pro lidská práva (ENNHRI) ke zprávě o právním státu 2021, s. 293.</w:t>
      </w:r>
    </w:p>
  </w:footnote>
  <w:footnote w:id="177">
    <w:p>
      <w:pPr>
        <w:pStyle w:val="FootnoteText"/>
      </w:pPr>
      <w:r>
        <w:rPr>
          <w:rStyle w:val="FootnoteReference"/>
        </w:rPr>
        <w:footnoteRef/>
      </w:r>
      <w:r>
        <w:t xml:space="preserve"> </w:t>
      </w:r>
      <w:r>
        <w:tab/>
        <w:t>Příspěvek od ENNHRI ke zprávě o právním státu 2021, s. 298; příspěvek Slovenské advokátní komory ke zprávě o právním státu 2021, s. 3; informace obdržené v souvislosti s návštěvou Slovenska.</w:t>
      </w:r>
    </w:p>
  </w:footnote>
  <w:footnote w:id="178">
    <w:p>
      <w:pPr>
        <w:pStyle w:val="FootnoteText"/>
      </w:pPr>
      <w:r>
        <w:rPr>
          <w:rStyle w:val="FootnoteReference"/>
        </w:rPr>
        <w:footnoteRef/>
      </w:r>
      <w:r>
        <w:t xml:space="preserve"> </w:t>
      </w:r>
      <w:r>
        <w:tab/>
        <w:t>Zpráva o právním státu 2020, kapitola o stavu právního státu na Slovensku, s. 11–13.</w:t>
      </w:r>
    </w:p>
  </w:footnote>
  <w:footnote w:id="179">
    <w:p>
      <w:pPr>
        <w:pStyle w:val="FootnoteText"/>
      </w:pPr>
      <w:r>
        <w:rPr>
          <w:rStyle w:val="FootnoteReference"/>
        </w:rPr>
        <w:footnoteRef/>
      </w:r>
      <w:r>
        <w:t xml:space="preserve"> </w:t>
      </w:r>
      <w:r>
        <w:tab/>
        <w:t xml:space="preserve">Programové prohlášení vlády Slovenské republiky na období roků 2020–2024 ze dne 19. dubna 2020. </w:t>
      </w:r>
    </w:p>
  </w:footnote>
  <w:footnote w:id="180">
    <w:p>
      <w:pPr>
        <w:pStyle w:val="FootnoteText"/>
      </w:pPr>
      <w:r>
        <w:rPr>
          <w:rStyle w:val="FootnoteReference"/>
        </w:rPr>
        <w:footnoteRef/>
      </w:r>
      <w:r>
        <w:t xml:space="preserve"> </w:t>
      </w:r>
      <w:r>
        <w:tab/>
        <w:t xml:space="preserve">Programové prohlášení vlády Slovenské republiky na období roků 2021–2024, s. 13–17. </w:t>
      </w:r>
    </w:p>
  </w:footnote>
  <w:footnote w:id="181">
    <w:p>
      <w:pPr>
        <w:pStyle w:val="FootnoteText"/>
      </w:pPr>
      <w:r>
        <w:rPr>
          <w:rStyle w:val="FootnoteReference"/>
        </w:rPr>
        <w:footnoteRef/>
      </w:r>
      <w:r>
        <w:t xml:space="preserve"> </w:t>
      </w:r>
      <w:r>
        <w:tab/>
        <w:t xml:space="preserve"> Návrh zákona č. PI/2020/146, kterým se mění a doplňuje zákon č. 211/2000 Sb., o svobodném přístupu k informacím a o změně a doplnění některých zákonů (zákon o svobodě informací), ve znění pozdějších předpisů, a kterým se mění a doplňují některé zákony. </w:t>
      </w:r>
    </w:p>
  </w:footnote>
  <w:footnote w:id="182">
    <w:p>
      <w:pPr>
        <w:pStyle w:val="FootnoteText"/>
      </w:pPr>
      <w:r>
        <w:rPr>
          <w:rStyle w:val="FootnoteReference"/>
        </w:rPr>
        <w:footnoteRef/>
      </w:r>
      <w:r>
        <w:t xml:space="preserve"> </w:t>
      </w:r>
      <w:r>
        <w:tab/>
        <w:t>Viz rozsudek ze dne 30. ledna 2019 ve věci Pl ÚS 21/2014-96. Uvedená změna je reakcí na tento rozsudek. Informace obdržené v rámci navazujícího setkání ke zprávě o právním státu 2020.</w:t>
      </w:r>
    </w:p>
  </w:footnote>
  <w:footnote w:id="183">
    <w:p>
      <w:pPr>
        <w:pStyle w:val="FootnoteText"/>
      </w:pPr>
      <w:r>
        <w:rPr>
          <w:rStyle w:val="FootnoteReference"/>
        </w:rPr>
        <w:footnoteRef/>
      </w:r>
      <w:r>
        <w:t xml:space="preserve"> </w:t>
      </w:r>
      <w:r>
        <w:tab/>
        <w:t xml:space="preserve">Otevřená výzva slovenských právníků, dostupná na adrese </w:t>
      </w:r>
      <w:hyperlink r:id="rId13" w:history="1">
        <w:r>
          <w:rPr>
            <w:rStyle w:val="Hyperlink"/>
          </w:rPr>
          <w:t>https://pravnystat.eu</w:t>
        </w:r>
      </w:hyperlink>
      <w:r>
        <w:t xml:space="preserve"> a předložená jako příspěvek ke konzultaci se zúčastněnými stranami pro účely zprávy o právním státu 2021, odst. 1; viz rovněž prohlášení předsedy Ústavního soudu ze dne 3. prosince 2020 v parlamentu, v němž vyjádřil obavy z této změny a požádal poslance parlamentu, aby se nad tímto bodem dále zamysleli, dostupné na adrese </w:t>
      </w:r>
      <w:hyperlink r:id="rId14" w:history="1">
        <w:r>
          <w:rPr>
            <w:rStyle w:val="Hyperlink"/>
          </w:rPr>
          <w:t>https://tv.nrsr.sk/videokanaly/osoba/8/Ivan.Fiacan?id=233541</w:t>
        </w:r>
      </w:hyperlink>
      <w:r>
        <w:t>.</w:t>
      </w:r>
    </w:p>
  </w:footnote>
  <w:footnote w:id="184">
    <w:p>
      <w:pPr>
        <w:pStyle w:val="FootnoteText"/>
      </w:pPr>
      <w:r>
        <w:rPr>
          <w:rStyle w:val="FootnoteReference"/>
        </w:rPr>
        <w:footnoteRef/>
      </w:r>
      <w:r>
        <w:t xml:space="preserve"> </w:t>
      </w:r>
      <w:r>
        <w:tab/>
        <w:t>Spis č. 2879/2020.</w:t>
      </w:r>
    </w:p>
  </w:footnote>
  <w:footnote w:id="185">
    <w:p>
      <w:pPr>
        <w:pStyle w:val="FootnoteText"/>
      </w:pPr>
      <w:r>
        <w:rPr>
          <w:rStyle w:val="FootnoteReference"/>
        </w:rPr>
        <w:footnoteRef/>
      </w:r>
      <w:r>
        <w:t xml:space="preserve"> </w:t>
      </w:r>
      <w:r>
        <w:tab/>
        <w:t>Poslanci parlamentu se mohli zasedání účastnit osobně s výjimkou poslanců, kteří se museli izolovat na základě opatření souvisejících s onemocněním COVID-19. Některá zasedání se konala v hybridním režimu, tj. někteří poslanci parlamentu se účastnili fyzicky a někteří prostřednictvím videokonference. Údaje od Slovenské republiky pro zprávu o právním státu 2021, s. 37.</w:t>
      </w:r>
    </w:p>
  </w:footnote>
  <w:footnote w:id="186">
    <w:p>
      <w:pPr>
        <w:pStyle w:val="FootnoteText"/>
      </w:pPr>
      <w:r>
        <w:rPr>
          <w:rStyle w:val="FootnoteReference"/>
        </w:rPr>
        <w:footnoteRef/>
      </w:r>
      <w:r>
        <w:t xml:space="preserve"> </w:t>
      </w:r>
      <w:r>
        <w:tab/>
        <w:t>Ustanovení čl. 5 odst. 3 zákona č. 227/2002 o bezpečnosti státu.</w:t>
      </w:r>
    </w:p>
  </w:footnote>
  <w:footnote w:id="187">
    <w:p>
      <w:pPr>
        <w:pStyle w:val="FootnoteText"/>
      </w:pPr>
      <w:r>
        <w:rPr>
          <w:rStyle w:val="FootnoteReference"/>
        </w:rPr>
        <w:footnoteRef/>
      </w:r>
      <w:r>
        <w:t xml:space="preserve"> </w:t>
      </w:r>
      <w:r>
        <w:tab/>
        <w:t>Ustanovení čl. 5 odst. 1 zákona č. 227/2002 o bezpečnosti státu.</w:t>
      </w:r>
    </w:p>
  </w:footnote>
  <w:footnote w:id="188">
    <w:p>
      <w:pPr>
        <w:pStyle w:val="FootnoteText"/>
      </w:pPr>
      <w:r>
        <w:rPr>
          <w:rStyle w:val="FootnoteReference"/>
        </w:rPr>
        <w:footnoteRef/>
      </w:r>
      <w:r>
        <w:t xml:space="preserve"> </w:t>
      </w:r>
      <w:r>
        <w:tab/>
        <w:t>Zpráva o právním státu 2020, kapitola o stavu právního státu na Slovensku, s. 12.</w:t>
      </w:r>
    </w:p>
  </w:footnote>
  <w:footnote w:id="189">
    <w:p>
      <w:pPr>
        <w:pStyle w:val="FootnoteText"/>
      </w:pPr>
      <w:r>
        <w:rPr>
          <w:rStyle w:val="FootnoteReference"/>
        </w:rPr>
        <w:footnoteRef/>
      </w:r>
      <w:r>
        <w:t xml:space="preserve"> </w:t>
      </w:r>
      <w:r>
        <w:tab/>
        <w:t xml:space="preserve">Ustanovení čl. 5 odst. 2 zákona č. 227/2002 o bezpečnosti státu. Parlament musí toto prodloužení schválit do 20 dnů od nabytí jeho účinnosti, jinak nouzový stav přestane platit. Prodloužení je povoleno pouze v případě, že byl nouzový stav vyhlášen v souvislosti s pandemií. Viz rovněž příspěvek od ENNHRI ke zprávě o právním státu 2021, s. 296–297. </w:t>
      </w:r>
    </w:p>
  </w:footnote>
  <w:footnote w:id="190">
    <w:p>
      <w:pPr>
        <w:pStyle w:val="FootnoteText"/>
      </w:pPr>
      <w:r>
        <w:rPr>
          <w:rStyle w:val="FootnoteReference"/>
        </w:rPr>
        <w:footnoteRef/>
      </w:r>
      <w:r>
        <w:t xml:space="preserve"> </w:t>
      </w:r>
      <w:r>
        <w:tab/>
        <w:t xml:space="preserve">Ustanovení čl. 129 odst. 6 ústavy. </w:t>
      </w:r>
    </w:p>
  </w:footnote>
  <w:footnote w:id="191">
    <w:p>
      <w:pPr>
        <w:pStyle w:val="FootnoteText"/>
      </w:pPr>
      <w:r>
        <w:rPr>
          <w:rStyle w:val="FootnoteReference"/>
        </w:rPr>
        <w:footnoteRef/>
      </w:r>
      <w:r>
        <w:t xml:space="preserve"> </w:t>
      </w:r>
      <w:r>
        <w:tab/>
        <w:t>Návrh musí být podán do pěti dnů ode dne vyhlášení/prodloužení a soud musí rozhodnout do deseti dnů od zahájení jednání. Ustanovení § 193 a 195 zákona č. 314/2002 o Ústavním soudu. Informace obdržené v souvislosti s návštěvou Slovenska.</w:t>
      </w:r>
    </w:p>
  </w:footnote>
  <w:footnote w:id="192">
    <w:p>
      <w:pPr>
        <w:pStyle w:val="FootnoteText"/>
      </w:pPr>
      <w:r>
        <w:rPr>
          <w:rStyle w:val="FootnoteReference"/>
        </w:rPr>
        <w:footnoteRef/>
      </w:r>
      <w:r>
        <w:t xml:space="preserve"> </w:t>
      </w:r>
      <w:r>
        <w:tab/>
        <w:t>Rozsudek Ústavního soudu ze dne 14. října 2020 Pl ÚS 22/2020, rozsudek Ústavního soudu ze dne 31. března 2021 Pl ÚS 2/2021.</w:t>
      </w:r>
    </w:p>
  </w:footnote>
  <w:footnote w:id="193">
    <w:p>
      <w:pPr>
        <w:pStyle w:val="FootnoteText"/>
      </w:pPr>
      <w:r>
        <w:rPr>
          <w:rStyle w:val="FootnoteReference"/>
        </w:rPr>
        <w:footnoteRef/>
      </w:r>
      <w:r>
        <w:t xml:space="preserve"> </w:t>
      </w:r>
      <w:r>
        <w:tab/>
        <w:t>Změna zákona č. 355/2007.</w:t>
      </w:r>
    </w:p>
  </w:footnote>
  <w:footnote w:id="194">
    <w:p>
      <w:pPr>
        <w:pStyle w:val="FootnoteText"/>
      </w:pPr>
      <w:r>
        <w:rPr>
          <w:rStyle w:val="FootnoteReference"/>
        </w:rPr>
        <w:footnoteRef/>
      </w:r>
      <w:r>
        <w:t xml:space="preserve"> </w:t>
      </w:r>
      <w:r>
        <w:tab/>
        <w:t>Podání veřejné ochránkyně práv Ústavnímu soudu ze dne 10. února 2021, spis č. 268/2021, s. 26–35.</w:t>
      </w:r>
    </w:p>
  </w:footnote>
  <w:footnote w:id="195">
    <w:p>
      <w:pPr>
        <w:pStyle w:val="FootnoteText"/>
      </w:pPr>
      <w:r>
        <w:rPr>
          <w:rStyle w:val="FootnoteReference"/>
        </w:rPr>
        <w:footnoteRef/>
      </w:r>
      <w:r>
        <w:t xml:space="preserve"> </w:t>
      </w:r>
      <w:r>
        <w:tab/>
        <w:t>Zpráva o právním státu 2020, kapitola o stavu právního státu na Slovensku, s. 12–13.</w:t>
      </w:r>
    </w:p>
  </w:footnote>
  <w:footnote w:id="196">
    <w:p>
      <w:pPr>
        <w:pStyle w:val="FootnoteText"/>
      </w:pPr>
      <w:r>
        <w:rPr>
          <w:rStyle w:val="FootnoteReference"/>
        </w:rPr>
        <w:footnoteRef/>
      </w:r>
      <w:r>
        <w:t xml:space="preserve"> </w:t>
      </w:r>
      <w:r>
        <w:tab/>
        <w:t>Informace obdržené v souvislosti s návštěvou Slovenska.</w:t>
      </w:r>
    </w:p>
  </w:footnote>
  <w:footnote w:id="197">
    <w:p>
      <w:pPr>
        <w:pStyle w:val="FootnoteText"/>
      </w:pPr>
      <w:r>
        <w:rPr>
          <w:rStyle w:val="FootnoteReference"/>
        </w:rPr>
        <w:footnoteRef/>
      </w:r>
      <w:r>
        <w:t xml:space="preserve"> </w:t>
      </w:r>
      <w:r>
        <w:tab/>
        <w:t xml:space="preserve">Informace obdržené v souvislosti s návštěvou Slovenska. </w:t>
      </w:r>
    </w:p>
  </w:footnote>
  <w:footnote w:id="198">
    <w:p>
      <w:pPr>
        <w:pStyle w:val="FootnoteText"/>
      </w:pPr>
      <w:r>
        <w:rPr>
          <w:rStyle w:val="FootnoteReference"/>
        </w:rPr>
        <w:footnoteRef/>
      </w:r>
      <w:r>
        <w:t xml:space="preserve"> </w:t>
      </w:r>
      <w:r>
        <w:tab/>
        <w:t>Výroční zpráva o činnosti veřejného ochránce práv (2020); zpráva byla dne 7. května 2021 projednána v parlamentu a bylo o ní hlasováno s výsledkem, že nebude vzata na vědomí; informace obdržené v souvislosti s návštěvou Slovenska; výroční zpráva Slovenského národního střediska pro lidská práva o dodržování lidských práv; příspěvek od ENNHRI ke zprávě o právním státu 2021, s. 309–312.</w:t>
      </w:r>
    </w:p>
  </w:footnote>
  <w:footnote w:id="199">
    <w:p>
      <w:pPr>
        <w:pStyle w:val="FootnoteText"/>
      </w:pPr>
      <w:r>
        <w:rPr>
          <w:rStyle w:val="FootnoteReference"/>
        </w:rPr>
        <w:footnoteRef/>
      </w:r>
      <w:r>
        <w:t xml:space="preserve"> </w:t>
      </w:r>
      <w:r>
        <w:tab/>
        <w:t>Zpráva o právním státu 2020, kapitola o stavu právního státu na Slovensku, s. 14.</w:t>
      </w:r>
    </w:p>
  </w:footnote>
  <w:footnote w:id="200">
    <w:p>
      <w:pPr>
        <w:pStyle w:val="FootnoteText"/>
      </w:pPr>
      <w:r>
        <w:rPr>
          <w:rStyle w:val="FootnoteReference"/>
        </w:rPr>
        <w:footnoteRef/>
      </w:r>
      <w:r>
        <w:t xml:space="preserve"> </w:t>
      </w:r>
      <w:r>
        <w:tab/>
        <w:t xml:space="preserve">Programové prohlášení vlády Slovenské republiky na období roků 2021–2024, s. 16–17. </w:t>
      </w:r>
    </w:p>
  </w:footnote>
  <w:footnote w:id="201">
    <w:p>
      <w:pPr>
        <w:pStyle w:val="FootnoteText"/>
      </w:pPr>
      <w:r>
        <w:rPr>
          <w:rStyle w:val="FootnoteReference"/>
        </w:rPr>
        <w:footnoteRef/>
      </w:r>
      <w:r>
        <w:t xml:space="preserve"> </w:t>
      </w:r>
      <w:r>
        <w:tab/>
        <w:t xml:space="preserve">Zřízen zákonem č. 346/2018 o registru nevládních neziskových organizací; tento registr je k dispozici na adrese </w:t>
      </w:r>
      <w:hyperlink r:id="rId15" w:history="1">
        <w:r>
          <w:rPr>
            <w:rStyle w:val="Hyperlink"/>
          </w:rPr>
          <w:t>https://ives.minv.sk/rmno/?lang=sk</w:t>
        </w:r>
      </w:hyperlink>
      <w:r>
        <w:t>.</w:t>
      </w:r>
    </w:p>
  </w:footnote>
  <w:footnote w:id="202">
    <w:p>
      <w:pPr>
        <w:pStyle w:val="FootnoteText"/>
      </w:pPr>
      <w:r>
        <w:rPr>
          <w:rStyle w:val="FootnoteReference"/>
        </w:rPr>
        <w:footnoteRef/>
      </w:r>
      <w:r>
        <w:t xml:space="preserve"> </w:t>
      </w:r>
      <w:r>
        <w:tab/>
        <w:t xml:space="preserve">Příspěvek od organizace Via Iuris (Unie občanských svobod) ke zprávě o právním státu 2021, s. 13–14, a příspěvek od ENNHRI ke zprávě o právním státu 2021, s. 294. </w:t>
      </w:r>
    </w:p>
  </w:footnote>
  <w:footnote w:id="203">
    <w:p>
      <w:pPr>
        <w:pStyle w:val="FootnoteText"/>
      </w:pPr>
      <w:r>
        <w:rPr>
          <w:rStyle w:val="FootnoteReference"/>
        </w:rPr>
        <w:footnoteRef/>
      </w:r>
      <w:r>
        <w:t xml:space="preserve"> </w:t>
      </w:r>
      <w:r>
        <w:tab/>
        <w:t xml:space="preserve">Jedná se o to, že Ministerstvo práce, sociálních věcí a rodiny v roce 2020 přerozdělilo dotace na podporu rovnosti žen a mužů konzervativním organizacím na ochranu života, které zpravidla nejsou na otázky rovnosti žen a mužů zaměřeny. Po přijetí zákona ze dne 17. prosince 2020, kterým se mění a doplňuje zákon č. 544/2010 Sb., o dotacích, budou navíc místo rovnosti žen a mužů podporovány rovné pracovní příležitosti a organizace podporující manželství a rodinné hodnoty. Viz příspěvky ke zprávě o právním státu 2021, které poskytla Unie občanských svobod pro Evropu, s. 14, a ENNHRI, s. 294–295. </w:t>
      </w:r>
    </w:p>
  </w:footnote>
  <w:footnote w:id="204">
    <w:p>
      <w:pPr>
        <w:pStyle w:val="FootnoteText"/>
      </w:pPr>
      <w:r>
        <w:rPr>
          <w:rStyle w:val="FootnoteReference"/>
        </w:rPr>
        <w:footnoteRef/>
      </w:r>
      <w:r>
        <w:t xml:space="preserve"> </w:t>
      </w:r>
      <w:r>
        <w:tab/>
        <w:t xml:space="preserve">Navzdory úsilí vlády, která poskytla na podporu činností nevládních organizací zmírňujících důsledky pandemie COVID-19 doplňkovou podporu ve výši 1,1 milionu EUR, viz tisková zpráva Ministerstva regionálního rozvoje ze dne 12. srpna 2020: Vicepremiérka Remišová: 1,1 milionu eur na pomoc nevládním organizacím v boji s COVID-19; informace obdržené v souvislosti s návštěvou Slovenska. Viz také příspěvky od organizace Via Iuris (Unie občanských svobod) ke zprávě o právním státu 2021, s. 15–17;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E01348"/>
    <w:multiLevelType w:val="hybridMultilevel"/>
    <w:tmpl w:val="7A3A80E0"/>
    <w:lvl w:ilvl="0" w:tplc="E512A1B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nsid w:val="38332C97"/>
    <w:multiLevelType w:val="hybridMultilevel"/>
    <w:tmpl w:val="CA98C6D2"/>
    <w:lvl w:ilvl="0" w:tplc="041C1D0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15E13CF"/>
    <w:multiLevelType w:val="hybridMultilevel"/>
    <w:tmpl w:val="4AB2E66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4140E4C"/>
    <w:multiLevelType w:val="hybridMultilevel"/>
    <w:tmpl w:val="280A7E42"/>
    <w:lvl w:ilvl="0" w:tplc="1D28E33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hideGrammaticalErrors/>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Pr\u367?vodní dokument ke"/>
    <w:docVar w:name="LW_CORRIGENDUM" w:val="&lt;UNUSED&gt;"/>
    <w:docVar w:name="LW_COVERPAGE_EXISTS" w:val="True"/>
    <w:docVar w:name="LW_COVERPAGE_GUID" w:val="2951C779-8465-4638-B92B-85C3DC2BB57A"/>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w:docVar w:name="LW_DocType" w:val="NORMAL"/>
    <w:docVar w:name="LW_EMISSION" w:val="20.7.2021"/>
    <w:docVar w:name="LW_EMISSION_ISODATE" w:val="2021-07-20"/>
    <w:docVar w:name="LW_EMISSION_LOCATION" w:val="BRX"/>
    <w:docVar w:name="LW_EMISSION_PREFIX" w:val="V Bruselu dne "/>
    <w:docVar w:name="LW_EMISSION_SUFFIX" w:val=" "/>
    <w:docVar w:name="LW_ID_DOCTYPE_NONLW" w:val="CP-025"/>
    <w:docVar w:name="LW_LANGUE" w:val="CS"/>
    <w:docVar w:name="LW_LEVEL_OF_SENSITIVITY" w:val="Standard treatment"/>
    <w:docVar w:name="LW_NOM.INST" w:val="EVROPSKÁ KOMISE"/>
    <w:docVar w:name="LW_NOM.INST_JOINTDOC" w:val="&lt;EMPTY&gt;"/>
    <w:docVar w:name="LW_OBJETACTEPRINCIPAL.CP" w:val="Zpráva o právním státu 2021_x000d__x000b_Stav právního státu v Evropské unii"/>
    <w:docVar w:name="LW_PART_NBR" w:val="1"/>
    <w:docVar w:name="LW_PART_NBR_TOTAL" w:val="1"/>
    <w:docVar w:name="LW_REF.INST.NEW" w:val="SWD"/>
    <w:docVar w:name="LW_REF.INST.NEW_ADOPTED" w:val="final"/>
    <w:docVar w:name="LW_REF.INST.NEW_TEXT" w:val="(2021)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Zpráva o právním státu 2021_x000d__x000b_Kapitola o stavu právního státu na Slovensku"/>
    <w:docVar w:name="LW_TYPE.DOC.CP" w:val="PRACOVNÍ DOKUMENT ÚTVAR\u366? KOMISE"/>
    <w:docVar w:name="LW_TYPEACTEPRINCIPAL.CP" w:val="SD\u282?LENÍ KOMISE EVROPSKÉMU PARLAMENTU, RAD\u282?, EVROPSKÉMU HOSPODÁ\u344?SKÉMU A SOCIÁLNÍMU VÝBORU A VÝBORU REGION\u366?"/>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cs-CZ"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cs-CZ"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cs-CZ"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cs-CZ"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4617">
      <w:bodyDiv w:val="1"/>
      <w:marLeft w:val="0"/>
      <w:marRight w:val="0"/>
      <w:marTop w:val="0"/>
      <w:marBottom w:val="0"/>
      <w:divBdr>
        <w:top w:val="none" w:sz="0" w:space="0" w:color="auto"/>
        <w:left w:val="none" w:sz="0" w:space="0" w:color="auto"/>
        <w:bottom w:val="none" w:sz="0" w:space="0" w:color="auto"/>
        <w:right w:val="none" w:sz="0" w:space="0" w:color="auto"/>
      </w:divBdr>
    </w:div>
    <w:div w:id="425879574">
      <w:bodyDiv w:val="1"/>
      <w:marLeft w:val="0"/>
      <w:marRight w:val="0"/>
      <w:marTop w:val="0"/>
      <w:marBottom w:val="0"/>
      <w:divBdr>
        <w:top w:val="none" w:sz="0" w:space="0" w:color="auto"/>
        <w:left w:val="none" w:sz="0" w:space="0" w:color="auto"/>
        <w:bottom w:val="none" w:sz="0" w:space="0" w:color="auto"/>
        <w:right w:val="none" w:sz="0" w:space="0" w:color="auto"/>
      </w:divBdr>
    </w:div>
    <w:div w:id="516234904">
      <w:bodyDiv w:val="1"/>
      <w:marLeft w:val="0"/>
      <w:marRight w:val="0"/>
      <w:marTop w:val="0"/>
      <w:marBottom w:val="0"/>
      <w:divBdr>
        <w:top w:val="none" w:sz="0" w:space="0" w:color="auto"/>
        <w:left w:val="none" w:sz="0" w:space="0" w:color="auto"/>
        <w:bottom w:val="none" w:sz="0" w:space="0" w:color="auto"/>
        <w:right w:val="none" w:sz="0" w:space="0" w:color="auto"/>
      </w:divBdr>
    </w:div>
    <w:div w:id="541209280">
      <w:bodyDiv w:val="1"/>
      <w:marLeft w:val="0"/>
      <w:marRight w:val="0"/>
      <w:marTop w:val="0"/>
      <w:marBottom w:val="0"/>
      <w:divBdr>
        <w:top w:val="none" w:sz="0" w:space="0" w:color="auto"/>
        <w:left w:val="none" w:sz="0" w:space="0" w:color="auto"/>
        <w:bottom w:val="none" w:sz="0" w:space="0" w:color="auto"/>
        <w:right w:val="none" w:sz="0" w:space="0" w:color="auto"/>
      </w:divBdr>
    </w:div>
    <w:div w:id="1349062790">
      <w:bodyDiv w:val="1"/>
      <w:marLeft w:val="0"/>
      <w:marRight w:val="0"/>
      <w:marTop w:val="0"/>
      <w:marBottom w:val="0"/>
      <w:divBdr>
        <w:top w:val="none" w:sz="0" w:space="0" w:color="auto"/>
        <w:left w:val="none" w:sz="0" w:space="0" w:color="auto"/>
        <w:bottom w:val="none" w:sz="0" w:space="0" w:color="auto"/>
        <w:right w:val="none" w:sz="0" w:space="0" w:color="auto"/>
      </w:divBdr>
    </w:div>
    <w:div w:id="1844323099">
      <w:bodyDiv w:val="1"/>
      <w:marLeft w:val="0"/>
      <w:marRight w:val="0"/>
      <w:marTop w:val="0"/>
      <w:marBottom w:val="0"/>
      <w:divBdr>
        <w:top w:val="none" w:sz="0" w:space="0" w:color="auto"/>
        <w:left w:val="none" w:sz="0" w:space="0" w:color="auto"/>
        <w:bottom w:val="none" w:sz="0" w:space="0" w:color="auto"/>
        <w:right w:val="none" w:sz="0" w:space="0" w:color="auto"/>
      </w:divBdr>
      <w:divsChild>
        <w:div w:id="116339575">
          <w:marLeft w:val="0"/>
          <w:marRight w:val="0"/>
          <w:marTop w:val="0"/>
          <w:marBottom w:val="0"/>
          <w:divBdr>
            <w:top w:val="none" w:sz="0" w:space="0" w:color="auto"/>
            <w:left w:val="none" w:sz="0" w:space="0" w:color="auto"/>
            <w:bottom w:val="none" w:sz="0" w:space="0" w:color="auto"/>
            <w:right w:val="none" w:sz="0" w:space="0" w:color="auto"/>
          </w:divBdr>
          <w:divsChild>
            <w:div w:id="11563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oe.int/en/web/portal/-/slovakia-greco-regrets-slow-progress-in-preventing-corruption-of-parliamentarians-judges-and-prosecutors" TargetMode="External"/><Relationship Id="rId39" Type="http://schemas.openxmlformats.org/officeDocument/2006/relationships/hyperlink" Target="https://rokovania.gov.sk/download.dat?id=F75436C4AF3C4D96AE93D60FD6BCA184-99C291B1BA87B0B9BF1E773CB8DA6BA0" TargetMode="External"/><Relationship Id="rId3" Type="http://schemas.openxmlformats.org/officeDocument/2006/relationships/customXml" Target="../customXml/item3.xml"/><Relationship Id="rId21" Type="http://schemas.openxmlformats.org/officeDocument/2006/relationships/hyperlink" Target="https://ec.europa.eu/anti-fraud/media-corner/news/21-01-2021/olaf-closes-cases-eu-agricultural-funds-slovakia_sk" TargetMode="External"/><Relationship Id="rId34" Type="http://schemas.openxmlformats.org/officeDocument/2006/relationships/hyperlink" Target="https://www.sak.sk/web/sk/cms/news/form/list/form/row/596497/_event" TargetMode="External"/><Relationship Id="rId42" Type="http://schemas.openxmlformats.org/officeDocument/2006/relationships/hyperlink" Target="https://www.mpsr.sk/programove-vyhlasenie-vlady-slovenskej-republiky-na-obdobie-rokov-2020-2024/800-17-800-15434/" TargetMode="External"/><Relationship Id="rId47" Type="http://schemas.openxmlformats.org/officeDocument/2006/relationships/footer" Target="footer5.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hudoc.exec.coe.int/eng?i=004-51541" TargetMode="External"/><Relationship Id="rId33" Type="http://schemas.openxmlformats.org/officeDocument/2006/relationships/hyperlink" Target="https://www.unodc.org/documents/treaties/UNCAC/CountryVisitFinalReports/2013_07_11_Slovakia_Final_Country_Report.pdf" TargetMode="External"/><Relationship Id="rId38" Type="http://schemas.openxmlformats.org/officeDocument/2006/relationships/hyperlink" Target="https://rokovania.gov.sk/download.dat?id=588DFBA123494910A70AF18737B85A81-034BF7E75BABC88FC3A419E44DED1345"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ktuality.sk/clanok/892385/naka-opat-zadrzala-financnika-martina-kvietika" TargetMode="External"/><Relationship Id="rId29" Type="http://schemas.openxmlformats.org/officeDocument/2006/relationships/hyperlink" Target="http://web.ac-mssr.sk/wp-content/uploads/2020/sudna_mapa/nova_sudna_mapa_3_0_final.pdf" TargetMode="External"/><Relationship Id="rId41"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hudoc.exec.coe.int/eng?i=004-47309" TargetMode="External"/><Relationship Id="rId32" Type="http://schemas.openxmlformats.org/officeDocument/2006/relationships/hyperlink" Target="https://www.health.gov.sk/Zdroje?/dokumenty/mzsr/rezortny-protikorupcny-program.rtf" TargetMode="External"/><Relationship Id="rId37" Type="http://schemas.openxmlformats.org/officeDocument/2006/relationships/hyperlink" Target="https://www.vop.gov.sk/files/VOP_VS20_SK_1.pdf" TargetMode="External"/><Relationship Id="rId40" Type="http://schemas.openxmlformats.org/officeDocument/2006/relationships/hyperlink" Target="https://www.vop.gov.sk/files/VOP_VS20_SK_1.pdf"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hudoc.exec.coe.int/eng?i=004-7711" TargetMode="External"/><Relationship Id="rId28" Type="http://schemas.openxmlformats.org/officeDocument/2006/relationships/hyperlink" Target="http://web.ac-mssr.sk/wp-content/uploads/2020/sudna_mapa/nova_sudna_mapa_3_0_final.pdf" TargetMode="External"/><Relationship Id="rId36" Type="http://schemas.openxmlformats.org/officeDocument/2006/relationships/hyperlink" Target="https://pravnystat.eu/"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 TargetMode="External"/><Relationship Id="rId31" Type="http://schemas.openxmlformats.org/officeDocument/2006/relationships/hyperlink" Target="http://web.ac-mssr.sk/wp-content/uploads/2020/sudna_mapa/20210223_Casov&#225;_os_Sudna_mapa_v.2.pdf"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hudoc.exec.coe.int/eng?i=004-7717" TargetMode="External"/><Relationship Id="rId27" Type="http://schemas.openxmlformats.org/officeDocument/2006/relationships/hyperlink" Target="https://www.mirri.gov.sk/aktuality/podpredsednicka-vlady/vicepremierka-remisova-11-miliona-eur-na-pomoc-mimovladnym-organizaciam-v-boji-s-covid-19/" TargetMode="External"/><Relationship Id="rId30" Type="http://schemas.openxmlformats.org/officeDocument/2006/relationships/hyperlink" Target="http://web.ac-mssr.sk/wp-content/uploads/2020/sudna_mapa/Reforma_sudnej_mapy_na_citanie.pdf" TargetMode="External"/><Relationship Id="rId35" Type="http://schemas.openxmlformats.org/officeDocument/2006/relationships/hyperlink" Target="http://www.snslp.sk/wp-content/uploads/Sprava-o-LP-v-SR-za-rok-2020-.pdf" TargetMode="External"/><Relationship Id="rId43" Type="http://schemas.openxmlformats.org/officeDocument/2006/relationships/hyperlink" Target="https://www.nrsr.sk/web/Dynamic/DocumentPreview.aspx?DocID=494677" TargetMode="External"/><Relationship Id="rId48" Type="http://schemas.openxmlformats.org/officeDocument/2006/relationships/header" Target="header6.xml"/><Relationship Id="Rc465bc97d2f64674"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theme" Target="theme/theme1.xml"/><Relationship Id="R01ff97b25dbd473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sk/Stranky/Sudy/Vyberove-konania-na-sudoch/Kandidati-na-clenov-vyberovych-komisii-na-vyber-predsedov-sudov.aspx" TargetMode="External"/><Relationship Id="rId13" Type="http://schemas.openxmlformats.org/officeDocument/2006/relationships/hyperlink" Target="https://pravnystat.eu" TargetMode="External"/><Relationship Id="rId3" Type="http://schemas.openxmlformats.org/officeDocument/2006/relationships/hyperlink" Target="http://web.ac-mssr.sk/sudna-mapa-otazky-a-odpovede/" TargetMode="External"/><Relationship Id="rId7" Type="http://schemas.openxmlformats.org/officeDocument/2006/relationships/hyperlink" Target="https://www.slov-lex.sk/legislativne-procesy/SK/LP/2020/587" TargetMode="External"/><Relationship Id="rId12" Type="http://schemas.openxmlformats.org/officeDocument/2006/relationships/hyperlink" Target="https://pravnystat.eu/" TargetMode="External"/><Relationship Id="rId2" Type="http://schemas.openxmlformats.org/officeDocument/2006/relationships/hyperlink" Target="https://pravnystat.eu/%20" TargetMode="External"/><Relationship Id="rId1" Type="http://schemas.openxmlformats.org/officeDocument/2006/relationships/hyperlink" Target="https://pravnystat.eu/" TargetMode="External"/><Relationship Id="rId6" Type="http://schemas.openxmlformats.org/officeDocument/2006/relationships/hyperlink" Target="http://web.ac-mssr.sk/wp-content/uploads/2020/sudna_mapa/20210223_Casov&#225;_os_Sudna_mapa_v.2.pdf" TargetMode="External"/><Relationship Id="rId11"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 TargetMode="External"/><Relationship Id="rId5" Type="http://schemas.openxmlformats.org/officeDocument/2006/relationships/hyperlink" Target="http://web.ac-mssr.sk/wp-content/uploads/2020/sudna_mapa/nova_sudna_mapa_3_0_final.pdf" TargetMode="External"/><Relationship Id="rId15" Type="http://schemas.openxmlformats.org/officeDocument/2006/relationships/hyperlink" Target="https://ives.minv.sk/rmno/?lang=sk" TargetMode="External"/><Relationship Id="rId10"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 Type="http://schemas.openxmlformats.org/officeDocument/2006/relationships/hyperlink" Target="http://web.ac-mssr.sk/sudna-mapa-otazky-a-odpovede/" TargetMode="External"/><Relationship Id="rId9" Type="http://schemas.openxmlformats.org/officeDocument/2006/relationships/hyperlink" Target="http://web.ac-mssr.sk/wp-content/uploads/2020/rocenka2019/I.-Trestn&#225;-agenda_2019_pdf.pdf" TargetMode="External"/><Relationship Id="rId14" Type="http://schemas.openxmlformats.org/officeDocument/2006/relationships/hyperlink" Target="https://tv.nrsr.sk/videokanaly/osoba/8/Ivan.Fiacan?id=23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8E9DEAEFB414DAE5EC193F8A440AF" ma:contentTypeVersion="7" ma:contentTypeDescription="Create a new document." ma:contentTypeScope="" ma:versionID="355d813c2c37dbf3247a2728a8c1a244">
  <xsd:schema xmlns:xsd="http://www.w3.org/2001/XMLSchema" xmlns:xs="http://www.w3.org/2001/XMLSchema" xmlns:p="http://schemas.microsoft.com/office/2006/metadata/properties" xmlns:ns3="3e74049f-b8a9-4e32-b231-e16b3efc928a" xmlns:ns4="98331d57-725e-4f58-871f-2f8dba71a374" targetNamespace="http://schemas.microsoft.com/office/2006/metadata/properties" ma:root="true" ma:fieldsID="1f53d6a73af81f0cd3ee4dd04f5b2d06" ns3:_="" ns4:_="">
    <xsd:import namespace="3e74049f-b8a9-4e32-b231-e16b3efc928a"/>
    <xsd:import namespace="98331d57-725e-4f58-871f-2f8dba71a3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4049f-b8a9-4e32-b231-e16b3efc9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1d57-725e-4f58-871f-2f8dba71a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68525-3758-40BB-8EBF-2CC1DA22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4049f-b8a9-4e32-b231-e16b3efc928a"/>
    <ds:schemaRef ds:uri="98331d57-725e-4f58-871f-2f8dba71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F0818-21FE-4130-9521-3474DC34DD33}">
  <ds:schemaRefs>
    <ds:schemaRef ds:uri="http://purl.org/dc/terms/"/>
    <ds:schemaRef ds:uri="http://schemas.openxmlformats.org/package/2006/metadata/core-properties"/>
    <ds:schemaRef ds:uri="http://schemas.microsoft.com/office/2006/documentManagement/types"/>
    <ds:schemaRef ds:uri="98331d57-725e-4f58-871f-2f8dba71a374"/>
    <ds:schemaRef ds:uri="3e74049f-b8a9-4e32-b231-e16b3efc928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95FFA9C-3521-40F6-AA64-0E98BAFD5EBB}">
  <ds:schemaRefs>
    <ds:schemaRef ds:uri="http://schemas.microsoft.com/sharepoint/v3/contenttype/forms"/>
  </ds:schemaRefs>
</ds:datastoreItem>
</file>

<file path=customXml/itemProps4.xml><?xml version="1.0" encoding="utf-8"?>
<ds:datastoreItem xmlns:ds="http://schemas.openxmlformats.org/officeDocument/2006/customXml" ds:itemID="{4582BCFC-9A07-4B97-B3BA-994B4841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6981</Words>
  <Characters>44539</Characters>
  <Application>Microsoft Office Word</Application>
  <DocSecurity>0</DocSecurity>
  <Lines>685</Lines>
  <Paragraphs>198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71</cp:revision>
  <cp:lastPrinted>2021-07-19T20:45:00Z</cp:lastPrinted>
  <dcterms:created xsi:type="dcterms:W3CDTF">2021-07-14T18:04:00Z</dcterms:created>
  <dcterms:modified xsi:type="dcterms:W3CDTF">2021-09-13T18:41:00Z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_LW_INVALIDATED__LW_INVALIDATED_ContentTypeId">
    <vt:lpwstr>0x0101001FB8E9DEAEFB414DAE5EC193F8A440AF</vt:lpwstr>
  </property>
</Properties>
</file>