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E65E" w14:textId="6B4B94F1" w:rsidR="002F2AEF" w:rsidRPr="002932F0" w:rsidRDefault="00702D77" w:rsidP="00702D77">
      <w:pPr>
        <w:pStyle w:val="Pagedecouverture"/>
        <w:rPr>
          <w:noProof/>
        </w:rPr>
      </w:pPr>
      <w:bookmarkStart w:id="0" w:name="LW_BM_COVERPAGE"/>
      <w:r>
        <w:rPr>
          <w:noProof/>
        </w:rPr>
        <w:pict w14:anchorId="06B5D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068F4C0-45F3-48BE-94DA-E21AA194F39C" style="width:455.25pt;height:296.25pt">
            <v:imagedata r:id="rId8" o:title=""/>
          </v:shape>
        </w:pict>
      </w:r>
    </w:p>
    <w:bookmarkEnd w:id="0"/>
    <w:p w14:paraId="612591B1" w14:textId="77777777" w:rsidR="002F2AEF" w:rsidRPr="002932F0" w:rsidRDefault="002F2AEF" w:rsidP="002F2AEF">
      <w:pPr>
        <w:rPr>
          <w:rFonts w:ascii="Times New Roman" w:hAnsi="Times New Roman"/>
          <w:noProof/>
          <w:lang w:val="en-GB"/>
        </w:rPr>
        <w:sectPr w:rsidR="002F2AEF" w:rsidRPr="002932F0" w:rsidSect="00702D7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9532E1B" w14:textId="77E6D3A6" w:rsidR="005A63C8" w:rsidRPr="002932F0" w:rsidRDefault="005A63C8" w:rsidP="00E12D9E">
      <w:pPr>
        <w:pStyle w:val="Style1"/>
        <w:spacing w:after="120"/>
        <w:ind w:left="1077" w:hanging="357"/>
        <w:rPr>
          <w:noProof/>
        </w:rPr>
      </w:pPr>
      <w:bookmarkStart w:id="1" w:name="_Hlk135904197"/>
      <w:bookmarkStart w:id="2" w:name="_GoBack"/>
      <w:bookmarkEnd w:id="2"/>
      <w:r>
        <w:rPr>
          <w:noProof/>
        </w:rPr>
        <w:lastRenderedPageBreak/>
        <w:t>Úvod</w:t>
      </w:r>
      <w:bookmarkEnd w:id="1"/>
    </w:p>
    <w:p w14:paraId="071CB6DA" w14:textId="77777777" w:rsidR="005A63C8" w:rsidRPr="002932F0" w:rsidRDefault="005A63C8" w:rsidP="005A63C8">
      <w:pPr>
        <w:pStyle w:val="Subject"/>
        <w:tabs>
          <w:tab w:val="left" w:pos="3948"/>
        </w:tabs>
        <w:ind w:left="0" w:firstLine="0"/>
        <w:jc w:val="both"/>
        <w:rPr>
          <w:rStyle w:val="normaltextrun"/>
          <w:b w:val="0"/>
          <w:noProof/>
        </w:rPr>
      </w:pPr>
    </w:p>
    <w:p w14:paraId="31267176" w14:textId="03DF4D46" w:rsidR="00AA099D" w:rsidRPr="002932F0" w:rsidRDefault="008F6E62" w:rsidP="00AA099D">
      <w:pPr>
        <w:pStyle w:val="Subject"/>
        <w:tabs>
          <w:tab w:val="left" w:pos="3948"/>
        </w:tabs>
        <w:ind w:left="0" w:firstLine="0"/>
        <w:jc w:val="both"/>
        <w:rPr>
          <w:b w:val="0"/>
          <w:noProof/>
        </w:rPr>
      </w:pPr>
      <w:r>
        <w:rPr>
          <w:rStyle w:val="normaltextrun"/>
          <w:b w:val="0"/>
          <w:noProof/>
        </w:rPr>
        <w:t xml:space="preserve">Obchod s drogami řízený organizovaným zločinem je </w:t>
      </w:r>
      <w:r>
        <w:rPr>
          <w:rStyle w:val="normaltextrun"/>
          <w:noProof/>
        </w:rPr>
        <w:t>jednou z nejzávažnějších bezpečnostních hrozeb, kterým dnes Evropa čelí, a situace se stále zhoršuje:</w:t>
      </w:r>
      <w:r>
        <w:rPr>
          <w:rStyle w:val="normaltextrun"/>
          <w:b w:val="0"/>
          <w:noProof/>
        </w:rPr>
        <w:t xml:space="preserve"> jasně </w:t>
      </w:r>
      <w:r>
        <w:rPr>
          <w:b w:val="0"/>
          <w:noProof/>
        </w:rPr>
        <w:t>to prokazuje nebývalý nárůst nelegálních drog dostupných v Evropě, zejména kokainu z Jižní Ameriky. V srpnu 2023 stačily pouhé dva týdny, aby bylo překonáno rekordní množství</w:t>
      </w:r>
      <w:bookmarkStart w:id="3" w:name="_Hlk146028703"/>
      <w:r>
        <w:rPr>
          <w:b w:val="0"/>
          <w:noProof/>
        </w:rPr>
        <w:t xml:space="preserve"> 8 tun kokainu zadrženého v Rotterdamu (Nizozemsko), když bylo v přístavu Algeciras (Španělsko) zachyceno 9,5 tuny této drogy</w:t>
      </w:r>
      <w:bookmarkEnd w:id="3"/>
      <w:r>
        <w:rPr>
          <w:b w:val="0"/>
          <w:noProof/>
        </w:rPr>
        <w:t xml:space="preserve">. Rostou také obavy z výroby a šíření syntetických drog, s nimiž se obchoduje po celém světě, v Evropě. Společná analýza provedená Europolem a Evropským monitorovacím centrem pro drogy a drogovou závislost (EMCDDA) ukázala, že </w:t>
      </w:r>
      <w:bookmarkStart w:id="4" w:name="_Hlk146016177"/>
      <w:r>
        <w:rPr>
          <w:noProof/>
        </w:rPr>
        <w:t>obchod s drogami je jednou z hlavních činností organizovaného zločinu, která mu přináší zisk</w:t>
      </w:r>
      <w:r>
        <w:rPr>
          <w:b w:val="0"/>
          <w:noProof/>
        </w:rPr>
        <w:t>, a podle odhadů představuje přibližně pětinu celosvětových výnosů z trestné činnosti</w:t>
      </w:r>
      <w:r w:rsidR="00A85B3F" w:rsidRPr="002932F0">
        <w:rPr>
          <w:rStyle w:val="FootnoteReference0"/>
          <w:b w:val="0"/>
          <w:noProof/>
        </w:rPr>
        <w:footnoteReference w:id="2"/>
      </w:r>
      <w:bookmarkEnd w:id="4"/>
      <w:r>
        <w:rPr>
          <w:b w:val="0"/>
          <w:noProof/>
        </w:rPr>
        <w:t>.</w:t>
      </w:r>
    </w:p>
    <w:p w14:paraId="7E90861A" w14:textId="77777777" w:rsidR="009A36AF" w:rsidRPr="002932F0" w:rsidRDefault="009A36AF" w:rsidP="006516EE">
      <w:pPr>
        <w:pStyle w:val="Subject"/>
        <w:tabs>
          <w:tab w:val="left" w:pos="3948"/>
        </w:tabs>
        <w:spacing w:after="0"/>
        <w:ind w:left="0" w:firstLine="0"/>
        <w:jc w:val="both"/>
        <w:rPr>
          <w:b w:val="0"/>
          <w:noProof/>
        </w:rPr>
      </w:pPr>
    </w:p>
    <w:p w14:paraId="7BEC2887" w14:textId="448B613B" w:rsidR="00023000" w:rsidRPr="002932F0" w:rsidRDefault="00CA43E1" w:rsidP="006516EE">
      <w:pPr>
        <w:pStyle w:val="Subject"/>
        <w:tabs>
          <w:tab w:val="left" w:pos="3948"/>
        </w:tabs>
        <w:spacing w:after="0"/>
        <w:ind w:left="0" w:firstLine="0"/>
        <w:jc w:val="both"/>
        <w:rPr>
          <w:b w:val="0"/>
          <w:noProof/>
        </w:rPr>
      </w:pPr>
      <w:r>
        <w:rPr>
          <w:b w:val="0"/>
          <w:noProof/>
        </w:rPr>
        <w:t xml:space="preserve">Ve snaze dosáhnout velkých zisků </w:t>
      </w:r>
      <w:bookmarkStart w:id="5" w:name="_Hlk146016204"/>
      <w:r>
        <w:rPr>
          <w:b w:val="0"/>
          <w:noProof/>
        </w:rPr>
        <w:t>používají zločinecké sítě extrémní násilí, korupci a zastrašování</w:t>
      </w:r>
      <w:r w:rsidRPr="002932F0">
        <w:rPr>
          <w:rStyle w:val="FootnoteReference0"/>
          <w:b w:val="0"/>
          <w:noProof/>
        </w:rPr>
        <w:footnoteReference w:id="3"/>
      </w:r>
      <w:r>
        <w:rPr>
          <w:b w:val="0"/>
          <w:noProof/>
        </w:rPr>
        <w:t>. Dokážou také velmi dobře navazovat kontakty a utajovat své plány</w:t>
      </w:r>
      <w:bookmarkEnd w:id="5"/>
      <w:r>
        <w:rPr>
          <w:b w:val="0"/>
          <w:noProof/>
        </w:rPr>
        <w:t xml:space="preserve">, jak ukazuje prolomení nástrojů šifrované komunikace, jako je EncroChat, které vedlo k nejméně </w:t>
      </w:r>
      <w:r>
        <w:rPr>
          <w:noProof/>
        </w:rPr>
        <w:t>6 558 zatčením po celém světě</w:t>
      </w:r>
      <w:r w:rsidR="00AA099D" w:rsidRPr="002932F0">
        <w:rPr>
          <w:rStyle w:val="FootnoteReference0"/>
          <w:b w:val="0"/>
          <w:noProof/>
        </w:rPr>
        <w:footnoteReference w:id="4"/>
      </w:r>
      <w:r>
        <w:rPr>
          <w:b w:val="0"/>
          <w:noProof/>
        </w:rPr>
        <w:t xml:space="preserve">. </w:t>
      </w:r>
      <w:bookmarkStart w:id="6" w:name="_Hlk146016245"/>
      <w:r>
        <w:rPr>
          <w:b w:val="0"/>
          <w:noProof/>
        </w:rPr>
        <w:t xml:space="preserve">Klíčovou podporu veškeré trestné činnosti představuje hospodářská a finanční kriminalita a zločineckým sítím napomáhá korupce. </w:t>
      </w:r>
      <w:bookmarkEnd w:id="6"/>
      <w:r>
        <w:rPr>
          <w:b w:val="0"/>
          <w:noProof/>
        </w:rPr>
        <w:t xml:space="preserve">Podle odhadů Europolu využívá 60 % zločineckých sítí působících v EU k dosažení svých nezákonných cílů korupční metody. V letech 2020 a 2021 byl v členských státech EU v průměru ročně zabaven </w:t>
      </w:r>
      <w:r>
        <w:rPr>
          <w:noProof/>
        </w:rPr>
        <w:t xml:space="preserve">majetek pocházející z trestné činnosti v hodnotě </w:t>
      </w:r>
      <w:r>
        <w:rPr>
          <w:b w:val="0"/>
          <w:noProof/>
        </w:rPr>
        <w:t>přibližně</w:t>
      </w:r>
      <w:r>
        <w:rPr>
          <w:noProof/>
        </w:rPr>
        <w:t xml:space="preserve"> 4,1 miliardy EUR</w:t>
      </w:r>
      <w:r>
        <w:rPr>
          <w:b w:val="0"/>
          <w:noProof/>
        </w:rPr>
        <w:t>. V porovnání s předchozími lety se jedná o značný nárůst, ale stále jde o méně než 2 % odhadovaných ročních výnosů z organizované trestné činnosti</w:t>
      </w:r>
      <w:r w:rsidRPr="002932F0">
        <w:rPr>
          <w:rStyle w:val="FootnoteReference0"/>
          <w:b w:val="0"/>
          <w:noProof/>
        </w:rPr>
        <w:footnoteReference w:id="5"/>
      </w:r>
      <w:r>
        <w:rPr>
          <w:b w:val="0"/>
          <w:noProof/>
        </w:rPr>
        <w:t xml:space="preserve">. </w:t>
      </w:r>
      <w:bookmarkStart w:id="7" w:name="_Hlk146016262"/>
      <w:r>
        <w:rPr>
          <w:b w:val="0"/>
          <w:noProof/>
        </w:rPr>
        <w:t xml:space="preserve">Tyto obrovské příjmy získané z nezákonné činnosti jsou využívány k další trestné činnosti a jsou legalizovány profesionálními syndikáty zabývajícími se praním peněz. Výnosy jsou pak investovány za účelem pronikání do legální ekonomiky, což má dalekosáhlé a destabilizující důsledky pro společnost, právní stát i důvěru ve veřejné orgány. </w:t>
      </w:r>
      <w:bookmarkStart w:id="8" w:name="_Hlk146016288"/>
      <w:bookmarkEnd w:id="7"/>
    </w:p>
    <w:p w14:paraId="61966860" w14:textId="77777777" w:rsidR="00023000" w:rsidRPr="002932F0" w:rsidRDefault="00023000" w:rsidP="006516EE">
      <w:pPr>
        <w:pStyle w:val="Subject"/>
        <w:tabs>
          <w:tab w:val="left" w:pos="3948"/>
        </w:tabs>
        <w:spacing w:after="0"/>
        <w:ind w:left="0" w:firstLine="0"/>
        <w:jc w:val="both"/>
        <w:rPr>
          <w:b w:val="0"/>
          <w:noProof/>
        </w:rPr>
      </w:pPr>
    </w:p>
    <w:p w14:paraId="7E6ECAFC" w14:textId="2DDBBAB4" w:rsidR="0027112E" w:rsidRPr="002932F0" w:rsidRDefault="00313CED" w:rsidP="006516EE">
      <w:pPr>
        <w:pStyle w:val="Subject"/>
        <w:tabs>
          <w:tab w:val="left" w:pos="3948"/>
        </w:tabs>
        <w:spacing w:after="0"/>
        <w:ind w:left="0" w:firstLine="0"/>
        <w:jc w:val="both"/>
        <w:rPr>
          <w:b w:val="0"/>
          <w:noProof/>
        </w:rPr>
      </w:pPr>
      <w:r>
        <w:rPr>
          <w:b w:val="0"/>
          <w:noProof/>
        </w:rPr>
        <w:t>Velmi viditelným důsledkem této hrozby je vlna násilí v ulicích, k níž vedl globální dosah pachatelů trestné činnosti a jejich železná kontrola nad dodavatelskými řetězci v oblasti obchodu s drogami. Mnoho obětí je nejen mezi samotnými soupeřícími gangy, ale i mezi nevinnými lidmi</w:t>
      </w:r>
      <w:bookmarkEnd w:id="8"/>
      <w:r>
        <w:rPr>
          <w:b w:val="0"/>
          <w:noProof/>
        </w:rPr>
        <w:t>. V roce 2023 se v lednu v Antverpách (Belgie) jednalo o jedenáctiletou dívku, v srpnu v Nîmes (Francie) o desetiletého chlapce a v září ve Stockholmu (Švédsko) o třináctiletého chlapce, kteří zemřeli v důsledku násilí spojeného s drogami. Kromě toho se odhaduje, že v roce 2021 zemřelo v EU na předávkování drogami 6 200 osob</w:t>
      </w:r>
      <w:r w:rsidRPr="002932F0">
        <w:rPr>
          <w:rStyle w:val="FootnoteReference0"/>
          <w:b w:val="0"/>
          <w:noProof/>
        </w:rPr>
        <w:footnoteReference w:id="6"/>
      </w:r>
      <w:r>
        <w:rPr>
          <w:b w:val="0"/>
          <w:noProof/>
        </w:rPr>
        <w:t>.</w:t>
      </w:r>
    </w:p>
    <w:p w14:paraId="627CA9D1" w14:textId="2ACAEE6D" w:rsidR="009A36AF" w:rsidRPr="002932F0" w:rsidRDefault="009A36AF" w:rsidP="008A3997">
      <w:pPr>
        <w:pStyle w:val="Subject"/>
        <w:tabs>
          <w:tab w:val="left" w:pos="3948"/>
        </w:tabs>
        <w:ind w:left="0" w:firstLine="0"/>
        <w:jc w:val="both"/>
        <w:rPr>
          <w:b w:val="0"/>
          <w:noProof/>
        </w:rPr>
      </w:pPr>
      <w:bookmarkStart w:id="9" w:name="_Hlk145240002"/>
    </w:p>
    <w:p w14:paraId="7A3F50F5" w14:textId="0FB2904A" w:rsidR="00264924" w:rsidRPr="002932F0" w:rsidRDefault="00FC0D5E" w:rsidP="002D5B03">
      <w:pPr>
        <w:pStyle w:val="Subject"/>
        <w:tabs>
          <w:tab w:val="left" w:pos="3948"/>
        </w:tabs>
        <w:ind w:left="0" w:firstLine="0"/>
        <w:jc w:val="both"/>
        <w:rPr>
          <w:b w:val="0"/>
          <w:noProof/>
        </w:rPr>
      </w:pPr>
      <w:r>
        <w:rPr>
          <w:b w:val="0"/>
          <w:noProof/>
        </w:rPr>
        <w:t xml:space="preserve">Rozsah této hrozby a její celosvětový dosah vyžaduje </w:t>
      </w:r>
      <w:r>
        <w:rPr>
          <w:noProof/>
        </w:rPr>
        <w:t>důrazná a udržitelná opatření</w:t>
      </w:r>
      <w:r>
        <w:rPr>
          <w:b w:val="0"/>
          <w:noProof/>
        </w:rPr>
        <w:t xml:space="preserve"> na úrovni EU i na celosvětové úrovni. </w:t>
      </w:r>
      <w:bookmarkEnd w:id="9"/>
      <w:r>
        <w:rPr>
          <w:b w:val="0"/>
          <w:noProof/>
        </w:rPr>
        <w:t>Komise proto navrhuje plán EU pro boj proti obchodu s drogami a organizované trestné činnosti. Plán stanoví sedmnáct opatření ve čtyřech prioritních oblastech: posílit odolnost logistických uzlů pomocí evropské aliance přístavů, rozbít zločinecké sítě, zvýšit preventivní úsilí a posílit spolupráci s mezinárodními partnery. Tato opatření mají být realizována v letech 2024 a 2025.</w:t>
      </w:r>
    </w:p>
    <w:p w14:paraId="7BB61690" w14:textId="41878628" w:rsidR="007619EB" w:rsidRPr="002932F0" w:rsidRDefault="00083BA4" w:rsidP="00E12D9E">
      <w:pPr>
        <w:pStyle w:val="Style1"/>
        <w:rPr>
          <w:noProof/>
        </w:rPr>
      </w:pPr>
      <w:r>
        <w:rPr>
          <w:noProof/>
        </w:rPr>
        <w:t>Strategie a reakce EU</w:t>
      </w:r>
    </w:p>
    <w:p w14:paraId="46EC3643" w14:textId="321DF6E4" w:rsidR="00EB61CE" w:rsidRPr="002932F0" w:rsidRDefault="008E0F16" w:rsidP="00C266A6">
      <w:pPr>
        <w:pStyle w:val="Subject"/>
        <w:spacing w:after="0"/>
        <w:ind w:left="0" w:firstLine="0"/>
        <w:jc w:val="both"/>
        <w:rPr>
          <w:b w:val="0"/>
          <w:noProof/>
        </w:rPr>
      </w:pPr>
      <w:r>
        <w:rPr>
          <w:noProof/>
        </w:rPr>
        <w:t>Strategie</w:t>
      </w:r>
      <w:r>
        <w:rPr>
          <w:b w:val="0"/>
          <w:noProof/>
        </w:rPr>
        <w:t xml:space="preserve"> </w:t>
      </w:r>
      <w:r>
        <w:rPr>
          <w:noProof/>
        </w:rPr>
        <w:t>EU pro boj proti organizované trestné činnosti na období 2021–2025</w:t>
      </w:r>
      <w:r w:rsidR="00FC0D5E" w:rsidRPr="002932F0">
        <w:rPr>
          <w:rStyle w:val="FootnoteReference0"/>
          <w:b w:val="0"/>
          <w:noProof/>
        </w:rPr>
        <w:footnoteReference w:id="7"/>
      </w:r>
      <w:r>
        <w:rPr>
          <w:noProof/>
        </w:rPr>
        <w:t xml:space="preserve"> </w:t>
      </w:r>
      <w:r>
        <w:rPr>
          <w:b w:val="0"/>
          <w:noProof/>
        </w:rPr>
        <w:t>a</w:t>
      </w:r>
      <w:r>
        <w:rPr>
          <w:noProof/>
        </w:rPr>
        <w:t xml:space="preserve"> Strategie EU pro oblast drog na období 2021–2025 a související akční plán</w:t>
      </w:r>
      <w:r w:rsidR="00FC0D5E" w:rsidRPr="002932F0">
        <w:rPr>
          <w:rStyle w:val="FootnoteReference0"/>
          <w:b w:val="0"/>
          <w:noProof/>
        </w:rPr>
        <w:footnoteReference w:id="8"/>
      </w:r>
      <w:r>
        <w:rPr>
          <w:noProof/>
        </w:rPr>
        <w:t xml:space="preserve"> </w:t>
      </w:r>
      <w:r>
        <w:rPr>
          <w:b w:val="0"/>
          <w:noProof/>
        </w:rPr>
        <w:t>(dále jen „strategie EU“) stanoví ucelené politiky EU pro boj proti těmto hrozbám založené na společném postupu EU a členských států.</w:t>
      </w:r>
    </w:p>
    <w:p w14:paraId="5ACA3373" w14:textId="77777777" w:rsidR="007472DB" w:rsidRPr="002932F0" w:rsidRDefault="007472DB" w:rsidP="00C266A6">
      <w:pPr>
        <w:pStyle w:val="Subject"/>
        <w:spacing w:after="0"/>
        <w:ind w:left="0" w:firstLine="0"/>
        <w:jc w:val="both"/>
        <w:rPr>
          <w:b w:val="0"/>
          <w:noProof/>
        </w:rPr>
      </w:pPr>
    </w:p>
    <w:p w14:paraId="6EEA8360" w14:textId="6A025E76" w:rsidR="008B06F2" w:rsidRPr="002932F0" w:rsidRDefault="00853C58" w:rsidP="00C266A6">
      <w:pPr>
        <w:spacing w:after="0" w:line="240" w:lineRule="auto"/>
        <w:jc w:val="both"/>
        <w:rPr>
          <w:rFonts w:ascii="Times New Roman" w:hAnsi="Times New Roman"/>
          <w:b/>
          <w:noProof/>
          <w:sz w:val="24"/>
        </w:rPr>
      </w:pPr>
      <w:bookmarkStart w:id="10" w:name="_Hlk146028574"/>
      <w:r>
        <w:rPr>
          <w:rFonts w:ascii="Times New Roman" w:hAnsi="Times New Roman"/>
          <w:noProof/>
          <w:sz w:val="24"/>
        </w:rPr>
        <w:t>EU v současné době tyto strategie provádí a bude i nadále pracovat na dosažení jejich cílů, jak je zdůrazněno v šesté zprávě o pokroku strategie bezpečnostní unie EU</w:t>
      </w:r>
      <w:r w:rsidR="007472DB" w:rsidRPr="002932F0">
        <w:rPr>
          <w:rStyle w:val="FootnoteReference0"/>
          <w:rFonts w:ascii="Times New Roman" w:hAnsi="Times New Roman" w:cs="Times New Roman"/>
          <w:noProof/>
          <w:sz w:val="24"/>
          <w:szCs w:val="24"/>
          <w:lang w:val="en-GB"/>
        </w:rPr>
        <w:footnoteReference w:id="9"/>
      </w:r>
      <w:r>
        <w:rPr>
          <w:rFonts w:ascii="Times New Roman" w:hAnsi="Times New Roman"/>
          <w:noProof/>
          <w:sz w:val="24"/>
        </w:rPr>
        <w:t>. Strategie EU pro boj proti organizované trestné činnosti přispívá k posílení společného úsilí EU v boji proti zločineckým sítím. Současně EU prostřednictvím strategie a akčního plánu pro oblast drog zahájila práci na vyváženém a multidisciplinárním přístupu, jehož cílem je</w:t>
      </w:r>
      <w:r>
        <w:rPr>
          <w:rFonts w:ascii="Times New Roman" w:hAnsi="Times New Roman"/>
          <w:noProof/>
          <w:sz w:val="28"/>
        </w:rPr>
        <w:t xml:space="preserve"> </w:t>
      </w:r>
      <w:r>
        <w:rPr>
          <w:rFonts w:ascii="Times New Roman" w:hAnsi="Times New Roman"/>
          <w:noProof/>
          <w:sz w:val="24"/>
        </w:rPr>
        <w:t xml:space="preserve">snížit dodávky drog zlepšením bezpečnosti, snížit poptávku po drogách pomocí služeb v oblasti prevence, léčby a péče a řešit nepříznivé důsledky související s drogami. </w:t>
      </w:r>
      <w:bookmarkEnd w:id="10"/>
      <w:r>
        <w:rPr>
          <w:rFonts w:ascii="Times New Roman" w:hAnsi="Times New Roman"/>
          <w:noProof/>
          <w:sz w:val="24"/>
        </w:rPr>
        <w:t xml:space="preserve">Jak je stanoveno ve strategii, Komise v roce 2024 zahájí externí hodnocení provádění strategie pro oblast drog s cílem předložit na jaře 2025 zprávu Evropskému parlamentu a Radě. </w:t>
      </w:r>
    </w:p>
    <w:p w14:paraId="30309660" w14:textId="77777777" w:rsidR="00CE3256" w:rsidRPr="002932F0" w:rsidRDefault="00CE3256" w:rsidP="00CE3256">
      <w:pPr>
        <w:pStyle w:val="Subject"/>
        <w:ind w:left="0" w:firstLine="0"/>
        <w:jc w:val="both"/>
        <w:rPr>
          <w:b w:val="0"/>
          <w:noProof/>
        </w:rPr>
      </w:pPr>
    </w:p>
    <w:p w14:paraId="39F34B7A" w14:textId="27C703ED" w:rsidR="00A7210F" w:rsidRPr="002932F0" w:rsidRDefault="001C11A1" w:rsidP="00A7210F">
      <w:pPr>
        <w:pStyle w:val="Subject"/>
        <w:ind w:left="0" w:firstLine="0"/>
        <w:jc w:val="both"/>
        <w:rPr>
          <w:b w:val="0"/>
          <w:noProof/>
        </w:rPr>
      </w:pPr>
      <w:r>
        <w:rPr>
          <w:b w:val="0"/>
          <w:noProof/>
        </w:rPr>
        <w:t xml:space="preserve">Pokud jde o </w:t>
      </w:r>
      <w:r>
        <w:rPr>
          <w:noProof/>
          <w:u w:val="single"/>
        </w:rPr>
        <w:t>politické iniciativy</w:t>
      </w:r>
      <w:r>
        <w:rPr>
          <w:b w:val="0"/>
          <w:noProof/>
        </w:rPr>
        <w:t>, Komise předložila</w:t>
      </w:r>
      <w:r>
        <w:rPr>
          <w:noProof/>
        </w:rPr>
        <w:t xml:space="preserve"> několik legislativních návrhů</w:t>
      </w:r>
      <w:r>
        <w:rPr>
          <w:b w:val="0"/>
          <w:noProof/>
        </w:rPr>
        <w:t xml:space="preserve"> na posílení právních předpisů EU pro boj proti zločineckým sítím. Patří sem posílení směrnice o vymáhání a konfiskaci majetku</w:t>
      </w:r>
      <w:r w:rsidR="000A3ED4" w:rsidRPr="002932F0">
        <w:rPr>
          <w:rStyle w:val="FootnoteReference0"/>
          <w:b w:val="0"/>
          <w:noProof/>
        </w:rPr>
        <w:footnoteReference w:id="10"/>
      </w:r>
      <w:r>
        <w:rPr>
          <w:b w:val="0"/>
          <w:noProof/>
        </w:rPr>
        <w:t>, změna směrnice (EU) 2019/1153, která příslušným orgánům umožňuje přístup k centralizovaným registrům bankovních účtů, což usnadňuje finanční vyšetřování</w:t>
      </w:r>
      <w:r w:rsidR="002D5B03" w:rsidRPr="002932F0">
        <w:rPr>
          <w:rStyle w:val="FootnoteReference0"/>
          <w:b w:val="0"/>
          <w:noProof/>
        </w:rPr>
        <w:footnoteReference w:id="11"/>
      </w:r>
      <w:r>
        <w:rPr>
          <w:b w:val="0"/>
          <w:noProof/>
        </w:rPr>
        <w:t>, a balíček opatření k posílení pravidel EU pro boj proti praní peněz</w:t>
      </w:r>
      <w:r w:rsidR="0084776F" w:rsidRPr="002932F0">
        <w:rPr>
          <w:rStyle w:val="FootnoteReference0"/>
          <w:b w:val="0"/>
          <w:noProof/>
        </w:rPr>
        <w:footnoteReference w:id="12"/>
      </w:r>
      <w:r>
        <w:rPr>
          <w:b w:val="0"/>
          <w:noProof/>
        </w:rPr>
        <w:t>. Komise rovněž přijala návrh reformy celní unie EU</w:t>
      </w:r>
      <w:r w:rsidR="00507459" w:rsidRPr="002932F0">
        <w:rPr>
          <w:rStyle w:val="FootnoteReference0"/>
          <w:b w:val="0"/>
          <w:noProof/>
        </w:rPr>
        <w:footnoteReference w:id="13"/>
      </w:r>
      <w:r>
        <w:rPr>
          <w:b w:val="0"/>
          <w:noProof/>
        </w:rPr>
        <w:t>. Tím se výrazně posílí schopnost celních orgánů zabránit vstupu nebezpečného nebo nelegálního zboží do EU a podstatně se zlepší spolupráce mezi celními orgány a donucovacími orgány. Dále Komise v květnu 2023 navrhla zpřísnit pravidla EU pro boj proti korupci</w:t>
      </w:r>
      <w:r w:rsidR="00A7210F" w:rsidRPr="002932F0">
        <w:rPr>
          <w:rStyle w:val="FootnoteReference0"/>
          <w:b w:val="0"/>
          <w:noProof/>
        </w:rPr>
        <w:footnoteReference w:id="14"/>
      </w:r>
      <w:r>
        <w:rPr>
          <w:b w:val="0"/>
          <w:noProof/>
        </w:rPr>
        <w:t xml:space="preserve">. </w:t>
      </w:r>
    </w:p>
    <w:p w14:paraId="6D6BBEE4" w14:textId="45A365A8" w:rsidR="00A7210F" w:rsidRPr="002932F0" w:rsidRDefault="00A7210F" w:rsidP="00740275">
      <w:pPr>
        <w:pStyle w:val="Subject"/>
        <w:ind w:left="0" w:firstLine="0"/>
        <w:jc w:val="both"/>
        <w:rPr>
          <w:b w:val="0"/>
          <w:noProof/>
        </w:rPr>
      </w:pPr>
    </w:p>
    <w:p w14:paraId="42062986" w14:textId="1A574C8E" w:rsidR="00740275" w:rsidRPr="002932F0" w:rsidRDefault="00470817" w:rsidP="00740275">
      <w:pPr>
        <w:pStyle w:val="Subject"/>
        <w:ind w:left="0" w:firstLine="0"/>
        <w:jc w:val="both"/>
        <w:rPr>
          <w:b w:val="0"/>
          <w:noProof/>
        </w:rPr>
      </w:pPr>
      <w:r>
        <w:rPr>
          <w:noProof/>
        </w:rPr>
        <w:t>Možnosti donucovacích orgánů</w:t>
      </w:r>
      <w:r>
        <w:rPr>
          <w:b w:val="0"/>
          <w:noProof/>
        </w:rPr>
        <w:t xml:space="preserve"> byly zvýšeny posílením </w:t>
      </w:r>
      <w:r>
        <w:rPr>
          <w:noProof/>
        </w:rPr>
        <w:t>mandátu Europolu</w:t>
      </w:r>
      <w:r w:rsidR="00091D3D" w:rsidRPr="002932F0">
        <w:rPr>
          <w:rStyle w:val="FootnoteReference0"/>
          <w:b w:val="0"/>
          <w:noProof/>
        </w:rPr>
        <w:footnoteReference w:id="15"/>
      </w:r>
      <w:r>
        <w:rPr>
          <w:b w:val="0"/>
          <w:noProof/>
        </w:rPr>
        <w:t>,</w:t>
      </w:r>
      <w:r>
        <w:rPr>
          <w:noProof/>
        </w:rPr>
        <w:t xml:space="preserve"> návrhem kodexu policejní spolupráce</w:t>
      </w:r>
      <w:r>
        <w:rPr>
          <w:b w:val="0"/>
          <w:noProof/>
        </w:rPr>
        <w:t>, který vedl k doporučením o operativní policejní spolupráci</w:t>
      </w:r>
      <w:r w:rsidR="00212D3B" w:rsidRPr="002932F0">
        <w:rPr>
          <w:rStyle w:val="FootnoteReference0"/>
          <w:b w:val="0"/>
          <w:noProof/>
        </w:rPr>
        <w:footnoteReference w:id="16"/>
      </w:r>
      <w:r>
        <w:rPr>
          <w:b w:val="0"/>
          <w:noProof/>
        </w:rPr>
        <w:t>, a přijetím směrnice o výměně informací mezi donucovacími orgány</w:t>
      </w:r>
      <w:r w:rsidRPr="002932F0">
        <w:rPr>
          <w:rStyle w:val="FootnoteReference0"/>
          <w:b w:val="0"/>
          <w:noProof/>
        </w:rPr>
        <w:footnoteReference w:id="17"/>
      </w:r>
      <w:r>
        <w:rPr>
          <w:b w:val="0"/>
          <w:noProof/>
        </w:rPr>
        <w:t xml:space="preserve">. K tomuto úsilí dále přispěje navrhovaná </w:t>
      </w:r>
      <w:r>
        <w:rPr>
          <w:noProof/>
        </w:rPr>
        <w:t>revize nařízení Prüm</w:t>
      </w:r>
      <w:r w:rsidRPr="002932F0">
        <w:rPr>
          <w:rStyle w:val="FootnoteReference0"/>
          <w:b w:val="0"/>
          <w:noProof/>
        </w:rPr>
        <w:footnoteReference w:id="18"/>
      </w:r>
      <w:r>
        <w:rPr>
          <w:b w:val="0"/>
          <w:noProof/>
        </w:rPr>
        <w:t>.</w:t>
      </w:r>
    </w:p>
    <w:p w14:paraId="5FB21A0C" w14:textId="77777777" w:rsidR="00740275" w:rsidRPr="002932F0" w:rsidRDefault="00740275" w:rsidP="00740275">
      <w:pPr>
        <w:pStyle w:val="Subject"/>
        <w:ind w:left="0" w:firstLine="0"/>
        <w:jc w:val="both"/>
        <w:rPr>
          <w:b w:val="0"/>
          <w:noProof/>
        </w:rPr>
      </w:pPr>
    </w:p>
    <w:p w14:paraId="205C0CC7" w14:textId="536E445A" w:rsidR="00A85B3F" w:rsidRPr="002932F0" w:rsidRDefault="00716958" w:rsidP="002D5B03">
      <w:pPr>
        <w:pStyle w:val="Subject"/>
        <w:ind w:left="0" w:firstLine="0"/>
        <w:jc w:val="both"/>
        <w:rPr>
          <w:b w:val="0"/>
          <w:noProof/>
        </w:rPr>
      </w:pPr>
      <w:r>
        <w:rPr>
          <w:b w:val="0"/>
          <w:noProof/>
        </w:rPr>
        <w:t xml:space="preserve">V posledních letech se zlepšila i </w:t>
      </w:r>
      <w:r>
        <w:rPr>
          <w:noProof/>
        </w:rPr>
        <w:t>justiční reakce EU</w:t>
      </w:r>
      <w:r>
        <w:rPr>
          <w:b w:val="0"/>
          <w:noProof/>
        </w:rPr>
        <w:t>: byl založen Úřad evropského veřejného žalobce (EPPO)</w:t>
      </w:r>
      <w:r w:rsidRPr="002932F0">
        <w:rPr>
          <w:rStyle w:val="FootnoteReference0"/>
          <w:b w:val="0"/>
          <w:noProof/>
        </w:rPr>
        <w:footnoteReference w:id="19"/>
      </w:r>
      <w:r>
        <w:rPr>
          <w:b w:val="0"/>
          <w:noProof/>
        </w:rPr>
        <w:t xml:space="preserve"> jako nezávislý úřad veřejného žalobce, který je odpovědný za vyšetřování a trestní stíhání trestných činů proti finančním zájmům EU a postavení pachatelů těchto trestných činů před soud. Úřad evropského veřejného žalobce je rovněž příslušný pro trestné činy související s účastí na zločinném spolčení, pokud se trestná činnost takového spolčení zaměřuje na páchání trestných činů poškozujících nebo ohrožujících finanční zájmy Unie. Kromě toho EU přijala balíček o přeshraničním přístupu k</w:t>
      </w:r>
      <w:r>
        <w:rPr>
          <w:noProof/>
        </w:rPr>
        <w:t xml:space="preserve"> elektronickým důkazům</w:t>
      </w:r>
      <w:r>
        <w:rPr>
          <w:b w:val="0"/>
          <w:noProof/>
        </w:rPr>
        <w:t>, aby policejním a justičním orgánům usnadnila a urychlila přístup k potřebným informacím</w:t>
      </w:r>
      <w:r w:rsidRPr="002932F0">
        <w:rPr>
          <w:rStyle w:val="FootnoteReference0"/>
          <w:b w:val="0"/>
          <w:noProof/>
        </w:rPr>
        <w:footnoteReference w:id="20"/>
      </w:r>
      <w:r>
        <w:rPr>
          <w:b w:val="0"/>
          <w:noProof/>
        </w:rPr>
        <w:t>.</w:t>
      </w:r>
    </w:p>
    <w:p w14:paraId="27D11C4C" w14:textId="77777777" w:rsidR="00DE5EBD" w:rsidRPr="002932F0" w:rsidRDefault="00DE5EBD" w:rsidP="002D5B03">
      <w:pPr>
        <w:pStyle w:val="Subject"/>
        <w:ind w:left="0" w:firstLine="0"/>
        <w:jc w:val="both"/>
        <w:rPr>
          <w:b w:val="0"/>
          <w:noProof/>
        </w:rPr>
      </w:pPr>
    </w:p>
    <w:p w14:paraId="60FFE4C6" w14:textId="31CBB75D" w:rsidR="00DE5EBD" w:rsidRPr="002932F0" w:rsidRDefault="00DE5EBD" w:rsidP="00DE5EBD">
      <w:pPr>
        <w:pStyle w:val="Subject"/>
        <w:ind w:left="0" w:firstLine="0"/>
        <w:jc w:val="both"/>
        <w:rPr>
          <w:b w:val="0"/>
          <w:noProof/>
        </w:rPr>
      </w:pPr>
      <w:r>
        <w:rPr>
          <w:b w:val="0"/>
          <w:noProof/>
        </w:rPr>
        <w:t xml:space="preserve">Na podporu kolektivních opatření EU zaměřených na drogy byl posílen mandát Evropského monitorovacího centra pro drogy a drogovou závislost (EMCDDA). Cílem je zejména zlepšit jeho kapacitu pro hodnocení hrozeb a včasné varování a rozšířit jeho působnost na problematiku souběžného užívání více drog, na trhy s drogami a jejich nabídku a na prekursory drog. EMCDDA se stane novou </w:t>
      </w:r>
      <w:r>
        <w:rPr>
          <w:bCs/>
          <w:noProof/>
        </w:rPr>
        <w:t>Agenturou EU pro drogy</w:t>
      </w:r>
      <w:r>
        <w:rPr>
          <w:b w:val="0"/>
          <w:noProof/>
        </w:rPr>
        <w:t xml:space="preserve"> a začne fungovat 2. července 2024</w:t>
      </w:r>
      <w:r w:rsidRPr="002932F0">
        <w:rPr>
          <w:rStyle w:val="FootnoteReference0"/>
          <w:noProof/>
        </w:rPr>
        <w:footnoteReference w:id="21"/>
      </w:r>
      <w:r>
        <w:rPr>
          <w:b w:val="0"/>
          <w:noProof/>
        </w:rPr>
        <w:t>. Nová agentura bude provádět hodnocení zdravotních a bezpečnostních hrozeb syntetických drog. Agentura bude rovněž pečlivě sledovat vývoj v oblasti syntetických drog v EU a zohledňovat jej při přípravě protiopatření. Důležitým</w:t>
      </w:r>
      <w:r>
        <w:rPr>
          <w:noProof/>
        </w:rPr>
        <w:t xml:space="preserve"> </w:t>
      </w:r>
      <w:r>
        <w:rPr>
          <w:b w:val="0"/>
          <w:noProof/>
        </w:rPr>
        <w:t xml:space="preserve">krokem bude také vytvoření </w:t>
      </w:r>
      <w:r>
        <w:rPr>
          <w:noProof/>
        </w:rPr>
        <w:t>evropského drogového výstražného systému</w:t>
      </w:r>
      <w:r>
        <w:rPr>
          <w:b w:val="0"/>
          <w:noProof/>
        </w:rPr>
        <w:t>, který bude rychle informovat vnitrostátní orgány a (potenciální) uživatele drog o vstupu nových nebezpečných látek na trh. V neposlední řadě nový mandát stanoví, že se agentura bude zabývat</w:t>
      </w:r>
      <w:r>
        <w:rPr>
          <w:noProof/>
        </w:rPr>
        <w:t xml:space="preserve"> prekursory drog</w:t>
      </w:r>
      <w:r>
        <w:rPr>
          <w:b w:val="0"/>
          <w:noProof/>
        </w:rPr>
        <w:t xml:space="preserve"> a zřídí síť forenzních a toxikologických laboratoří, které budou identifikovat nové látky a možné trendy.</w:t>
      </w:r>
    </w:p>
    <w:p w14:paraId="714EF53A" w14:textId="77777777" w:rsidR="00CE3256" w:rsidRPr="002932F0" w:rsidRDefault="00CE3256" w:rsidP="00CE3256">
      <w:pPr>
        <w:pStyle w:val="Subject"/>
        <w:ind w:left="0" w:firstLine="0"/>
        <w:jc w:val="both"/>
        <w:rPr>
          <w:b w:val="0"/>
          <w:noProof/>
        </w:rPr>
      </w:pPr>
    </w:p>
    <w:p w14:paraId="7AAB851E" w14:textId="3BA66044" w:rsidR="00B164C3" w:rsidRPr="002932F0" w:rsidRDefault="08E682F9" w:rsidP="0040229D">
      <w:pPr>
        <w:pStyle w:val="Subject"/>
        <w:spacing w:after="0"/>
        <w:ind w:left="0" w:firstLine="0"/>
        <w:jc w:val="both"/>
        <w:rPr>
          <w:noProof/>
        </w:rPr>
      </w:pPr>
      <w:r>
        <w:rPr>
          <w:b w:val="0"/>
          <w:noProof/>
        </w:rPr>
        <w:t xml:space="preserve">Na </w:t>
      </w:r>
      <w:r>
        <w:rPr>
          <w:noProof/>
          <w:u w:val="single"/>
        </w:rPr>
        <w:t>operační úrovni</w:t>
      </w:r>
      <w:r>
        <w:rPr>
          <w:b w:val="0"/>
          <w:noProof/>
        </w:rPr>
        <w:t xml:space="preserve"> EU posílila svou podporu pro donucovací orgány členských států. </w:t>
      </w:r>
      <w:r>
        <w:rPr>
          <w:noProof/>
        </w:rPr>
        <w:t>Evropská multidisciplinární platforma pro boj proti hrozbám vyplývajícím z trestné činnosti (EMPACT)</w:t>
      </w:r>
      <w:r>
        <w:rPr>
          <w:b w:val="0"/>
          <w:noProof/>
        </w:rPr>
        <w:t>,</w:t>
      </w:r>
      <w:r>
        <w:rPr>
          <w:noProof/>
        </w:rPr>
        <w:t xml:space="preserve"> </w:t>
      </w:r>
      <w:r>
        <w:rPr>
          <w:b w:val="0"/>
          <w:noProof/>
        </w:rPr>
        <w:t>operativní přístup k vnitřní bezpečnosti EU řízený členskými státy, je nyní stálým nástrojem se zvýšeným financováním. Spolupráce s mezinárodními partnery bude v rámci platformy EMPACT pokračovat za podpory Komise.</w:t>
      </w:r>
      <w:r>
        <w:rPr>
          <w:noProof/>
        </w:rPr>
        <w:t xml:space="preserve"> Operační</w:t>
      </w:r>
      <w:r>
        <w:rPr>
          <w:b w:val="0"/>
          <w:noProof/>
        </w:rPr>
        <w:t xml:space="preserve"> </w:t>
      </w:r>
      <w:r>
        <w:rPr>
          <w:noProof/>
        </w:rPr>
        <w:t>síť proti organizovaným zločineckým skupinám mafiánského typu</w:t>
      </w:r>
      <w:r>
        <w:rPr>
          <w:b w:val="0"/>
          <w:noProof/>
        </w:rPr>
        <w:t xml:space="preserve"> podporuje komplexní vyšetřování vysoce rizikových zločineckých sítí</w:t>
      </w:r>
      <w:r w:rsidR="00FA4A17" w:rsidRPr="002932F0">
        <w:rPr>
          <w:rStyle w:val="FootnoteReference0"/>
          <w:b w:val="0"/>
          <w:noProof/>
        </w:rPr>
        <w:footnoteReference w:id="22"/>
      </w:r>
      <w:r>
        <w:rPr>
          <w:b w:val="0"/>
          <w:noProof/>
        </w:rPr>
        <w:t xml:space="preserve">. Již v roce 2022 to vedlo k vynikajícím operačním výsledkům: 121 zatčení a zabavená hotovost ve výši 12 milionů EUR. Bylo identifikováno 42 zločineckých sítí a s podporou Europolu a Eurojustu bylo vyšetřováno a stíháno více než 50 vysoce postavených zločinců. Komise podporuje cíle a inovativní přístup této nové priority, kterou nyní v letech 2022–2023 řídí Belgie a od v období 2024–2025 bude řídit Itálie, a vyzývá všechny členské státy a mezinárodní partnery, aby se jí zúčastnili. K mnoha zatčením a zabavením dále vedlo prolomení šifrovaných komunikačních sítí </w:t>
      </w:r>
      <w:r>
        <w:rPr>
          <w:noProof/>
        </w:rPr>
        <w:t>EncroChat, SkyECC a AN0M</w:t>
      </w:r>
      <w:r>
        <w:rPr>
          <w:b w:val="0"/>
          <w:noProof/>
        </w:rPr>
        <w:t>,</w:t>
      </w:r>
      <w:r>
        <w:rPr>
          <w:noProof/>
        </w:rPr>
        <w:t xml:space="preserve"> </w:t>
      </w:r>
      <w:r>
        <w:rPr>
          <w:b w:val="0"/>
          <w:noProof/>
        </w:rPr>
        <w:t>podporované Europolem. Poskytlo to zejména cenné poznatky o činnosti zločineckých sítí a jejich metodách.</w:t>
      </w:r>
      <w:r>
        <w:rPr>
          <w:noProof/>
        </w:rPr>
        <w:t xml:space="preserve"> </w:t>
      </w:r>
      <w:r>
        <w:rPr>
          <w:b w:val="0"/>
          <w:noProof/>
        </w:rPr>
        <w:t>Europol podpořil řadu dalších úspěšných vyšetřování vedených členskými státy, jako byla</w:t>
      </w:r>
      <w:r>
        <w:rPr>
          <w:noProof/>
        </w:rPr>
        <w:t xml:space="preserve"> operace Pouštní světlo</w:t>
      </w:r>
      <w:r>
        <w:rPr>
          <w:b w:val="0"/>
          <w:noProof/>
        </w:rPr>
        <w:t xml:space="preserve"> v listopadu 2022</w:t>
      </w:r>
      <w:r w:rsidR="00693539" w:rsidRPr="002932F0">
        <w:rPr>
          <w:rStyle w:val="FootnoteReference0"/>
          <w:b w:val="0"/>
          <w:bCs/>
          <w:noProof/>
          <w:szCs w:val="24"/>
        </w:rPr>
        <w:footnoteReference w:id="23"/>
      </w:r>
      <w:r>
        <w:rPr>
          <w:b w:val="0"/>
          <w:noProof/>
        </w:rPr>
        <w:t>, při níž byl zlikvidován „superkartel“ obchodníků s kokainem</w:t>
      </w:r>
      <w:r>
        <w:rPr>
          <w:noProof/>
        </w:rPr>
        <w:t xml:space="preserve">. </w:t>
      </w:r>
    </w:p>
    <w:p w14:paraId="33734607" w14:textId="77777777" w:rsidR="00B164C3" w:rsidRPr="002932F0" w:rsidRDefault="00B164C3" w:rsidP="0040229D">
      <w:pPr>
        <w:pStyle w:val="Subject"/>
        <w:spacing w:after="0"/>
        <w:ind w:left="0" w:firstLine="0"/>
        <w:jc w:val="both"/>
        <w:rPr>
          <w:noProof/>
        </w:rPr>
      </w:pPr>
    </w:p>
    <w:p w14:paraId="62BD5F78" w14:textId="5052E1BB" w:rsidR="001756A3" w:rsidRPr="002932F0" w:rsidRDefault="00B164C3" w:rsidP="0040229D">
      <w:pPr>
        <w:pStyle w:val="Subject"/>
        <w:spacing w:after="0"/>
        <w:ind w:left="0" w:firstLine="0"/>
        <w:jc w:val="both"/>
        <w:rPr>
          <w:b w:val="0"/>
          <w:noProof/>
        </w:rPr>
      </w:pPr>
      <w:r>
        <w:rPr>
          <w:b w:val="0"/>
          <w:noProof/>
        </w:rPr>
        <w:t xml:space="preserve">Úspěchy </w:t>
      </w:r>
      <w:r>
        <w:rPr>
          <w:noProof/>
        </w:rPr>
        <w:t>Centra pro námořní analýzu a operace – narkotika (MAOC (N))</w:t>
      </w:r>
      <w:r>
        <w:rPr>
          <w:b w:val="0"/>
          <w:noProof/>
        </w:rPr>
        <w:t xml:space="preserve"> při podpoře námořních zásahů zatím vedly k záchytu 327 653 tun kokainu a 667 344 tun konopí</w:t>
      </w:r>
      <w:r w:rsidR="00A27443" w:rsidRPr="002932F0">
        <w:rPr>
          <w:rStyle w:val="FootnoteReference0"/>
          <w:b w:val="0"/>
          <w:noProof/>
        </w:rPr>
        <w:footnoteReference w:id="24"/>
      </w:r>
      <w:r>
        <w:rPr>
          <w:b w:val="0"/>
          <w:noProof/>
        </w:rPr>
        <w:t xml:space="preserve">. Kromě toho Belgie a Německo zahájily proces přistoupení k MAOC (N). Revidovaná </w:t>
      </w:r>
      <w:r>
        <w:rPr>
          <w:noProof/>
        </w:rPr>
        <w:t>strategie EU pro námořní bezpečnost</w:t>
      </w:r>
      <w:r w:rsidRPr="002932F0">
        <w:rPr>
          <w:rStyle w:val="FootnoteReference0"/>
          <w:bCs/>
          <w:noProof/>
        </w:rPr>
        <w:footnoteReference w:id="25"/>
      </w:r>
      <w:r>
        <w:rPr>
          <w:noProof/>
        </w:rPr>
        <w:t xml:space="preserve"> a její akční plán</w:t>
      </w:r>
      <w:r>
        <w:rPr>
          <w:b w:val="0"/>
          <w:noProof/>
        </w:rPr>
        <w:t xml:space="preserve"> potvrzují závazek ke společným operacím ve výchozích zemích a v přístavech EU, do nichž se zapojí MAOC-N, příslušné orgány členských států a útvary/agentury Evropské komise.</w:t>
      </w:r>
    </w:p>
    <w:p w14:paraId="160C6151" w14:textId="73FE15FF" w:rsidR="00B164C3" w:rsidRPr="002932F0" w:rsidRDefault="00B164C3" w:rsidP="005333AC">
      <w:pPr>
        <w:pStyle w:val="Subject"/>
        <w:spacing w:after="0"/>
        <w:ind w:left="0" w:firstLine="0"/>
        <w:jc w:val="both"/>
        <w:rPr>
          <w:b w:val="0"/>
          <w:noProof/>
        </w:rPr>
      </w:pPr>
    </w:p>
    <w:p w14:paraId="73B62436" w14:textId="25A3B8D7" w:rsidR="00D55FC0" w:rsidRPr="002932F0" w:rsidRDefault="004E46B6" w:rsidP="0040032F">
      <w:pPr>
        <w:pStyle w:val="paragraph"/>
        <w:spacing w:before="0" w:beforeAutospacing="0" w:after="0" w:afterAutospacing="0"/>
        <w:jc w:val="both"/>
        <w:textAlignment w:val="baseline"/>
        <w:rPr>
          <w:noProof/>
        </w:rPr>
      </w:pPr>
      <w:r>
        <w:rPr>
          <w:rStyle w:val="normaltextrun"/>
          <w:noProof/>
        </w:rPr>
        <w:t xml:space="preserve">Vzhledem k tomu, že organizovaná trestná činnost má téměř vždy nadnárodní charakter, posiluje EU svá partnerství s třetími zeměmi, zejména s těmi, které se nacházejí na klíčových trasách dodávek drog. Zahrnuje to posílenou spolupráci </w:t>
      </w:r>
      <w:r>
        <w:rPr>
          <w:b/>
          <w:noProof/>
        </w:rPr>
        <w:t>s Latinskou Amerikou a Karibikem,</w:t>
      </w:r>
      <w:r>
        <w:rPr>
          <w:rStyle w:val="normaltextrun"/>
          <w:noProof/>
        </w:rPr>
        <w:t xml:space="preserve"> spolupráci v oblasti nového programu pro vztahy mezi EU a Latinskou Amerikou a Karibikem</w:t>
      </w:r>
      <w:r w:rsidR="00AB51DA" w:rsidRPr="002932F0">
        <w:rPr>
          <w:rStyle w:val="FootnoteReference0"/>
          <w:noProof/>
          <w:lang w:val="en-GB"/>
        </w:rPr>
        <w:footnoteReference w:id="26"/>
      </w:r>
      <w:r>
        <w:rPr>
          <w:rStyle w:val="normaltextrun"/>
          <w:noProof/>
        </w:rPr>
        <w:t>, prohlášení ze summitu EU a Společenství latinskoamerických a karibských států (CELAC) ze 17. a 18. července 2023</w:t>
      </w:r>
      <w:r w:rsidR="00AB51DA" w:rsidRPr="002932F0">
        <w:rPr>
          <w:rStyle w:val="FootnoteReference0"/>
          <w:noProof/>
          <w:lang w:val="en-GB"/>
        </w:rPr>
        <w:footnoteReference w:id="27"/>
      </w:r>
      <w:r>
        <w:rPr>
          <w:rStyle w:val="normaltextrun"/>
          <w:noProof/>
        </w:rPr>
        <w:t xml:space="preserve"> a spolupráci mezi EU a Latinskoamerickým výborem pro vnitřní bezpečnost (CLASI), která potvrzuje závazek zintenzivnit úsilí v oblasti spravedlnosti, bezpečnosti a boje proti nadnárodním zločineckým sítím. Jako účinné nástroje pro posílení vnitrostátních a regionálních kapacit v boji proti organizovanému zločinu se ukázaly regionální programy technické pomoci, jako jsou </w:t>
      </w:r>
      <w:r>
        <w:rPr>
          <w:rStyle w:val="normaltextrun"/>
          <w:b/>
          <w:noProof/>
        </w:rPr>
        <w:t>EL PAcCTO, EUROFRONT a COPOLAD III</w:t>
      </w:r>
      <w:r>
        <w:rPr>
          <w:rStyle w:val="normaltextrun"/>
          <w:noProof/>
        </w:rPr>
        <w:t xml:space="preserve">, jakož i </w:t>
      </w:r>
      <w:r>
        <w:rPr>
          <w:rStyle w:val="normaltextrun"/>
          <w:b/>
          <w:noProof/>
        </w:rPr>
        <w:t>program pro</w:t>
      </w:r>
      <w:r>
        <w:rPr>
          <w:rStyle w:val="normaltextrun"/>
          <w:noProof/>
        </w:rPr>
        <w:t xml:space="preserve"> </w:t>
      </w:r>
      <w:r>
        <w:rPr>
          <w:rStyle w:val="normaltextrun"/>
          <w:b/>
          <w:noProof/>
        </w:rPr>
        <w:t>globální</w:t>
      </w:r>
      <w:r>
        <w:rPr>
          <w:rStyle w:val="normaltextrun"/>
          <w:noProof/>
        </w:rPr>
        <w:t xml:space="preserve"> </w:t>
      </w:r>
      <w:r>
        <w:rPr>
          <w:rStyle w:val="normaltextrun"/>
          <w:b/>
          <w:noProof/>
        </w:rPr>
        <w:t>nezákonné toky</w:t>
      </w:r>
      <w:r>
        <w:rPr>
          <w:rStyle w:val="normaltextrun"/>
          <w:noProof/>
        </w:rPr>
        <w:t>.</w:t>
      </w:r>
      <w:r>
        <w:rPr>
          <w:noProof/>
        </w:rPr>
        <w:t xml:space="preserve"> </w:t>
      </w:r>
    </w:p>
    <w:p w14:paraId="501F78DA" w14:textId="18EE5458" w:rsidR="00E11C0F" w:rsidRPr="002932F0" w:rsidRDefault="00D55FC0" w:rsidP="00E11C0F">
      <w:pPr>
        <w:pStyle w:val="paragraph"/>
        <w:spacing w:after="0"/>
        <w:jc w:val="both"/>
        <w:textAlignment w:val="baseline"/>
        <w:rPr>
          <w:rStyle w:val="normaltextrun"/>
          <w:noProof/>
        </w:rPr>
      </w:pPr>
      <w:r>
        <w:rPr>
          <w:rStyle w:val="normaltextrun"/>
          <w:noProof/>
        </w:rPr>
        <w:t xml:space="preserve">V </w:t>
      </w:r>
      <w:r>
        <w:rPr>
          <w:rStyle w:val="normaltextrun"/>
          <w:b/>
          <w:noProof/>
        </w:rPr>
        <w:t>západní Africe</w:t>
      </w:r>
      <w:r>
        <w:rPr>
          <w:rStyle w:val="normaltextrun"/>
          <w:noProof/>
        </w:rPr>
        <w:t xml:space="preserve"> se spolupráce zaměřuje na budování kapacit státních institucí a regionálních organizací pro boj proti obchodu s drogami na moři. Od roku 2018 zavedla EU soubor doplňkových regionálních programů zaměřených na podporu úsilí zemí ECOWAS v boji proti nadnárodní organizované trestné činnosti a nedovolenému obchodování, kyberkriminalitě, jakož i praní špinavých peněz a financování terorismu</w:t>
      </w:r>
      <w:r w:rsidR="002458FC" w:rsidRPr="002932F0">
        <w:rPr>
          <w:rStyle w:val="FootnoteReference0"/>
          <w:noProof/>
          <w:lang w:val="en-GB"/>
        </w:rPr>
        <w:footnoteReference w:id="28"/>
      </w:r>
      <w:r>
        <w:rPr>
          <w:rStyle w:val="normaltextrun"/>
          <w:noProof/>
        </w:rPr>
        <w:t xml:space="preserve">. Vojenská námořní operace Evropské unie ATALANTA v </w:t>
      </w:r>
      <w:r>
        <w:rPr>
          <w:rStyle w:val="normaltextrun"/>
          <w:b/>
          <w:noProof/>
        </w:rPr>
        <w:t>Africkém rohu</w:t>
      </w:r>
      <w:r>
        <w:rPr>
          <w:rStyle w:val="normaltextrun"/>
          <w:noProof/>
        </w:rPr>
        <w:t xml:space="preserve"> přispívá k narušení fungování obchodu s drogami a zbraněmi, jakož i k odvrácení, prevenci a potlačení pirátství a ozbrojených loupeží u pobřeží Somálska. EU je rovněž pevně odhodlána řešit nezákonné peněžní toky prostřednictvím specializované </w:t>
      </w:r>
      <w:r>
        <w:rPr>
          <w:rStyle w:val="normaltextrun"/>
          <w:b/>
          <w:noProof/>
        </w:rPr>
        <w:t>iniciativy týmu Evropa (Team Europe) pro subsaharskou Afriku v oblasti boje proti nezákonným finančním tokům</w:t>
      </w:r>
      <w:r>
        <w:rPr>
          <w:rStyle w:val="normaltextrun"/>
          <w:noProof/>
        </w:rPr>
        <w:t xml:space="preserve">. </w:t>
      </w:r>
    </w:p>
    <w:p w14:paraId="45AEF77D" w14:textId="13F944DB" w:rsidR="00E11C0F" w:rsidRPr="002932F0" w:rsidRDefault="00E11C0F" w:rsidP="00E11C0F">
      <w:pPr>
        <w:pStyle w:val="paragraph"/>
        <w:spacing w:after="0"/>
        <w:jc w:val="both"/>
        <w:textAlignment w:val="baseline"/>
        <w:rPr>
          <w:noProof/>
        </w:rPr>
      </w:pPr>
      <w:r>
        <w:rPr>
          <w:b/>
          <w:noProof/>
        </w:rPr>
        <w:t>Severní Afrika a Blízký východ</w:t>
      </w:r>
      <w:r>
        <w:rPr>
          <w:noProof/>
        </w:rPr>
        <w:t xml:space="preserve"> jsou hlavním zdrojem, tranzitním místem i cílovou destinací nelegálních drog a nedovolený obchod s drogami roste. Programy financované EU, jako je </w:t>
      </w:r>
      <w:r>
        <w:rPr>
          <w:b/>
          <w:noProof/>
        </w:rPr>
        <w:t>EU4Monitoring Drugs</w:t>
      </w:r>
      <w:r>
        <w:rPr>
          <w:noProof/>
        </w:rPr>
        <w:t>, analyzovaly vznik nových cest obchodování s drogami, rozšíření online trhů a dostupnost širšího spektra látek.</w:t>
      </w:r>
      <w:r w:rsidR="00EA4C6E">
        <w:rPr>
          <w:noProof/>
        </w:rPr>
        <w:t xml:space="preserve"> </w:t>
      </w:r>
    </w:p>
    <w:p w14:paraId="63188604" w14:textId="06E805A9" w:rsidR="00E11C0F" w:rsidRPr="002932F0" w:rsidRDefault="00FD469C" w:rsidP="00E11C0F">
      <w:pPr>
        <w:pStyle w:val="paragraph"/>
        <w:spacing w:after="0"/>
        <w:jc w:val="both"/>
        <w:textAlignment w:val="baseline"/>
        <w:rPr>
          <w:rFonts w:eastAsia="Calibri"/>
          <w:noProof/>
        </w:rPr>
      </w:pPr>
      <w:r>
        <w:rPr>
          <w:rStyle w:val="normaltextrun"/>
          <w:noProof/>
        </w:rPr>
        <w:t xml:space="preserve">Kromě toho EU ve </w:t>
      </w:r>
      <w:r>
        <w:rPr>
          <w:rStyle w:val="normaltextrun"/>
          <w:b/>
          <w:noProof/>
        </w:rPr>
        <w:t>Střední Asii</w:t>
      </w:r>
      <w:r>
        <w:rPr>
          <w:noProof/>
        </w:rPr>
        <w:t xml:space="preserve"> vytvořila dva důležité regionální bezpečnostní programy, které mají naplnit její strategii a pomoci středoasijským partnerům řešit některá rizika spojená s drogovou trestnou činností, včetně rizik vyplývajících z Afghánistánu. </w:t>
      </w:r>
      <w:r>
        <w:rPr>
          <w:b/>
          <w:noProof/>
        </w:rPr>
        <w:t>Protidrogový akční program ve Střední Asii</w:t>
      </w:r>
      <w:r>
        <w:rPr>
          <w:noProof/>
        </w:rPr>
        <w:t xml:space="preserve"> (CADAP) přispívá ke snižování užívání drog a podporuje protidrogové politiky středoasijských vlád, konkrétně zlepšuje přístup ke kvalitním intervencím zaměřeným na snižování poptávky po drogách. </w:t>
      </w:r>
      <w:r>
        <w:rPr>
          <w:b/>
          <w:noProof/>
        </w:rPr>
        <w:t>Program správy hranic ve Střední Asii</w:t>
      </w:r>
      <w:r>
        <w:rPr>
          <w:noProof/>
        </w:rPr>
        <w:t xml:space="preserve"> (BOMCA) podporuje udržitelný hospodářský rozvoj prostřednictvím integrované správy hranic a zaměřuje se na budování kapacit a institucionální rozvoj, usnadnění obchodu, zlepšení systémů správy hranic a odstranění nezákonného obchodování ve Střední Asii. </w:t>
      </w:r>
    </w:p>
    <w:p w14:paraId="65F6AA7F" w14:textId="322B12CF" w:rsidR="00E11C0F" w:rsidRPr="002932F0" w:rsidRDefault="00E11C0F" w:rsidP="00E11C0F">
      <w:pPr>
        <w:pStyle w:val="paragraph"/>
        <w:spacing w:after="0"/>
        <w:jc w:val="both"/>
        <w:textAlignment w:val="baseline"/>
        <w:rPr>
          <w:noProof/>
        </w:rPr>
      </w:pPr>
      <w:r>
        <w:rPr>
          <w:noProof/>
        </w:rPr>
        <w:t xml:space="preserve">Prioritou zůstává </w:t>
      </w:r>
      <w:r>
        <w:rPr>
          <w:b/>
          <w:noProof/>
        </w:rPr>
        <w:t>spolupráce EU se západním Balkánem</w:t>
      </w:r>
      <w:r>
        <w:rPr>
          <w:noProof/>
        </w:rPr>
        <w:t>. Významné operativní výsledky přinesla zvýšená účast našich západobalkánských partnerů na mezinárodních policejních operacích, jejich užší spolupráce s Europolem prostřednictvím vysílání styčných důstojníků do ústředí Europolu, jejich zapojení do platformy EMPACT a účast ve společných vyšetřovacích týmech. I nadále bude poskytována finanční a technická podpora EU. Zásadní je, aby si všichni partneři ze západního Balkánu vytvořili fungující systémy včasného varování a národní střediska pro sledování drog, aby se zlepšila jejich výměna údajů s centrem EMCDDA, a aby uzavřeli pracovní dohody s agenturou EU.</w:t>
      </w:r>
      <w:r w:rsidR="00EA4C6E">
        <w:rPr>
          <w:noProof/>
        </w:rPr>
        <w:t xml:space="preserve"> </w:t>
      </w:r>
    </w:p>
    <w:p w14:paraId="78C95763" w14:textId="3AFAF2DE" w:rsidR="00624A39" w:rsidRPr="002932F0" w:rsidRDefault="00D55FC0" w:rsidP="00515BC4">
      <w:pPr>
        <w:pStyle w:val="Subject"/>
        <w:ind w:left="0" w:firstLine="0"/>
        <w:jc w:val="both"/>
        <w:rPr>
          <w:b w:val="0"/>
          <w:noProof/>
        </w:rPr>
      </w:pPr>
      <w:r>
        <w:rPr>
          <w:b w:val="0"/>
          <w:noProof/>
        </w:rPr>
        <w:t>V neposlední řadě</w:t>
      </w:r>
      <w:r>
        <w:rPr>
          <w:noProof/>
        </w:rPr>
        <w:t xml:space="preserve"> </w:t>
      </w:r>
      <w:r>
        <w:rPr>
          <w:b w:val="0"/>
          <w:noProof/>
        </w:rPr>
        <w:t>vytvořilo</w:t>
      </w:r>
      <w:r>
        <w:rPr>
          <w:noProof/>
        </w:rPr>
        <w:t xml:space="preserve"> </w:t>
      </w:r>
      <w:r>
        <w:rPr>
          <w:b w:val="0"/>
          <w:noProof/>
        </w:rPr>
        <w:t>šest členských států (Belgie, Francie, Itálie, Německo, Nizozemsko a Španělsko)</w:t>
      </w:r>
      <w:r>
        <w:rPr>
          <w:noProof/>
        </w:rPr>
        <w:t xml:space="preserve"> koalici proti závažné a organizované trestné činnosti, </w:t>
      </w:r>
      <w:r>
        <w:rPr>
          <w:b w:val="0"/>
          <w:noProof/>
        </w:rPr>
        <w:t>které se účastní Komise, Europol a Eurojust. Koalice navrhla několik důležitých operačních opatření společného zájmu, která jsou v zásadě v souladu se strategiemi EU a zahrnují agentury, subjekty a rámce EU, jako je EMPACT. Opatření se zaměřují zejména na identifikaci operačních potřeb, posílení bezpečnosti logistických uzlů a námořní bezpečnosti, narušení toků peněz z trestné činnosti, posílení pravomocí donucovacích orgánů pomocí technologií a inovací a posílení mezinárodní spolupráce. Komise oceňuje úsilí, které koalice vyvíjí, a předkládá tento plán, aby její práci posunula na vyšší úroveň a prokázala závazek EU zintenzivnit úsilí.</w:t>
      </w:r>
    </w:p>
    <w:p w14:paraId="0EBEC1FD" w14:textId="3AD16B50" w:rsidR="00B279E0" w:rsidRPr="002932F0" w:rsidRDefault="00AD7680" w:rsidP="00E12D9E">
      <w:pPr>
        <w:pStyle w:val="Style1"/>
        <w:rPr>
          <w:noProof/>
        </w:rPr>
      </w:pPr>
      <w:r>
        <w:rPr>
          <w:noProof/>
        </w:rPr>
        <w:t>Prioritní akce</w:t>
      </w:r>
    </w:p>
    <w:p w14:paraId="2707B2DD" w14:textId="446DFE1C" w:rsidR="00663E2E" w:rsidRPr="002932F0" w:rsidRDefault="005058C3" w:rsidP="00C266A6">
      <w:pPr>
        <w:pStyle w:val="Subject"/>
        <w:tabs>
          <w:tab w:val="left" w:pos="3948"/>
        </w:tabs>
        <w:ind w:left="0" w:firstLine="0"/>
        <w:jc w:val="both"/>
        <w:rPr>
          <w:b w:val="0"/>
          <w:noProof/>
        </w:rPr>
      </w:pPr>
      <w:bookmarkStart w:id="11" w:name="_Hlk145239934"/>
      <w:r>
        <w:rPr>
          <w:b w:val="0"/>
          <w:noProof/>
        </w:rPr>
        <w:t>Pachatelé trestné činnosti se rychle přizpůsobují novým příležitostem k zisku. Dokážou také velmi dobře využívat většího propojení společností a technologického pokroku. V souvislosti s tímto neustále se měnícím jevem je nezbytné spojit úsilí Komise, vysokého představitele, Evropského parlamentu, Rady a agentur a subjektů EU a zaměřit je na soubor prioritních opatření. Aby bylo možné tato opatření realizovat, je třeba zajistit účinnou spolupráci v celé EU, zapojení našich strategických mezinárodních partnerů a rozhodný politický závazek všech zúčastněných.</w:t>
      </w:r>
    </w:p>
    <w:p w14:paraId="038F6552" w14:textId="6D6581E7" w:rsidR="00E766AA" w:rsidRPr="002932F0" w:rsidRDefault="00E766AA" w:rsidP="0091740C">
      <w:pPr>
        <w:pStyle w:val="Subject"/>
        <w:tabs>
          <w:tab w:val="left" w:pos="3948"/>
        </w:tabs>
        <w:spacing w:after="0"/>
        <w:ind w:left="0" w:firstLine="0"/>
        <w:jc w:val="both"/>
        <w:rPr>
          <w:b w:val="0"/>
          <w:noProof/>
          <w:szCs w:val="24"/>
          <w:lang w:eastAsia="en-IE"/>
        </w:rPr>
      </w:pPr>
    </w:p>
    <w:p w14:paraId="3EF2CD66" w14:textId="77777777" w:rsidR="00DA3452" w:rsidRDefault="00557495" w:rsidP="0091740C">
      <w:pPr>
        <w:pStyle w:val="Subject"/>
        <w:tabs>
          <w:tab w:val="left" w:pos="3948"/>
        </w:tabs>
        <w:spacing w:after="0"/>
        <w:ind w:left="0" w:firstLine="0"/>
        <w:jc w:val="both"/>
        <w:rPr>
          <w:b w:val="0"/>
          <w:noProof/>
          <w:szCs w:val="24"/>
        </w:rPr>
      </w:pPr>
      <w:r>
        <w:rPr>
          <w:b w:val="0"/>
          <w:noProof/>
        </w:rPr>
        <w:t xml:space="preserve">Tento plán se zaměřuje na čtyři prioritní oblasti, v nichž je třeba zvýšit aktivitu. </w:t>
      </w:r>
    </w:p>
    <w:p w14:paraId="677DF92A" w14:textId="77777777" w:rsidR="00DA3452" w:rsidRDefault="00DA3452" w:rsidP="0091740C">
      <w:pPr>
        <w:pStyle w:val="Subject"/>
        <w:tabs>
          <w:tab w:val="left" w:pos="3948"/>
        </w:tabs>
        <w:spacing w:after="0"/>
        <w:ind w:left="0" w:firstLine="0"/>
        <w:jc w:val="both"/>
        <w:rPr>
          <w:b w:val="0"/>
          <w:noProof/>
          <w:szCs w:val="24"/>
          <w:lang w:eastAsia="en-IE"/>
        </w:rPr>
      </w:pPr>
    </w:p>
    <w:p w14:paraId="6DD63BD1" w14:textId="77777777" w:rsidR="00DA3452" w:rsidRDefault="009F1DDB" w:rsidP="0091740C">
      <w:pPr>
        <w:pStyle w:val="Subject"/>
        <w:tabs>
          <w:tab w:val="left" w:pos="3948"/>
        </w:tabs>
        <w:spacing w:after="0"/>
        <w:ind w:left="0" w:firstLine="0"/>
        <w:jc w:val="both"/>
        <w:rPr>
          <w:b w:val="0"/>
          <w:noProof/>
        </w:rPr>
      </w:pPr>
      <w:r>
        <w:rPr>
          <w:b w:val="0"/>
          <w:noProof/>
        </w:rPr>
        <w:t xml:space="preserve">Za prvé, pachatelé trestné činnosti využívají k provádění své nezákonné činnosti logistické uzly v zemích EU i mimo EU a za účelem provádění trestné činnosti se zaměřují na zranitelné osoby. EU proto musí </w:t>
      </w:r>
      <w:r>
        <w:rPr>
          <w:noProof/>
        </w:rPr>
        <w:t>posílit odolnost logistických uzlů</w:t>
      </w:r>
      <w:r>
        <w:rPr>
          <w:b w:val="0"/>
          <w:noProof/>
        </w:rPr>
        <w:t xml:space="preserve"> proti zneužití ze strany pachatelů trestné činnosti. To je třeba provádět v úzké vzájemné spolupráci, protože pachatelé trestné činnosti neustále hledají nejslabší článek. </w:t>
      </w:r>
    </w:p>
    <w:p w14:paraId="3614C28F" w14:textId="77777777" w:rsidR="00DA3452" w:rsidRDefault="00DA3452" w:rsidP="0091740C">
      <w:pPr>
        <w:pStyle w:val="Subject"/>
        <w:tabs>
          <w:tab w:val="left" w:pos="3948"/>
        </w:tabs>
        <w:spacing w:after="0"/>
        <w:ind w:left="0" w:firstLine="0"/>
        <w:jc w:val="both"/>
        <w:rPr>
          <w:b w:val="0"/>
          <w:noProof/>
        </w:rPr>
      </w:pPr>
    </w:p>
    <w:p w14:paraId="771B3E58" w14:textId="77777777" w:rsidR="00DA3452" w:rsidRDefault="005B4A60" w:rsidP="0091740C">
      <w:pPr>
        <w:pStyle w:val="Subject"/>
        <w:tabs>
          <w:tab w:val="left" w:pos="3948"/>
        </w:tabs>
        <w:spacing w:after="0"/>
        <w:ind w:left="0" w:firstLine="0"/>
        <w:jc w:val="both"/>
        <w:rPr>
          <w:b w:val="0"/>
          <w:noProof/>
          <w:szCs w:val="24"/>
        </w:rPr>
      </w:pPr>
      <w:r>
        <w:rPr>
          <w:b w:val="0"/>
          <w:noProof/>
        </w:rPr>
        <w:t xml:space="preserve">Za druhé, zločinecké sítě jsou dynamické a k páchání trestné činnosti stále častěji využívají specializované poskytovatele služeb, čímž se do nich zapojuje více subjektů. Velmi potřebné je zadržet jednotlivce, ale jen to nestačí: je nezbytné posílit možnosti donucovacích a justičních orgánů </w:t>
      </w:r>
      <w:r>
        <w:rPr>
          <w:noProof/>
        </w:rPr>
        <w:t>rozbíjet zločinecké sítě, narušovat jejich obchodní modely a zabavovat jejich zisky</w:t>
      </w:r>
      <w:r>
        <w:rPr>
          <w:b w:val="0"/>
          <w:noProof/>
        </w:rPr>
        <w:t xml:space="preserve">. </w:t>
      </w:r>
    </w:p>
    <w:p w14:paraId="3EEDC108" w14:textId="77777777" w:rsidR="00DA3452" w:rsidRDefault="00DA3452" w:rsidP="0091740C">
      <w:pPr>
        <w:pStyle w:val="Subject"/>
        <w:tabs>
          <w:tab w:val="left" w:pos="3948"/>
        </w:tabs>
        <w:spacing w:after="0"/>
        <w:ind w:left="0" w:firstLine="0"/>
        <w:jc w:val="both"/>
        <w:rPr>
          <w:b w:val="0"/>
          <w:noProof/>
          <w:szCs w:val="24"/>
          <w:lang w:eastAsia="en-IE"/>
        </w:rPr>
      </w:pPr>
    </w:p>
    <w:p w14:paraId="37249564" w14:textId="77777777" w:rsidR="00DA3452" w:rsidRDefault="00EC20F1" w:rsidP="0091740C">
      <w:pPr>
        <w:pStyle w:val="Subject"/>
        <w:tabs>
          <w:tab w:val="left" w:pos="3948"/>
        </w:tabs>
        <w:spacing w:after="0"/>
        <w:ind w:left="0" w:firstLine="0"/>
        <w:jc w:val="both"/>
        <w:rPr>
          <w:b w:val="0"/>
          <w:noProof/>
          <w:szCs w:val="24"/>
        </w:rPr>
      </w:pPr>
      <w:r>
        <w:rPr>
          <w:noProof/>
        </w:rPr>
        <w:t xml:space="preserve">Je také nutné </w:t>
      </w:r>
      <w:r>
        <w:rPr>
          <w:b w:val="0"/>
          <w:noProof/>
        </w:rPr>
        <w:t xml:space="preserve">zaměřit se </w:t>
      </w:r>
      <w:r>
        <w:rPr>
          <w:noProof/>
        </w:rPr>
        <w:t>na prevenci:</w:t>
      </w:r>
      <w:r>
        <w:rPr>
          <w:b w:val="0"/>
          <w:noProof/>
        </w:rPr>
        <w:t xml:space="preserve"> aby lidé a podniky nemohli být zneužíváni zločineckými sítěmi, musíme řešit základní příčiny organizované trestné činnosti a jako trvalé řešení přijmout opatření proti páchání trestné činnosti. To vyžaduje nejen úsilí donucovacích orgánů, ale také úsilí obcí a komunit. </w:t>
      </w:r>
    </w:p>
    <w:p w14:paraId="4D5A5DAB" w14:textId="77777777" w:rsidR="00DA3452" w:rsidRDefault="00DA3452" w:rsidP="0091740C">
      <w:pPr>
        <w:pStyle w:val="Subject"/>
        <w:tabs>
          <w:tab w:val="left" w:pos="3948"/>
        </w:tabs>
        <w:spacing w:after="0"/>
        <w:ind w:left="0" w:firstLine="0"/>
        <w:jc w:val="both"/>
        <w:rPr>
          <w:b w:val="0"/>
          <w:noProof/>
          <w:szCs w:val="24"/>
          <w:lang w:eastAsia="en-IE"/>
        </w:rPr>
      </w:pPr>
    </w:p>
    <w:p w14:paraId="3D4C6E1B" w14:textId="3BA8949F" w:rsidR="008E09CB" w:rsidRPr="002932F0" w:rsidRDefault="00ED1F36" w:rsidP="0091740C">
      <w:pPr>
        <w:pStyle w:val="Subject"/>
        <w:tabs>
          <w:tab w:val="left" w:pos="3948"/>
        </w:tabs>
        <w:spacing w:after="0"/>
        <w:ind w:left="0" w:firstLine="0"/>
        <w:jc w:val="both"/>
        <w:rPr>
          <w:b w:val="0"/>
          <w:noProof/>
        </w:rPr>
      </w:pPr>
      <w:r>
        <w:rPr>
          <w:b w:val="0"/>
          <w:noProof/>
        </w:rPr>
        <w:t xml:space="preserve">Organizovaná trestná činnost byla vždy globálním jevem, ale nedávný technologický vývoj ještě více umožnil pachatelům trestné činnosti působit globálně a provozovat své nezákonné podnikání ze zemí mimo EU. Pro narušení fungování dodavatelských tras pro trestnou činnost a podporu zlepšení spolupráce v oblasti prosazování práva i justiční spolupráce je proto nezbytná </w:t>
      </w:r>
      <w:r>
        <w:rPr>
          <w:noProof/>
        </w:rPr>
        <w:t>mezinárodní spolupráce.</w:t>
      </w:r>
    </w:p>
    <w:p w14:paraId="400157B0" w14:textId="77777777" w:rsidR="00264924" w:rsidRPr="002932F0" w:rsidRDefault="00264924" w:rsidP="0091740C">
      <w:pPr>
        <w:pStyle w:val="Subject"/>
        <w:tabs>
          <w:tab w:val="left" w:pos="3948"/>
        </w:tabs>
        <w:spacing w:after="0"/>
        <w:ind w:left="0" w:firstLine="0"/>
        <w:jc w:val="both"/>
        <w:rPr>
          <w:noProof/>
        </w:rPr>
      </w:pPr>
    </w:p>
    <w:p w14:paraId="1E53B96A" w14:textId="77777777" w:rsidR="005D5DA6" w:rsidRPr="00EA4C6E" w:rsidRDefault="005D5DA6" w:rsidP="005D5DA6">
      <w:pPr>
        <w:spacing w:after="0"/>
        <w:jc w:val="both"/>
        <w:textAlignment w:val="baseline"/>
        <w:rPr>
          <w:noProof/>
        </w:rPr>
      </w:pPr>
    </w:p>
    <w:p w14:paraId="0645AF5C" w14:textId="7488BD31" w:rsidR="005B4A60" w:rsidRPr="002932F0" w:rsidRDefault="00997D27" w:rsidP="00A34B9E">
      <w:pPr>
        <w:pStyle w:val="Style2"/>
        <w:rPr>
          <w:noProof/>
        </w:rPr>
      </w:pPr>
      <w:bookmarkStart w:id="12" w:name="_Hlk146527726"/>
      <w:bookmarkStart w:id="13" w:name="_Hlk144994829"/>
      <w:bookmarkEnd w:id="11"/>
      <w:r>
        <w:rPr>
          <w:noProof/>
        </w:rPr>
        <w:t>Evropská aliance přístavů: posílení odolnosti logistických uzlů</w:t>
      </w:r>
    </w:p>
    <w:p w14:paraId="673297ED" w14:textId="77777777" w:rsidR="00997D27" w:rsidRPr="002932F0" w:rsidRDefault="00997D27" w:rsidP="00C01C68">
      <w:pPr>
        <w:pStyle w:val="Style2"/>
        <w:numPr>
          <w:ilvl w:val="0"/>
          <w:numId w:val="0"/>
        </w:numPr>
        <w:ind w:left="1778"/>
        <w:rPr>
          <w:noProof/>
        </w:rPr>
      </w:pPr>
    </w:p>
    <w:p w14:paraId="19F348AC" w14:textId="77777777" w:rsidR="00F40C09" w:rsidRDefault="00F558BD" w:rsidP="00F558BD">
      <w:pPr>
        <w:spacing w:after="0" w:line="252" w:lineRule="auto"/>
        <w:jc w:val="both"/>
        <w:rPr>
          <w:rFonts w:ascii="Times New Roman" w:hAnsi="Times New Roman"/>
          <w:noProof/>
          <w:sz w:val="24"/>
        </w:rPr>
      </w:pPr>
      <w:r>
        <w:rPr>
          <w:rFonts w:ascii="Times New Roman" w:hAnsi="Times New Roman"/>
          <w:noProof/>
          <w:sz w:val="24"/>
        </w:rPr>
        <w:t>Logistické uzly jsou klíčovými vstupními branami, které umožňují hospodářskou prosperitu EU, přepravu zboží po celé EU a řádné fungování jednotného trhu.</w:t>
      </w:r>
      <w:r>
        <w:rPr>
          <w:noProof/>
        </w:rPr>
        <w:t xml:space="preserve"> </w:t>
      </w:r>
      <w:r>
        <w:rPr>
          <w:rFonts w:ascii="Times New Roman" w:hAnsi="Times New Roman"/>
          <w:noProof/>
          <w:sz w:val="24"/>
        </w:rPr>
        <w:t>Přístavy se podílejí na objemu zahraničního obchodu EU přibližně 75 % a na objemu vnitřního obchodu EU 31 %. Každý rok se v přístavech EU nalodí a vylodí 400 milionů cestujících</w:t>
      </w:r>
      <w:r w:rsidRPr="002932F0">
        <w:rPr>
          <w:rStyle w:val="FootnoteReference0"/>
          <w:rFonts w:ascii="Times New Roman" w:hAnsi="Times New Roman"/>
          <w:noProof/>
          <w:sz w:val="24"/>
          <w:lang w:val="en-GB"/>
        </w:rPr>
        <w:footnoteReference w:id="29"/>
      </w:r>
      <w:r>
        <w:rPr>
          <w:rFonts w:ascii="Times New Roman" w:hAnsi="Times New Roman"/>
          <w:noProof/>
          <w:sz w:val="24"/>
        </w:rPr>
        <w:t xml:space="preserve">. Vzhledem ke strategické úloze, kterou hrají, jsou však logistické uzly ohroženy </w:t>
      </w:r>
      <w:r>
        <w:rPr>
          <w:rFonts w:ascii="Times New Roman" w:hAnsi="Times New Roman"/>
          <w:b/>
          <w:noProof/>
          <w:sz w:val="24"/>
        </w:rPr>
        <w:t>pašováním drog a</w:t>
      </w:r>
      <w:r>
        <w:rPr>
          <w:rFonts w:ascii="Times New Roman" w:hAnsi="Times New Roman"/>
          <w:noProof/>
          <w:sz w:val="24"/>
        </w:rPr>
        <w:t xml:space="preserve"> </w:t>
      </w:r>
      <w:r>
        <w:rPr>
          <w:rFonts w:ascii="Times New Roman" w:hAnsi="Times New Roman"/>
          <w:b/>
          <w:noProof/>
          <w:sz w:val="24"/>
        </w:rPr>
        <w:t>zneužíváním vysoce rizikovými zločineckými sítěmi</w:t>
      </w:r>
      <w:r>
        <w:rPr>
          <w:rFonts w:ascii="Times New Roman" w:hAnsi="Times New Roman"/>
          <w:noProof/>
          <w:sz w:val="24"/>
        </w:rPr>
        <w:t xml:space="preserve"> a osobami, které jim pomáhají, jak je uvedeno ve strategii a akčním plánu EU pro oblast drog.</w:t>
      </w:r>
    </w:p>
    <w:p w14:paraId="53A2D1C7" w14:textId="5CC202D3" w:rsidR="00F558BD" w:rsidRPr="002932F0" w:rsidRDefault="008C0F47" w:rsidP="00F558BD">
      <w:pPr>
        <w:spacing w:after="0" w:line="252" w:lineRule="auto"/>
        <w:jc w:val="both"/>
        <w:rPr>
          <w:rFonts w:ascii="Times New Roman" w:hAnsi="Times New Roman"/>
          <w:noProof/>
          <w:sz w:val="24"/>
        </w:rPr>
      </w:pPr>
      <w:r>
        <w:rPr>
          <w:rFonts w:ascii="Times New Roman" w:hAnsi="Times New Roman"/>
          <w:noProof/>
          <w:sz w:val="24"/>
        </w:rPr>
        <w:t xml:space="preserve"> </w:t>
      </w:r>
    </w:p>
    <w:p w14:paraId="28682A97" w14:textId="520D148F" w:rsidR="00F558BD" w:rsidRPr="002932F0" w:rsidRDefault="00F558BD" w:rsidP="00F558BD">
      <w:pPr>
        <w:spacing w:after="0" w:line="252" w:lineRule="auto"/>
        <w:jc w:val="both"/>
        <w:rPr>
          <w:rFonts w:ascii="Times New Roman" w:hAnsi="Times New Roman"/>
          <w:noProof/>
          <w:sz w:val="24"/>
        </w:rPr>
      </w:pPr>
      <w:r>
        <w:rPr>
          <w:rFonts w:ascii="Times New Roman" w:hAnsi="Times New Roman"/>
          <w:noProof/>
          <w:sz w:val="24"/>
        </w:rPr>
        <w:t xml:space="preserve">Jak je zdůrazněno ve </w:t>
      </w:r>
      <w:r>
        <w:rPr>
          <w:rFonts w:ascii="Times New Roman" w:hAnsi="Times New Roman"/>
          <w:b/>
          <w:noProof/>
          <w:sz w:val="24"/>
        </w:rPr>
        <w:t xml:space="preserve">společné zprávě </w:t>
      </w:r>
      <w:r>
        <w:rPr>
          <w:rFonts w:ascii="Times New Roman" w:hAnsi="Times New Roman"/>
          <w:noProof/>
          <w:sz w:val="24"/>
        </w:rPr>
        <w:t xml:space="preserve">o zločineckých sítích v přístavech EU, kterou vypracoval </w:t>
      </w:r>
      <w:r>
        <w:rPr>
          <w:rFonts w:ascii="Times New Roman" w:hAnsi="Times New Roman"/>
          <w:b/>
          <w:noProof/>
          <w:sz w:val="24"/>
        </w:rPr>
        <w:t xml:space="preserve">Europol </w:t>
      </w:r>
      <w:r>
        <w:rPr>
          <w:rFonts w:ascii="Times New Roman" w:hAnsi="Times New Roman"/>
          <w:noProof/>
          <w:sz w:val="24"/>
        </w:rPr>
        <w:t xml:space="preserve">a </w:t>
      </w:r>
      <w:r>
        <w:rPr>
          <w:rFonts w:ascii="Times New Roman" w:hAnsi="Times New Roman"/>
          <w:b/>
          <w:noProof/>
          <w:sz w:val="24"/>
        </w:rPr>
        <w:t>řídicí výbor pro bezpečnost přístavů Antverpy, Hamburk/Bremerhaven a Rotterdam</w:t>
      </w:r>
      <w:r w:rsidRPr="002932F0">
        <w:rPr>
          <w:rStyle w:val="FootnoteReference0"/>
          <w:rFonts w:ascii="Times New Roman" w:hAnsi="Times New Roman"/>
          <w:noProof/>
          <w:sz w:val="24"/>
          <w:lang w:val="en-GB"/>
        </w:rPr>
        <w:footnoteReference w:id="30"/>
      </w:r>
      <w:r>
        <w:rPr>
          <w:rFonts w:ascii="Times New Roman" w:hAnsi="Times New Roman"/>
          <w:noProof/>
          <w:sz w:val="24"/>
        </w:rPr>
        <w:t xml:space="preserve">, existuje mnoho příležitostí pro pronikání pachatelů trestné činnosti a využívání těchto přístavů k nezákonným přepravám. Pachatelé trestné činnosti používají k přepravě drog prostřednictvím námořních kontejnerů různé metody. Mezi tyto metody patří přechod na kontejnery, které se kontrolují méně často, používání odcizených referenčních kódů kontejnerů (podvody s PIN), klonování registračních čísel kontejnerů a využívání týmů, které čekají na vhodný okamžik, aby zásilku vyzvedly. Zásadní je, že tyto běžné metody jsou úspěšné díky </w:t>
      </w:r>
      <w:r>
        <w:rPr>
          <w:rFonts w:ascii="Times New Roman" w:hAnsi="Times New Roman"/>
          <w:b/>
          <w:noProof/>
          <w:sz w:val="24"/>
        </w:rPr>
        <w:t>korupci</w:t>
      </w:r>
      <w:r>
        <w:rPr>
          <w:rFonts w:ascii="Times New Roman" w:hAnsi="Times New Roman"/>
          <w:noProof/>
          <w:sz w:val="24"/>
        </w:rPr>
        <w:t>, neboť zločinecké sítě využívají k organizování přepravy kontejnerů s drogami a nelegálním zbožím do EU osoby, které situaci v přístavech znají</w:t>
      </w:r>
      <w:r w:rsidRPr="002932F0">
        <w:rPr>
          <w:rStyle w:val="FootnoteReference0"/>
          <w:rFonts w:ascii="Times New Roman" w:hAnsi="Times New Roman"/>
          <w:noProof/>
          <w:sz w:val="24"/>
          <w:lang w:val="en-GB"/>
        </w:rPr>
        <w:footnoteReference w:id="31"/>
      </w:r>
      <w:r>
        <w:rPr>
          <w:rFonts w:ascii="Times New Roman" w:hAnsi="Times New Roman"/>
          <w:noProof/>
          <w:sz w:val="24"/>
        </w:rPr>
        <w:t>.</w:t>
      </w:r>
    </w:p>
    <w:p w14:paraId="7255FFC8" w14:textId="68429CFB" w:rsidR="00FA7A7A" w:rsidRPr="00EA4C6E" w:rsidRDefault="00FA7A7A" w:rsidP="00F558BD">
      <w:pPr>
        <w:spacing w:after="0" w:line="252" w:lineRule="auto"/>
        <w:jc w:val="both"/>
        <w:rPr>
          <w:rFonts w:ascii="Times New Roman" w:hAnsi="Times New Roman"/>
          <w:noProof/>
          <w:sz w:val="24"/>
        </w:rPr>
      </w:pPr>
    </w:p>
    <w:p w14:paraId="005989CF" w14:textId="77777777" w:rsidR="00DA3452" w:rsidRDefault="008C0F47" w:rsidP="00F558BD">
      <w:pPr>
        <w:spacing w:after="0" w:line="252" w:lineRule="auto"/>
        <w:jc w:val="both"/>
        <w:rPr>
          <w:rFonts w:ascii="Times New Roman" w:hAnsi="Times New Roman"/>
          <w:noProof/>
          <w:sz w:val="24"/>
        </w:rPr>
      </w:pPr>
      <w:r>
        <w:rPr>
          <w:rFonts w:ascii="Times New Roman" w:hAnsi="Times New Roman"/>
          <w:noProof/>
          <w:sz w:val="24"/>
        </w:rPr>
        <w:t xml:space="preserve">Zločinecké sítě rychle přizpůsobují své zásobovací trasy méně chráněným nebo menším přístavům. Posílení bezpečnosti logistických uzlů proto vyžaduje </w:t>
      </w:r>
      <w:r>
        <w:rPr>
          <w:rFonts w:ascii="Times New Roman" w:hAnsi="Times New Roman"/>
          <w:b/>
          <w:noProof/>
          <w:sz w:val="24"/>
        </w:rPr>
        <w:t>společný přístup EU</w:t>
      </w:r>
      <w:r>
        <w:rPr>
          <w:rFonts w:ascii="Times New Roman" w:hAnsi="Times New Roman"/>
          <w:noProof/>
          <w:sz w:val="24"/>
        </w:rPr>
        <w:t xml:space="preserve">, v jehož rámci budou zúčastněné strany koordinovaně spolupracovat. Účinná opatření na ochranu přístavů začínají </w:t>
      </w:r>
      <w:r>
        <w:rPr>
          <w:rFonts w:ascii="Times New Roman" w:hAnsi="Times New Roman"/>
          <w:b/>
          <w:noProof/>
          <w:sz w:val="24"/>
        </w:rPr>
        <w:t>jasným posouzením současných nedostatků a slabých míst</w:t>
      </w:r>
      <w:r>
        <w:rPr>
          <w:rFonts w:ascii="Times New Roman" w:hAnsi="Times New Roman"/>
          <w:noProof/>
          <w:sz w:val="24"/>
        </w:rPr>
        <w:t xml:space="preserve">. Komise proto zahájila </w:t>
      </w:r>
      <w:r>
        <w:rPr>
          <w:rFonts w:ascii="Times New Roman" w:hAnsi="Times New Roman"/>
          <w:b/>
          <w:noProof/>
          <w:sz w:val="24"/>
        </w:rPr>
        <w:t>schengenské tematické hodnocení zaměřené na obchod s drogami v přístavech</w:t>
      </w:r>
      <w:r>
        <w:rPr>
          <w:rFonts w:ascii="Times New Roman" w:hAnsi="Times New Roman"/>
          <w:noProof/>
          <w:sz w:val="24"/>
        </w:rPr>
        <w:t xml:space="preserve">. Výsledkem bude hodnotící zpráva s osvědčenými postupy v roce 2023 a návrh doporučení Rady na začátku roku 2024. </w:t>
      </w:r>
    </w:p>
    <w:p w14:paraId="46A78FCF" w14:textId="77777777" w:rsidR="00DA3452" w:rsidRPr="00EA4C6E" w:rsidRDefault="00DA3452" w:rsidP="00F558BD">
      <w:pPr>
        <w:spacing w:after="0" w:line="252" w:lineRule="auto"/>
        <w:jc w:val="both"/>
        <w:rPr>
          <w:rFonts w:ascii="Times New Roman" w:hAnsi="Times New Roman"/>
          <w:noProof/>
          <w:sz w:val="24"/>
        </w:rPr>
      </w:pPr>
    </w:p>
    <w:p w14:paraId="420A3933" w14:textId="77777777" w:rsidR="00DA3452" w:rsidRDefault="005F3083" w:rsidP="00F558BD">
      <w:pPr>
        <w:spacing w:after="0" w:line="252" w:lineRule="auto"/>
        <w:jc w:val="both"/>
        <w:rPr>
          <w:rFonts w:ascii="Times New Roman" w:hAnsi="Times New Roman"/>
          <w:noProof/>
          <w:sz w:val="24"/>
        </w:rPr>
      </w:pPr>
      <w:r>
        <w:rPr>
          <w:rFonts w:ascii="Times New Roman" w:hAnsi="Times New Roman"/>
          <w:noProof/>
          <w:sz w:val="24"/>
        </w:rPr>
        <w:t xml:space="preserve">Kromě toho bude boj proti obchodu s drogami – včetně následného narušení fungování obchodu s drogami po příjezdu do přístavů – součástí </w:t>
      </w:r>
      <w:r>
        <w:rPr>
          <w:rFonts w:ascii="Times New Roman" w:hAnsi="Times New Roman"/>
          <w:b/>
          <w:noProof/>
          <w:sz w:val="24"/>
        </w:rPr>
        <w:t>dvou studií, které Komise</w:t>
      </w:r>
      <w:r>
        <w:rPr>
          <w:rFonts w:ascii="Times New Roman" w:hAnsi="Times New Roman"/>
          <w:noProof/>
          <w:sz w:val="24"/>
        </w:rPr>
        <w:t xml:space="preserve"> zahájila v roce 2023 a které se týkají </w:t>
      </w:r>
      <w:r>
        <w:rPr>
          <w:rFonts w:ascii="Times New Roman" w:hAnsi="Times New Roman"/>
          <w:b/>
          <w:noProof/>
          <w:sz w:val="24"/>
        </w:rPr>
        <w:t>údajů o námořní dopravě</w:t>
      </w:r>
      <w:r>
        <w:rPr>
          <w:rFonts w:ascii="Times New Roman" w:hAnsi="Times New Roman"/>
          <w:noProof/>
          <w:sz w:val="24"/>
        </w:rPr>
        <w:t xml:space="preserve"> a </w:t>
      </w:r>
      <w:r>
        <w:rPr>
          <w:rFonts w:ascii="Times New Roman" w:hAnsi="Times New Roman"/>
          <w:b/>
          <w:noProof/>
          <w:sz w:val="24"/>
        </w:rPr>
        <w:t>potřeb v oblasti vymáhání práva v železniční a silniční dopravě</w:t>
      </w:r>
      <w:r>
        <w:rPr>
          <w:rFonts w:ascii="Times New Roman" w:hAnsi="Times New Roman"/>
          <w:noProof/>
          <w:sz w:val="24"/>
        </w:rPr>
        <w:t xml:space="preserve">. Jejich výsledky se očekávají v roce 2024. </w:t>
      </w:r>
    </w:p>
    <w:p w14:paraId="13861B42" w14:textId="77777777" w:rsidR="00DA3452" w:rsidRPr="00EA4C6E" w:rsidRDefault="00DA3452" w:rsidP="00F558BD">
      <w:pPr>
        <w:spacing w:after="0" w:line="252" w:lineRule="auto"/>
        <w:jc w:val="both"/>
        <w:rPr>
          <w:rFonts w:ascii="Times New Roman" w:hAnsi="Times New Roman"/>
          <w:noProof/>
          <w:sz w:val="24"/>
        </w:rPr>
      </w:pPr>
    </w:p>
    <w:p w14:paraId="61936429" w14:textId="0A26851F" w:rsidR="00DA3452" w:rsidRDefault="003E1020" w:rsidP="00722D48">
      <w:pPr>
        <w:spacing w:after="0" w:line="252" w:lineRule="auto"/>
        <w:jc w:val="both"/>
        <w:rPr>
          <w:noProof/>
        </w:rPr>
      </w:pPr>
      <w:r>
        <w:rPr>
          <w:rFonts w:ascii="Times New Roman" w:hAnsi="Times New Roman"/>
          <w:noProof/>
          <w:sz w:val="24"/>
        </w:rPr>
        <w:t xml:space="preserve">K provedení těchto a dalších zjištění a osvědčených postupů Komise navrhuje posílit odolnost přístavů prostřednictvím </w:t>
      </w:r>
      <w:r>
        <w:rPr>
          <w:rFonts w:ascii="Times New Roman" w:hAnsi="Times New Roman"/>
          <w:b/>
          <w:noProof/>
          <w:sz w:val="24"/>
        </w:rPr>
        <w:t>evropské aliance přístavů</w:t>
      </w:r>
      <w:r>
        <w:rPr>
          <w:rFonts w:ascii="Times New Roman" w:hAnsi="Times New Roman"/>
          <w:noProof/>
          <w:sz w:val="24"/>
        </w:rPr>
        <w:t>. Bude to vyžadovat mobilizaci celních orgánů jako první linie obrany proti nedovolenému obchodu, lepší spolupráci v oblasti prosazování práva s cílem rozbít zločinecké sítě stojící za obchodem s drogami a vytvoření partnerství veřejného a soukromého sektoru s cílem spojit úsilí v boji proti obchodu s drogami a chránit logistiku, informační technologie, lidské zdroje a operační procesy před pronikáním zločinců.</w:t>
      </w:r>
      <w:r>
        <w:rPr>
          <w:noProof/>
        </w:rPr>
        <w:t xml:space="preserve"> </w:t>
      </w:r>
    </w:p>
    <w:p w14:paraId="77EA1CE7" w14:textId="6B63B12B" w:rsidR="00722D48" w:rsidRPr="00EA4C6E" w:rsidRDefault="00722D48" w:rsidP="00722D48">
      <w:pPr>
        <w:spacing w:after="0" w:line="252" w:lineRule="auto"/>
        <w:jc w:val="both"/>
        <w:rPr>
          <w:noProof/>
        </w:rPr>
      </w:pPr>
    </w:p>
    <w:p w14:paraId="6A90A426" w14:textId="77777777" w:rsidR="00722D48" w:rsidRPr="00EA4C6E" w:rsidRDefault="00722D48" w:rsidP="00722D48">
      <w:pPr>
        <w:spacing w:after="0" w:line="252" w:lineRule="auto"/>
        <w:jc w:val="both"/>
        <w:rPr>
          <w:rFonts w:ascii="Times New Roman" w:hAnsi="Times New Roman"/>
          <w:b/>
          <w:i/>
          <w:noProof/>
          <w:sz w:val="24"/>
        </w:rPr>
      </w:pPr>
    </w:p>
    <w:p w14:paraId="6EAEC359" w14:textId="748D08B1" w:rsidR="00D44C83" w:rsidRPr="002932F0" w:rsidRDefault="00D44C83" w:rsidP="00D44C83">
      <w:pPr>
        <w:spacing w:after="0" w:line="252" w:lineRule="auto"/>
        <w:jc w:val="both"/>
        <w:rPr>
          <w:rFonts w:ascii="Times New Roman" w:hAnsi="Times New Roman"/>
          <w:b/>
          <w:i/>
          <w:noProof/>
          <w:sz w:val="24"/>
        </w:rPr>
      </w:pPr>
      <w:r>
        <w:rPr>
          <w:rFonts w:ascii="Times New Roman" w:hAnsi="Times New Roman"/>
          <w:b/>
          <w:i/>
          <w:noProof/>
          <w:sz w:val="24"/>
        </w:rPr>
        <w:t>Opatření č. 1: Mobilizace celních orgánů v boji proti obchodu s drogami</w:t>
      </w:r>
    </w:p>
    <w:p w14:paraId="418911E3" w14:textId="65CF6720" w:rsidR="00D44C83" w:rsidRPr="002932F0" w:rsidRDefault="00D44C83" w:rsidP="00D44C83">
      <w:pPr>
        <w:spacing w:after="0" w:line="252" w:lineRule="auto"/>
        <w:jc w:val="both"/>
        <w:rPr>
          <w:rFonts w:ascii="Times New Roman" w:hAnsi="Times New Roman"/>
          <w:i/>
          <w:noProof/>
          <w:sz w:val="24"/>
        </w:rPr>
      </w:pPr>
      <w:r>
        <w:rPr>
          <w:rFonts w:ascii="Times New Roman" w:hAnsi="Times New Roman"/>
          <w:i/>
          <w:noProof/>
          <w:sz w:val="24"/>
        </w:rPr>
        <w:t>Hlavní aktéři: Komise, Evropský úřad pro boj proti podvodům, členské státy (zejména celní orgány)</w:t>
      </w:r>
    </w:p>
    <w:p w14:paraId="42800250" w14:textId="77777777" w:rsidR="00D44C83" w:rsidRPr="00EA4C6E" w:rsidRDefault="00D44C83" w:rsidP="00D44C83">
      <w:pPr>
        <w:spacing w:after="0" w:line="252" w:lineRule="auto"/>
        <w:jc w:val="both"/>
        <w:rPr>
          <w:rFonts w:ascii="Times New Roman" w:hAnsi="Times New Roman"/>
          <w:i/>
          <w:noProof/>
          <w:sz w:val="24"/>
        </w:rPr>
      </w:pPr>
    </w:p>
    <w:p w14:paraId="43E59087" w14:textId="02CD9EE0" w:rsidR="00D44C83" w:rsidRPr="002932F0" w:rsidRDefault="00D44C83" w:rsidP="00D44C83">
      <w:pPr>
        <w:spacing w:after="0" w:line="252" w:lineRule="auto"/>
        <w:jc w:val="both"/>
        <w:rPr>
          <w:rFonts w:ascii="Times New Roman" w:hAnsi="Times New Roman"/>
          <w:noProof/>
          <w:sz w:val="24"/>
        </w:rPr>
      </w:pPr>
      <w:r>
        <w:rPr>
          <w:rFonts w:ascii="Times New Roman" w:hAnsi="Times New Roman"/>
          <w:noProof/>
          <w:color w:val="000000" w:themeColor="text1"/>
          <w:sz w:val="24"/>
        </w:rPr>
        <w:t xml:space="preserve">Celní orgány </w:t>
      </w:r>
      <w:r>
        <w:rPr>
          <w:rFonts w:ascii="Times New Roman" w:hAnsi="Times New Roman"/>
          <w:noProof/>
          <w:sz w:val="24"/>
        </w:rPr>
        <w:t xml:space="preserve">členských států </w:t>
      </w:r>
      <w:r>
        <w:rPr>
          <w:rFonts w:ascii="Times New Roman" w:hAnsi="Times New Roman"/>
          <w:noProof/>
          <w:color w:val="000000" w:themeColor="text1"/>
          <w:sz w:val="24"/>
        </w:rPr>
        <w:t>jsou první linií obrany na vnějších hranicích EU, která chrání EU před nedovoleným obchodem, zajišťuje bezpečnost jejích občanů a chrání její finanční zájmy</w:t>
      </w:r>
      <w:r w:rsidRPr="002932F0">
        <w:rPr>
          <w:rStyle w:val="FootnoteReference0"/>
          <w:rFonts w:ascii="Times New Roman" w:hAnsi="Times New Roman"/>
          <w:noProof/>
          <w:sz w:val="24"/>
          <w:lang w:val="en-GB"/>
        </w:rPr>
        <w:footnoteReference w:id="32"/>
      </w:r>
      <w:r>
        <w:rPr>
          <w:rFonts w:ascii="Times New Roman" w:hAnsi="Times New Roman"/>
          <w:noProof/>
          <w:sz w:val="24"/>
        </w:rPr>
        <w:t xml:space="preserve">. V této souvislosti, kdy k </w:t>
      </w:r>
      <w:r>
        <w:rPr>
          <w:rFonts w:ascii="Times New Roman" w:hAnsi="Times New Roman"/>
          <w:b/>
          <w:noProof/>
          <w:sz w:val="24"/>
        </w:rPr>
        <w:t>téměř 70 % všech případů záchytů drog celními orgány dochází v přístavech EU</w:t>
      </w:r>
      <w:r>
        <w:rPr>
          <w:rFonts w:ascii="Times New Roman" w:hAnsi="Times New Roman"/>
          <w:noProof/>
          <w:sz w:val="24"/>
        </w:rPr>
        <w:t xml:space="preserve">, je </w:t>
      </w:r>
      <w:r>
        <w:rPr>
          <w:rFonts w:ascii="Times New Roman" w:hAnsi="Times New Roman"/>
          <w:noProof/>
          <w:color w:val="000000" w:themeColor="text1"/>
          <w:sz w:val="24"/>
        </w:rPr>
        <w:t>nezbytné</w:t>
      </w:r>
      <w:r>
        <w:rPr>
          <w:rFonts w:ascii="Times New Roman" w:hAnsi="Times New Roman"/>
          <w:noProof/>
          <w:sz w:val="24"/>
        </w:rPr>
        <w:t xml:space="preserve"> posílit účinnou spolupráci a kooperaci </w:t>
      </w:r>
      <w:r>
        <w:rPr>
          <w:rFonts w:ascii="Times New Roman" w:hAnsi="Times New Roman"/>
          <w:noProof/>
          <w:color w:val="000000" w:themeColor="text1"/>
          <w:sz w:val="24"/>
        </w:rPr>
        <w:t xml:space="preserve">mezi celními orgány, které musí jednat jednotně, a </w:t>
      </w:r>
      <w:r>
        <w:rPr>
          <w:rFonts w:ascii="Times New Roman" w:hAnsi="Times New Roman"/>
          <w:noProof/>
          <w:sz w:val="24"/>
        </w:rPr>
        <w:t>dalšími zúčastněnými stranami, zejména policejními orgány. V zájmu ochrany hranic EU by celní orgány měly i nadále účinně využívat dostupné politiky a nástroje pro řízení rizik a kontrolu.</w:t>
      </w:r>
    </w:p>
    <w:p w14:paraId="58E6603C" w14:textId="77777777" w:rsidR="00D44C83" w:rsidRPr="00EA4C6E" w:rsidRDefault="00D44C83" w:rsidP="00D44C83">
      <w:pPr>
        <w:spacing w:after="0" w:line="252" w:lineRule="auto"/>
        <w:jc w:val="both"/>
        <w:rPr>
          <w:rFonts w:ascii="Times New Roman" w:hAnsi="Times New Roman"/>
          <w:noProof/>
          <w:sz w:val="24"/>
        </w:rPr>
      </w:pPr>
    </w:p>
    <w:p w14:paraId="1906CBCB" w14:textId="5E293D73" w:rsidR="00D44C83" w:rsidRPr="002932F0" w:rsidRDefault="00D44C83" w:rsidP="00D44C83">
      <w:pPr>
        <w:spacing w:after="0" w:line="252" w:lineRule="auto"/>
        <w:jc w:val="both"/>
        <w:rPr>
          <w:rFonts w:ascii="Times New Roman" w:hAnsi="Times New Roman"/>
          <w:noProof/>
          <w:sz w:val="24"/>
        </w:rPr>
      </w:pPr>
      <w:bookmarkStart w:id="14" w:name="_Hlk147220540"/>
      <w:r>
        <w:rPr>
          <w:rFonts w:ascii="Times New Roman" w:hAnsi="Times New Roman"/>
          <w:noProof/>
          <w:sz w:val="24"/>
        </w:rPr>
        <w:t xml:space="preserve">Proto Komise prostřednictvím Evropské aliance přístavů vytvoří </w:t>
      </w:r>
      <w:r>
        <w:rPr>
          <w:rFonts w:ascii="Times New Roman" w:hAnsi="Times New Roman"/>
          <w:b/>
          <w:noProof/>
          <w:sz w:val="24"/>
        </w:rPr>
        <w:t>rámec</w:t>
      </w:r>
      <w:r>
        <w:rPr>
          <w:rFonts w:ascii="Times New Roman" w:hAnsi="Times New Roman"/>
          <w:noProof/>
          <w:sz w:val="24"/>
        </w:rPr>
        <w:t xml:space="preserve"> financovaný z programu Clo</w:t>
      </w:r>
      <w:r w:rsidR="009650EA" w:rsidRPr="002932F0">
        <w:rPr>
          <w:rStyle w:val="FootnoteReference0"/>
          <w:rFonts w:ascii="Times New Roman" w:hAnsi="Times New Roman"/>
          <w:noProof/>
          <w:sz w:val="24"/>
          <w:lang w:val="en-GB"/>
        </w:rPr>
        <w:footnoteReference w:id="33"/>
      </w:r>
      <w:r>
        <w:rPr>
          <w:rFonts w:ascii="Times New Roman" w:hAnsi="Times New Roman"/>
          <w:noProof/>
          <w:sz w:val="24"/>
        </w:rPr>
        <w:t xml:space="preserve">, </w:t>
      </w:r>
      <w:r>
        <w:rPr>
          <w:rFonts w:ascii="Times New Roman" w:hAnsi="Times New Roman"/>
          <w:b/>
          <w:noProof/>
          <w:sz w:val="24"/>
        </w:rPr>
        <w:t>který usnadní účinné řízení rizik a celní kontroly zaměřené na pašování nelegálních drog a prekursorů drog</w:t>
      </w:r>
      <w:r>
        <w:rPr>
          <w:rFonts w:ascii="Times New Roman" w:hAnsi="Times New Roman"/>
          <w:noProof/>
          <w:sz w:val="24"/>
        </w:rPr>
        <w:t xml:space="preserve">, aby byla zajištěna spolupráce celních orgánů a spolupráce s Komisí. Jako první krok bude vytvořena </w:t>
      </w:r>
      <w:r>
        <w:rPr>
          <w:rFonts w:ascii="Times New Roman" w:hAnsi="Times New Roman"/>
          <w:b/>
          <w:noProof/>
          <w:sz w:val="24"/>
        </w:rPr>
        <w:t>zvláštní projektová skupina</w:t>
      </w:r>
      <w:r>
        <w:rPr>
          <w:rFonts w:ascii="Times New Roman" w:hAnsi="Times New Roman"/>
          <w:noProof/>
          <w:sz w:val="24"/>
        </w:rPr>
        <w:t>, do níž budou zapojeni zástupci celních orgánů členských států na řídící a odborné úrovni. Projektová skupina zmapuje situaci na místě, bude usilovat o společné porozumění a koordinovaný přístup, zjistí nedostatky a slabiny v celním dohledu, vypracuje hodnocení hrozeb a rizik, stanoví společná kritéria zaměření a bude sdílet osvědčené postupy.</w:t>
      </w:r>
    </w:p>
    <w:bookmarkEnd w:id="14"/>
    <w:p w14:paraId="34C4F719" w14:textId="77777777" w:rsidR="00D44C83" w:rsidRPr="00EA4C6E" w:rsidRDefault="00D44C83" w:rsidP="00D44C83">
      <w:pPr>
        <w:spacing w:after="0" w:line="252" w:lineRule="auto"/>
        <w:jc w:val="both"/>
        <w:rPr>
          <w:rFonts w:ascii="Times New Roman" w:hAnsi="Times New Roman"/>
          <w:noProof/>
          <w:sz w:val="24"/>
        </w:rPr>
      </w:pPr>
    </w:p>
    <w:p w14:paraId="03485772" w14:textId="74338495" w:rsidR="00D44C83" w:rsidRPr="002932F0" w:rsidRDefault="00D44C83" w:rsidP="00D44C83">
      <w:pPr>
        <w:spacing w:after="0" w:line="252" w:lineRule="auto"/>
        <w:jc w:val="both"/>
        <w:rPr>
          <w:rFonts w:ascii="Times New Roman" w:hAnsi="Times New Roman"/>
          <w:noProof/>
          <w:sz w:val="24"/>
        </w:rPr>
      </w:pPr>
      <w:bookmarkStart w:id="15" w:name="_Hlk147220591"/>
      <w:r>
        <w:rPr>
          <w:rFonts w:ascii="Times New Roman" w:hAnsi="Times New Roman"/>
          <w:noProof/>
          <w:sz w:val="24"/>
        </w:rPr>
        <w:t xml:space="preserve">Stanovením </w:t>
      </w:r>
      <w:r>
        <w:rPr>
          <w:rFonts w:ascii="Times New Roman" w:hAnsi="Times New Roman"/>
          <w:b/>
          <w:noProof/>
          <w:sz w:val="24"/>
        </w:rPr>
        <w:t>společných rizikových kritérií</w:t>
      </w:r>
      <w:r>
        <w:rPr>
          <w:rFonts w:ascii="Times New Roman" w:hAnsi="Times New Roman"/>
          <w:noProof/>
          <w:sz w:val="24"/>
        </w:rPr>
        <w:t xml:space="preserve"> a </w:t>
      </w:r>
      <w:r>
        <w:rPr>
          <w:rFonts w:ascii="Times New Roman" w:hAnsi="Times New Roman"/>
          <w:b/>
          <w:noProof/>
          <w:sz w:val="24"/>
        </w:rPr>
        <w:t>prioritních celních kontrol</w:t>
      </w:r>
      <w:r>
        <w:rPr>
          <w:rFonts w:ascii="Times New Roman" w:hAnsi="Times New Roman"/>
          <w:noProof/>
          <w:sz w:val="24"/>
        </w:rPr>
        <w:t xml:space="preserve"> na úrovni EU se tak připraví půda pro ještě koordinovanější a účinnější celní kontroly. Komise je navrhne členským státům k provedení, a to při kombinování nástrojů řízení rizik na úrovni EU a na vnitrostátní úrovni. Tyto prioritní kontroly zlepší analýzu v reálném čase, spolupráci a kooperaci mezi členskými státy a poskytnou řešení, která pokryjí slepá místa v přístavech a dodavatelském řetězci. V rámci kontrol bude rovněž testován přístup ke strukturované výměně informací (interoperabilita nebo rámec pro systematickou výměnu dat) na podporu boje proti obchodu s drogami a prekursory.</w:t>
      </w:r>
    </w:p>
    <w:bookmarkEnd w:id="15"/>
    <w:p w14:paraId="094F7055" w14:textId="77777777" w:rsidR="00D44C83" w:rsidRPr="00EA4C6E" w:rsidRDefault="00D44C83" w:rsidP="00D44C83">
      <w:pPr>
        <w:spacing w:after="0" w:line="252" w:lineRule="auto"/>
        <w:jc w:val="both"/>
        <w:rPr>
          <w:rFonts w:ascii="Times New Roman" w:hAnsi="Times New Roman"/>
          <w:noProof/>
          <w:sz w:val="24"/>
        </w:rPr>
      </w:pPr>
    </w:p>
    <w:p w14:paraId="713FECE3" w14:textId="4B3FE9D5" w:rsidR="000C2435" w:rsidRPr="002932F0" w:rsidRDefault="00D44C83" w:rsidP="000C2435">
      <w:pPr>
        <w:spacing w:after="0" w:line="252" w:lineRule="auto"/>
        <w:jc w:val="both"/>
        <w:rPr>
          <w:rFonts w:ascii="Times New Roman" w:hAnsi="Times New Roman"/>
          <w:noProof/>
          <w:sz w:val="24"/>
        </w:rPr>
      </w:pPr>
      <w:r>
        <w:rPr>
          <w:rFonts w:ascii="Times New Roman" w:hAnsi="Times New Roman"/>
          <w:noProof/>
          <w:sz w:val="24"/>
        </w:rPr>
        <w:t xml:space="preserve">V návaznosti na toto opatření zřídí Komise od poloviny roku 2024 v rámci programu Clo </w:t>
      </w:r>
      <w:r>
        <w:rPr>
          <w:rFonts w:ascii="Times New Roman" w:hAnsi="Times New Roman"/>
          <w:b/>
          <w:noProof/>
          <w:sz w:val="24"/>
        </w:rPr>
        <w:t>nový tým odborníků</w:t>
      </w:r>
      <w:r>
        <w:rPr>
          <w:rFonts w:ascii="Times New Roman" w:hAnsi="Times New Roman"/>
          <w:noProof/>
          <w:sz w:val="24"/>
        </w:rPr>
        <w:t>. Tento tým bude mít k dispozici vyhrazený rozpočet a zdroje a bude vycházet z metodiky a úspěchu jednoho z nejvýkonnějších a nejoperativnějších expertních týmů</w:t>
      </w:r>
      <w:r w:rsidR="00FB4875" w:rsidRPr="002932F0">
        <w:rPr>
          <w:rStyle w:val="FootnoteReference0"/>
          <w:rFonts w:ascii="Times New Roman" w:hAnsi="Times New Roman"/>
          <w:noProof/>
          <w:sz w:val="24"/>
          <w:lang w:val="en-GB"/>
        </w:rPr>
        <w:footnoteReference w:id="34"/>
      </w:r>
      <w:r>
        <w:rPr>
          <w:rFonts w:ascii="Times New Roman" w:hAnsi="Times New Roman"/>
          <w:noProof/>
          <w:sz w:val="24"/>
        </w:rPr>
        <w:t>. Přeměna projektové skupiny na tento nový tým odborníků zajistí, aby byla koordinovaná činnost celních orgánů pružnější, a to jak tematicky, tak geograficky. Bude založena na lepší operativní spolupráci, a to nejen v přístavech, ale i na ostatních hranicích (pozemních, vzdušných). Je tomu tak proto, že účinný přístup k boji proti obchodu s drogami vyžaduje nasazení koordinovaných opatření EU zahrnujících všechny druhy přepravy.</w:t>
      </w:r>
      <w:r>
        <w:rPr>
          <w:noProof/>
        </w:rPr>
        <w:t xml:space="preserve"> </w:t>
      </w:r>
      <w:r>
        <w:rPr>
          <w:rFonts w:ascii="Times New Roman" w:hAnsi="Times New Roman"/>
          <w:noProof/>
          <w:sz w:val="24"/>
        </w:rPr>
        <w:t>Tento přístup by rovněž přispěl k účinnější operační spolupráci s třetími zeměmi a dalšími donucovacími orgány.</w:t>
      </w:r>
    </w:p>
    <w:p w14:paraId="3EAE0FBC" w14:textId="77777777" w:rsidR="000C2435" w:rsidRPr="00EA4C6E" w:rsidRDefault="000C2435" w:rsidP="000C2435">
      <w:pPr>
        <w:spacing w:after="0" w:line="252" w:lineRule="auto"/>
        <w:jc w:val="both"/>
        <w:rPr>
          <w:rFonts w:ascii="Times New Roman" w:hAnsi="Times New Roman"/>
          <w:noProof/>
          <w:sz w:val="24"/>
        </w:rPr>
      </w:pPr>
    </w:p>
    <w:p w14:paraId="369E6D00" w14:textId="11A5E33A" w:rsidR="00D44C83" w:rsidRDefault="00D44C83" w:rsidP="00D44C83">
      <w:pPr>
        <w:spacing w:after="0" w:line="252" w:lineRule="auto"/>
        <w:jc w:val="both"/>
        <w:rPr>
          <w:rFonts w:ascii="Times New Roman" w:hAnsi="Times New Roman"/>
          <w:noProof/>
          <w:sz w:val="24"/>
        </w:rPr>
      </w:pPr>
      <w:r>
        <w:rPr>
          <w:rFonts w:ascii="Times New Roman" w:hAnsi="Times New Roman"/>
          <w:b/>
          <w:noProof/>
          <w:sz w:val="24"/>
        </w:rPr>
        <w:t>Od roku 2024</w:t>
      </w:r>
      <w:r>
        <w:rPr>
          <w:rFonts w:ascii="Times New Roman" w:hAnsi="Times New Roman"/>
          <w:noProof/>
          <w:sz w:val="24"/>
        </w:rPr>
        <w:t xml:space="preserve"> navíc Komise využije k podpoře této priority EU </w:t>
      </w:r>
      <w:r>
        <w:rPr>
          <w:rFonts w:ascii="Times New Roman" w:hAnsi="Times New Roman"/>
          <w:b/>
          <w:noProof/>
          <w:sz w:val="24"/>
        </w:rPr>
        <w:t>program Nástroj pro finanční podporu vybavení pro celní kontroly (CCEI)</w:t>
      </w:r>
      <w:r w:rsidRPr="002932F0">
        <w:rPr>
          <w:rStyle w:val="FootnoteReference0"/>
          <w:rFonts w:ascii="Times New Roman" w:hAnsi="Times New Roman"/>
          <w:b/>
          <w:noProof/>
          <w:sz w:val="24"/>
          <w:lang w:val="en-GB"/>
        </w:rPr>
        <w:footnoteReference w:id="35"/>
      </w:r>
      <w:r>
        <w:rPr>
          <w:rFonts w:ascii="Times New Roman" w:hAnsi="Times New Roman"/>
          <w:noProof/>
          <w:sz w:val="24"/>
        </w:rPr>
        <w:t xml:space="preserve">, v jehož rámci vyčlení </w:t>
      </w:r>
      <w:r>
        <w:rPr>
          <w:rFonts w:ascii="Times New Roman" w:hAnsi="Times New Roman"/>
          <w:b/>
          <w:noProof/>
          <w:sz w:val="24"/>
        </w:rPr>
        <w:t>více než</w:t>
      </w:r>
      <w:r>
        <w:rPr>
          <w:rFonts w:ascii="Times New Roman" w:hAnsi="Times New Roman"/>
          <w:noProof/>
          <w:sz w:val="24"/>
        </w:rPr>
        <w:t> </w:t>
      </w:r>
      <w:r>
        <w:rPr>
          <w:rFonts w:ascii="Times New Roman" w:hAnsi="Times New Roman"/>
          <w:b/>
          <w:noProof/>
          <w:sz w:val="24"/>
        </w:rPr>
        <w:t>200 milionů EUR</w:t>
      </w:r>
      <w:r>
        <w:rPr>
          <w:rFonts w:ascii="Times New Roman" w:hAnsi="Times New Roman"/>
          <w:noProof/>
          <w:sz w:val="24"/>
        </w:rPr>
        <w:t xml:space="preserve"> na financování nejmodernějšího vybavení, které může celním orgánům pomoci při skenování kontejnerů a dalších dopravních prostředků, čímž se zvýší účinnost řízení rizik a celních kontrol souvisejících s nedovolenými drogami a prekursory drog. Zahrnuje to i podporu celních laboratoří, které rovněž dostanou vybavení pro analýzu drog a řešení rostoucích problémů s prekursory na zakázku.</w:t>
      </w:r>
    </w:p>
    <w:p w14:paraId="240AD2A2" w14:textId="77777777" w:rsidR="004501C2" w:rsidRPr="00EA4C6E" w:rsidRDefault="004501C2" w:rsidP="00D44C83">
      <w:pPr>
        <w:spacing w:after="0" w:line="252" w:lineRule="auto"/>
        <w:jc w:val="both"/>
        <w:rPr>
          <w:rFonts w:ascii="Times New Roman" w:hAnsi="Times New Roman"/>
          <w:noProof/>
          <w:sz w:val="24"/>
        </w:rPr>
      </w:pPr>
    </w:p>
    <w:p w14:paraId="49A752DC" w14:textId="77777777" w:rsidR="00B12788" w:rsidRPr="00EA4C6E" w:rsidRDefault="00B12788" w:rsidP="005B4A60">
      <w:pPr>
        <w:spacing w:after="0" w:line="252" w:lineRule="auto"/>
        <w:jc w:val="both"/>
        <w:rPr>
          <w:rFonts w:ascii="Times New Roman" w:hAnsi="Times New Roman"/>
          <w:noProof/>
          <w:sz w:val="24"/>
        </w:rPr>
      </w:pPr>
    </w:p>
    <w:p w14:paraId="42908428" w14:textId="09844B97" w:rsidR="00536891" w:rsidRPr="002932F0" w:rsidRDefault="005316EB" w:rsidP="005B4A60">
      <w:pPr>
        <w:spacing w:after="0" w:line="252" w:lineRule="auto"/>
        <w:jc w:val="both"/>
        <w:rPr>
          <w:rFonts w:ascii="Times New Roman" w:hAnsi="Times New Roman"/>
          <w:b/>
          <w:i/>
          <w:noProof/>
          <w:sz w:val="24"/>
        </w:rPr>
      </w:pPr>
      <w:r>
        <w:rPr>
          <w:rFonts w:ascii="Times New Roman" w:hAnsi="Times New Roman"/>
          <w:b/>
          <w:i/>
          <w:noProof/>
          <w:sz w:val="24"/>
        </w:rPr>
        <w:t>Opatření č. 2: Posílení operací donucovacích orgánů v přístavech</w:t>
      </w:r>
    </w:p>
    <w:p w14:paraId="2CE6B615" w14:textId="472BC573" w:rsidR="00536891" w:rsidRPr="002932F0" w:rsidRDefault="00536891" w:rsidP="005B4A60">
      <w:pPr>
        <w:spacing w:after="0" w:line="252" w:lineRule="auto"/>
        <w:jc w:val="both"/>
        <w:rPr>
          <w:rFonts w:ascii="Times New Roman" w:hAnsi="Times New Roman"/>
          <w:i/>
          <w:noProof/>
          <w:sz w:val="24"/>
        </w:rPr>
      </w:pPr>
      <w:r>
        <w:rPr>
          <w:rFonts w:ascii="Times New Roman" w:hAnsi="Times New Roman"/>
          <w:i/>
          <w:noProof/>
          <w:sz w:val="24"/>
        </w:rPr>
        <w:t>Hlavní aktéři: Členské státy, Komise, Evropský úřad pro boj proti podvodům, Europol, Eurojust, Úřad evropského veřejného žalobce</w:t>
      </w:r>
    </w:p>
    <w:p w14:paraId="141849DF" w14:textId="6DE0CF8A" w:rsidR="00344E2D" w:rsidRPr="00EA4C6E" w:rsidRDefault="00344E2D" w:rsidP="005B4A60">
      <w:pPr>
        <w:spacing w:after="0" w:line="252" w:lineRule="auto"/>
        <w:jc w:val="both"/>
        <w:rPr>
          <w:rFonts w:ascii="Times New Roman" w:hAnsi="Times New Roman"/>
          <w:noProof/>
          <w:sz w:val="24"/>
        </w:rPr>
      </w:pPr>
    </w:p>
    <w:p w14:paraId="15B8900C" w14:textId="2554BC16" w:rsidR="00344E2D" w:rsidRPr="002932F0" w:rsidRDefault="00344E2D" w:rsidP="00344E2D">
      <w:pPr>
        <w:spacing w:after="0" w:line="252" w:lineRule="auto"/>
        <w:jc w:val="both"/>
        <w:rPr>
          <w:rFonts w:ascii="Times New Roman" w:hAnsi="Times New Roman"/>
          <w:noProof/>
          <w:sz w:val="24"/>
        </w:rPr>
      </w:pPr>
      <w:r>
        <w:rPr>
          <w:rFonts w:ascii="Times New Roman" w:hAnsi="Times New Roman"/>
          <w:noProof/>
          <w:sz w:val="24"/>
        </w:rPr>
        <w:t xml:space="preserve">Úspěšný přístup k obchodu s drogami nekončí u logistických uzlů ani u žádné jiné části dodavatelského řetězce drog. Vzhledem k tomu, že EU společně zvyšuje svou účinnost při včasném odhalování nelegálních drog, je nezbytné </w:t>
      </w:r>
      <w:r>
        <w:rPr>
          <w:rFonts w:ascii="Times New Roman" w:hAnsi="Times New Roman"/>
          <w:b/>
          <w:noProof/>
          <w:sz w:val="24"/>
        </w:rPr>
        <w:t>zajistit, aby byl obchod s drogami důkladně vyšetřován a stíhán, aby bylo jasné, že se tento trestný čin nevyplácí.</w:t>
      </w:r>
      <w:r>
        <w:rPr>
          <w:rFonts w:ascii="Times New Roman" w:hAnsi="Times New Roman"/>
          <w:noProof/>
          <w:sz w:val="24"/>
        </w:rPr>
        <w:t xml:space="preserve"> Toho lze dosáhnout tak, že se půjde po pachatelích a sítích, jichž jsou součástí. Pro vyšetřování zločineckých sítí, které stojí za zabavenými drogami, je zásadní koordinované vymáhání práva. V některých případech se například policejní orgány mohou rozhodnout kontejnery v koordinaci s celními orgány sledovat, místo aby obsah okamžitě zabavily. Další možností je zahájit digitální vyšetřování s cílem odhalit možné zneužití softwarových kontrolních systémů používaných v přístavech. Kromě toho mohou donucovací orgány vyšetřovat obvinění z korupce, a to i tak, že budou fungovat jako kontaktní místo pro oznamovatele.</w:t>
      </w:r>
    </w:p>
    <w:p w14:paraId="4B965519" w14:textId="77777777" w:rsidR="00DC3B9A" w:rsidRPr="00EA4C6E" w:rsidRDefault="00DC3B9A" w:rsidP="00344E2D">
      <w:pPr>
        <w:spacing w:after="0" w:line="252" w:lineRule="auto"/>
        <w:jc w:val="both"/>
        <w:rPr>
          <w:rFonts w:ascii="Times New Roman" w:hAnsi="Times New Roman"/>
          <w:noProof/>
          <w:sz w:val="24"/>
        </w:rPr>
      </w:pPr>
    </w:p>
    <w:p w14:paraId="33B04A90" w14:textId="5B4CED9A" w:rsidR="008814DA" w:rsidRPr="002932F0" w:rsidRDefault="008814DA" w:rsidP="008814DA">
      <w:pPr>
        <w:spacing w:after="0" w:line="252" w:lineRule="auto"/>
        <w:jc w:val="both"/>
        <w:rPr>
          <w:rFonts w:ascii="Times New Roman" w:hAnsi="Times New Roman"/>
          <w:noProof/>
          <w:sz w:val="24"/>
        </w:rPr>
      </w:pPr>
      <w:r>
        <w:rPr>
          <w:rFonts w:ascii="Times New Roman" w:hAnsi="Times New Roman"/>
          <w:noProof/>
          <w:sz w:val="24"/>
        </w:rPr>
        <w:t xml:space="preserve">Komise bude nadále podporovat </w:t>
      </w:r>
      <w:r>
        <w:rPr>
          <w:rFonts w:ascii="Times New Roman" w:hAnsi="Times New Roman"/>
          <w:b/>
          <w:noProof/>
          <w:sz w:val="24"/>
        </w:rPr>
        <w:t xml:space="preserve">EMPACT </w:t>
      </w:r>
      <w:r>
        <w:rPr>
          <w:rFonts w:ascii="Times New Roman" w:hAnsi="Times New Roman"/>
          <w:noProof/>
          <w:sz w:val="24"/>
        </w:rPr>
        <w:t>a její operace jako platformu pro komplexní přístup k problematice obchodu s drogami. Komise bude rovněž dále podporovat spolupráci v rámci platformy EMPACT, která je jedním z hlavních katalyzátorů rozvoje evropské aliance přístavů.</w:t>
      </w:r>
    </w:p>
    <w:p w14:paraId="6F81DC42" w14:textId="63EBB2CE" w:rsidR="00EC58FD" w:rsidRPr="00EA4C6E" w:rsidRDefault="00EC58FD" w:rsidP="008814DA">
      <w:pPr>
        <w:spacing w:after="0" w:line="252" w:lineRule="auto"/>
        <w:jc w:val="both"/>
        <w:rPr>
          <w:rFonts w:ascii="Times New Roman" w:hAnsi="Times New Roman"/>
          <w:noProof/>
          <w:sz w:val="24"/>
        </w:rPr>
      </w:pPr>
    </w:p>
    <w:p w14:paraId="64377927" w14:textId="782C47D3" w:rsidR="00EC58FD" w:rsidRPr="002932F0" w:rsidRDefault="00936744" w:rsidP="008814DA">
      <w:pPr>
        <w:spacing w:after="0" w:line="252" w:lineRule="auto"/>
        <w:jc w:val="both"/>
        <w:rPr>
          <w:rFonts w:ascii="Times New Roman" w:hAnsi="Times New Roman"/>
          <w:noProof/>
          <w:sz w:val="24"/>
        </w:rPr>
      </w:pPr>
      <w:r>
        <w:rPr>
          <w:rFonts w:ascii="Times New Roman" w:hAnsi="Times New Roman"/>
          <w:noProof/>
          <w:sz w:val="24"/>
        </w:rPr>
        <w:t xml:space="preserve">V rámci platformy EMPACT existují dvě operační priority, v nichž policie a celní orgány spolupracují v boji proti obchodu s drogami: </w:t>
      </w:r>
      <w:r>
        <w:rPr>
          <w:rFonts w:ascii="Times New Roman" w:hAnsi="Times New Roman"/>
          <w:b/>
          <w:noProof/>
          <w:sz w:val="24"/>
        </w:rPr>
        <w:t>konopím, kokainem a heroinem (CCH) a syntetickými drogami a novými psychoaktivními látkami (SYN–NPS).</w:t>
      </w:r>
      <w:r>
        <w:rPr>
          <w:rFonts w:ascii="Times New Roman" w:hAnsi="Times New Roman"/>
          <w:noProof/>
          <w:sz w:val="24"/>
        </w:rPr>
        <w:t xml:space="preserve"> Zde donucovací orgány pokračují ve vyšetřování a sdílení zpravodajských informací o výrobě a odhalování drog, trasách obchodu s drogami a metodách sítí obchodníků s drogami, které lze operativně využít při tvorbě kritérií zaměření a rizikových profilů. Opatření zahrnují strukturovanější a systematičtější sdílení příslušných informací o rizicích, posílení strategického a taktického zpravodajského obrazu o zneužívání legálních obchodních struktur, odhalování a likvidaci nelegálních laboratoří zapojených do výroby a vývozu syntetických drog a nových psychoaktivních látek a provádění specifických přeshraničních operací zaměřených na pohyb kokainu, konopí, heroinu, syntetických drog a nových psychoaktivních látek. Vzhledem ke globální povaze obchodu s drogami Komise u těchto dvou priorit koordinuje, povzbuzuje a podporuje mezinárodní účast. V současné době je do priority CCH zapojeno osmnáct zemí mimo EU a do priority SYN-NPS třináct zemí. V letech 2024–2025 Komise posílí spolupráci poskytnutím </w:t>
      </w:r>
      <w:r>
        <w:rPr>
          <w:rFonts w:ascii="Times New Roman" w:hAnsi="Times New Roman"/>
          <w:b/>
          <w:noProof/>
          <w:sz w:val="24"/>
        </w:rPr>
        <w:t>další podpory na větší integraci zemí mimo EU</w:t>
      </w:r>
      <w:r>
        <w:rPr>
          <w:rFonts w:ascii="Times New Roman" w:hAnsi="Times New Roman"/>
          <w:noProof/>
          <w:sz w:val="24"/>
        </w:rPr>
        <w:t xml:space="preserve"> do těchto dvou priorit.</w:t>
      </w:r>
      <w:r>
        <w:rPr>
          <w:noProof/>
        </w:rPr>
        <w:t xml:space="preserve"> </w:t>
      </w:r>
      <w:r>
        <w:rPr>
          <w:rFonts w:ascii="Times New Roman" w:hAnsi="Times New Roman"/>
          <w:noProof/>
          <w:sz w:val="24"/>
        </w:rPr>
        <w:t>Nezbytné bude aktivní zapojení celních orgánů členských států i třetích zemí.</w:t>
      </w:r>
    </w:p>
    <w:p w14:paraId="2F1A4F43" w14:textId="77777777" w:rsidR="00E4337D" w:rsidRPr="00EA4C6E" w:rsidRDefault="00E4337D" w:rsidP="008814DA">
      <w:pPr>
        <w:spacing w:after="0" w:line="252" w:lineRule="auto"/>
        <w:jc w:val="both"/>
        <w:rPr>
          <w:rFonts w:ascii="Times New Roman" w:hAnsi="Times New Roman"/>
          <w:noProof/>
          <w:sz w:val="24"/>
        </w:rPr>
      </w:pPr>
    </w:p>
    <w:p w14:paraId="0C9E55AF" w14:textId="17B5E20B" w:rsidR="00666143" w:rsidRDefault="00E4337D" w:rsidP="00666143">
      <w:pPr>
        <w:spacing w:after="0" w:line="252" w:lineRule="auto"/>
        <w:jc w:val="both"/>
        <w:rPr>
          <w:rFonts w:ascii="Times New Roman" w:hAnsi="Times New Roman" w:cs="Times New Roman"/>
          <w:noProof/>
          <w:sz w:val="24"/>
          <w:szCs w:val="24"/>
        </w:rPr>
      </w:pPr>
      <w:r>
        <w:rPr>
          <w:rFonts w:ascii="Times New Roman" w:hAnsi="Times New Roman"/>
          <w:noProof/>
          <w:sz w:val="24"/>
        </w:rPr>
        <w:t>Komise bude rovněž nadále podporovat a rozvíjet dvě sítě laboratoří (</w:t>
      </w:r>
      <w:r>
        <w:rPr>
          <w:rFonts w:ascii="Times New Roman" w:hAnsi="Times New Roman"/>
          <w:b/>
          <w:noProof/>
          <w:sz w:val="24"/>
        </w:rPr>
        <w:t>Evropskou síť celních laboratoří</w:t>
      </w:r>
      <w:r>
        <w:rPr>
          <w:rFonts w:ascii="Times New Roman" w:hAnsi="Times New Roman"/>
          <w:noProof/>
          <w:sz w:val="24"/>
        </w:rPr>
        <w:t xml:space="preserve"> a </w:t>
      </w:r>
      <w:r>
        <w:rPr>
          <w:rFonts w:ascii="Times New Roman" w:hAnsi="Times New Roman"/>
          <w:b/>
          <w:noProof/>
          <w:sz w:val="24"/>
        </w:rPr>
        <w:t>Evropskou síť forenzních institucí</w:t>
      </w:r>
      <w:r>
        <w:rPr>
          <w:rFonts w:ascii="Times New Roman" w:hAnsi="Times New Roman"/>
          <w:noProof/>
          <w:sz w:val="24"/>
        </w:rPr>
        <w:t>). Tyto laboratoře pomáhají policii a celním orgánům při vyšetřování a kontrolách a budou podporovat rozšíření spolupráce laboratoří s donucovacími orgány. Technologie pocházející z projektů EU v rámci programu Horizont 2020 navíc poskytují donucovacím orgánům nové možnosti pro účinnější odhalování nelegálních drog a prekursorů na hranicích</w:t>
      </w:r>
      <w:r w:rsidR="00666143" w:rsidRPr="002932F0">
        <w:rPr>
          <w:rStyle w:val="FootnoteReference0"/>
          <w:rFonts w:ascii="Times New Roman" w:hAnsi="Times New Roman" w:cs="Times New Roman"/>
          <w:noProof/>
          <w:sz w:val="24"/>
          <w:szCs w:val="24"/>
          <w:lang w:val="en-GB"/>
        </w:rPr>
        <w:footnoteReference w:id="36"/>
      </w:r>
      <w:r>
        <w:rPr>
          <w:rFonts w:ascii="Times New Roman" w:hAnsi="Times New Roman"/>
          <w:noProof/>
          <w:sz w:val="24"/>
        </w:rPr>
        <w:t xml:space="preserve">. </w:t>
      </w:r>
    </w:p>
    <w:p w14:paraId="37AD6EE7" w14:textId="77777777" w:rsidR="004501C2" w:rsidRPr="00EA4C6E" w:rsidRDefault="004501C2" w:rsidP="00666143">
      <w:pPr>
        <w:spacing w:after="0" w:line="252" w:lineRule="auto"/>
        <w:jc w:val="both"/>
        <w:rPr>
          <w:rFonts w:ascii="Times New Roman" w:hAnsi="Times New Roman" w:cs="Times New Roman"/>
          <w:noProof/>
          <w:sz w:val="24"/>
          <w:szCs w:val="24"/>
        </w:rPr>
      </w:pPr>
    </w:p>
    <w:p w14:paraId="3F4DA5FA" w14:textId="3149DE50" w:rsidR="00E4337D" w:rsidRPr="00EA4C6E" w:rsidRDefault="00E4337D" w:rsidP="00E4337D">
      <w:pPr>
        <w:spacing w:after="0" w:line="252" w:lineRule="auto"/>
        <w:jc w:val="both"/>
        <w:rPr>
          <w:rFonts w:ascii="Times New Roman" w:hAnsi="Times New Roman"/>
          <w:noProof/>
          <w:sz w:val="24"/>
        </w:rPr>
      </w:pPr>
    </w:p>
    <w:p w14:paraId="64BC1B78" w14:textId="708F975C" w:rsidR="00952345" w:rsidRPr="002932F0" w:rsidRDefault="00952345" w:rsidP="00952345">
      <w:pPr>
        <w:spacing w:after="0" w:line="252" w:lineRule="auto"/>
        <w:jc w:val="both"/>
        <w:rPr>
          <w:rFonts w:ascii="Times New Roman" w:hAnsi="Times New Roman"/>
          <w:b/>
          <w:i/>
          <w:noProof/>
          <w:sz w:val="24"/>
        </w:rPr>
      </w:pPr>
      <w:r>
        <w:rPr>
          <w:rFonts w:ascii="Times New Roman" w:hAnsi="Times New Roman"/>
          <w:b/>
          <w:i/>
          <w:noProof/>
          <w:sz w:val="24"/>
        </w:rPr>
        <w:t>Opatření č. 3: Partnerství veřejného a soukromého sektoru v boji proti pašování drog a pronikání trestné činnosti</w:t>
      </w:r>
    </w:p>
    <w:p w14:paraId="1F76AB41" w14:textId="79646614" w:rsidR="00952345" w:rsidRPr="002932F0" w:rsidRDefault="00952345" w:rsidP="00952345">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 EMCDDA, zúčastněné strany z veřejného a soukromého sektoru</w:t>
      </w:r>
    </w:p>
    <w:p w14:paraId="26949C3B" w14:textId="77777777" w:rsidR="00952345" w:rsidRPr="00EA4C6E" w:rsidRDefault="00952345" w:rsidP="00952345">
      <w:pPr>
        <w:spacing w:after="0" w:line="252" w:lineRule="auto"/>
        <w:jc w:val="both"/>
        <w:rPr>
          <w:rFonts w:ascii="Times New Roman" w:hAnsi="Times New Roman"/>
          <w:b/>
          <w:noProof/>
          <w:sz w:val="24"/>
        </w:rPr>
      </w:pPr>
    </w:p>
    <w:p w14:paraId="2E3A3F14" w14:textId="5915C595" w:rsidR="00952345" w:rsidRPr="002932F0" w:rsidRDefault="00952345" w:rsidP="00952345">
      <w:pPr>
        <w:spacing w:after="0" w:line="252" w:lineRule="auto"/>
        <w:jc w:val="both"/>
        <w:rPr>
          <w:rFonts w:ascii="Times New Roman" w:hAnsi="Times New Roman"/>
          <w:noProof/>
          <w:sz w:val="24"/>
        </w:rPr>
      </w:pPr>
      <w:r>
        <w:rPr>
          <w:rFonts w:ascii="Times New Roman" w:hAnsi="Times New Roman"/>
          <w:noProof/>
          <w:sz w:val="24"/>
        </w:rPr>
        <w:t xml:space="preserve">Při ochraně </w:t>
      </w:r>
      <w:r>
        <w:rPr>
          <w:rFonts w:ascii="Times New Roman" w:hAnsi="Times New Roman"/>
          <w:b/>
          <w:noProof/>
          <w:sz w:val="24"/>
        </w:rPr>
        <w:t>bezpečnosti</w:t>
      </w:r>
      <w:r>
        <w:rPr>
          <w:rFonts w:ascii="Times New Roman" w:hAnsi="Times New Roman"/>
          <w:noProof/>
          <w:sz w:val="24"/>
        </w:rPr>
        <w:t xml:space="preserve"> </w:t>
      </w:r>
      <w:r>
        <w:rPr>
          <w:rFonts w:ascii="Times New Roman" w:hAnsi="Times New Roman"/>
          <w:b/>
          <w:noProof/>
          <w:sz w:val="24"/>
        </w:rPr>
        <w:t>přístavů</w:t>
      </w:r>
      <w:r>
        <w:rPr>
          <w:rFonts w:ascii="Times New Roman" w:hAnsi="Times New Roman"/>
          <w:noProof/>
          <w:sz w:val="24"/>
        </w:rPr>
        <w:t xml:space="preserve"> hraje zásadní roli mnoho veřejných i soukromých subjektů, od </w:t>
      </w:r>
      <w:r>
        <w:rPr>
          <w:rFonts w:ascii="Times New Roman" w:hAnsi="Times New Roman"/>
          <w:b/>
          <w:noProof/>
          <w:sz w:val="24"/>
        </w:rPr>
        <w:t>přístavních orgánů po rejdařské společnosti a další poskytovatele služeb</w:t>
      </w:r>
      <w:r>
        <w:rPr>
          <w:rFonts w:ascii="Times New Roman" w:hAnsi="Times New Roman"/>
          <w:noProof/>
          <w:sz w:val="24"/>
        </w:rPr>
        <w:t>. Jsou prvním kontaktním místem v boji proti pašování drog a pronikání trestné činnosti. Je to proto, že</w:t>
      </w:r>
      <w:r>
        <w:rPr>
          <w:noProof/>
        </w:rPr>
        <w:t xml:space="preserve"> </w:t>
      </w:r>
      <w:r>
        <w:rPr>
          <w:rFonts w:ascii="Times New Roman" w:hAnsi="Times New Roman"/>
          <w:noProof/>
          <w:sz w:val="24"/>
        </w:rPr>
        <w:t>využívají procesy, systémy a zařízení, které by mohly pomoci identifikovat vnitřní hrozby v celém námořním dodavatelském řetězci, od lokalizace původu zásilek přes tranzitní a překládací uzly až po místo určení. Přístavní orgány a soukromé rejdařské společnosti si musí být vědomy své úlohy v boji proti obchodu s drogami a pronikání trestné činnosti. Měly by mít k dispozici potřebné nástroje ke sledování kontejnerů a k zabezpečení přístavních oblastí pomocí kamer, senzorů a skenerů. Měly by mít také prostředky k řádnému prověřování svých zaměstnanců, aby se zabránilo pokusům o korupci ze strany zločineckých sítí.</w:t>
      </w:r>
    </w:p>
    <w:p w14:paraId="0B92AC39" w14:textId="77777777" w:rsidR="00952345" w:rsidRPr="00EA4C6E" w:rsidRDefault="00952345" w:rsidP="00952345">
      <w:pPr>
        <w:spacing w:after="0" w:line="252" w:lineRule="auto"/>
        <w:jc w:val="both"/>
        <w:rPr>
          <w:rFonts w:ascii="Times New Roman" w:hAnsi="Times New Roman"/>
          <w:noProof/>
          <w:sz w:val="24"/>
        </w:rPr>
      </w:pPr>
    </w:p>
    <w:p w14:paraId="14E5C4E7" w14:textId="12E1A8C8" w:rsidR="00952345" w:rsidRPr="002932F0" w:rsidRDefault="00952345" w:rsidP="00952345">
      <w:pPr>
        <w:spacing w:after="0" w:line="252" w:lineRule="auto"/>
        <w:jc w:val="both"/>
        <w:rPr>
          <w:rFonts w:ascii="Times New Roman" w:hAnsi="Times New Roman"/>
          <w:noProof/>
          <w:sz w:val="24"/>
        </w:rPr>
      </w:pPr>
      <w:r>
        <w:rPr>
          <w:rFonts w:ascii="Times New Roman" w:hAnsi="Times New Roman"/>
          <w:noProof/>
          <w:sz w:val="24"/>
        </w:rPr>
        <w:t xml:space="preserve">Samy to však nezvládnou. Aby EU zabránila obchodu s drogami a pronikání trestné činnosti, musí spojit své síly. Spojení </w:t>
      </w:r>
      <w:r>
        <w:rPr>
          <w:rFonts w:ascii="Times New Roman" w:hAnsi="Times New Roman"/>
          <w:b/>
          <w:noProof/>
          <w:sz w:val="24"/>
        </w:rPr>
        <w:t>soukromého sektoru a donucovacích orgánů</w:t>
      </w:r>
      <w:r>
        <w:rPr>
          <w:rFonts w:ascii="Times New Roman" w:hAnsi="Times New Roman"/>
          <w:noProof/>
          <w:sz w:val="24"/>
        </w:rPr>
        <w:t xml:space="preserve"> může přispět k nalezení a zavedení operačních a konkrétních řešení, která zabrání pronikání zločineckých sítí do přístavů EU a jejich využívání k obchodu s drogami. V této souvislosti se Komise zasazuje o úplné a důkladné provádění a prosazování příslušných právních předpisů EU</w:t>
      </w:r>
      <w:r w:rsidR="00D64014" w:rsidRPr="002932F0">
        <w:rPr>
          <w:rStyle w:val="FootnoteReference0"/>
          <w:rFonts w:ascii="Times New Roman" w:hAnsi="Times New Roman"/>
          <w:noProof/>
          <w:sz w:val="24"/>
          <w:lang w:val="en-GB"/>
        </w:rPr>
        <w:footnoteReference w:id="37"/>
      </w:r>
      <w:r>
        <w:rPr>
          <w:rFonts w:ascii="Times New Roman" w:hAnsi="Times New Roman"/>
          <w:noProof/>
          <w:sz w:val="24"/>
        </w:rPr>
        <w:t xml:space="preserve"> (včetně bezpečnostního prověřování nebo ověřování spolehlivosti klíčových zaměstnanců).</w:t>
      </w:r>
    </w:p>
    <w:p w14:paraId="4DBF7C40" w14:textId="77777777" w:rsidR="00952345" w:rsidRPr="00EA4C6E" w:rsidRDefault="00952345" w:rsidP="00952345">
      <w:pPr>
        <w:spacing w:after="0" w:line="252" w:lineRule="auto"/>
        <w:jc w:val="both"/>
        <w:rPr>
          <w:rFonts w:ascii="Times New Roman" w:hAnsi="Times New Roman"/>
          <w:noProof/>
          <w:sz w:val="24"/>
        </w:rPr>
      </w:pPr>
    </w:p>
    <w:p w14:paraId="460E9524" w14:textId="6E3EBED5" w:rsidR="00952345" w:rsidRPr="002932F0" w:rsidRDefault="00B15AAC" w:rsidP="00952345">
      <w:pPr>
        <w:spacing w:after="0" w:line="252" w:lineRule="auto"/>
        <w:jc w:val="both"/>
        <w:rPr>
          <w:rFonts w:ascii="Times New Roman" w:hAnsi="Times New Roman"/>
          <w:noProof/>
          <w:sz w:val="24"/>
        </w:rPr>
      </w:pPr>
      <w:r>
        <w:rPr>
          <w:rFonts w:ascii="Times New Roman" w:hAnsi="Times New Roman"/>
          <w:noProof/>
          <w:sz w:val="24"/>
        </w:rPr>
        <w:t xml:space="preserve">V zájmu posílení odolnosti logistických uzlů Komise spojí všechny příslušné veřejné a soukromé subjekty do </w:t>
      </w:r>
      <w:r>
        <w:rPr>
          <w:rFonts w:ascii="Times New Roman" w:hAnsi="Times New Roman"/>
          <w:b/>
          <w:noProof/>
          <w:sz w:val="24"/>
        </w:rPr>
        <w:t>partnerství veřejného a soukromého sektoru</w:t>
      </w:r>
      <w:r>
        <w:rPr>
          <w:rFonts w:ascii="Times New Roman" w:hAnsi="Times New Roman"/>
          <w:noProof/>
          <w:sz w:val="24"/>
        </w:rPr>
        <w:t>: členské státy, místní orgány, donucovací orgány včetně celních orgánů, agentury EU a soukromé hospodářské subjekty v přístavech. Aliance bude vycházet z odborných znalostí a zkušeností veřejného a soukromého sektoru a bude podporovat osvědčené postupy a náležitou péči. Zavede koordinovaná opatření ke zvýšení úsilí v boji proti obchodu s drogami a k ochraně logistických uzlů před pronikáním trestné činnosti. Práce aliance se mimo jiné zaměří na výměnu strategických a operačních informací. Komise bude hledat cesty, jak co nejefektivněji vyměňovat informace mezi členy aliance.</w:t>
      </w:r>
    </w:p>
    <w:bookmarkEnd w:id="12"/>
    <w:p w14:paraId="3D589E98" w14:textId="456D4E9D" w:rsidR="00590704" w:rsidRPr="00EA4C6E" w:rsidRDefault="00590704" w:rsidP="005B4A60">
      <w:pPr>
        <w:spacing w:after="0" w:line="252" w:lineRule="auto"/>
        <w:jc w:val="both"/>
        <w:rPr>
          <w:rFonts w:ascii="Times New Roman" w:hAnsi="Times New Roman"/>
          <w:b/>
          <w:i/>
          <w:noProof/>
          <w:sz w:val="24"/>
        </w:rPr>
      </w:pPr>
    </w:p>
    <w:bookmarkEnd w:id="13"/>
    <w:p w14:paraId="0FBB81C0" w14:textId="0BF1A0F5" w:rsidR="003731AC" w:rsidRPr="002932F0" w:rsidRDefault="001A1883" w:rsidP="00E12D9E">
      <w:pPr>
        <w:pStyle w:val="Style2"/>
        <w:rPr>
          <w:noProof/>
        </w:rPr>
      </w:pPr>
      <w:r>
        <w:rPr>
          <w:noProof/>
        </w:rPr>
        <w:t xml:space="preserve"> Likvidace vysoce rizikových zločineckých sítí</w:t>
      </w:r>
    </w:p>
    <w:p w14:paraId="4DEBBC09" w14:textId="2AD49C19" w:rsidR="00012F48" w:rsidRPr="002932F0" w:rsidRDefault="00012F48" w:rsidP="00012F48">
      <w:pPr>
        <w:spacing w:after="0" w:line="252" w:lineRule="auto"/>
        <w:jc w:val="both"/>
        <w:rPr>
          <w:rFonts w:ascii="Times New Roman" w:hAnsi="Times New Roman"/>
          <w:b/>
          <w:noProof/>
          <w:sz w:val="24"/>
          <w:lang w:val="en-GB"/>
        </w:rPr>
      </w:pPr>
    </w:p>
    <w:p w14:paraId="0E654541" w14:textId="071A9A79" w:rsidR="00283F7E" w:rsidRPr="002932F0" w:rsidRDefault="00143380" w:rsidP="003731AC">
      <w:pPr>
        <w:spacing w:after="0" w:line="252" w:lineRule="auto"/>
        <w:jc w:val="both"/>
        <w:rPr>
          <w:rFonts w:ascii="Times New Roman" w:hAnsi="Times New Roman" w:cs="Times New Roman"/>
          <w:noProof/>
          <w:sz w:val="24"/>
          <w:szCs w:val="24"/>
        </w:rPr>
      </w:pPr>
      <w:r>
        <w:rPr>
          <w:rFonts w:ascii="Times New Roman" w:hAnsi="Times New Roman"/>
          <w:noProof/>
          <w:sz w:val="24"/>
        </w:rPr>
        <w:t>Zločinecké sítě se rychle vyvíjejí, aby dosáhly velkých finančních zisků. Vzhledem k rostoucí složitosti a flexibilitě kriminálního prostředí je vyšetřování organizované trestné činnosti obzvláště náročné, protože jeden člen sítě může být po zadržení snadno nahrazen jiným. Zločinecké sítě navíc používají důmyslné techniky, aby skryly svůj majetek před odhalením. Využívají služeb zprostředkovatelů na vysoké úrovni, kteří provozují paralelní podzemní systémy, jako je hawala, které jsou mimo oficiální finanční systém</w:t>
      </w:r>
      <w:r w:rsidR="006574E8" w:rsidRPr="002932F0">
        <w:rPr>
          <w:rStyle w:val="FootnoteReference0"/>
          <w:rFonts w:ascii="Times New Roman" w:hAnsi="Times New Roman"/>
          <w:noProof/>
          <w:sz w:val="24"/>
          <w:lang w:val="en-GB"/>
        </w:rPr>
        <w:footnoteReference w:id="38"/>
      </w:r>
      <w:r>
        <w:rPr>
          <w:rFonts w:ascii="Times New Roman" w:hAnsi="Times New Roman"/>
          <w:noProof/>
          <w:sz w:val="24"/>
        </w:rPr>
        <w:t xml:space="preserve">. </w:t>
      </w:r>
    </w:p>
    <w:p w14:paraId="31A0056B" w14:textId="77777777" w:rsidR="00817CD5" w:rsidRPr="00EA4C6E" w:rsidRDefault="00817CD5" w:rsidP="003731AC">
      <w:pPr>
        <w:spacing w:after="0" w:line="252" w:lineRule="auto"/>
        <w:jc w:val="both"/>
        <w:rPr>
          <w:rFonts w:ascii="Times New Roman" w:hAnsi="Times New Roman"/>
          <w:noProof/>
          <w:sz w:val="24"/>
        </w:rPr>
      </w:pPr>
    </w:p>
    <w:p w14:paraId="267C4AC0" w14:textId="1FCBD2E8" w:rsidR="00344E2D" w:rsidRDefault="007A460E" w:rsidP="003731AC">
      <w:pPr>
        <w:spacing w:after="0" w:line="252" w:lineRule="auto"/>
        <w:jc w:val="both"/>
        <w:rPr>
          <w:rFonts w:ascii="Times New Roman" w:hAnsi="Times New Roman"/>
          <w:noProof/>
          <w:sz w:val="24"/>
        </w:rPr>
      </w:pPr>
      <w:r>
        <w:rPr>
          <w:rFonts w:ascii="Times New Roman" w:hAnsi="Times New Roman"/>
          <w:noProof/>
          <w:sz w:val="24"/>
        </w:rPr>
        <w:t xml:space="preserve">Jak je uvedeno ve strategii EU pro boj proti organizované trestné činnosti, </w:t>
      </w:r>
      <w:r>
        <w:rPr>
          <w:rFonts w:ascii="Times New Roman" w:hAnsi="Times New Roman"/>
          <w:b/>
          <w:noProof/>
          <w:sz w:val="24"/>
        </w:rPr>
        <w:t>je třeba rozbít zločinecké sítě jako takové</w:t>
      </w:r>
      <w:r>
        <w:rPr>
          <w:rFonts w:ascii="Times New Roman" w:hAnsi="Times New Roman"/>
          <w:noProof/>
          <w:sz w:val="24"/>
        </w:rPr>
        <w:t>, aby se dosáhlo skutečného úspěchu v boji proti organizované trestné činnosti.</w:t>
      </w:r>
      <w:r>
        <w:rPr>
          <w:rFonts w:ascii="Times New Roman" w:hAnsi="Times New Roman"/>
          <w:b/>
          <w:noProof/>
          <w:sz w:val="24"/>
        </w:rPr>
        <w:t xml:space="preserve"> </w:t>
      </w:r>
      <w:r>
        <w:rPr>
          <w:rFonts w:ascii="Times New Roman" w:hAnsi="Times New Roman"/>
          <w:noProof/>
          <w:sz w:val="24"/>
        </w:rPr>
        <w:t>To vyžaduje lepší zpravodajský obraz; specializované dobře vyškolené služby se správnými nástroji; účinná, cílená a koordinovaná opatření donucovacích a justičních orgánů a pevný právní rámec pro boj proti organizované trestné činnosti.</w:t>
      </w:r>
    </w:p>
    <w:p w14:paraId="6966CECB" w14:textId="77777777" w:rsidR="004501C2" w:rsidRPr="00EA4C6E" w:rsidRDefault="004501C2" w:rsidP="003731AC">
      <w:pPr>
        <w:spacing w:after="0" w:line="252" w:lineRule="auto"/>
        <w:jc w:val="both"/>
        <w:rPr>
          <w:rFonts w:ascii="Times New Roman" w:hAnsi="Times New Roman"/>
          <w:noProof/>
          <w:sz w:val="24"/>
        </w:rPr>
      </w:pPr>
    </w:p>
    <w:p w14:paraId="3B429D43" w14:textId="77777777" w:rsidR="00344E2D" w:rsidRPr="00EA4C6E" w:rsidRDefault="00344E2D" w:rsidP="003731AC">
      <w:pPr>
        <w:spacing w:after="0" w:line="252" w:lineRule="auto"/>
        <w:jc w:val="both"/>
        <w:rPr>
          <w:rFonts w:ascii="Times New Roman" w:hAnsi="Times New Roman"/>
          <w:noProof/>
          <w:sz w:val="24"/>
        </w:rPr>
      </w:pPr>
    </w:p>
    <w:p w14:paraId="0BC316A7" w14:textId="6F39C6E9"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Opatření č. 4: Zmapování zločineckých sítí, které představují největší hrozbu pro společnost</w:t>
      </w:r>
    </w:p>
    <w:p w14:paraId="5648C003" w14:textId="6D3FBB96"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 Eurojust, CEPOL</w:t>
      </w:r>
    </w:p>
    <w:p w14:paraId="3FFB0789" w14:textId="77777777" w:rsidR="005B4A60" w:rsidRPr="00EA4C6E" w:rsidRDefault="005B4A60" w:rsidP="005B4A60">
      <w:pPr>
        <w:spacing w:after="0" w:line="252" w:lineRule="auto"/>
        <w:jc w:val="both"/>
        <w:rPr>
          <w:rFonts w:ascii="Times New Roman" w:hAnsi="Times New Roman"/>
          <w:b/>
          <w:noProof/>
          <w:sz w:val="24"/>
        </w:rPr>
      </w:pPr>
    </w:p>
    <w:p w14:paraId="3241A19D" w14:textId="31E5FF8F" w:rsidR="005B4A60" w:rsidRPr="002932F0" w:rsidRDefault="00F816ED" w:rsidP="00DB4891">
      <w:pPr>
        <w:jc w:val="both"/>
        <w:rPr>
          <w:rFonts w:ascii="Times New Roman" w:hAnsi="Times New Roman"/>
          <w:noProof/>
          <w:sz w:val="24"/>
        </w:rPr>
      </w:pPr>
      <w:r>
        <w:rPr>
          <w:rFonts w:ascii="Times New Roman" w:hAnsi="Times New Roman"/>
          <w:noProof/>
          <w:sz w:val="24"/>
        </w:rPr>
        <w:t xml:space="preserve">Aby měly donucovací a justiční orgány co největší dopad, měly by věnovat zvláštní pozornost </w:t>
      </w:r>
      <w:r>
        <w:rPr>
          <w:rFonts w:ascii="Times New Roman" w:hAnsi="Times New Roman"/>
          <w:b/>
          <w:noProof/>
          <w:sz w:val="24"/>
        </w:rPr>
        <w:t>těm sítím, které představují největší hrozbu pro naši společnost a veřejnost</w:t>
      </w:r>
      <w:r>
        <w:rPr>
          <w:rFonts w:ascii="Times New Roman" w:hAnsi="Times New Roman"/>
          <w:noProof/>
          <w:sz w:val="24"/>
        </w:rPr>
        <w:t>. Tyto vysoce rizikové zločinecké sítě využívají korupci, pronikají do legální ekonomiky, páchají násilí včetně zastrašování a provozují paralelní podzemní finanční systémy.</w:t>
      </w:r>
    </w:p>
    <w:p w14:paraId="1AE1DDA7" w14:textId="689EC956" w:rsidR="005B4A60" w:rsidRPr="002932F0" w:rsidRDefault="005B4A60" w:rsidP="005B4A60">
      <w:pPr>
        <w:spacing w:after="0" w:line="252" w:lineRule="auto"/>
        <w:jc w:val="both"/>
        <w:rPr>
          <w:rFonts w:ascii="Times New Roman" w:hAnsi="Times New Roman" w:cs="Times New Roman"/>
          <w:noProof/>
          <w:sz w:val="24"/>
          <w:szCs w:val="24"/>
        </w:rPr>
      </w:pPr>
      <w:r>
        <w:rPr>
          <w:rFonts w:ascii="Times New Roman" w:hAnsi="Times New Roman"/>
          <w:noProof/>
          <w:sz w:val="24"/>
        </w:rPr>
        <w:t>Abychom se mohli zaměřit na tyto zločinecké organizace, je třeba změnit paradigma:</w:t>
      </w:r>
      <w:r>
        <w:rPr>
          <w:rFonts w:ascii="Times New Roman" w:hAnsi="Times New Roman"/>
          <w:b/>
          <w:noProof/>
          <w:sz w:val="24"/>
        </w:rPr>
        <w:t xml:space="preserve"> přejít od zaměření na jednotlivé pachatele a konkrétní trestné činy k vyšetřování a stíhání sítí jako celku.</w:t>
      </w:r>
      <w:r>
        <w:rPr>
          <w:rFonts w:ascii="Times New Roman" w:hAnsi="Times New Roman"/>
          <w:noProof/>
          <w:sz w:val="24"/>
        </w:rPr>
        <w:t xml:space="preserve"> Základ této společné práce, která spojuje donucovací a justiční orgány členských států EU a mezinárodní partnery (včetně 37 zemí mimo EU v roce 2023), s podporou orgánů, institucí a jiných subjektů EU, položila </w:t>
      </w:r>
      <w:r>
        <w:rPr>
          <w:rFonts w:ascii="Times New Roman" w:hAnsi="Times New Roman"/>
          <w:b/>
          <w:noProof/>
          <w:sz w:val="24"/>
        </w:rPr>
        <w:t>nová priorita v platformě EMPACT – vysoce rizikové zločinecké sítě</w:t>
      </w:r>
      <w:r>
        <w:rPr>
          <w:rFonts w:ascii="Times New Roman" w:hAnsi="Times New Roman"/>
          <w:noProof/>
          <w:sz w:val="24"/>
        </w:rPr>
        <w:t>.</w:t>
      </w:r>
    </w:p>
    <w:p w14:paraId="66010C6F" w14:textId="77777777" w:rsidR="005B4A60" w:rsidRPr="00EA4C6E" w:rsidRDefault="005B4A60" w:rsidP="005B4A60">
      <w:pPr>
        <w:spacing w:after="0" w:line="252" w:lineRule="auto"/>
        <w:jc w:val="both"/>
        <w:rPr>
          <w:rFonts w:ascii="Times New Roman" w:hAnsi="Times New Roman"/>
          <w:noProof/>
          <w:sz w:val="24"/>
        </w:rPr>
      </w:pPr>
    </w:p>
    <w:p w14:paraId="27A8A05E" w14:textId="6F99248D" w:rsidR="005B4A60" w:rsidRPr="002932F0" w:rsidRDefault="005B4A60" w:rsidP="005B4A60">
      <w:pPr>
        <w:spacing w:after="0" w:line="252" w:lineRule="auto"/>
        <w:jc w:val="both"/>
        <w:rPr>
          <w:rFonts w:ascii="Times New Roman" w:hAnsi="Times New Roman"/>
          <w:noProof/>
          <w:sz w:val="24"/>
        </w:rPr>
      </w:pPr>
      <w:r>
        <w:rPr>
          <w:rFonts w:ascii="Times New Roman" w:hAnsi="Times New Roman"/>
          <w:noProof/>
          <w:sz w:val="24"/>
        </w:rPr>
        <w:t xml:space="preserve">V dalším kroku provede Europol s podporou členských států na </w:t>
      </w:r>
      <w:r>
        <w:rPr>
          <w:rFonts w:ascii="Times New Roman" w:hAnsi="Times New Roman"/>
          <w:b/>
          <w:noProof/>
          <w:sz w:val="24"/>
        </w:rPr>
        <w:t>začátku roku 2024 mapování s cílem identifikovat zločinecké sítě</w:t>
      </w:r>
      <w:r>
        <w:rPr>
          <w:noProof/>
        </w:rPr>
        <w:t>,</w:t>
      </w:r>
      <w:r>
        <w:rPr>
          <w:rFonts w:ascii="Times New Roman" w:hAnsi="Times New Roman"/>
          <w:noProof/>
          <w:sz w:val="24"/>
        </w:rPr>
        <w:t xml:space="preserve"> </w:t>
      </w:r>
      <w:bookmarkStart w:id="16" w:name="_Hlk141363435"/>
      <w:r>
        <w:rPr>
          <w:rFonts w:ascii="Times New Roman" w:hAnsi="Times New Roman"/>
          <w:noProof/>
          <w:sz w:val="24"/>
        </w:rPr>
        <w:t xml:space="preserve">které představují největší hrozbu, ať už působí v zemích EU nebo mimo ni. Rovněž to pomůže identifikovat klíčové členy vysoce rizikových zločineckých sítí nebo osoby, které jim pomáhají. </w:t>
      </w:r>
      <w:bookmarkEnd w:id="16"/>
      <w:r>
        <w:rPr>
          <w:rFonts w:ascii="Times New Roman" w:hAnsi="Times New Roman"/>
          <w:noProof/>
          <w:sz w:val="24"/>
        </w:rPr>
        <w:t xml:space="preserve">Mapování výrazně </w:t>
      </w:r>
      <w:r>
        <w:rPr>
          <w:rFonts w:ascii="Times New Roman" w:hAnsi="Times New Roman"/>
          <w:b/>
          <w:noProof/>
          <w:sz w:val="24"/>
        </w:rPr>
        <w:t xml:space="preserve">zlepší zpravodajský obraz </w:t>
      </w:r>
      <w:r>
        <w:rPr>
          <w:rFonts w:ascii="Times New Roman" w:hAnsi="Times New Roman"/>
          <w:noProof/>
          <w:sz w:val="24"/>
        </w:rPr>
        <w:t xml:space="preserve">o trestné činnosti, který bude sloužit k vyhodnocování hrozeb a pomůže stanovit priority vyšetřování. Mapování by mělo být </w:t>
      </w:r>
      <w:r>
        <w:rPr>
          <w:rFonts w:ascii="Times New Roman" w:hAnsi="Times New Roman"/>
          <w:b/>
          <w:noProof/>
          <w:sz w:val="24"/>
        </w:rPr>
        <w:t>pravidelně aktualizováno</w:t>
      </w:r>
      <w:r>
        <w:rPr>
          <w:rFonts w:ascii="Times New Roman" w:hAnsi="Times New Roman"/>
          <w:noProof/>
          <w:sz w:val="24"/>
        </w:rPr>
        <w:t xml:space="preserve">, aby orgány věděly o změnách v činnostech a metodách sítí. Kromě toho by Komise, členské státy a Europol měly v rámci platformy EMPACT pracovat na vývoji </w:t>
      </w:r>
      <w:r>
        <w:rPr>
          <w:rFonts w:ascii="Times New Roman" w:hAnsi="Times New Roman"/>
          <w:b/>
          <w:noProof/>
          <w:sz w:val="24"/>
        </w:rPr>
        <w:t>společných ukazatelů a hodnocení</w:t>
      </w:r>
      <w:r>
        <w:rPr>
          <w:rFonts w:ascii="Times New Roman" w:hAnsi="Times New Roman"/>
          <w:noProof/>
          <w:sz w:val="24"/>
        </w:rPr>
        <w:t>, které umožní srovnatelnost údajů do roku 2025. Dále Komise prozkoumá možnosti, jak by EU mohla vytvořit synergie se zpravodajskou analýzou Interpolu v oblasti trestné činnosti.</w:t>
      </w:r>
    </w:p>
    <w:p w14:paraId="10F5B42E" w14:textId="77777777" w:rsidR="00E2730D" w:rsidRPr="00EA4C6E" w:rsidRDefault="00E2730D" w:rsidP="005B4A60">
      <w:pPr>
        <w:spacing w:after="0" w:line="252" w:lineRule="auto"/>
        <w:jc w:val="both"/>
        <w:rPr>
          <w:rFonts w:ascii="Times New Roman" w:hAnsi="Times New Roman"/>
          <w:noProof/>
          <w:sz w:val="24"/>
        </w:rPr>
      </w:pPr>
    </w:p>
    <w:p w14:paraId="3A829FDA" w14:textId="5D693B1D"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Opatření č. 5: Síť specializovaných státních zástupců a soudců pro rozbíjení zločineckých sítí</w:t>
      </w:r>
    </w:p>
    <w:p w14:paraId="403B512D" w14:textId="47CA0A25"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Hlavní aktéři: Eurojust, Europol, členské státy.</w:t>
      </w:r>
    </w:p>
    <w:p w14:paraId="3EA6032A" w14:textId="77777777" w:rsidR="005B4A60" w:rsidRPr="00EA4C6E" w:rsidRDefault="005B4A60" w:rsidP="005B4A60">
      <w:pPr>
        <w:spacing w:after="0" w:line="252" w:lineRule="auto"/>
        <w:jc w:val="both"/>
        <w:rPr>
          <w:rFonts w:ascii="Times New Roman" w:hAnsi="Times New Roman"/>
          <w:noProof/>
          <w:sz w:val="24"/>
        </w:rPr>
      </w:pPr>
    </w:p>
    <w:p w14:paraId="7332262E" w14:textId="343B3938" w:rsidR="001D2E8C" w:rsidRPr="002932F0" w:rsidRDefault="00ED7E34" w:rsidP="001D2E8C">
      <w:pPr>
        <w:spacing w:after="0" w:line="252" w:lineRule="auto"/>
        <w:jc w:val="both"/>
        <w:rPr>
          <w:rFonts w:ascii="Times New Roman" w:hAnsi="Times New Roman"/>
          <w:noProof/>
          <w:sz w:val="24"/>
        </w:rPr>
      </w:pPr>
      <w:r>
        <w:rPr>
          <w:rFonts w:ascii="Times New Roman" w:hAnsi="Times New Roman"/>
          <w:noProof/>
          <w:sz w:val="24"/>
        </w:rPr>
        <w:t xml:space="preserve">Zločinecké sítě a jejich nezákonné činnosti často </w:t>
      </w:r>
      <w:r>
        <w:rPr>
          <w:rFonts w:ascii="Times New Roman" w:hAnsi="Times New Roman"/>
          <w:b/>
          <w:noProof/>
          <w:sz w:val="24"/>
        </w:rPr>
        <w:t>zasahují do různých jurisdikcí</w:t>
      </w:r>
      <w:r>
        <w:rPr>
          <w:rFonts w:ascii="Times New Roman" w:hAnsi="Times New Roman"/>
          <w:noProof/>
          <w:sz w:val="24"/>
        </w:rPr>
        <w:t xml:space="preserve">, což však na začátku vyšetřování v jednom členském státě není vždy známo. I když vyšetřovatelé znají zeměpisný rozsah zločinecké sítě, narážejí na </w:t>
      </w:r>
      <w:r>
        <w:rPr>
          <w:rFonts w:ascii="Times New Roman" w:hAnsi="Times New Roman"/>
          <w:b/>
          <w:noProof/>
          <w:sz w:val="24"/>
        </w:rPr>
        <w:t xml:space="preserve">praktické překážky. </w:t>
      </w:r>
      <w:r>
        <w:rPr>
          <w:rFonts w:ascii="Times New Roman" w:hAnsi="Times New Roman"/>
          <w:noProof/>
          <w:sz w:val="24"/>
        </w:rPr>
        <w:t>Mezi tyto překážky patří obtíže při identifikaci jejich protějšků v jiných členských státech nebo nedostatečná informovanost o specifických pravidlech v jiných členských státech, například o podmínkách provádění vyšetřovacích opatření.</w:t>
      </w:r>
    </w:p>
    <w:p w14:paraId="5A1DBC71" w14:textId="65EF99A9" w:rsidR="00ED7E34" w:rsidRPr="00EA4C6E" w:rsidRDefault="00ED7E34" w:rsidP="00ED7E34">
      <w:pPr>
        <w:spacing w:after="0" w:line="252" w:lineRule="auto"/>
        <w:jc w:val="both"/>
        <w:rPr>
          <w:rFonts w:ascii="Times New Roman" w:hAnsi="Times New Roman"/>
          <w:noProof/>
          <w:sz w:val="24"/>
        </w:rPr>
      </w:pPr>
    </w:p>
    <w:p w14:paraId="41D31843" w14:textId="0AA7E94F" w:rsidR="00ED7E34" w:rsidRPr="002932F0" w:rsidRDefault="001D2E8C" w:rsidP="00ED7E34">
      <w:pPr>
        <w:spacing w:after="0" w:line="252" w:lineRule="auto"/>
        <w:jc w:val="both"/>
        <w:rPr>
          <w:rFonts w:ascii="Times New Roman" w:hAnsi="Times New Roman"/>
          <w:noProof/>
          <w:sz w:val="24"/>
        </w:rPr>
      </w:pPr>
      <w:r>
        <w:rPr>
          <w:rFonts w:ascii="Times New Roman" w:hAnsi="Times New Roman"/>
          <w:noProof/>
          <w:sz w:val="24"/>
        </w:rPr>
        <w:t xml:space="preserve">Aby bylo možné rozbít zločinecké sítě a jejich obchodní modely v celé EU, musí orgány </w:t>
      </w:r>
      <w:r>
        <w:rPr>
          <w:rFonts w:ascii="Times New Roman" w:hAnsi="Times New Roman"/>
          <w:b/>
          <w:noProof/>
          <w:sz w:val="24"/>
        </w:rPr>
        <w:t>budovat důvěru a kontakty</w:t>
      </w:r>
      <w:r>
        <w:rPr>
          <w:rFonts w:ascii="Times New Roman" w:hAnsi="Times New Roman"/>
          <w:noProof/>
          <w:sz w:val="24"/>
        </w:rPr>
        <w:t xml:space="preserve"> za účelem včasné výměny informací a k zahajování paralelních vyšetřování v těch členských státech, kde byly zjištěny vazby. V průběhu řízení je nezbytný pravidelný dialog mezi zúčastněnými justičními orgány, aby se zajistilo sladění vyšetřovacích strategií a urychlilo přeshraniční shromažďování důkazů.</w:t>
      </w:r>
    </w:p>
    <w:p w14:paraId="5A569AAE" w14:textId="77777777" w:rsidR="00ED7E34" w:rsidRPr="00EA4C6E" w:rsidRDefault="00ED7E34" w:rsidP="00ED7E34">
      <w:pPr>
        <w:spacing w:after="0" w:line="252" w:lineRule="auto"/>
        <w:jc w:val="both"/>
        <w:rPr>
          <w:rFonts w:ascii="Times New Roman" w:hAnsi="Times New Roman"/>
          <w:noProof/>
          <w:sz w:val="24"/>
        </w:rPr>
      </w:pPr>
    </w:p>
    <w:p w14:paraId="23ADC88F" w14:textId="7FCA6879" w:rsidR="003D6F2F" w:rsidRDefault="00B122DC" w:rsidP="003D6F2F">
      <w:pPr>
        <w:spacing w:after="0" w:line="252" w:lineRule="auto"/>
        <w:jc w:val="both"/>
        <w:rPr>
          <w:rFonts w:ascii="Times New Roman" w:hAnsi="Times New Roman"/>
          <w:noProof/>
          <w:sz w:val="24"/>
        </w:rPr>
      </w:pPr>
      <w:r>
        <w:rPr>
          <w:rFonts w:ascii="Times New Roman" w:hAnsi="Times New Roman"/>
          <w:noProof/>
          <w:sz w:val="24"/>
        </w:rPr>
        <w:t>K posílení výměny informací a spolupráce mezi justičními orgány</w:t>
      </w:r>
      <w:r>
        <w:rPr>
          <w:rFonts w:ascii="Times New Roman" w:hAnsi="Times New Roman"/>
          <w:b/>
          <w:noProof/>
          <w:sz w:val="24"/>
        </w:rPr>
        <w:t xml:space="preserve"> </w:t>
      </w:r>
      <w:r>
        <w:rPr>
          <w:rFonts w:ascii="Times New Roman" w:hAnsi="Times New Roman"/>
          <w:noProof/>
          <w:sz w:val="24"/>
        </w:rPr>
        <w:t>při</w:t>
      </w:r>
      <w:r>
        <w:rPr>
          <w:rFonts w:ascii="Times New Roman" w:hAnsi="Times New Roman"/>
          <w:b/>
          <w:noProof/>
          <w:sz w:val="24"/>
        </w:rPr>
        <w:t xml:space="preserve"> složitých přeshraničních vyšetřováních </w:t>
      </w:r>
      <w:r>
        <w:rPr>
          <w:rFonts w:ascii="Times New Roman" w:hAnsi="Times New Roman"/>
          <w:noProof/>
          <w:sz w:val="24"/>
        </w:rPr>
        <w:t xml:space="preserve">organizované trestné činnosti </w:t>
      </w:r>
      <w:r>
        <w:rPr>
          <w:rFonts w:ascii="Times New Roman" w:hAnsi="Times New Roman"/>
          <w:b/>
          <w:noProof/>
          <w:sz w:val="24"/>
        </w:rPr>
        <w:t>by měla být s podporou Eurojustu vytvořena síť specializovaných státních zástupců a soudců z členských států</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Síť bude centrem specializovaných odborných znalostí, které bude podporovat justiční orgány a usnadňovat výměnu odborných znalostí, osvědčených postupů a dalších poznatků v oblasti vyšetřování a stíhání organizované trestné činnosti. Bude podporovat dialog mezi různými zúčastněnými vnitrostátními orgány, poskytovat fórum pro diskusi o právních a praktických problémech a podporovat využívání Eurojustu v případech přeshraniční organizované trestné činnosti.</w:t>
      </w:r>
    </w:p>
    <w:p w14:paraId="1316DF99" w14:textId="77777777" w:rsidR="004501C2" w:rsidRPr="00EA4C6E" w:rsidRDefault="004501C2" w:rsidP="003D6F2F">
      <w:pPr>
        <w:spacing w:after="0" w:line="252" w:lineRule="auto"/>
        <w:jc w:val="both"/>
        <w:rPr>
          <w:rFonts w:ascii="Times New Roman" w:hAnsi="Times New Roman"/>
          <w:noProof/>
          <w:sz w:val="24"/>
        </w:rPr>
      </w:pPr>
    </w:p>
    <w:p w14:paraId="5CF3EAEB" w14:textId="77777777" w:rsidR="003D6F2F" w:rsidRPr="00EA4C6E" w:rsidRDefault="003D6F2F" w:rsidP="003D6F2F">
      <w:pPr>
        <w:spacing w:after="0" w:line="252" w:lineRule="auto"/>
        <w:jc w:val="both"/>
        <w:rPr>
          <w:rFonts w:ascii="Times New Roman" w:hAnsi="Times New Roman"/>
          <w:noProof/>
          <w:sz w:val="24"/>
        </w:rPr>
      </w:pPr>
    </w:p>
    <w:p w14:paraId="63742211" w14:textId="4FB87D71" w:rsidR="005B4A60" w:rsidRPr="002932F0" w:rsidRDefault="005B4A60" w:rsidP="005B4A60">
      <w:pPr>
        <w:autoSpaceDE w:val="0"/>
        <w:autoSpaceDN w:val="0"/>
        <w:spacing w:after="0" w:line="252" w:lineRule="auto"/>
        <w:jc w:val="both"/>
        <w:rPr>
          <w:rFonts w:ascii="Times New Roman" w:hAnsi="Times New Roman"/>
          <w:b/>
          <w:i/>
          <w:noProof/>
          <w:sz w:val="24"/>
        </w:rPr>
      </w:pPr>
      <w:r>
        <w:rPr>
          <w:rFonts w:ascii="Times New Roman" w:hAnsi="Times New Roman"/>
          <w:b/>
          <w:i/>
          <w:noProof/>
          <w:sz w:val="24"/>
        </w:rPr>
        <w:t>Opatření č. 6: Usnadnění finančního vyšetřování</w:t>
      </w:r>
    </w:p>
    <w:p w14:paraId="794BC58E" w14:textId="479D15A5"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 Eurojust, CEPOL</w:t>
      </w:r>
    </w:p>
    <w:p w14:paraId="6AE6E18D" w14:textId="77777777" w:rsidR="005B4A60" w:rsidRPr="00EA4C6E" w:rsidRDefault="005B4A60" w:rsidP="005B4A60">
      <w:pPr>
        <w:spacing w:after="0" w:line="252" w:lineRule="auto"/>
        <w:jc w:val="both"/>
        <w:rPr>
          <w:rFonts w:ascii="Times New Roman" w:hAnsi="Times New Roman"/>
          <w:b/>
          <w:noProof/>
          <w:sz w:val="24"/>
        </w:rPr>
      </w:pPr>
    </w:p>
    <w:p w14:paraId="5CAFE8F9" w14:textId="1850B78B" w:rsidR="00C17211" w:rsidRPr="002932F0" w:rsidRDefault="002D22F3" w:rsidP="005B4A60">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Vzhledem k tomu, že prioritou organizovaného zločinu je dosažení zisku, je nejúčinnějším způsobem, jak zločince připravit o jejich velké nezákonné zisky </w:t>
      </w:r>
      <w:r>
        <w:rPr>
          <w:rFonts w:ascii="Times New Roman" w:hAnsi="Times New Roman"/>
          <w:b/>
          <w:noProof/>
          <w:sz w:val="24"/>
        </w:rPr>
        <w:t>přístup založený na sledování toku peněz</w:t>
      </w:r>
      <w:r>
        <w:rPr>
          <w:rFonts w:ascii="Times New Roman" w:hAnsi="Times New Roman"/>
          <w:noProof/>
          <w:sz w:val="24"/>
        </w:rPr>
        <w:t>. V závěrech Rady o posílení finančního vyšetřování za účelem boje proti závažné a organizované trestné činnosti</w:t>
      </w:r>
      <w:r w:rsidR="005B4A60" w:rsidRPr="002932F0">
        <w:rPr>
          <w:rStyle w:val="FootnoteReference0"/>
          <w:rFonts w:ascii="Times New Roman" w:hAnsi="Times New Roman" w:cs="Times New Roman"/>
          <w:noProof/>
          <w:sz w:val="24"/>
          <w:szCs w:val="24"/>
          <w:lang w:val="en-GB"/>
        </w:rPr>
        <w:footnoteReference w:id="39"/>
      </w:r>
      <w:r>
        <w:rPr>
          <w:rFonts w:ascii="Times New Roman" w:hAnsi="Times New Roman"/>
          <w:noProof/>
          <w:sz w:val="24"/>
        </w:rPr>
        <w:t xml:space="preserve"> se členské státy zavázaly </w:t>
      </w:r>
      <w:r>
        <w:rPr>
          <w:rFonts w:ascii="Times New Roman" w:hAnsi="Times New Roman"/>
          <w:b/>
          <w:noProof/>
          <w:sz w:val="24"/>
        </w:rPr>
        <w:t>zlepšit finanční vyšetřování</w:t>
      </w:r>
      <w:r>
        <w:rPr>
          <w:rFonts w:ascii="Times New Roman" w:hAnsi="Times New Roman"/>
          <w:noProof/>
          <w:sz w:val="24"/>
        </w:rPr>
        <w:t xml:space="preserve"> jako zásadní součást boje proti organizované trestné činnosti. Systematické finanční vyšetřování podpoří nadcházející přijetí návrhu Komise, který se týká </w:t>
      </w:r>
      <w:r>
        <w:rPr>
          <w:rFonts w:ascii="Times New Roman" w:hAnsi="Times New Roman"/>
          <w:b/>
          <w:noProof/>
          <w:sz w:val="24"/>
        </w:rPr>
        <w:t>konfiskace a vymáhání majetku</w:t>
      </w:r>
      <w:r>
        <w:rPr>
          <w:rFonts w:ascii="Times New Roman" w:hAnsi="Times New Roman"/>
          <w:noProof/>
          <w:sz w:val="24"/>
        </w:rPr>
        <w:t xml:space="preserve">, Evropským parlamentem a Radou. Toto vyšetřování usnadní nedávná dohoda o </w:t>
      </w:r>
      <w:r>
        <w:rPr>
          <w:rFonts w:ascii="Times New Roman" w:hAnsi="Times New Roman"/>
          <w:b/>
          <w:noProof/>
          <w:sz w:val="24"/>
        </w:rPr>
        <w:t>propojení registrů bankovních účtů</w:t>
      </w:r>
      <w:r>
        <w:rPr>
          <w:rFonts w:ascii="Times New Roman" w:hAnsi="Times New Roman"/>
          <w:noProof/>
          <w:sz w:val="24"/>
        </w:rPr>
        <w:t xml:space="preserve"> a zpřísněná </w:t>
      </w:r>
      <w:r>
        <w:rPr>
          <w:rFonts w:ascii="Times New Roman" w:hAnsi="Times New Roman"/>
          <w:b/>
          <w:noProof/>
          <w:sz w:val="24"/>
        </w:rPr>
        <w:t>pravidla pro boj proti praní peněz</w:t>
      </w:r>
      <w:r>
        <w:rPr>
          <w:rFonts w:ascii="Times New Roman" w:hAnsi="Times New Roman"/>
          <w:noProof/>
          <w:sz w:val="24"/>
        </w:rPr>
        <w:t>. Po přijetí legislativního balíčku týkajícího se boje proti praní peněz a financování terorismu (AML/CFT) bude budoucí Orgán pro boj proti praní peněz (AMLA) poskytovat operační podporu finančním zpravodajským jednotkám při provádění společných analýz. Přispěje to k účinnějšímu odhalování a analýze přeshraničních případů.</w:t>
      </w:r>
      <w:r w:rsidR="00EA4C6E">
        <w:rPr>
          <w:rFonts w:ascii="Times New Roman" w:hAnsi="Times New Roman"/>
          <w:noProof/>
          <w:sz w:val="24"/>
        </w:rPr>
        <w:t xml:space="preserve"> </w:t>
      </w:r>
    </w:p>
    <w:p w14:paraId="630FEF17" w14:textId="77777777" w:rsidR="00817CD5" w:rsidRPr="00EA4C6E" w:rsidRDefault="00817CD5" w:rsidP="005B4A60">
      <w:pPr>
        <w:autoSpaceDE w:val="0"/>
        <w:autoSpaceDN w:val="0"/>
        <w:spacing w:after="0" w:line="252" w:lineRule="auto"/>
        <w:jc w:val="both"/>
        <w:rPr>
          <w:rFonts w:ascii="Times New Roman" w:hAnsi="Times New Roman"/>
          <w:noProof/>
          <w:sz w:val="24"/>
        </w:rPr>
      </w:pPr>
    </w:p>
    <w:p w14:paraId="6987F264" w14:textId="212F3EE1" w:rsidR="00C17211" w:rsidRPr="002932F0" w:rsidRDefault="00C17211" w:rsidP="005B4A60">
      <w:pPr>
        <w:autoSpaceDE w:val="0"/>
        <w:autoSpaceDN w:val="0"/>
        <w:spacing w:after="0" w:line="252" w:lineRule="auto"/>
        <w:jc w:val="both"/>
        <w:rPr>
          <w:rFonts w:ascii="Times New Roman" w:hAnsi="Times New Roman"/>
          <w:noProof/>
          <w:sz w:val="24"/>
        </w:rPr>
      </w:pPr>
      <w:bookmarkStart w:id="17" w:name="_Hlk147911579"/>
      <w:r>
        <w:rPr>
          <w:rFonts w:ascii="Times New Roman" w:hAnsi="Times New Roman"/>
          <w:noProof/>
          <w:sz w:val="24"/>
        </w:rPr>
        <w:t xml:space="preserve">Jako doplněk k pravidlům pro boj proti praní peněz zřídily některé členské státy </w:t>
      </w:r>
      <w:r>
        <w:rPr>
          <w:rFonts w:ascii="Times New Roman" w:hAnsi="Times New Roman"/>
          <w:b/>
          <w:noProof/>
          <w:sz w:val="24"/>
        </w:rPr>
        <w:t>partnerství veřejného a soukromého sektoru</w:t>
      </w:r>
      <w:r>
        <w:rPr>
          <w:rFonts w:ascii="Times New Roman" w:hAnsi="Times New Roman"/>
          <w:noProof/>
          <w:sz w:val="24"/>
        </w:rPr>
        <w:t xml:space="preserve"> umožňující </w:t>
      </w:r>
      <w:r>
        <w:rPr>
          <w:rFonts w:ascii="Times New Roman" w:hAnsi="Times New Roman"/>
          <w:b/>
          <w:noProof/>
          <w:sz w:val="24"/>
        </w:rPr>
        <w:t>výměnu operačních informací mezi orgány a bankami a finančními a úvěrovými institucemi</w:t>
      </w:r>
      <w:r>
        <w:rPr>
          <w:rFonts w:ascii="Times New Roman" w:hAnsi="Times New Roman"/>
          <w:noProof/>
          <w:sz w:val="24"/>
        </w:rPr>
        <w:t xml:space="preserve">. Tato partnerství pomáhají soukromým subjektům, které stojí v čele odhalování nezákonných finančních toků mezi miliardami každodenních transakcí, nalézat obtížně odhalitelné aktivity. S cílem usnadnit rozvoj tohoto typu spolupráce mezi členskými státy vypracuje do poloviny roku 2024 partnerství veřejného a soukromého sektoru v oblasti finančního zpravodajství, založené Europolem, v rámci mandátu Europolu </w:t>
      </w:r>
      <w:r>
        <w:rPr>
          <w:rFonts w:ascii="Times New Roman" w:hAnsi="Times New Roman"/>
          <w:b/>
          <w:noProof/>
          <w:sz w:val="24"/>
        </w:rPr>
        <w:t xml:space="preserve">plán </w:t>
      </w:r>
      <w:r>
        <w:rPr>
          <w:rFonts w:ascii="Times New Roman" w:hAnsi="Times New Roman"/>
          <w:noProof/>
          <w:sz w:val="24"/>
        </w:rPr>
        <w:t xml:space="preserve">shrnující právní rámce a praktické kroky přijaté v členských státech a třetích zemích za účelem </w:t>
      </w:r>
      <w:r>
        <w:rPr>
          <w:rFonts w:ascii="Times New Roman" w:hAnsi="Times New Roman"/>
          <w:b/>
          <w:noProof/>
          <w:sz w:val="24"/>
        </w:rPr>
        <w:t>vytvoření partnerství pro boj proti praní peněz</w:t>
      </w:r>
      <w:r>
        <w:rPr>
          <w:rFonts w:ascii="Times New Roman" w:hAnsi="Times New Roman"/>
          <w:noProof/>
          <w:sz w:val="24"/>
        </w:rPr>
        <w:t>. Tento plán by měl zohlednit osvědčené postupy a právní aspekty uvedené v pracovním dokumentu útvarů Komise na toto téma</w:t>
      </w:r>
      <w:r w:rsidRPr="002932F0">
        <w:rPr>
          <w:rStyle w:val="FootnoteReference0"/>
          <w:rFonts w:ascii="Times New Roman" w:hAnsi="Times New Roman"/>
          <w:noProof/>
          <w:sz w:val="24"/>
          <w:lang w:val="en-GB"/>
        </w:rPr>
        <w:footnoteReference w:id="40"/>
      </w:r>
      <w:r>
        <w:rPr>
          <w:rFonts w:ascii="Times New Roman" w:hAnsi="Times New Roman"/>
          <w:noProof/>
          <w:sz w:val="24"/>
        </w:rPr>
        <w:t xml:space="preserve"> a výsledky jednání o balíčku pro boj proti praní peněz. Měl by zejména vycházet z kroků, které již členské státy přijaly, aby zajistily, že výměna osobních údajů bude omezena na to, co je nezbytné a přiměřené účelu prevence, odhalování a vyšetřování trestných činů praní peněz, a ze záruk stanovených na ochranu osobních údajů.</w:t>
      </w:r>
    </w:p>
    <w:bookmarkEnd w:id="17"/>
    <w:p w14:paraId="4A064AC2" w14:textId="77777777" w:rsidR="005B4A60" w:rsidRPr="00EA4C6E" w:rsidRDefault="005B4A60" w:rsidP="005B4A60">
      <w:pPr>
        <w:autoSpaceDE w:val="0"/>
        <w:autoSpaceDN w:val="0"/>
        <w:spacing w:after="0" w:line="252" w:lineRule="auto"/>
        <w:jc w:val="both"/>
        <w:rPr>
          <w:rFonts w:ascii="Times New Roman" w:hAnsi="Times New Roman"/>
          <w:noProof/>
          <w:sz w:val="24"/>
        </w:rPr>
      </w:pPr>
    </w:p>
    <w:p w14:paraId="6E6ECF23" w14:textId="59470DCA" w:rsidR="005B4A60" w:rsidRPr="002932F0" w:rsidRDefault="00D76307" w:rsidP="005B4A60">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Donucovací orgány by měly při vyšetřování organizovaného zločinu systematičtěji využívat </w:t>
      </w:r>
      <w:r>
        <w:rPr>
          <w:rFonts w:ascii="Times New Roman" w:hAnsi="Times New Roman"/>
          <w:b/>
          <w:noProof/>
          <w:sz w:val="24"/>
        </w:rPr>
        <w:t>souběžná finanční vyšetřování</w:t>
      </w:r>
      <w:r>
        <w:rPr>
          <w:rFonts w:ascii="Times New Roman" w:hAnsi="Times New Roman"/>
          <w:noProof/>
          <w:sz w:val="24"/>
        </w:rPr>
        <w:t>. Provádění složitých finančních vyšetřování však vyžaduje specializované odborné znalosti, kapacity a technologické nástroje. Klíčovou podporu členským státům poskytuje</w:t>
      </w:r>
      <w:r>
        <w:rPr>
          <w:rFonts w:ascii="Times New Roman" w:hAnsi="Times New Roman"/>
          <w:b/>
          <w:noProof/>
          <w:sz w:val="24"/>
        </w:rPr>
        <w:t xml:space="preserve"> Centrum Europolu pro finanční a hospodářskou trestnou činnost</w:t>
      </w:r>
      <w:r>
        <w:rPr>
          <w:rFonts w:ascii="Times New Roman" w:hAnsi="Times New Roman"/>
          <w:noProof/>
          <w:sz w:val="24"/>
        </w:rPr>
        <w:t>, které v roce 2022 podpořilo více než 400 finančních vyšetřování</w:t>
      </w:r>
      <w:r w:rsidR="005B4A60" w:rsidRPr="002932F0">
        <w:rPr>
          <w:rStyle w:val="FootnoteReference0"/>
          <w:rFonts w:ascii="Times New Roman" w:hAnsi="Times New Roman"/>
          <w:noProof/>
          <w:sz w:val="24"/>
          <w:lang w:val="en-GB"/>
        </w:rPr>
        <w:footnoteReference w:id="41"/>
      </w:r>
      <w:r>
        <w:rPr>
          <w:rFonts w:ascii="Times New Roman" w:hAnsi="Times New Roman"/>
          <w:noProof/>
          <w:sz w:val="24"/>
        </w:rPr>
        <w:t xml:space="preserve">, a Eurojust, který příslušným orgánům poskytuje pokyny a osvědčené postupy pro vymáhání nezákonně nabytého majetku. Centrum může zejména poskytnout cennou podporu společným činnostem v oblasti vyšetřování podzemního bankovnictví. Kromě toho může </w:t>
      </w:r>
      <w:r>
        <w:rPr>
          <w:rFonts w:ascii="Times New Roman" w:hAnsi="Times New Roman"/>
          <w:b/>
          <w:noProof/>
          <w:sz w:val="24"/>
        </w:rPr>
        <w:t>CEPOL svými školicími kapacitami</w:t>
      </w:r>
      <w:r>
        <w:rPr>
          <w:rFonts w:ascii="Times New Roman" w:hAnsi="Times New Roman"/>
          <w:noProof/>
          <w:sz w:val="24"/>
        </w:rPr>
        <w:t xml:space="preserve"> pomoci členským státům zvýšit dovednosti a odborné znalosti pracovníků donucovacích orgánů v oblasti finančního vyšetřování.</w:t>
      </w:r>
    </w:p>
    <w:p w14:paraId="2C0D69AD" w14:textId="77777777" w:rsidR="005B4A60" w:rsidRPr="00EA4C6E" w:rsidRDefault="005B4A60" w:rsidP="005B4A60">
      <w:pPr>
        <w:autoSpaceDE w:val="0"/>
        <w:autoSpaceDN w:val="0"/>
        <w:spacing w:after="0" w:line="252" w:lineRule="auto"/>
        <w:jc w:val="both"/>
        <w:rPr>
          <w:rFonts w:ascii="Times New Roman" w:hAnsi="Times New Roman"/>
          <w:noProof/>
          <w:sz w:val="24"/>
        </w:rPr>
      </w:pPr>
    </w:p>
    <w:p w14:paraId="1E5DF98B" w14:textId="14D9BB2B" w:rsidR="00144770" w:rsidRPr="002932F0" w:rsidRDefault="005B4A60" w:rsidP="005B4A60">
      <w:pPr>
        <w:autoSpaceDE w:val="0"/>
        <w:autoSpaceDN w:val="0"/>
        <w:spacing w:after="0" w:line="252" w:lineRule="auto"/>
        <w:jc w:val="both"/>
        <w:rPr>
          <w:rFonts w:ascii="Times New Roman" w:hAnsi="Times New Roman" w:cs="Times New Roman"/>
          <w:noProof/>
          <w:sz w:val="24"/>
          <w:szCs w:val="24"/>
        </w:rPr>
      </w:pPr>
      <w:r>
        <w:rPr>
          <w:rFonts w:ascii="Times New Roman" w:hAnsi="Times New Roman"/>
          <w:noProof/>
          <w:sz w:val="24"/>
        </w:rPr>
        <w:t xml:space="preserve">Sestavení finančního profilu zločinecké sítě vyžaduje sestavení a analýzu různých zdrojů informací, včetně informací o kryptoaktivech, které skupiny obchodníků s drogami často využívají ke skrytí svých finančních stop. Vyžaduje také harmonizaci různých formátů shromážděných údajů, identifikaci entit v nestrukturovaných souborech dat a vzájemné porovnávání velkého počtu subjektů. Některé členské státy, například Lotyšsko, Slovinsko a Španělsko, za tímto účelem vyvinuly nebo vyvíjejí vlastní </w:t>
      </w:r>
      <w:r>
        <w:rPr>
          <w:rFonts w:ascii="Times New Roman" w:hAnsi="Times New Roman"/>
          <w:b/>
          <w:noProof/>
          <w:sz w:val="24"/>
        </w:rPr>
        <w:t>nástroje pro analýzu finančních transakcí</w:t>
      </w:r>
      <w:r>
        <w:rPr>
          <w:rFonts w:ascii="Times New Roman" w:hAnsi="Times New Roman"/>
          <w:noProof/>
          <w:sz w:val="24"/>
        </w:rPr>
        <w:t xml:space="preserve">. </w:t>
      </w:r>
      <w:r>
        <w:rPr>
          <w:rFonts w:ascii="Times New Roman" w:hAnsi="Times New Roman"/>
          <w:b/>
          <w:noProof/>
          <w:sz w:val="24"/>
        </w:rPr>
        <w:t>Nástroj ma³tch v systému FIU.net</w:t>
      </w:r>
      <w:r>
        <w:rPr>
          <w:rFonts w:ascii="Times New Roman" w:hAnsi="Times New Roman"/>
          <w:noProof/>
          <w:sz w:val="24"/>
        </w:rPr>
        <w:t xml:space="preserve">, který od roku 2021 hostuje a spravuje Komise, umožňuje finančním zpravodajským jednotkám křížové porovnávání informací (např. týkajících se transakcí) pseudonymizovaným způsobem a umožňuje jim v reálném čase zjistit, zda je subjekt již znám jiné jednotce. Je-li tomu tak, lze si vyměňovat informace a na případech pracovat společně. Finančním zpravodajským jednotkám se důrazně doporučuje, aby funkce nástroje FIU.net ma³tch plně využívaly. </w:t>
      </w:r>
    </w:p>
    <w:p w14:paraId="484B7975" w14:textId="77777777" w:rsidR="00144770" w:rsidRPr="00EA4C6E" w:rsidRDefault="00144770" w:rsidP="005B4A60">
      <w:pPr>
        <w:autoSpaceDE w:val="0"/>
        <w:autoSpaceDN w:val="0"/>
        <w:spacing w:after="0" w:line="252" w:lineRule="auto"/>
        <w:jc w:val="both"/>
        <w:rPr>
          <w:rFonts w:ascii="Times New Roman" w:hAnsi="Times New Roman" w:cs="Times New Roman"/>
          <w:noProof/>
          <w:sz w:val="24"/>
          <w:szCs w:val="24"/>
        </w:rPr>
      </w:pPr>
    </w:p>
    <w:p w14:paraId="199BE459" w14:textId="536468B9" w:rsidR="005B4A60" w:rsidRDefault="005F3083" w:rsidP="005B4A60">
      <w:pPr>
        <w:autoSpaceDE w:val="0"/>
        <w:autoSpaceDN w:val="0"/>
        <w:spacing w:after="0" w:line="252" w:lineRule="auto"/>
        <w:jc w:val="both"/>
        <w:rPr>
          <w:rFonts w:ascii="Times New Roman" w:hAnsi="Times New Roman" w:cs="Times New Roman"/>
          <w:noProof/>
          <w:sz w:val="24"/>
          <w:szCs w:val="24"/>
        </w:rPr>
      </w:pPr>
      <w:r>
        <w:rPr>
          <w:rFonts w:ascii="Times New Roman" w:hAnsi="Times New Roman"/>
          <w:noProof/>
          <w:sz w:val="24"/>
        </w:rPr>
        <w:t xml:space="preserve">Kromě toho Komise v rámci </w:t>
      </w:r>
      <w:r>
        <w:rPr>
          <w:rFonts w:ascii="Times New Roman" w:hAnsi="Times New Roman"/>
          <w:b/>
          <w:noProof/>
          <w:sz w:val="24"/>
        </w:rPr>
        <w:t>programu Horizont Evropa</w:t>
      </w:r>
      <w:r>
        <w:rPr>
          <w:rFonts w:ascii="Times New Roman" w:hAnsi="Times New Roman"/>
          <w:noProof/>
          <w:sz w:val="24"/>
        </w:rPr>
        <w:t xml:space="preserve"> zveřejní v červnu 2024 výzvu k výzkumu a inovacím v oblasti bezpečnosti, která poskytne další možnosti financování vývoje a zavádění konkrétních nástrojů pro provádění účinných finančních vyšetřování</w:t>
      </w:r>
      <w:r w:rsidR="00666143" w:rsidRPr="002932F0">
        <w:rPr>
          <w:rStyle w:val="FootnoteReference0"/>
          <w:rFonts w:ascii="Times New Roman" w:hAnsi="Times New Roman" w:cs="Times New Roman"/>
          <w:noProof/>
          <w:sz w:val="24"/>
          <w:szCs w:val="24"/>
          <w:lang w:val="en-GB"/>
        </w:rPr>
        <w:footnoteReference w:id="42"/>
      </w:r>
      <w:r>
        <w:rPr>
          <w:rFonts w:ascii="Times New Roman" w:hAnsi="Times New Roman"/>
          <w:noProof/>
          <w:sz w:val="24"/>
        </w:rPr>
        <w:t>.</w:t>
      </w:r>
    </w:p>
    <w:p w14:paraId="4E126D2E" w14:textId="77777777" w:rsidR="004501C2" w:rsidRPr="00EA4C6E" w:rsidRDefault="004501C2" w:rsidP="005B4A60">
      <w:pPr>
        <w:autoSpaceDE w:val="0"/>
        <w:autoSpaceDN w:val="0"/>
        <w:spacing w:after="0" w:line="252" w:lineRule="auto"/>
        <w:jc w:val="both"/>
        <w:rPr>
          <w:rFonts w:ascii="Times New Roman" w:hAnsi="Times New Roman"/>
          <w:noProof/>
          <w:sz w:val="24"/>
        </w:rPr>
      </w:pPr>
    </w:p>
    <w:p w14:paraId="6A6B3633" w14:textId="14A002D0" w:rsidR="00457341" w:rsidRPr="00EA4C6E" w:rsidRDefault="00457341" w:rsidP="005B4A60">
      <w:pPr>
        <w:autoSpaceDE w:val="0"/>
        <w:autoSpaceDN w:val="0"/>
        <w:spacing w:after="0" w:line="252" w:lineRule="auto"/>
        <w:jc w:val="both"/>
        <w:rPr>
          <w:rFonts w:ascii="Times New Roman" w:hAnsi="Times New Roman"/>
          <w:noProof/>
          <w:sz w:val="24"/>
        </w:rPr>
      </w:pPr>
    </w:p>
    <w:p w14:paraId="6533A22A" w14:textId="68C24319"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Opatření č. 7: Usnadnění digitálního vyšetřování</w:t>
      </w:r>
    </w:p>
    <w:p w14:paraId="08E1173A" w14:textId="0393AC0D"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 Eurojust, CEPOL</w:t>
      </w:r>
    </w:p>
    <w:p w14:paraId="3E44CA1D" w14:textId="77777777" w:rsidR="005B4A60" w:rsidRPr="00EA4C6E" w:rsidRDefault="005B4A60" w:rsidP="005B4A60">
      <w:pPr>
        <w:spacing w:after="0" w:line="257" w:lineRule="auto"/>
        <w:jc w:val="both"/>
        <w:rPr>
          <w:rFonts w:ascii="Times New Roman" w:hAnsi="Times New Roman"/>
          <w:noProof/>
          <w:sz w:val="24"/>
        </w:rPr>
      </w:pPr>
    </w:p>
    <w:p w14:paraId="5D75A061" w14:textId="48F708F6" w:rsidR="005B4A60" w:rsidRPr="002932F0" w:rsidRDefault="00FF18BE" w:rsidP="00FE70E8">
      <w:pPr>
        <w:jc w:val="both"/>
        <w:rPr>
          <w:rFonts w:ascii="Times New Roman" w:hAnsi="Times New Roman"/>
          <w:noProof/>
          <w:sz w:val="24"/>
        </w:rPr>
      </w:pPr>
      <w:r>
        <w:rPr>
          <w:rFonts w:ascii="Times New Roman" w:hAnsi="Times New Roman"/>
          <w:noProof/>
          <w:sz w:val="24"/>
        </w:rPr>
        <w:t xml:space="preserve">S tím, jak se naše každodenní činnosti více než kdy jindy přesouvají na internet, platí totéž i pro nelegální aktivity. Vyšetřovatelé čelí skutečnosti, že zločinci rychle využívají možností, které nabízí online svět, a k dosažení svých cílů používají stále pokročilejší technologie. Komise se proto snaží prozkoumat několik směrů práce, které by na tento vývoj reagovaly. V červnu 2023 Komise zřídila </w:t>
      </w:r>
      <w:r>
        <w:rPr>
          <w:rFonts w:ascii="Times New Roman" w:hAnsi="Times New Roman"/>
          <w:b/>
          <w:noProof/>
          <w:sz w:val="24"/>
        </w:rPr>
        <w:t>skupinu na vysoké úrovni pro přístup k údajům pro účely účinného prosazování práva</w:t>
      </w:r>
      <w:r w:rsidR="007A5D86" w:rsidRPr="002932F0">
        <w:rPr>
          <w:rStyle w:val="FootnoteReference0"/>
          <w:rFonts w:ascii="Times New Roman" w:hAnsi="Times New Roman" w:cs="Times New Roman"/>
          <w:noProof/>
          <w:sz w:val="24"/>
          <w:szCs w:val="24"/>
          <w:lang w:val="en-GB"/>
        </w:rPr>
        <w:footnoteReference w:id="43"/>
      </w:r>
      <w:r>
        <w:rPr>
          <w:rFonts w:ascii="Times New Roman" w:hAnsi="Times New Roman"/>
          <w:noProof/>
          <w:sz w:val="24"/>
        </w:rPr>
        <w:t xml:space="preserve">. Tato skupina na vysoké úrovni sdružuje donucovací a justiční orgány, odborníky na ochranu údajů, soukromí a kybernetickou bezpečnost, soukromý sektor, nevládní organizace a akademickou obec. Zabývá se problémy, kterým pracovníci donucovacích orgánů čelí při své každodenní práci, a možnými řešeními, jak je překonat s cílem zajistit odpovídající přístup k údajům, bojovat proti trestné činnosti a zvýšit veřejnou bezpečnost v digitálním věku. Skupina </w:t>
      </w:r>
      <w:r>
        <w:rPr>
          <w:rFonts w:ascii="Times New Roman" w:hAnsi="Times New Roman"/>
          <w:b/>
          <w:noProof/>
          <w:sz w:val="24"/>
        </w:rPr>
        <w:t>vydá v</w:t>
      </w:r>
      <w:r>
        <w:rPr>
          <w:rFonts w:ascii="Times New Roman" w:hAnsi="Times New Roman"/>
          <w:noProof/>
          <w:sz w:val="24"/>
        </w:rPr>
        <w:t xml:space="preserve"> </w:t>
      </w:r>
      <w:r>
        <w:rPr>
          <w:rFonts w:ascii="Times New Roman" w:hAnsi="Times New Roman"/>
          <w:b/>
          <w:noProof/>
          <w:sz w:val="24"/>
        </w:rPr>
        <w:t>roce 2024 zprávu</w:t>
      </w:r>
      <w:r>
        <w:rPr>
          <w:rFonts w:ascii="Times New Roman" w:hAnsi="Times New Roman"/>
          <w:noProof/>
          <w:sz w:val="24"/>
        </w:rPr>
        <w:t xml:space="preserve"> s technickými, operačními či právními doporučeními.</w:t>
      </w:r>
    </w:p>
    <w:p w14:paraId="53B37B3A" w14:textId="7900C932" w:rsidR="00FE70E8" w:rsidRPr="002932F0" w:rsidRDefault="00FE70E8" w:rsidP="00FE70E8">
      <w:pPr>
        <w:spacing w:line="252" w:lineRule="auto"/>
        <w:jc w:val="both"/>
        <w:rPr>
          <w:rFonts w:ascii="Times New Roman" w:hAnsi="Times New Roman"/>
          <w:noProof/>
          <w:sz w:val="24"/>
        </w:rPr>
      </w:pPr>
      <w:bookmarkStart w:id="18" w:name="_Hlk145435898"/>
      <w:r>
        <w:rPr>
          <w:rFonts w:ascii="Times New Roman" w:hAnsi="Times New Roman"/>
          <w:noProof/>
          <w:sz w:val="24"/>
        </w:rPr>
        <w:t xml:space="preserve">Komise rovněž pomáhá zvyšovat </w:t>
      </w:r>
      <w:r>
        <w:rPr>
          <w:rFonts w:ascii="Times New Roman" w:hAnsi="Times New Roman"/>
          <w:b/>
          <w:noProof/>
          <w:sz w:val="24"/>
        </w:rPr>
        <w:t>kapacitu orgánů členských států v oblasti digitálního vyšetřování</w:t>
      </w:r>
      <w:r>
        <w:rPr>
          <w:rFonts w:ascii="Times New Roman" w:hAnsi="Times New Roman"/>
          <w:noProof/>
          <w:sz w:val="24"/>
        </w:rPr>
        <w:t xml:space="preserve"> tím, že podporuje Evropskou skupinu pro odbornou přípravu a vzdělávání v oblasti kyberkriminality</w:t>
      </w:r>
      <w:r w:rsidRPr="002932F0">
        <w:rPr>
          <w:rStyle w:val="FootnoteReference0"/>
          <w:rFonts w:ascii="Times New Roman" w:hAnsi="Times New Roman"/>
          <w:noProof/>
          <w:sz w:val="24"/>
          <w:lang w:val="en-GB"/>
        </w:rPr>
        <w:footnoteReference w:id="44"/>
      </w:r>
      <w:r>
        <w:rPr>
          <w:rFonts w:ascii="Times New Roman" w:hAnsi="Times New Roman"/>
          <w:noProof/>
          <w:sz w:val="24"/>
        </w:rPr>
        <w:t xml:space="preserve"> při vytváření vzdělávacích zdrojů. Tato skupina za poslední tři roky vyškolila nejméně 1 000 policistů. Kromě toho Komise financuje Evropské sdružení pro rozvoj technologií pro boj proti kyberkriminalitě</w:t>
      </w:r>
      <w:r w:rsidRPr="002932F0">
        <w:rPr>
          <w:rStyle w:val="FootnoteReference0"/>
          <w:rFonts w:ascii="Times New Roman" w:hAnsi="Times New Roman"/>
          <w:noProof/>
          <w:sz w:val="24"/>
          <w:lang w:val="en-GB"/>
        </w:rPr>
        <w:footnoteReference w:id="45"/>
      </w:r>
      <w:r>
        <w:rPr>
          <w:rFonts w:ascii="Times New Roman" w:hAnsi="Times New Roman"/>
          <w:noProof/>
          <w:sz w:val="24"/>
        </w:rPr>
        <w:t>, které vyvíjí digitální nástroje na podporu vyšetřování, jež jsou pak bezplatně k dispozici donucovacím orgánům v EU a Europolu. Eurojust prostřednictvím Evropské justiční sítě pro boj proti kyberkriminalitě podporuje boj proti kyberkriminalitě strategickou podporou a osvědčenými postupy.</w:t>
      </w:r>
    </w:p>
    <w:p w14:paraId="04968614" w14:textId="2BB982C6" w:rsidR="005B4A60" w:rsidRDefault="005B4A60" w:rsidP="005B4A60">
      <w:pPr>
        <w:spacing w:after="0" w:line="257" w:lineRule="auto"/>
        <w:jc w:val="both"/>
        <w:rPr>
          <w:rFonts w:ascii="Times New Roman" w:eastAsia="Times New Roman" w:hAnsi="Times New Roman" w:cs="Times New Roman"/>
          <w:noProof/>
          <w:sz w:val="24"/>
          <w:szCs w:val="24"/>
        </w:rPr>
      </w:pPr>
      <w:r>
        <w:rPr>
          <w:rFonts w:ascii="Times New Roman" w:hAnsi="Times New Roman"/>
          <w:noProof/>
          <w:sz w:val="24"/>
        </w:rPr>
        <w:t xml:space="preserve">Samotný obchod s drogami probíhá také online, a to jak na kryptotrzích, tak na clearnetu, včetně sociálních médií. Boj proti tomuto druhu obchodování je velmi náročný. Komise bude usilovat o řešení problematiky online obchodu s drogami, mimo jiné prostřednictvím spolupráce se soukromým sektorem v rámci </w:t>
      </w:r>
      <w:r>
        <w:rPr>
          <w:rFonts w:ascii="Times New Roman" w:hAnsi="Times New Roman"/>
          <w:b/>
          <w:noProof/>
          <w:sz w:val="24"/>
        </w:rPr>
        <w:t>internetového fóra EU</w:t>
      </w:r>
      <w:r>
        <w:rPr>
          <w:rFonts w:ascii="Times New Roman" w:hAnsi="Times New Roman"/>
          <w:noProof/>
          <w:sz w:val="24"/>
        </w:rPr>
        <w:t xml:space="preserve">. Fórum v roce 2024 předloží </w:t>
      </w:r>
      <w:r>
        <w:rPr>
          <w:rFonts w:ascii="Times New Roman" w:hAnsi="Times New Roman"/>
          <w:b/>
          <w:noProof/>
          <w:sz w:val="24"/>
        </w:rPr>
        <w:t xml:space="preserve">balíček znalostí </w:t>
      </w:r>
      <w:r>
        <w:rPr>
          <w:rFonts w:ascii="Times New Roman" w:hAnsi="Times New Roman"/>
          <w:noProof/>
          <w:sz w:val="24"/>
        </w:rPr>
        <w:t xml:space="preserve">zaměřený na podporu společností působících v oblasti sociálních médií při lepším moderování obsahu týkajícího se drog na jejich platformách. Kromě toho Komise v roce 2024 vytvoří </w:t>
      </w:r>
      <w:r>
        <w:rPr>
          <w:rFonts w:ascii="Times New Roman" w:hAnsi="Times New Roman"/>
          <w:b/>
          <w:noProof/>
          <w:sz w:val="24"/>
        </w:rPr>
        <w:t>IT nástroj</w:t>
      </w:r>
      <w:r>
        <w:rPr>
          <w:rFonts w:ascii="Times New Roman" w:hAnsi="Times New Roman"/>
          <w:noProof/>
          <w:sz w:val="24"/>
        </w:rPr>
        <w:t xml:space="preserve">, který bude pomáhat donucovacím orgánům </w:t>
      </w:r>
      <w:r>
        <w:rPr>
          <w:rFonts w:ascii="Times New Roman" w:hAnsi="Times New Roman"/>
          <w:b/>
          <w:noProof/>
          <w:sz w:val="24"/>
        </w:rPr>
        <w:t>monitorovat darknet</w:t>
      </w:r>
      <w:r>
        <w:rPr>
          <w:rFonts w:ascii="Times New Roman" w:hAnsi="Times New Roman"/>
          <w:noProof/>
          <w:sz w:val="24"/>
        </w:rPr>
        <w:t xml:space="preserve"> za účelem boje proti obchodu s drogami</w:t>
      </w:r>
      <w:r w:rsidR="00DC06BF" w:rsidRPr="002932F0">
        <w:rPr>
          <w:rStyle w:val="FootnoteReference0"/>
          <w:rFonts w:ascii="Times New Roman" w:hAnsi="Times New Roman"/>
          <w:noProof/>
          <w:sz w:val="24"/>
          <w:lang w:val="en-GB"/>
        </w:rPr>
        <w:footnoteReference w:id="46"/>
      </w:r>
      <w:r>
        <w:rPr>
          <w:rFonts w:ascii="Times New Roman" w:hAnsi="Times New Roman"/>
          <w:noProof/>
          <w:sz w:val="24"/>
        </w:rPr>
        <w:t>.</w:t>
      </w:r>
      <w:r>
        <w:rPr>
          <w:noProof/>
        </w:rPr>
        <w:t xml:space="preserve"> </w:t>
      </w:r>
      <w:r>
        <w:rPr>
          <w:rFonts w:ascii="Times New Roman" w:hAnsi="Times New Roman"/>
          <w:noProof/>
          <w:sz w:val="24"/>
        </w:rPr>
        <w:t>A konečně, v rámci programu Horizont Evropa bude Komise od listopadu 2023 financovat výzkumný projekt v oblasti bezpečnosti využívající umělou inteligenci v boji proti výrobě nelegálních drog a obchodu s nimi.</w:t>
      </w:r>
    </w:p>
    <w:p w14:paraId="06DAC192" w14:textId="77777777" w:rsidR="004501C2" w:rsidRPr="00EA4C6E" w:rsidRDefault="004501C2" w:rsidP="005B4A60">
      <w:pPr>
        <w:spacing w:after="0" w:line="257" w:lineRule="auto"/>
        <w:jc w:val="both"/>
        <w:rPr>
          <w:rFonts w:ascii="Times New Roman" w:hAnsi="Times New Roman"/>
          <w:noProof/>
          <w:sz w:val="24"/>
        </w:rPr>
      </w:pPr>
    </w:p>
    <w:p w14:paraId="78080EBD" w14:textId="166DEA39" w:rsidR="00952345" w:rsidRPr="00EA4C6E" w:rsidRDefault="00952345" w:rsidP="005B4A60">
      <w:pPr>
        <w:spacing w:after="0" w:line="257" w:lineRule="auto"/>
        <w:jc w:val="both"/>
        <w:rPr>
          <w:rFonts w:ascii="Times New Roman" w:hAnsi="Times New Roman"/>
          <w:noProof/>
          <w:sz w:val="24"/>
        </w:rPr>
      </w:pPr>
    </w:p>
    <w:p w14:paraId="313C87B4" w14:textId="38333227" w:rsidR="005B4A60" w:rsidRPr="002932F0" w:rsidRDefault="005B4A60" w:rsidP="005B4A60">
      <w:pPr>
        <w:spacing w:after="0" w:line="252" w:lineRule="auto"/>
        <w:jc w:val="both"/>
        <w:rPr>
          <w:rFonts w:ascii="Times New Roman" w:hAnsi="Times New Roman"/>
          <w:b/>
          <w:i/>
          <w:noProof/>
          <w:sz w:val="24"/>
        </w:rPr>
      </w:pPr>
      <w:bookmarkStart w:id="19" w:name="_Hlk146103146"/>
      <w:bookmarkEnd w:id="18"/>
      <w:r>
        <w:rPr>
          <w:rFonts w:ascii="Times New Roman" w:hAnsi="Times New Roman"/>
          <w:b/>
          <w:i/>
          <w:noProof/>
          <w:sz w:val="24"/>
        </w:rPr>
        <w:t>Opatření č. 8: Uvolnění potenciálu záznamů v Schengenském informačním systému</w:t>
      </w:r>
    </w:p>
    <w:p w14:paraId="7A2ECF17" w14:textId="258A8B57"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w:t>
      </w:r>
    </w:p>
    <w:p w14:paraId="70CBA93A" w14:textId="77777777" w:rsidR="005B4A60" w:rsidRPr="00EA4C6E" w:rsidRDefault="005B4A60" w:rsidP="005B4A60">
      <w:pPr>
        <w:spacing w:after="0" w:line="252" w:lineRule="auto"/>
        <w:jc w:val="both"/>
        <w:rPr>
          <w:rFonts w:ascii="Times New Roman" w:hAnsi="Times New Roman"/>
          <w:i/>
          <w:noProof/>
          <w:sz w:val="24"/>
        </w:rPr>
      </w:pPr>
    </w:p>
    <w:p w14:paraId="77ABDF41" w14:textId="2054A5B2" w:rsidR="00406A07" w:rsidRPr="002932F0" w:rsidRDefault="00406A07" w:rsidP="005B4A60">
      <w:pPr>
        <w:spacing w:after="0" w:line="252" w:lineRule="auto"/>
        <w:jc w:val="both"/>
        <w:rPr>
          <w:rFonts w:ascii="Times New Roman" w:hAnsi="Times New Roman"/>
          <w:noProof/>
          <w:sz w:val="24"/>
        </w:rPr>
      </w:pPr>
      <w:r>
        <w:rPr>
          <w:rFonts w:ascii="Times New Roman" w:hAnsi="Times New Roman"/>
          <w:noProof/>
          <w:sz w:val="24"/>
        </w:rPr>
        <w:t>Pro odhalování a zadržování pachatelů trestné činnosti je zásadní přeshraniční výměna operačních informací. Funkce Schengenského informačního systému (SIS)</w:t>
      </w:r>
      <w:r>
        <w:rPr>
          <w:rFonts w:ascii="Times New Roman" w:hAnsi="Times New Roman"/>
          <w:b/>
          <w:noProof/>
          <w:sz w:val="24"/>
        </w:rPr>
        <w:t xml:space="preserve"> </w:t>
      </w:r>
      <w:r>
        <w:rPr>
          <w:rFonts w:ascii="Times New Roman" w:hAnsi="Times New Roman"/>
          <w:noProof/>
          <w:sz w:val="24"/>
        </w:rPr>
        <w:t>– podle nového právního rámce, který vstoupil v platnost v březnu 2023</w:t>
      </w:r>
      <w:r w:rsidR="005B4A60" w:rsidRPr="002932F0">
        <w:rPr>
          <w:rStyle w:val="FootnoteReference0"/>
          <w:rFonts w:ascii="Times New Roman" w:hAnsi="Times New Roman"/>
          <w:noProof/>
          <w:sz w:val="24"/>
          <w:lang w:val="en-GB"/>
        </w:rPr>
        <w:footnoteReference w:id="47"/>
      </w:r>
      <w:r>
        <w:rPr>
          <w:rFonts w:ascii="Times New Roman" w:hAnsi="Times New Roman"/>
          <w:noProof/>
          <w:sz w:val="24"/>
        </w:rPr>
        <w:t xml:space="preserve"> – pomáhají zabránit tomu, aby se pachatelé trestné činnosti a teroristé pohybovali v EU nebo do ní vstupovali nepozorovaně. Modernizovaný SIS zahrnuje nové kategorie záznamů a biometrické údaje (např. otisky dlaní, stopy otisků prstů a záznamy DNA), které umožňují správně identifikovat osoby cestující pod falešnou identitou, a informace o automobilech nebo jiných předmětech, které používají. Nové záznamy o osobách a věcech pro účely skrytých, dotazovacích nebo zvláštních kontrol umožňují orgánům shromažďovat cílené informace o osobách podezřelých ze závažné nebo organizované trestné činnosti nebo terorismu.</w:t>
      </w:r>
    </w:p>
    <w:p w14:paraId="483D0346" w14:textId="77777777" w:rsidR="00406A07" w:rsidRPr="00EA4C6E" w:rsidRDefault="00406A07" w:rsidP="005B4A60">
      <w:pPr>
        <w:spacing w:after="0" w:line="252" w:lineRule="auto"/>
        <w:jc w:val="both"/>
        <w:rPr>
          <w:rFonts w:ascii="Times New Roman" w:hAnsi="Times New Roman"/>
          <w:noProof/>
          <w:sz w:val="24"/>
        </w:rPr>
      </w:pPr>
    </w:p>
    <w:p w14:paraId="50280A49" w14:textId="41EE196A" w:rsidR="005B4A60" w:rsidRPr="002932F0" w:rsidRDefault="005B4A60" w:rsidP="005B4A60">
      <w:pPr>
        <w:spacing w:after="0" w:line="252" w:lineRule="auto"/>
        <w:jc w:val="both"/>
        <w:rPr>
          <w:rFonts w:ascii="Times New Roman" w:hAnsi="Times New Roman"/>
          <w:noProof/>
          <w:sz w:val="24"/>
        </w:rPr>
      </w:pPr>
      <w:r>
        <w:rPr>
          <w:rFonts w:ascii="Times New Roman" w:hAnsi="Times New Roman"/>
          <w:noProof/>
          <w:sz w:val="24"/>
        </w:rPr>
        <w:t>Nedávno posílený mandát Europolu navíc umožňuje, aby agentura podporovala členské státy při zpracování údajů předávaných zeměmi mimo EU nebo mezinárodními organizacemi. Europol může rovněž navrhnout, aby členské státy vkládaly informační záznamy do SIS</w:t>
      </w:r>
      <w:r w:rsidRPr="002932F0">
        <w:rPr>
          <w:rStyle w:val="FootnoteReference0"/>
          <w:rFonts w:ascii="Times New Roman" w:hAnsi="Times New Roman"/>
          <w:noProof/>
          <w:sz w:val="24"/>
          <w:lang w:val="en-GB"/>
        </w:rPr>
        <w:footnoteReference w:id="48"/>
      </w:r>
      <w:r>
        <w:rPr>
          <w:rFonts w:ascii="Times New Roman" w:hAnsi="Times New Roman"/>
          <w:noProof/>
          <w:sz w:val="24"/>
        </w:rPr>
        <w:t>.</w:t>
      </w:r>
    </w:p>
    <w:p w14:paraId="2B1F61DF" w14:textId="77777777" w:rsidR="005B4A60" w:rsidRPr="00EA4C6E" w:rsidRDefault="005B4A60" w:rsidP="005B4A60">
      <w:pPr>
        <w:spacing w:after="0" w:line="252" w:lineRule="auto"/>
        <w:jc w:val="both"/>
        <w:rPr>
          <w:rFonts w:ascii="Times New Roman" w:hAnsi="Times New Roman"/>
          <w:b/>
          <w:noProof/>
          <w:sz w:val="24"/>
        </w:rPr>
      </w:pPr>
    </w:p>
    <w:p w14:paraId="6DFA6932" w14:textId="5DA7D5F6" w:rsidR="005B4A60" w:rsidRDefault="005B4A60" w:rsidP="005B4A60">
      <w:pPr>
        <w:spacing w:after="0" w:line="252" w:lineRule="auto"/>
        <w:jc w:val="both"/>
        <w:rPr>
          <w:rFonts w:ascii="Times New Roman" w:hAnsi="Times New Roman"/>
          <w:noProof/>
          <w:sz w:val="24"/>
        </w:rPr>
      </w:pPr>
      <w:r>
        <w:rPr>
          <w:rFonts w:ascii="Times New Roman" w:hAnsi="Times New Roman"/>
          <w:b/>
          <w:noProof/>
          <w:sz w:val="24"/>
        </w:rPr>
        <w:t xml:space="preserve">Členské státy se proto důrazně vyzývají, aby v boji proti závažné a organizované trestné činnosti plně využívaly nástroje dostupné v SIS. </w:t>
      </w:r>
      <w:r>
        <w:rPr>
          <w:rFonts w:ascii="Times New Roman" w:hAnsi="Times New Roman"/>
          <w:noProof/>
          <w:sz w:val="24"/>
        </w:rPr>
        <w:t xml:space="preserve">Zejména je důležité, aby členské státy vkládaly do systému záznamy o členech vysoce rizikových zločineckých sítí nebo osobách, které jim pomáhají, a hlásily pozitivní nálezy Europolu. V březnu 2023 Komise zahájila </w:t>
      </w:r>
      <w:r>
        <w:rPr>
          <w:rFonts w:ascii="Times New Roman" w:hAnsi="Times New Roman"/>
          <w:b/>
          <w:noProof/>
          <w:sz w:val="24"/>
        </w:rPr>
        <w:t>studii, jejímž cílem je prozkoumat, posoudit a navrhnout různé možnosti</w:t>
      </w:r>
      <w:r>
        <w:rPr>
          <w:rFonts w:ascii="Times New Roman" w:hAnsi="Times New Roman"/>
          <w:noProof/>
          <w:sz w:val="24"/>
        </w:rPr>
        <w:t xml:space="preserve"> inovace výměny doplňujících informací o záznamech v SIS ze strany vnitrostátních úřadů (centrál SIRENE), aby bylo možné tyto informace lépe využívat. V roce 2026 provede Komise celkové hodnocení centrálního SIS, výměny doplňujících informací mezi vnitrostátními orgány, včetně posouzení systému automatizované identifikace otisků prstů, a informačních kampaní SIS.</w:t>
      </w:r>
    </w:p>
    <w:p w14:paraId="0AC8289E" w14:textId="77777777" w:rsidR="004501C2" w:rsidRPr="00EA4C6E" w:rsidRDefault="004501C2" w:rsidP="005B4A60">
      <w:pPr>
        <w:spacing w:after="0" w:line="252" w:lineRule="auto"/>
        <w:jc w:val="both"/>
        <w:rPr>
          <w:rFonts w:ascii="Times New Roman" w:hAnsi="Times New Roman"/>
          <w:noProof/>
          <w:sz w:val="24"/>
        </w:rPr>
      </w:pPr>
    </w:p>
    <w:p w14:paraId="3F514434" w14:textId="77777777" w:rsidR="00710254" w:rsidRPr="00EA4C6E" w:rsidRDefault="00710254" w:rsidP="005B4A60">
      <w:pPr>
        <w:spacing w:after="0" w:line="252" w:lineRule="auto"/>
        <w:jc w:val="both"/>
        <w:rPr>
          <w:rFonts w:ascii="Times New Roman" w:hAnsi="Times New Roman"/>
          <w:noProof/>
          <w:sz w:val="24"/>
        </w:rPr>
      </w:pPr>
    </w:p>
    <w:p w14:paraId="1E1C29A2" w14:textId="51CB9746" w:rsidR="00952345" w:rsidRPr="002932F0" w:rsidRDefault="00952345" w:rsidP="00952345">
      <w:pPr>
        <w:autoSpaceDE w:val="0"/>
        <w:autoSpaceDN w:val="0"/>
        <w:spacing w:after="0" w:line="252" w:lineRule="auto"/>
        <w:jc w:val="both"/>
        <w:rPr>
          <w:rFonts w:ascii="Times New Roman" w:hAnsi="Times New Roman"/>
          <w:b/>
          <w:i/>
          <w:noProof/>
          <w:sz w:val="24"/>
        </w:rPr>
      </w:pPr>
      <w:r>
        <w:rPr>
          <w:rFonts w:ascii="Times New Roman" w:hAnsi="Times New Roman"/>
          <w:b/>
          <w:i/>
          <w:noProof/>
          <w:sz w:val="24"/>
        </w:rPr>
        <w:t>Opatření č. 9: Na cestě k pevnějšímu právnímu rámci</w:t>
      </w:r>
      <w:bookmarkStart w:id="20" w:name="_Hlk141358456"/>
      <w:r>
        <w:rPr>
          <w:rFonts w:ascii="Times New Roman" w:hAnsi="Times New Roman"/>
          <w:b/>
          <w:i/>
          <w:noProof/>
          <w:sz w:val="24"/>
        </w:rPr>
        <w:t xml:space="preserve"> pro boj proti organizované trestné činnosti</w:t>
      </w:r>
    </w:p>
    <w:bookmarkEnd w:id="20"/>
    <w:p w14:paraId="3975E5D9" w14:textId="6E4AAC2D" w:rsidR="00952345" w:rsidRPr="002932F0" w:rsidRDefault="00952345" w:rsidP="00952345">
      <w:pPr>
        <w:spacing w:after="0" w:line="252" w:lineRule="auto"/>
        <w:jc w:val="both"/>
        <w:rPr>
          <w:rFonts w:ascii="Times New Roman" w:hAnsi="Times New Roman"/>
          <w:i/>
          <w:noProof/>
          <w:sz w:val="24"/>
        </w:rPr>
      </w:pPr>
      <w:r>
        <w:rPr>
          <w:rFonts w:ascii="Times New Roman" w:hAnsi="Times New Roman"/>
          <w:i/>
          <w:noProof/>
          <w:sz w:val="24"/>
        </w:rPr>
        <w:t>Hlavní aktéři: Komise, Evropský parlament, Rada, vysoký představitel</w:t>
      </w:r>
    </w:p>
    <w:p w14:paraId="7AFF7FEF" w14:textId="77777777" w:rsidR="00952345" w:rsidRPr="00EA4C6E" w:rsidRDefault="00952345" w:rsidP="00952345">
      <w:pPr>
        <w:spacing w:after="0" w:line="252" w:lineRule="auto"/>
        <w:jc w:val="both"/>
        <w:rPr>
          <w:rFonts w:ascii="Times New Roman" w:hAnsi="Times New Roman"/>
          <w:b/>
          <w:noProof/>
          <w:sz w:val="24"/>
        </w:rPr>
      </w:pPr>
    </w:p>
    <w:p w14:paraId="36DBE651" w14:textId="625189CB" w:rsidR="00952345" w:rsidRPr="002932F0" w:rsidRDefault="00952345" w:rsidP="00952345">
      <w:pPr>
        <w:autoSpaceDE w:val="0"/>
        <w:autoSpaceDN w:val="0"/>
        <w:spacing w:after="0" w:line="252" w:lineRule="auto"/>
        <w:jc w:val="both"/>
        <w:rPr>
          <w:rFonts w:ascii="Times New Roman" w:hAnsi="Times New Roman"/>
          <w:noProof/>
          <w:sz w:val="24"/>
        </w:rPr>
      </w:pPr>
      <w:r>
        <w:rPr>
          <w:rFonts w:ascii="Times New Roman" w:hAnsi="Times New Roman"/>
          <w:noProof/>
          <w:sz w:val="24"/>
        </w:rPr>
        <w:t>Účinný právní rámec EU je nezbytný k tomu, aby donucovací a justiční orgány měly k dispozici nástroje nezbytné pro boj proti organizované trestné činnosti. Studie zveřejněná v únoru 2023, která hodnotila účinnost rámcového rozhodnutí o boji proti organizované trestné činnosti z roku 2008</w:t>
      </w:r>
      <w:r w:rsidRPr="002932F0">
        <w:rPr>
          <w:rStyle w:val="FootnoteReference0"/>
          <w:rFonts w:ascii="Times New Roman" w:hAnsi="Times New Roman"/>
          <w:noProof/>
          <w:sz w:val="24"/>
          <w:lang w:val="en-GB"/>
        </w:rPr>
        <w:footnoteReference w:id="49"/>
      </w:r>
      <w:r>
        <w:rPr>
          <w:rFonts w:ascii="Times New Roman" w:hAnsi="Times New Roman"/>
          <w:noProof/>
          <w:sz w:val="24"/>
        </w:rPr>
        <w:t xml:space="preserve">, poukázala na </w:t>
      </w:r>
      <w:r>
        <w:rPr>
          <w:rFonts w:ascii="Times New Roman" w:hAnsi="Times New Roman"/>
          <w:b/>
          <w:noProof/>
          <w:sz w:val="24"/>
        </w:rPr>
        <w:t>velké rozdíly mezi členskými státy, pokud jde o trestné činy, tresty a vyšetřovací nástroje</w:t>
      </w:r>
      <w:r>
        <w:rPr>
          <w:rFonts w:ascii="Times New Roman" w:hAnsi="Times New Roman"/>
          <w:noProof/>
          <w:sz w:val="24"/>
        </w:rPr>
        <w:t xml:space="preserve"> související s účastí na zločinném spolčení. Tyto rozdíly vytvářejí překážky v přeshraniční spolupráci a mohou odrazovat orgány od vyšetřování zločineckých sítí a jejich členů.</w:t>
      </w:r>
    </w:p>
    <w:p w14:paraId="2D1F79E2" w14:textId="77777777" w:rsidR="00952345" w:rsidRPr="00EA4C6E" w:rsidRDefault="00952345" w:rsidP="00952345">
      <w:pPr>
        <w:autoSpaceDE w:val="0"/>
        <w:autoSpaceDN w:val="0"/>
        <w:spacing w:after="0" w:line="252" w:lineRule="auto"/>
        <w:jc w:val="both"/>
        <w:rPr>
          <w:rFonts w:ascii="Times New Roman" w:hAnsi="Times New Roman"/>
          <w:noProof/>
          <w:sz w:val="24"/>
        </w:rPr>
      </w:pPr>
    </w:p>
    <w:p w14:paraId="45940477" w14:textId="2D4A331E" w:rsidR="001D2E8C" w:rsidRPr="002932F0" w:rsidRDefault="00627E84" w:rsidP="001D2E8C">
      <w:pPr>
        <w:autoSpaceDE w:val="0"/>
        <w:autoSpaceDN w:val="0"/>
        <w:spacing w:after="0" w:line="252" w:lineRule="auto"/>
        <w:jc w:val="both"/>
        <w:rPr>
          <w:rFonts w:ascii="Times New Roman" w:hAnsi="Times New Roman"/>
          <w:noProof/>
          <w:sz w:val="24"/>
        </w:rPr>
      </w:pPr>
      <w:bookmarkStart w:id="21" w:name="_Hlk146526692"/>
      <w:r>
        <w:rPr>
          <w:rFonts w:ascii="Times New Roman" w:hAnsi="Times New Roman"/>
          <w:noProof/>
          <w:sz w:val="24"/>
        </w:rPr>
        <w:t>V zájmu odstranění zjištěných nedostatků bude Komise spolupracovat s členskými státy, Evropským parlamentem, agenturami a subjekty EU a dalšími zúčastněnými stranami na posílení</w:t>
      </w:r>
      <w:r>
        <w:rPr>
          <w:rFonts w:ascii="Times New Roman" w:hAnsi="Times New Roman"/>
          <w:b/>
          <w:noProof/>
          <w:sz w:val="24"/>
        </w:rPr>
        <w:t xml:space="preserve"> právního rámce pro boj proti organizované trestné činnosti </w:t>
      </w:r>
      <w:r>
        <w:rPr>
          <w:rFonts w:ascii="Times New Roman" w:hAnsi="Times New Roman"/>
          <w:noProof/>
          <w:sz w:val="24"/>
        </w:rPr>
        <w:t xml:space="preserve">a na jeho provádění. Posouzení stávajícího právního rámce bude rovněž vyžadovat posouzení </w:t>
      </w:r>
      <w:r>
        <w:rPr>
          <w:rFonts w:ascii="Times New Roman" w:hAnsi="Times New Roman"/>
          <w:b/>
          <w:noProof/>
          <w:sz w:val="24"/>
        </w:rPr>
        <w:t>harmonizovaných právních definic</w:t>
      </w:r>
      <w:r>
        <w:rPr>
          <w:rFonts w:ascii="Times New Roman" w:hAnsi="Times New Roman"/>
          <w:noProof/>
          <w:sz w:val="24"/>
        </w:rPr>
        <w:t xml:space="preserve"> organizované trestné činnosti a jejich přizpůsobení realitě zločineckých sítí a jejich klíčových členů, aby byly zajištěny </w:t>
      </w:r>
      <w:r>
        <w:rPr>
          <w:rFonts w:ascii="Times New Roman" w:hAnsi="Times New Roman"/>
          <w:b/>
          <w:noProof/>
          <w:sz w:val="24"/>
        </w:rPr>
        <w:t>odrazující sankce</w:t>
      </w:r>
      <w:r>
        <w:rPr>
          <w:rFonts w:ascii="Times New Roman" w:hAnsi="Times New Roman"/>
          <w:noProof/>
          <w:sz w:val="24"/>
        </w:rPr>
        <w:t xml:space="preserve"> za účast ve zločinném spolčení nebo za vedení zločinecké organizace. Aby příslušné orgány mohly lépe odhalovat a vyšetřovat organizovanou trestnou činnost, měl by přezkum prozkoumat opatření, která zajistí, aby orgány měly k dispozici vhodné </w:t>
      </w:r>
      <w:r>
        <w:rPr>
          <w:rFonts w:ascii="Times New Roman" w:hAnsi="Times New Roman"/>
          <w:b/>
          <w:noProof/>
          <w:sz w:val="24"/>
        </w:rPr>
        <w:t>speciální vyšetřovací techniky</w:t>
      </w:r>
      <w:r>
        <w:rPr>
          <w:rFonts w:ascii="Times New Roman" w:hAnsi="Times New Roman"/>
          <w:noProof/>
          <w:sz w:val="24"/>
        </w:rPr>
        <w:t xml:space="preserve">. Mělo by se uvažovat o potřebě dalších opatření, jako jsou </w:t>
      </w:r>
      <w:r>
        <w:rPr>
          <w:rFonts w:ascii="Times New Roman" w:hAnsi="Times New Roman"/>
          <w:b/>
          <w:noProof/>
          <w:sz w:val="24"/>
        </w:rPr>
        <w:t>vnitrostátní strategie pro boj s organizovanou trestnou činností</w:t>
      </w:r>
      <w:r>
        <w:rPr>
          <w:rFonts w:ascii="Times New Roman" w:hAnsi="Times New Roman"/>
          <w:noProof/>
          <w:sz w:val="24"/>
        </w:rPr>
        <w:t xml:space="preserve"> a </w:t>
      </w:r>
      <w:r>
        <w:rPr>
          <w:rFonts w:ascii="Times New Roman" w:hAnsi="Times New Roman"/>
          <w:b/>
          <w:noProof/>
          <w:sz w:val="24"/>
        </w:rPr>
        <w:t>specializované jednotky</w:t>
      </w:r>
      <w:r>
        <w:rPr>
          <w:rFonts w:ascii="Times New Roman" w:hAnsi="Times New Roman"/>
          <w:noProof/>
          <w:sz w:val="24"/>
        </w:rPr>
        <w:t xml:space="preserve"> s odbornými znalostmi z několika oborů, které by prováděly složitá vyšetřování. Dále by měl přezkum prozkoumat, zda bude nutné přijmout opatření na úrovni EU, která by usnadnila spolupráci </w:t>
      </w:r>
      <w:r>
        <w:rPr>
          <w:rFonts w:ascii="Times New Roman" w:hAnsi="Times New Roman"/>
          <w:b/>
          <w:noProof/>
          <w:sz w:val="24"/>
        </w:rPr>
        <w:t>korunních svědků</w:t>
      </w:r>
      <w:r>
        <w:rPr>
          <w:rFonts w:ascii="Times New Roman" w:hAnsi="Times New Roman"/>
          <w:noProof/>
          <w:sz w:val="24"/>
        </w:rPr>
        <w:t xml:space="preserve">. </w:t>
      </w:r>
    </w:p>
    <w:p w14:paraId="3E987B38" w14:textId="77777777" w:rsidR="00F618C1" w:rsidRPr="00EA4C6E" w:rsidRDefault="00F618C1" w:rsidP="001D2E8C">
      <w:pPr>
        <w:autoSpaceDE w:val="0"/>
        <w:autoSpaceDN w:val="0"/>
        <w:spacing w:after="0" w:line="252" w:lineRule="auto"/>
        <w:jc w:val="both"/>
        <w:rPr>
          <w:rFonts w:ascii="Times New Roman" w:hAnsi="Times New Roman"/>
          <w:noProof/>
          <w:sz w:val="24"/>
        </w:rPr>
      </w:pPr>
    </w:p>
    <w:p w14:paraId="7DC421A0" w14:textId="5F05B9A3" w:rsidR="00F618C1" w:rsidRPr="002932F0" w:rsidRDefault="00627E84" w:rsidP="001D2E8C">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Konkrétně v oblasti obchodu s drogami bude v roce 2024 vyhodnoceno </w:t>
      </w:r>
      <w:r>
        <w:rPr>
          <w:rFonts w:ascii="Times New Roman" w:hAnsi="Times New Roman"/>
          <w:b/>
          <w:noProof/>
          <w:sz w:val="24"/>
        </w:rPr>
        <w:t>rámcové rozhodnutí Rady 2004/757/SVV, kterým se stanoví minimální ustanovení týkající se znaků skutkových podstat trestných činů a sankcí v oblasti nedovoleného obchodu s drogami</w:t>
      </w:r>
      <w:r w:rsidR="00F618C1" w:rsidRPr="002932F0">
        <w:rPr>
          <w:rStyle w:val="FootnoteReference0"/>
          <w:rFonts w:ascii="Times New Roman" w:hAnsi="Times New Roman"/>
          <w:noProof/>
          <w:sz w:val="24"/>
          <w:lang w:val="en-GB"/>
        </w:rPr>
        <w:footnoteReference w:id="50"/>
      </w:r>
      <w:r>
        <w:rPr>
          <w:rFonts w:ascii="Times New Roman" w:hAnsi="Times New Roman"/>
          <w:noProof/>
          <w:sz w:val="24"/>
        </w:rPr>
        <w:t>. Mohla by se změnit, modernizovat a posílit pravidla, zejména ta, která se týkají trestních sankcí.</w:t>
      </w:r>
    </w:p>
    <w:bookmarkEnd w:id="21"/>
    <w:p w14:paraId="03EEE64D" w14:textId="77777777" w:rsidR="001D2E8C" w:rsidRPr="00EA4C6E" w:rsidRDefault="001D2E8C" w:rsidP="00952345">
      <w:pPr>
        <w:autoSpaceDE w:val="0"/>
        <w:autoSpaceDN w:val="0"/>
        <w:spacing w:after="0" w:line="252" w:lineRule="auto"/>
        <w:jc w:val="both"/>
        <w:rPr>
          <w:rFonts w:ascii="Times New Roman" w:hAnsi="Times New Roman"/>
          <w:noProof/>
          <w:sz w:val="24"/>
        </w:rPr>
      </w:pPr>
    </w:p>
    <w:p w14:paraId="661BBFE7" w14:textId="1C974ACE" w:rsidR="00F33CC2" w:rsidRPr="002932F0" w:rsidRDefault="00F33CC2" w:rsidP="00F33CC2">
      <w:pPr>
        <w:jc w:val="both"/>
        <w:rPr>
          <w:rFonts w:ascii="Times New Roman" w:hAnsi="Times New Roman" w:cs="Times New Roman"/>
          <w:noProof/>
          <w:sz w:val="24"/>
          <w:szCs w:val="24"/>
        </w:rPr>
      </w:pPr>
      <w:r>
        <w:rPr>
          <w:rFonts w:ascii="Times New Roman" w:hAnsi="Times New Roman"/>
          <w:noProof/>
          <w:sz w:val="24"/>
        </w:rPr>
        <w:t>Na úrovni EU by se mělo dále uvažovat o tom, zda by mohla být vhodná další opatření, která by omezila možnost přístupu členů zločineckých sítí na vnitřní trh EU. Cenným doplňkem práce donucovacích orgánů by mohla být některá opatření uplatňovaná třetími zeměmi, která odříznou pachatele trestné činnosti od finančních prostředků, jež jim umožňují pronikat do ekonomiky, a omezují jejich schopnost působit přes hranice, zejména pokud se podezřelý nachází mimo EU.</w:t>
      </w:r>
    </w:p>
    <w:p w14:paraId="67C65ACF" w14:textId="77777777" w:rsidR="00B12788" w:rsidRPr="00EA4C6E" w:rsidRDefault="00B12788" w:rsidP="00952345">
      <w:pPr>
        <w:autoSpaceDE w:val="0"/>
        <w:autoSpaceDN w:val="0"/>
        <w:spacing w:after="0" w:line="252" w:lineRule="auto"/>
        <w:jc w:val="both"/>
        <w:rPr>
          <w:rFonts w:ascii="Times New Roman" w:hAnsi="Times New Roman"/>
          <w:noProof/>
          <w:sz w:val="24"/>
        </w:rPr>
      </w:pPr>
    </w:p>
    <w:bookmarkEnd w:id="19"/>
    <w:p w14:paraId="4E9A8010" w14:textId="4D64C569" w:rsidR="00B279E0" w:rsidRPr="002932F0" w:rsidRDefault="00B279E0" w:rsidP="00E12D9E">
      <w:pPr>
        <w:pStyle w:val="Style2"/>
        <w:rPr>
          <w:noProof/>
        </w:rPr>
      </w:pPr>
      <w:r>
        <w:rPr>
          <w:noProof/>
        </w:rPr>
        <w:t>Předcházení trestné činnosti</w:t>
      </w:r>
    </w:p>
    <w:p w14:paraId="110DDD48" w14:textId="1D19D21E" w:rsidR="00FA7A7A" w:rsidRPr="002932F0" w:rsidRDefault="00FA7A7A" w:rsidP="00FA7A7A">
      <w:pPr>
        <w:spacing w:after="0" w:line="252" w:lineRule="auto"/>
        <w:jc w:val="both"/>
        <w:rPr>
          <w:rFonts w:ascii="Times New Roman" w:hAnsi="Times New Roman"/>
          <w:b/>
          <w:noProof/>
          <w:sz w:val="24"/>
          <w:lang w:val="en-GB"/>
        </w:rPr>
      </w:pPr>
    </w:p>
    <w:p w14:paraId="7D5FFDAC" w14:textId="17EE3DC3" w:rsidR="00AC4E12" w:rsidRPr="002932F0" w:rsidRDefault="00995D40" w:rsidP="00AC4E12">
      <w:pPr>
        <w:spacing w:after="0" w:line="252" w:lineRule="auto"/>
        <w:jc w:val="both"/>
        <w:rPr>
          <w:rFonts w:ascii="Times New Roman" w:hAnsi="Times New Roman"/>
          <w:noProof/>
          <w:sz w:val="24"/>
        </w:rPr>
      </w:pPr>
      <w:r>
        <w:rPr>
          <w:rFonts w:ascii="Times New Roman" w:hAnsi="Times New Roman"/>
          <w:noProof/>
          <w:sz w:val="24"/>
        </w:rPr>
        <w:t xml:space="preserve">Komise považuje </w:t>
      </w:r>
      <w:r>
        <w:rPr>
          <w:rFonts w:ascii="Times New Roman" w:hAnsi="Times New Roman"/>
          <w:b/>
          <w:noProof/>
          <w:sz w:val="24"/>
        </w:rPr>
        <w:t>předcházení trestné činnosti za nedílnou součást dlouhodobé reakce v boji proti organizované trestné činnosti</w:t>
      </w:r>
      <w:r>
        <w:rPr>
          <w:rFonts w:ascii="Times New Roman" w:hAnsi="Times New Roman"/>
          <w:noProof/>
          <w:sz w:val="24"/>
        </w:rPr>
        <w:t>. Politika EU v oblasti předcházení trestné činnosti se zaměřuje na vytváření technických nebo administrativních překážek, které jednotlivcům brání v páchání trestné činnosti. Kromě toho podporuje výměnu zkušeností a osvědčených postupů s cílem zmírnit faktory, které podporují trestnou činnost a recidivu, včetně snahy zabránit tomu, aby se lidé dostávali do zranitelných situací, které je mohou vést k trestné činnosti. Prevence je nedílnou součástí bezpečnostní politiky EU a týká se drog</w:t>
      </w:r>
      <w:r w:rsidR="001701BE" w:rsidRPr="002932F0">
        <w:rPr>
          <w:rStyle w:val="FootnoteReference0"/>
          <w:rFonts w:ascii="Times New Roman" w:hAnsi="Times New Roman"/>
          <w:noProof/>
          <w:sz w:val="24"/>
          <w:lang w:val="en-GB"/>
        </w:rPr>
        <w:footnoteReference w:id="51"/>
      </w:r>
      <w:r>
        <w:rPr>
          <w:rFonts w:ascii="Times New Roman" w:hAnsi="Times New Roman"/>
          <w:noProof/>
          <w:sz w:val="24"/>
        </w:rPr>
        <w:t>, korupce</w:t>
      </w:r>
      <w:r w:rsidR="001701BE" w:rsidRPr="002932F0">
        <w:rPr>
          <w:rStyle w:val="FootnoteReference0"/>
          <w:rFonts w:ascii="Times New Roman" w:hAnsi="Times New Roman"/>
          <w:noProof/>
          <w:sz w:val="24"/>
          <w:lang w:val="en-GB"/>
        </w:rPr>
        <w:footnoteReference w:id="52"/>
      </w:r>
      <w:r>
        <w:rPr>
          <w:rFonts w:ascii="Times New Roman" w:hAnsi="Times New Roman"/>
          <w:noProof/>
          <w:sz w:val="24"/>
        </w:rPr>
        <w:t>, kyberkriminality</w:t>
      </w:r>
      <w:r w:rsidR="001701BE" w:rsidRPr="002932F0">
        <w:rPr>
          <w:rStyle w:val="FootnoteReference0"/>
          <w:rFonts w:ascii="Times New Roman" w:hAnsi="Times New Roman"/>
          <w:noProof/>
          <w:sz w:val="24"/>
          <w:lang w:val="en-GB"/>
        </w:rPr>
        <w:footnoteReference w:id="53"/>
      </w:r>
      <w:r>
        <w:rPr>
          <w:rFonts w:ascii="Times New Roman" w:hAnsi="Times New Roman"/>
          <w:noProof/>
          <w:sz w:val="24"/>
        </w:rPr>
        <w:t xml:space="preserve"> a mnoha dalších oblastí.</w:t>
      </w:r>
    </w:p>
    <w:p w14:paraId="0E6FAF2A" w14:textId="77777777" w:rsidR="00074D49" w:rsidRPr="00EA4C6E" w:rsidRDefault="00074D49" w:rsidP="00AC4E12">
      <w:pPr>
        <w:spacing w:after="0" w:line="252" w:lineRule="auto"/>
        <w:jc w:val="both"/>
        <w:rPr>
          <w:rStyle w:val="normaltextrun"/>
          <w:rFonts w:ascii="Times New Roman" w:hAnsi="Times New Roman"/>
          <w:noProof/>
          <w:sz w:val="24"/>
        </w:rPr>
      </w:pPr>
    </w:p>
    <w:p w14:paraId="2E8FB479" w14:textId="7E296C12" w:rsidR="00AC4E12" w:rsidRDefault="00AC4E12" w:rsidP="00AC4E12">
      <w:pPr>
        <w:spacing w:after="0" w:line="252" w:lineRule="auto"/>
        <w:jc w:val="both"/>
        <w:rPr>
          <w:rStyle w:val="normaltextrun"/>
          <w:rFonts w:ascii="Times New Roman" w:hAnsi="Times New Roman"/>
          <w:noProof/>
          <w:sz w:val="24"/>
        </w:rPr>
      </w:pPr>
      <w:r>
        <w:rPr>
          <w:rStyle w:val="normaltextrun"/>
          <w:rFonts w:ascii="Times New Roman" w:hAnsi="Times New Roman"/>
          <w:b/>
          <w:noProof/>
          <w:sz w:val="24"/>
        </w:rPr>
        <w:t>Multidisciplinární a meziagenturní přístup</w:t>
      </w:r>
      <w:r>
        <w:rPr>
          <w:rStyle w:val="normaltextrun"/>
          <w:rFonts w:ascii="Times New Roman" w:hAnsi="Times New Roman"/>
          <w:noProof/>
          <w:sz w:val="24"/>
        </w:rPr>
        <w:t xml:space="preserve"> k předcházení trestné činnosti by měl zahrnovat úzkou spolupráci s místními orgány a občanskou společností. To může přispět ke snížení pravděpodobnosti páchání trestné činnosti vytvářením bariér, zvyšováním informovanosti potenciálních obětí a podporou zranitelných osob a komunit, aby se snížilo riziko pádu do kriminality. Komise podporuje členské státy a místní tvůrce politik a odborníky při </w:t>
      </w:r>
      <w:r>
        <w:rPr>
          <w:rStyle w:val="normaltextrun"/>
          <w:rFonts w:ascii="Times New Roman" w:hAnsi="Times New Roman"/>
          <w:b/>
          <w:noProof/>
          <w:sz w:val="24"/>
        </w:rPr>
        <w:t>prosazování politik a nástrojů založených na důkazech za účelem předcházení trestné činnosti</w:t>
      </w:r>
      <w:r>
        <w:rPr>
          <w:rStyle w:val="normaltextrun"/>
          <w:rFonts w:ascii="Times New Roman" w:hAnsi="Times New Roman"/>
          <w:noProof/>
          <w:sz w:val="24"/>
        </w:rPr>
        <w:t xml:space="preserve">. Komise rovněž zdůrazňuje, že je třeba, aby se tvůrci politik a odborníci z praxe na unijní, vnitrostátní i místní úrovni </w:t>
      </w:r>
      <w:r>
        <w:rPr>
          <w:rStyle w:val="normaltextrun"/>
          <w:rFonts w:ascii="Times New Roman" w:hAnsi="Times New Roman"/>
          <w:b/>
          <w:noProof/>
          <w:sz w:val="24"/>
        </w:rPr>
        <w:t>propojovali a vyměňovali si informace</w:t>
      </w:r>
      <w:r>
        <w:rPr>
          <w:rStyle w:val="normaltextrun"/>
          <w:rFonts w:ascii="Times New Roman" w:hAnsi="Times New Roman"/>
          <w:noProof/>
          <w:sz w:val="24"/>
        </w:rPr>
        <w:t xml:space="preserve"> prostřednictvím jasně určených a dobře zavedených kanálů pro šíření informací a komunikaci.</w:t>
      </w:r>
    </w:p>
    <w:p w14:paraId="1623EF6B" w14:textId="77777777" w:rsidR="004501C2" w:rsidRPr="00EA4C6E" w:rsidRDefault="004501C2" w:rsidP="00AC4E12">
      <w:pPr>
        <w:spacing w:after="0" w:line="252" w:lineRule="auto"/>
        <w:jc w:val="both"/>
        <w:rPr>
          <w:rStyle w:val="normaltextrun"/>
          <w:rFonts w:ascii="Times New Roman" w:hAnsi="Times New Roman"/>
          <w:noProof/>
          <w:sz w:val="24"/>
        </w:rPr>
      </w:pPr>
    </w:p>
    <w:p w14:paraId="4C0F75F1" w14:textId="77777777" w:rsidR="00AC4E12" w:rsidRPr="00EA4C6E" w:rsidRDefault="00AC4E12" w:rsidP="00AC4E12">
      <w:pPr>
        <w:spacing w:after="0" w:line="252" w:lineRule="auto"/>
        <w:rPr>
          <w:rFonts w:ascii="Times New Roman" w:hAnsi="Times New Roman"/>
          <w:b/>
          <w:noProof/>
          <w:sz w:val="24"/>
        </w:rPr>
      </w:pPr>
    </w:p>
    <w:p w14:paraId="7D423F88" w14:textId="6E5395C1"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Opatření č. 10: Předcházení organizované trestné činnosti prostřednictvím správních opatření</w:t>
      </w:r>
    </w:p>
    <w:p w14:paraId="718C407C" w14:textId="17A4F950"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Europol, Evropská síť pro správní přístup</w:t>
      </w:r>
    </w:p>
    <w:p w14:paraId="2C92CD75" w14:textId="77777777" w:rsidR="00624A39" w:rsidRPr="00EA4C6E" w:rsidRDefault="00624A39" w:rsidP="00624A39">
      <w:pPr>
        <w:spacing w:after="0" w:line="252" w:lineRule="auto"/>
        <w:jc w:val="both"/>
        <w:rPr>
          <w:rFonts w:ascii="Times New Roman" w:hAnsi="Times New Roman"/>
          <w:b/>
          <w:noProof/>
          <w:sz w:val="24"/>
        </w:rPr>
      </w:pPr>
    </w:p>
    <w:p w14:paraId="36F2861C" w14:textId="79485C05" w:rsidR="007E6B7E" w:rsidRPr="002932F0" w:rsidRDefault="00E97B38" w:rsidP="00AC4E12">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Více než 80 % zločineckých sítí, které dnes působí v EU, využívá ke své trestné činnosti legální obchodní struktury</w:t>
      </w:r>
      <w:r w:rsidRPr="002932F0">
        <w:rPr>
          <w:rStyle w:val="FootnoteReference0"/>
          <w:rFonts w:ascii="Times New Roman" w:hAnsi="Times New Roman"/>
          <w:noProof/>
          <w:color w:val="000000"/>
          <w:sz w:val="24"/>
          <w:shd w:val="clear" w:color="auto" w:fill="FFFFFF"/>
          <w:lang w:val="en-GB"/>
        </w:rPr>
        <w:footnoteReference w:id="54"/>
      </w:r>
      <w:r>
        <w:rPr>
          <w:rStyle w:val="normaltextrun"/>
          <w:rFonts w:ascii="Times New Roman" w:hAnsi="Times New Roman"/>
          <w:noProof/>
          <w:color w:val="000000"/>
          <w:sz w:val="24"/>
          <w:shd w:val="clear" w:color="auto" w:fill="FFFFFF"/>
        </w:rPr>
        <w:t xml:space="preserve">. Zakládají například malé podniky, aby vypraly své nezákonné zisky, nebo se účastní veřejných zakázek a podvádějí veřejné instituce. Proto je nezbytné, aby </w:t>
      </w:r>
      <w:r>
        <w:rPr>
          <w:rStyle w:val="normaltextrun"/>
          <w:rFonts w:ascii="Times New Roman" w:hAnsi="Times New Roman"/>
          <w:b/>
          <w:noProof/>
          <w:color w:val="000000"/>
          <w:sz w:val="24"/>
          <w:shd w:val="clear" w:color="auto" w:fill="FFFFFF"/>
        </w:rPr>
        <w:t>správní orgány věděly</w:t>
      </w:r>
      <w:r>
        <w:rPr>
          <w:rStyle w:val="normaltextrun"/>
          <w:rFonts w:ascii="Times New Roman" w:hAnsi="Times New Roman"/>
          <w:noProof/>
          <w:color w:val="000000"/>
          <w:sz w:val="24"/>
          <w:shd w:val="clear" w:color="auto" w:fill="FFFFFF"/>
        </w:rPr>
        <w:t xml:space="preserve">, jak významnou roli mohou hrát v boji proti organizované trestné činnosti. Dále </w:t>
      </w:r>
      <w:r>
        <w:rPr>
          <w:rStyle w:val="normaltextrun"/>
          <w:rFonts w:ascii="Times New Roman" w:hAnsi="Times New Roman"/>
          <w:b/>
          <w:noProof/>
          <w:color w:val="000000"/>
          <w:sz w:val="24"/>
          <w:shd w:val="clear" w:color="auto" w:fill="FFFFFF"/>
        </w:rPr>
        <w:t xml:space="preserve">je třeba zavést vhodné postupy </w:t>
      </w:r>
      <w:r>
        <w:rPr>
          <w:rStyle w:val="normaltextrun"/>
          <w:rFonts w:ascii="Times New Roman" w:hAnsi="Times New Roman"/>
          <w:noProof/>
          <w:color w:val="000000"/>
          <w:sz w:val="24"/>
          <w:shd w:val="clear" w:color="auto" w:fill="FFFFFF"/>
        </w:rPr>
        <w:t>na celostátní a místní úrovni</w:t>
      </w:r>
      <w:r>
        <w:rPr>
          <w:rStyle w:val="normaltextrun"/>
          <w:rFonts w:ascii="Times New Roman" w:hAnsi="Times New Roman"/>
          <w:b/>
          <w:noProof/>
          <w:color w:val="000000"/>
          <w:sz w:val="24"/>
          <w:shd w:val="clear" w:color="auto" w:fill="FFFFFF"/>
        </w:rPr>
        <w:t xml:space="preserve"> </w:t>
      </w:r>
      <w:r>
        <w:rPr>
          <w:rStyle w:val="normaltextrun"/>
          <w:rFonts w:ascii="Times New Roman" w:hAnsi="Times New Roman"/>
          <w:noProof/>
          <w:color w:val="000000"/>
          <w:sz w:val="24"/>
          <w:shd w:val="clear" w:color="auto" w:fill="FFFFFF"/>
        </w:rPr>
        <w:t>umožňující uzavření podniku, provádění prověrek před udělením povolení, zakázek a dotací a zavedení dalších překážek, jako jsou inspekce (například zdravotní inspekce nebo inspekce práce), které zabrání pachatelům v páchání trestné činnosti.</w:t>
      </w:r>
    </w:p>
    <w:p w14:paraId="72477A69" w14:textId="77777777" w:rsidR="005D1620" w:rsidRPr="00EA4C6E"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3A2687E8" w14:textId="0490E61C" w:rsidR="007E6B7E" w:rsidRPr="002932F0" w:rsidRDefault="00624A39"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 xml:space="preserve">Některé členské státy mají dobře propracované rámce, v nichž jsou místní orgány </w:t>
      </w:r>
      <w:r>
        <w:rPr>
          <w:rStyle w:val="normaltextrun"/>
          <w:rFonts w:ascii="Times New Roman" w:hAnsi="Times New Roman"/>
          <w:b/>
          <w:noProof/>
          <w:color w:val="000000"/>
          <w:sz w:val="24"/>
          <w:shd w:val="clear" w:color="auto" w:fill="FFFFFF"/>
        </w:rPr>
        <w:t xml:space="preserve">oprávněny používat správní nástroje k zabránění pronikání trestné činnosti </w:t>
      </w:r>
      <w:r>
        <w:rPr>
          <w:rStyle w:val="normaltextrun"/>
          <w:rFonts w:ascii="Times New Roman" w:hAnsi="Times New Roman"/>
          <w:noProof/>
          <w:color w:val="000000"/>
          <w:sz w:val="24"/>
          <w:shd w:val="clear" w:color="auto" w:fill="FFFFFF"/>
        </w:rPr>
        <w:t xml:space="preserve">do legálních podniků a správní infrastruktury. V jiných členských státech je však </w:t>
      </w:r>
      <w:r>
        <w:rPr>
          <w:rStyle w:val="normaltextrun"/>
          <w:rFonts w:ascii="Times New Roman" w:hAnsi="Times New Roman"/>
          <w:b/>
          <w:noProof/>
          <w:color w:val="000000"/>
          <w:sz w:val="24"/>
          <w:shd w:val="clear" w:color="auto" w:fill="FFFFFF"/>
        </w:rPr>
        <w:t>administrativní přístup</w:t>
      </w:r>
      <w:r>
        <w:rPr>
          <w:rStyle w:val="normaltextrun"/>
          <w:rFonts w:ascii="Times New Roman" w:hAnsi="Times New Roman"/>
          <w:noProof/>
          <w:color w:val="000000"/>
          <w:sz w:val="24"/>
          <w:shd w:val="clear" w:color="auto" w:fill="FFFFFF"/>
        </w:rPr>
        <w:t xml:space="preserve"> stále nedostatečně rozvinutý. Rozdíly ve vnitrostátních rámcích a postupech navíc komplikují přeshraniční spolupráci, což vede k tomu, že se pachatelé trestné činnosti, pokud úřady jejich předchozí podnikání uzavřou, prostě přesunou za hranice, kde si založí nové podvodné podniky.</w:t>
      </w:r>
    </w:p>
    <w:p w14:paraId="424F37AB" w14:textId="77777777" w:rsidR="005D1620" w:rsidRPr="00EA4C6E"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2186D51C" w14:textId="344C9F97" w:rsidR="00B8760A" w:rsidRPr="002932F0" w:rsidRDefault="00E97B38"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 xml:space="preserve">Proto by se měla dále posílit výměna osvědčených postupů a pokynů mezi všemi členskými státy, aby se členským státům pomohlo vytvořit vnitrostátní rámce pro uplatňování správního přístupu. Komise v </w:t>
      </w:r>
      <w:r>
        <w:rPr>
          <w:rStyle w:val="normaltextrun"/>
          <w:rFonts w:ascii="Times New Roman" w:hAnsi="Times New Roman"/>
          <w:b/>
          <w:noProof/>
          <w:color w:val="000000"/>
          <w:sz w:val="24"/>
          <w:shd w:val="clear" w:color="auto" w:fill="FFFFFF"/>
        </w:rPr>
        <w:t xml:space="preserve">roce 2024 vypracuje praktické pokyny </w:t>
      </w:r>
      <w:r>
        <w:rPr>
          <w:rStyle w:val="normaltextrun"/>
          <w:rFonts w:ascii="Times New Roman" w:hAnsi="Times New Roman"/>
          <w:noProof/>
          <w:color w:val="000000"/>
          <w:sz w:val="24"/>
          <w:shd w:val="clear" w:color="auto" w:fill="FFFFFF"/>
        </w:rPr>
        <w:t>pro používání administrativních nástrojů a výměnu informací v boji proti pronikání trestné činnosti. Tato práce bude vycházet ze zkušeností Regionálního informačního a odborného střediska EU</w:t>
      </w:r>
      <w:r w:rsidR="00F259AF" w:rsidRPr="002932F0">
        <w:rPr>
          <w:rStyle w:val="FootnoteReference0"/>
          <w:rFonts w:ascii="Times New Roman" w:hAnsi="Times New Roman"/>
          <w:noProof/>
          <w:color w:val="000000"/>
          <w:sz w:val="24"/>
          <w:shd w:val="clear" w:color="auto" w:fill="FFFFFF"/>
          <w:lang w:val="en-GB"/>
        </w:rPr>
        <w:footnoteReference w:id="55"/>
      </w:r>
      <w:r>
        <w:rPr>
          <w:rStyle w:val="normaltextrun"/>
          <w:rFonts w:ascii="Times New Roman" w:hAnsi="Times New Roman"/>
          <w:noProof/>
          <w:color w:val="000000"/>
          <w:sz w:val="24"/>
          <w:shd w:val="clear" w:color="auto" w:fill="FFFFFF"/>
        </w:rPr>
        <w:t xml:space="preserve"> (projekt financovaný EU na podporu přeshraničního správního přístupu mezi Belgií, Německem a Nizozemskem), Evropské sítě pro správní přístup</w:t>
      </w:r>
      <w:r w:rsidR="007E6B7E" w:rsidRPr="002932F0">
        <w:rPr>
          <w:rStyle w:val="FootnoteReference0"/>
          <w:rFonts w:ascii="Times New Roman" w:hAnsi="Times New Roman"/>
          <w:noProof/>
          <w:color w:val="000000"/>
          <w:sz w:val="24"/>
          <w:shd w:val="clear" w:color="auto" w:fill="FFFFFF"/>
          <w:lang w:val="en-GB"/>
        </w:rPr>
        <w:footnoteReference w:id="56"/>
      </w:r>
      <w:r>
        <w:rPr>
          <w:rStyle w:val="normaltextrun"/>
          <w:rFonts w:ascii="Times New Roman" w:hAnsi="Times New Roman"/>
          <w:noProof/>
          <w:color w:val="000000"/>
          <w:sz w:val="24"/>
          <w:shd w:val="clear" w:color="auto" w:fill="FFFFFF"/>
        </w:rPr>
        <w:t xml:space="preserve"> a platformy EMPACT.</w:t>
      </w:r>
    </w:p>
    <w:p w14:paraId="7E1C85D0" w14:textId="77777777" w:rsidR="00B8760A" w:rsidRPr="00EA4C6E" w:rsidRDefault="00B8760A" w:rsidP="00515BC4">
      <w:pPr>
        <w:spacing w:after="0" w:line="252" w:lineRule="auto"/>
        <w:jc w:val="both"/>
        <w:rPr>
          <w:rStyle w:val="normaltextrun"/>
          <w:rFonts w:ascii="Times New Roman" w:hAnsi="Times New Roman"/>
          <w:noProof/>
          <w:color w:val="000000"/>
          <w:sz w:val="24"/>
          <w:shd w:val="clear" w:color="auto" w:fill="FFFFFF"/>
        </w:rPr>
      </w:pPr>
    </w:p>
    <w:p w14:paraId="16E0D773" w14:textId="1F127A90" w:rsidR="00624A39" w:rsidRDefault="00302828"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Správní přístup je jedním z devíti společných horizontálních strategických cílů platformy EMPACT. Komise důrazně vyzývá členské státy a Europol, aby v letech 2024 a 2025 provedly konkrétní provozní opatření, která k tomuto cíli přispějí.</w:t>
      </w:r>
    </w:p>
    <w:p w14:paraId="22F4A913" w14:textId="77777777" w:rsidR="004501C2" w:rsidRPr="00EA4C6E" w:rsidRDefault="004501C2" w:rsidP="00515BC4">
      <w:pPr>
        <w:spacing w:after="0" w:line="252" w:lineRule="auto"/>
        <w:jc w:val="both"/>
        <w:rPr>
          <w:rStyle w:val="normaltextrun"/>
          <w:rFonts w:ascii="Times New Roman" w:hAnsi="Times New Roman" w:cs="Times New Roman"/>
          <w:noProof/>
          <w:color w:val="000000"/>
          <w:sz w:val="24"/>
          <w:szCs w:val="24"/>
          <w:shd w:val="clear" w:color="auto" w:fill="FFFFFF"/>
        </w:rPr>
      </w:pPr>
    </w:p>
    <w:p w14:paraId="0D3B48B5" w14:textId="77777777" w:rsidR="008F51BC" w:rsidRPr="00EA4C6E" w:rsidRDefault="008F51BC" w:rsidP="00515BC4">
      <w:pPr>
        <w:spacing w:after="0" w:line="252" w:lineRule="auto"/>
        <w:jc w:val="both"/>
        <w:rPr>
          <w:rStyle w:val="normaltextrun"/>
          <w:rFonts w:ascii="Times New Roman" w:hAnsi="Times New Roman"/>
          <w:noProof/>
          <w:color w:val="000000"/>
          <w:sz w:val="24"/>
          <w:shd w:val="clear" w:color="auto" w:fill="FFFFFF"/>
        </w:rPr>
      </w:pPr>
    </w:p>
    <w:p w14:paraId="154E210F" w14:textId="70049617" w:rsidR="00DF632A" w:rsidRPr="002932F0" w:rsidRDefault="00DF632A" w:rsidP="00DF632A">
      <w:pPr>
        <w:spacing w:after="0" w:line="252" w:lineRule="auto"/>
        <w:jc w:val="both"/>
        <w:rPr>
          <w:rFonts w:ascii="Times New Roman" w:hAnsi="Times New Roman"/>
          <w:b/>
          <w:i/>
          <w:noProof/>
          <w:sz w:val="24"/>
        </w:rPr>
      </w:pPr>
      <w:bookmarkStart w:id="22" w:name="_Hlk146527744"/>
      <w:r>
        <w:rPr>
          <w:rFonts w:ascii="Times New Roman" w:hAnsi="Times New Roman"/>
          <w:b/>
          <w:i/>
          <w:noProof/>
          <w:sz w:val="24"/>
        </w:rPr>
        <w:t>Opatření č. 11: Boj proti šíření prekursorů na zakázku</w:t>
      </w:r>
    </w:p>
    <w:p w14:paraId="7157032E" w14:textId="77777777" w:rsidR="00DF632A" w:rsidRPr="002932F0" w:rsidRDefault="00DF632A" w:rsidP="00DF632A">
      <w:pPr>
        <w:spacing w:after="0" w:line="252" w:lineRule="auto"/>
        <w:jc w:val="both"/>
        <w:rPr>
          <w:rFonts w:ascii="Times New Roman" w:hAnsi="Times New Roman"/>
          <w:i/>
          <w:noProof/>
          <w:sz w:val="24"/>
        </w:rPr>
      </w:pPr>
      <w:r>
        <w:rPr>
          <w:rFonts w:ascii="Times New Roman" w:hAnsi="Times New Roman"/>
          <w:i/>
          <w:noProof/>
          <w:sz w:val="24"/>
        </w:rPr>
        <w:t>Hlavní aktéři: Komise, Evropský parlament, Rada, EMCDDA</w:t>
      </w:r>
    </w:p>
    <w:p w14:paraId="3221E789" w14:textId="77777777" w:rsidR="00DF632A" w:rsidRPr="00EA4C6E" w:rsidRDefault="00DF632A" w:rsidP="00DF632A">
      <w:pPr>
        <w:spacing w:after="0" w:line="252" w:lineRule="auto"/>
        <w:jc w:val="both"/>
        <w:rPr>
          <w:rFonts w:ascii="Times New Roman" w:hAnsi="Times New Roman"/>
          <w:noProof/>
          <w:sz w:val="24"/>
          <w:lang w:val="fr-FR"/>
        </w:rPr>
      </w:pPr>
    </w:p>
    <w:p w14:paraId="09824400" w14:textId="2B5194B0" w:rsidR="00E75EC8" w:rsidRPr="002932F0" w:rsidRDefault="00625DCE" w:rsidP="00625DCE">
      <w:pPr>
        <w:jc w:val="both"/>
        <w:rPr>
          <w:rFonts w:ascii="Times New Roman" w:hAnsi="Times New Roman" w:cs="Times New Roman"/>
          <w:noProof/>
          <w:sz w:val="24"/>
          <w:szCs w:val="24"/>
        </w:rPr>
      </w:pPr>
      <w:bookmarkStart w:id="23" w:name="_Hlk147763876"/>
      <w:bookmarkEnd w:id="22"/>
      <w:r>
        <w:rPr>
          <w:rFonts w:ascii="Times New Roman" w:hAnsi="Times New Roman"/>
          <w:noProof/>
          <w:sz w:val="24"/>
        </w:rPr>
        <w:t>Pachatelé trestné činnosti používají a zneužívají chemické látky potřebné při výrobě běžných produktů k výrobě nelegálních drog. EU již zavedla pravidla s cílem omezit a kontrolovat přístup k těmto prekursorům drog.</w:t>
      </w:r>
      <w:r w:rsidRPr="002932F0">
        <w:rPr>
          <w:rStyle w:val="FootnoteReference0"/>
          <w:rFonts w:ascii="Times New Roman" w:hAnsi="Times New Roman" w:cs="Times New Roman"/>
          <w:noProof/>
          <w:sz w:val="24"/>
          <w:szCs w:val="24"/>
          <w:lang w:val="en-GB"/>
        </w:rPr>
        <w:footnoteReference w:id="57"/>
      </w:r>
      <w:r w:rsidR="00EA4C6E">
        <w:rPr>
          <w:rFonts w:ascii="Times New Roman" w:hAnsi="Times New Roman"/>
          <w:noProof/>
          <w:sz w:val="24"/>
        </w:rPr>
        <w:t xml:space="preserve"> </w:t>
      </w:r>
      <w:r>
        <w:rPr>
          <w:rFonts w:ascii="Times New Roman" w:hAnsi="Times New Roman"/>
          <w:noProof/>
          <w:sz w:val="24"/>
        </w:rPr>
        <w:t>Pachatelé trestné činnosti však mohou stávající kontroly těchto látek snadno obejít vytvářením stále nových prekursorů na zakázku</w:t>
      </w:r>
      <w:bookmarkEnd w:id="23"/>
      <w:r>
        <w:rPr>
          <w:rFonts w:ascii="Times New Roman" w:hAnsi="Times New Roman"/>
          <w:noProof/>
          <w:sz w:val="24"/>
        </w:rPr>
        <w:t xml:space="preserve">: chemických látek, které jsou velmi podobné tradičním prekursorům drog. Jsou vyrobeny za účelem obcházení celních kontrol a nemají žádné známé dovolené využití. </w:t>
      </w:r>
    </w:p>
    <w:p w14:paraId="6B068257" w14:textId="3898460B" w:rsidR="0012484F" w:rsidRPr="002932F0" w:rsidRDefault="00E75EC8" w:rsidP="0012484F">
      <w:pPr>
        <w:spacing w:after="0" w:line="252" w:lineRule="auto"/>
        <w:jc w:val="both"/>
        <w:rPr>
          <w:rFonts w:ascii="Times New Roman" w:hAnsi="Times New Roman" w:cs="Times New Roman"/>
          <w:noProof/>
          <w:sz w:val="24"/>
          <w:szCs w:val="24"/>
        </w:rPr>
      </w:pPr>
      <w:r>
        <w:rPr>
          <w:rFonts w:ascii="Times New Roman" w:hAnsi="Times New Roman"/>
          <w:noProof/>
          <w:sz w:val="24"/>
        </w:rPr>
        <w:t>Stávající legislativní rámec EU týkající se prekursorů drog</w:t>
      </w:r>
      <w:r w:rsidR="00195C31" w:rsidRPr="002932F0">
        <w:rPr>
          <w:rStyle w:val="FootnoteReference0"/>
          <w:rFonts w:ascii="Times New Roman" w:hAnsi="Times New Roman" w:cs="Times New Roman"/>
          <w:noProof/>
          <w:sz w:val="24"/>
          <w:szCs w:val="24"/>
          <w:lang w:val="en-GB"/>
        </w:rPr>
        <w:footnoteReference w:id="58"/>
      </w:r>
      <w:r>
        <w:rPr>
          <w:rFonts w:ascii="Times New Roman" w:hAnsi="Times New Roman"/>
          <w:noProof/>
          <w:sz w:val="24"/>
        </w:rPr>
        <w:t xml:space="preserve"> se řídí časově náročným přístupem „uvádění jednotlivých látek v seznamu“, takže je obtížné udržet krok s rychlostí inovací organizované trestné činnosti. Pokaždé, když je identifikována nová látka jako prekursor drog a následně uvedena v seznamu látek ke kontrole a sledování, reagují organizované zločinecké skupiny mírnou změnou molekulární struktury a vytvoří nový prekursor na zakázku. To lze provést mnohem rychleji, než je doba potřebná k uvedení látky v seznamu (ke kontrole).</w:t>
      </w:r>
    </w:p>
    <w:p w14:paraId="73C3284E" w14:textId="77777777" w:rsidR="0012484F" w:rsidRPr="00EA4C6E" w:rsidRDefault="0012484F" w:rsidP="0012484F">
      <w:pPr>
        <w:spacing w:after="0" w:line="252" w:lineRule="auto"/>
        <w:jc w:val="both"/>
        <w:rPr>
          <w:rFonts w:ascii="Times New Roman" w:hAnsi="Times New Roman" w:cs="Times New Roman"/>
          <w:noProof/>
          <w:sz w:val="24"/>
          <w:szCs w:val="24"/>
        </w:rPr>
      </w:pPr>
    </w:p>
    <w:p w14:paraId="2BB6A108" w14:textId="7623E839" w:rsidR="00625DCE" w:rsidRPr="002932F0" w:rsidRDefault="00625DCE" w:rsidP="00465ECF">
      <w:pPr>
        <w:spacing w:after="0"/>
        <w:jc w:val="both"/>
        <w:rPr>
          <w:rFonts w:ascii="Times New Roman" w:hAnsi="Times New Roman"/>
          <w:noProof/>
          <w:sz w:val="24"/>
        </w:rPr>
      </w:pPr>
      <w:r>
        <w:rPr>
          <w:rFonts w:ascii="Times New Roman" w:hAnsi="Times New Roman"/>
          <w:noProof/>
          <w:sz w:val="24"/>
        </w:rPr>
        <w:t>Od roku 2024 proto Komise plánuje stanovit inovativní způsoby pro</w:t>
      </w:r>
      <w:r>
        <w:rPr>
          <w:rFonts w:ascii="Times New Roman" w:hAnsi="Times New Roman"/>
          <w:b/>
          <w:noProof/>
          <w:sz w:val="24"/>
        </w:rPr>
        <w:t xml:space="preserve"> urychlení a rozšíření stávajícího přístupu k uvádění prekursorů drog v seznamech</w:t>
      </w:r>
      <w:r>
        <w:rPr>
          <w:rFonts w:ascii="Times New Roman" w:hAnsi="Times New Roman"/>
          <w:noProof/>
          <w:sz w:val="24"/>
        </w:rPr>
        <w:t>. Škála uvedených látek bude rozšířena o jasně identifikované deriváty a příbuzné chemické látky, které lze snadno přeměnit nebo použít jako náhražky při nedovolené výrobě. K načasování uvádění látek v seznamech. Kromě toho Komise ve spolupráci s Evropským parlamentem a Radou vynaloží veškeré úsilí, aby urychlila postup přijímání budoucích aktů v přenesené pravomoci, které stanoví další látky uvedené v seznamech. Komise navrhne, aby byl tento nový přístup při uvádění dalších látek v seznamech v co největší míře uplatňován ve stávajícím právním rámci EU.</w:t>
      </w:r>
    </w:p>
    <w:p w14:paraId="184C8B06" w14:textId="77777777" w:rsidR="00625DCE" w:rsidRPr="00EA4C6E" w:rsidRDefault="00625DCE" w:rsidP="00625DCE">
      <w:pPr>
        <w:spacing w:after="0" w:line="252" w:lineRule="auto"/>
        <w:jc w:val="both"/>
        <w:rPr>
          <w:rFonts w:ascii="Times New Roman" w:hAnsi="Times New Roman"/>
          <w:noProof/>
          <w:sz w:val="24"/>
        </w:rPr>
      </w:pPr>
    </w:p>
    <w:p w14:paraId="3ECCBEFB" w14:textId="1C324CDA" w:rsidR="00625DCE" w:rsidRDefault="00625DCE" w:rsidP="00465ECF">
      <w:pPr>
        <w:spacing w:after="0" w:line="240" w:lineRule="auto"/>
        <w:jc w:val="both"/>
        <w:rPr>
          <w:rFonts w:ascii="Times New Roman" w:hAnsi="Times New Roman"/>
          <w:noProof/>
          <w:sz w:val="24"/>
        </w:rPr>
      </w:pPr>
      <w:r>
        <w:rPr>
          <w:rFonts w:ascii="Times New Roman" w:hAnsi="Times New Roman"/>
          <w:noProof/>
          <w:sz w:val="24"/>
        </w:rPr>
        <w:t>V pozdější fázi, po důkladném prozkoumání daných problémů a možných řešení a na základě výsledků hodnocení nařízení EU o prekursorech drog,</w:t>
      </w:r>
      <w:r w:rsidRPr="002932F0">
        <w:rPr>
          <w:rStyle w:val="FootnoteReference0"/>
          <w:rFonts w:ascii="Times New Roman" w:hAnsi="Times New Roman"/>
          <w:noProof/>
          <w:sz w:val="24"/>
          <w:lang w:val="en-GB"/>
        </w:rPr>
        <w:footnoteReference w:id="59"/>
      </w:r>
      <w:r>
        <w:rPr>
          <w:rFonts w:ascii="Times New Roman" w:hAnsi="Times New Roman"/>
          <w:noProof/>
          <w:sz w:val="24"/>
        </w:rPr>
        <w:t xml:space="preserve"> může Komise </w:t>
      </w:r>
      <w:r>
        <w:rPr>
          <w:rFonts w:ascii="Times New Roman" w:hAnsi="Times New Roman"/>
          <w:b/>
          <w:noProof/>
          <w:sz w:val="24"/>
        </w:rPr>
        <w:t>tato nařízení přezkoumat</w:t>
      </w:r>
      <w:r w:rsidRPr="002932F0">
        <w:rPr>
          <w:rStyle w:val="FootnoteReference0"/>
          <w:rFonts w:ascii="Times New Roman" w:hAnsi="Times New Roman"/>
          <w:b/>
          <w:noProof/>
          <w:sz w:val="24"/>
          <w:lang w:val="en-GB"/>
        </w:rPr>
        <w:footnoteReference w:id="60"/>
      </w:r>
      <w:r>
        <w:rPr>
          <w:rFonts w:ascii="Times New Roman" w:hAnsi="Times New Roman"/>
          <w:noProof/>
          <w:sz w:val="24"/>
        </w:rPr>
        <w:t xml:space="preserve"> také s cílem řešit zjištěné problémy týkající se prekursorů na zakázku. Komise podporuje mezinárodní úsilí a bude v něm pokračovat i v budoucnu. EU usiluje o posílení mnohostranné spolupráce a zvyšování informovanosti, pokud jde o problémy, které představují neuvedené látky, zejména prekursory na zakázku. EU rovněž pozorně sleduje a přispívá k práci Komise OSN pro narkotika, která pravidelně přezkoumává a analyzuje celosvětovou situaci v oblasti drog. EU bude i nadále úzce spolupracovat s </w:t>
      </w:r>
      <w:r>
        <w:rPr>
          <w:rFonts w:ascii="Times New Roman" w:hAnsi="Times New Roman"/>
          <w:b/>
          <w:noProof/>
          <w:sz w:val="24"/>
        </w:rPr>
        <w:t xml:space="preserve">Mezinárodním úřadem pro kontrolu omamných látek </w:t>
      </w:r>
      <w:r>
        <w:rPr>
          <w:rFonts w:ascii="Times New Roman" w:hAnsi="Times New Roman"/>
          <w:noProof/>
          <w:sz w:val="24"/>
        </w:rPr>
        <w:t>a podobně smýšlejícími zeměmi, které se podílejí na konkrétních opatřeních proti tomuto jevu. Je nezbytné zvýšit rychlost reakce, protože v současné době mají pachatelé trestné činnosti dostatek času na to, aby našli způsob, jak kontroly obejít.</w:t>
      </w:r>
    </w:p>
    <w:p w14:paraId="50BAF86D" w14:textId="77777777" w:rsidR="004501C2" w:rsidRPr="00EA4C6E" w:rsidRDefault="004501C2" w:rsidP="00465ECF">
      <w:pPr>
        <w:spacing w:after="0" w:line="240" w:lineRule="auto"/>
        <w:jc w:val="both"/>
        <w:rPr>
          <w:rFonts w:ascii="Times New Roman" w:hAnsi="Times New Roman"/>
          <w:noProof/>
          <w:sz w:val="24"/>
        </w:rPr>
      </w:pPr>
    </w:p>
    <w:p w14:paraId="24A91AFA" w14:textId="77777777" w:rsidR="009A5D65" w:rsidRPr="00EA4C6E" w:rsidRDefault="009A5D65" w:rsidP="009A5D65">
      <w:pPr>
        <w:spacing w:after="0" w:line="252" w:lineRule="auto"/>
        <w:jc w:val="both"/>
        <w:rPr>
          <w:rFonts w:ascii="Times New Roman" w:hAnsi="Times New Roman"/>
          <w:noProof/>
          <w:sz w:val="24"/>
        </w:rPr>
      </w:pPr>
    </w:p>
    <w:p w14:paraId="46AB3AA7" w14:textId="640A7325"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 xml:space="preserve">Opatření č. 12: Zabránit zločineckým sítím v náboru dětí a mladých lidí </w:t>
      </w:r>
    </w:p>
    <w:p w14:paraId="31F5F9C7" w14:textId="199CAD11"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Hlavní aktéři: Komise, členské státy (včetně místních orgánů), EMCDDA, Evropská síť pro předcházení trestné činnosti, organizace občanské společnosti</w:t>
      </w:r>
    </w:p>
    <w:p w14:paraId="447C0A5B" w14:textId="77777777" w:rsidR="00624A39" w:rsidRPr="00EA4C6E" w:rsidRDefault="00624A39" w:rsidP="00624A39">
      <w:pPr>
        <w:spacing w:after="0" w:line="252" w:lineRule="auto"/>
        <w:jc w:val="both"/>
        <w:rPr>
          <w:rFonts w:ascii="Times New Roman" w:hAnsi="Times New Roman"/>
          <w:b/>
          <w:noProof/>
          <w:sz w:val="24"/>
        </w:rPr>
      </w:pPr>
    </w:p>
    <w:p w14:paraId="2DC88F5D" w14:textId="7E478288" w:rsidR="007E6B7E" w:rsidRPr="002932F0" w:rsidRDefault="009E4792" w:rsidP="00624A39">
      <w:pPr>
        <w:pStyle w:val="paragraph"/>
        <w:spacing w:before="0" w:beforeAutospacing="0" w:after="0" w:afterAutospacing="0"/>
        <w:jc w:val="both"/>
        <w:textAlignment w:val="baseline"/>
        <w:rPr>
          <w:rStyle w:val="normaltextrun"/>
          <w:b/>
          <w:bCs/>
          <w:noProof/>
        </w:rPr>
      </w:pPr>
      <w:r>
        <w:rPr>
          <w:rStyle w:val="normaltextrun"/>
          <w:noProof/>
        </w:rPr>
        <w:t>Zločinecké sítě, včetně obchodníků s drogami, zneužívají zranitelné osoby a k páchání trestné činnosti využívají mladé lidi nebo dokonce děti. Mezi tyto činnosti patří vloupání, krádeže v obchodech, vybírání kontejnerů s drogami, umísťování výbušnin, páchání podvodů na internetu nebo „půjčování“ bankovních účtů. S vidinou snadno vydělaných peněz jsou mladí lidé v pokušení opustit školu nebo zaměstnání. Pro ochranu mladých lidí a boj proti trestné činnosti</w:t>
      </w:r>
      <w:r>
        <w:rPr>
          <w:rStyle w:val="normaltextrun"/>
          <w:b/>
          <w:noProof/>
        </w:rPr>
        <w:t xml:space="preserve"> je nezbytné investovat do účinných politik a nástrojů pro předcházení trestné činnosti</w:t>
      </w:r>
      <w:r>
        <w:rPr>
          <w:rStyle w:val="normaltextrun"/>
          <w:noProof/>
        </w:rPr>
        <w:t>.</w:t>
      </w:r>
    </w:p>
    <w:p w14:paraId="6284B604" w14:textId="77777777" w:rsidR="005D1620" w:rsidRPr="00EA4C6E" w:rsidRDefault="005D1620" w:rsidP="005D1620">
      <w:pPr>
        <w:pStyle w:val="paragraph"/>
        <w:spacing w:before="0" w:beforeAutospacing="0" w:after="0" w:afterAutospacing="0"/>
        <w:jc w:val="both"/>
        <w:textAlignment w:val="baseline"/>
        <w:rPr>
          <w:rStyle w:val="normaltextrun"/>
          <w:noProof/>
        </w:rPr>
      </w:pPr>
    </w:p>
    <w:p w14:paraId="4D2B151B" w14:textId="1D1E51D3" w:rsidR="007E6B7E" w:rsidRPr="002932F0" w:rsidRDefault="00624A39" w:rsidP="00515BC4">
      <w:pPr>
        <w:pStyle w:val="paragraph"/>
        <w:spacing w:before="0" w:beforeAutospacing="0" w:after="0" w:afterAutospacing="0"/>
        <w:jc w:val="both"/>
        <w:textAlignment w:val="baseline"/>
        <w:rPr>
          <w:rStyle w:val="normaltextrun"/>
          <w:noProof/>
        </w:rPr>
      </w:pPr>
      <w:r>
        <w:rPr>
          <w:rStyle w:val="normaltextrun"/>
          <w:noProof/>
        </w:rPr>
        <w:t xml:space="preserve">Na prevenci kriminality se podílejí </w:t>
      </w:r>
      <w:r>
        <w:rPr>
          <w:rStyle w:val="normaltextrun"/>
          <w:b/>
          <w:noProof/>
        </w:rPr>
        <w:t>místní komunity, rodiny, školy, sektor sociální péče, občanská společnost, donucovací orgány, soudnictví, vězeňské orgány a soukromý sektor</w:t>
      </w:r>
      <w:r>
        <w:rPr>
          <w:rStyle w:val="normaltextrun"/>
          <w:noProof/>
        </w:rPr>
        <w:t>. V této souvislosti je velmi důležité účinné využívání unijních i vnitrostátních zdrojů ke zlepšení sociální soudržnosti, řešení nezaměstnanosti a zajištění toho, aby mladí lidé neodcházeli ze škol. Prostřednictvím Evropského sociálního fondu+ bude Komise i nadále pomáhat zranitelným mladým lidem při využití jejich potenciálu tím, že bude podporovat místní iniciativy zaměřené na boj proti chudobě, sociální začleňování a nezaměstnanost mladých lidí v souladu s prováděním evropského pilíře sociálních práv</w:t>
      </w:r>
      <w:r w:rsidR="00FE3407" w:rsidRPr="002932F0">
        <w:rPr>
          <w:rStyle w:val="FootnoteReference0"/>
          <w:noProof/>
          <w:lang w:val="en-GB"/>
        </w:rPr>
        <w:footnoteReference w:id="61"/>
      </w:r>
      <w:r>
        <w:rPr>
          <w:rStyle w:val="normaltextrun"/>
          <w:noProof/>
        </w:rPr>
        <w:t>.</w:t>
      </w:r>
    </w:p>
    <w:p w14:paraId="6F91F78A" w14:textId="77777777" w:rsidR="005D1620" w:rsidRPr="00EA4C6E" w:rsidRDefault="005D1620" w:rsidP="005D1620">
      <w:pPr>
        <w:pStyle w:val="paragraph"/>
        <w:spacing w:before="0" w:beforeAutospacing="0" w:after="0" w:afterAutospacing="0"/>
        <w:jc w:val="both"/>
        <w:textAlignment w:val="baseline"/>
        <w:rPr>
          <w:rStyle w:val="normaltextrun"/>
          <w:noProof/>
        </w:rPr>
      </w:pPr>
    </w:p>
    <w:p w14:paraId="22E333A0" w14:textId="2E8FC78F" w:rsidR="00624A39" w:rsidRDefault="00624A39" w:rsidP="00635D8D">
      <w:pPr>
        <w:pStyle w:val="paragraph"/>
        <w:spacing w:before="0" w:beforeAutospacing="0" w:after="0" w:afterAutospacing="0"/>
        <w:jc w:val="both"/>
        <w:textAlignment w:val="baseline"/>
        <w:rPr>
          <w:rStyle w:val="normaltextrun"/>
          <w:noProof/>
        </w:rPr>
      </w:pPr>
      <w:r>
        <w:rPr>
          <w:noProof/>
        </w:rPr>
        <w:t xml:space="preserve">Na </w:t>
      </w:r>
      <w:r>
        <w:rPr>
          <w:rStyle w:val="normaltextrun"/>
          <w:noProof/>
        </w:rPr>
        <w:t xml:space="preserve">základě zkušeností </w:t>
      </w:r>
      <w:r>
        <w:rPr>
          <w:noProof/>
        </w:rPr>
        <w:t xml:space="preserve">Evropské sítě pro předcházení trestné činnosti, Sítě pro zvyšování povědomí o radikalizaci a platformy EMPACT </w:t>
      </w:r>
      <w:r>
        <w:rPr>
          <w:rStyle w:val="normaltextrun"/>
          <w:noProof/>
        </w:rPr>
        <w:t xml:space="preserve">Komise posílí výměnu znalostí a osvědčených postupů v oblasti předcházení trestné činnosti. V roce </w:t>
      </w:r>
      <w:r>
        <w:rPr>
          <w:rStyle w:val="normaltextrun"/>
          <w:b/>
          <w:noProof/>
        </w:rPr>
        <w:t>2024</w:t>
      </w:r>
      <w:r>
        <w:rPr>
          <w:rStyle w:val="normaltextrun"/>
          <w:noProof/>
        </w:rPr>
        <w:t xml:space="preserve"> Komise spolu s členskými státy, sítí EU pro předcházení trestné činnosti a dalšími zúčastněnými stranami pozve odborníky z praxe a tvůrce politik na </w:t>
      </w:r>
      <w:r>
        <w:rPr>
          <w:rStyle w:val="normaltextrun"/>
          <w:b/>
          <w:noProof/>
        </w:rPr>
        <w:t>konferenci na vysoké úrovni o předcházení trestné činnosti</w:t>
      </w:r>
      <w:r>
        <w:rPr>
          <w:rStyle w:val="normaltextrun"/>
          <w:noProof/>
        </w:rPr>
        <w:t xml:space="preserve"> a představí soubor </w:t>
      </w:r>
      <w:r>
        <w:rPr>
          <w:rStyle w:val="normaltextrun"/>
          <w:b/>
          <w:noProof/>
        </w:rPr>
        <w:t>osvědčených postupů v oblasti prevence náboru do organizované trestné činnosti</w:t>
      </w:r>
      <w:r>
        <w:rPr>
          <w:rStyle w:val="normaltextrun"/>
          <w:noProof/>
        </w:rPr>
        <w:t>.</w:t>
      </w:r>
    </w:p>
    <w:p w14:paraId="5CE77650" w14:textId="77777777" w:rsidR="004501C2" w:rsidRPr="00EA4C6E" w:rsidRDefault="004501C2" w:rsidP="00635D8D">
      <w:pPr>
        <w:pStyle w:val="paragraph"/>
        <w:spacing w:before="0" w:beforeAutospacing="0" w:after="0" w:afterAutospacing="0"/>
        <w:jc w:val="both"/>
        <w:textAlignment w:val="baseline"/>
        <w:rPr>
          <w:rStyle w:val="normaltextrun"/>
          <w:noProof/>
        </w:rPr>
      </w:pPr>
    </w:p>
    <w:p w14:paraId="17797CB9" w14:textId="77777777" w:rsidR="00F643E1" w:rsidRPr="00EA4C6E" w:rsidRDefault="00F643E1" w:rsidP="00635D8D">
      <w:pPr>
        <w:pStyle w:val="paragraph"/>
        <w:spacing w:before="0" w:beforeAutospacing="0" w:after="0" w:afterAutospacing="0"/>
        <w:jc w:val="both"/>
        <w:textAlignment w:val="baseline"/>
        <w:rPr>
          <w:rStyle w:val="normaltextrun"/>
          <w:noProof/>
        </w:rPr>
      </w:pPr>
    </w:p>
    <w:p w14:paraId="3BC0E913" w14:textId="07D2D4A2" w:rsidR="0078360B" w:rsidRPr="002932F0" w:rsidRDefault="0078360B" w:rsidP="00302828">
      <w:pPr>
        <w:spacing w:after="0"/>
        <w:jc w:val="both"/>
        <w:rPr>
          <w:rFonts w:ascii="Times New Roman" w:hAnsi="Times New Roman"/>
          <w:i/>
          <w:noProof/>
          <w:sz w:val="24"/>
        </w:rPr>
      </w:pPr>
      <w:r>
        <w:rPr>
          <w:rFonts w:ascii="Times New Roman" w:hAnsi="Times New Roman"/>
          <w:b/>
          <w:i/>
          <w:noProof/>
          <w:sz w:val="24"/>
        </w:rPr>
        <w:t>Opatření č. 13: Zlepšení veřejné bezpečnosti a veřejného zdraví v oblastech postižených užíváním a prodejem drog a trestnou činností související s drogami.</w:t>
      </w:r>
    </w:p>
    <w:p w14:paraId="3FCFA6D3" w14:textId="139A82FA" w:rsidR="0078360B" w:rsidRPr="002932F0" w:rsidRDefault="0078360B" w:rsidP="0078360B">
      <w:pPr>
        <w:spacing w:after="0"/>
        <w:rPr>
          <w:rFonts w:ascii="Times New Roman" w:hAnsi="Times New Roman"/>
          <w:i/>
          <w:noProof/>
          <w:sz w:val="24"/>
        </w:rPr>
      </w:pPr>
      <w:r>
        <w:rPr>
          <w:rFonts w:ascii="Times New Roman" w:hAnsi="Times New Roman"/>
          <w:i/>
          <w:noProof/>
          <w:sz w:val="24"/>
        </w:rPr>
        <w:t>Hlavní aktéři: Komise, členské státy, EMCDDA</w:t>
      </w:r>
    </w:p>
    <w:p w14:paraId="71823412" w14:textId="77777777" w:rsidR="0078360B" w:rsidRPr="00EA4C6E" w:rsidRDefault="0078360B" w:rsidP="0078360B">
      <w:pPr>
        <w:spacing w:after="0"/>
        <w:rPr>
          <w:rFonts w:ascii="Times New Roman" w:hAnsi="Times New Roman"/>
          <w:noProof/>
          <w:sz w:val="24"/>
        </w:rPr>
      </w:pPr>
    </w:p>
    <w:p w14:paraId="5D3B4EE2" w14:textId="40C7C227" w:rsidR="0078360B" w:rsidRPr="002932F0" w:rsidRDefault="003B523B" w:rsidP="0078360B">
      <w:pPr>
        <w:spacing w:after="0"/>
        <w:jc w:val="both"/>
        <w:rPr>
          <w:rFonts w:ascii="Times New Roman" w:hAnsi="Times New Roman"/>
          <w:noProof/>
          <w:sz w:val="24"/>
        </w:rPr>
      </w:pPr>
      <w:r>
        <w:rPr>
          <w:rFonts w:ascii="Times New Roman" w:hAnsi="Times New Roman"/>
          <w:noProof/>
          <w:sz w:val="24"/>
        </w:rPr>
        <w:t xml:space="preserve">V několika zemích EU vznikají centra trestné činnosti související s drogami. Některá místa, jako jsou předměstí, nádraží a stanice metra a zanedbané lokality ve městech, jsou obzvláště postižena </w:t>
      </w:r>
      <w:r>
        <w:rPr>
          <w:rFonts w:ascii="Times New Roman" w:hAnsi="Times New Roman"/>
          <w:b/>
          <w:noProof/>
          <w:sz w:val="24"/>
        </w:rPr>
        <w:t>prodejem drog, užíváním drog a trestnou činností související s drogami.</w:t>
      </w:r>
      <w:r>
        <w:rPr>
          <w:rFonts w:ascii="Times New Roman" w:hAnsi="Times New Roman"/>
          <w:noProof/>
          <w:sz w:val="24"/>
        </w:rPr>
        <w:t xml:space="preserve"> Je to způsobeno mnoha</w:t>
      </w:r>
      <w:r>
        <w:rPr>
          <w:rFonts w:ascii="Times New Roman" w:hAnsi="Times New Roman"/>
          <w:b/>
          <w:noProof/>
          <w:sz w:val="24"/>
        </w:rPr>
        <w:t xml:space="preserve"> faktory</w:t>
      </w:r>
      <w:r>
        <w:rPr>
          <w:rFonts w:ascii="Times New Roman" w:hAnsi="Times New Roman"/>
          <w:noProof/>
          <w:sz w:val="24"/>
        </w:rPr>
        <w:t>, včetně chudoby a sociálního vyloučení. Vede to k nejistotě místních komunit a lidé užívající drogy v těchto místech dále trpí zdravotními problémy, stigmatizací a nepříznivými sociálními důsledky. Problémy, které tato koncentrace nezákonných činností přináší, nemohou být vyřešeny pouze místními orgány a vyžadují udržitelná řešení.</w:t>
      </w:r>
    </w:p>
    <w:p w14:paraId="56763F5B" w14:textId="77777777" w:rsidR="005D1620" w:rsidRPr="00EA4C6E" w:rsidRDefault="005D1620" w:rsidP="005D1620">
      <w:pPr>
        <w:spacing w:after="0"/>
        <w:jc w:val="both"/>
        <w:rPr>
          <w:rFonts w:ascii="Times New Roman" w:hAnsi="Times New Roman"/>
          <w:noProof/>
          <w:sz w:val="24"/>
        </w:rPr>
      </w:pPr>
    </w:p>
    <w:p w14:paraId="6642BF8E" w14:textId="5B2ADFBB" w:rsidR="0078360B" w:rsidRDefault="004D7A4F" w:rsidP="00635D8D">
      <w:pPr>
        <w:spacing w:after="0"/>
        <w:jc w:val="both"/>
        <w:rPr>
          <w:rFonts w:ascii="Times New Roman" w:hAnsi="Times New Roman" w:cs="Times New Roman"/>
          <w:noProof/>
          <w:sz w:val="24"/>
          <w:szCs w:val="24"/>
        </w:rPr>
      </w:pPr>
      <w:r>
        <w:rPr>
          <w:rFonts w:ascii="Times New Roman" w:hAnsi="Times New Roman"/>
          <w:noProof/>
          <w:sz w:val="24"/>
        </w:rPr>
        <w:t>Vzhledem ke značným rozdílům v místní, regionální a celostátní situaci je třeba nalézt cílená řešení, která kombinují reakci v oblasti vymáhání práva se sociálními a zdravotními opatřeními. Je nezbytné vytvořit prostor pro výměnu osvědčených postupů a přístupů založených na důkazech mezi zúčastněnými stranami. Komise s podporou centra EMCDDA uspořádá v</w:t>
      </w:r>
      <w:r>
        <w:rPr>
          <w:rFonts w:ascii="Times New Roman" w:hAnsi="Times New Roman"/>
          <w:b/>
          <w:noProof/>
          <w:sz w:val="24"/>
        </w:rPr>
        <w:t xml:space="preserve"> roce 2024 konferenci na vysoké úrovni</w:t>
      </w:r>
      <w:r>
        <w:rPr>
          <w:rFonts w:ascii="Times New Roman" w:hAnsi="Times New Roman"/>
          <w:noProof/>
          <w:sz w:val="24"/>
        </w:rPr>
        <w:t>, na níž se sejdou odborníci z oblasti vymáhání práva, zdravotnictví a sociálních věcí a místní orgány, včetně zdravotnických služeb, aby vypracovali osvědčené postupy. V rámci platformy EMPACT se budou konat společné akce a školení vycházející z Evropských osnov prevence EMCDDA</w:t>
      </w:r>
      <w:r w:rsidR="006E522D" w:rsidRPr="002932F0">
        <w:rPr>
          <w:rStyle w:val="FootnoteReference0"/>
          <w:rFonts w:ascii="Times New Roman" w:hAnsi="Times New Roman"/>
          <w:noProof/>
          <w:sz w:val="24"/>
          <w:lang w:val="en-GB"/>
        </w:rPr>
        <w:footnoteReference w:id="62"/>
      </w:r>
      <w:r>
        <w:rPr>
          <w:rFonts w:ascii="Times New Roman" w:hAnsi="Times New Roman"/>
          <w:noProof/>
          <w:sz w:val="24"/>
        </w:rPr>
        <w:t>.</w:t>
      </w:r>
    </w:p>
    <w:p w14:paraId="16D5F5BB" w14:textId="77777777" w:rsidR="00722D48" w:rsidRPr="00EA4C6E" w:rsidRDefault="00722D48" w:rsidP="00635D8D">
      <w:pPr>
        <w:spacing w:after="0"/>
        <w:jc w:val="both"/>
        <w:rPr>
          <w:rFonts w:ascii="Times New Roman" w:hAnsi="Times New Roman"/>
          <w:noProof/>
          <w:sz w:val="24"/>
        </w:rPr>
      </w:pPr>
    </w:p>
    <w:p w14:paraId="1A4825ED" w14:textId="77777777" w:rsidR="00B279E0" w:rsidRPr="00EA4C6E" w:rsidRDefault="00B279E0" w:rsidP="00722D48">
      <w:pPr>
        <w:spacing w:after="0" w:line="252" w:lineRule="auto"/>
        <w:jc w:val="both"/>
        <w:rPr>
          <w:rFonts w:ascii="Times New Roman" w:hAnsi="Times New Roman" w:cs="Times New Roman"/>
          <w:b/>
          <w:bCs/>
          <w:i/>
          <w:iCs/>
          <w:noProof/>
          <w:sz w:val="24"/>
          <w:szCs w:val="24"/>
        </w:rPr>
      </w:pPr>
    </w:p>
    <w:p w14:paraId="5CE3B59C" w14:textId="4D0F94B5" w:rsidR="00B279E0" w:rsidRPr="002932F0" w:rsidRDefault="00B279E0" w:rsidP="00E12D9E">
      <w:pPr>
        <w:pStyle w:val="Style2"/>
        <w:rPr>
          <w:noProof/>
        </w:rPr>
      </w:pPr>
      <w:r>
        <w:rPr>
          <w:noProof/>
        </w:rPr>
        <w:t>Mezinárodní spolupráce</w:t>
      </w:r>
    </w:p>
    <w:p w14:paraId="5ED3DEDE" w14:textId="4604821B" w:rsidR="00FA7A7A" w:rsidRPr="002932F0" w:rsidRDefault="00FA7A7A" w:rsidP="00FA7A7A">
      <w:pPr>
        <w:spacing w:after="0" w:line="252" w:lineRule="auto"/>
        <w:jc w:val="both"/>
        <w:rPr>
          <w:rFonts w:ascii="Times New Roman" w:hAnsi="Times New Roman"/>
          <w:b/>
          <w:noProof/>
          <w:sz w:val="24"/>
          <w:lang w:val="en-GB"/>
        </w:rPr>
      </w:pPr>
    </w:p>
    <w:p w14:paraId="3EED5474" w14:textId="77777777" w:rsidR="00690E15" w:rsidRPr="002932F0" w:rsidRDefault="00417892" w:rsidP="00690E15">
      <w:pPr>
        <w:spacing w:after="0" w:line="252" w:lineRule="auto"/>
        <w:jc w:val="both"/>
        <w:rPr>
          <w:rFonts w:ascii="Times New Roman" w:hAnsi="Times New Roman"/>
          <w:noProof/>
          <w:sz w:val="24"/>
        </w:rPr>
      </w:pPr>
      <w:r>
        <w:rPr>
          <w:rFonts w:ascii="Times New Roman" w:hAnsi="Times New Roman"/>
          <w:noProof/>
          <w:sz w:val="24"/>
        </w:rPr>
        <w:t>Vzhledem k celosvětovému dosahu zločineckých sítí a jejich vzájemnému propojení je stále naléhavější, aby</w:t>
      </w:r>
      <w:r>
        <w:rPr>
          <w:rFonts w:ascii="Times New Roman" w:hAnsi="Times New Roman"/>
          <w:b/>
          <w:noProof/>
          <w:sz w:val="24"/>
        </w:rPr>
        <w:t xml:space="preserve"> EU</w:t>
      </w:r>
      <w:r>
        <w:rPr>
          <w:rFonts w:ascii="Times New Roman" w:hAnsi="Times New Roman"/>
          <w:noProof/>
          <w:sz w:val="24"/>
        </w:rPr>
        <w:t xml:space="preserve"> </w:t>
      </w:r>
      <w:r>
        <w:rPr>
          <w:rFonts w:ascii="Times New Roman" w:hAnsi="Times New Roman"/>
          <w:b/>
          <w:noProof/>
          <w:sz w:val="24"/>
        </w:rPr>
        <w:t>hledala komplexní řešení i za svými hranicemi</w:t>
      </w:r>
      <w:r>
        <w:rPr>
          <w:rFonts w:ascii="Times New Roman" w:hAnsi="Times New Roman"/>
          <w:noProof/>
          <w:sz w:val="24"/>
        </w:rPr>
        <w:t xml:space="preserve">. V boji proti obchodu s drogami má prioritu spolupráce se zeměmi a regiony, jimiž vedou hlavní trasy dodávek drog a které jsou obzvláště postiženy nepříznivými dopady obchodu s drogami. Zásadní je také spolupráce s klíčovými partnery, kteří mohou pomoci s řešením. Vnější činnost a partnerství EU jsou komplexní a zaměřují se jak na prevenci, tak na boj proti organizované trestné činnosti. </w:t>
      </w:r>
    </w:p>
    <w:p w14:paraId="3A73A994" w14:textId="77777777" w:rsidR="00690E15" w:rsidRPr="00EA4C6E" w:rsidRDefault="00690E15" w:rsidP="00690E15">
      <w:pPr>
        <w:spacing w:after="0" w:line="252" w:lineRule="auto"/>
        <w:jc w:val="both"/>
        <w:rPr>
          <w:rFonts w:ascii="Times New Roman" w:hAnsi="Times New Roman"/>
          <w:noProof/>
          <w:sz w:val="24"/>
        </w:rPr>
      </w:pPr>
    </w:p>
    <w:p w14:paraId="4B6861D6" w14:textId="4A70177A" w:rsidR="00174BBC" w:rsidRPr="002932F0" w:rsidRDefault="00690E15" w:rsidP="00690E15">
      <w:pPr>
        <w:spacing w:after="0" w:line="252" w:lineRule="auto"/>
        <w:jc w:val="both"/>
        <w:rPr>
          <w:rFonts w:ascii="Times New Roman" w:hAnsi="Times New Roman" w:cs="Times New Roman"/>
          <w:noProof/>
          <w:sz w:val="24"/>
          <w:szCs w:val="24"/>
        </w:rPr>
      </w:pPr>
      <w:r>
        <w:rPr>
          <w:rFonts w:ascii="Times New Roman" w:hAnsi="Times New Roman"/>
          <w:noProof/>
          <w:sz w:val="24"/>
        </w:rPr>
        <w:t>EU by měla pokračovat ve zlepšování spolupráce v oblasti prosazování práva a justiční spolupráce s těmi zeměmi, jejichž vnitrostátní právní rámce zneužívají pachatelé trestné činnosti k tomu, aby ukryli sebe nebo svůj majetek. Kromě toho bude EU v rámci</w:t>
      </w:r>
      <w:r>
        <w:rPr>
          <w:rFonts w:ascii="Times New Roman" w:hAnsi="Times New Roman"/>
          <w:b/>
          <w:noProof/>
          <w:sz w:val="24"/>
        </w:rPr>
        <w:t xml:space="preserve"> strategie</w:t>
      </w:r>
      <w:r>
        <w:rPr>
          <w:rFonts w:ascii="Times New Roman" w:hAnsi="Times New Roman"/>
          <w:noProof/>
          <w:sz w:val="24"/>
        </w:rPr>
        <w:t xml:space="preserve"> </w:t>
      </w:r>
      <w:r>
        <w:rPr>
          <w:rFonts w:ascii="Times New Roman" w:hAnsi="Times New Roman"/>
          <w:b/>
          <w:noProof/>
          <w:sz w:val="24"/>
        </w:rPr>
        <w:t>Global Gateway</w:t>
      </w:r>
      <w:r w:rsidR="00174BBC" w:rsidRPr="002932F0">
        <w:rPr>
          <w:rStyle w:val="FootnoteReference0"/>
          <w:rFonts w:ascii="Times New Roman" w:hAnsi="Times New Roman" w:cs="Times New Roman"/>
          <w:noProof/>
          <w:sz w:val="24"/>
          <w:szCs w:val="24"/>
          <w:lang w:val="en-GB"/>
        </w:rPr>
        <w:footnoteReference w:id="63"/>
      </w:r>
      <w:r>
        <w:rPr>
          <w:rFonts w:ascii="Times New Roman" w:hAnsi="Times New Roman"/>
          <w:noProof/>
          <w:sz w:val="24"/>
        </w:rPr>
        <w:t>nadále investovat do potřeb partnerů v oblasti infrastruktury, zejména do odstraňování slabých míst v logistických uzlech prostřednictvím specializovaných iniciativ týmu Evropa, které rovněž podporují bezpečnost a technologické zlepšení.</w:t>
      </w:r>
    </w:p>
    <w:p w14:paraId="7C4D492F" w14:textId="22062337" w:rsidR="00A34488" w:rsidRDefault="00CB7629" w:rsidP="00690E15">
      <w:pPr>
        <w:pStyle w:val="paragraph"/>
        <w:spacing w:line="252" w:lineRule="auto"/>
        <w:jc w:val="both"/>
        <w:textAlignment w:val="baseline"/>
        <w:rPr>
          <w:noProof/>
        </w:rPr>
      </w:pPr>
      <w:r>
        <w:rPr>
          <w:noProof/>
        </w:rPr>
        <w:t xml:space="preserve">Pokud jde o </w:t>
      </w:r>
      <w:r>
        <w:rPr>
          <w:b/>
          <w:noProof/>
        </w:rPr>
        <w:t>ochranu přístavů</w:t>
      </w:r>
      <w:r>
        <w:rPr>
          <w:noProof/>
        </w:rPr>
        <w:t xml:space="preserve"> před pronikáním trestné činnosti, Komise v rámci svých vztahů se zeměmi mimo EU zdůrazňuje, že je důležité, aby tyto země plně dodržovaly Mezinárodní úmluvu o bezpečnosti lidského života na moři (SOLAS) (zejména zvláštní opatření ke zlepšení námořní bezpečnosti) a Mezinárodní předpis o bezpečnosti lodí a přístavních zařízení (ISPS)</w:t>
      </w:r>
      <w:r w:rsidR="00690E15" w:rsidRPr="002932F0">
        <w:rPr>
          <w:noProof/>
          <w:vertAlign w:val="superscript"/>
          <w:lang w:val="en-GB"/>
        </w:rPr>
        <w:footnoteReference w:id="64"/>
      </w:r>
      <w:r>
        <w:rPr>
          <w:noProof/>
        </w:rPr>
        <w:t>.</w:t>
      </w:r>
    </w:p>
    <w:p w14:paraId="4CF71CCF" w14:textId="77777777" w:rsidR="004501C2" w:rsidRDefault="004501C2" w:rsidP="00624A39">
      <w:pPr>
        <w:spacing w:after="0" w:line="252" w:lineRule="auto"/>
        <w:jc w:val="both"/>
        <w:rPr>
          <w:rFonts w:ascii="Times New Roman" w:hAnsi="Times New Roman"/>
          <w:b/>
          <w:i/>
          <w:noProof/>
          <w:sz w:val="24"/>
        </w:rPr>
      </w:pPr>
      <w:bookmarkStart w:id="24" w:name="_Hlk135657218"/>
    </w:p>
    <w:p w14:paraId="724AA460" w14:textId="7370E466"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Opatření č. 14: Posílení podpory operací zaměřených proti obchodování s drogami v západní Africe</w:t>
      </w:r>
    </w:p>
    <w:p w14:paraId="3490F009" w14:textId="3E7BCA17"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Hlavní aktéři EU: Komise, členské státy, MAOC (N), Europol.</w:t>
      </w:r>
    </w:p>
    <w:p w14:paraId="3755582B" w14:textId="77777777" w:rsidR="00624A39" w:rsidRPr="00EA4C6E" w:rsidRDefault="00624A39" w:rsidP="00624A39">
      <w:pPr>
        <w:spacing w:after="0" w:line="252" w:lineRule="auto"/>
        <w:jc w:val="both"/>
        <w:rPr>
          <w:rFonts w:ascii="Times New Roman" w:hAnsi="Times New Roman"/>
          <w:noProof/>
          <w:sz w:val="24"/>
        </w:rPr>
      </w:pPr>
    </w:p>
    <w:p w14:paraId="6BC6A5D2" w14:textId="2DF6318D" w:rsidR="00624A39" w:rsidRPr="002932F0" w:rsidRDefault="00624A39" w:rsidP="00624A39">
      <w:pPr>
        <w:spacing w:after="0" w:line="252" w:lineRule="auto"/>
        <w:jc w:val="both"/>
        <w:rPr>
          <w:rFonts w:ascii="Times New Roman" w:hAnsi="Times New Roman"/>
          <w:noProof/>
          <w:sz w:val="24"/>
        </w:rPr>
      </w:pPr>
      <w:r>
        <w:rPr>
          <w:rFonts w:ascii="Times New Roman" w:hAnsi="Times New Roman"/>
          <w:noProof/>
          <w:sz w:val="24"/>
        </w:rPr>
        <w:t xml:space="preserve">Jednou z </w:t>
      </w:r>
      <w:r>
        <w:rPr>
          <w:rFonts w:ascii="Times New Roman" w:hAnsi="Times New Roman"/>
          <w:b/>
          <w:noProof/>
          <w:sz w:val="24"/>
        </w:rPr>
        <w:t xml:space="preserve">hlavních tras obchodu s drogami </w:t>
      </w:r>
      <w:r>
        <w:rPr>
          <w:rFonts w:ascii="Times New Roman" w:hAnsi="Times New Roman"/>
          <w:noProof/>
          <w:sz w:val="24"/>
        </w:rPr>
        <w:t>z Jižní Ameriky se stal Guinejský záliv. Drogy se do Evropy dostávají přes Guinejský záliv na rybářských plavidlech, rekreačních plavidlech, plachetnicích a dalších typech lodí vyplouvajících z Jižní Ameriky. Tato plavidla nakládají nelegální náklad u pobřeží a plují směrem ke Guinejskému zálivu, kde drogy doručí dalším lodím. Tyto lodě pak zásilku dopraví na břeh a odtud se drogy pašují přes Saharu do Evropy.</w:t>
      </w:r>
    </w:p>
    <w:p w14:paraId="29519A0D" w14:textId="77777777" w:rsidR="00DD435A" w:rsidRPr="00EA4C6E" w:rsidRDefault="00DD435A" w:rsidP="00DD435A">
      <w:pPr>
        <w:spacing w:after="0" w:line="252" w:lineRule="auto"/>
        <w:jc w:val="both"/>
        <w:rPr>
          <w:rFonts w:ascii="Times New Roman" w:hAnsi="Times New Roman"/>
          <w:noProof/>
          <w:sz w:val="24"/>
        </w:rPr>
      </w:pPr>
    </w:p>
    <w:p w14:paraId="1C05DF6A" w14:textId="0888C4D5" w:rsidR="00675EF6" w:rsidRPr="002932F0" w:rsidRDefault="00DA308F" w:rsidP="00174BBC">
      <w:pPr>
        <w:spacing w:after="0" w:line="252" w:lineRule="auto"/>
        <w:jc w:val="both"/>
        <w:rPr>
          <w:rFonts w:ascii="Times New Roman" w:hAnsi="Times New Roman" w:cs="Times New Roman"/>
          <w:bCs/>
          <w:noProof/>
          <w:sz w:val="24"/>
          <w:szCs w:val="24"/>
          <w:u w:val="single"/>
        </w:rPr>
      </w:pPr>
      <w:r>
        <w:rPr>
          <w:rFonts w:ascii="Times New Roman" w:hAnsi="Times New Roman"/>
          <w:noProof/>
          <w:sz w:val="24"/>
        </w:rPr>
        <w:t>Komise bude společně s členskými státy EU koordinovaně pracovat na řešení této trasy dodávek drog v souladu se strategií EU pro námořní bezpečnost s ohledem na vyvíjející se námořní hrozby a příslušným akčním plánem</w:t>
      </w:r>
      <w:r w:rsidR="004B3F3A" w:rsidRPr="002932F0">
        <w:rPr>
          <w:rStyle w:val="FootnoteReference0"/>
          <w:rFonts w:ascii="Times New Roman" w:hAnsi="Times New Roman"/>
          <w:noProof/>
          <w:sz w:val="24"/>
          <w:lang w:val="en-GB"/>
        </w:rPr>
        <w:footnoteReference w:id="65"/>
      </w:r>
      <w:r>
        <w:rPr>
          <w:rFonts w:ascii="Times New Roman" w:hAnsi="Times New Roman"/>
          <w:noProof/>
          <w:sz w:val="24"/>
        </w:rPr>
        <w:t xml:space="preserve"> a strategií EU pro Guinejský záliv</w:t>
      </w:r>
      <w:r w:rsidR="004B3F3A" w:rsidRPr="002932F0">
        <w:rPr>
          <w:rStyle w:val="FootnoteReference0"/>
          <w:rFonts w:ascii="Times New Roman" w:hAnsi="Times New Roman"/>
          <w:noProof/>
          <w:sz w:val="24"/>
          <w:lang w:val="en-GB"/>
        </w:rPr>
        <w:footnoteReference w:id="66"/>
      </w:r>
      <w:r>
        <w:rPr>
          <w:rFonts w:ascii="Times New Roman" w:hAnsi="Times New Roman"/>
          <w:noProof/>
          <w:sz w:val="24"/>
        </w:rPr>
        <w:t xml:space="preserve">. Budou tak činit prostřednictvím výměny informací, posilování národní námořní přítomnosti v oblasti, usnadňování společných operací s podporou Centra pro námořní analýzu a operace – narkotika (MAOC (N)) a další </w:t>
      </w:r>
      <w:r>
        <w:rPr>
          <w:rFonts w:ascii="Times New Roman" w:hAnsi="Times New Roman"/>
          <w:b/>
          <w:noProof/>
          <w:sz w:val="24"/>
        </w:rPr>
        <w:t>podpory rozvoje</w:t>
      </w:r>
      <w:r>
        <w:rPr>
          <w:rFonts w:ascii="Times New Roman" w:hAnsi="Times New Roman"/>
          <w:noProof/>
          <w:sz w:val="24"/>
        </w:rPr>
        <w:t xml:space="preserve"> </w:t>
      </w:r>
      <w:r>
        <w:rPr>
          <w:rFonts w:ascii="Times New Roman" w:hAnsi="Times New Roman"/>
          <w:b/>
          <w:noProof/>
          <w:sz w:val="24"/>
        </w:rPr>
        <w:t>kapacit západoafrických zemí</w:t>
      </w:r>
      <w:r>
        <w:rPr>
          <w:rFonts w:ascii="Times New Roman" w:hAnsi="Times New Roman"/>
          <w:noProof/>
          <w:sz w:val="24"/>
        </w:rPr>
        <w:t xml:space="preserve"> </w:t>
      </w:r>
      <w:r>
        <w:rPr>
          <w:rFonts w:ascii="Times New Roman" w:hAnsi="Times New Roman"/>
          <w:b/>
          <w:noProof/>
          <w:sz w:val="24"/>
        </w:rPr>
        <w:t>v oblasti boje proti obchodování s drogami</w:t>
      </w:r>
      <w:r>
        <w:rPr>
          <w:rFonts w:ascii="Times New Roman" w:hAnsi="Times New Roman"/>
          <w:noProof/>
          <w:sz w:val="24"/>
        </w:rPr>
        <w:t>, například prostřednictvím programu pro globální nezákonné toky (GIFP).</w:t>
      </w:r>
    </w:p>
    <w:p w14:paraId="6FCF1EDB" w14:textId="77777777" w:rsidR="00395FC9" w:rsidRPr="00EA4C6E" w:rsidRDefault="00395FC9" w:rsidP="00174BBC">
      <w:pPr>
        <w:spacing w:after="0" w:line="252" w:lineRule="auto"/>
        <w:jc w:val="both"/>
        <w:rPr>
          <w:rFonts w:ascii="Times New Roman" w:hAnsi="Times New Roman" w:cs="Times New Roman"/>
          <w:noProof/>
          <w:sz w:val="24"/>
          <w:szCs w:val="24"/>
          <w:u w:val="single"/>
        </w:rPr>
      </w:pPr>
    </w:p>
    <w:p w14:paraId="5A816B0D" w14:textId="76AFCBB4" w:rsidR="00023BB2" w:rsidRPr="002932F0" w:rsidRDefault="00174BBC" w:rsidP="00174BBC">
      <w:pPr>
        <w:spacing w:after="0" w:line="252" w:lineRule="auto"/>
        <w:jc w:val="both"/>
        <w:rPr>
          <w:rFonts w:ascii="Times New Roman" w:hAnsi="Times New Roman" w:cs="Times New Roman"/>
          <w:noProof/>
          <w:sz w:val="24"/>
          <w:szCs w:val="24"/>
        </w:rPr>
      </w:pPr>
      <w:r>
        <w:rPr>
          <w:rFonts w:ascii="Times New Roman" w:hAnsi="Times New Roman"/>
          <w:noProof/>
          <w:sz w:val="24"/>
        </w:rPr>
        <w:t xml:space="preserve">Cílem připravovaného programu námořní bezpečnosti </w:t>
      </w:r>
      <w:r>
        <w:rPr>
          <w:rFonts w:ascii="Times New Roman" w:hAnsi="Times New Roman"/>
          <w:b/>
          <w:noProof/>
          <w:sz w:val="24"/>
        </w:rPr>
        <w:t>„Posílení námořní bezpečnosti v Africe“ (Bezpečná moře pro Afriku</w:t>
      </w:r>
      <w:r>
        <w:rPr>
          <w:rFonts w:ascii="Times New Roman" w:hAnsi="Times New Roman"/>
          <w:noProof/>
          <w:sz w:val="24"/>
        </w:rPr>
        <w:t xml:space="preserve">) je posílit kapacity donucovacích orgánů v boji proti obchodu s narkotiky na moři, a to jak v oblasti Guinejského zálivu, tak i podél svahilského pobřeží a v ostrovní oblasti západní části Indického oceánu. </w:t>
      </w:r>
    </w:p>
    <w:p w14:paraId="7D412CEF" w14:textId="77777777" w:rsidR="00023BB2" w:rsidRPr="00EA4C6E" w:rsidRDefault="00023BB2" w:rsidP="00174BBC">
      <w:pPr>
        <w:spacing w:after="0" w:line="252" w:lineRule="auto"/>
        <w:jc w:val="both"/>
        <w:rPr>
          <w:rFonts w:ascii="Times New Roman" w:hAnsi="Times New Roman" w:cs="Times New Roman"/>
          <w:noProof/>
          <w:sz w:val="24"/>
          <w:szCs w:val="24"/>
        </w:rPr>
      </w:pPr>
    </w:p>
    <w:p w14:paraId="71AFA8D5" w14:textId="33B02381" w:rsidR="00CB7629" w:rsidRDefault="00675EF6" w:rsidP="00FA7840">
      <w:pPr>
        <w:spacing w:after="0" w:line="252" w:lineRule="auto"/>
        <w:jc w:val="both"/>
        <w:rPr>
          <w:rFonts w:ascii="Times New Roman" w:hAnsi="Times New Roman" w:cs="Times New Roman"/>
          <w:noProof/>
          <w:sz w:val="24"/>
          <w:szCs w:val="24"/>
        </w:rPr>
      </w:pPr>
      <w:r>
        <w:rPr>
          <w:rFonts w:ascii="Times New Roman" w:hAnsi="Times New Roman"/>
          <w:noProof/>
          <w:sz w:val="24"/>
        </w:rPr>
        <w:t xml:space="preserve">Kromě toho, pokud jde o západní Afriku, EU zkoumá </w:t>
      </w:r>
      <w:r>
        <w:rPr>
          <w:rFonts w:ascii="Times New Roman" w:hAnsi="Times New Roman"/>
          <w:b/>
          <w:noProof/>
          <w:sz w:val="24"/>
        </w:rPr>
        <w:t>možnou budoucí regionální intervenci, která by se řídila komplexním přístupem „koridory a centra nedovoleného obchodu“</w:t>
      </w:r>
      <w:r>
        <w:rPr>
          <w:rFonts w:ascii="Times New Roman" w:hAnsi="Times New Roman"/>
          <w:noProof/>
          <w:sz w:val="24"/>
        </w:rPr>
        <w:t>. Takový program by dále přispěl ke stabilizačnímu úsilí, zejména tím, že by se zabýval možnými existujícími vazbami mezi organizovanou trestnou činností a šířením teroristických aktivit v západní Africe.</w:t>
      </w:r>
    </w:p>
    <w:p w14:paraId="17AFA925" w14:textId="48F8B440" w:rsidR="00FA7840" w:rsidRPr="00EA4C6E" w:rsidRDefault="00FA7840" w:rsidP="00FA7840">
      <w:pPr>
        <w:spacing w:after="0" w:line="252" w:lineRule="auto"/>
        <w:jc w:val="both"/>
        <w:rPr>
          <w:rFonts w:ascii="Times New Roman" w:hAnsi="Times New Roman" w:cs="Times New Roman"/>
          <w:noProof/>
          <w:sz w:val="24"/>
          <w:szCs w:val="24"/>
        </w:rPr>
      </w:pPr>
    </w:p>
    <w:p w14:paraId="0827E3DB" w14:textId="77777777" w:rsidR="00FA7840" w:rsidRPr="00EA4C6E" w:rsidRDefault="00FA7840" w:rsidP="00FA7840">
      <w:pPr>
        <w:spacing w:after="0" w:line="252" w:lineRule="auto"/>
        <w:jc w:val="both"/>
        <w:rPr>
          <w:rFonts w:ascii="Times New Roman" w:hAnsi="Times New Roman"/>
          <w:noProof/>
          <w:sz w:val="24"/>
        </w:rPr>
      </w:pPr>
    </w:p>
    <w:p w14:paraId="764A34F7" w14:textId="68D86AC3" w:rsidR="00364512" w:rsidRPr="002932F0" w:rsidRDefault="00364512" w:rsidP="00302828">
      <w:pPr>
        <w:spacing w:after="0" w:line="252" w:lineRule="auto"/>
        <w:jc w:val="both"/>
        <w:rPr>
          <w:rFonts w:ascii="Times New Roman" w:hAnsi="Times New Roman"/>
          <w:b/>
          <w:i/>
          <w:noProof/>
          <w:sz w:val="24"/>
        </w:rPr>
      </w:pPr>
      <w:r>
        <w:rPr>
          <w:rFonts w:ascii="Times New Roman" w:hAnsi="Times New Roman"/>
          <w:b/>
          <w:i/>
          <w:noProof/>
          <w:sz w:val="24"/>
        </w:rPr>
        <w:t>Opatření č. 15: Posílení spolupráce EU se zeměmi Latinské Ameriky a Karibiku v boji proti organizované trestné činnosti</w:t>
      </w:r>
    </w:p>
    <w:p w14:paraId="17DED49B" w14:textId="6DA0550F" w:rsidR="00364512" w:rsidRPr="002932F0" w:rsidRDefault="00364512" w:rsidP="002A4025">
      <w:pPr>
        <w:pStyle w:val="paragraph"/>
        <w:spacing w:before="0" w:beforeAutospacing="0"/>
        <w:textAlignment w:val="baseline"/>
        <w:rPr>
          <w:i/>
          <w:iCs/>
          <w:noProof/>
        </w:rPr>
      </w:pPr>
      <w:r>
        <w:rPr>
          <w:i/>
          <w:noProof/>
        </w:rPr>
        <w:t>Hlavní aktéři EU: Komise, Europol, Eurojust, členské státy</w:t>
      </w:r>
    </w:p>
    <w:p w14:paraId="4E153AE8" w14:textId="3A7AF328" w:rsidR="005340E0" w:rsidRPr="002932F0" w:rsidRDefault="0040229D" w:rsidP="00395FC9">
      <w:pPr>
        <w:pStyle w:val="paragraph"/>
        <w:spacing w:after="0"/>
        <w:jc w:val="both"/>
        <w:textAlignment w:val="baseline"/>
        <w:rPr>
          <w:rStyle w:val="normaltextrun"/>
          <w:noProof/>
        </w:rPr>
      </w:pPr>
      <w:r>
        <w:rPr>
          <w:rStyle w:val="normaltextrun"/>
          <w:noProof/>
        </w:rPr>
        <w:t xml:space="preserve">Vzhledem k tomu, že hrozby vyplývající z trestné činnosti, kterým čelí Latinská Amerika a Karibik a EU, vážně ovlivňují bezpečnost a kvalitu života obyvatel obou regionů, musíme v boji proti nim spojit své síly. V zájmu zlepšení spolupráce s Latinskou Amerikou v oblasti prosazování práva Komise prioritně sjednává s Bolívií, Brazílií, Ekvádorem, Mexikem a Peru </w:t>
      </w:r>
      <w:r>
        <w:rPr>
          <w:rStyle w:val="normaltextrun"/>
          <w:b/>
          <w:noProof/>
        </w:rPr>
        <w:t>mezinárodní dohody o výměně osobních údajů s Europolem</w:t>
      </w:r>
      <w:r>
        <w:rPr>
          <w:rStyle w:val="normaltextrun"/>
          <w:noProof/>
        </w:rPr>
        <w:t xml:space="preserve">. Komise rovněž zintenzivňuje práci na uzavření jednání o </w:t>
      </w:r>
      <w:r>
        <w:rPr>
          <w:rStyle w:val="normaltextrun"/>
          <w:b/>
          <w:noProof/>
        </w:rPr>
        <w:t xml:space="preserve">mezinárodních dohodách o justiční spolupráci s Eurojustem </w:t>
      </w:r>
      <w:r>
        <w:rPr>
          <w:rStyle w:val="normaltextrun"/>
          <w:noProof/>
        </w:rPr>
        <w:t>s Brazílií, Argentinou a Kolumbií.</w:t>
      </w:r>
      <w:r>
        <w:rPr>
          <w:noProof/>
        </w:rPr>
        <w:t xml:space="preserve"> Komise také zváží možnost navrhnout</w:t>
      </w:r>
      <w:r>
        <w:rPr>
          <w:rStyle w:val="normaltextrun"/>
          <w:noProof/>
        </w:rPr>
        <w:t xml:space="preserve"> rozšíření mandátu Rady zejména na další latinskoamerické země pro budoucí zapojení Eurojustu do justiční spolupráce v regionu.</w:t>
      </w:r>
    </w:p>
    <w:p w14:paraId="0DE4C097" w14:textId="36B52F32" w:rsidR="005340E0" w:rsidRPr="002932F0" w:rsidRDefault="00011065" w:rsidP="00635D8D">
      <w:pPr>
        <w:pStyle w:val="paragraph"/>
        <w:spacing w:before="0" w:beforeAutospacing="0" w:after="0" w:afterAutospacing="0"/>
        <w:jc w:val="both"/>
        <w:textAlignment w:val="baseline"/>
        <w:rPr>
          <w:rStyle w:val="normaltextrun"/>
          <w:noProof/>
        </w:rPr>
      </w:pPr>
      <w:r>
        <w:rPr>
          <w:rStyle w:val="normaltextrun"/>
          <w:noProof/>
        </w:rPr>
        <w:t>V rámci posíleného partnerství mezi EU a zeměmi Latinské Ameriky a Karibiku v oblasti justice a bezpečnosti a příslušné iniciativy týmu Evropa existují regionální programy, které podporují úsilí o integrovanou správu hranic a boj proti obchodu s lidmi a jejich pašování v několika jihoamerických zemích</w:t>
      </w:r>
      <w:r w:rsidR="00341D82" w:rsidRPr="002932F0">
        <w:rPr>
          <w:rStyle w:val="FootnoteReference0"/>
          <w:noProof/>
          <w:lang w:val="en-GB"/>
        </w:rPr>
        <w:footnoteReference w:id="67"/>
      </w:r>
      <w:r>
        <w:rPr>
          <w:rStyle w:val="normaltextrun"/>
          <w:noProof/>
        </w:rPr>
        <w:t xml:space="preserve"> (EUROFRONT) a snižování nabídky a poptávky po drogách v Latinské Americe a Karibiku (COPOLAD)</w:t>
      </w:r>
      <w:r>
        <w:rPr>
          <w:noProof/>
        </w:rPr>
        <w:t xml:space="preserve">, </w:t>
      </w:r>
      <w:r>
        <w:rPr>
          <w:rStyle w:val="normaltextrun"/>
          <w:noProof/>
        </w:rPr>
        <w:t xml:space="preserve">a program pro globální nezákonné toky, jehož cílem je budování kapacit pro boj proti organizované trestné činnosti v Latinské Americe a Karibiku (kromě dalších regionů). Dialog na vysoké úrovni bude rovněž posílen prostřednictvím mechanismu koordinace a spolupráce EU–CELAC v oblasti drog. V tomto ohledu poskytne </w:t>
      </w:r>
      <w:r>
        <w:rPr>
          <w:rStyle w:val="normaltextrun"/>
          <w:b/>
          <w:noProof/>
        </w:rPr>
        <w:t>nová verze EL PAcCTO 2.0</w:t>
      </w:r>
      <w:r>
        <w:rPr>
          <w:rStyle w:val="normaltextrun"/>
          <w:noProof/>
        </w:rPr>
        <w:t xml:space="preserve"> další zdroje na posílení spolupráce mezi EU a zeměmi Latinské Ameriky a Karibiku v oblasti prosazování práva, včetně podpory pro AMERIPOL. V rámci programu EL PAcCTO 2.0. bude společný projekt podporovat a posilovat výměnu zpravodajských a dalších informací, zefektivňovat operace a maximalizovat využití dat mezi Europolem a Kolumbií k rozbití zločineckých sítí obchodujících s drogami.</w:t>
      </w:r>
      <w:r>
        <w:rPr>
          <w:noProof/>
        </w:rPr>
        <w:t xml:space="preserve"> </w:t>
      </w:r>
      <w:r>
        <w:rPr>
          <w:rStyle w:val="normaltextrun"/>
          <w:noProof/>
        </w:rPr>
        <w:t xml:space="preserve">V souladu s přístupem „tým Evropa“ Komise rovněž prozkoumá možnosti podpory </w:t>
      </w:r>
      <w:r>
        <w:rPr>
          <w:rStyle w:val="normaltextrun"/>
          <w:b/>
          <w:noProof/>
        </w:rPr>
        <w:t>místních zvláštních vyšetřovacích týmů</w:t>
      </w:r>
      <w:r>
        <w:rPr>
          <w:rStyle w:val="normaltextrun"/>
          <w:noProof/>
        </w:rPr>
        <w:t>, které by prováděly složitá vyšetřování v zemích mimo EU.</w:t>
      </w:r>
    </w:p>
    <w:p w14:paraId="20C338BD" w14:textId="77777777" w:rsidR="00690E15" w:rsidRPr="00EA4C6E" w:rsidRDefault="00690E15" w:rsidP="00690E15">
      <w:pPr>
        <w:pStyle w:val="paragraph"/>
        <w:spacing w:before="0" w:beforeAutospacing="0" w:after="0" w:afterAutospacing="0"/>
        <w:jc w:val="both"/>
        <w:textAlignment w:val="baseline"/>
        <w:rPr>
          <w:rStyle w:val="normaltextrun"/>
          <w:noProof/>
        </w:rPr>
      </w:pPr>
    </w:p>
    <w:p w14:paraId="45AA816E" w14:textId="7007A33D" w:rsidR="00690E15" w:rsidRDefault="00690E15" w:rsidP="00690E15">
      <w:pPr>
        <w:pStyle w:val="paragraph"/>
        <w:spacing w:before="0" w:beforeAutospacing="0" w:after="0" w:afterAutospacing="0"/>
        <w:jc w:val="both"/>
        <w:textAlignment w:val="baseline"/>
        <w:rPr>
          <w:noProof/>
        </w:rPr>
      </w:pPr>
      <w:r>
        <w:rPr>
          <w:rStyle w:val="normaltextrun"/>
          <w:noProof/>
        </w:rPr>
        <w:t xml:space="preserve">V roce 2022 bylo v ekvádorském Guayaquilu zabaveno 44 tun kokainu. Přístavy v oblasti Guayaquilu se staly jedním z nejvyužívanějších logistických uzlů pro přepravu drog do Evropy v kontejnerech. Komise společně s vnitrostátními orgány zahájí </w:t>
      </w:r>
      <w:r>
        <w:rPr>
          <w:rStyle w:val="normaltextrun"/>
          <w:b/>
          <w:noProof/>
        </w:rPr>
        <w:t>zvláštní posouzení zranitelnosti přístavů v Guayaquilu</w:t>
      </w:r>
      <w:r>
        <w:rPr>
          <w:rStyle w:val="normaltextrun"/>
          <w:noProof/>
        </w:rPr>
        <w:t xml:space="preserve"> a přilehlém zálivu</w:t>
      </w:r>
      <w:r>
        <w:rPr>
          <w:noProof/>
        </w:rPr>
        <w:t>, aby určila priority budoucích činností, včetně podpory EU.</w:t>
      </w:r>
    </w:p>
    <w:p w14:paraId="70C55364" w14:textId="77777777" w:rsidR="00FA7840" w:rsidRPr="00EA4C6E" w:rsidRDefault="00FA7840" w:rsidP="00690E15">
      <w:pPr>
        <w:pStyle w:val="paragraph"/>
        <w:spacing w:before="0" w:beforeAutospacing="0" w:after="0" w:afterAutospacing="0"/>
        <w:jc w:val="both"/>
        <w:textAlignment w:val="baseline"/>
        <w:rPr>
          <w:noProof/>
        </w:rPr>
      </w:pPr>
    </w:p>
    <w:p w14:paraId="7713DA9C" w14:textId="77777777" w:rsidR="00283F7E" w:rsidRPr="00EA4C6E" w:rsidRDefault="00283F7E" w:rsidP="00635D8D">
      <w:pPr>
        <w:pStyle w:val="paragraph"/>
        <w:spacing w:before="0" w:beforeAutospacing="0" w:after="0" w:afterAutospacing="0"/>
        <w:jc w:val="both"/>
        <w:textAlignment w:val="baseline"/>
        <w:rPr>
          <w:noProof/>
        </w:rPr>
      </w:pPr>
    </w:p>
    <w:p w14:paraId="5ED04C54" w14:textId="19F7A0B8"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Opatření č. 16: Vytváření aliancí pro řešení hrozeb spojených se syntetickými drogami</w:t>
      </w:r>
    </w:p>
    <w:p w14:paraId="780D1C9D" w14:textId="6F42B82C"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Hlavní aktéři: Komise, Europol, EMCDDA a členské státy</w:t>
      </w:r>
    </w:p>
    <w:p w14:paraId="2A0FABAC" w14:textId="77777777" w:rsidR="00624A39" w:rsidRPr="00EA4C6E" w:rsidRDefault="00624A39" w:rsidP="00624A39">
      <w:pPr>
        <w:spacing w:after="0" w:line="252" w:lineRule="auto"/>
        <w:jc w:val="both"/>
        <w:rPr>
          <w:rFonts w:ascii="Times New Roman" w:hAnsi="Times New Roman"/>
          <w:i/>
          <w:noProof/>
          <w:sz w:val="24"/>
        </w:rPr>
      </w:pPr>
    </w:p>
    <w:p w14:paraId="20A14F9E" w14:textId="3D3E7D89" w:rsidR="005340E0" w:rsidRPr="002932F0" w:rsidRDefault="00624A39" w:rsidP="005340E0">
      <w:pPr>
        <w:spacing w:after="0" w:line="252" w:lineRule="auto"/>
        <w:jc w:val="both"/>
        <w:rPr>
          <w:rFonts w:ascii="Times New Roman" w:hAnsi="Times New Roman"/>
          <w:noProof/>
          <w:sz w:val="24"/>
        </w:rPr>
      </w:pPr>
      <w:r>
        <w:rPr>
          <w:rFonts w:ascii="Times New Roman" w:hAnsi="Times New Roman"/>
          <w:b/>
          <w:noProof/>
          <w:sz w:val="24"/>
        </w:rPr>
        <w:t>Syntetické drogy</w:t>
      </w:r>
      <w:r>
        <w:rPr>
          <w:rFonts w:ascii="Times New Roman" w:hAnsi="Times New Roman"/>
          <w:noProof/>
          <w:sz w:val="24"/>
        </w:rPr>
        <w:t xml:space="preserve"> lze na celém světě snadno a rychle vyrábět ve velkém množství a z levných chemikálií. Syntetické drogy se v posledním desetiletí rozšířily na mezinárodní i regionální úrovni a představují </w:t>
      </w:r>
      <w:r>
        <w:rPr>
          <w:rFonts w:ascii="Times New Roman" w:hAnsi="Times New Roman"/>
          <w:b/>
          <w:noProof/>
          <w:sz w:val="24"/>
        </w:rPr>
        <w:t>skutečnou hrozbu</w:t>
      </w:r>
      <w:r>
        <w:rPr>
          <w:rFonts w:ascii="Times New Roman" w:hAnsi="Times New Roman"/>
          <w:noProof/>
          <w:sz w:val="24"/>
        </w:rPr>
        <w:t xml:space="preserve"> pro zdraví a bezpečnost. Rostou také obavy z výroby syntetických drog v Evropě, které se vyvážejí do celého světa. EU by proto měla převzít odpovědnost a přispět k boji proti tomuto jevu, zejména hledáním mezinárodních partnerů. Velmi cenná je výměna informací a sdílení zkušeností, zejména se severoamerickými zeměmi, kde jsou problémy spojené s fentanylem nejrozšířenější. EU musí zvýšit připravenost a zavést důkladná opatření pro dohled.</w:t>
      </w:r>
    </w:p>
    <w:p w14:paraId="18F844DA" w14:textId="77777777" w:rsidR="00CB080F" w:rsidRPr="00EA4C6E" w:rsidRDefault="00CB080F" w:rsidP="00CB080F">
      <w:pPr>
        <w:spacing w:after="0" w:line="252" w:lineRule="auto"/>
        <w:jc w:val="both"/>
        <w:rPr>
          <w:rFonts w:ascii="Times New Roman" w:hAnsi="Times New Roman"/>
          <w:noProof/>
          <w:sz w:val="24"/>
        </w:rPr>
      </w:pPr>
    </w:p>
    <w:p w14:paraId="6F86D6A2" w14:textId="0D9CEFD2" w:rsidR="00624A39" w:rsidRPr="002932F0" w:rsidRDefault="00624A39" w:rsidP="00302828">
      <w:pPr>
        <w:spacing w:after="0" w:line="252" w:lineRule="auto"/>
        <w:jc w:val="both"/>
        <w:rPr>
          <w:rFonts w:ascii="Times New Roman" w:hAnsi="Times New Roman"/>
          <w:noProof/>
          <w:sz w:val="24"/>
        </w:rPr>
      </w:pPr>
      <w:r>
        <w:rPr>
          <w:rFonts w:ascii="Times New Roman" w:hAnsi="Times New Roman"/>
          <w:noProof/>
          <w:sz w:val="24"/>
        </w:rPr>
        <w:t xml:space="preserve">Dne 7. července 2023 Komise potvrdila, že se EU připojí ke </w:t>
      </w:r>
      <w:r>
        <w:rPr>
          <w:rFonts w:ascii="Times New Roman" w:hAnsi="Times New Roman"/>
          <w:b/>
          <w:noProof/>
          <w:sz w:val="24"/>
        </w:rPr>
        <w:t>globální koalici pro řešení hrozeb spojených se syntetickými drogami</w:t>
      </w:r>
      <w:r>
        <w:rPr>
          <w:rFonts w:ascii="Times New Roman" w:hAnsi="Times New Roman"/>
          <w:noProof/>
          <w:sz w:val="24"/>
        </w:rPr>
        <w:t>, kterou založily Spojené státy. Komise a vysoký představitel spolu s příslušnými agenturami EU a členskými státy přispějí k práci koalice na zlepšení globální kapacity dohledu, posílení připravenosti na problémy spojené s výrobou syntetických drog a obchodem s nimi a na vypracování přístupů ke snížení poptávky po drogách a nepříznivých důsledků souvisejících s drogami. Komise rovněž podporuje úsilí USA o předložení rezoluce Valného shromáždění OSN o syntetických drogách ke schválení v prosinci 2023.</w:t>
      </w:r>
    </w:p>
    <w:p w14:paraId="76738448" w14:textId="77777777" w:rsidR="007D5CE0" w:rsidRPr="00EA4C6E" w:rsidRDefault="007D5CE0" w:rsidP="00302828">
      <w:pPr>
        <w:spacing w:after="0" w:line="252" w:lineRule="auto"/>
        <w:jc w:val="both"/>
        <w:rPr>
          <w:rFonts w:ascii="Times New Roman" w:hAnsi="Times New Roman"/>
          <w:noProof/>
          <w:sz w:val="24"/>
        </w:rPr>
      </w:pPr>
    </w:p>
    <w:p w14:paraId="12CE4661" w14:textId="6624396E" w:rsidR="007D5CE0" w:rsidRPr="002932F0" w:rsidRDefault="007D5CE0" w:rsidP="007D5CE0">
      <w:pPr>
        <w:spacing w:after="0" w:line="252" w:lineRule="auto"/>
        <w:jc w:val="both"/>
        <w:rPr>
          <w:rFonts w:ascii="Times New Roman" w:hAnsi="Times New Roman"/>
          <w:noProof/>
          <w:sz w:val="24"/>
        </w:rPr>
      </w:pPr>
      <w:r>
        <w:rPr>
          <w:rFonts w:ascii="Times New Roman" w:hAnsi="Times New Roman"/>
          <w:noProof/>
          <w:sz w:val="24"/>
        </w:rPr>
        <w:t xml:space="preserve">Komise bude rovněž pokračovat v jednáních s </w:t>
      </w:r>
      <w:r>
        <w:rPr>
          <w:rFonts w:ascii="Times New Roman" w:hAnsi="Times New Roman"/>
          <w:b/>
          <w:noProof/>
          <w:sz w:val="24"/>
        </w:rPr>
        <w:t>Čínou, zejména prostřednictvím dialogu EU o problematice drog</w:t>
      </w:r>
      <w:r>
        <w:rPr>
          <w:rFonts w:ascii="Times New Roman" w:hAnsi="Times New Roman"/>
          <w:noProof/>
          <w:sz w:val="24"/>
        </w:rPr>
        <w:t xml:space="preserve">, s cílem posílit spolupráci v oblasti výroby nelegálních drog a zneužívání prekursorů drog a dalších základních chemických látek pro nezákonnou výrobu drog a obchodování s nimi. Vedle příštího dialogu mezi EU a Čínou o problematice drog, který se má konat v roce 2024, hodlá Komise za účelem výměny informací obnovit vzájemnou správní pomoc v rámci </w:t>
      </w:r>
      <w:r>
        <w:rPr>
          <w:rStyle w:val="normaltextrun"/>
          <w:rFonts w:ascii="Times New Roman" w:hAnsi="Times New Roman"/>
          <w:b/>
          <w:noProof/>
          <w:color w:val="000000"/>
          <w:sz w:val="24"/>
        </w:rPr>
        <w:t>smíšené kontrolní skupiny EU–Číny pro prekursory</w:t>
      </w:r>
      <w:r>
        <w:rPr>
          <w:rFonts w:ascii="Times New Roman" w:hAnsi="Times New Roman"/>
          <w:noProof/>
          <w:sz w:val="24"/>
        </w:rPr>
        <w:t xml:space="preserve">. To rovněž pomůže </w:t>
      </w:r>
      <w:r>
        <w:rPr>
          <w:rStyle w:val="normaltextrun"/>
          <w:rFonts w:ascii="Times New Roman" w:hAnsi="Times New Roman"/>
          <w:noProof/>
          <w:color w:val="000000"/>
          <w:sz w:val="24"/>
        </w:rPr>
        <w:t>zabránit zneužívání prekursorů a chemických látek, které se často používají při výrobě nelegálních drog, s nimiž se obchoduje mezi EU a Čínou.</w:t>
      </w:r>
    </w:p>
    <w:p w14:paraId="40297DDC" w14:textId="35E7DFE3" w:rsidR="007D5CE0" w:rsidRPr="00EA4C6E" w:rsidRDefault="007D5CE0" w:rsidP="00302828">
      <w:pPr>
        <w:spacing w:after="0" w:line="252" w:lineRule="auto"/>
        <w:jc w:val="both"/>
        <w:rPr>
          <w:rFonts w:ascii="Times New Roman" w:hAnsi="Times New Roman"/>
          <w:noProof/>
          <w:sz w:val="24"/>
        </w:rPr>
      </w:pPr>
    </w:p>
    <w:p w14:paraId="1B84E594" w14:textId="77777777" w:rsidR="004501C2" w:rsidRPr="00EA4C6E" w:rsidRDefault="004501C2" w:rsidP="00302828">
      <w:pPr>
        <w:spacing w:after="0" w:line="252" w:lineRule="auto"/>
        <w:jc w:val="both"/>
        <w:rPr>
          <w:rFonts w:ascii="Times New Roman" w:hAnsi="Times New Roman"/>
          <w:noProof/>
          <w:sz w:val="24"/>
        </w:rPr>
      </w:pPr>
    </w:p>
    <w:p w14:paraId="454ACF7E" w14:textId="6AF56E48"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Opatření č. 17: Posílení spolupráce v oblasti prosazování práva a justiční spolupráce s nespolupracujícími jurisdikcemi</w:t>
      </w:r>
    </w:p>
    <w:p w14:paraId="6206DB5B" w14:textId="740DF55F"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Hlavní aktéři: Komise, členské státy</w:t>
      </w:r>
    </w:p>
    <w:p w14:paraId="3C1A0FF2" w14:textId="77777777" w:rsidR="00624A39" w:rsidRPr="00EA4C6E" w:rsidRDefault="00624A39" w:rsidP="00624A39">
      <w:pPr>
        <w:spacing w:after="0" w:line="252" w:lineRule="auto"/>
        <w:jc w:val="both"/>
        <w:rPr>
          <w:rFonts w:ascii="Times New Roman" w:hAnsi="Times New Roman"/>
          <w:noProof/>
          <w:sz w:val="24"/>
        </w:rPr>
      </w:pPr>
    </w:p>
    <w:p w14:paraId="65537468" w14:textId="46C267AA" w:rsidR="00CB080F" w:rsidRPr="002932F0" w:rsidRDefault="00CA43E1" w:rsidP="00624A39">
      <w:pPr>
        <w:spacing w:after="0" w:line="252" w:lineRule="auto"/>
        <w:jc w:val="both"/>
        <w:rPr>
          <w:rFonts w:ascii="Times New Roman" w:hAnsi="Times New Roman"/>
          <w:noProof/>
          <w:sz w:val="24"/>
        </w:rPr>
      </w:pPr>
      <w:r>
        <w:rPr>
          <w:rFonts w:ascii="Times New Roman" w:hAnsi="Times New Roman"/>
          <w:noProof/>
          <w:sz w:val="24"/>
        </w:rPr>
        <w:t>Moderní zločinecké sítě mají přeshraniční charakter. Používají mezinárodní obchodní trasy k přepravě nejrůznějšího nelegálního zboží a využívají rozdíly mezi jurisdikcemi k obchodu s drogami a k ukrývání a praní svých obrovských příjmů z trestné činnosti</w:t>
      </w:r>
      <w:r w:rsidR="006B73D3" w:rsidRPr="002932F0">
        <w:rPr>
          <w:rStyle w:val="FootnoteReference0"/>
          <w:rFonts w:ascii="Times New Roman" w:hAnsi="Times New Roman"/>
          <w:noProof/>
          <w:sz w:val="24"/>
          <w:lang w:val="en-GB"/>
        </w:rPr>
        <w:footnoteReference w:id="68"/>
      </w:r>
      <w:r>
        <w:rPr>
          <w:rFonts w:ascii="Times New Roman" w:hAnsi="Times New Roman"/>
          <w:noProof/>
          <w:sz w:val="24"/>
        </w:rPr>
        <w:t>. Nespolupracující jurisdikce jsou zároveň využívány jako útočiště pro významné uprchlíky, kteří se tak vyhýbají vyšetřování a stíhání. Navíc ti, kdo provozují podzemní bankovní systémy, se obvykle skrývají v zemích, kde je policejní a justiční spolupráce s EU složitá a kde si mohou užívat vysoké životní úrovně.</w:t>
      </w:r>
    </w:p>
    <w:p w14:paraId="545874A8" w14:textId="77777777" w:rsidR="00CB080F" w:rsidRPr="00EA4C6E" w:rsidRDefault="00CB080F" w:rsidP="00624A39">
      <w:pPr>
        <w:spacing w:after="0" w:line="252" w:lineRule="auto"/>
        <w:jc w:val="both"/>
        <w:rPr>
          <w:rFonts w:ascii="Times New Roman" w:hAnsi="Times New Roman"/>
          <w:noProof/>
          <w:sz w:val="24"/>
        </w:rPr>
      </w:pPr>
    </w:p>
    <w:p w14:paraId="49326B92" w14:textId="3C2F6B03" w:rsidR="00DC66FC" w:rsidRPr="002932F0" w:rsidRDefault="00624A39" w:rsidP="00B541AE">
      <w:pPr>
        <w:spacing w:after="0" w:line="252" w:lineRule="auto"/>
        <w:jc w:val="both"/>
        <w:rPr>
          <w:rFonts w:ascii="Times New Roman" w:hAnsi="Times New Roman"/>
          <w:noProof/>
          <w:sz w:val="24"/>
        </w:rPr>
      </w:pPr>
      <w:r>
        <w:rPr>
          <w:rFonts w:ascii="Times New Roman" w:hAnsi="Times New Roman"/>
          <w:noProof/>
          <w:sz w:val="24"/>
        </w:rPr>
        <w:t>Nedávná rozsáhlá vyšetřování, jako například úspěšná operace Pouštní světlo v listopadu 2022 podporovaná Europolem</w:t>
      </w:r>
      <w:r w:rsidR="00D4105E" w:rsidRPr="002932F0">
        <w:rPr>
          <w:rStyle w:val="FootnoteReference0"/>
          <w:rFonts w:ascii="Times New Roman" w:hAnsi="Times New Roman"/>
          <w:noProof/>
          <w:sz w:val="24"/>
          <w:lang w:val="en-GB"/>
        </w:rPr>
        <w:footnoteReference w:id="69"/>
      </w:r>
      <w:r>
        <w:rPr>
          <w:rFonts w:ascii="Times New Roman" w:hAnsi="Times New Roman"/>
          <w:noProof/>
          <w:sz w:val="24"/>
        </w:rPr>
        <w:t xml:space="preserve">, rovněž ukázala </w:t>
      </w:r>
      <w:r>
        <w:rPr>
          <w:rFonts w:ascii="Times New Roman" w:hAnsi="Times New Roman"/>
          <w:b/>
          <w:noProof/>
          <w:sz w:val="24"/>
        </w:rPr>
        <w:t>zásadní potřebu účinné justiční spolupráce se zeměmi mimo EU</w:t>
      </w:r>
      <w:r>
        <w:rPr>
          <w:rFonts w:ascii="Times New Roman" w:hAnsi="Times New Roman"/>
          <w:noProof/>
          <w:sz w:val="24"/>
        </w:rPr>
        <w:t xml:space="preserve">, aby bylo zajištěno, že zadržení pachatelé trestné činnosti budou vydáni, stíháni a odsouzeni. Proto je nezbytné </w:t>
      </w:r>
      <w:r>
        <w:rPr>
          <w:rFonts w:ascii="Times New Roman" w:hAnsi="Times New Roman"/>
          <w:b/>
          <w:noProof/>
          <w:sz w:val="24"/>
        </w:rPr>
        <w:t>posílit spolupráci v oblasti prosazování práva a justiční spolupráci se zeměmi mimo EU</w:t>
      </w:r>
      <w:r>
        <w:rPr>
          <w:rFonts w:ascii="Times New Roman" w:hAnsi="Times New Roman"/>
          <w:noProof/>
          <w:sz w:val="24"/>
        </w:rPr>
        <w:t>. Zvláštní pozornost by měla být věnována vydávání, finančnímu vyšetřování a vymáhání majetku pocházejícího z trestné činnosti mimo EU, a to i prostřednictvím úzké spolupráce styčných úředníků členských států nebo agentur EU vyslaných do zemí mimo EU. V zájmu posílení koordinace, maximalizace dopadu EU a zlepšení spolupráce se zeměmi mimo EU by se mělo zvážit vytvoření a vyslání styčných úředníků EU z oblasti vymáhání práva a soudnictví do klíčových zemí mimo EU.</w:t>
      </w:r>
    </w:p>
    <w:p w14:paraId="5C139062" w14:textId="77777777" w:rsidR="00775D39" w:rsidRPr="00EA4C6E" w:rsidRDefault="00775D39" w:rsidP="00B541AE">
      <w:pPr>
        <w:spacing w:after="0" w:line="252" w:lineRule="auto"/>
        <w:jc w:val="both"/>
        <w:rPr>
          <w:rFonts w:ascii="Times New Roman" w:hAnsi="Times New Roman"/>
          <w:noProof/>
          <w:sz w:val="24"/>
        </w:rPr>
      </w:pPr>
    </w:p>
    <w:p w14:paraId="569A4F63" w14:textId="074ED0A7" w:rsidR="00775D39" w:rsidRPr="002932F0" w:rsidRDefault="0023715F" w:rsidP="00775D39">
      <w:pPr>
        <w:spacing w:after="0" w:line="252" w:lineRule="auto"/>
        <w:jc w:val="both"/>
        <w:rPr>
          <w:rFonts w:ascii="Times New Roman" w:hAnsi="Times New Roman"/>
          <w:noProof/>
          <w:sz w:val="24"/>
        </w:rPr>
      </w:pPr>
      <w:r>
        <w:rPr>
          <w:rFonts w:ascii="Times New Roman" w:hAnsi="Times New Roman"/>
          <w:noProof/>
          <w:sz w:val="24"/>
        </w:rPr>
        <w:t>Vedle zlepšení operačních činností je rovněž důležité mít společný právní rámec pro účinnou spolupráci v oblasti trestního práva na mezinárodní úrovni. Komise při svých kontaktech se zeměmi mimo EU vyzývá tyto země, aby se staly stranami úmluv Rady Evropy v oblasti vzájemné právní pomoci</w:t>
      </w:r>
      <w:r w:rsidR="004B7EDA" w:rsidRPr="002932F0">
        <w:rPr>
          <w:rStyle w:val="FootnoteReference0"/>
          <w:rFonts w:ascii="Times New Roman" w:hAnsi="Times New Roman"/>
          <w:noProof/>
          <w:sz w:val="24"/>
          <w:lang w:val="en-GB"/>
        </w:rPr>
        <w:footnoteReference w:id="70"/>
      </w:r>
      <w:r>
        <w:rPr>
          <w:rFonts w:ascii="Times New Roman" w:hAnsi="Times New Roman"/>
          <w:noProof/>
          <w:sz w:val="24"/>
        </w:rPr>
        <w:t>, vydávání</w:t>
      </w:r>
      <w:r w:rsidR="004B7EDA" w:rsidRPr="002932F0">
        <w:rPr>
          <w:rStyle w:val="FootnoteReference0"/>
          <w:rFonts w:ascii="Times New Roman" w:hAnsi="Times New Roman"/>
          <w:noProof/>
          <w:sz w:val="24"/>
          <w:lang w:val="en-GB"/>
        </w:rPr>
        <w:footnoteReference w:id="71"/>
      </w:r>
      <w:r>
        <w:rPr>
          <w:rFonts w:ascii="Times New Roman" w:hAnsi="Times New Roman"/>
          <w:noProof/>
          <w:sz w:val="24"/>
        </w:rPr>
        <w:t xml:space="preserve"> a zajištění a konfiskace výnosů</w:t>
      </w:r>
      <w:r w:rsidR="00775D39" w:rsidRPr="002932F0">
        <w:rPr>
          <w:rFonts w:ascii="Times New Roman" w:hAnsi="Times New Roman"/>
          <w:noProof/>
          <w:sz w:val="24"/>
          <w:vertAlign w:val="superscript"/>
          <w:lang w:val="en-GB"/>
        </w:rPr>
        <w:footnoteReference w:id="72"/>
      </w:r>
      <w:r>
        <w:rPr>
          <w:rFonts w:ascii="Times New Roman" w:hAnsi="Times New Roman"/>
          <w:noProof/>
          <w:sz w:val="24"/>
        </w:rPr>
        <w:t>.</w:t>
      </w:r>
    </w:p>
    <w:p w14:paraId="73DB18AF" w14:textId="77777777" w:rsidR="00B541AE" w:rsidRPr="00EA4C6E" w:rsidRDefault="00B541AE" w:rsidP="00B541AE">
      <w:pPr>
        <w:spacing w:after="0" w:line="252" w:lineRule="auto"/>
        <w:jc w:val="both"/>
        <w:rPr>
          <w:noProof/>
          <w:color w:val="1F497D"/>
        </w:rPr>
      </w:pPr>
    </w:p>
    <w:p w14:paraId="701CD5F2" w14:textId="75A74066" w:rsidR="00B541AE" w:rsidRDefault="00621AE6" w:rsidP="00FF0D33">
      <w:pPr>
        <w:spacing w:after="0" w:line="252" w:lineRule="auto"/>
        <w:jc w:val="both"/>
        <w:rPr>
          <w:rFonts w:ascii="Times New Roman" w:hAnsi="Times New Roman"/>
          <w:bCs/>
          <w:noProof/>
          <w:sz w:val="24"/>
        </w:rPr>
      </w:pPr>
      <w:r>
        <w:rPr>
          <w:rFonts w:ascii="Times New Roman" w:hAnsi="Times New Roman"/>
          <w:noProof/>
          <w:sz w:val="24"/>
        </w:rPr>
        <w:t xml:space="preserve">Komise bude pracovat na identifikaci aktuálních problémů, s nimiž se členské státy potýkají ve vztazích se zeměmi mimo EU, s cílem spojit diplomatické úsilí pro účinnější spolupráci, která je v souladu s normami EU v oblasti základních práv. Komise dále prozkoumá možnost zahájit jednání o uzavření zvláštních </w:t>
      </w:r>
      <w:r>
        <w:rPr>
          <w:rFonts w:ascii="Times New Roman" w:hAnsi="Times New Roman"/>
          <w:b/>
          <w:noProof/>
          <w:sz w:val="24"/>
        </w:rPr>
        <w:t>dohod EU o vydávání</w:t>
      </w:r>
      <w:r>
        <w:rPr>
          <w:rFonts w:ascii="Times New Roman" w:hAnsi="Times New Roman"/>
          <w:noProof/>
          <w:sz w:val="24"/>
        </w:rPr>
        <w:t xml:space="preserve">, pokud jsou pro uzavření takových dohod splněny předpoklady. </w:t>
      </w:r>
    </w:p>
    <w:p w14:paraId="3FC102FC" w14:textId="6A9C4F84" w:rsidR="00FA7840" w:rsidRPr="00EA4C6E" w:rsidRDefault="00FA7840" w:rsidP="00FF0D33">
      <w:pPr>
        <w:spacing w:after="0" w:line="252" w:lineRule="auto"/>
        <w:jc w:val="both"/>
        <w:rPr>
          <w:rFonts w:ascii="Times New Roman" w:hAnsi="Times New Roman"/>
          <w:bCs/>
          <w:noProof/>
          <w:sz w:val="24"/>
        </w:rPr>
      </w:pPr>
    </w:p>
    <w:p w14:paraId="09A37038" w14:textId="77777777" w:rsidR="00FA7840" w:rsidRPr="00EA4C6E" w:rsidRDefault="00FA7840" w:rsidP="00FF0D33">
      <w:pPr>
        <w:spacing w:after="0" w:line="252" w:lineRule="auto"/>
        <w:jc w:val="both"/>
        <w:rPr>
          <w:rFonts w:ascii="Times New Roman" w:hAnsi="Times New Roman"/>
          <w:bCs/>
          <w:noProof/>
          <w:sz w:val="24"/>
        </w:rPr>
      </w:pPr>
    </w:p>
    <w:p w14:paraId="2F24EA6D" w14:textId="77777777" w:rsidR="009D3DB3" w:rsidRPr="00EA4C6E" w:rsidRDefault="009D3DB3" w:rsidP="00FF0D33">
      <w:pPr>
        <w:spacing w:after="0" w:line="252" w:lineRule="auto"/>
        <w:jc w:val="both"/>
        <w:rPr>
          <w:rFonts w:ascii="Times New Roman" w:hAnsi="Times New Roman"/>
          <w:noProof/>
          <w:sz w:val="24"/>
        </w:rPr>
      </w:pPr>
    </w:p>
    <w:p w14:paraId="6258234E" w14:textId="1FAF1314" w:rsidR="00A031B8" w:rsidRPr="002932F0" w:rsidRDefault="00BF6561" w:rsidP="00E12D9E">
      <w:pPr>
        <w:pStyle w:val="Style2"/>
        <w:rPr>
          <w:noProof/>
        </w:rPr>
      </w:pPr>
      <w:r>
        <w:rPr>
          <w:noProof/>
        </w:rPr>
        <w:t>Spolupráce a poskytování podpory</w:t>
      </w:r>
    </w:p>
    <w:p w14:paraId="26D1CA55" w14:textId="77777777" w:rsidR="00A031B8" w:rsidRPr="002932F0" w:rsidRDefault="00A031B8" w:rsidP="00E12D9E">
      <w:pPr>
        <w:pStyle w:val="Style2"/>
        <w:numPr>
          <w:ilvl w:val="0"/>
          <w:numId w:val="0"/>
        </w:numPr>
        <w:ind w:left="360"/>
        <w:rPr>
          <w:noProof/>
        </w:rPr>
      </w:pPr>
    </w:p>
    <w:p w14:paraId="40AE1C82" w14:textId="724448A0" w:rsidR="002A3583" w:rsidRPr="002932F0" w:rsidRDefault="00876D53" w:rsidP="002A3583">
      <w:pPr>
        <w:autoSpaceDE w:val="0"/>
        <w:autoSpaceDN w:val="0"/>
        <w:spacing w:after="0" w:line="252" w:lineRule="auto"/>
        <w:jc w:val="both"/>
        <w:rPr>
          <w:rFonts w:ascii="Times New Roman" w:hAnsi="Times New Roman"/>
          <w:noProof/>
          <w:sz w:val="24"/>
        </w:rPr>
      </w:pPr>
      <w:r>
        <w:rPr>
          <w:rFonts w:ascii="Times New Roman" w:hAnsi="Times New Roman"/>
          <w:noProof/>
          <w:sz w:val="24"/>
        </w:rPr>
        <w:t>Od přijetí strategií EU se Komise, členské státy a agentury a subjekty EU pravidelně setkávají, aby vytvořily multidisciplinární společenství tvůrců politik a odborníků z praxe a vedly pravidelný dialog. Komise bude i nadále spolupracovat se všemi zúčastněnými stranami na provádění strategie pro boj proti organizované trestné činnosti a opatření uvedených v tomto sdělení s cílem vyměňovat si osvědčené postupy, usnadnit sdílení informací a operační spolupráci a zvážit budoucí potřeby.</w:t>
      </w:r>
    </w:p>
    <w:p w14:paraId="49247A33" w14:textId="77777777" w:rsidR="00E05EE8" w:rsidRPr="00EA4C6E" w:rsidRDefault="00E05EE8" w:rsidP="002A3583">
      <w:pPr>
        <w:autoSpaceDE w:val="0"/>
        <w:autoSpaceDN w:val="0"/>
        <w:spacing w:after="0" w:line="252" w:lineRule="auto"/>
        <w:jc w:val="both"/>
        <w:rPr>
          <w:rFonts w:ascii="Times New Roman" w:hAnsi="Times New Roman"/>
          <w:noProof/>
          <w:sz w:val="24"/>
        </w:rPr>
      </w:pPr>
    </w:p>
    <w:p w14:paraId="588B01C9" w14:textId="2B3BDC22" w:rsidR="00CB7629" w:rsidRDefault="00BF6561" w:rsidP="00B31D4E">
      <w:pPr>
        <w:spacing w:after="0" w:line="252" w:lineRule="auto"/>
        <w:jc w:val="both"/>
        <w:rPr>
          <w:rFonts w:ascii="Times New Roman" w:hAnsi="Times New Roman"/>
          <w:b/>
          <w:noProof/>
          <w:sz w:val="24"/>
        </w:rPr>
      </w:pPr>
      <w:r>
        <w:rPr>
          <w:rFonts w:ascii="Times New Roman" w:hAnsi="Times New Roman"/>
          <w:noProof/>
          <w:color w:val="333333"/>
          <w:sz w:val="24"/>
        </w:rPr>
        <w:t>Kromě toho</w:t>
      </w:r>
      <w:r>
        <w:rPr>
          <w:rFonts w:ascii="Times New Roman" w:hAnsi="Times New Roman"/>
          <w:noProof/>
          <w:sz w:val="24"/>
        </w:rPr>
        <w:t xml:space="preserve"> Komise uvolnila finanční prostředky na podporu boje proti organizované trestné činnosti z vyhrazených finančních prostředků EU na období 2023–2025. V rámci </w:t>
      </w:r>
      <w:r>
        <w:rPr>
          <w:rFonts w:ascii="Times New Roman" w:hAnsi="Times New Roman"/>
          <w:b/>
          <w:noProof/>
          <w:sz w:val="24"/>
        </w:rPr>
        <w:t>Fondu pro vnitřní bezpečnost</w:t>
      </w:r>
      <w:r>
        <w:rPr>
          <w:rFonts w:ascii="Times New Roman" w:hAnsi="Times New Roman"/>
          <w:noProof/>
          <w:sz w:val="24"/>
        </w:rPr>
        <w:t xml:space="preserve"> bude organizovat výzvy k předkládání návrhů na několik témat, včetně boje proti korupci, digitálního vyšetřování a podpory platformy EMPACT. Komise zejména vyhlásí </w:t>
      </w:r>
      <w:r>
        <w:rPr>
          <w:rFonts w:ascii="Times New Roman" w:hAnsi="Times New Roman"/>
          <w:b/>
          <w:noProof/>
          <w:sz w:val="24"/>
        </w:rPr>
        <w:t>výzvu k předkládání návrhů týkajících se boje proti organizované trestné činnosti v celkové výši 20 milionů EUR do konce roku 2023.</w:t>
      </w:r>
    </w:p>
    <w:p w14:paraId="3278D80C" w14:textId="77777777" w:rsidR="00987924" w:rsidRPr="00EA4C6E" w:rsidRDefault="00987924" w:rsidP="00B31D4E">
      <w:pPr>
        <w:spacing w:after="0" w:line="252" w:lineRule="auto"/>
        <w:jc w:val="both"/>
        <w:rPr>
          <w:rFonts w:ascii="Times New Roman" w:hAnsi="Times New Roman"/>
          <w:b/>
          <w:noProof/>
          <w:sz w:val="24"/>
        </w:rPr>
      </w:pPr>
    </w:p>
    <w:p w14:paraId="53DDFFD1" w14:textId="77777777" w:rsidR="003F06AE" w:rsidRPr="00EA4C6E" w:rsidRDefault="003F06AE" w:rsidP="00FF6020">
      <w:pPr>
        <w:spacing w:after="0" w:line="252" w:lineRule="auto"/>
        <w:jc w:val="both"/>
        <w:rPr>
          <w:rFonts w:ascii="Times New Roman" w:hAnsi="Times New Roman"/>
          <w:i/>
          <w:noProof/>
          <w:sz w:val="24"/>
        </w:rPr>
      </w:pPr>
    </w:p>
    <w:bookmarkEnd w:id="24"/>
    <w:p w14:paraId="20E79A0D" w14:textId="4D49DF55" w:rsidR="00B279E0" w:rsidRPr="002932F0" w:rsidRDefault="00B279E0" w:rsidP="00E12D9E">
      <w:pPr>
        <w:pStyle w:val="Style1"/>
        <w:rPr>
          <w:noProof/>
        </w:rPr>
      </w:pPr>
      <w:r>
        <w:rPr>
          <w:noProof/>
        </w:rPr>
        <w:t>Závěry</w:t>
      </w:r>
    </w:p>
    <w:p w14:paraId="2FDF0C34" w14:textId="4A2F3A0C" w:rsidR="00F45031" w:rsidRPr="00722D48" w:rsidRDefault="005946F7" w:rsidP="00B279E0">
      <w:pPr>
        <w:pStyle w:val="Normal1"/>
        <w:shd w:val="clear" w:color="auto" w:fill="FFFFFF"/>
        <w:spacing w:before="0" w:beforeAutospacing="0" w:after="0" w:afterAutospacing="0"/>
        <w:jc w:val="both"/>
        <w:rPr>
          <w:noProof/>
        </w:rPr>
      </w:pPr>
      <w:r>
        <w:rPr>
          <w:noProof/>
        </w:rPr>
        <w:t xml:space="preserve">Rozsah, propracovanost a násilné důsledky organizované trestné činnosti se staly vážnou hrozbou pro bezpečnost EU. S rostoucí rafinovaností metod zločineckých sítí by se měly zdokonalovat i metody EU: </w:t>
      </w:r>
      <w:r>
        <w:rPr>
          <w:b/>
          <w:noProof/>
        </w:rPr>
        <w:t xml:space="preserve">je třeba urychleně zintenzivnit reakci </w:t>
      </w:r>
      <w:r w:rsidR="00EC2BB5">
        <w:rPr>
          <w:b/>
          <w:noProof/>
        </w:rPr>
        <w:t>s cílem</w:t>
      </w:r>
      <w:r>
        <w:rPr>
          <w:b/>
          <w:noProof/>
        </w:rPr>
        <w:t xml:space="preserve"> tyto sítě likvidovat. </w:t>
      </w:r>
      <w:r>
        <w:rPr>
          <w:noProof/>
        </w:rPr>
        <w:t>Tento dokument proto stanoví klíčová opatření potřebná na úrovni EU k zintenzivnění boje proti vysoce rizikovým zločineckým sítím a obchodu s drogami. Práce na plném provádění strategií EU pro boj proti organizované trestné činnosti a drogám by měly pokračovat plným tempem. Komise se zavazuje, že tato další opatření provede v letech 2024 a 2025 v úzké spolupráci s členskými státy a agenturami a subjekty EU.</w:t>
      </w:r>
    </w:p>
    <w:p w14:paraId="5F5B589B" w14:textId="77777777" w:rsidR="00CB080F" w:rsidRPr="00EA4C6E" w:rsidRDefault="00CB080F" w:rsidP="00CB080F">
      <w:pPr>
        <w:pStyle w:val="Normal1"/>
        <w:shd w:val="clear" w:color="auto" w:fill="FFFFFF"/>
        <w:spacing w:before="0" w:beforeAutospacing="0" w:after="0" w:afterAutospacing="0"/>
        <w:jc w:val="both"/>
        <w:rPr>
          <w:noProof/>
        </w:rPr>
      </w:pPr>
    </w:p>
    <w:p w14:paraId="39D9F727" w14:textId="69F16BDA" w:rsidR="00F45031" w:rsidRPr="00722D48" w:rsidRDefault="00CB7629" w:rsidP="008751AD">
      <w:pPr>
        <w:pStyle w:val="Normal1"/>
        <w:shd w:val="clear" w:color="auto" w:fill="FFFFFF"/>
        <w:spacing w:before="0" w:beforeAutospacing="0" w:after="0" w:afterAutospacing="0"/>
        <w:jc w:val="both"/>
        <w:rPr>
          <w:noProof/>
        </w:rPr>
      </w:pPr>
      <w:r>
        <w:rPr>
          <w:noProof/>
        </w:rPr>
        <w:t xml:space="preserve">Pro posílení vnitrostátních opatření, jakož i unijní a mezinárodní spolupráce v boji proti organizované trestné činnosti a obchodu s drogami a pro ochranu obětí těchto trestných činů jsou nezbytná společná, pevná a účinná pravidla. </w:t>
      </w:r>
      <w:r>
        <w:rPr>
          <w:b/>
          <w:noProof/>
        </w:rPr>
        <w:t>Komise vyzývá Evropský parlament a Radu</w:t>
      </w:r>
      <w:r>
        <w:rPr>
          <w:noProof/>
        </w:rPr>
        <w:t xml:space="preserve">, aby do konce legislativního období </w:t>
      </w:r>
      <w:r>
        <w:rPr>
          <w:b/>
          <w:noProof/>
        </w:rPr>
        <w:t>přijaly</w:t>
      </w:r>
      <w:r>
        <w:rPr>
          <w:noProof/>
        </w:rPr>
        <w:t xml:space="preserve"> </w:t>
      </w:r>
      <w:r>
        <w:rPr>
          <w:b/>
          <w:noProof/>
        </w:rPr>
        <w:t>směrnici o konfiskaci a vymáhání majetku</w:t>
      </w:r>
      <w:r>
        <w:rPr>
          <w:noProof/>
        </w:rPr>
        <w:t xml:space="preserve">, </w:t>
      </w:r>
      <w:r>
        <w:rPr>
          <w:b/>
          <w:noProof/>
        </w:rPr>
        <w:t>revizi nařízení Prüm</w:t>
      </w:r>
      <w:r>
        <w:rPr>
          <w:noProof/>
        </w:rPr>
        <w:t xml:space="preserve">, </w:t>
      </w:r>
      <w:r>
        <w:rPr>
          <w:b/>
          <w:noProof/>
        </w:rPr>
        <w:t>pravidla o propojení registrů bankovních účtů</w:t>
      </w:r>
      <w:r>
        <w:rPr>
          <w:noProof/>
        </w:rPr>
        <w:t xml:space="preserve">, </w:t>
      </w:r>
      <w:r>
        <w:rPr>
          <w:b/>
          <w:noProof/>
        </w:rPr>
        <w:t>navrhovaný legislativní balíček opatření proti praní peněz</w:t>
      </w:r>
      <w:r>
        <w:rPr>
          <w:noProof/>
        </w:rPr>
        <w:t xml:space="preserve"> a </w:t>
      </w:r>
      <w:r>
        <w:rPr>
          <w:b/>
          <w:noProof/>
        </w:rPr>
        <w:t>návrh směrnice o boji proti korupci vedeném trestněprávní cestou</w:t>
      </w:r>
      <w:r>
        <w:rPr>
          <w:noProof/>
        </w:rPr>
        <w:t>. Komise znovu zdůrazňuje svůj závazek úzce spolupracovat se spolunormotvůrci na dosažení tohoto cíle.</w:t>
      </w:r>
    </w:p>
    <w:p w14:paraId="0EAB15C9" w14:textId="77777777" w:rsidR="00F45031" w:rsidRPr="00EA4C6E" w:rsidRDefault="00F45031" w:rsidP="00F45031">
      <w:pPr>
        <w:pStyle w:val="Normal1"/>
        <w:shd w:val="clear" w:color="auto" w:fill="FFFFFF"/>
        <w:spacing w:before="0" w:beforeAutospacing="0" w:after="0" w:afterAutospacing="0"/>
        <w:jc w:val="both"/>
        <w:rPr>
          <w:noProof/>
        </w:rPr>
      </w:pPr>
    </w:p>
    <w:p w14:paraId="700D9B1E" w14:textId="01568018" w:rsidR="00B279E0" w:rsidRPr="00722D48" w:rsidRDefault="00C77462" w:rsidP="00BF6561">
      <w:pPr>
        <w:pStyle w:val="Normal1"/>
        <w:shd w:val="clear" w:color="auto" w:fill="FFFFFF"/>
        <w:spacing w:before="0" w:beforeAutospacing="0" w:after="0" w:afterAutospacing="0"/>
        <w:jc w:val="both"/>
        <w:rPr>
          <w:b/>
          <w:bCs/>
          <w:noProof/>
        </w:rPr>
      </w:pPr>
      <w:r>
        <w:rPr>
          <w:noProof/>
        </w:rPr>
        <w:t xml:space="preserve">Boj proti organizované trestné činnosti a obchodu s drogami musí být pro EU a její členské státy prioritou. </w:t>
      </w:r>
      <w:r>
        <w:rPr>
          <w:b/>
          <w:noProof/>
        </w:rPr>
        <w:t>Hrozby, kterým čelíme, musíme řešit společně</w:t>
      </w:r>
      <w:r>
        <w:rPr>
          <w:noProof/>
        </w:rPr>
        <w:t>, a proto Komise navrhuje Evropskému parlamentu a Radě, aby plně podpořily priority a střednědobá až dlouhodobá opatření stanovená v tomto plánu.</w:t>
      </w:r>
    </w:p>
    <w:sectPr w:rsidR="00B279E0" w:rsidRPr="00722D48" w:rsidSect="002F2A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E1C3" w14:textId="77777777" w:rsidR="008A2C9B" w:rsidRDefault="008A2C9B" w:rsidP="002F2AEF">
      <w:pPr>
        <w:spacing w:after="0" w:line="240" w:lineRule="auto"/>
      </w:pPr>
      <w:r>
        <w:separator/>
      </w:r>
    </w:p>
  </w:endnote>
  <w:endnote w:type="continuationSeparator" w:id="0">
    <w:p w14:paraId="431E70EA" w14:textId="77777777" w:rsidR="008A2C9B" w:rsidRDefault="008A2C9B" w:rsidP="002F2AEF">
      <w:pPr>
        <w:spacing w:after="0" w:line="240" w:lineRule="auto"/>
      </w:pPr>
      <w:r>
        <w:continuationSeparator/>
      </w:r>
    </w:p>
  </w:endnote>
  <w:endnote w:type="continuationNotice" w:id="1">
    <w:p w14:paraId="55FB1094" w14:textId="77777777" w:rsidR="008A2C9B" w:rsidRDefault="008A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AE01" w14:textId="15817B04" w:rsidR="00EA4C6E" w:rsidRPr="00702D77" w:rsidRDefault="00EA4C6E" w:rsidP="0070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D5FB" w14:textId="24D3CA02" w:rsidR="00EA4C6E" w:rsidRPr="00702D77" w:rsidRDefault="00702D77" w:rsidP="00702D77">
    <w:pPr>
      <w:pStyle w:val="FooterCoverPage"/>
      <w:rPr>
        <w:rFonts w:ascii="Arial" w:hAnsi="Arial" w:cs="Arial"/>
        <w:b/>
        <w:sz w:val="48"/>
      </w:rPr>
    </w:pPr>
    <w:r w:rsidRPr="00702D77">
      <w:rPr>
        <w:rFonts w:ascii="Arial" w:hAnsi="Arial" w:cs="Arial"/>
        <w:b/>
        <w:sz w:val="48"/>
      </w:rPr>
      <w:t>CS</w:t>
    </w:r>
    <w:r w:rsidRPr="00702D77">
      <w:rPr>
        <w:rFonts w:ascii="Arial" w:hAnsi="Arial" w:cs="Arial"/>
        <w:b/>
        <w:sz w:val="48"/>
      </w:rPr>
      <w:tab/>
    </w:r>
    <w:r w:rsidRPr="00702D77">
      <w:rPr>
        <w:rFonts w:ascii="Arial" w:hAnsi="Arial" w:cs="Arial"/>
        <w:b/>
        <w:sz w:val="48"/>
      </w:rPr>
      <w:tab/>
    </w:r>
    <w:r w:rsidRPr="00702D77">
      <w:tab/>
    </w:r>
    <w:r w:rsidRPr="00702D77">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758A" w14:textId="77777777" w:rsidR="00702D77" w:rsidRPr="00702D77" w:rsidRDefault="00702D77" w:rsidP="00702D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A54E" w14:textId="77777777" w:rsidR="00D24BB1" w:rsidRDefault="00D24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19146"/>
      <w:docPartObj>
        <w:docPartGallery w:val="Page Numbers (Bottom of Page)"/>
        <w:docPartUnique/>
      </w:docPartObj>
    </w:sdtPr>
    <w:sdtEndPr>
      <w:rPr>
        <w:noProof/>
      </w:rPr>
    </w:sdtEndPr>
    <w:sdtContent>
      <w:p w14:paraId="0D2E59F0" w14:textId="12F36BE7" w:rsidR="001F25BC" w:rsidRDefault="001F25BC">
        <w:pPr>
          <w:pStyle w:val="Footer"/>
          <w:jc w:val="center"/>
        </w:pPr>
        <w:r>
          <w:fldChar w:fldCharType="begin"/>
        </w:r>
        <w:r>
          <w:instrText xml:space="preserve"> PAGE   \* MERGEFORMAT </w:instrText>
        </w:r>
        <w:r>
          <w:fldChar w:fldCharType="separate"/>
        </w:r>
        <w:r w:rsidR="00702D77">
          <w:rPr>
            <w:noProof/>
          </w:rPr>
          <w:t>1</w:t>
        </w:r>
        <w:r>
          <w:fldChar w:fldCharType="end"/>
        </w:r>
      </w:p>
    </w:sdtContent>
  </w:sdt>
  <w:p w14:paraId="1D5E94CB" w14:textId="77777777" w:rsidR="00D24BB1" w:rsidRDefault="00D24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8193" w14:textId="77777777" w:rsidR="00D24BB1" w:rsidRDefault="00D2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7AFC" w14:textId="77777777" w:rsidR="008A2C9B" w:rsidRDefault="008A2C9B" w:rsidP="002F2AEF">
      <w:pPr>
        <w:spacing w:after="0" w:line="240" w:lineRule="auto"/>
      </w:pPr>
      <w:r>
        <w:separator/>
      </w:r>
    </w:p>
  </w:footnote>
  <w:footnote w:type="continuationSeparator" w:id="0">
    <w:p w14:paraId="3FCF8D77" w14:textId="77777777" w:rsidR="008A2C9B" w:rsidRDefault="008A2C9B" w:rsidP="002F2AEF">
      <w:pPr>
        <w:spacing w:after="0" w:line="240" w:lineRule="auto"/>
      </w:pPr>
      <w:r>
        <w:continuationSeparator/>
      </w:r>
    </w:p>
  </w:footnote>
  <w:footnote w:type="continuationNotice" w:id="1">
    <w:p w14:paraId="0CE45934" w14:textId="77777777" w:rsidR="008A2C9B" w:rsidRDefault="008A2C9B">
      <w:pPr>
        <w:spacing w:after="0" w:line="240" w:lineRule="auto"/>
      </w:pPr>
    </w:p>
  </w:footnote>
  <w:footnote w:id="2">
    <w:p w14:paraId="72AC9694" w14:textId="6126F76A" w:rsidR="00A85B3F" w:rsidRPr="00120278" w:rsidRDefault="00A85B3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 w:history="1">
        <w:r>
          <w:rPr>
            <w:rStyle w:val="Hyperlink"/>
            <w:rFonts w:ascii="Times New Roman" w:hAnsi="Times New Roman"/>
          </w:rPr>
          <w:t>https://www.emcdda.europa.eu/publications/eu-drug-markets_en</w:t>
        </w:r>
      </w:hyperlink>
    </w:p>
  </w:footnote>
  <w:footnote w:id="3">
    <w:p w14:paraId="39FFDA49" w14:textId="2EEE7746"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 w:history="1">
        <w:r>
          <w:rPr>
            <w:rStyle w:val="Hyperlink"/>
            <w:rFonts w:ascii="Times New Roman" w:hAnsi="Times New Roman"/>
          </w:rPr>
          <w:t>https://www.europol.europa.eu/publications-events/main-reports/socta-report</w:t>
        </w:r>
      </w:hyperlink>
    </w:p>
  </w:footnote>
  <w:footnote w:id="4">
    <w:p w14:paraId="286003A5" w14:textId="5107CCB0" w:rsidR="00AA099D" w:rsidRPr="00120278" w:rsidRDefault="00AA099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3" w:history="1">
        <w:r>
          <w:rPr>
            <w:rStyle w:val="Hyperlink"/>
            <w:rFonts w:ascii="Times New Roman" w:hAnsi="Times New Roman"/>
          </w:rPr>
          <w:t>https://www.europol.europa.eu/media-press/newsroom/news/dismantling-encrypted-criminal-encrochat-communications-leads-to-over-6-500-arrests-and-close-to-eur-900-million-seized</w:t>
        </w:r>
      </w:hyperlink>
    </w:p>
  </w:footnote>
  <w:footnote w:id="5">
    <w:p w14:paraId="3829D230" w14:textId="213C7A6F"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4" w:history="1">
        <w:r>
          <w:rPr>
            <w:rStyle w:val="Hyperlink"/>
            <w:rFonts w:ascii="Times New Roman" w:hAnsi="Times New Roman"/>
          </w:rPr>
          <w:t>Druhá strana mince:</w:t>
        </w:r>
      </w:hyperlink>
      <w:hyperlink r:id="rId5" w:history="1">
        <w:r>
          <w:rPr>
            <w:rStyle w:val="Hyperlink"/>
            <w:rFonts w:ascii="Times New Roman" w:hAnsi="Times New Roman"/>
          </w:rPr>
          <w:t xml:space="preserve"> Analýza finanční a hospodářské trestné činnosti |</w:t>
        </w:r>
      </w:hyperlink>
      <w:hyperlink r:id="rId6" w:history="1">
        <w:r>
          <w:rPr>
            <w:rStyle w:val="Hyperlink"/>
            <w:rFonts w:ascii="Times New Roman" w:hAnsi="Times New Roman"/>
          </w:rPr>
          <w:t xml:space="preserve"> Europol (europa.eu)</w:t>
        </w:r>
      </w:hyperlink>
      <w:r>
        <w:t>.</w:t>
      </w:r>
      <w:r>
        <w:rPr>
          <w:rFonts w:ascii="Times New Roman" w:hAnsi="Times New Roman"/>
        </w:rPr>
        <w:t xml:space="preserve"> </w:t>
      </w:r>
    </w:p>
  </w:footnote>
  <w:footnote w:id="6">
    <w:p w14:paraId="51AC0820" w14:textId="7DF9DDE1" w:rsidR="00313CED" w:rsidRPr="00120278" w:rsidRDefault="00313CE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Evropská zpráva o drogách za rok 2023, EMCDDA, </w:t>
      </w:r>
      <w:hyperlink r:id="rId7" w:history="1">
        <w:r>
          <w:rPr>
            <w:rStyle w:val="Hyperlink"/>
            <w:rFonts w:ascii="Times New Roman" w:hAnsi="Times New Roman"/>
          </w:rPr>
          <w:t>https://www.emcdda.europa.eu/publications/european-drug-report/2023/drug-induced-deaths_en</w:t>
        </w:r>
      </w:hyperlink>
      <w:r>
        <w:rPr>
          <w:rFonts w:ascii="Times New Roman" w:hAnsi="Times New Roman"/>
        </w:rPr>
        <w:t xml:space="preserve"> </w:t>
      </w:r>
    </w:p>
  </w:footnote>
  <w:footnote w:id="7">
    <w:p w14:paraId="5FC13471"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 170 final.</w:t>
      </w:r>
    </w:p>
  </w:footnote>
  <w:footnote w:id="8">
    <w:p w14:paraId="1205C5D8" w14:textId="598C35CC"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9">
    <w:p w14:paraId="50783073" w14:textId="0D63DE44" w:rsidR="007472DB" w:rsidRPr="00120278" w:rsidRDefault="007472D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[uvést přesný odkaz, jakmile bude k dispozici].</w:t>
      </w:r>
    </w:p>
  </w:footnote>
  <w:footnote w:id="10">
    <w:p w14:paraId="0283AD70"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COM(2022) 245 final.</w:t>
      </w:r>
    </w:p>
  </w:footnote>
  <w:footnote w:id="11">
    <w:p w14:paraId="1A709D03" w14:textId="618C04C3" w:rsidR="002D5B03" w:rsidRPr="00120278" w:rsidRDefault="002D5B0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 429 final.</w:t>
      </w:r>
    </w:p>
  </w:footnote>
  <w:footnote w:id="12">
    <w:p w14:paraId="16ABB88B" w14:textId="0674E3C8" w:rsidR="0084776F" w:rsidRPr="00120278" w:rsidRDefault="0084776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 421 final, COM(2021) 420 final, COM(2021) 423 final a nařízení Evropského parlamentu a Rady (EU) 2015/847 ze dne 20. května 2015 o informacích doprovázejících převody peněžních prostředků a o zrušení nařízení (ES) č. 1781/2006 (text s významem pro EHP) (Úř. věst. L 141, 5.6.2015, s. 1).</w:t>
      </w:r>
    </w:p>
  </w:footnote>
  <w:footnote w:id="13">
    <w:p w14:paraId="6867A017" w14:textId="5A98050C" w:rsidR="00507459" w:rsidRPr="00120278" w:rsidRDefault="0050745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257 final.</w:t>
      </w:r>
    </w:p>
  </w:footnote>
  <w:footnote w:id="14">
    <w:p w14:paraId="287FABCF" w14:textId="77777777" w:rsidR="00A7210F" w:rsidRPr="00120278" w:rsidRDefault="00A7210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234 final.</w:t>
      </w:r>
    </w:p>
  </w:footnote>
  <w:footnote w:id="15">
    <w:p w14:paraId="35D8358A" w14:textId="24911DEA" w:rsidR="00091D3D" w:rsidRPr="00120278" w:rsidRDefault="00091D3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2016/794 ze dne 11. května 2016 o Agentuře Evropské unie pro spolupráci v oblasti prosazování práva (Europol) a o zrušení a nahrazení rozhodnutí 2009/371/SVV, 2009/934/SVV, 2009/935/SVV, 2009/936/SVV a 2009/968/SVV (Úř. věst. L 135, 24.5.2016).</w:t>
      </w:r>
    </w:p>
  </w:footnote>
  <w:footnote w:id="16">
    <w:p w14:paraId="13046A8C" w14:textId="2DBEDD5D" w:rsidR="00212D3B" w:rsidRPr="00120278" w:rsidRDefault="00212D3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 780 final.</w:t>
      </w:r>
    </w:p>
  </w:footnote>
  <w:footnote w:id="17">
    <w:p w14:paraId="0CF830DB" w14:textId="67CF09BF"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Směrnice Evropského parlamentu a Rady (EU) 2023/977 ze dne 10. května 2023 o výměně informací mezi donucovacími orgány členských států a o zrušení rámcového rozhodnutí Rady 2006/960/SVV (Úř. věst. L 134, 22.5.2023).</w:t>
      </w:r>
    </w:p>
  </w:footnote>
  <w:footnote w:id="18">
    <w:p w14:paraId="427EF633" w14:textId="10F20656"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 784 final.</w:t>
      </w:r>
    </w:p>
  </w:footnote>
  <w:footnote w:id="19">
    <w:p w14:paraId="5360B300" w14:textId="669AFFD1"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Rady (EU) 2017/1939 ze dne 12. října 2017, kterým se provádí posílená spolupráce za účelem zřízení Úřadu evropského veřejného žalobce (Úř. věst. L 283, 31.10.2017, s. 1).</w:t>
      </w:r>
    </w:p>
  </w:footnote>
  <w:footnote w:id="20">
    <w:p w14:paraId="5B68CB90" w14:textId="0034AEFE"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2023/1543 ze dne 12. července 2023 o evropském vydávacím příkazu a evropském uchovávacím příkazu pro elektronické důkazy v trestním řízení a pro výkon trestu odnětí po skončení trestního řízení (Úř. věst. L 191, 28.7.2023, s. 118) a</w:t>
      </w:r>
    </w:p>
    <w:p w14:paraId="5E563ADD" w14:textId="223F44DA" w:rsidR="00716958" w:rsidRPr="00120278" w:rsidRDefault="00716958" w:rsidP="00150E00">
      <w:pPr>
        <w:pStyle w:val="FootnoteText"/>
        <w:jc w:val="both"/>
        <w:rPr>
          <w:rFonts w:ascii="Times New Roman" w:hAnsi="Times New Roman" w:cs="Times New Roman"/>
        </w:rPr>
      </w:pPr>
      <w:r>
        <w:rPr>
          <w:rFonts w:ascii="Times New Roman" w:hAnsi="Times New Roman"/>
        </w:rPr>
        <w:t>směrnice Evropského parlamentu a Rady (EU) 2023/1544 ze dne 12. července 2023, kterou se stanoví harmonizovaná pravidla pro určování určených provozoven a jmenování zástupců za účelem shromažďování elektronických důkazů v trestním řízení (Úř. věst. L 191, 28.7.2023, s. 181).</w:t>
      </w:r>
    </w:p>
  </w:footnote>
  <w:footnote w:id="21">
    <w:p w14:paraId="7942701D" w14:textId="67564541" w:rsidR="00DE5EBD" w:rsidRPr="00120278" w:rsidRDefault="00DE5E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2023/1322 ze dne 27. června 2023 o Agentuře Evropské unie pro drogy (EUDA) a zrušení nařízení (ES) č. 1920/2006 (Úř. věst. L 166, 30.6.2023).</w:t>
      </w:r>
    </w:p>
  </w:footnote>
  <w:footnote w:id="22">
    <w:p w14:paraId="595EF44F" w14:textId="4889A578" w:rsidR="00FA4A17" w:rsidRPr="00120278" w:rsidRDefault="00FA4A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Financována z Fondu pro vnitřní bezpečnost, 2 miliony EUR na období 2024–2025.</w:t>
      </w:r>
    </w:p>
  </w:footnote>
  <w:footnote w:id="23">
    <w:p w14:paraId="6D141588" w14:textId="3617F0D2" w:rsidR="00693539" w:rsidRPr="00120278" w:rsidRDefault="006935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8" w:history="1">
        <w:r>
          <w:rPr>
            <w:rStyle w:val="Hyperlink"/>
            <w:rFonts w:ascii="Times New Roman" w:hAnsi="Times New Roman"/>
          </w:rPr>
          <w:t>https://www.europol.europa.eu/media-press/newsroom/news/heat-rising-european-super-cartel-taken-down-in-six-countries</w:t>
        </w:r>
      </w:hyperlink>
      <w:r>
        <w:rPr>
          <w:rFonts w:ascii="Times New Roman" w:hAnsi="Times New Roman"/>
        </w:rPr>
        <w:t xml:space="preserve"> </w:t>
      </w:r>
    </w:p>
  </w:footnote>
  <w:footnote w:id="24">
    <w:p w14:paraId="24C7A2F4" w14:textId="092AD3B8" w:rsidR="00A27443" w:rsidRPr="00120278" w:rsidRDefault="00A2744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9" w:history="1">
        <w:r>
          <w:rPr>
            <w:rStyle w:val="Hyperlink"/>
            <w:rFonts w:ascii="Times New Roman" w:hAnsi="Times New Roman"/>
          </w:rPr>
          <w:t>Statistiky – MAOC (N)</w:t>
        </w:r>
      </w:hyperlink>
      <w:r>
        <w:rPr>
          <w:rStyle w:val="Hyperlink"/>
          <w:rFonts w:ascii="Times New Roman" w:hAnsi="Times New Roman"/>
        </w:rPr>
        <w:t>.</w:t>
      </w:r>
    </w:p>
  </w:footnote>
  <w:footnote w:id="25">
    <w:p w14:paraId="1B71F205" w14:textId="1C311B89" w:rsidR="00B164C3" w:rsidRPr="00120278" w:rsidRDefault="00B164C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Revidovaná strategie EU pro námořní bezpečnost byla zaslána Radě ke schválení</w:t>
      </w:r>
      <w:r w:rsidR="00B30212">
        <w:rPr>
          <w:rFonts w:ascii="Times New Roman" w:hAnsi="Times New Roman"/>
        </w:rPr>
        <w:t>.</w:t>
      </w:r>
    </w:p>
  </w:footnote>
  <w:footnote w:id="26">
    <w:p w14:paraId="7E74BCA9" w14:textId="0F74FE3A"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JOIN(2023) 17 final.</w:t>
      </w:r>
    </w:p>
  </w:footnote>
  <w:footnote w:id="27">
    <w:p w14:paraId="3926393C" w14:textId="37F5D128"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https://data.consilium.europa.eu/doc/document/ST-12000-2023-INIT/en/pdf</w:t>
        </w:r>
      </w:hyperlink>
    </w:p>
  </w:footnote>
  <w:footnote w:id="28">
    <w:p w14:paraId="08F8705C" w14:textId="67995239" w:rsidR="002458FC" w:rsidRPr="00120278" w:rsidRDefault="002458F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Západoafrická reakce v oblasti kybernetické bezpečnosti a boje proti kyberkriminalitě (OCWAR-C), Západoafrická reakce v oblasti boje proti praní špinavých peněz a financování terorismu (OCWAR-M) a Západoafrická reakce v oblasti obchodování s lidmi (OCWAR-T).</w:t>
      </w:r>
    </w:p>
  </w:footnote>
  <w:footnote w:id="29">
    <w:p w14:paraId="2856A19A" w14:textId="33A1AA8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Evropská komise, Generální ředitelství pro mobilitu a dopravu, Posouzení potenciálu námořních a vnitrozemských přístavů a vnitrozemských vodních cest a souvisejících politických opatření, včetně opatření průmyslové politiky – závěrečná zpráva, Úřad pro publikace, 2020, </w:t>
      </w:r>
      <w:hyperlink r:id="rId11" w:history="1">
        <w:r>
          <w:rPr>
            <w:rStyle w:val="Hyperlink"/>
            <w:rFonts w:ascii="Times New Roman" w:hAnsi="Times New Roman"/>
          </w:rPr>
          <w:t>https://data.europa.eu/doi/10.2832/03796</w:t>
        </w:r>
      </w:hyperlink>
    </w:p>
  </w:footnote>
  <w:footnote w:id="30">
    <w:p w14:paraId="3F36A0D2" w14:textId="1321825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12" w:history="1">
        <w:r>
          <w:rPr>
            <w:rStyle w:val="Hyperlink"/>
            <w:rFonts w:ascii="Times New Roman" w:hAnsi="Times New Roman"/>
          </w:rPr>
          <w:t>https://www.europol.europa.eu/cms/sites/default/files/documents/Europol_Joint-report_Criminal%20networks%20in%20EU%20ports_Public_version.pdf</w:t>
        </w:r>
      </w:hyperlink>
    </w:p>
  </w:footnote>
  <w:footnote w:id="31">
    <w:p w14:paraId="2DC47A72" w14:textId="77777777"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Tamtéž.</w:t>
      </w:r>
    </w:p>
  </w:footnote>
  <w:footnote w:id="32">
    <w:p w14:paraId="76C85A56" w14:textId="77777777"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Usnesení Rady o celní spolupráci v oblasti prosazování práva a jejím příspěvku k vnitřní bezpečnosti EU.</w:t>
      </w:r>
    </w:p>
  </w:footnote>
  <w:footnote w:id="33">
    <w:p w14:paraId="398364C9" w14:textId="77777777" w:rsidR="009650EA" w:rsidRPr="00120278" w:rsidRDefault="009650EA" w:rsidP="009650EA">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2021/444 ze dne 11. března 2021, kterým se zavádí program Clo pro spolupráci v oblasti cel (Úř. věst. L 87, 15.3.2021).</w:t>
      </w:r>
    </w:p>
  </w:footnote>
  <w:footnote w:id="34">
    <w:p w14:paraId="33E98C2C" w14:textId="4B83733B" w:rsidR="00FB4875" w:rsidRPr="00120278" w:rsidRDefault="00FB487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CELBET (Expertní tým pro východní a jihovýchodní pozemní hranice) je tým odborníků členských států sdružující jedenáct členských států na východních a jihovýchodních pozemních hranicích (BG, FI, EE, EL, HR, HU, LT, LV, PL, SK, RO), financovaný v rámci programu Clo. Je obzvláště efektivní při poskytování operačních řešení v terénu, má prokazatelné zkušenosti se spoluprací s ostatními donucovacími orgány a v konečném důsledku zajišťuje, aby celní kontroly na pozemních hranicích EU probíhaly harmonizovaně.</w:t>
      </w:r>
    </w:p>
  </w:footnote>
  <w:footnote w:id="35">
    <w:p w14:paraId="468CDF71" w14:textId="447145D5"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2021/1077 ze dne 24. června 2021, kterým se jako součást Fondu pro integrovanou správu hranic zřizuje Nástroj pro finanční podporu vybavení pro celní kontroly (Úř. věst. L 234, 2.7.2021).</w:t>
      </w:r>
    </w:p>
  </w:footnote>
  <w:footnote w:id="36">
    <w:p w14:paraId="79E25E54" w14:textId="2BDD45F6" w:rsidR="00666143" w:rsidRPr="00120278"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Detekce nelegálních drog a prekursorů na hranicích pomocí vysoce přesných elektrosenzorů | BorderSens | Projekt | Informační přehled | H2020 | CORDIS | Evropská komise (europa.eu). </w:t>
      </w:r>
    </w:p>
  </w:footnote>
  <w:footnote w:id="37">
    <w:p w14:paraId="7E624484" w14:textId="15C4C84A" w:rsidR="00D64014" w:rsidRPr="00120278" w:rsidRDefault="00D64014"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Viz nařízení Evropského parlamentu a Rady (ES) č. 725/2004 ze dne 31. března 2004 o zvýšení bezpečnosti lodí a přístavních zařízení (Úř. věst. L 129/6) a směrnice Evropského parlamentu a Rady 2005/65/ES ze dne 26. října 2005 o zvýšení zabezpečení přístavů (Úř. věst. L 310/28).</w:t>
      </w:r>
    </w:p>
  </w:footnote>
  <w:footnote w:id="38">
    <w:p w14:paraId="34DD7A5E" w14:textId="0465CACF" w:rsidR="006574E8" w:rsidRPr="00120278" w:rsidRDefault="006574E8"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Druhá strana mince:</w:t>
        </w:r>
      </w:hyperlink>
      <w:hyperlink r:id="rId14" w:history="1">
        <w:r>
          <w:rPr>
            <w:rStyle w:val="Hyperlink"/>
            <w:rFonts w:ascii="Times New Roman" w:hAnsi="Times New Roman"/>
          </w:rPr>
          <w:t xml:space="preserve"> Analýza finanční a hospodářské trestné činnosti |</w:t>
        </w:r>
      </w:hyperlink>
      <w:hyperlink r:id="rId15" w:history="1">
        <w:r>
          <w:rPr>
            <w:rStyle w:val="Hyperlink"/>
            <w:rFonts w:ascii="Times New Roman" w:hAnsi="Times New Roman"/>
          </w:rPr>
          <w:t xml:space="preserve"> Europol (europa.eu)</w:t>
        </w:r>
      </w:hyperlink>
      <w:r>
        <w:t>.</w:t>
      </w:r>
    </w:p>
  </w:footnote>
  <w:footnote w:id="39">
    <w:p w14:paraId="704D0ACF" w14:textId="77777777"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ST 8927/20, </w:t>
      </w:r>
      <w:hyperlink r:id="rId16" w:history="1">
        <w:r>
          <w:rPr>
            <w:rStyle w:val="Hyperlink"/>
            <w:rFonts w:ascii="Times New Roman" w:hAnsi="Times New Roman"/>
          </w:rPr>
          <w:t>https://data.consilium.europa.eu/doc/document/ST-8927-2020-INIT/cs/pdf</w:t>
        </w:r>
      </w:hyperlink>
    </w:p>
  </w:footnote>
  <w:footnote w:id="40">
    <w:p w14:paraId="57484D67" w14:textId="06F42255" w:rsidR="00C17211" w:rsidRPr="00876E27" w:rsidRDefault="00C1721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Pracovní dokument útvarů Komise o využívání partnerství veřejného a soukromého sektoru v rámci prevence a boje proti praní peněz a financování terorismu, Brusel, 27.10.2022 (SWD(2022) 347 final).</w:t>
      </w:r>
    </w:p>
  </w:footnote>
  <w:footnote w:id="41">
    <w:p w14:paraId="569B8AFC" w14:textId="77777777" w:rsidR="005B4A60" w:rsidRPr="00876E27"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https://www.europol.europa.eu/about-europol/european-financial-and-economic-crime-centre-efecc</w:t>
      </w:r>
    </w:p>
  </w:footnote>
  <w:footnote w:id="42">
    <w:p w14:paraId="36AE7AFE" w14:textId="77E5B9A8" w:rsidR="00666143" w:rsidRPr="00876E27"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hyperlink r:id="rId17" w:history="1">
        <w:r>
          <w:rPr>
            <w:rStyle w:val="Hyperlink"/>
            <w:rFonts w:ascii="Times New Roman" w:hAnsi="Times New Roman"/>
          </w:rPr>
          <w:t>https://ec.europa.eu/info/funding-tenders/opportunities/portal/screen/opportunities/topic-details/horizon-cl3-2024-fct-01-08</w:t>
        </w:r>
      </w:hyperlink>
      <w:r>
        <w:rPr>
          <w:rFonts w:ascii="Times New Roman" w:hAnsi="Times New Roman"/>
        </w:rPr>
        <w:t xml:space="preserve"> </w:t>
      </w:r>
    </w:p>
  </w:footnote>
  <w:footnote w:id="43">
    <w:p w14:paraId="3E803B89" w14:textId="77777777" w:rsidR="007A5D86" w:rsidRPr="007A5D86" w:rsidRDefault="007A5D86" w:rsidP="007A5D86">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COM(2023) 3647 final.</w:t>
      </w:r>
    </w:p>
  </w:footnote>
  <w:footnote w:id="44">
    <w:p w14:paraId="278B490C" w14:textId="23BAD5B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8" w:history="1">
        <w:r>
          <w:rPr>
            <w:rStyle w:val="Hyperlink"/>
            <w:rFonts w:ascii="Times New Roman" w:hAnsi="Times New Roman"/>
          </w:rPr>
          <w:t>https://www.ecteg.eu/</w:t>
        </w:r>
      </w:hyperlink>
    </w:p>
  </w:footnote>
  <w:footnote w:id="45">
    <w:p w14:paraId="257E1732" w14:textId="0CBCE38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9" w:history="1">
        <w:r>
          <w:rPr>
            <w:rStyle w:val="Hyperlink"/>
            <w:rFonts w:ascii="Times New Roman" w:hAnsi="Times New Roman"/>
          </w:rPr>
          <w:t>https://www.eactda.eu/</w:t>
        </w:r>
      </w:hyperlink>
    </w:p>
  </w:footnote>
  <w:footnote w:id="46">
    <w:p w14:paraId="0ED24D2D" w14:textId="2675653C" w:rsidR="00DC06BF" w:rsidRPr="00120278" w:rsidRDefault="00DC06B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Provádění přípravné akce týkající se koordinovaného monitorování darknetu na úrovni EU za účelem boje proti trestné činnosti, kterou navrhl Evropský parlament, za účasti EMCDDA a Europolu, v souladu se strategií a akčním plánem EU pro oblast drog.</w:t>
      </w:r>
    </w:p>
  </w:footnote>
  <w:footnote w:id="47">
    <w:p w14:paraId="0C8A5D17" w14:textId="6EB7AEB4"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2018/1862 ze dne 28. listopadu 2018 o zřízení, provozu a využívání Schengenského informačního systému (SIS) v oblasti policejní spolupráce a justiční spolupráce v trestních věcech, o změně a o zrušení rozhodnutí Rady 2007/533/SVV a o zrušení nařízení Evropského parlamentu a Rady (ES) č. 1986/2006 a rozhodnutí Komise 2010/261/EU (Úř. věst. L 312, 7.12.2018, s. 56).</w:t>
      </w:r>
    </w:p>
  </w:footnote>
  <w:footnote w:id="48">
    <w:p w14:paraId="3321E205" w14:textId="59076298"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Nařízení Evropského parlamentu a Rady (EU) 2022/991 ze dne 8. června 2022, kterým se mění nařízení (EU) 2016/794, pokud jde o spolupráci Europolu se soukromými subjekty, zpracování osobních údajů Europolem pro usnadnění trestního vyšetřování a úlohu Europolu v oblasti výzkumu a inovací (Úř. věst. L 169, 27.6.2022, s. 1).</w:t>
      </w:r>
    </w:p>
  </w:footnote>
  <w:footnote w:id="49">
    <w:p w14:paraId="1D6130AA" w14:textId="16BD7AD5" w:rsidR="00952345" w:rsidRPr="00120278" w:rsidRDefault="0095234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Rámcové rozhodnutí Rady 2008/841/SVV ze dne 24. října 2008 o boji proti organizované trestné činnosti (Úř. věst. L 300, 11.11.2008).</w:t>
      </w:r>
    </w:p>
  </w:footnote>
  <w:footnote w:id="50">
    <w:p w14:paraId="48C71CDD" w14:textId="3423BF7A" w:rsidR="00F618C1" w:rsidRPr="00120278" w:rsidRDefault="00F618C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Rámcové rozhodnutí Rady 2004/757/SVV ze dne 25. října 2004, kterým se stanoví minimální ustanovení týkající se znaků skutkových podstat trestných činů a sankcí v oblasti nedovoleného obchodu s drogami (Úř. věst. L 335, 11.11.2004, s. 8).</w:t>
      </w:r>
    </w:p>
  </w:footnote>
  <w:footnote w:id="51">
    <w:p w14:paraId="582BC7AA" w14:textId="3B1EB3B3"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52">
    <w:p w14:paraId="7F10756E" w14:textId="7F9B5B98"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234 final.</w:t>
      </w:r>
    </w:p>
  </w:footnote>
  <w:footnote w:id="53">
    <w:p w14:paraId="755E04B9" w14:textId="35F09731"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0" w:history="1">
        <w:r>
          <w:rPr>
            <w:rStyle w:val="Hyperlink"/>
            <w:rFonts w:ascii="Times New Roman" w:hAnsi="Times New Roman"/>
          </w:rPr>
          <w:t>https://home-affairs.ec.europa.eu/policies/internal-security/cybercrime_cs</w:t>
        </w:r>
      </w:hyperlink>
    </w:p>
  </w:footnote>
  <w:footnote w:id="54">
    <w:p w14:paraId="24BA44A9" w14:textId="71E9E8CF" w:rsidR="00E97B38" w:rsidRPr="00120278" w:rsidRDefault="00E97B3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1" w:history="1">
        <w:r>
          <w:rPr>
            <w:rStyle w:val="Hyperlink"/>
            <w:rFonts w:ascii="Times New Roman" w:hAnsi="Times New Roman"/>
          </w:rPr>
          <w:t>https://www.europol.europa.eu/publications-events/main-reports/socta-report</w:t>
        </w:r>
      </w:hyperlink>
    </w:p>
  </w:footnote>
  <w:footnote w:id="55">
    <w:p w14:paraId="499CBC00" w14:textId="5A09E02C" w:rsidR="00F259AF" w:rsidRPr="00120278" w:rsidRDefault="00F259A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2" w:history="1">
        <w:r>
          <w:rPr>
            <w:rStyle w:val="Hyperlink"/>
            <w:rFonts w:ascii="Times New Roman" w:hAnsi="Times New Roman"/>
          </w:rPr>
          <w:t>EURIEC</w:t>
        </w:r>
      </w:hyperlink>
      <w:r>
        <w:rPr>
          <w:rStyle w:val="Hyperlink"/>
          <w:rFonts w:ascii="Times New Roman" w:hAnsi="Times New Roman"/>
        </w:rPr>
        <w:t>.</w:t>
      </w:r>
    </w:p>
  </w:footnote>
  <w:footnote w:id="56">
    <w:p w14:paraId="18F46BFC" w14:textId="4C9834DE" w:rsidR="007E6B7E" w:rsidRPr="00120278" w:rsidRDefault="007E6B7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3" w:history="1">
        <w:r>
          <w:rPr>
            <w:rStyle w:val="Hyperlink"/>
            <w:rFonts w:ascii="Times New Roman" w:hAnsi="Times New Roman"/>
          </w:rPr>
          <w:t>Úvodní stránka – Evropská síť pro správní přístup</w:t>
        </w:r>
      </w:hyperlink>
      <w:r>
        <w:rPr>
          <w:rStyle w:val="Hyperlink"/>
          <w:rFonts w:ascii="Times New Roman" w:hAnsi="Times New Roman"/>
        </w:rPr>
        <w:t>.</w:t>
      </w:r>
    </w:p>
  </w:footnote>
  <w:footnote w:id="57">
    <w:p w14:paraId="2BD36E86" w14:textId="77777777"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Nařízení Rady (ES) č. 111/2005 ze dne 22. prosince 2004, kterým se stanoví pravidla pro sledování obchodu s prekursory drog mezi Unií a třetími zeměmi (Úř. věst. L 22, 26.1.2005, s. 1), a nařízení Evropského parlamentu a Rady (ES) č. 273/2004 ze dne 11. února 2004 o prekursorech drog (Úř. věst. L 47, 18.2.2004).</w:t>
      </w:r>
    </w:p>
  </w:footnote>
  <w:footnote w:id="58">
    <w:p w14:paraId="2D753EB2" w14:textId="6FBF402D" w:rsidR="00195C31" w:rsidRPr="00120278" w:rsidRDefault="00195C3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Nařízení Rady (ES) č. 111/2005 ze dne 22. prosince 2004, kterým se stanoví pravidla pro sledování obchodu s prekursory drog mezi Unií a třetími zeměmi (Úř. věst. L 22, 26.1.2005, s.</w:t>
      </w:r>
      <w:r w:rsidR="00EA4C6E">
        <w:rPr>
          <w:rFonts w:ascii="Times New Roman" w:hAnsi="Times New Roman"/>
        </w:rPr>
        <w:t xml:space="preserve"> </w:t>
      </w:r>
      <w:r>
        <w:rPr>
          <w:rFonts w:ascii="Times New Roman" w:hAnsi="Times New Roman"/>
        </w:rPr>
        <w:t>1), a nařízení Evropského parlamentu a Rady (ES) č. 273/2004 ze dne 11. února 2004 o prekursorech drog (Úř. věst. L 47, 18.2.2004).</w:t>
      </w:r>
    </w:p>
  </w:footnote>
  <w:footnote w:id="59">
    <w:p w14:paraId="6943E6EA" w14:textId="5459B474"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Style w:val="FootnoteReference0"/>
          <w:rFonts w:ascii="Times New Roman" w:hAnsi="Times New Roman"/>
        </w:rPr>
        <w:t xml:space="preserve"> </w:t>
      </w:r>
      <w:r>
        <w:rPr>
          <w:rFonts w:ascii="Times New Roman" w:hAnsi="Times New Roman"/>
        </w:rPr>
        <w:t>COM(2020) 768 final.</w:t>
      </w:r>
    </w:p>
  </w:footnote>
  <w:footnote w:id="60">
    <w:p w14:paraId="6CFE8FD9" w14:textId="013640FC"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Nařízení Rady (ES) č. 111/2005 ze dne 22. prosince 2004, kterým se stanoví pravidla pro sledování obchodu s prekursory drog mezi Unií a třetími zeměmi (Úř. věst. L 22, 26.1.2005, s. 1), a nařízení Evropského parlamentu a Rady (ES) č. 273/2004 ze dne 11. února 2004 o prekursorech drog (Úř. věst. L 47, 18.2.2004).</w:t>
      </w:r>
    </w:p>
  </w:footnote>
  <w:footnote w:id="61">
    <w:p w14:paraId="03B51B7D" w14:textId="5C728649" w:rsidR="00FE3407" w:rsidRPr="00120278" w:rsidRDefault="00FE340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COM(2017) 250 final.</w:t>
      </w:r>
    </w:p>
  </w:footnote>
  <w:footnote w:id="62">
    <w:p w14:paraId="5C4354A4" w14:textId="1120AE8E" w:rsidR="006E522D" w:rsidRPr="00120278" w:rsidRDefault="006E522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https://www.emcdda.europa.eu/publications/manuals/european-prevention-curriculum_en</w:t>
      </w:r>
    </w:p>
  </w:footnote>
  <w:footnote w:id="63">
    <w:p w14:paraId="47104303" w14:textId="2A88C26E" w:rsidR="00174BBC" w:rsidRPr="00120278" w:rsidRDefault="00174BB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r>
        <w:rPr>
          <w:rStyle w:val="markedcontent"/>
          <w:rFonts w:ascii="Times New Roman" w:hAnsi="Times New Roman"/>
        </w:rPr>
        <w:t>JOIN(2021) 30 final.</w:t>
      </w:r>
    </w:p>
  </w:footnote>
  <w:footnote w:id="64">
    <w:p w14:paraId="60EED287" w14:textId="77777777" w:rsidR="00690E15" w:rsidRPr="00120278" w:rsidRDefault="00690E1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4" w:history="1">
        <w:r>
          <w:rPr>
            <w:rStyle w:val="Hyperlink"/>
            <w:rFonts w:ascii="Times New Roman" w:hAnsi="Times New Roman"/>
          </w:rPr>
          <w:t>SOLAS XI-2 a předpis ISPS (imo.org)</w:t>
        </w:r>
      </w:hyperlink>
      <w:r>
        <w:rPr>
          <w:rStyle w:val="Hyperlink"/>
          <w:rFonts w:ascii="Times New Roman" w:hAnsi="Times New Roman"/>
        </w:rPr>
        <w:t>.</w:t>
      </w:r>
    </w:p>
  </w:footnote>
  <w:footnote w:id="65">
    <w:p w14:paraId="4531A9B8" w14:textId="76AE11BE"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Revidovaná strategie EU pro námořní bezpečnost byla zaslána Radě ke schválení.</w:t>
      </w:r>
    </w:p>
  </w:footnote>
  <w:footnote w:id="66">
    <w:p w14:paraId="296D0E13" w14:textId="37E89541"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Strategie EU pro Guinejský záliv, 17. března 2014, Rada Evropské unie </w:t>
      </w:r>
      <w:hyperlink r:id="rId25" w:history="1">
        <w:r>
          <w:rPr>
            <w:rStyle w:val="Hyperlink"/>
            <w:rFonts w:ascii="Times New Roman" w:hAnsi="Times New Roman"/>
          </w:rPr>
          <w:t>https://www.consilium.europa.eu/media/28734/141582.pdf</w:t>
        </w:r>
      </w:hyperlink>
    </w:p>
  </w:footnote>
  <w:footnote w:id="67">
    <w:p w14:paraId="0ED453E6" w14:textId="77777777" w:rsidR="00341D82" w:rsidRPr="00876E27" w:rsidRDefault="00341D82"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Kolumbie, Ekvádor, Peru, Bolívie, Argentina, Paraguay a Brazílie.</w:t>
      </w:r>
    </w:p>
  </w:footnote>
  <w:footnote w:id="68">
    <w:p w14:paraId="2CB7034B" w14:textId="70B2B32B" w:rsidR="006B73D3" w:rsidRPr="00876E27" w:rsidRDefault="006B73D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6" w:history="1">
        <w:r>
          <w:rPr>
            <w:rStyle w:val="Hyperlink"/>
            <w:rFonts w:ascii="Times New Roman" w:hAnsi="Times New Roman"/>
          </w:rPr>
          <w:t>https://www.europol.europa.eu/publications-events/main-reports/socta-report</w:t>
        </w:r>
      </w:hyperlink>
    </w:p>
  </w:footnote>
  <w:footnote w:id="69">
    <w:p w14:paraId="46312EB5" w14:textId="129064F8" w:rsidR="00D4105E" w:rsidRPr="00876E27" w:rsidRDefault="00D4105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7" w:history="1">
        <w:r>
          <w:rPr>
            <w:rStyle w:val="Hyperlink"/>
            <w:rFonts w:ascii="Times New Roman" w:hAnsi="Times New Roman"/>
          </w:rPr>
          <w:t>https://www.europol.europa.eu/media-press/newsroom/news/heat-rising-european-super-cartel-taken-down-in-six-countries</w:t>
        </w:r>
      </w:hyperlink>
    </w:p>
  </w:footnote>
  <w:footnote w:id="70">
    <w:p w14:paraId="32D4E5E8" w14:textId="30065442"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Úmluva Rady Evropy o vzájemné právní pomoci (ETS č. 30), </w:t>
      </w:r>
      <w:hyperlink r:id="rId28" w:history="1">
        <w:r>
          <w:rPr>
            <w:rStyle w:val="Hyperlink"/>
            <w:rFonts w:ascii="Times New Roman" w:hAnsi="Times New Roman"/>
          </w:rPr>
          <w:t>https://rm.coe.int/16800656ce</w:t>
        </w:r>
      </w:hyperlink>
    </w:p>
  </w:footnote>
  <w:footnote w:id="71">
    <w:p w14:paraId="2C84B1FA" w14:textId="7DDB3DC4"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Úmluva Rady Evropy o vydávání (ETS č. 24), </w:t>
      </w:r>
      <w:hyperlink r:id="rId29" w:history="1">
        <w:r>
          <w:rPr>
            <w:rStyle w:val="Hyperlink"/>
            <w:rFonts w:ascii="Times New Roman" w:hAnsi="Times New Roman"/>
          </w:rPr>
          <w:t>https://rm.coe.int/1680064587</w:t>
        </w:r>
      </w:hyperlink>
      <w:r>
        <w:rPr>
          <w:rFonts w:ascii="Times New Roman" w:hAnsi="Times New Roman"/>
        </w:rPr>
        <w:t xml:space="preserve"> </w:t>
      </w:r>
    </w:p>
  </w:footnote>
  <w:footnote w:id="72">
    <w:p w14:paraId="6D560301" w14:textId="5EDD8794" w:rsidR="00775D39" w:rsidRPr="00120278" w:rsidRDefault="00775D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Úmluva Rady Evropy o praní, vyhledávání, zadržování a konfiskaci výnosů ze zločinu a o financování terorismu (CETS č. 198), </w:t>
      </w:r>
      <w:hyperlink r:id="rId30" w:history="1">
        <w:r>
          <w:rPr>
            <w:rStyle w:val="Hyperlink"/>
            <w:rFonts w:ascii="Times New Roman" w:hAnsi="Times New Roman"/>
          </w:rPr>
          <w:t>https://rm.coe.int/168008371</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08B2" w14:textId="77777777" w:rsidR="00702D77" w:rsidRPr="00702D77" w:rsidRDefault="00702D77" w:rsidP="00702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3463" w14:textId="77777777" w:rsidR="00702D77" w:rsidRPr="00702D77" w:rsidRDefault="00702D77" w:rsidP="00702D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E8E5" w14:textId="77777777" w:rsidR="00702D77" w:rsidRPr="00702D77" w:rsidRDefault="00702D77" w:rsidP="00702D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3AA5" w14:textId="77777777" w:rsidR="00D24BB1" w:rsidRDefault="00D24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144E" w14:textId="77777777" w:rsidR="00D24BB1" w:rsidRDefault="00D24B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A1B8" w14:textId="77777777" w:rsidR="00D24BB1" w:rsidRDefault="00D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650"/>
    <w:multiLevelType w:val="hybridMultilevel"/>
    <w:tmpl w:val="EE48E244"/>
    <w:lvl w:ilvl="0" w:tplc="988E2C60">
      <w:start w:val="1"/>
      <w:numFmt w:val="upperRoman"/>
      <w:lvlText w:val="%1."/>
      <w:lvlJc w:val="left"/>
      <w:pPr>
        <w:ind w:left="1080" w:hanging="72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F93E34"/>
    <w:multiLevelType w:val="hybridMultilevel"/>
    <w:tmpl w:val="7536FFAC"/>
    <w:lvl w:ilvl="0" w:tplc="1809000F">
      <w:start w:val="1"/>
      <w:numFmt w:val="decimal"/>
      <w:lvlText w:val="%1."/>
      <w:lvlJc w:val="left"/>
      <w:pPr>
        <w:ind w:left="360" w:hanging="360"/>
      </w:pPr>
    </w:lvl>
    <w:lvl w:ilvl="1" w:tplc="FFFFFFFF">
      <w:start w:val="1"/>
      <w:numFmt w:val="lowerLetter"/>
      <w:lvlText w:val="%2."/>
      <w:lvlJc w:val="left"/>
      <w:pPr>
        <w:ind w:left="-65" w:hanging="360"/>
      </w:pPr>
    </w:lvl>
    <w:lvl w:ilvl="2" w:tplc="FFFFFFFF">
      <w:start w:val="1"/>
      <w:numFmt w:val="lowerRoman"/>
      <w:lvlText w:val="%3."/>
      <w:lvlJc w:val="right"/>
      <w:pPr>
        <w:ind w:left="605" w:hanging="180"/>
      </w:pPr>
    </w:lvl>
    <w:lvl w:ilvl="3" w:tplc="FFFFFFFF">
      <w:start w:val="1"/>
      <w:numFmt w:val="decimal"/>
      <w:lvlText w:val="%4."/>
      <w:lvlJc w:val="left"/>
      <w:pPr>
        <w:ind w:left="360" w:hanging="360"/>
      </w:pPr>
      <w:rPr>
        <w:rFonts w:ascii="Times New Roman" w:eastAsiaTheme="minorHAnsi" w:hAnsi="Times New Roman" w:cs="Times New Roman"/>
      </w:r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2" w15:restartNumberingAfterBreak="0">
    <w:nsid w:val="25AE3AAA"/>
    <w:multiLevelType w:val="hybridMultilevel"/>
    <w:tmpl w:val="2FBCBF9A"/>
    <w:lvl w:ilvl="0" w:tplc="85B859EC">
      <w:numFmt w:val="bullet"/>
      <w:lvlText w:val="•"/>
      <w:lvlJc w:val="left"/>
      <w:pPr>
        <w:ind w:left="1545" w:hanging="118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41642"/>
    <w:multiLevelType w:val="multilevel"/>
    <w:tmpl w:val="01BE0FC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57D36"/>
    <w:multiLevelType w:val="hybridMultilevel"/>
    <w:tmpl w:val="1500EE7A"/>
    <w:lvl w:ilvl="0" w:tplc="E6140C1E">
      <w:start w:val="1"/>
      <w:numFmt w:val="upperRoman"/>
      <w:lvlText w:val="%1."/>
      <w:lvlJc w:val="left"/>
      <w:pPr>
        <w:ind w:left="1003"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A4393D"/>
    <w:multiLevelType w:val="hybridMultilevel"/>
    <w:tmpl w:val="3CBEB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6D5171"/>
    <w:multiLevelType w:val="hybridMultilevel"/>
    <w:tmpl w:val="88FA49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878FB"/>
    <w:multiLevelType w:val="hybridMultilevel"/>
    <w:tmpl w:val="FF201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029C2"/>
    <w:multiLevelType w:val="multilevel"/>
    <w:tmpl w:val="A9BE7DBA"/>
    <w:lvl w:ilvl="0">
      <w:start w:val="1"/>
      <w:numFmt w:val="decimal"/>
      <w:pStyle w:val="Style1"/>
      <w:lvlText w:val="%1."/>
      <w:lvlJc w:val="left"/>
      <w:pPr>
        <w:ind w:left="1080" w:hanging="360"/>
      </w:pPr>
      <w:rPr>
        <w:rFonts w:hint="default"/>
      </w:rPr>
    </w:lvl>
    <w:lvl w:ilvl="1">
      <w:start w:val="1"/>
      <w:numFmt w:val="decimal"/>
      <w:pStyle w:val="Style2"/>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CA8215B"/>
    <w:multiLevelType w:val="hybridMultilevel"/>
    <w:tmpl w:val="1FC8B9BE"/>
    <w:lvl w:ilvl="0" w:tplc="54E0A33E">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 w15:restartNumberingAfterBreak="0">
    <w:nsid w:val="4D213772"/>
    <w:multiLevelType w:val="hybridMultilevel"/>
    <w:tmpl w:val="9CC00056"/>
    <w:lvl w:ilvl="0" w:tplc="0652E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064AB"/>
    <w:multiLevelType w:val="hybridMultilevel"/>
    <w:tmpl w:val="D786EB3A"/>
    <w:lvl w:ilvl="0" w:tplc="FFFFFFFF">
      <w:start w:val="1"/>
      <w:numFmt w:val="upperLetter"/>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759C"/>
    <w:multiLevelType w:val="multilevel"/>
    <w:tmpl w:val="6D165FB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CDF78DD"/>
    <w:multiLevelType w:val="hybridMultilevel"/>
    <w:tmpl w:val="D786EB3A"/>
    <w:lvl w:ilvl="0" w:tplc="BA16896E">
      <w:start w:val="1"/>
      <w:numFmt w:val="upperLetter"/>
      <w:lvlText w:val="%1."/>
      <w:lvlJc w:val="left"/>
      <w:pPr>
        <w:ind w:left="720" w:hanging="360"/>
      </w:pPr>
      <w:rPr>
        <w:rFonts w:hint="default"/>
        <w:i w:val="0"/>
        <w:i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807B9B"/>
    <w:multiLevelType w:val="hybridMultilevel"/>
    <w:tmpl w:val="0DF86620"/>
    <w:lvl w:ilvl="0" w:tplc="FFFFFFFF">
      <w:start w:val="1"/>
      <w:numFmt w:val="bullet"/>
      <w:lvlText w:val=""/>
      <w:lvlJc w:val="left"/>
      <w:pPr>
        <w:ind w:left="360" w:hanging="360"/>
      </w:pPr>
      <w:rPr>
        <w:rFonts w:ascii="Symbol" w:hAnsi="Symbol" w:hint="default"/>
        <w:color w:val="auto"/>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3"/>
  </w:num>
  <w:num w:numId="9">
    <w:abstractNumId w:val="7"/>
  </w:num>
  <w:num w:numId="10">
    <w:abstractNumId w:val="2"/>
  </w:num>
  <w:num w:numId="11">
    <w:abstractNumId w:val="11"/>
  </w:num>
  <w:num w:numId="12">
    <w:abstractNumId w:val="14"/>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fr-BE" w:vendorID="64" w:dllVersion="0" w:nlCheck="1" w:checkStyle="0"/>
  <w:activeWritingStyle w:appName="MSWord" w:lang="es-ES" w:vendorID="64" w:dllVersion="0" w:nlCheck="1" w:checkStyle="0"/>
  <w:activeWritingStyle w:appName="MSWord" w:lang="es-PR" w:vendorID="64" w:dllVersion="0" w:nlCheck="1" w:checkStyle="0"/>
  <w:activeWritingStyle w:appName="MSWord" w:lang="cs-CZ"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3068F4C0-45F3-48BE-94DA-E21AA194F39C"/>
    <w:docVar w:name="LW_COVERPAGE_TYPE" w:val="1"/>
    <w:docVar w:name="LW_CROSSREFERENCE" w:val="&lt;UNUSED&gt;"/>
    <w:docVar w:name="LW_DocType" w:val="NORMAL"/>
    <w:docVar w:name="LW_EMISSION" w:val="18.10.2023"/>
    <w:docVar w:name="LW_EMISSION_ISODATE" w:val="2023-10-18"/>
    <w:docVar w:name="LW_EMISSION_LOCATION" w:val="BRX"/>
    <w:docVar w:name="LW_EMISSION_PREFIX" w:val="V Bruselu dne "/>
    <w:docVar w:name="LW_EMISSION_SUFFIX" w:val=" "/>
    <w:docVar w:name="LW_ID_DOCTYPE_NONLW" w:val="CP-012"/>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3) 6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plánu EU pro boj proti obchodu s drogami a organizované trestné činnosti"/>
    <w:docVar w:name="LW_TYPE.DOC.CP" w:val="SDĚLENÍ KOMISE EVROPSKÉMU PARLAMENTU A RADĚ"/>
    <w:docVar w:name="LW_TYPE.DOC.CP.USERTEXT" w:val="&lt;EMPTY&gt;"/>
    <w:docVar w:name="LwApiVersions" w:val="LW4CoDe 1.23.2.0; LW 8.0, Build 20211117"/>
  </w:docVars>
  <w:rsids>
    <w:rsidRoot w:val="002F2AEF"/>
    <w:rsid w:val="000017D0"/>
    <w:rsid w:val="000024B9"/>
    <w:rsid w:val="00002FA0"/>
    <w:rsid w:val="0000329D"/>
    <w:rsid w:val="000044AB"/>
    <w:rsid w:val="00004C6C"/>
    <w:rsid w:val="00004D49"/>
    <w:rsid w:val="00005686"/>
    <w:rsid w:val="000062A3"/>
    <w:rsid w:val="00007171"/>
    <w:rsid w:val="0000777B"/>
    <w:rsid w:val="00011065"/>
    <w:rsid w:val="000117B4"/>
    <w:rsid w:val="0001180B"/>
    <w:rsid w:val="0001296A"/>
    <w:rsid w:val="00012F48"/>
    <w:rsid w:val="00014D6E"/>
    <w:rsid w:val="00016708"/>
    <w:rsid w:val="00017AE6"/>
    <w:rsid w:val="000202CD"/>
    <w:rsid w:val="00020A76"/>
    <w:rsid w:val="0002182C"/>
    <w:rsid w:val="00022136"/>
    <w:rsid w:val="00022FFF"/>
    <w:rsid w:val="00023000"/>
    <w:rsid w:val="00023120"/>
    <w:rsid w:val="00023BB2"/>
    <w:rsid w:val="00024F8C"/>
    <w:rsid w:val="00031AD9"/>
    <w:rsid w:val="00032118"/>
    <w:rsid w:val="00032919"/>
    <w:rsid w:val="00033AC6"/>
    <w:rsid w:val="00034337"/>
    <w:rsid w:val="00035F8E"/>
    <w:rsid w:val="0004196F"/>
    <w:rsid w:val="00042142"/>
    <w:rsid w:val="00042327"/>
    <w:rsid w:val="0004279A"/>
    <w:rsid w:val="00042A62"/>
    <w:rsid w:val="0004387E"/>
    <w:rsid w:val="0004411D"/>
    <w:rsid w:val="00047EC8"/>
    <w:rsid w:val="000522E5"/>
    <w:rsid w:val="0005256B"/>
    <w:rsid w:val="00052D2D"/>
    <w:rsid w:val="000548F7"/>
    <w:rsid w:val="00054D2F"/>
    <w:rsid w:val="00055F81"/>
    <w:rsid w:val="000568E3"/>
    <w:rsid w:val="00060A75"/>
    <w:rsid w:val="000616DF"/>
    <w:rsid w:val="00061F53"/>
    <w:rsid w:val="000623F7"/>
    <w:rsid w:val="00062A52"/>
    <w:rsid w:val="00063B29"/>
    <w:rsid w:val="00063CC6"/>
    <w:rsid w:val="0006480D"/>
    <w:rsid w:val="00065301"/>
    <w:rsid w:val="000668F1"/>
    <w:rsid w:val="00067982"/>
    <w:rsid w:val="00067F3A"/>
    <w:rsid w:val="0007011F"/>
    <w:rsid w:val="00070FE8"/>
    <w:rsid w:val="00071360"/>
    <w:rsid w:val="00071DF9"/>
    <w:rsid w:val="0007245B"/>
    <w:rsid w:val="0007272F"/>
    <w:rsid w:val="000727BB"/>
    <w:rsid w:val="00072F34"/>
    <w:rsid w:val="00073E90"/>
    <w:rsid w:val="0007459E"/>
    <w:rsid w:val="00074CD5"/>
    <w:rsid w:val="00074D49"/>
    <w:rsid w:val="00075070"/>
    <w:rsid w:val="00076166"/>
    <w:rsid w:val="00077C9E"/>
    <w:rsid w:val="00080F1A"/>
    <w:rsid w:val="00081166"/>
    <w:rsid w:val="00081BC7"/>
    <w:rsid w:val="00082E94"/>
    <w:rsid w:val="00082EB9"/>
    <w:rsid w:val="00083BA4"/>
    <w:rsid w:val="000853B1"/>
    <w:rsid w:val="00085EA3"/>
    <w:rsid w:val="0008779B"/>
    <w:rsid w:val="000907E9"/>
    <w:rsid w:val="00090E9E"/>
    <w:rsid w:val="0009165E"/>
    <w:rsid w:val="00091D3D"/>
    <w:rsid w:val="00092BF5"/>
    <w:rsid w:val="00092C82"/>
    <w:rsid w:val="00092C95"/>
    <w:rsid w:val="00092FCD"/>
    <w:rsid w:val="000930B0"/>
    <w:rsid w:val="00094DCF"/>
    <w:rsid w:val="00095051"/>
    <w:rsid w:val="000951A2"/>
    <w:rsid w:val="0009567A"/>
    <w:rsid w:val="0009732F"/>
    <w:rsid w:val="000975C7"/>
    <w:rsid w:val="000A01F8"/>
    <w:rsid w:val="000A3828"/>
    <w:rsid w:val="000A3ED4"/>
    <w:rsid w:val="000A4277"/>
    <w:rsid w:val="000A5AD6"/>
    <w:rsid w:val="000A5F26"/>
    <w:rsid w:val="000B107E"/>
    <w:rsid w:val="000B1EB3"/>
    <w:rsid w:val="000B2420"/>
    <w:rsid w:val="000B3E03"/>
    <w:rsid w:val="000B4255"/>
    <w:rsid w:val="000B4DA1"/>
    <w:rsid w:val="000B5CCB"/>
    <w:rsid w:val="000C07E6"/>
    <w:rsid w:val="000C12F0"/>
    <w:rsid w:val="000C2435"/>
    <w:rsid w:val="000C29DD"/>
    <w:rsid w:val="000C2F25"/>
    <w:rsid w:val="000C3865"/>
    <w:rsid w:val="000C4A5A"/>
    <w:rsid w:val="000C5816"/>
    <w:rsid w:val="000C647E"/>
    <w:rsid w:val="000C6D21"/>
    <w:rsid w:val="000C6F04"/>
    <w:rsid w:val="000C7D21"/>
    <w:rsid w:val="000D03EA"/>
    <w:rsid w:val="000D07C9"/>
    <w:rsid w:val="000D104B"/>
    <w:rsid w:val="000D1130"/>
    <w:rsid w:val="000D275F"/>
    <w:rsid w:val="000D2C68"/>
    <w:rsid w:val="000D66DA"/>
    <w:rsid w:val="000D6BA3"/>
    <w:rsid w:val="000D76D5"/>
    <w:rsid w:val="000E19F1"/>
    <w:rsid w:val="000E245A"/>
    <w:rsid w:val="000E3126"/>
    <w:rsid w:val="000E4BE5"/>
    <w:rsid w:val="000E5171"/>
    <w:rsid w:val="000E578E"/>
    <w:rsid w:val="000E71C1"/>
    <w:rsid w:val="000F0CC6"/>
    <w:rsid w:val="000F103C"/>
    <w:rsid w:val="000F1277"/>
    <w:rsid w:val="000F1914"/>
    <w:rsid w:val="000F2C1B"/>
    <w:rsid w:val="000F366C"/>
    <w:rsid w:val="000F38B7"/>
    <w:rsid w:val="000F3AE1"/>
    <w:rsid w:val="000F3E80"/>
    <w:rsid w:val="000F5B10"/>
    <w:rsid w:val="000F6E3E"/>
    <w:rsid w:val="000F7040"/>
    <w:rsid w:val="000F70B7"/>
    <w:rsid w:val="000F783A"/>
    <w:rsid w:val="000F7A54"/>
    <w:rsid w:val="0010113F"/>
    <w:rsid w:val="00101415"/>
    <w:rsid w:val="0010144F"/>
    <w:rsid w:val="00101520"/>
    <w:rsid w:val="00103BDB"/>
    <w:rsid w:val="00105F68"/>
    <w:rsid w:val="00106311"/>
    <w:rsid w:val="0010680B"/>
    <w:rsid w:val="00106F1E"/>
    <w:rsid w:val="00107DDE"/>
    <w:rsid w:val="001105B9"/>
    <w:rsid w:val="001108FA"/>
    <w:rsid w:val="00110DD8"/>
    <w:rsid w:val="00112F0A"/>
    <w:rsid w:val="001132DF"/>
    <w:rsid w:val="0011343A"/>
    <w:rsid w:val="00113FA9"/>
    <w:rsid w:val="00114696"/>
    <w:rsid w:val="0011547C"/>
    <w:rsid w:val="001155D9"/>
    <w:rsid w:val="001162D3"/>
    <w:rsid w:val="00120278"/>
    <w:rsid w:val="0012041E"/>
    <w:rsid w:val="001214DB"/>
    <w:rsid w:val="00121FDA"/>
    <w:rsid w:val="0012203C"/>
    <w:rsid w:val="00122EF5"/>
    <w:rsid w:val="0012484F"/>
    <w:rsid w:val="00127921"/>
    <w:rsid w:val="00130E34"/>
    <w:rsid w:val="0013254A"/>
    <w:rsid w:val="00133788"/>
    <w:rsid w:val="00133869"/>
    <w:rsid w:val="00134488"/>
    <w:rsid w:val="001346F6"/>
    <w:rsid w:val="0013558A"/>
    <w:rsid w:val="001358F2"/>
    <w:rsid w:val="0013678B"/>
    <w:rsid w:val="00137019"/>
    <w:rsid w:val="001376CB"/>
    <w:rsid w:val="00137C88"/>
    <w:rsid w:val="0014099F"/>
    <w:rsid w:val="00140C0E"/>
    <w:rsid w:val="00141814"/>
    <w:rsid w:val="00142D70"/>
    <w:rsid w:val="00143380"/>
    <w:rsid w:val="00144770"/>
    <w:rsid w:val="001448D3"/>
    <w:rsid w:val="00144A40"/>
    <w:rsid w:val="00144C73"/>
    <w:rsid w:val="00145BBF"/>
    <w:rsid w:val="00146A01"/>
    <w:rsid w:val="00147428"/>
    <w:rsid w:val="001479B0"/>
    <w:rsid w:val="001505BC"/>
    <w:rsid w:val="00150649"/>
    <w:rsid w:val="00150E00"/>
    <w:rsid w:val="0015215F"/>
    <w:rsid w:val="00152441"/>
    <w:rsid w:val="00153052"/>
    <w:rsid w:val="001533B2"/>
    <w:rsid w:val="0015348C"/>
    <w:rsid w:val="00153987"/>
    <w:rsid w:val="0015435C"/>
    <w:rsid w:val="00154F6F"/>
    <w:rsid w:val="00155AEF"/>
    <w:rsid w:val="00155DF1"/>
    <w:rsid w:val="00156D14"/>
    <w:rsid w:val="00156FB3"/>
    <w:rsid w:val="00157472"/>
    <w:rsid w:val="001602BC"/>
    <w:rsid w:val="001603C5"/>
    <w:rsid w:val="00160574"/>
    <w:rsid w:val="00160644"/>
    <w:rsid w:val="00160A6D"/>
    <w:rsid w:val="001623A9"/>
    <w:rsid w:val="0016243A"/>
    <w:rsid w:val="0016346F"/>
    <w:rsid w:val="0016399A"/>
    <w:rsid w:val="001642B8"/>
    <w:rsid w:val="00164EFE"/>
    <w:rsid w:val="0016511E"/>
    <w:rsid w:val="00165A9C"/>
    <w:rsid w:val="00165FD4"/>
    <w:rsid w:val="001663E8"/>
    <w:rsid w:val="00167135"/>
    <w:rsid w:val="001675D6"/>
    <w:rsid w:val="00167FBA"/>
    <w:rsid w:val="001701BE"/>
    <w:rsid w:val="00170A6B"/>
    <w:rsid w:val="00170EE0"/>
    <w:rsid w:val="00172884"/>
    <w:rsid w:val="001734DC"/>
    <w:rsid w:val="0017368B"/>
    <w:rsid w:val="00173967"/>
    <w:rsid w:val="00174BBC"/>
    <w:rsid w:val="00175570"/>
    <w:rsid w:val="001756A3"/>
    <w:rsid w:val="00175801"/>
    <w:rsid w:val="00176333"/>
    <w:rsid w:val="001769FA"/>
    <w:rsid w:val="00176C7C"/>
    <w:rsid w:val="001803B7"/>
    <w:rsid w:val="00180B92"/>
    <w:rsid w:val="00181350"/>
    <w:rsid w:val="00181A8F"/>
    <w:rsid w:val="00181DF1"/>
    <w:rsid w:val="001827F2"/>
    <w:rsid w:val="00182EC0"/>
    <w:rsid w:val="0018305E"/>
    <w:rsid w:val="001849FB"/>
    <w:rsid w:val="00184E4F"/>
    <w:rsid w:val="00185337"/>
    <w:rsid w:val="001867E3"/>
    <w:rsid w:val="0018738E"/>
    <w:rsid w:val="00187B41"/>
    <w:rsid w:val="00187E92"/>
    <w:rsid w:val="00187FDE"/>
    <w:rsid w:val="0019063E"/>
    <w:rsid w:val="00190662"/>
    <w:rsid w:val="0019070B"/>
    <w:rsid w:val="00190D1B"/>
    <w:rsid w:val="00190F53"/>
    <w:rsid w:val="00191156"/>
    <w:rsid w:val="00191349"/>
    <w:rsid w:val="00192FEC"/>
    <w:rsid w:val="001938C1"/>
    <w:rsid w:val="00195679"/>
    <w:rsid w:val="00195C31"/>
    <w:rsid w:val="001963B1"/>
    <w:rsid w:val="00197262"/>
    <w:rsid w:val="001A107E"/>
    <w:rsid w:val="001A15BC"/>
    <w:rsid w:val="001A1883"/>
    <w:rsid w:val="001A19B3"/>
    <w:rsid w:val="001A1C4A"/>
    <w:rsid w:val="001A253D"/>
    <w:rsid w:val="001A26C3"/>
    <w:rsid w:val="001A28A3"/>
    <w:rsid w:val="001A2B4D"/>
    <w:rsid w:val="001A2FB5"/>
    <w:rsid w:val="001A40EB"/>
    <w:rsid w:val="001A4A35"/>
    <w:rsid w:val="001A4C19"/>
    <w:rsid w:val="001A4DF7"/>
    <w:rsid w:val="001A5214"/>
    <w:rsid w:val="001A5CA7"/>
    <w:rsid w:val="001A60A2"/>
    <w:rsid w:val="001B01A3"/>
    <w:rsid w:val="001B11B1"/>
    <w:rsid w:val="001B2927"/>
    <w:rsid w:val="001B3D42"/>
    <w:rsid w:val="001B427B"/>
    <w:rsid w:val="001B4F91"/>
    <w:rsid w:val="001B70D4"/>
    <w:rsid w:val="001B7F0A"/>
    <w:rsid w:val="001C0334"/>
    <w:rsid w:val="001C11A1"/>
    <w:rsid w:val="001C1873"/>
    <w:rsid w:val="001C233C"/>
    <w:rsid w:val="001C24A9"/>
    <w:rsid w:val="001C3805"/>
    <w:rsid w:val="001C3C21"/>
    <w:rsid w:val="001C576D"/>
    <w:rsid w:val="001C6BAE"/>
    <w:rsid w:val="001D0B3F"/>
    <w:rsid w:val="001D1646"/>
    <w:rsid w:val="001D1C6F"/>
    <w:rsid w:val="001D2978"/>
    <w:rsid w:val="001D2E8C"/>
    <w:rsid w:val="001D2F53"/>
    <w:rsid w:val="001D3B26"/>
    <w:rsid w:val="001D462B"/>
    <w:rsid w:val="001D49BA"/>
    <w:rsid w:val="001D5D85"/>
    <w:rsid w:val="001D60C9"/>
    <w:rsid w:val="001D7241"/>
    <w:rsid w:val="001D72E6"/>
    <w:rsid w:val="001D73F6"/>
    <w:rsid w:val="001D7C7C"/>
    <w:rsid w:val="001E0F81"/>
    <w:rsid w:val="001E1A2E"/>
    <w:rsid w:val="001E21DC"/>
    <w:rsid w:val="001E34A0"/>
    <w:rsid w:val="001E4C29"/>
    <w:rsid w:val="001E54C7"/>
    <w:rsid w:val="001E57DF"/>
    <w:rsid w:val="001E6D28"/>
    <w:rsid w:val="001E7168"/>
    <w:rsid w:val="001E7463"/>
    <w:rsid w:val="001E76B8"/>
    <w:rsid w:val="001E77B4"/>
    <w:rsid w:val="001F0005"/>
    <w:rsid w:val="001F004E"/>
    <w:rsid w:val="001F0127"/>
    <w:rsid w:val="001F100A"/>
    <w:rsid w:val="001F123B"/>
    <w:rsid w:val="001F1787"/>
    <w:rsid w:val="001F254A"/>
    <w:rsid w:val="001F25BC"/>
    <w:rsid w:val="001F316A"/>
    <w:rsid w:val="001F3910"/>
    <w:rsid w:val="001F46BA"/>
    <w:rsid w:val="001F49BD"/>
    <w:rsid w:val="001F6877"/>
    <w:rsid w:val="001F6CA5"/>
    <w:rsid w:val="001F6E00"/>
    <w:rsid w:val="001F74B0"/>
    <w:rsid w:val="002002E9"/>
    <w:rsid w:val="00200C74"/>
    <w:rsid w:val="00200DC4"/>
    <w:rsid w:val="00201837"/>
    <w:rsid w:val="00202345"/>
    <w:rsid w:val="00202630"/>
    <w:rsid w:val="00202BDD"/>
    <w:rsid w:val="00202EA4"/>
    <w:rsid w:val="0020308D"/>
    <w:rsid w:val="00203197"/>
    <w:rsid w:val="00203312"/>
    <w:rsid w:val="00203493"/>
    <w:rsid w:val="00205A42"/>
    <w:rsid w:val="00205E6D"/>
    <w:rsid w:val="0020631E"/>
    <w:rsid w:val="00206EB8"/>
    <w:rsid w:val="002075DA"/>
    <w:rsid w:val="00210797"/>
    <w:rsid w:val="00212535"/>
    <w:rsid w:val="00212991"/>
    <w:rsid w:val="00212B70"/>
    <w:rsid w:val="00212D3B"/>
    <w:rsid w:val="00213342"/>
    <w:rsid w:val="00214FAB"/>
    <w:rsid w:val="00215A35"/>
    <w:rsid w:val="00216A8E"/>
    <w:rsid w:val="00226B4D"/>
    <w:rsid w:val="0022787C"/>
    <w:rsid w:val="0023037A"/>
    <w:rsid w:val="00232623"/>
    <w:rsid w:val="00232711"/>
    <w:rsid w:val="00234F52"/>
    <w:rsid w:val="002350DA"/>
    <w:rsid w:val="00235364"/>
    <w:rsid w:val="00235D71"/>
    <w:rsid w:val="00236097"/>
    <w:rsid w:val="00236BD9"/>
    <w:rsid w:val="0023715F"/>
    <w:rsid w:val="00237CC8"/>
    <w:rsid w:val="00237E5F"/>
    <w:rsid w:val="0024033B"/>
    <w:rsid w:val="002414CD"/>
    <w:rsid w:val="00241795"/>
    <w:rsid w:val="00241DE7"/>
    <w:rsid w:val="002426ED"/>
    <w:rsid w:val="002442B1"/>
    <w:rsid w:val="002447F9"/>
    <w:rsid w:val="002448AB"/>
    <w:rsid w:val="00244ADE"/>
    <w:rsid w:val="002458FC"/>
    <w:rsid w:val="00245E15"/>
    <w:rsid w:val="00250E1B"/>
    <w:rsid w:val="00251455"/>
    <w:rsid w:val="00253F98"/>
    <w:rsid w:val="00254601"/>
    <w:rsid w:val="00255972"/>
    <w:rsid w:val="00256932"/>
    <w:rsid w:val="002572EC"/>
    <w:rsid w:val="00257B0A"/>
    <w:rsid w:val="00261C65"/>
    <w:rsid w:val="002620EF"/>
    <w:rsid w:val="00262258"/>
    <w:rsid w:val="00262436"/>
    <w:rsid w:val="00262C22"/>
    <w:rsid w:val="00262F9E"/>
    <w:rsid w:val="00263B99"/>
    <w:rsid w:val="00263FA4"/>
    <w:rsid w:val="00264924"/>
    <w:rsid w:val="0026538E"/>
    <w:rsid w:val="00265BE3"/>
    <w:rsid w:val="00265CC5"/>
    <w:rsid w:val="00270818"/>
    <w:rsid w:val="0027112E"/>
    <w:rsid w:val="00271231"/>
    <w:rsid w:val="0027197A"/>
    <w:rsid w:val="002721C1"/>
    <w:rsid w:val="002721FE"/>
    <w:rsid w:val="002730DE"/>
    <w:rsid w:val="002736ED"/>
    <w:rsid w:val="00273EBE"/>
    <w:rsid w:val="00273F3F"/>
    <w:rsid w:val="00274DF6"/>
    <w:rsid w:val="00274FBA"/>
    <w:rsid w:val="0027624A"/>
    <w:rsid w:val="00276E0A"/>
    <w:rsid w:val="00277FC7"/>
    <w:rsid w:val="0028048F"/>
    <w:rsid w:val="00280E97"/>
    <w:rsid w:val="00283BA5"/>
    <w:rsid w:val="00283F7E"/>
    <w:rsid w:val="00284083"/>
    <w:rsid w:val="002844E5"/>
    <w:rsid w:val="00284875"/>
    <w:rsid w:val="002856B1"/>
    <w:rsid w:val="00285EB3"/>
    <w:rsid w:val="0028647A"/>
    <w:rsid w:val="002866B5"/>
    <w:rsid w:val="002876B1"/>
    <w:rsid w:val="0028870C"/>
    <w:rsid w:val="00290B9B"/>
    <w:rsid w:val="00291405"/>
    <w:rsid w:val="00291555"/>
    <w:rsid w:val="00291893"/>
    <w:rsid w:val="002926CE"/>
    <w:rsid w:val="002932F0"/>
    <w:rsid w:val="00293CCA"/>
    <w:rsid w:val="0029458A"/>
    <w:rsid w:val="00295C59"/>
    <w:rsid w:val="00297FB3"/>
    <w:rsid w:val="002A18ED"/>
    <w:rsid w:val="002A2274"/>
    <w:rsid w:val="002A24EA"/>
    <w:rsid w:val="002A3563"/>
    <w:rsid w:val="002A3583"/>
    <w:rsid w:val="002A3631"/>
    <w:rsid w:val="002A3D62"/>
    <w:rsid w:val="002A4025"/>
    <w:rsid w:val="002A48F2"/>
    <w:rsid w:val="002A6452"/>
    <w:rsid w:val="002A7950"/>
    <w:rsid w:val="002A7A6F"/>
    <w:rsid w:val="002B0143"/>
    <w:rsid w:val="002B0695"/>
    <w:rsid w:val="002B1619"/>
    <w:rsid w:val="002B1BFB"/>
    <w:rsid w:val="002B1FCF"/>
    <w:rsid w:val="002B2F75"/>
    <w:rsid w:val="002B30E1"/>
    <w:rsid w:val="002B35EF"/>
    <w:rsid w:val="002B39BA"/>
    <w:rsid w:val="002B4444"/>
    <w:rsid w:val="002B4621"/>
    <w:rsid w:val="002B50A2"/>
    <w:rsid w:val="002B6188"/>
    <w:rsid w:val="002B6C6C"/>
    <w:rsid w:val="002B703A"/>
    <w:rsid w:val="002C2B91"/>
    <w:rsid w:val="002C38AB"/>
    <w:rsid w:val="002C4B3D"/>
    <w:rsid w:val="002C61A8"/>
    <w:rsid w:val="002C6204"/>
    <w:rsid w:val="002C62C3"/>
    <w:rsid w:val="002C6B8D"/>
    <w:rsid w:val="002C6D70"/>
    <w:rsid w:val="002C7B17"/>
    <w:rsid w:val="002D0264"/>
    <w:rsid w:val="002D22F3"/>
    <w:rsid w:val="002D2435"/>
    <w:rsid w:val="002D283F"/>
    <w:rsid w:val="002D2C76"/>
    <w:rsid w:val="002D2D5B"/>
    <w:rsid w:val="002D2EF1"/>
    <w:rsid w:val="002D3B3D"/>
    <w:rsid w:val="002D4CBB"/>
    <w:rsid w:val="002D4DAB"/>
    <w:rsid w:val="002D582A"/>
    <w:rsid w:val="002D5B03"/>
    <w:rsid w:val="002D5C1C"/>
    <w:rsid w:val="002D5CFA"/>
    <w:rsid w:val="002D72C0"/>
    <w:rsid w:val="002D76CA"/>
    <w:rsid w:val="002E090E"/>
    <w:rsid w:val="002E16A9"/>
    <w:rsid w:val="002E179F"/>
    <w:rsid w:val="002E2994"/>
    <w:rsid w:val="002E3835"/>
    <w:rsid w:val="002E45B5"/>
    <w:rsid w:val="002E63C9"/>
    <w:rsid w:val="002E64C4"/>
    <w:rsid w:val="002E7208"/>
    <w:rsid w:val="002E7529"/>
    <w:rsid w:val="002E7CAA"/>
    <w:rsid w:val="002F05BF"/>
    <w:rsid w:val="002F0E19"/>
    <w:rsid w:val="002F0ED5"/>
    <w:rsid w:val="002F1C89"/>
    <w:rsid w:val="002F26DB"/>
    <w:rsid w:val="002F27FA"/>
    <w:rsid w:val="002F2AEF"/>
    <w:rsid w:val="002F3505"/>
    <w:rsid w:val="002F38AE"/>
    <w:rsid w:val="002F3C1D"/>
    <w:rsid w:val="002F3DCB"/>
    <w:rsid w:val="002F476F"/>
    <w:rsid w:val="002F4D9A"/>
    <w:rsid w:val="002F587C"/>
    <w:rsid w:val="002F5E06"/>
    <w:rsid w:val="002F5E38"/>
    <w:rsid w:val="002F63DE"/>
    <w:rsid w:val="002F738F"/>
    <w:rsid w:val="002F78EC"/>
    <w:rsid w:val="002F7988"/>
    <w:rsid w:val="00300C8D"/>
    <w:rsid w:val="00302828"/>
    <w:rsid w:val="0030424B"/>
    <w:rsid w:val="003053D2"/>
    <w:rsid w:val="0030563D"/>
    <w:rsid w:val="00306907"/>
    <w:rsid w:val="00307B21"/>
    <w:rsid w:val="003104B3"/>
    <w:rsid w:val="003114F7"/>
    <w:rsid w:val="00312261"/>
    <w:rsid w:val="003134C6"/>
    <w:rsid w:val="00313CED"/>
    <w:rsid w:val="00314673"/>
    <w:rsid w:val="003156A2"/>
    <w:rsid w:val="00316388"/>
    <w:rsid w:val="003164C3"/>
    <w:rsid w:val="0031657F"/>
    <w:rsid w:val="0032089E"/>
    <w:rsid w:val="00321978"/>
    <w:rsid w:val="0032378E"/>
    <w:rsid w:val="00323943"/>
    <w:rsid w:val="00324F6A"/>
    <w:rsid w:val="00326619"/>
    <w:rsid w:val="00327CD2"/>
    <w:rsid w:val="00327E67"/>
    <w:rsid w:val="00327EAD"/>
    <w:rsid w:val="00330638"/>
    <w:rsid w:val="00330F56"/>
    <w:rsid w:val="0033196D"/>
    <w:rsid w:val="00331DF9"/>
    <w:rsid w:val="0033273F"/>
    <w:rsid w:val="00332CF0"/>
    <w:rsid w:val="003342F0"/>
    <w:rsid w:val="00335F72"/>
    <w:rsid w:val="00336094"/>
    <w:rsid w:val="003373FF"/>
    <w:rsid w:val="00337BAD"/>
    <w:rsid w:val="00341767"/>
    <w:rsid w:val="00341D82"/>
    <w:rsid w:val="003428A7"/>
    <w:rsid w:val="00342DBE"/>
    <w:rsid w:val="003435BC"/>
    <w:rsid w:val="00343B9E"/>
    <w:rsid w:val="00343C96"/>
    <w:rsid w:val="00344E2D"/>
    <w:rsid w:val="003451CB"/>
    <w:rsid w:val="00345669"/>
    <w:rsid w:val="00346208"/>
    <w:rsid w:val="003478AC"/>
    <w:rsid w:val="0035003D"/>
    <w:rsid w:val="00350BC7"/>
    <w:rsid w:val="00352611"/>
    <w:rsid w:val="00352790"/>
    <w:rsid w:val="00353BF9"/>
    <w:rsid w:val="00353DFC"/>
    <w:rsid w:val="003549FF"/>
    <w:rsid w:val="00354E40"/>
    <w:rsid w:val="00356350"/>
    <w:rsid w:val="00356703"/>
    <w:rsid w:val="00356B65"/>
    <w:rsid w:val="00357BD0"/>
    <w:rsid w:val="00362433"/>
    <w:rsid w:val="003624A0"/>
    <w:rsid w:val="00362E0A"/>
    <w:rsid w:val="0036320B"/>
    <w:rsid w:val="00363A50"/>
    <w:rsid w:val="00364512"/>
    <w:rsid w:val="00366258"/>
    <w:rsid w:val="00366719"/>
    <w:rsid w:val="00366DC6"/>
    <w:rsid w:val="0037110D"/>
    <w:rsid w:val="0037125C"/>
    <w:rsid w:val="00371CAE"/>
    <w:rsid w:val="00372151"/>
    <w:rsid w:val="00372BA8"/>
    <w:rsid w:val="003731AC"/>
    <w:rsid w:val="003747D9"/>
    <w:rsid w:val="00374A34"/>
    <w:rsid w:val="00374A8D"/>
    <w:rsid w:val="00374D4A"/>
    <w:rsid w:val="0037502E"/>
    <w:rsid w:val="003772C2"/>
    <w:rsid w:val="0038022F"/>
    <w:rsid w:val="00380549"/>
    <w:rsid w:val="00380A3A"/>
    <w:rsid w:val="00381385"/>
    <w:rsid w:val="0038148E"/>
    <w:rsid w:val="00382B21"/>
    <w:rsid w:val="00383284"/>
    <w:rsid w:val="00384181"/>
    <w:rsid w:val="003866BB"/>
    <w:rsid w:val="00386872"/>
    <w:rsid w:val="00386940"/>
    <w:rsid w:val="00386AC2"/>
    <w:rsid w:val="00390366"/>
    <w:rsid w:val="00390946"/>
    <w:rsid w:val="00392390"/>
    <w:rsid w:val="0039337F"/>
    <w:rsid w:val="00393488"/>
    <w:rsid w:val="00393BAD"/>
    <w:rsid w:val="00395BBE"/>
    <w:rsid w:val="00395FC9"/>
    <w:rsid w:val="0039672B"/>
    <w:rsid w:val="00396B00"/>
    <w:rsid w:val="003972AF"/>
    <w:rsid w:val="00397485"/>
    <w:rsid w:val="00397BA2"/>
    <w:rsid w:val="00397E35"/>
    <w:rsid w:val="003A1F7C"/>
    <w:rsid w:val="003A20DE"/>
    <w:rsid w:val="003A2322"/>
    <w:rsid w:val="003A2BEC"/>
    <w:rsid w:val="003A3806"/>
    <w:rsid w:val="003A3B1B"/>
    <w:rsid w:val="003A3E2F"/>
    <w:rsid w:val="003A4174"/>
    <w:rsid w:val="003A49B7"/>
    <w:rsid w:val="003A51FF"/>
    <w:rsid w:val="003A5453"/>
    <w:rsid w:val="003A66CC"/>
    <w:rsid w:val="003A77BD"/>
    <w:rsid w:val="003A7AD8"/>
    <w:rsid w:val="003A7CDB"/>
    <w:rsid w:val="003B03A1"/>
    <w:rsid w:val="003B0747"/>
    <w:rsid w:val="003B0BC1"/>
    <w:rsid w:val="003B0F42"/>
    <w:rsid w:val="003B199C"/>
    <w:rsid w:val="003B1CB6"/>
    <w:rsid w:val="003B3629"/>
    <w:rsid w:val="003B3B2D"/>
    <w:rsid w:val="003B4F14"/>
    <w:rsid w:val="003B523B"/>
    <w:rsid w:val="003B5A94"/>
    <w:rsid w:val="003B7E77"/>
    <w:rsid w:val="003C05BB"/>
    <w:rsid w:val="003C1680"/>
    <w:rsid w:val="003C2317"/>
    <w:rsid w:val="003C2B15"/>
    <w:rsid w:val="003C2CC4"/>
    <w:rsid w:val="003C42B0"/>
    <w:rsid w:val="003C4E10"/>
    <w:rsid w:val="003C5203"/>
    <w:rsid w:val="003C629D"/>
    <w:rsid w:val="003C779A"/>
    <w:rsid w:val="003D0217"/>
    <w:rsid w:val="003D040A"/>
    <w:rsid w:val="003D1067"/>
    <w:rsid w:val="003D1942"/>
    <w:rsid w:val="003D343A"/>
    <w:rsid w:val="003D3712"/>
    <w:rsid w:val="003D38C1"/>
    <w:rsid w:val="003D4AB7"/>
    <w:rsid w:val="003D4C94"/>
    <w:rsid w:val="003D5C6B"/>
    <w:rsid w:val="003D5F40"/>
    <w:rsid w:val="003D6F2F"/>
    <w:rsid w:val="003D7C8F"/>
    <w:rsid w:val="003E0CCA"/>
    <w:rsid w:val="003E1020"/>
    <w:rsid w:val="003E24F6"/>
    <w:rsid w:val="003E263D"/>
    <w:rsid w:val="003E2A0B"/>
    <w:rsid w:val="003E36E3"/>
    <w:rsid w:val="003E6441"/>
    <w:rsid w:val="003E7B03"/>
    <w:rsid w:val="003E7F78"/>
    <w:rsid w:val="003F0209"/>
    <w:rsid w:val="003F06AE"/>
    <w:rsid w:val="003F072E"/>
    <w:rsid w:val="003F0E35"/>
    <w:rsid w:val="003F226A"/>
    <w:rsid w:val="003F2409"/>
    <w:rsid w:val="003F2FE0"/>
    <w:rsid w:val="003F3690"/>
    <w:rsid w:val="003F3EB6"/>
    <w:rsid w:val="003F49A1"/>
    <w:rsid w:val="003F50CF"/>
    <w:rsid w:val="003F514A"/>
    <w:rsid w:val="003F58DC"/>
    <w:rsid w:val="003F62AE"/>
    <w:rsid w:val="003F740E"/>
    <w:rsid w:val="0040032F"/>
    <w:rsid w:val="0040118E"/>
    <w:rsid w:val="004013C1"/>
    <w:rsid w:val="00401FC6"/>
    <w:rsid w:val="0040229D"/>
    <w:rsid w:val="00402678"/>
    <w:rsid w:val="00404896"/>
    <w:rsid w:val="00404ED0"/>
    <w:rsid w:val="00405BC2"/>
    <w:rsid w:val="004062F7"/>
    <w:rsid w:val="00406A07"/>
    <w:rsid w:val="004073B5"/>
    <w:rsid w:val="0041020E"/>
    <w:rsid w:val="00411734"/>
    <w:rsid w:val="0041199E"/>
    <w:rsid w:val="0041227A"/>
    <w:rsid w:val="0041232D"/>
    <w:rsid w:val="004124BA"/>
    <w:rsid w:val="00413102"/>
    <w:rsid w:val="0041460A"/>
    <w:rsid w:val="004155A0"/>
    <w:rsid w:val="0041650E"/>
    <w:rsid w:val="0041657A"/>
    <w:rsid w:val="00417892"/>
    <w:rsid w:val="00417A11"/>
    <w:rsid w:val="00417EAA"/>
    <w:rsid w:val="0042146E"/>
    <w:rsid w:val="00422A44"/>
    <w:rsid w:val="0042327B"/>
    <w:rsid w:val="00424286"/>
    <w:rsid w:val="00424364"/>
    <w:rsid w:val="0042452E"/>
    <w:rsid w:val="00424B87"/>
    <w:rsid w:val="004255F8"/>
    <w:rsid w:val="00426255"/>
    <w:rsid w:val="00426287"/>
    <w:rsid w:val="00427C49"/>
    <w:rsid w:val="0043128F"/>
    <w:rsid w:val="004317BA"/>
    <w:rsid w:val="00431E32"/>
    <w:rsid w:val="00432359"/>
    <w:rsid w:val="00432678"/>
    <w:rsid w:val="0043282F"/>
    <w:rsid w:val="00433B68"/>
    <w:rsid w:val="00435035"/>
    <w:rsid w:val="00435390"/>
    <w:rsid w:val="00436DBB"/>
    <w:rsid w:val="0043763D"/>
    <w:rsid w:val="004406E0"/>
    <w:rsid w:val="004407B3"/>
    <w:rsid w:val="00441DDB"/>
    <w:rsid w:val="00442490"/>
    <w:rsid w:val="004425E8"/>
    <w:rsid w:val="004431C2"/>
    <w:rsid w:val="0044347A"/>
    <w:rsid w:val="004447E0"/>
    <w:rsid w:val="00444D1C"/>
    <w:rsid w:val="0044786A"/>
    <w:rsid w:val="004501C2"/>
    <w:rsid w:val="00450D95"/>
    <w:rsid w:val="0045181E"/>
    <w:rsid w:val="00451E3E"/>
    <w:rsid w:val="0045283C"/>
    <w:rsid w:val="00453B71"/>
    <w:rsid w:val="00456554"/>
    <w:rsid w:val="004565DA"/>
    <w:rsid w:val="00457341"/>
    <w:rsid w:val="00457E16"/>
    <w:rsid w:val="00457F70"/>
    <w:rsid w:val="0046055B"/>
    <w:rsid w:val="004605B6"/>
    <w:rsid w:val="00460995"/>
    <w:rsid w:val="0046330A"/>
    <w:rsid w:val="004637E2"/>
    <w:rsid w:val="00463BA7"/>
    <w:rsid w:val="00463D17"/>
    <w:rsid w:val="004643DC"/>
    <w:rsid w:val="00464DE9"/>
    <w:rsid w:val="00465491"/>
    <w:rsid w:val="00465AAF"/>
    <w:rsid w:val="00465ECF"/>
    <w:rsid w:val="004662F3"/>
    <w:rsid w:val="0046665F"/>
    <w:rsid w:val="0046669E"/>
    <w:rsid w:val="00467288"/>
    <w:rsid w:val="00470817"/>
    <w:rsid w:val="00471986"/>
    <w:rsid w:val="00471A0D"/>
    <w:rsid w:val="00471B67"/>
    <w:rsid w:val="004720BA"/>
    <w:rsid w:val="004728BD"/>
    <w:rsid w:val="004728E1"/>
    <w:rsid w:val="00472FE4"/>
    <w:rsid w:val="00473B97"/>
    <w:rsid w:val="004742A0"/>
    <w:rsid w:val="00475186"/>
    <w:rsid w:val="004765ED"/>
    <w:rsid w:val="00480481"/>
    <w:rsid w:val="00480C60"/>
    <w:rsid w:val="00481546"/>
    <w:rsid w:val="00482BFF"/>
    <w:rsid w:val="0048531A"/>
    <w:rsid w:val="00485F6D"/>
    <w:rsid w:val="00486BBF"/>
    <w:rsid w:val="00487BD8"/>
    <w:rsid w:val="00487EBB"/>
    <w:rsid w:val="0049002D"/>
    <w:rsid w:val="00490554"/>
    <w:rsid w:val="004907DC"/>
    <w:rsid w:val="004919CD"/>
    <w:rsid w:val="00492D99"/>
    <w:rsid w:val="004947E2"/>
    <w:rsid w:val="00496C60"/>
    <w:rsid w:val="004972BC"/>
    <w:rsid w:val="00497C79"/>
    <w:rsid w:val="004A0E9B"/>
    <w:rsid w:val="004A16C2"/>
    <w:rsid w:val="004A1974"/>
    <w:rsid w:val="004A30B3"/>
    <w:rsid w:val="004A3BD0"/>
    <w:rsid w:val="004A4DBB"/>
    <w:rsid w:val="004A5AE8"/>
    <w:rsid w:val="004A5E6A"/>
    <w:rsid w:val="004A6668"/>
    <w:rsid w:val="004A7FE6"/>
    <w:rsid w:val="004B04D7"/>
    <w:rsid w:val="004B1267"/>
    <w:rsid w:val="004B3DDA"/>
    <w:rsid w:val="004B3F3A"/>
    <w:rsid w:val="004B49A3"/>
    <w:rsid w:val="004B4E79"/>
    <w:rsid w:val="004B533A"/>
    <w:rsid w:val="004B58C2"/>
    <w:rsid w:val="004B7CAF"/>
    <w:rsid w:val="004B7EDA"/>
    <w:rsid w:val="004C09FD"/>
    <w:rsid w:val="004C153E"/>
    <w:rsid w:val="004C2192"/>
    <w:rsid w:val="004C2C24"/>
    <w:rsid w:val="004C4321"/>
    <w:rsid w:val="004C48EA"/>
    <w:rsid w:val="004C571C"/>
    <w:rsid w:val="004C7003"/>
    <w:rsid w:val="004C7CCF"/>
    <w:rsid w:val="004C7D34"/>
    <w:rsid w:val="004D0225"/>
    <w:rsid w:val="004D0423"/>
    <w:rsid w:val="004D05B3"/>
    <w:rsid w:val="004D19C3"/>
    <w:rsid w:val="004D1A5C"/>
    <w:rsid w:val="004D212D"/>
    <w:rsid w:val="004D307A"/>
    <w:rsid w:val="004D3437"/>
    <w:rsid w:val="004D38BF"/>
    <w:rsid w:val="004D41B5"/>
    <w:rsid w:val="004D46A7"/>
    <w:rsid w:val="004D4C74"/>
    <w:rsid w:val="004D5327"/>
    <w:rsid w:val="004D63D6"/>
    <w:rsid w:val="004D68F3"/>
    <w:rsid w:val="004D6AAC"/>
    <w:rsid w:val="004D6CF6"/>
    <w:rsid w:val="004D728E"/>
    <w:rsid w:val="004D72EC"/>
    <w:rsid w:val="004D7A4F"/>
    <w:rsid w:val="004E0741"/>
    <w:rsid w:val="004E322D"/>
    <w:rsid w:val="004E352D"/>
    <w:rsid w:val="004E46B6"/>
    <w:rsid w:val="004E4D50"/>
    <w:rsid w:val="004E5492"/>
    <w:rsid w:val="004E5F13"/>
    <w:rsid w:val="004E650B"/>
    <w:rsid w:val="004E77BA"/>
    <w:rsid w:val="004E7DC9"/>
    <w:rsid w:val="004F037D"/>
    <w:rsid w:val="004F0496"/>
    <w:rsid w:val="004F0802"/>
    <w:rsid w:val="004F2042"/>
    <w:rsid w:val="004F2F9D"/>
    <w:rsid w:val="004F3001"/>
    <w:rsid w:val="004F33A5"/>
    <w:rsid w:val="004F3577"/>
    <w:rsid w:val="004F3FBB"/>
    <w:rsid w:val="004F541C"/>
    <w:rsid w:val="004F67A5"/>
    <w:rsid w:val="004F6D80"/>
    <w:rsid w:val="004F7B39"/>
    <w:rsid w:val="00500187"/>
    <w:rsid w:val="00500276"/>
    <w:rsid w:val="005004C8"/>
    <w:rsid w:val="005004F9"/>
    <w:rsid w:val="00501085"/>
    <w:rsid w:val="00501586"/>
    <w:rsid w:val="005021B4"/>
    <w:rsid w:val="005024EC"/>
    <w:rsid w:val="005029F5"/>
    <w:rsid w:val="00504383"/>
    <w:rsid w:val="005058C3"/>
    <w:rsid w:val="00505966"/>
    <w:rsid w:val="00506397"/>
    <w:rsid w:val="005066A1"/>
    <w:rsid w:val="00507459"/>
    <w:rsid w:val="0051096E"/>
    <w:rsid w:val="005135B7"/>
    <w:rsid w:val="00514682"/>
    <w:rsid w:val="00515731"/>
    <w:rsid w:val="00515AE6"/>
    <w:rsid w:val="00515BC4"/>
    <w:rsid w:val="00516255"/>
    <w:rsid w:val="00516CB8"/>
    <w:rsid w:val="00517220"/>
    <w:rsid w:val="00517A07"/>
    <w:rsid w:val="005200CF"/>
    <w:rsid w:val="0052057E"/>
    <w:rsid w:val="005208AE"/>
    <w:rsid w:val="00520926"/>
    <w:rsid w:val="00521B89"/>
    <w:rsid w:val="00524ED3"/>
    <w:rsid w:val="00525A25"/>
    <w:rsid w:val="00525A63"/>
    <w:rsid w:val="005311D1"/>
    <w:rsid w:val="0053146D"/>
    <w:rsid w:val="00531609"/>
    <w:rsid w:val="005316EB"/>
    <w:rsid w:val="005319B7"/>
    <w:rsid w:val="00531FB4"/>
    <w:rsid w:val="00532BC6"/>
    <w:rsid w:val="005333AC"/>
    <w:rsid w:val="00533952"/>
    <w:rsid w:val="00533ED1"/>
    <w:rsid w:val="00533F94"/>
    <w:rsid w:val="005340E0"/>
    <w:rsid w:val="00534A21"/>
    <w:rsid w:val="00536317"/>
    <w:rsid w:val="00536891"/>
    <w:rsid w:val="00536A94"/>
    <w:rsid w:val="00537C13"/>
    <w:rsid w:val="00540259"/>
    <w:rsid w:val="00540C94"/>
    <w:rsid w:val="00541D7B"/>
    <w:rsid w:val="0054404D"/>
    <w:rsid w:val="00544EB2"/>
    <w:rsid w:val="00545182"/>
    <w:rsid w:val="0054526B"/>
    <w:rsid w:val="00545B8B"/>
    <w:rsid w:val="0054604A"/>
    <w:rsid w:val="005461C3"/>
    <w:rsid w:val="0054640F"/>
    <w:rsid w:val="00547E48"/>
    <w:rsid w:val="00550896"/>
    <w:rsid w:val="005509B3"/>
    <w:rsid w:val="0055158B"/>
    <w:rsid w:val="00551D16"/>
    <w:rsid w:val="00552100"/>
    <w:rsid w:val="00552C1A"/>
    <w:rsid w:val="00554E06"/>
    <w:rsid w:val="005555EF"/>
    <w:rsid w:val="005557F7"/>
    <w:rsid w:val="00556342"/>
    <w:rsid w:val="00557495"/>
    <w:rsid w:val="005575C0"/>
    <w:rsid w:val="005576EE"/>
    <w:rsid w:val="00560247"/>
    <w:rsid w:val="00560C1B"/>
    <w:rsid w:val="005612BA"/>
    <w:rsid w:val="005617E1"/>
    <w:rsid w:val="00561DDE"/>
    <w:rsid w:val="005630D8"/>
    <w:rsid w:val="005630EE"/>
    <w:rsid w:val="005631B8"/>
    <w:rsid w:val="00563F55"/>
    <w:rsid w:val="00563F8C"/>
    <w:rsid w:val="00564C01"/>
    <w:rsid w:val="00565698"/>
    <w:rsid w:val="00565BBE"/>
    <w:rsid w:val="0056792B"/>
    <w:rsid w:val="00570706"/>
    <w:rsid w:val="005715E5"/>
    <w:rsid w:val="005728EC"/>
    <w:rsid w:val="0057368C"/>
    <w:rsid w:val="00574398"/>
    <w:rsid w:val="00575917"/>
    <w:rsid w:val="00576B0E"/>
    <w:rsid w:val="00577C02"/>
    <w:rsid w:val="0058196E"/>
    <w:rsid w:val="00581C0C"/>
    <w:rsid w:val="005829DA"/>
    <w:rsid w:val="0058386E"/>
    <w:rsid w:val="00584AB9"/>
    <w:rsid w:val="00585D9E"/>
    <w:rsid w:val="005872CA"/>
    <w:rsid w:val="00590704"/>
    <w:rsid w:val="0059130E"/>
    <w:rsid w:val="005913C1"/>
    <w:rsid w:val="00592102"/>
    <w:rsid w:val="0059283F"/>
    <w:rsid w:val="00592D61"/>
    <w:rsid w:val="00593010"/>
    <w:rsid w:val="005930BE"/>
    <w:rsid w:val="005933F1"/>
    <w:rsid w:val="005934D8"/>
    <w:rsid w:val="00593700"/>
    <w:rsid w:val="005946F7"/>
    <w:rsid w:val="00595337"/>
    <w:rsid w:val="00595CEC"/>
    <w:rsid w:val="00595DFD"/>
    <w:rsid w:val="00596C06"/>
    <w:rsid w:val="005974E8"/>
    <w:rsid w:val="0059767B"/>
    <w:rsid w:val="005A0A97"/>
    <w:rsid w:val="005A1042"/>
    <w:rsid w:val="005A2ECE"/>
    <w:rsid w:val="005A4174"/>
    <w:rsid w:val="005A4ABB"/>
    <w:rsid w:val="005A5881"/>
    <w:rsid w:val="005A60F6"/>
    <w:rsid w:val="005A63C8"/>
    <w:rsid w:val="005A65A8"/>
    <w:rsid w:val="005A77C5"/>
    <w:rsid w:val="005B1D02"/>
    <w:rsid w:val="005B266C"/>
    <w:rsid w:val="005B2862"/>
    <w:rsid w:val="005B2E21"/>
    <w:rsid w:val="005B2FEF"/>
    <w:rsid w:val="005B4932"/>
    <w:rsid w:val="005B4A60"/>
    <w:rsid w:val="005B4CBF"/>
    <w:rsid w:val="005B5417"/>
    <w:rsid w:val="005B568C"/>
    <w:rsid w:val="005B7075"/>
    <w:rsid w:val="005B7E6A"/>
    <w:rsid w:val="005B7EDB"/>
    <w:rsid w:val="005C00D5"/>
    <w:rsid w:val="005C0625"/>
    <w:rsid w:val="005C08B6"/>
    <w:rsid w:val="005C0ADE"/>
    <w:rsid w:val="005C16D9"/>
    <w:rsid w:val="005C1C78"/>
    <w:rsid w:val="005C2176"/>
    <w:rsid w:val="005C2896"/>
    <w:rsid w:val="005C2DA5"/>
    <w:rsid w:val="005C5983"/>
    <w:rsid w:val="005C5997"/>
    <w:rsid w:val="005C7E47"/>
    <w:rsid w:val="005D044E"/>
    <w:rsid w:val="005D1620"/>
    <w:rsid w:val="005D1AA3"/>
    <w:rsid w:val="005D270F"/>
    <w:rsid w:val="005D2B18"/>
    <w:rsid w:val="005D3C31"/>
    <w:rsid w:val="005D3D7B"/>
    <w:rsid w:val="005D42C7"/>
    <w:rsid w:val="005D4362"/>
    <w:rsid w:val="005D48B7"/>
    <w:rsid w:val="005D493B"/>
    <w:rsid w:val="005D5A18"/>
    <w:rsid w:val="005D5D75"/>
    <w:rsid w:val="005D5DA6"/>
    <w:rsid w:val="005D60AF"/>
    <w:rsid w:val="005D6A18"/>
    <w:rsid w:val="005D77AD"/>
    <w:rsid w:val="005E0925"/>
    <w:rsid w:val="005E1F28"/>
    <w:rsid w:val="005E211C"/>
    <w:rsid w:val="005E29E8"/>
    <w:rsid w:val="005E34DC"/>
    <w:rsid w:val="005E67F6"/>
    <w:rsid w:val="005E6AD7"/>
    <w:rsid w:val="005F05A5"/>
    <w:rsid w:val="005F0F21"/>
    <w:rsid w:val="005F16FE"/>
    <w:rsid w:val="005F2BCC"/>
    <w:rsid w:val="005F3083"/>
    <w:rsid w:val="005F5964"/>
    <w:rsid w:val="005F6748"/>
    <w:rsid w:val="005F6B35"/>
    <w:rsid w:val="005F77FD"/>
    <w:rsid w:val="005F7DC9"/>
    <w:rsid w:val="005F7E9B"/>
    <w:rsid w:val="0060045D"/>
    <w:rsid w:val="00600847"/>
    <w:rsid w:val="00602E09"/>
    <w:rsid w:val="00605754"/>
    <w:rsid w:val="00605A84"/>
    <w:rsid w:val="00605DBE"/>
    <w:rsid w:val="00606CC5"/>
    <w:rsid w:val="006116BA"/>
    <w:rsid w:val="00612CFF"/>
    <w:rsid w:val="00613C69"/>
    <w:rsid w:val="00616A0C"/>
    <w:rsid w:val="00621AE6"/>
    <w:rsid w:val="00623324"/>
    <w:rsid w:val="0062338C"/>
    <w:rsid w:val="00624A39"/>
    <w:rsid w:val="006252C7"/>
    <w:rsid w:val="006257E3"/>
    <w:rsid w:val="00625DCE"/>
    <w:rsid w:val="00627E84"/>
    <w:rsid w:val="00630A68"/>
    <w:rsid w:val="00631A6F"/>
    <w:rsid w:val="00631A95"/>
    <w:rsid w:val="00633787"/>
    <w:rsid w:val="00633A5C"/>
    <w:rsid w:val="00634220"/>
    <w:rsid w:val="006342F8"/>
    <w:rsid w:val="00634F1B"/>
    <w:rsid w:val="0063501B"/>
    <w:rsid w:val="006353DD"/>
    <w:rsid w:val="0063551D"/>
    <w:rsid w:val="00635818"/>
    <w:rsid w:val="00635D8D"/>
    <w:rsid w:val="00636656"/>
    <w:rsid w:val="0063742B"/>
    <w:rsid w:val="0063773E"/>
    <w:rsid w:val="00640867"/>
    <w:rsid w:val="00641153"/>
    <w:rsid w:val="006412FC"/>
    <w:rsid w:val="006420FE"/>
    <w:rsid w:val="00642844"/>
    <w:rsid w:val="00642FA1"/>
    <w:rsid w:val="006434AD"/>
    <w:rsid w:val="00644484"/>
    <w:rsid w:val="00645230"/>
    <w:rsid w:val="006454C0"/>
    <w:rsid w:val="006463FD"/>
    <w:rsid w:val="006464D5"/>
    <w:rsid w:val="00646738"/>
    <w:rsid w:val="00646D0F"/>
    <w:rsid w:val="0065093F"/>
    <w:rsid w:val="006516EE"/>
    <w:rsid w:val="00651F05"/>
    <w:rsid w:val="0065222E"/>
    <w:rsid w:val="00654161"/>
    <w:rsid w:val="006545BB"/>
    <w:rsid w:val="00654B2C"/>
    <w:rsid w:val="006556AE"/>
    <w:rsid w:val="00655AAA"/>
    <w:rsid w:val="0065635E"/>
    <w:rsid w:val="006574E8"/>
    <w:rsid w:val="006579E2"/>
    <w:rsid w:val="00657F50"/>
    <w:rsid w:val="006609E7"/>
    <w:rsid w:val="00660A90"/>
    <w:rsid w:val="00660EB5"/>
    <w:rsid w:val="00661BCE"/>
    <w:rsid w:val="00661DA6"/>
    <w:rsid w:val="006630DE"/>
    <w:rsid w:val="00663BCC"/>
    <w:rsid w:val="00663E2E"/>
    <w:rsid w:val="00663F9F"/>
    <w:rsid w:val="00666143"/>
    <w:rsid w:val="006663DB"/>
    <w:rsid w:val="0066660F"/>
    <w:rsid w:val="0066772E"/>
    <w:rsid w:val="006709DE"/>
    <w:rsid w:val="00670BF7"/>
    <w:rsid w:val="0067122B"/>
    <w:rsid w:val="006716F9"/>
    <w:rsid w:val="0067206B"/>
    <w:rsid w:val="00673058"/>
    <w:rsid w:val="006744C4"/>
    <w:rsid w:val="00674C04"/>
    <w:rsid w:val="00674C68"/>
    <w:rsid w:val="00674CEF"/>
    <w:rsid w:val="0067558C"/>
    <w:rsid w:val="0067598D"/>
    <w:rsid w:val="00675EF6"/>
    <w:rsid w:val="006769D7"/>
    <w:rsid w:val="00676EC3"/>
    <w:rsid w:val="00677029"/>
    <w:rsid w:val="006816C8"/>
    <w:rsid w:val="006828BB"/>
    <w:rsid w:val="006844D9"/>
    <w:rsid w:val="006869C6"/>
    <w:rsid w:val="00686FE5"/>
    <w:rsid w:val="006875E1"/>
    <w:rsid w:val="00690C8B"/>
    <w:rsid w:val="00690DB1"/>
    <w:rsid w:val="00690E15"/>
    <w:rsid w:val="00691145"/>
    <w:rsid w:val="0069117B"/>
    <w:rsid w:val="006922D1"/>
    <w:rsid w:val="00692478"/>
    <w:rsid w:val="00693223"/>
    <w:rsid w:val="00693539"/>
    <w:rsid w:val="00693CFF"/>
    <w:rsid w:val="00694A27"/>
    <w:rsid w:val="00695F35"/>
    <w:rsid w:val="00697268"/>
    <w:rsid w:val="006A0AAA"/>
    <w:rsid w:val="006A2D93"/>
    <w:rsid w:val="006A3827"/>
    <w:rsid w:val="006A3975"/>
    <w:rsid w:val="006A3E24"/>
    <w:rsid w:val="006A4112"/>
    <w:rsid w:val="006A4128"/>
    <w:rsid w:val="006A55EC"/>
    <w:rsid w:val="006A5F5A"/>
    <w:rsid w:val="006A606B"/>
    <w:rsid w:val="006A6C7B"/>
    <w:rsid w:val="006A7731"/>
    <w:rsid w:val="006B1979"/>
    <w:rsid w:val="006B1C1A"/>
    <w:rsid w:val="006B35DD"/>
    <w:rsid w:val="006B5249"/>
    <w:rsid w:val="006B6598"/>
    <w:rsid w:val="006B695C"/>
    <w:rsid w:val="006B7070"/>
    <w:rsid w:val="006B73D3"/>
    <w:rsid w:val="006B7407"/>
    <w:rsid w:val="006C3174"/>
    <w:rsid w:val="006C510B"/>
    <w:rsid w:val="006C515D"/>
    <w:rsid w:val="006C56D4"/>
    <w:rsid w:val="006C5823"/>
    <w:rsid w:val="006C63D7"/>
    <w:rsid w:val="006C6E6B"/>
    <w:rsid w:val="006C724F"/>
    <w:rsid w:val="006C7596"/>
    <w:rsid w:val="006C7A38"/>
    <w:rsid w:val="006D1250"/>
    <w:rsid w:val="006D30D3"/>
    <w:rsid w:val="006D4BFD"/>
    <w:rsid w:val="006D4DB3"/>
    <w:rsid w:val="006D5869"/>
    <w:rsid w:val="006D5DD0"/>
    <w:rsid w:val="006E005F"/>
    <w:rsid w:val="006E189D"/>
    <w:rsid w:val="006E1EF6"/>
    <w:rsid w:val="006E2F43"/>
    <w:rsid w:val="006E3226"/>
    <w:rsid w:val="006E36EE"/>
    <w:rsid w:val="006E40B4"/>
    <w:rsid w:val="006E522D"/>
    <w:rsid w:val="006E55D0"/>
    <w:rsid w:val="006E5693"/>
    <w:rsid w:val="006E5FA9"/>
    <w:rsid w:val="006E6367"/>
    <w:rsid w:val="006F03F1"/>
    <w:rsid w:val="006F040B"/>
    <w:rsid w:val="006F08E5"/>
    <w:rsid w:val="006F1136"/>
    <w:rsid w:val="006F11A1"/>
    <w:rsid w:val="006F1945"/>
    <w:rsid w:val="006F264A"/>
    <w:rsid w:val="006F54E1"/>
    <w:rsid w:val="006F5CCE"/>
    <w:rsid w:val="006F62D0"/>
    <w:rsid w:val="006F7E09"/>
    <w:rsid w:val="007009EA"/>
    <w:rsid w:val="00700A3F"/>
    <w:rsid w:val="00702D77"/>
    <w:rsid w:val="00702E03"/>
    <w:rsid w:val="00703547"/>
    <w:rsid w:val="00703E3B"/>
    <w:rsid w:val="00703EB8"/>
    <w:rsid w:val="007050A3"/>
    <w:rsid w:val="007053E8"/>
    <w:rsid w:val="007054C6"/>
    <w:rsid w:val="007072A8"/>
    <w:rsid w:val="00707811"/>
    <w:rsid w:val="007101AA"/>
    <w:rsid w:val="00710254"/>
    <w:rsid w:val="00710325"/>
    <w:rsid w:val="0071151F"/>
    <w:rsid w:val="00712C05"/>
    <w:rsid w:val="007132DC"/>
    <w:rsid w:val="00713472"/>
    <w:rsid w:val="00713C07"/>
    <w:rsid w:val="0071573E"/>
    <w:rsid w:val="00715DF1"/>
    <w:rsid w:val="00716958"/>
    <w:rsid w:val="00717787"/>
    <w:rsid w:val="00717990"/>
    <w:rsid w:val="00717F3D"/>
    <w:rsid w:val="007214CB"/>
    <w:rsid w:val="0072198D"/>
    <w:rsid w:val="007223EB"/>
    <w:rsid w:val="00722928"/>
    <w:rsid w:val="00722CB5"/>
    <w:rsid w:val="00722D48"/>
    <w:rsid w:val="00722F17"/>
    <w:rsid w:val="007236DC"/>
    <w:rsid w:val="007266FE"/>
    <w:rsid w:val="0073053F"/>
    <w:rsid w:val="007307D4"/>
    <w:rsid w:val="00730DEE"/>
    <w:rsid w:val="007326E4"/>
    <w:rsid w:val="00732974"/>
    <w:rsid w:val="007347C7"/>
    <w:rsid w:val="00736046"/>
    <w:rsid w:val="00736CF6"/>
    <w:rsid w:val="00740275"/>
    <w:rsid w:val="00742AC5"/>
    <w:rsid w:val="0074322E"/>
    <w:rsid w:val="00743F14"/>
    <w:rsid w:val="00744162"/>
    <w:rsid w:val="00744E65"/>
    <w:rsid w:val="00745DC0"/>
    <w:rsid w:val="007472DB"/>
    <w:rsid w:val="00747CA4"/>
    <w:rsid w:val="00750612"/>
    <w:rsid w:val="00752495"/>
    <w:rsid w:val="0075250A"/>
    <w:rsid w:val="0075257E"/>
    <w:rsid w:val="00753C7E"/>
    <w:rsid w:val="00753D2C"/>
    <w:rsid w:val="00754B15"/>
    <w:rsid w:val="00756A5E"/>
    <w:rsid w:val="0076186F"/>
    <w:rsid w:val="007619EB"/>
    <w:rsid w:val="00763182"/>
    <w:rsid w:val="007631D2"/>
    <w:rsid w:val="00763E89"/>
    <w:rsid w:val="007642F8"/>
    <w:rsid w:val="00764772"/>
    <w:rsid w:val="00764826"/>
    <w:rsid w:val="007652B5"/>
    <w:rsid w:val="00765FDC"/>
    <w:rsid w:val="00766D16"/>
    <w:rsid w:val="0076758C"/>
    <w:rsid w:val="00767EB9"/>
    <w:rsid w:val="0077004D"/>
    <w:rsid w:val="00770F5A"/>
    <w:rsid w:val="007712DE"/>
    <w:rsid w:val="00771507"/>
    <w:rsid w:val="00771822"/>
    <w:rsid w:val="0077237A"/>
    <w:rsid w:val="007723E5"/>
    <w:rsid w:val="00772DA9"/>
    <w:rsid w:val="00774E7D"/>
    <w:rsid w:val="00775131"/>
    <w:rsid w:val="00775262"/>
    <w:rsid w:val="0077547C"/>
    <w:rsid w:val="00775749"/>
    <w:rsid w:val="00775804"/>
    <w:rsid w:val="007758F9"/>
    <w:rsid w:val="00775D39"/>
    <w:rsid w:val="00775EFB"/>
    <w:rsid w:val="00781190"/>
    <w:rsid w:val="00781535"/>
    <w:rsid w:val="0078269F"/>
    <w:rsid w:val="00782AE9"/>
    <w:rsid w:val="00782CE2"/>
    <w:rsid w:val="0078360B"/>
    <w:rsid w:val="0078371E"/>
    <w:rsid w:val="00784A7C"/>
    <w:rsid w:val="00784EE7"/>
    <w:rsid w:val="007851F0"/>
    <w:rsid w:val="0078564C"/>
    <w:rsid w:val="00785AA9"/>
    <w:rsid w:val="007860E6"/>
    <w:rsid w:val="00786B7C"/>
    <w:rsid w:val="00786BC7"/>
    <w:rsid w:val="00787870"/>
    <w:rsid w:val="00790717"/>
    <w:rsid w:val="00792E64"/>
    <w:rsid w:val="007934F9"/>
    <w:rsid w:val="0079351F"/>
    <w:rsid w:val="00793843"/>
    <w:rsid w:val="00794EA5"/>
    <w:rsid w:val="00797C92"/>
    <w:rsid w:val="007A0975"/>
    <w:rsid w:val="007A102E"/>
    <w:rsid w:val="007A2179"/>
    <w:rsid w:val="007A2718"/>
    <w:rsid w:val="007A31DD"/>
    <w:rsid w:val="007A460E"/>
    <w:rsid w:val="007A59CA"/>
    <w:rsid w:val="007A5A3A"/>
    <w:rsid w:val="007A5D86"/>
    <w:rsid w:val="007A623C"/>
    <w:rsid w:val="007A7715"/>
    <w:rsid w:val="007A7A06"/>
    <w:rsid w:val="007B159D"/>
    <w:rsid w:val="007B1A2B"/>
    <w:rsid w:val="007B24C2"/>
    <w:rsid w:val="007B32C1"/>
    <w:rsid w:val="007B3D6E"/>
    <w:rsid w:val="007B44E8"/>
    <w:rsid w:val="007B4ABE"/>
    <w:rsid w:val="007B5025"/>
    <w:rsid w:val="007B6793"/>
    <w:rsid w:val="007B6F89"/>
    <w:rsid w:val="007C1841"/>
    <w:rsid w:val="007C2928"/>
    <w:rsid w:val="007C2CB8"/>
    <w:rsid w:val="007C3717"/>
    <w:rsid w:val="007C4727"/>
    <w:rsid w:val="007C489D"/>
    <w:rsid w:val="007C4B2F"/>
    <w:rsid w:val="007C4C92"/>
    <w:rsid w:val="007C537B"/>
    <w:rsid w:val="007C61DE"/>
    <w:rsid w:val="007C7002"/>
    <w:rsid w:val="007C7462"/>
    <w:rsid w:val="007C7691"/>
    <w:rsid w:val="007C7818"/>
    <w:rsid w:val="007C78A8"/>
    <w:rsid w:val="007D40CC"/>
    <w:rsid w:val="007D4479"/>
    <w:rsid w:val="007D5CE0"/>
    <w:rsid w:val="007D6905"/>
    <w:rsid w:val="007D74A1"/>
    <w:rsid w:val="007D79E5"/>
    <w:rsid w:val="007D7FA9"/>
    <w:rsid w:val="007E0389"/>
    <w:rsid w:val="007E0B79"/>
    <w:rsid w:val="007E39E1"/>
    <w:rsid w:val="007E3AE2"/>
    <w:rsid w:val="007E3FEE"/>
    <w:rsid w:val="007E5A14"/>
    <w:rsid w:val="007E6409"/>
    <w:rsid w:val="007E6B7E"/>
    <w:rsid w:val="007F03C5"/>
    <w:rsid w:val="007F0734"/>
    <w:rsid w:val="007F0C44"/>
    <w:rsid w:val="007F1F41"/>
    <w:rsid w:val="007F2E00"/>
    <w:rsid w:val="007F3BAA"/>
    <w:rsid w:val="007F401E"/>
    <w:rsid w:val="007F52B0"/>
    <w:rsid w:val="007F5D43"/>
    <w:rsid w:val="007F625B"/>
    <w:rsid w:val="007F6E84"/>
    <w:rsid w:val="007F7253"/>
    <w:rsid w:val="007F72A6"/>
    <w:rsid w:val="007F794B"/>
    <w:rsid w:val="007F7D61"/>
    <w:rsid w:val="00801C8A"/>
    <w:rsid w:val="00801D62"/>
    <w:rsid w:val="00802098"/>
    <w:rsid w:val="008021C0"/>
    <w:rsid w:val="00802EAD"/>
    <w:rsid w:val="008030A6"/>
    <w:rsid w:val="00803A3A"/>
    <w:rsid w:val="00804DF5"/>
    <w:rsid w:val="00806273"/>
    <w:rsid w:val="00806622"/>
    <w:rsid w:val="00806ACA"/>
    <w:rsid w:val="00810DD2"/>
    <w:rsid w:val="00811CE9"/>
    <w:rsid w:val="00813FDB"/>
    <w:rsid w:val="0081527E"/>
    <w:rsid w:val="00815945"/>
    <w:rsid w:val="00815E77"/>
    <w:rsid w:val="008175D0"/>
    <w:rsid w:val="00817CD5"/>
    <w:rsid w:val="0082087B"/>
    <w:rsid w:val="0082196A"/>
    <w:rsid w:val="008220CB"/>
    <w:rsid w:val="00822D0E"/>
    <w:rsid w:val="00823065"/>
    <w:rsid w:val="0082319E"/>
    <w:rsid w:val="0082326A"/>
    <w:rsid w:val="00823588"/>
    <w:rsid w:val="008245E9"/>
    <w:rsid w:val="00824B11"/>
    <w:rsid w:val="00824E8A"/>
    <w:rsid w:val="00825120"/>
    <w:rsid w:val="00825DC1"/>
    <w:rsid w:val="00825EB7"/>
    <w:rsid w:val="008261E4"/>
    <w:rsid w:val="008269BC"/>
    <w:rsid w:val="00831A7E"/>
    <w:rsid w:val="00832310"/>
    <w:rsid w:val="008324AB"/>
    <w:rsid w:val="008327C9"/>
    <w:rsid w:val="00833204"/>
    <w:rsid w:val="00833893"/>
    <w:rsid w:val="00836418"/>
    <w:rsid w:val="0083695C"/>
    <w:rsid w:val="0083707A"/>
    <w:rsid w:val="00840B45"/>
    <w:rsid w:val="0084124A"/>
    <w:rsid w:val="008419EA"/>
    <w:rsid w:val="00842D5E"/>
    <w:rsid w:val="00843935"/>
    <w:rsid w:val="00843942"/>
    <w:rsid w:val="00843A76"/>
    <w:rsid w:val="0084456D"/>
    <w:rsid w:val="008449EC"/>
    <w:rsid w:val="00845C84"/>
    <w:rsid w:val="008464A7"/>
    <w:rsid w:val="00846B40"/>
    <w:rsid w:val="00847363"/>
    <w:rsid w:val="008473E1"/>
    <w:rsid w:val="00847551"/>
    <w:rsid w:val="0084776F"/>
    <w:rsid w:val="00847833"/>
    <w:rsid w:val="008502B8"/>
    <w:rsid w:val="008504E9"/>
    <w:rsid w:val="00850928"/>
    <w:rsid w:val="00850D91"/>
    <w:rsid w:val="00851E92"/>
    <w:rsid w:val="008538B3"/>
    <w:rsid w:val="00853C58"/>
    <w:rsid w:val="00854B98"/>
    <w:rsid w:val="0085566F"/>
    <w:rsid w:val="00856524"/>
    <w:rsid w:val="00856E0E"/>
    <w:rsid w:val="008577F4"/>
    <w:rsid w:val="0085798C"/>
    <w:rsid w:val="00857CCD"/>
    <w:rsid w:val="00860FA5"/>
    <w:rsid w:val="0086115D"/>
    <w:rsid w:val="00862743"/>
    <w:rsid w:val="00862EB3"/>
    <w:rsid w:val="008636E1"/>
    <w:rsid w:val="00864D10"/>
    <w:rsid w:val="00864E42"/>
    <w:rsid w:val="00865B3C"/>
    <w:rsid w:val="0087047A"/>
    <w:rsid w:val="00870E89"/>
    <w:rsid w:val="0087121F"/>
    <w:rsid w:val="0087160B"/>
    <w:rsid w:val="0087177B"/>
    <w:rsid w:val="008719EA"/>
    <w:rsid w:val="00872ADD"/>
    <w:rsid w:val="00873219"/>
    <w:rsid w:val="00873EE3"/>
    <w:rsid w:val="0087450C"/>
    <w:rsid w:val="0087487B"/>
    <w:rsid w:val="00874C8C"/>
    <w:rsid w:val="008751AD"/>
    <w:rsid w:val="00875D7E"/>
    <w:rsid w:val="008761D0"/>
    <w:rsid w:val="008764F3"/>
    <w:rsid w:val="00876AB1"/>
    <w:rsid w:val="00876D53"/>
    <w:rsid w:val="00876E27"/>
    <w:rsid w:val="008770BC"/>
    <w:rsid w:val="0087718E"/>
    <w:rsid w:val="00880E1C"/>
    <w:rsid w:val="00880EC5"/>
    <w:rsid w:val="008814AB"/>
    <w:rsid w:val="008814DA"/>
    <w:rsid w:val="00882D7A"/>
    <w:rsid w:val="00883A63"/>
    <w:rsid w:val="00883C1D"/>
    <w:rsid w:val="00883ED4"/>
    <w:rsid w:val="008843FC"/>
    <w:rsid w:val="00884996"/>
    <w:rsid w:val="00885B55"/>
    <w:rsid w:val="008862C4"/>
    <w:rsid w:val="008868B1"/>
    <w:rsid w:val="00887BA2"/>
    <w:rsid w:val="00893195"/>
    <w:rsid w:val="008949B1"/>
    <w:rsid w:val="00894CF8"/>
    <w:rsid w:val="008965C4"/>
    <w:rsid w:val="008966D3"/>
    <w:rsid w:val="00897DDA"/>
    <w:rsid w:val="008A0B4A"/>
    <w:rsid w:val="008A1C4A"/>
    <w:rsid w:val="008A2615"/>
    <w:rsid w:val="008A2C9B"/>
    <w:rsid w:val="008A3997"/>
    <w:rsid w:val="008A3D24"/>
    <w:rsid w:val="008A3E73"/>
    <w:rsid w:val="008A478C"/>
    <w:rsid w:val="008A4DB8"/>
    <w:rsid w:val="008A53CE"/>
    <w:rsid w:val="008A5CD8"/>
    <w:rsid w:val="008A713B"/>
    <w:rsid w:val="008B0314"/>
    <w:rsid w:val="008B06F2"/>
    <w:rsid w:val="008B2B96"/>
    <w:rsid w:val="008B3215"/>
    <w:rsid w:val="008B35D2"/>
    <w:rsid w:val="008B37DB"/>
    <w:rsid w:val="008B4B1E"/>
    <w:rsid w:val="008B4D35"/>
    <w:rsid w:val="008B5334"/>
    <w:rsid w:val="008B5E1F"/>
    <w:rsid w:val="008B6F23"/>
    <w:rsid w:val="008B77F8"/>
    <w:rsid w:val="008C0F47"/>
    <w:rsid w:val="008C10F3"/>
    <w:rsid w:val="008C2850"/>
    <w:rsid w:val="008C3133"/>
    <w:rsid w:val="008C31BF"/>
    <w:rsid w:val="008C6616"/>
    <w:rsid w:val="008C6DC3"/>
    <w:rsid w:val="008C6E2B"/>
    <w:rsid w:val="008C7170"/>
    <w:rsid w:val="008C7998"/>
    <w:rsid w:val="008D185B"/>
    <w:rsid w:val="008D2909"/>
    <w:rsid w:val="008D2BEE"/>
    <w:rsid w:val="008D2C69"/>
    <w:rsid w:val="008D3C45"/>
    <w:rsid w:val="008D3D74"/>
    <w:rsid w:val="008D50CB"/>
    <w:rsid w:val="008D5640"/>
    <w:rsid w:val="008D5F18"/>
    <w:rsid w:val="008D740B"/>
    <w:rsid w:val="008D7A44"/>
    <w:rsid w:val="008E032F"/>
    <w:rsid w:val="008E06FE"/>
    <w:rsid w:val="008E09CB"/>
    <w:rsid w:val="008E0F16"/>
    <w:rsid w:val="008E2C1F"/>
    <w:rsid w:val="008E2D92"/>
    <w:rsid w:val="008E378E"/>
    <w:rsid w:val="008E3D4E"/>
    <w:rsid w:val="008E42C9"/>
    <w:rsid w:val="008E4746"/>
    <w:rsid w:val="008E5B36"/>
    <w:rsid w:val="008E5C52"/>
    <w:rsid w:val="008E5D78"/>
    <w:rsid w:val="008E5F02"/>
    <w:rsid w:val="008E6178"/>
    <w:rsid w:val="008E6485"/>
    <w:rsid w:val="008E7F16"/>
    <w:rsid w:val="008F007E"/>
    <w:rsid w:val="008F052A"/>
    <w:rsid w:val="008F084E"/>
    <w:rsid w:val="008F0A3B"/>
    <w:rsid w:val="008F0A42"/>
    <w:rsid w:val="008F1152"/>
    <w:rsid w:val="008F12DF"/>
    <w:rsid w:val="008F13C0"/>
    <w:rsid w:val="008F1A19"/>
    <w:rsid w:val="008F1FBA"/>
    <w:rsid w:val="008F2173"/>
    <w:rsid w:val="008F44FD"/>
    <w:rsid w:val="008F4DB4"/>
    <w:rsid w:val="008F51BC"/>
    <w:rsid w:val="008F62A2"/>
    <w:rsid w:val="008F6E62"/>
    <w:rsid w:val="008F7334"/>
    <w:rsid w:val="008F7F8C"/>
    <w:rsid w:val="00900771"/>
    <w:rsid w:val="00901377"/>
    <w:rsid w:val="009014B8"/>
    <w:rsid w:val="009024A6"/>
    <w:rsid w:val="00902DE8"/>
    <w:rsid w:val="00905393"/>
    <w:rsid w:val="009055E9"/>
    <w:rsid w:val="009057E3"/>
    <w:rsid w:val="00905B61"/>
    <w:rsid w:val="00906CB2"/>
    <w:rsid w:val="00906FCB"/>
    <w:rsid w:val="00911530"/>
    <w:rsid w:val="00912251"/>
    <w:rsid w:val="0091226C"/>
    <w:rsid w:val="00912545"/>
    <w:rsid w:val="00912A1D"/>
    <w:rsid w:val="00912AC6"/>
    <w:rsid w:val="00912C13"/>
    <w:rsid w:val="00912E35"/>
    <w:rsid w:val="009133B9"/>
    <w:rsid w:val="00913455"/>
    <w:rsid w:val="009150C0"/>
    <w:rsid w:val="00915ED3"/>
    <w:rsid w:val="00916BFA"/>
    <w:rsid w:val="00916EDE"/>
    <w:rsid w:val="0091740C"/>
    <w:rsid w:val="0091766C"/>
    <w:rsid w:val="0092066C"/>
    <w:rsid w:val="00920864"/>
    <w:rsid w:val="009218D1"/>
    <w:rsid w:val="00921E18"/>
    <w:rsid w:val="00922B5E"/>
    <w:rsid w:val="0092362E"/>
    <w:rsid w:val="009250E8"/>
    <w:rsid w:val="009259E1"/>
    <w:rsid w:val="00925D98"/>
    <w:rsid w:val="00925EDD"/>
    <w:rsid w:val="0092606B"/>
    <w:rsid w:val="00926D1A"/>
    <w:rsid w:val="00930B94"/>
    <w:rsid w:val="00931289"/>
    <w:rsid w:val="00931ED6"/>
    <w:rsid w:val="009329FD"/>
    <w:rsid w:val="00933DC3"/>
    <w:rsid w:val="00934869"/>
    <w:rsid w:val="00934D3F"/>
    <w:rsid w:val="0093506E"/>
    <w:rsid w:val="009350CF"/>
    <w:rsid w:val="00935AAD"/>
    <w:rsid w:val="00935F2A"/>
    <w:rsid w:val="0093651D"/>
    <w:rsid w:val="00936744"/>
    <w:rsid w:val="009411C7"/>
    <w:rsid w:val="00941911"/>
    <w:rsid w:val="00942CA9"/>
    <w:rsid w:val="0094313B"/>
    <w:rsid w:val="009455E7"/>
    <w:rsid w:val="00945F7A"/>
    <w:rsid w:val="00947499"/>
    <w:rsid w:val="00947C3D"/>
    <w:rsid w:val="00947E07"/>
    <w:rsid w:val="009508C5"/>
    <w:rsid w:val="00951412"/>
    <w:rsid w:val="00952343"/>
    <w:rsid w:val="00952345"/>
    <w:rsid w:val="00952DA9"/>
    <w:rsid w:val="009533D6"/>
    <w:rsid w:val="009542D0"/>
    <w:rsid w:val="009542D8"/>
    <w:rsid w:val="00954A10"/>
    <w:rsid w:val="00954A17"/>
    <w:rsid w:val="009555DB"/>
    <w:rsid w:val="00955744"/>
    <w:rsid w:val="00955C33"/>
    <w:rsid w:val="00956539"/>
    <w:rsid w:val="00961221"/>
    <w:rsid w:val="009612E8"/>
    <w:rsid w:val="00961C73"/>
    <w:rsid w:val="009620E2"/>
    <w:rsid w:val="009632E8"/>
    <w:rsid w:val="009638FA"/>
    <w:rsid w:val="009650EA"/>
    <w:rsid w:val="009650FD"/>
    <w:rsid w:val="00965737"/>
    <w:rsid w:val="00965FC6"/>
    <w:rsid w:val="00967DEB"/>
    <w:rsid w:val="0097148E"/>
    <w:rsid w:val="0097187E"/>
    <w:rsid w:val="009721C7"/>
    <w:rsid w:val="009723F8"/>
    <w:rsid w:val="00972DD1"/>
    <w:rsid w:val="00972F44"/>
    <w:rsid w:val="009747F7"/>
    <w:rsid w:val="00974AD3"/>
    <w:rsid w:val="009753E7"/>
    <w:rsid w:val="00975C26"/>
    <w:rsid w:val="0097655A"/>
    <w:rsid w:val="0097789C"/>
    <w:rsid w:val="00980D73"/>
    <w:rsid w:val="00980E72"/>
    <w:rsid w:val="00980F56"/>
    <w:rsid w:val="0098189B"/>
    <w:rsid w:val="00981EAC"/>
    <w:rsid w:val="0098226E"/>
    <w:rsid w:val="00983639"/>
    <w:rsid w:val="00983682"/>
    <w:rsid w:val="009841BB"/>
    <w:rsid w:val="009857A0"/>
    <w:rsid w:val="00985921"/>
    <w:rsid w:val="00987924"/>
    <w:rsid w:val="0099011B"/>
    <w:rsid w:val="00990FFC"/>
    <w:rsid w:val="00992C18"/>
    <w:rsid w:val="00992D4F"/>
    <w:rsid w:val="0099328D"/>
    <w:rsid w:val="00994B38"/>
    <w:rsid w:val="00994F88"/>
    <w:rsid w:val="00995615"/>
    <w:rsid w:val="00995D40"/>
    <w:rsid w:val="00996041"/>
    <w:rsid w:val="00996505"/>
    <w:rsid w:val="00996CAC"/>
    <w:rsid w:val="009970E0"/>
    <w:rsid w:val="00997AF4"/>
    <w:rsid w:val="00997D27"/>
    <w:rsid w:val="009A0D00"/>
    <w:rsid w:val="009A238F"/>
    <w:rsid w:val="009A2E65"/>
    <w:rsid w:val="009A36AF"/>
    <w:rsid w:val="009A392B"/>
    <w:rsid w:val="009A5D65"/>
    <w:rsid w:val="009A6442"/>
    <w:rsid w:val="009A64AC"/>
    <w:rsid w:val="009A711C"/>
    <w:rsid w:val="009A7648"/>
    <w:rsid w:val="009B09B1"/>
    <w:rsid w:val="009B172F"/>
    <w:rsid w:val="009B179D"/>
    <w:rsid w:val="009B1A80"/>
    <w:rsid w:val="009B311F"/>
    <w:rsid w:val="009B36FC"/>
    <w:rsid w:val="009B4F40"/>
    <w:rsid w:val="009B6366"/>
    <w:rsid w:val="009B6A50"/>
    <w:rsid w:val="009B72CC"/>
    <w:rsid w:val="009B73AB"/>
    <w:rsid w:val="009C0674"/>
    <w:rsid w:val="009C1262"/>
    <w:rsid w:val="009C2034"/>
    <w:rsid w:val="009C2831"/>
    <w:rsid w:val="009C34C7"/>
    <w:rsid w:val="009C46B9"/>
    <w:rsid w:val="009C575C"/>
    <w:rsid w:val="009C6F7E"/>
    <w:rsid w:val="009C7C9A"/>
    <w:rsid w:val="009D115D"/>
    <w:rsid w:val="009D18CC"/>
    <w:rsid w:val="009D219F"/>
    <w:rsid w:val="009D3BD5"/>
    <w:rsid w:val="009D3DB3"/>
    <w:rsid w:val="009D49A7"/>
    <w:rsid w:val="009D53F0"/>
    <w:rsid w:val="009D5C60"/>
    <w:rsid w:val="009D6324"/>
    <w:rsid w:val="009D6D15"/>
    <w:rsid w:val="009D7C6E"/>
    <w:rsid w:val="009E1FC3"/>
    <w:rsid w:val="009E256B"/>
    <w:rsid w:val="009E257B"/>
    <w:rsid w:val="009E3471"/>
    <w:rsid w:val="009E34B6"/>
    <w:rsid w:val="009E41D0"/>
    <w:rsid w:val="009E4792"/>
    <w:rsid w:val="009E4FBA"/>
    <w:rsid w:val="009E5BA8"/>
    <w:rsid w:val="009E6384"/>
    <w:rsid w:val="009E6601"/>
    <w:rsid w:val="009E6A15"/>
    <w:rsid w:val="009E7EA7"/>
    <w:rsid w:val="009F061F"/>
    <w:rsid w:val="009F0723"/>
    <w:rsid w:val="009F13D5"/>
    <w:rsid w:val="009F1DDB"/>
    <w:rsid w:val="009F2CD1"/>
    <w:rsid w:val="009F458E"/>
    <w:rsid w:val="009F49AD"/>
    <w:rsid w:val="009F53C5"/>
    <w:rsid w:val="009F5F4A"/>
    <w:rsid w:val="009F64FB"/>
    <w:rsid w:val="009F7C23"/>
    <w:rsid w:val="00A01BC7"/>
    <w:rsid w:val="00A03111"/>
    <w:rsid w:val="00A031B8"/>
    <w:rsid w:val="00A03F49"/>
    <w:rsid w:val="00A045CD"/>
    <w:rsid w:val="00A0625B"/>
    <w:rsid w:val="00A07F8D"/>
    <w:rsid w:val="00A10ED0"/>
    <w:rsid w:val="00A113C5"/>
    <w:rsid w:val="00A139E0"/>
    <w:rsid w:val="00A1486B"/>
    <w:rsid w:val="00A15750"/>
    <w:rsid w:val="00A16D32"/>
    <w:rsid w:val="00A1726E"/>
    <w:rsid w:val="00A21421"/>
    <w:rsid w:val="00A226F0"/>
    <w:rsid w:val="00A23127"/>
    <w:rsid w:val="00A23488"/>
    <w:rsid w:val="00A23E3F"/>
    <w:rsid w:val="00A25B4A"/>
    <w:rsid w:val="00A26412"/>
    <w:rsid w:val="00A2663B"/>
    <w:rsid w:val="00A273E4"/>
    <w:rsid w:val="00A27443"/>
    <w:rsid w:val="00A2751F"/>
    <w:rsid w:val="00A27B74"/>
    <w:rsid w:val="00A27C2D"/>
    <w:rsid w:val="00A27D6C"/>
    <w:rsid w:val="00A31531"/>
    <w:rsid w:val="00A31758"/>
    <w:rsid w:val="00A31976"/>
    <w:rsid w:val="00A31986"/>
    <w:rsid w:val="00A3296C"/>
    <w:rsid w:val="00A33390"/>
    <w:rsid w:val="00A3367C"/>
    <w:rsid w:val="00A339E8"/>
    <w:rsid w:val="00A34488"/>
    <w:rsid w:val="00A344E4"/>
    <w:rsid w:val="00A34B9E"/>
    <w:rsid w:val="00A36A57"/>
    <w:rsid w:val="00A405F5"/>
    <w:rsid w:val="00A410F0"/>
    <w:rsid w:val="00A41596"/>
    <w:rsid w:val="00A42188"/>
    <w:rsid w:val="00A42B30"/>
    <w:rsid w:val="00A42D44"/>
    <w:rsid w:val="00A42EB1"/>
    <w:rsid w:val="00A42EC5"/>
    <w:rsid w:val="00A43E61"/>
    <w:rsid w:val="00A43F81"/>
    <w:rsid w:val="00A44C04"/>
    <w:rsid w:val="00A45E28"/>
    <w:rsid w:val="00A45F06"/>
    <w:rsid w:val="00A47B92"/>
    <w:rsid w:val="00A47E5B"/>
    <w:rsid w:val="00A51B63"/>
    <w:rsid w:val="00A52815"/>
    <w:rsid w:val="00A54762"/>
    <w:rsid w:val="00A55960"/>
    <w:rsid w:val="00A57918"/>
    <w:rsid w:val="00A57A2B"/>
    <w:rsid w:val="00A57E0E"/>
    <w:rsid w:val="00A6170E"/>
    <w:rsid w:val="00A61CC5"/>
    <w:rsid w:val="00A622A4"/>
    <w:rsid w:val="00A6261C"/>
    <w:rsid w:val="00A63AF6"/>
    <w:rsid w:val="00A63EB4"/>
    <w:rsid w:val="00A63ED0"/>
    <w:rsid w:val="00A63F93"/>
    <w:rsid w:val="00A64522"/>
    <w:rsid w:val="00A70F18"/>
    <w:rsid w:val="00A71CC1"/>
    <w:rsid w:val="00A71EC1"/>
    <w:rsid w:val="00A71FFD"/>
    <w:rsid w:val="00A7210F"/>
    <w:rsid w:val="00A7588B"/>
    <w:rsid w:val="00A76397"/>
    <w:rsid w:val="00A77C6A"/>
    <w:rsid w:val="00A80C0C"/>
    <w:rsid w:val="00A80D72"/>
    <w:rsid w:val="00A82134"/>
    <w:rsid w:val="00A83CF6"/>
    <w:rsid w:val="00A85049"/>
    <w:rsid w:val="00A8534A"/>
    <w:rsid w:val="00A85B3F"/>
    <w:rsid w:val="00A85F43"/>
    <w:rsid w:val="00A86710"/>
    <w:rsid w:val="00A8681A"/>
    <w:rsid w:val="00A87028"/>
    <w:rsid w:val="00A879F0"/>
    <w:rsid w:val="00A90A44"/>
    <w:rsid w:val="00A91151"/>
    <w:rsid w:val="00A91F48"/>
    <w:rsid w:val="00A9242B"/>
    <w:rsid w:val="00A939B4"/>
    <w:rsid w:val="00A93ABD"/>
    <w:rsid w:val="00A95973"/>
    <w:rsid w:val="00A95C29"/>
    <w:rsid w:val="00A967E1"/>
    <w:rsid w:val="00A9714D"/>
    <w:rsid w:val="00A971DC"/>
    <w:rsid w:val="00A97462"/>
    <w:rsid w:val="00AA038A"/>
    <w:rsid w:val="00AA07CC"/>
    <w:rsid w:val="00AA0940"/>
    <w:rsid w:val="00AA099D"/>
    <w:rsid w:val="00AA2383"/>
    <w:rsid w:val="00AA25E1"/>
    <w:rsid w:val="00AA315C"/>
    <w:rsid w:val="00AA46AD"/>
    <w:rsid w:val="00AA5118"/>
    <w:rsid w:val="00AA5575"/>
    <w:rsid w:val="00AA5A64"/>
    <w:rsid w:val="00AA6018"/>
    <w:rsid w:val="00AA603C"/>
    <w:rsid w:val="00AA6E0B"/>
    <w:rsid w:val="00AA6EBA"/>
    <w:rsid w:val="00AA77A0"/>
    <w:rsid w:val="00AA785C"/>
    <w:rsid w:val="00AA7C5F"/>
    <w:rsid w:val="00AB125D"/>
    <w:rsid w:val="00AB198C"/>
    <w:rsid w:val="00AB2CD4"/>
    <w:rsid w:val="00AB3298"/>
    <w:rsid w:val="00AB51DA"/>
    <w:rsid w:val="00AB5B64"/>
    <w:rsid w:val="00AC0728"/>
    <w:rsid w:val="00AC07DA"/>
    <w:rsid w:val="00AC118A"/>
    <w:rsid w:val="00AC295C"/>
    <w:rsid w:val="00AC32A8"/>
    <w:rsid w:val="00AC33FE"/>
    <w:rsid w:val="00AC3447"/>
    <w:rsid w:val="00AC3C43"/>
    <w:rsid w:val="00AC49E0"/>
    <w:rsid w:val="00AC4E12"/>
    <w:rsid w:val="00AC6805"/>
    <w:rsid w:val="00AD187D"/>
    <w:rsid w:val="00AD21A1"/>
    <w:rsid w:val="00AD22D9"/>
    <w:rsid w:val="00AD28B0"/>
    <w:rsid w:val="00AD2ACF"/>
    <w:rsid w:val="00AD3A8B"/>
    <w:rsid w:val="00AD3D9A"/>
    <w:rsid w:val="00AD41CF"/>
    <w:rsid w:val="00AD5042"/>
    <w:rsid w:val="00AD577C"/>
    <w:rsid w:val="00AD6118"/>
    <w:rsid w:val="00AD632F"/>
    <w:rsid w:val="00AD649D"/>
    <w:rsid w:val="00AD762D"/>
    <w:rsid w:val="00AD7680"/>
    <w:rsid w:val="00AD7CE6"/>
    <w:rsid w:val="00AD7D31"/>
    <w:rsid w:val="00AE058E"/>
    <w:rsid w:val="00AE0854"/>
    <w:rsid w:val="00AE10C3"/>
    <w:rsid w:val="00AE21A2"/>
    <w:rsid w:val="00AE24EC"/>
    <w:rsid w:val="00AE2625"/>
    <w:rsid w:val="00AE29F6"/>
    <w:rsid w:val="00AE2A1B"/>
    <w:rsid w:val="00AE3413"/>
    <w:rsid w:val="00AE3B64"/>
    <w:rsid w:val="00AE4245"/>
    <w:rsid w:val="00AE444C"/>
    <w:rsid w:val="00AE5F04"/>
    <w:rsid w:val="00AE6BC2"/>
    <w:rsid w:val="00AE6BFD"/>
    <w:rsid w:val="00AE6D1A"/>
    <w:rsid w:val="00AE74C9"/>
    <w:rsid w:val="00AE7696"/>
    <w:rsid w:val="00AE7DA2"/>
    <w:rsid w:val="00AF06B0"/>
    <w:rsid w:val="00AF1E34"/>
    <w:rsid w:val="00AF33A2"/>
    <w:rsid w:val="00AF3639"/>
    <w:rsid w:val="00AF3DB4"/>
    <w:rsid w:val="00AF5418"/>
    <w:rsid w:val="00AF6931"/>
    <w:rsid w:val="00AF6A4C"/>
    <w:rsid w:val="00AF6C53"/>
    <w:rsid w:val="00AF72E9"/>
    <w:rsid w:val="00AF746F"/>
    <w:rsid w:val="00AF75A6"/>
    <w:rsid w:val="00AF77B1"/>
    <w:rsid w:val="00B0033F"/>
    <w:rsid w:val="00B00B1B"/>
    <w:rsid w:val="00B0178F"/>
    <w:rsid w:val="00B01BC3"/>
    <w:rsid w:val="00B01CE9"/>
    <w:rsid w:val="00B03989"/>
    <w:rsid w:val="00B04E0D"/>
    <w:rsid w:val="00B053CC"/>
    <w:rsid w:val="00B05F49"/>
    <w:rsid w:val="00B061DB"/>
    <w:rsid w:val="00B122DC"/>
    <w:rsid w:val="00B12788"/>
    <w:rsid w:val="00B130C4"/>
    <w:rsid w:val="00B13EB2"/>
    <w:rsid w:val="00B1432F"/>
    <w:rsid w:val="00B14444"/>
    <w:rsid w:val="00B1560B"/>
    <w:rsid w:val="00B15674"/>
    <w:rsid w:val="00B15AAC"/>
    <w:rsid w:val="00B15D36"/>
    <w:rsid w:val="00B16016"/>
    <w:rsid w:val="00B161F2"/>
    <w:rsid w:val="00B163B0"/>
    <w:rsid w:val="00B164C3"/>
    <w:rsid w:val="00B200CC"/>
    <w:rsid w:val="00B2120F"/>
    <w:rsid w:val="00B2176F"/>
    <w:rsid w:val="00B2186D"/>
    <w:rsid w:val="00B2236A"/>
    <w:rsid w:val="00B23331"/>
    <w:rsid w:val="00B244E6"/>
    <w:rsid w:val="00B24956"/>
    <w:rsid w:val="00B261C7"/>
    <w:rsid w:val="00B2749A"/>
    <w:rsid w:val="00B2768B"/>
    <w:rsid w:val="00B279E0"/>
    <w:rsid w:val="00B27E1D"/>
    <w:rsid w:val="00B30212"/>
    <w:rsid w:val="00B3093E"/>
    <w:rsid w:val="00B3180B"/>
    <w:rsid w:val="00B31D4E"/>
    <w:rsid w:val="00B321A4"/>
    <w:rsid w:val="00B32930"/>
    <w:rsid w:val="00B339CC"/>
    <w:rsid w:val="00B33A38"/>
    <w:rsid w:val="00B33B71"/>
    <w:rsid w:val="00B34526"/>
    <w:rsid w:val="00B345B3"/>
    <w:rsid w:val="00B365EC"/>
    <w:rsid w:val="00B367B6"/>
    <w:rsid w:val="00B36CF4"/>
    <w:rsid w:val="00B37317"/>
    <w:rsid w:val="00B40423"/>
    <w:rsid w:val="00B40B99"/>
    <w:rsid w:val="00B4191F"/>
    <w:rsid w:val="00B42217"/>
    <w:rsid w:val="00B44B2B"/>
    <w:rsid w:val="00B45430"/>
    <w:rsid w:val="00B45685"/>
    <w:rsid w:val="00B468DF"/>
    <w:rsid w:val="00B50D7F"/>
    <w:rsid w:val="00B51ABA"/>
    <w:rsid w:val="00B53C05"/>
    <w:rsid w:val="00B53ECB"/>
    <w:rsid w:val="00B541AE"/>
    <w:rsid w:val="00B544C9"/>
    <w:rsid w:val="00B549CB"/>
    <w:rsid w:val="00B55663"/>
    <w:rsid w:val="00B55C8C"/>
    <w:rsid w:val="00B56048"/>
    <w:rsid w:val="00B602EF"/>
    <w:rsid w:val="00B60F15"/>
    <w:rsid w:val="00B617B9"/>
    <w:rsid w:val="00B61A70"/>
    <w:rsid w:val="00B631AD"/>
    <w:rsid w:val="00B642A5"/>
    <w:rsid w:val="00B64C80"/>
    <w:rsid w:val="00B64E31"/>
    <w:rsid w:val="00B65B1E"/>
    <w:rsid w:val="00B65BA2"/>
    <w:rsid w:val="00B65F86"/>
    <w:rsid w:val="00B66065"/>
    <w:rsid w:val="00B67402"/>
    <w:rsid w:val="00B7162F"/>
    <w:rsid w:val="00B716D6"/>
    <w:rsid w:val="00B720C4"/>
    <w:rsid w:val="00B725E4"/>
    <w:rsid w:val="00B7275D"/>
    <w:rsid w:val="00B7281E"/>
    <w:rsid w:val="00B73364"/>
    <w:rsid w:val="00B735A8"/>
    <w:rsid w:val="00B73877"/>
    <w:rsid w:val="00B7485C"/>
    <w:rsid w:val="00B7545F"/>
    <w:rsid w:val="00B75EE7"/>
    <w:rsid w:val="00B77A0A"/>
    <w:rsid w:val="00B77FD8"/>
    <w:rsid w:val="00B809E0"/>
    <w:rsid w:val="00B81A7B"/>
    <w:rsid w:val="00B82A37"/>
    <w:rsid w:val="00B82B48"/>
    <w:rsid w:val="00B84ABA"/>
    <w:rsid w:val="00B85262"/>
    <w:rsid w:val="00B8546F"/>
    <w:rsid w:val="00B854BA"/>
    <w:rsid w:val="00B85757"/>
    <w:rsid w:val="00B86595"/>
    <w:rsid w:val="00B8669D"/>
    <w:rsid w:val="00B86A53"/>
    <w:rsid w:val="00B86F32"/>
    <w:rsid w:val="00B875F3"/>
    <w:rsid w:val="00B8760A"/>
    <w:rsid w:val="00B90975"/>
    <w:rsid w:val="00B90F4A"/>
    <w:rsid w:val="00B91147"/>
    <w:rsid w:val="00B92838"/>
    <w:rsid w:val="00B951E2"/>
    <w:rsid w:val="00B95259"/>
    <w:rsid w:val="00B9741F"/>
    <w:rsid w:val="00B974CA"/>
    <w:rsid w:val="00B97974"/>
    <w:rsid w:val="00BA1004"/>
    <w:rsid w:val="00BA1306"/>
    <w:rsid w:val="00BA321E"/>
    <w:rsid w:val="00BA3475"/>
    <w:rsid w:val="00BA3860"/>
    <w:rsid w:val="00BA7101"/>
    <w:rsid w:val="00BA7954"/>
    <w:rsid w:val="00BA7E1A"/>
    <w:rsid w:val="00BB023A"/>
    <w:rsid w:val="00BB0468"/>
    <w:rsid w:val="00BB0CB7"/>
    <w:rsid w:val="00BB240B"/>
    <w:rsid w:val="00BB2D8D"/>
    <w:rsid w:val="00BB2DC2"/>
    <w:rsid w:val="00BB377A"/>
    <w:rsid w:val="00BB4D9C"/>
    <w:rsid w:val="00BB56F7"/>
    <w:rsid w:val="00BB6E3C"/>
    <w:rsid w:val="00BB70BE"/>
    <w:rsid w:val="00BB70F0"/>
    <w:rsid w:val="00BC0C48"/>
    <w:rsid w:val="00BC0EE7"/>
    <w:rsid w:val="00BC0F1A"/>
    <w:rsid w:val="00BC2A71"/>
    <w:rsid w:val="00BC2FA1"/>
    <w:rsid w:val="00BC33E1"/>
    <w:rsid w:val="00BC360F"/>
    <w:rsid w:val="00BC4A5A"/>
    <w:rsid w:val="00BC4CB3"/>
    <w:rsid w:val="00BC4E89"/>
    <w:rsid w:val="00BC5082"/>
    <w:rsid w:val="00BC5E36"/>
    <w:rsid w:val="00BC7431"/>
    <w:rsid w:val="00BD0283"/>
    <w:rsid w:val="00BD1C9A"/>
    <w:rsid w:val="00BD2360"/>
    <w:rsid w:val="00BD2C4A"/>
    <w:rsid w:val="00BD2DB7"/>
    <w:rsid w:val="00BD3266"/>
    <w:rsid w:val="00BD474E"/>
    <w:rsid w:val="00BD5137"/>
    <w:rsid w:val="00BD5400"/>
    <w:rsid w:val="00BD54A4"/>
    <w:rsid w:val="00BD5CB6"/>
    <w:rsid w:val="00BD7586"/>
    <w:rsid w:val="00BD7A73"/>
    <w:rsid w:val="00BE2173"/>
    <w:rsid w:val="00BE2D04"/>
    <w:rsid w:val="00BE37D0"/>
    <w:rsid w:val="00BE3AF2"/>
    <w:rsid w:val="00BE40C5"/>
    <w:rsid w:val="00BE5A79"/>
    <w:rsid w:val="00BE5BD0"/>
    <w:rsid w:val="00BE6171"/>
    <w:rsid w:val="00BE65A7"/>
    <w:rsid w:val="00BE6DCB"/>
    <w:rsid w:val="00BE70FA"/>
    <w:rsid w:val="00BE7DCD"/>
    <w:rsid w:val="00BF054A"/>
    <w:rsid w:val="00BF1A7D"/>
    <w:rsid w:val="00BF208A"/>
    <w:rsid w:val="00BF2B43"/>
    <w:rsid w:val="00BF34CA"/>
    <w:rsid w:val="00BF4096"/>
    <w:rsid w:val="00BF493F"/>
    <w:rsid w:val="00BF5C50"/>
    <w:rsid w:val="00BF5DED"/>
    <w:rsid w:val="00BF6561"/>
    <w:rsid w:val="00C00FAB"/>
    <w:rsid w:val="00C0148F"/>
    <w:rsid w:val="00C01C68"/>
    <w:rsid w:val="00C02739"/>
    <w:rsid w:val="00C02887"/>
    <w:rsid w:val="00C028A2"/>
    <w:rsid w:val="00C036A5"/>
    <w:rsid w:val="00C038C1"/>
    <w:rsid w:val="00C03AF8"/>
    <w:rsid w:val="00C03C1E"/>
    <w:rsid w:val="00C03CF8"/>
    <w:rsid w:val="00C05900"/>
    <w:rsid w:val="00C05991"/>
    <w:rsid w:val="00C059F1"/>
    <w:rsid w:val="00C062E3"/>
    <w:rsid w:val="00C074AB"/>
    <w:rsid w:val="00C106B0"/>
    <w:rsid w:val="00C11E22"/>
    <w:rsid w:val="00C1319C"/>
    <w:rsid w:val="00C13CA8"/>
    <w:rsid w:val="00C156D0"/>
    <w:rsid w:val="00C1576C"/>
    <w:rsid w:val="00C1644B"/>
    <w:rsid w:val="00C17211"/>
    <w:rsid w:val="00C17311"/>
    <w:rsid w:val="00C1782E"/>
    <w:rsid w:val="00C200FF"/>
    <w:rsid w:val="00C202CA"/>
    <w:rsid w:val="00C208B1"/>
    <w:rsid w:val="00C21FA3"/>
    <w:rsid w:val="00C22189"/>
    <w:rsid w:val="00C223D5"/>
    <w:rsid w:val="00C2347B"/>
    <w:rsid w:val="00C2406E"/>
    <w:rsid w:val="00C24C49"/>
    <w:rsid w:val="00C24F6F"/>
    <w:rsid w:val="00C26460"/>
    <w:rsid w:val="00C266A6"/>
    <w:rsid w:val="00C26772"/>
    <w:rsid w:val="00C26A15"/>
    <w:rsid w:val="00C26A9C"/>
    <w:rsid w:val="00C2755F"/>
    <w:rsid w:val="00C27C5F"/>
    <w:rsid w:val="00C27FB4"/>
    <w:rsid w:val="00C30CA2"/>
    <w:rsid w:val="00C30D0E"/>
    <w:rsid w:val="00C31200"/>
    <w:rsid w:val="00C31267"/>
    <w:rsid w:val="00C32373"/>
    <w:rsid w:val="00C32935"/>
    <w:rsid w:val="00C333EE"/>
    <w:rsid w:val="00C33834"/>
    <w:rsid w:val="00C33D41"/>
    <w:rsid w:val="00C345D4"/>
    <w:rsid w:val="00C35401"/>
    <w:rsid w:val="00C35EDC"/>
    <w:rsid w:val="00C35F5D"/>
    <w:rsid w:val="00C366B5"/>
    <w:rsid w:val="00C366F1"/>
    <w:rsid w:val="00C37D47"/>
    <w:rsid w:val="00C37E5A"/>
    <w:rsid w:val="00C40F71"/>
    <w:rsid w:val="00C41130"/>
    <w:rsid w:val="00C41D1A"/>
    <w:rsid w:val="00C42831"/>
    <w:rsid w:val="00C428E1"/>
    <w:rsid w:val="00C42A72"/>
    <w:rsid w:val="00C433E1"/>
    <w:rsid w:val="00C45572"/>
    <w:rsid w:val="00C45D0E"/>
    <w:rsid w:val="00C46037"/>
    <w:rsid w:val="00C46D76"/>
    <w:rsid w:val="00C47147"/>
    <w:rsid w:val="00C50F02"/>
    <w:rsid w:val="00C512E8"/>
    <w:rsid w:val="00C51324"/>
    <w:rsid w:val="00C5134F"/>
    <w:rsid w:val="00C51628"/>
    <w:rsid w:val="00C519D5"/>
    <w:rsid w:val="00C53172"/>
    <w:rsid w:val="00C5422C"/>
    <w:rsid w:val="00C57111"/>
    <w:rsid w:val="00C609D8"/>
    <w:rsid w:val="00C64706"/>
    <w:rsid w:val="00C6476F"/>
    <w:rsid w:val="00C66F85"/>
    <w:rsid w:val="00C67E2A"/>
    <w:rsid w:val="00C71181"/>
    <w:rsid w:val="00C71ED1"/>
    <w:rsid w:val="00C7316A"/>
    <w:rsid w:val="00C73597"/>
    <w:rsid w:val="00C74E27"/>
    <w:rsid w:val="00C759EE"/>
    <w:rsid w:val="00C76398"/>
    <w:rsid w:val="00C76D5D"/>
    <w:rsid w:val="00C77462"/>
    <w:rsid w:val="00C80222"/>
    <w:rsid w:val="00C80540"/>
    <w:rsid w:val="00C809C4"/>
    <w:rsid w:val="00C80BDB"/>
    <w:rsid w:val="00C81067"/>
    <w:rsid w:val="00C81CE2"/>
    <w:rsid w:val="00C82762"/>
    <w:rsid w:val="00C82B61"/>
    <w:rsid w:val="00C8321D"/>
    <w:rsid w:val="00C83568"/>
    <w:rsid w:val="00C84DE9"/>
    <w:rsid w:val="00C85517"/>
    <w:rsid w:val="00C86309"/>
    <w:rsid w:val="00C866C8"/>
    <w:rsid w:val="00C86918"/>
    <w:rsid w:val="00C86B07"/>
    <w:rsid w:val="00C86C1A"/>
    <w:rsid w:val="00C86C5A"/>
    <w:rsid w:val="00C878C3"/>
    <w:rsid w:val="00C87980"/>
    <w:rsid w:val="00C9105A"/>
    <w:rsid w:val="00C91158"/>
    <w:rsid w:val="00C9221E"/>
    <w:rsid w:val="00C92728"/>
    <w:rsid w:val="00C938A1"/>
    <w:rsid w:val="00C9456E"/>
    <w:rsid w:val="00C945DA"/>
    <w:rsid w:val="00C945EA"/>
    <w:rsid w:val="00C9460E"/>
    <w:rsid w:val="00C97E37"/>
    <w:rsid w:val="00CA0626"/>
    <w:rsid w:val="00CA1359"/>
    <w:rsid w:val="00CA1CC2"/>
    <w:rsid w:val="00CA37D4"/>
    <w:rsid w:val="00CA3A5A"/>
    <w:rsid w:val="00CA3FDD"/>
    <w:rsid w:val="00CA4020"/>
    <w:rsid w:val="00CA43E1"/>
    <w:rsid w:val="00CA524A"/>
    <w:rsid w:val="00CA5548"/>
    <w:rsid w:val="00CA61A1"/>
    <w:rsid w:val="00CA6D47"/>
    <w:rsid w:val="00CA71EC"/>
    <w:rsid w:val="00CA7E6E"/>
    <w:rsid w:val="00CB0510"/>
    <w:rsid w:val="00CB080F"/>
    <w:rsid w:val="00CB0D6A"/>
    <w:rsid w:val="00CB4829"/>
    <w:rsid w:val="00CB4BCD"/>
    <w:rsid w:val="00CB4FF5"/>
    <w:rsid w:val="00CB55B4"/>
    <w:rsid w:val="00CB5892"/>
    <w:rsid w:val="00CB5CA8"/>
    <w:rsid w:val="00CB7629"/>
    <w:rsid w:val="00CB7703"/>
    <w:rsid w:val="00CC0C97"/>
    <w:rsid w:val="00CC1084"/>
    <w:rsid w:val="00CC1AB7"/>
    <w:rsid w:val="00CC1B49"/>
    <w:rsid w:val="00CC1ECA"/>
    <w:rsid w:val="00CC2F51"/>
    <w:rsid w:val="00CC318C"/>
    <w:rsid w:val="00CC326B"/>
    <w:rsid w:val="00CC4196"/>
    <w:rsid w:val="00CC425A"/>
    <w:rsid w:val="00CC58A2"/>
    <w:rsid w:val="00CC59E8"/>
    <w:rsid w:val="00CC61F8"/>
    <w:rsid w:val="00CC64E5"/>
    <w:rsid w:val="00CC6A2A"/>
    <w:rsid w:val="00CC6A30"/>
    <w:rsid w:val="00CC6D24"/>
    <w:rsid w:val="00CC7A21"/>
    <w:rsid w:val="00CD03F5"/>
    <w:rsid w:val="00CD0E45"/>
    <w:rsid w:val="00CD1042"/>
    <w:rsid w:val="00CD15EA"/>
    <w:rsid w:val="00CD1C7F"/>
    <w:rsid w:val="00CD3D4C"/>
    <w:rsid w:val="00CD5447"/>
    <w:rsid w:val="00CD5F40"/>
    <w:rsid w:val="00CE09F9"/>
    <w:rsid w:val="00CE11FE"/>
    <w:rsid w:val="00CE1F1D"/>
    <w:rsid w:val="00CE242B"/>
    <w:rsid w:val="00CE3256"/>
    <w:rsid w:val="00CE7099"/>
    <w:rsid w:val="00CF0B9E"/>
    <w:rsid w:val="00CF1388"/>
    <w:rsid w:val="00CF45C5"/>
    <w:rsid w:val="00CF50EC"/>
    <w:rsid w:val="00CF7436"/>
    <w:rsid w:val="00D00D7B"/>
    <w:rsid w:val="00D02AB5"/>
    <w:rsid w:val="00D02F8C"/>
    <w:rsid w:val="00D030A2"/>
    <w:rsid w:val="00D04E8E"/>
    <w:rsid w:val="00D04F3C"/>
    <w:rsid w:val="00D06573"/>
    <w:rsid w:val="00D06FE0"/>
    <w:rsid w:val="00D07D0A"/>
    <w:rsid w:val="00D10F0F"/>
    <w:rsid w:val="00D12B92"/>
    <w:rsid w:val="00D13299"/>
    <w:rsid w:val="00D132CF"/>
    <w:rsid w:val="00D13F65"/>
    <w:rsid w:val="00D13FB7"/>
    <w:rsid w:val="00D1446C"/>
    <w:rsid w:val="00D167D0"/>
    <w:rsid w:val="00D17033"/>
    <w:rsid w:val="00D1798C"/>
    <w:rsid w:val="00D1798E"/>
    <w:rsid w:val="00D2247A"/>
    <w:rsid w:val="00D24B39"/>
    <w:rsid w:val="00D24BB1"/>
    <w:rsid w:val="00D27B80"/>
    <w:rsid w:val="00D309EB"/>
    <w:rsid w:val="00D322E0"/>
    <w:rsid w:val="00D32476"/>
    <w:rsid w:val="00D329A1"/>
    <w:rsid w:val="00D334E6"/>
    <w:rsid w:val="00D33507"/>
    <w:rsid w:val="00D33D45"/>
    <w:rsid w:val="00D3426D"/>
    <w:rsid w:val="00D346DF"/>
    <w:rsid w:val="00D34E0E"/>
    <w:rsid w:val="00D351E6"/>
    <w:rsid w:val="00D4105E"/>
    <w:rsid w:val="00D4239A"/>
    <w:rsid w:val="00D43243"/>
    <w:rsid w:val="00D438DF"/>
    <w:rsid w:val="00D43A79"/>
    <w:rsid w:val="00D43BC6"/>
    <w:rsid w:val="00D43C1A"/>
    <w:rsid w:val="00D446C2"/>
    <w:rsid w:val="00D448AC"/>
    <w:rsid w:val="00D44C83"/>
    <w:rsid w:val="00D44EBB"/>
    <w:rsid w:val="00D44F6D"/>
    <w:rsid w:val="00D45055"/>
    <w:rsid w:val="00D46285"/>
    <w:rsid w:val="00D46D90"/>
    <w:rsid w:val="00D472D2"/>
    <w:rsid w:val="00D47968"/>
    <w:rsid w:val="00D513E1"/>
    <w:rsid w:val="00D5255E"/>
    <w:rsid w:val="00D53691"/>
    <w:rsid w:val="00D54217"/>
    <w:rsid w:val="00D551DF"/>
    <w:rsid w:val="00D5575E"/>
    <w:rsid w:val="00D55E7C"/>
    <w:rsid w:val="00D55FC0"/>
    <w:rsid w:val="00D569A1"/>
    <w:rsid w:val="00D573E2"/>
    <w:rsid w:val="00D5742D"/>
    <w:rsid w:val="00D57F5C"/>
    <w:rsid w:val="00D60749"/>
    <w:rsid w:val="00D614EE"/>
    <w:rsid w:val="00D61DD3"/>
    <w:rsid w:val="00D6285B"/>
    <w:rsid w:val="00D628BF"/>
    <w:rsid w:val="00D638FF"/>
    <w:rsid w:val="00D64014"/>
    <w:rsid w:val="00D64CA0"/>
    <w:rsid w:val="00D6568A"/>
    <w:rsid w:val="00D65BF2"/>
    <w:rsid w:val="00D66699"/>
    <w:rsid w:val="00D67073"/>
    <w:rsid w:val="00D679C1"/>
    <w:rsid w:val="00D71023"/>
    <w:rsid w:val="00D71B29"/>
    <w:rsid w:val="00D71BDD"/>
    <w:rsid w:val="00D72027"/>
    <w:rsid w:val="00D724B6"/>
    <w:rsid w:val="00D72CDC"/>
    <w:rsid w:val="00D73436"/>
    <w:rsid w:val="00D75402"/>
    <w:rsid w:val="00D76307"/>
    <w:rsid w:val="00D7638E"/>
    <w:rsid w:val="00D77B90"/>
    <w:rsid w:val="00D8138E"/>
    <w:rsid w:val="00D8276E"/>
    <w:rsid w:val="00D82B56"/>
    <w:rsid w:val="00D83A7F"/>
    <w:rsid w:val="00D843FC"/>
    <w:rsid w:val="00D84A98"/>
    <w:rsid w:val="00D8621E"/>
    <w:rsid w:val="00D86562"/>
    <w:rsid w:val="00D86909"/>
    <w:rsid w:val="00D90572"/>
    <w:rsid w:val="00D90FEC"/>
    <w:rsid w:val="00D9255B"/>
    <w:rsid w:val="00D93A79"/>
    <w:rsid w:val="00D93DF6"/>
    <w:rsid w:val="00D946B7"/>
    <w:rsid w:val="00D9586A"/>
    <w:rsid w:val="00D95A48"/>
    <w:rsid w:val="00D962C1"/>
    <w:rsid w:val="00D964DC"/>
    <w:rsid w:val="00D966A5"/>
    <w:rsid w:val="00D969AB"/>
    <w:rsid w:val="00D96A2D"/>
    <w:rsid w:val="00D96FD3"/>
    <w:rsid w:val="00D9726E"/>
    <w:rsid w:val="00DA06FD"/>
    <w:rsid w:val="00DA16BE"/>
    <w:rsid w:val="00DA1825"/>
    <w:rsid w:val="00DA1DAD"/>
    <w:rsid w:val="00DA2801"/>
    <w:rsid w:val="00DA308F"/>
    <w:rsid w:val="00DA3452"/>
    <w:rsid w:val="00DA38CD"/>
    <w:rsid w:val="00DA6098"/>
    <w:rsid w:val="00DA6913"/>
    <w:rsid w:val="00DA7584"/>
    <w:rsid w:val="00DA78BE"/>
    <w:rsid w:val="00DA7B53"/>
    <w:rsid w:val="00DB0490"/>
    <w:rsid w:val="00DB0758"/>
    <w:rsid w:val="00DB1FB4"/>
    <w:rsid w:val="00DB23FF"/>
    <w:rsid w:val="00DB31F0"/>
    <w:rsid w:val="00DB3331"/>
    <w:rsid w:val="00DB483C"/>
    <w:rsid w:val="00DB4891"/>
    <w:rsid w:val="00DB55E6"/>
    <w:rsid w:val="00DB5701"/>
    <w:rsid w:val="00DB6AB0"/>
    <w:rsid w:val="00DB7FFE"/>
    <w:rsid w:val="00DC01CA"/>
    <w:rsid w:val="00DC06BF"/>
    <w:rsid w:val="00DC2846"/>
    <w:rsid w:val="00DC28C1"/>
    <w:rsid w:val="00DC3A6D"/>
    <w:rsid w:val="00DC3B9A"/>
    <w:rsid w:val="00DC437F"/>
    <w:rsid w:val="00DC66FC"/>
    <w:rsid w:val="00DC697C"/>
    <w:rsid w:val="00DC785F"/>
    <w:rsid w:val="00DC7BB8"/>
    <w:rsid w:val="00DD0288"/>
    <w:rsid w:val="00DD09F0"/>
    <w:rsid w:val="00DD15A7"/>
    <w:rsid w:val="00DD1E31"/>
    <w:rsid w:val="00DD241B"/>
    <w:rsid w:val="00DD2A24"/>
    <w:rsid w:val="00DD2E73"/>
    <w:rsid w:val="00DD2F0F"/>
    <w:rsid w:val="00DD3126"/>
    <w:rsid w:val="00DD3461"/>
    <w:rsid w:val="00DD3A3F"/>
    <w:rsid w:val="00DD435A"/>
    <w:rsid w:val="00DD463F"/>
    <w:rsid w:val="00DD5544"/>
    <w:rsid w:val="00DD58C9"/>
    <w:rsid w:val="00DE542A"/>
    <w:rsid w:val="00DE5EBD"/>
    <w:rsid w:val="00DE6467"/>
    <w:rsid w:val="00DE673F"/>
    <w:rsid w:val="00DE6D9F"/>
    <w:rsid w:val="00DE6E4E"/>
    <w:rsid w:val="00DE7343"/>
    <w:rsid w:val="00DE7A47"/>
    <w:rsid w:val="00DF00E7"/>
    <w:rsid w:val="00DF088C"/>
    <w:rsid w:val="00DF0A4D"/>
    <w:rsid w:val="00DF0AA3"/>
    <w:rsid w:val="00DF1B5F"/>
    <w:rsid w:val="00DF26BF"/>
    <w:rsid w:val="00DF30B0"/>
    <w:rsid w:val="00DF32FF"/>
    <w:rsid w:val="00DF3A24"/>
    <w:rsid w:val="00DF4BF0"/>
    <w:rsid w:val="00DF4CC4"/>
    <w:rsid w:val="00DF5505"/>
    <w:rsid w:val="00DF586C"/>
    <w:rsid w:val="00DF598E"/>
    <w:rsid w:val="00DF632A"/>
    <w:rsid w:val="00DF71DD"/>
    <w:rsid w:val="00DF7C53"/>
    <w:rsid w:val="00E00318"/>
    <w:rsid w:val="00E00450"/>
    <w:rsid w:val="00E009D4"/>
    <w:rsid w:val="00E019AB"/>
    <w:rsid w:val="00E01CB9"/>
    <w:rsid w:val="00E02F46"/>
    <w:rsid w:val="00E051CA"/>
    <w:rsid w:val="00E053D4"/>
    <w:rsid w:val="00E05EE8"/>
    <w:rsid w:val="00E068D0"/>
    <w:rsid w:val="00E07530"/>
    <w:rsid w:val="00E0770B"/>
    <w:rsid w:val="00E07857"/>
    <w:rsid w:val="00E103C1"/>
    <w:rsid w:val="00E10835"/>
    <w:rsid w:val="00E10AF2"/>
    <w:rsid w:val="00E11654"/>
    <w:rsid w:val="00E11C0F"/>
    <w:rsid w:val="00E12D9E"/>
    <w:rsid w:val="00E13215"/>
    <w:rsid w:val="00E13B58"/>
    <w:rsid w:val="00E13DCF"/>
    <w:rsid w:val="00E1436B"/>
    <w:rsid w:val="00E1477E"/>
    <w:rsid w:val="00E1502C"/>
    <w:rsid w:val="00E168ED"/>
    <w:rsid w:val="00E17CE7"/>
    <w:rsid w:val="00E22DFD"/>
    <w:rsid w:val="00E238FB"/>
    <w:rsid w:val="00E23F36"/>
    <w:rsid w:val="00E2730D"/>
    <w:rsid w:val="00E2763B"/>
    <w:rsid w:val="00E27F8E"/>
    <w:rsid w:val="00E31E20"/>
    <w:rsid w:val="00E33AF0"/>
    <w:rsid w:val="00E34266"/>
    <w:rsid w:val="00E3488E"/>
    <w:rsid w:val="00E34D23"/>
    <w:rsid w:val="00E35D2B"/>
    <w:rsid w:val="00E360A7"/>
    <w:rsid w:val="00E370A3"/>
    <w:rsid w:val="00E373E4"/>
    <w:rsid w:val="00E406F6"/>
    <w:rsid w:val="00E4143E"/>
    <w:rsid w:val="00E41DA5"/>
    <w:rsid w:val="00E428BF"/>
    <w:rsid w:val="00E4295B"/>
    <w:rsid w:val="00E4337D"/>
    <w:rsid w:val="00E43578"/>
    <w:rsid w:val="00E43900"/>
    <w:rsid w:val="00E45005"/>
    <w:rsid w:val="00E45B2D"/>
    <w:rsid w:val="00E46B33"/>
    <w:rsid w:val="00E47072"/>
    <w:rsid w:val="00E5061B"/>
    <w:rsid w:val="00E50BAC"/>
    <w:rsid w:val="00E50E01"/>
    <w:rsid w:val="00E521B8"/>
    <w:rsid w:val="00E52314"/>
    <w:rsid w:val="00E52636"/>
    <w:rsid w:val="00E52834"/>
    <w:rsid w:val="00E52B7F"/>
    <w:rsid w:val="00E533C0"/>
    <w:rsid w:val="00E53AA1"/>
    <w:rsid w:val="00E55072"/>
    <w:rsid w:val="00E55FA8"/>
    <w:rsid w:val="00E56A4D"/>
    <w:rsid w:val="00E56E03"/>
    <w:rsid w:val="00E56EB2"/>
    <w:rsid w:val="00E574BC"/>
    <w:rsid w:val="00E57C39"/>
    <w:rsid w:val="00E6029F"/>
    <w:rsid w:val="00E602FF"/>
    <w:rsid w:val="00E60780"/>
    <w:rsid w:val="00E610AD"/>
    <w:rsid w:val="00E618F7"/>
    <w:rsid w:val="00E61EC7"/>
    <w:rsid w:val="00E63294"/>
    <w:rsid w:val="00E636D7"/>
    <w:rsid w:val="00E63D68"/>
    <w:rsid w:val="00E650EF"/>
    <w:rsid w:val="00E66D11"/>
    <w:rsid w:val="00E66D15"/>
    <w:rsid w:val="00E67A1B"/>
    <w:rsid w:val="00E67D08"/>
    <w:rsid w:val="00E708AE"/>
    <w:rsid w:val="00E70920"/>
    <w:rsid w:val="00E70A07"/>
    <w:rsid w:val="00E711A2"/>
    <w:rsid w:val="00E71ABA"/>
    <w:rsid w:val="00E720AA"/>
    <w:rsid w:val="00E72613"/>
    <w:rsid w:val="00E72D55"/>
    <w:rsid w:val="00E73A82"/>
    <w:rsid w:val="00E73C9E"/>
    <w:rsid w:val="00E74731"/>
    <w:rsid w:val="00E748E3"/>
    <w:rsid w:val="00E74DFB"/>
    <w:rsid w:val="00E7579A"/>
    <w:rsid w:val="00E75A91"/>
    <w:rsid w:val="00E75AC3"/>
    <w:rsid w:val="00E75EC8"/>
    <w:rsid w:val="00E766AA"/>
    <w:rsid w:val="00E8077B"/>
    <w:rsid w:val="00E82480"/>
    <w:rsid w:val="00E82742"/>
    <w:rsid w:val="00E8492C"/>
    <w:rsid w:val="00E85733"/>
    <w:rsid w:val="00E86010"/>
    <w:rsid w:val="00E86971"/>
    <w:rsid w:val="00E86999"/>
    <w:rsid w:val="00E86A6C"/>
    <w:rsid w:val="00E876F2"/>
    <w:rsid w:val="00E90E08"/>
    <w:rsid w:val="00E91055"/>
    <w:rsid w:val="00E91F0F"/>
    <w:rsid w:val="00E93445"/>
    <w:rsid w:val="00E93968"/>
    <w:rsid w:val="00E93A69"/>
    <w:rsid w:val="00E93E70"/>
    <w:rsid w:val="00E94067"/>
    <w:rsid w:val="00E9577A"/>
    <w:rsid w:val="00E95B58"/>
    <w:rsid w:val="00E95E07"/>
    <w:rsid w:val="00E9781E"/>
    <w:rsid w:val="00E97858"/>
    <w:rsid w:val="00E97A4E"/>
    <w:rsid w:val="00E97A90"/>
    <w:rsid w:val="00E97B38"/>
    <w:rsid w:val="00EA2DDD"/>
    <w:rsid w:val="00EA3A2F"/>
    <w:rsid w:val="00EA3D02"/>
    <w:rsid w:val="00EA44A0"/>
    <w:rsid w:val="00EA4C6E"/>
    <w:rsid w:val="00EA5BCF"/>
    <w:rsid w:val="00EB0324"/>
    <w:rsid w:val="00EB151A"/>
    <w:rsid w:val="00EB1FD2"/>
    <w:rsid w:val="00EB5D30"/>
    <w:rsid w:val="00EB61CE"/>
    <w:rsid w:val="00EB6B03"/>
    <w:rsid w:val="00EB6BBE"/>
    <w:rsid w:val="00EB715C"/>
    <w:rsid w:val="00EB78CD"/>
    <w:rsid w:val="00EC00B7"/>
    <w:rsid w:val="00EC01FB"/>
    <w:rsid w:val="00EC17F6"/>
    <w:rsid w:val="00EC20F1"/>
    <w:rsid w:val="00EC2BB5"/>
    <w:rsid w:val="00EC2CF1"/>
    <w:rsid w:val="00EC4A11"/>
    <w:rsid w:val="00EC4BDA"/>
    <w:rsid w:val="00EC5433"/>
    <w:rsid w:val="00EC56A7"/>
    <w:rsid w:val="00EC58FD"/>
    <w:rsid w:val="00EC6527"/>
    <w:rsid w:val="00EC7385"/>
    <w:rsid w:val="00EC7D08"/>
    <w:rsid w:val="00EC7F3E"/>
    <w:rsid w:val="00ED0EA3"/>
    <w:rsid w:val="00ED0FC9"/>
    <w:rsid w:val="00ED173D"/>
    <w:rsid w:val="00ED1F36"/>
    <w:rsid w:val="00ED2075"/>
    <w:rsid w:val="00ED217C"/>
    <w:rsid w:val="00ED219B"/>
    <w:rsid w:val="00ED39AE"/>
    <w:rsid w:val="00ED3C60"/>
    <w:rsid w:val="00ED49C5"/>
    <w:rsid w:val="00ED5B0F"/>
    <w:rsid w:val="00ED6066"/>
    <w:rsid w:val="00ED68B1"/>
    <w:rsid w:val="00ED6941"/>
    <w:rsid w:val="00ED7E34"/>
    <w:rsid w:val="00EE2250"/>
    <w:rsid w:val="00EE3A63"/>
    <w:rsid w:val="00EE4FA1"/>
    <w:rsid w:val="00EE6381"/>
    <w:rsid w:val="00EE7209"/>
    <w:rsid w:val="00EF14ED"/>
    <w:rsid w:val="00EF28F8"/>
    <w:rsid w:val="00EF3AA3"/>
    <w:rsid w:val="00EF4B01"/>
    <w:rsid w:val="00EF4C8F"/>
    <w:rsid w:val="00EF5352"/>
    <w:rsid w:val="00EF5ABC"/>
    <w:rsid w:val="00F017FF"/>
    <w:rsid w:val="00F0180C"/>
    <w:rsid w:val="00F024E4"/>
    <w:rsid w:val="00F03010"/>
    <w:rsid w:val="00F04C6F"/>
    <w:rsid w:val="00F06122"/>
    <w:rsid w:val="00F06D11"/>
    <w:rsid w:val="00F07047"/>
    <w:rsid w:val="00F07622"/>
    <w:rsid w:val="00F078F4"/>
    <w:rsid w:val="00F11F63"/>
    <w:rsid w:val="00F12857"/>
    <w:rsid w:val="00F146F5"/>
    <w:rsid w:val="00F14936"/>
    <w:rsid w:val="00F14EF8"/>
    <w:rsid w:val="00F15F76"/>
    <w:rsid w:val="00F17D3F"/>
    <w:rsid w:val="00F22101"/>
    <w:rsid w:val="00F22866"/>
    <w:rsid w:val="00F23EB6"/>
    <w:rsid w:val="00F24156"/>
    <w:rsid w:val="00F259AF"/>
    <w:rsid w:val="00F263B6"/>
    <w:rsid w:val="00F2648B"/>
    <w:rsid w:val="00F2681C"/>
    <w:rsid w:val="00F26A98"/>
    <w:rsid w:val="00F30873"/>
    <w:rsid w:val="00F3242A"/>
    <w:rsid w:val="00F32AF5"/>
    <w:rsid w:val="00F3324D"/>
    <w:rsid w:val="00F3349E"/>
    <w:rsid w:val="00F33720"/>
    <w:rsid w:val="00F33CC2"/>
    <w:rsid w:val="00F33FAC"/>
    <w:rsid w:val="00F340E5"/>
    <w:rsid w:val="00F348A9"/>
    <w:rsid w:val="00F348AD"/>
    <w:rsid w:val="00F35F6F"/>
    <w:rsid w:val="00F3782B"/>
    <w:rsid w:val="00F40B77"/>
    <w:rsid w:val="00F40C09"/>
    <w:rsid w:val="00F41025"/>
    <w:rsid w:val="00F415E5"/>
    <w:rsid w:val="00F418F0"/>
    <w:rsid w:val="00F41D11"/>
    <w:rsid w:val="00F44C12"/>
    <w:rsid w:val="00F45031"/>
    <w:rsid w:val="00F4510D"/>
    <w:rsid w:val="00F45160"/>
    <w:rsid w:val="00F455F0"/>
    <w:rsid w:val="00F45AD2"/>
    <w:rsid w:val="00F46BB6"/>
    <w:rsid w:val="00F5041C"/>
    <w:rsid w:val="00F5186B"/>
    <w:rsid w:val="00F51FE9"/>
    <w:rsid w:val="00F52E74"/>
    <w:rsid w:val="00F530C5"/>
    <w:rsid w:val="00F53331"/>
    <w:rsid w:val="00F535FC"/>
    <w:rsid w:val="00F54435"/>
    <w:rsid w:val="00F554E0"/>
    <w:rsid w:val="00F558BD"/>
    <w:rsid w:val="00F562F7"/>
    <w:rsid w:val="00F57522"/>
    <w:rsid w:val="00F575C4"/>
    <w:rsid w:val="00F577E8"/>
    <w:rsid w:val="00F57E3C"/>
    <w:rsid w:val="00F60D1D"/>
    <w:rsid w:val="00F615D7"/>
    <w:rsid w:val="00F618C1"/>
    <w:rsid w:val="00F643E1"/>
    <w:rsid w:val="00F64829"/>
    <w:rsid w:val="00F666B7"/>
    <w:rsid w:val="00F67775"/>
    <w:rsid w:val="00F67AB4"/>
    <w:rsid w:val="00F67D6C"/>
    <w:rsid w:val="00F67ED5"/>
    <w:rsid w:val="00F71749"/>
    <w:rsid w:val="00F72557"/>
    <w:rsid w:val="00F7286E"/>
    <w:rsid w:val="00F734AA"/>
    <w:rsid w:val="00F73AC6"/>
    <w:rsid w:val="00F74BBF"/>
    <w:rsid w:val="00F752D1"/>
    <w:rsid w:val="00F7560C"/>
    <w:rsid w:val="00F7643D"/>
    <w:rsid w:val="00F76C77"/>
    <w:rsid w:val="00F77267"/>
    <w:rsid w:val="00F777D9"/>
    <w:rsid w:val="00F815BE"/>
    <w:rsid w:val="00F816ED"/>
    <w:rsid w:val="00F81F2A"/>
    <w:rsid w:val="00F8261E"/>
    <w:rsid w:val="00F834A7"/>
    <w:rsid w:val="00F839AA"/>
    <w:rsid w:val="00F8543A"/>
    <w:rsid w:val="00F8687F"/>
    <w:rsid w:val="00F87137"/>
    <w:rsid w:val="00F8755A"/>
    <w:rsid w:val="00F87A4A"/>
    <w:rsid w:val="00F87C9A"/>
    <w:rsid w:val="00F87FDE"/>
    <w:rsid w:val="00F90A3C"/>
    <w:rsid w:val="00F917D3"/>
    <w:rsid w:val="00F92031"/>
    <w:rsid w:val="00F9222C"/>
    <w:rsid w:val="00F9280C"/>
    <w:rsid w:val="00F94211"/>
    <w:rsid w:val="00F94E6A"/>
    <w:rsid w:val="00F94EE9"/>
    <w:rsid w:val="00F95195"/>
    <w:rsid w:val="00F95243"/>
    <w:rsid w:val="00F96386"/>
    <w:rsid w:val="00F9645E"/>
    <w:rsid w:val="00F9677E"/>
    <w:rsid w:val="00F969F2"/>
    <w:rsid w:val="00F97916"/>
    <w:rsid w:val="00F97B77"/>
    <w:rsid w:val="00F97C97"/>
    <w:rsid w:val="00F97CE8"/>
    <w:rsid w:val="00FA0B4C"/>
    <w:rsid w:val="00FA1F5C"/>
    <w:rsid w:val="00FA2B7B"/>
    <w:rsid w:val="00FA2FC3"/>
    <w:rsid w:val="00FA3D84"/>
    <w:rsid w:val="00FA4A17"/>
    <w:rsid w:val="00FA5372"/>
    <w:rsid w:val="00FA6D07"/>
    <w:rsid w:val="00FA72DF"/>
    <w:rsid w:val="00FA7793"/>
    <w:rsid w:val="00FA7840"/>
    <w:rsid w:val="00FA7A7A"/>
    <w:rsid w:val="00FB0F50"/>
    <w:rsid w:val="00FB17EF"/>
    <w:rsid w:val="00FB19E1"/>
    <w:rsid w:val="00FB2A47"/>
    <w:rsid w:val="00FB2E1C"/>
    <w:rsid w:val="00FB3366"/>
    <w:rsid w:val="00FB441D"/>
    <w:rsid w:val="00FB4782"/>
    <w:rsid w:val="00FB4875"/>
    <w:rsid w:val="00FB4BF3"/>
    <w:rsid w:val="00FB54A1"/>
    <w:rsid w:val="00FB60A2"/>
    <w:rsid w:val="00FB65ED"/>
    <w:rsid w:val="00FB6BE1"/>
    <w:rsid w:val="00FC0424"/>
    <w:rsid w:val="00FC09B2"/>
    <w:rsid w:val="00FC0BD3"/>
    <w:rsid w:val="00FC0D5E"/>
    <w:rsid w:val="00FC0E22"/>
    <w:rsid w:val="00FC20AA"/>
    <w:rsid w:val="00FC2E4C"/>
    <w:rsid w:val="00FC3312"/>
    <w:rsid w:val="00FC4E0E"/>
    <w:rsid w:val="00FC4E47"/>
    <w:rsid w:val="00FC5269"/>
    <w:rsid w:val="00FC613B"/>
    <w:rsid w:val="00FC6455"/>
    <w:rsid w:val="00FC7EE0"/>
    <w:rsid w:val="00FD0513"/>
    <w:rsid w:val="00FD1D7B"/>
    <w:rsid w:val="00FD2B87"/>
    <w:rsid w:val="00FD2BF9"/>
    <w:rsid w:val="00FD4207"/>
    <w:rsid w:val="00FD4657"/>
    <w:rsid w:val="00FD469C"/>
    <w:rsid w:val="00FD49CF"/>
    <w:rsid w:val="00FD4A6D"/>
    <w:rsid w:val="00FD516C"/>
    <w:rsid w:val="00FD5722"/>
    <w:rsid w:val="00FD5A0E"/>
    <w:rsid w:val="00FD688F"/>
    <w:rsid w:val="00FE008D"/>
    <w:rsid w:val="00FE1023"/>
    <w:rsid w:val="00FE1B5C"/>
    <w:rsid w:val="00FE24F2"/>
    <w:rsid w:val="00FE3401"/>
    <w:rsid w:val="00FE3407"/>
    <w:rsid w:val="00FE70E8"/>
    <w:rsid w:val="00FE7126"/>
    <w:rsid w:val="00FE7EB3"/>
    <w:rsid w:val="00FF018C"/>
    <w:rsid w:val="00FF0531"/>
    <w:rsid w:val="00FF0D33"/>
    <w:rsid w:val="00FF176A"/>
    <w:rsid w:val="00FF18BE"/>
    <w:rsid w:val="00FF2A23"/>
    <w:rsid w:val="00FF2EF5"/>
    <w:rsid w:val="00FF33C4"/>
    <w:rsid w:val="00FF4492"/>
    <w:rsid w:val="00FF45E0"/>
    <w:rsid w:val="00FF45E7"/>
    <w:rsid w:val="00FF4FE6"/>
    <w:rsid w:val="00FF5166"/>
    <w:rsid w:val="00FF5312"/>
    <w:rsid w:val="00FF5F28"/>
    <w:rsid w:val="00FF6020"/>
    <w:rsid w:val="00FF618D"/>
    <w:rsid w:val="00FF6649"/>
    <w:rsid w:val="00FF698D"/>
    <w:rsid w:val="00FF70D9"/>
    <w:rsid w:val="00FF7276"/>
    <w:rsid w:val="01041260"/>
    <w:rsid w:val="015A906F"/>
    <w:rsid w:val="0225B34E"/>
    <w:rsid w:val="022AE254"/>
    <w:rsid w:val="025BD303"/>
    <w:rsid w:val="0280F8E8"/>
    <w:rsid w:val="036DC784"/>
    <w:rsid w:val="039A0780"/>
    <w:rsid w:val="03E740B8"/>
    <w:rsid w:val="042793A5"/>
    <w:rsid w:val="04CE8AA5"/>
    <w:rsid w:val="059886E3"/>
    <w:rsid w:val="06CD26B9"/>
    <w:rsid w:val="06F4DFFF"/>
    <w:rsid w:val="08E682F9"/>
    <w:rsid w:val="09516F1B"/>
    <w:rsid w:val="09983372"/>
    <w:rsid w:val="0A78EA2A"/>
    <w:rsid w:val="0B9C55D5"/>
    <w:rsid w:val="0BECF481"/>
    <w:rsid w:val="0BF48272"/>
    <w:rsid w:val="0C0CCE93"/>
    <w:rsid w:val="0CA62602"/>
    <w:rsid w:val="0CD5E476"/>
    <w:rsid w:val="0D957C17"/>
    <w:rsid w:val="0E587F0B"/>
    <w:rsid w:val="0EF6E887"/>
    <w:rsid w:val="0F4553B1"/>
    <w:rsid w:val="0F571B30"/>
    <w:rsid w:val="104AB30C"/>
    <w:rsid w:val="10FC1E25"/>
    <w:rsid w:val="1146D649"/>
    <w:rsid w:val="11F0B108"/>
    <w:rsid w:val="12F30649"/>
    <w:rsid w:val="132F2AAF"/>
    <w:rsid w:val="133F3A8B"/>
    <w:rsid w:val="1340B228"/>
    <w:rsid w:val="137C90D8"/>
    <w:rsid w:val="14B81761"/>
    <w:rsid w:val="15B3EADB"/>
    <w:rsid w:val="16695B0D"/>
    <w:rsid w:val="16D9A738"/>
    <w:rsid w:val="17AD352D"/>
    <w:rsid w:val="1823057B"/>
    <w:rsid w:val="185E5B07"/>
    <w:rsid w:val="1868C5B1"/>
    <w:rsid w:val="186F527B"/>
    <w:rsid w:val="18779922"/>
    <w:rsid w:val="18D12319"/>
    <w:rsid w:val="18E84A07"/>
    <w:rsid w:val="19C259E0"/>
    <w:rsid w:val="1AE99D68"/>
    <w:rsid w:val="1B3CDAEA"/>
    <w:rsid w:val="1B537E74"/>
    <w:rsid w:val="1B89A449"/>
    <w:rsid w:val="1BA8C3E7"/>
    <w:rsid w:val="1C17243C"/>
    <w:rsid w:val="1D2D5091"/>
    <w:rsid w:val="1E2A4B12"/>
    <w:rsid w:val="1E672120"/>
    <w:rsid w:val="1E86C7F6"/>
    <w:rsid w:val="1E92BA97"/>
    <w:rsid w:val="1EC285E1"/>
    <w:rsid w:val="1F081CD9"/>
    <w:rsid w:val="1F4E079D"/>
    <w:rsid w:val="1FEC517C"/>
    <w:rsid w:val="20458772"/>
    <w:rsid w:val="207ED22C"/>
    <w:rsid w:val="23764601"/>
    <w:rsid w:val="240436FB"/>
    <w:rsid w:val="252C6020"/>
    <w:rsid w:val="26EC6B2D"/>
    <w:rsid w:val="2711663C"/>
    <w:rsid w:val="27534723"/>
    <w:rsid w:val="2785A2CA"/>
    <w:rsid w:val="27DCB2BE"/>
    <w:rsid w:val="27F9F9D2"/>
    <w:rsid w:val="2817FD6C"/>
    <w:rsid w:val="2887B04D"/>
    <w:rsid w:val="2AD22EC6"/>
    <w:rsid w:val="2B5A9D18"/>
    <w:rsid w:val="2B74AD55"/>
    <w:rsid w:val="2C7FDAED"/>
    <w:rsid w:val="2C9401AB"/>
    <w:rsid w:val="2D65EE9A"/>
    <w:rsid w:val="2DD1C49A"/>
    <w:rsid w:val="2EAC47C5"/>
    <w:rsid w:val="2F65FBC8"/>
    <w:rsid w:val="2F6BB8DA"/>
    <w:rsid w:val="2F8ECB8F"/>
    <w:rsid w:val="3024686C"/>
    <w:rsid w:val="3061A5AA"/>
    <w:rsid w:val="30BBD2D2"/>
    <w:rsid w:val="316EA84E"/>
    <w:rsid w:val="319259D0"/>
    <w:rsid w:val="31F3B597"/>
    <w:rsid w:val="3290C64E"/>
    <w:rsid w:val="33193629"/>
    <w:rsid w:val="331E2140"/>
    <w:rsid w:val="340A4CD9"/>
    <w:rsid w:val="35A371A8"/>
    <w:rsid w:val="35AC52D3"/>
    <w:rsid w:val="361D8D30"/>
    <w:rsid w:val="37047756"/>
    <w:rsid w:val="37CC21EF"/>
    <w:rsid w:val="38394A2F"/>
    <w:rsid w:val="386CD520"/>
    <w:rsid w:val="39E70CD5"/>
    <w:rsid w:val="3AA2770E"/>
    <w:rsid w:val="3CE165C9"/>
    <w:rsid w:val="3D314957"/>
    <w:rsid w:val="3D5DA4D8"/>
    <w:rsid w:val="3D7AAC28"/>
    <w:rsid w:val="3DD737AA"/>
    <w:rsid w:val="3E402E41"/>
    <w:rsid w:val="3E890C98"/>
    <w:rsid w:val="3F61498C"/>
    <w:rsid w:val="40709C70"/>
    <w:rsid w:val="41D4EC8B"/>
    <w:rsid w:val="426FE8FC"/>
    <w:rsid w:val="42CB8596"/>
    <w:rsid w:val="433D09A8"/>
    <w:rsid w:val="436D07C1"/>
    <w:rsid w:val="43EF9973"/>
    <w:rsid w:val="43F23204"/>
    <w:rsid w:val="445AAB29"/>
    <w:rsid w:val="44E5E7F0"/>
    <w:rsid w:val="466E2CCE"/>
    <w:rsid w:val="46AFE09C"/>
    <w:rsid w:val="48CE9772"/>
    <w:rsid w:val="48E14FA8"/>
    <w:rsid w:val="49CE40A3"/>
    <w:rsid w:val="4AF1EFC4"/>
    <w:rsid w:val="4B44FD73"/>
    <w:rsid w:val="4C5E7A4A"/>
    <w:rsid w:val="4CD3D23D"/>
    <w:rsid w:val="4D0AEB57"/>
    <w:rsid w:val="4D73DFEA"/>
    <w:rsid w:val="4E9F14AE"/>
    <w:rsid w:val="4FB8A445"/>
    <w:rsid w:val="50B88793"/>
    <w:rsid w:val="519E5683"/>
    <w:rsid w:val="51C3C947"/>
    <w:rsid w:val="51F26240"/>
    <w:rsid w:val="5214B735"/>
    <w:rsid w:val="522DED08"/>
    <w:rsid w:val="5280AF06"/>
    <w:rsid w:val="52FC7074"/>
    <w:rsid w:val="53EA6BBB"/>
    <w:rsid w:val="55D78026"/>
    <w:rsid w:val="562491B5"/>
    <w:rsid w:val="574F3E96"/>
    <w:rsid w:val="597E528A"/>
    <w:rsid w:val="5991890A"/>
    <w:rsid w:val="59A6D65D"/>
    <w:rsid w:val="5B4E58D1"/>
    <w:rsid w:val="5B7BE07D"/>
    <w:rsid w:val="5CB9F9C5"/>
    <w:rsid w:val="5D4FB7CF"/>
    <w:rsid w:val="5DD950E2"/>
    <w:rsid w:val="5FBBFC88"/>
    <w:rsid w:val="604C0CD4"/>
    <w:rsid w:val="605196C4"/>
    <w:rsid w:val="61544B42"/>
    <w:rsid w:val="625BB82D"/>
    <w:rsid w:val="635C0CFD"/>
    <w:rsid w:val="63CC436B"/>
    <w:rsid w:val="6410788F"/>
    <w:rsid w:val="654D8125"/>
    <w:rsid w:val="6556C98A"/>
    <w:rsid w:val="660694AD"/>
    <w:rsid w:val="6641FE7A"/>
    <w:rsid w:val="671E3E76"/>
    <w:rsid w:val="674F4924"/>
    <w:rsid w:val="67664E1C"/>
    <w:rsid w:val="6863F8E2"/>
    <w:rsid w:val="688796DE"/>
    <w:rsid w:val="68AE641B"/>
    <w:rsid w:val="68E72EDB"/>
    <w:rsid w:val="695DC08E"/>
    <w:rsid w:val="698221C6"/>
    <w:rsid w:val="6A04E283"/>
    <w:rsid w:val="6A8239E1"/>
    <w:rsid w:val="6B86810A"/>
    <w:rsid w:val="6BB0C4F9"/>
    <w:rsid w:val="6C045CC3"/>
    <w:rsid w:val="6C477EAD"/>
    <w:rsid w:val="6E6760B8"/>
    <w:rsid w:val="6EAEDED2"/>
    <w:rsid w:val="6EB04669"/>
    <w:rsid w:val="6F5F60E4"/>
    <w:rsid w:val="6F83B0D0"/>
    <w:rsid w:val="6FF50CFF"/>
    <w:rsid w:val="7014FD72"/>
    <w:rsid w:val="7025E844"/>
    <w:rsid w:val="704B88FF"/>
    <w:rsid w:val="70E962E5"/>
    <w:rsid w:val="70FEA914"/>
    <w:rsid w:val="71FB2482"/>
    <w:rsid w:val="724F677F"/>
    <w:rsid w:val="72B030B3"/>
    <w:rsid w:val="72E09A7E"/>
    <w:rsid w:val="73442D26"/>
    <w:rsid w:val="73A1DD48"/>
    <w:rsid w:val="74238F47"/>
    <w:rsid w:val="75CC0677"/>
    <w:rsid w:val="760375FA"/>
    <w:rsid w:val="77645803"/>
    <w:rsid w:val="77B9CF31"/>
    <w:rsid w:val="77BB5AC6"/>
    <w:rsid w:val="78378E41"/>
    <w:rsid w:val="78C91793"/>
    <w:rsid w:val="78EE1C96"/>
    <w:rsid w:val="790E05CD"/>
    <w:rsid w:val="79668BE2"/>
    <w:rsid w:val="79D56251"/>
    <w:rsid w:val="7B319FA3"/>
    <w:rsid w:val="7B89ACAC"/>
    <w:rsid w:val="7BDD445A"/>
    <w:rsid w:val="7D2ED1E9"/>
    <w:rsid w:val="7D60D4BC"/>
    <w:rsid w:val="7D98EAF1"/>
    <w:rsid w:val="7D9B9A4F"/>
    <w:rsid w:val="7DF92DE5"/>
    <w:rsid w:val="7E43F281"/>
    <w:rsid w:val="7E536DFB"/>
    <w:rsid w:val="7F1D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37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F2AEF"/>
    <w:rPr>
      <w:color w:val="0000FF"/>
      <w:shd w:val="clear" w:color="auto" w:fill="auto"/>
    </w:rPr>
  </w:style>
  <w:style w:type="paragraph" w:styleId="Header">
    <w:name w:val="header"/>
    <w:basedOn w:val="Normal"/>
    <w:link w:val="HeaderChar"/>
    <w:uiPriority w:val="99"/>
    <w:unhideWhenUsed/>
    <w:rsid w:val="002F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EF"/>
  </w:style>
  <w:style w:type="paragraph" w:styleId="Footer">
    <w:name w:val="footer"/>
    <w:basedOn w:val="Normal"/>
    <w:link w:val="FooterChar"/>
    <w:uiPriority w:val="99"/>
    <w:unhideWhenUsed/>
    <w:rsid w:val="002F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EF"/>
  </w:style>
  <w:style w:type="paragraph" w:customStyle="1" w:styleId="Pagedecouverture">
    <w:name w:val="Page de couverture"/>
    <w:basedOn w:val="Normal"/>
    <w:next w:val="Normal"/>
    <w:rsid w:val="002F2AE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F2AE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F2AEF"/>
    <w:rPr>
      <w:rFonts w:ascii="Times New Roman" w:hAnsi="Times New Roman" w:cs="Times New Roman"/>
      <w:sz w:val="24"/>
    </w:rPr>
  </w:style>
  <w:style w:type="paragraph" w:customStyle="1" w:styleId="FooterSensitivity">
    <w:name w:val="Footer Sensitivity"/>
    <w:basedOn w:val="Normal"/>
    <w:link w:val="FooterSensitivityChar"/>
    <w:rsid w:val="002F2AE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F2AEF"/>
    <w:rPr>
      <w:rFonts w:ascii="Times New Roman" w:hAnsi="Times New Roman" w:cs="Times New Roman"/>
      <w:b/>
      <w:sz w:val="32"/>
    </w:rPr>
  </w:style>
  <w:style w:type="paragraph" w:customStyle="1" w:styleId="HeaderCoverPage">
    <w:name w:val="Header Cover Page"/>
    <w:basedOn w:val="Normal"/>
    <w:link w:val="HeaderCoverPageChar"/>
    <w:rsid w:val="002F2AE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F2AEF"/>
    <w:rPr>
      <w:rFonts w:ascii="Times New Roman" w:hAnsi="Times New Roman" w:cs="Times New Roman"/>
      <w:sz w:val="24"/>
    </w:rPr>
  </w:style>
  <w:style w:type="paragraph" w:customStyle="1" w:styleId="HeaderSensitivity">
    <w:name w:val="Header Sensitivity"/>
    <w:basedOn w:val="Normal"/>
    <w:link w:val="HeaderSensitivityChar"/>
    <w:rsid w:val="002F2AE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F2AEF"/>
    <w:rPr>
      <w:rFonts w:ascii="Times New Roman" w:hAnsi="Times New Roman" w:cs="Times New Roman"/>
      <w:b/>
      <w:sz w:val="32"/>
    </w:rPr>
  </w:style>
  <w:style w:type="paragraph" w:customStyle="1" w:styleId="HeaderSensitivityRight">
    <w:name w:val="Header Sensitivity Right"/>
    <w:basedOn w:val="Normal"/>
    <w:link w:val="HeaderSensitivityRightChar"/>
    <w:rsid w:val="002F2AE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F2AEF"/>
    <w:rPr>
      <w:rFonts w:ascii="Times New Roman" w:hAnsi="Times New Roman" w:cs="Times New Roman"/>
      <w:sz w:val="28"/>
    </w:rPr>
  </w:style>
  <w:style w:type="paragraph" w:customStyle="1" w:styleId="li">
    <w:name w:val="li"/>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otnotereference">
    <w:name w:val="footnotereference"/>
    <w:basedOn w:val="DefaultParagraphFont"/>
    <w:rsid w:val="005A63C8"/>
  </w:style>
  <w:style w:type="character" w:styleId="Hyperlink">
    <w:name w:val="Hyperlink"/>
    <w:basedOn w:val="DefaultParagraphFont"/>
    <w:uiPriority w:val="99"/>
    <w:unhideWhenUsed/>
    <w:rsid w:val="005A63C8"/>
    <w:rPr>
      <w:color w:val="0000FF"/>
      <w:u w:val="single"/>
    </w:rPr>
  </w:style>
  <w:style w:type="character" w:customStyle="1" w:styleId="normaltextrun">
    <w:name w:val="normaltextrun"/>
    <w:basedOn w:val="DefaultParagraphFont"/>
    <w:rsid w:val="005A63C8"/>
  </w:style>
  <w:style w:type="character" w:customStyle="1" w:styleId="num">
    <w:name w:val="num"/>
    <w:basedOn w:val="DefaultParagraphFont"/>
    <w:rsid w:val="005A63C8"/>
  </w:style>
  <w:style w:type="paragraph" w:customStyle="1" w:styleId="Subject">
    <w:name w:val="Subject"/>
    <w:basedOn w:val="Normal"/>
    <w:link w:val="SubjectChar"/>
    <w:uiPriority w:val="2"/>
    <w:rsid w:val="005A63C8"/>
    <w:pPr>
      <w:spacing w:after="480" w:line="240" w:lineRule="auto"/>
      <w:ind w:left="1191" w:hanging="1191"/>
      <w:contextualSpacing/>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unhideWhenUsed/>
    <w:rsid w:val="00B279E0"/>
    <w:pPr>
      <w:spacing w:after="0" w:line="240" w:lineRule="auto"/>
    </w:pPr>
    <w:rPr>
      <w:sz w:val="20"/>
      <w:szCs w:val="20"/>
    </w:rPr>
  </w:style>
  <w:style w:type="character" w:customStyle="1" w:styleId="FootnoteTextChar">
    <w:name w:val="Footnote Text Char"/>
    <w:basedOn w:val="DefaultParagraphFont"/>
    <w:link w:val="FootnoteText"/>
    <w:uiPriority w:val="99"/>
    <w:rsid w:val="00B279E0"/>
    <w:rPr>
      <w:sz w:val="20"/>
      <w:szCs w:val="20"/>
      <w:lang w:val="cs-CZ"/>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B279E0"/>
    <w:pPr>
      <w:spacing w:line="256" w:lineRule="auto"/>
      <w:ind w:left="720"/>
      <w:contextualSpacing/>
    </w:pPr>
  </w:style>
  <w:style w:type="character" w:styleId="FootnoteReference0">
    <w:name w:val="footnote reference"/>
    <w:basedOn w:val="DefaultParagraphFont"/>
    <w:uiPriority w:val="99"/>
    <w:unhideWhenUsed/>
    <w:rsid w:val="00B279E0"/>
    <w:rPr>
      <w:vertAlign w:val="superscript"/>
    </w:rPr>
  </w:style>
  <w:style w:type="character" w:styleId="CommentReference">
    <w:name w:val="annotation reference"/>
    <w:basedOn w:val="DefaultParagraphFont"/>
    <w:uiPriority w:val="99"/>
    <w:semiHidden/>
    <w:unhideWhenUsed/>
    <w:rsid w:val="00DD09F0"/>
    <w:rPr>
      <w:sz w:val="16"/>
      <w:szCs w:val="16"/>
    </w:rPr>
  </w:style>
  <w:style w:type="paragraph" w:styleId="CommentText">
    <w:name w:val="annotation text"/>
    <w:basedOn w:val="Normal"/>
    <w:link w:val="CommentTextChar"/>
    <w:uiPriority w:val="99"/>
    <w:unhideWhenUsed/>
    <w:rsid w:val="00DD09F0"/>
    <w:pPr>
      <w:spacing w:line="240" w:lineRule="auto"/>
    </w:pPr>
    <w:rPr>
      <w:sz w:val="20"/>
      <w:szCs w:val="20"/>
    </w:rPr>
  </w:style>
  <w:style w:type="character" w:customStyle="1" w:styleId="CommentTextChar">
    <w:name w:val="Comment Text Char"/>
    <w:basedOn w:val="DefaultParagraphFont"/>
    <w:link w:val="CommentText"/>
    <w:uiPriority w:val="99"/>
    <w:rsid w:val="00DD09F0"/>
    <w:rPr>
      <w:sz w:val="20"/>
      <w:szCs w:val="20"/>
    </w:rPr>
  </w:style>
  <w:style w:type="paragraph" w:styleId="CommentSubject">
    <w:name w:val="annotation subject"/>
    <w:basedOn w:val="CommentText"/>
    <w:next w:val="CommentText"/>
    <w:link w:val="CommentSubjectChar"/>
    <w:uiPriority w:val="99"/>
    <w:semiHidden/>
    <w:unhideWhenUsed/>
    <w:rsid w:val="00DD09F0"/>
    <w:rPr>
      <w:b/>
      <w:bCs/>
    </w:rPr>
  </w:style>
  <w:style w:type="character" w:customStyle="1" w:styleId="CommentSubjectChar">
    <w:name w:val="Comment Subject Char"/>
    <w:basedOn w:val="CommentTextChar"/>
    <w:link w:val="CommentSubject"/>
    <w:uiPriority w:val="99"/>
    <w:semiHidden/>
    <w:rsid w:val="00DD09F0"/>
    <w:rPr>
      <w:b/>
      <w:bCs/>
      <w:sz w:val="20"/>
      <w:szCs w:val="20"/>
    </w:rPr>
  </w:style>
  <w:style w:type="paragraph" w:styleId="NormalWeb">
    <w:name w:val="Normal (Web)"/>
    <w:basedOn w:val="Normal"/>
    <w:uiPriority w:val="99"/>
    <w:semiHidden/>
    <w:unhideWhenUsed/>
    <w:rsid w:val="001E34A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CA0626"/>
    <w:pPr>
      <w:spacing w:after="0" w:line="240" w:lineRule="auto"/>
    </w:pPr>
  </w:style>
  <w:style w:type="character" w:customStyle="1" w:styleId="UnresolvedMention1">
    <w:name w:val="Unresolved Mention1"/>
    <w:basedOn w:val="DefaultParagraphFont"/>
    <w:uiPriority w:val="99"/>
    <w:unhideWhenUsed/>
    <w:rsid w:val="00CA0626"/>
    <w:rPr>
      <w:color w:val="605E5C"/>
      <w:shd w:val="clear" w:color="auto" w:fill="E1DFDD"/>
    </w:rPr>
  </w:style>
  <w:style w:type="character" w:customStyle="1" w:styleId="Mention1">
    <w:name w:val="Mention1"/>
    <w:basedOn w:val="DefaultParagraphFont"/>
    <w:uiPriority w:val="99"/>
    <w:unhideWhenUsed/>
    <w:rsid w:val="00CA0626"/>
    <w:rPr>
      <w:color w:val="2B579A"/>
      <w:shd w:val="clear" w:color="auto" w:fill="E1DFDD"/>
    </w:rPr>
  </w:style>
  <w:style w:type="paragraph" w:styleId="BalloonText">
    <w:name w:val="Balloon Text"/>
    <w:basedOn w:val="Normal"/>
    <w:link w:val="BalloonTextChar"/>
    <w:uiPriority w:val="99"/>
    <w:semiHidden/>
    <w:unhideWhenUsed/>
    <w:rsid w:val="00CA0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626"/>
    <w:rPr>
      <w:rFonts w:ascii="Segoe UI" w:hAnsi="Segoe UI" w:cs="Segoe UI"/>
      <w:sz w:val="18"/>
      <w:szCs w:val="18"/>
    </w:rPr>
  </w:style>
  <w:style w:type="paragraph" w:customStyle="1" w:styleId="paragraph">
    <w:name w:val="paragraph"/>
    <w:basedOn w:val="Normal"/>
    <w:rsid w:val="00624A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624A39"/>
  </w:style>
  <w:style w:type="paragraph" w:customStyle="1" w:styleId="Typedudocument">
    <w:name w:val="Type du document"/>
    <w:basedOn w:val="Normal"/>
    <w:next w:val="Normal"/>
    <w:rsid w:val="0054526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4526B"/>
    <w:pPr>
      <w:spacing w:before="360" w:after="360" w:line="240" w:lineRule="auto"/>
      <w:jc w:val="center"/>
    </w:pPr>
    <w:rPr>
      <w:rFonts w:ascii="Times New Roman" w:hAnsi="Times New Roman" w:cs="Times New Roman"/>
      <w:b/>
      <w:sz w:val="24"/>
    </w:rPr>
  </w:style>
  <w:style w:type="character" w:customStyle="1" w:styleId="UnresolvedMention2">
    <w:name w:val="Unresolved Mention2"/>
    <w:basedOn w:val="DefaultParagraphFont"/>
    <w:uiPriority w:val="99"/>
    <w:semiHidden/>
    <w:unhideWhenUsed/>
    <w:rsid w:val="00F22101"/>
    <w:rPr>
      <w:color w:val="605E5C"/>
      <w:shd w:val="clear" w:color="auto" w:fill="E1DFDD"/>
    </w:rPr>
  </w:style>
  <w:style w:type="character" w:styleId="FollowedHyperlink">
    <w:name w:val="FollowedHyperlink"/>
    <w:basedOn w:val="DefaultParagraphFont"/>
    <w:uiPriority w:val="99"/>
    <w:semiHidden/>
    <w:unhideWhenUsed/>
    <w:rsid w:val="006434AD"/>
    <w:rPr>
      <w:color w:val="954F72" w:themeColor="followedHyperlink"/>
      <w:u w:val="singl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BB240B"/>
    <w:rPr>
      <w:lang w:val="cs-CZ"/>
    </w:rPr>
  </w:style>
  <w:style w:type="paragraph" w:customStyle="1" w:styleId="Style1">
    <w:name w:val="Style1"/>
    <w:basedOn w:val="Subject"/>
    <w:link w:val="Style1Char"/>
    <w:qFormat/>
    <w:rsid w:val="00E12D9E"/>
    <w:pPr>
      <w:numPr>
        <w:numId w:val="2"/>
      </w:numPr>
      <w:jc w:val="both"/>
    </w:pPr>
    <w:rPr>
      <w:smallCaps/>
      <w:color w:val="333333"/>
      <w:szCs w:val="24"/>
    </w:rPr>
  </w:style>
  <w:style w:type="paragraph" w:customStyle="1" w:styleId="Style2">
    <w:name w:val="Style2"/>
    <w:basedOn w:val="ListParagraph"/>
    <w:link w:val="Style2Char"/>
    <w:qFormat/>
    <w:rsid w:val="00775262"/>
    <w:pPr>
      <w:numPr>
        <w:ilvl w:val="1"/>
        <w:numId w:val="2"/>
      </w:numPr>
      <w:autoSpaceDE w:val="0"/>
      <w:autoSpaceDN w:val="0"/>
      <w:spacing w:after="0" w:line="252" w:lineRule="auto"/>
      <w:jc w:val="both"/>
    </w:pPr>
    <w:rPr>
      <w:rFonts w:ascii="Times New Roman" w:hAnsi="Times New Roman" w:cs="Times New Roman"/>
      <w:b/>
      <w:bCs/>
      <w:sz w:val="24"/>
      <w:szCs w:val="24"/>
    </w:rPr>
  </w:style>
  <w:style w:type="character" w:customStyle="1" w:styleId="SubjectChar">
    <w:name w:val="Subject Char"/>
    <w:basedOn w:val="DefaultParagraphFont"/>
    <w:link w:val="Subject"/>
    <w:uiPriority w:val="2"/>
    <w:rsid w:val="00E12D9E"/>
    <w:rPr>
      <w:rFonts w:ascii="Times New Roman" w:eastAsia="Times New Roman" w:hAnsi="Times New Roman" w:cs="Times New Roman"/>
      <w:b/>
      <w:sz w:val="24"/>
      <w:szCs w:val="20"/>
      <w:lang w:val="cs-CZ" w:eastAsia="en-GB"/>
    </w:rPr>
  </w:style>
  <w:style w:type="character" w:customStyle="1" w:styleId="Style1Char">
    <w:name w:val="Style1 Char"/>
    <w:basedOn w:val="SubjectChar"/>
    <w:link w:val="Style1"/>
    <w:rsid w:val="00E12D9E"/>
    <w:rPr>
      <w:rFonts w:ascii="Times New Roman" w:eastAsia="Times New Roman" w:hAnsi="Times New Roman" w:cs="Times New Roman"/>
      <w:b/>
      <w:smallCaps/>
      <w:color w:val="333333"/>
      <w:sz w:val="24"/>
      <w:szCs w:val="24"/>
      <w:lang w:val="cs-CZ" w:eastAsia="en-GB"/>
    </w:rPr>
  </w:style>
  <w:style w:type="character" w:customStyle="1" w:styleId="Style2Char">
    <w:name w:val="Style2 Char"/>
    <w:basedOn w:val="ListParagraphChar"/>
    <w:link w:val="Style2"/>
    <w:rsid w:val="00E12D9E"/>
    <w:rPr>
      <w:rFonts w:ascii="Times New Roman" w:hAnsi="Times New Roman" w:cs="Times New Roman"/>
      <w:b/>
      <w:bCs/>
      <w:sz w:val="24"/>
      <w:szCs w:val="24"/>
      <w:lang w:val="cs-CZ"/>
    </w:rPr>
  </w:style>
  <w:style w:type="character" w:customStyle="1" w:styleId="Mention2">
    <w:name w:val="Mention2"/>
    <w:basedOn w:val="DefaultParagraphFont"/>
    <w:uiPriority w:val="99"/>
    <w:unhideWhenUsed/>
    <w:rsid w:val="000D03EA"/>
    <w:rPr>
      <w:color w:val="2B579A"/>
      <w:shd w:val="clear" w:color="auto" w:fill="E1DFDD"/>
    </w:rPr>
  </w:style>
  <w:style w:type="character" w:styleId="PlaceholderText">
    <w:name w:val="Placeholder Text"/>
    <w:basedOn w:val="DefaultParagraphFont"/>
    <w:uiPriority w:val="99"/>
    <w:semiHidden/>
    <w:rsid w:val="00DD5544"/>
    <w:rPr>
      <w:color w:val="808080"/>
    </w:rPr>
  </w:style>
  <w:style w:type="character" w:customStyle="1" w:styleId="markedcontent">
    <w:name w:val="markedcontent"/>
    <w:basedOn w:val="DefaultParagraphFont"/>
    <w:rsid w:val="00174BBC"/>
  </w:style>
  <w:style w:type="character" w:customStyle="1" w:styleId="cf01">
    <w:name w:val="cf01"/>
    <w:basedOn w:val="DefaultParagraphFont"/>
    <w:rsid w:val="00174BBC"/>
    <w:rPr>
      <w:rFonts w:ascii="Segoe UI" w:hAnsi="Segoe UI" w:cs="Segoe UI" w:hint="default"/>
      <w:sz w:val="18"/>
      <w:szCs w:val="18"/>
    </w:rPr>
  </w:style>
  <w:style w:type="character" w:customStyle="1" w:styleId="cf11">
    <w:name w:val="cf11"/>
    <w:basedOn w:val="DefaultParagraphFont"/>
    <w:rsid w:val="00174BB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472">
      <w:bodyDiv w:val="1"/>
      <w:marLeft w:val="0"/>
      <w:marRight w:val="0"/>
      <w:marTop w:val="0"/>
      <w:marBottom w:val="0"/>
      <w:divBdr>
        <w:top w:val="none" w:sz="0" w:space="0" w:color="auto"/>
        <w:left w:val="none" w:sz="0" w:space="0" w:color="auto"/>
        <w:bottom w:val="none" w:sz="0" w:space="0" w:color="auto"/>
        <w:right w:val="none" w:sz="0" w:space="0" w:color="auto"/>
      </w:divBdr>
    </w:div>
    <w:div w:id="111629392">
      <w:bodyDiv w:val="1"/>
      <w:marLeft w:val="0"/>
      <w:marRight w:val="0"/>
      <w:marTop w:val="0"/>
      <w:marBottom w:val="0"/>
      <w:divBdr>
        <w:top w:val="none" w:sz="0" w:space="0" w:color="auto"/>
        <w:left w:val="none" w:sz="0" w:space="0" w:color="auto"/>
        <w:bottom w:val="none" w:sz="0" w:space="0" w:color="auto"/>
        <w:right w:val="none" w:sz="0" w:space="0" w:color="auto"/>
      </w:divBdr>
    </w:div>
    <w:div w:id="127165792">
      <w:bodyDiv w:val="1"/>
      <w:marLeft w:val="0"/>
      <w:marRight w:val="0"/>
      <w:marTop w:val="0"/>
      <w:marBottom w:val="0"/>
      <w:divBdr>
        <w:top w:val="none" w:sz="0" w:space="0" w:color="auto"/>
        <w:left w:val="none" w:sz="0" w:space="0" w:color="auto"/>
        <w:bottom w:val="none" w:sz="0" w:space="0" w:color="auto"/>
        <w:right w:val="none" w:sz="0" w:space="0" w:color="auto"/>
      </w:divBdr>
    </w:div>
    <w:div w:id="154345357">
      <w:bodyDiv w:val="1"/>
      <w:marLeft w:val="0"/>
      <w:marRight w:val="0"/>
      <w:marTop w:val="0"/>
      <w:marBottom w:val="0"/>
      <w:divBdr>
        <w:top w:val="none" w:sz="0" w:space="0" w:color="auto"/>
        <w:left w:val="none" w:sz="0" w:space="0" w:color="auto"/>
        <w:bottom w:val="none" w:sz="0" w:space="0" w:color="auto"/>
        <w:right w:val="none" w:sz="0" w:space="0" w:color="auto"/>
      </w:divBdr>
    </w:div>
    <w:div w:id="171917572">
      <w:bodyDiv w:val="1"/>
      <w:marLeft w:val="0"/>
      <w:marRight w:val="0"/>
      <w:marTop w:val="0"/>
      <w:marBottom w:val="0"/>
      <w:divBdr>
        <w:top w:val="none" w:sz="0" w:space="0" w:color="auto"/>
        <w:left w:val="none" w:sz="0" w:space="0" w:color="auto"/>
        <w:bottom w:val="none" w:sz="0" w:space="0" w:color="auto"/>
        <w:right w:val="none" w:sz="0" w:space="0" w:color="auto"/>
      </w:divBdr>
    </w:div>
    <w:div w:id="277494873">
      <w:bodyDiv w:val="1"/>
      <w:marLeft w:val="0"/>
      <w:marRight w:val="0"/>
      <w:marTop w:val="0"/>
      <w:marBottom w:val="0"/>
      <w:divBdr>
        <w:top w:val="none" w:sz="0" w:space="0" w:color="auto"/>
        <w:left w:val="none" w:sz="0" w:space="0" w:color="auto"/>
        <w:bottom w:val="none" w:sz="0" w:space="0" w:color="auto"/>
        <w:right w:val="none" w:sz="0" w:space="0" w:color="auto"/>
      </w:divBdr>
    </w:div>
    <w:div w:id="289480186">
      <w:bodyDiv w:val="1"/>
      <w:marLeft w:val="0"/>
      <w:marRight w:val="0"/>
      <w:marTop w:val="0"/>
      <w:marBottom w:val="0"/>
      <w:divBdr>
        <w:top w:val="none" w:sz="0" w:space="0" w:color="auto"/>
        <w:left w:val="none" w:sz="0" w:space="0" w:color="auto"/>
        <w:bottom w:val="none" w:sz="0" w:space="0" w:color="auto"/>
        <w:right w:val="none" w:sz="0" w:space="0" w:color="auto"/>
      </w:divBdr>
    </w:div>
    <w:div w:id="418723520">
      <w:bodyDiv w:val="1"/>
      <w:marLeft w:val="0"/>
      <w:marRight w:val="0"/>
      <w:marTop w:val="0"/>
      <w:marBottom w:val="0"/>
      <w:divBdr>
        <w:top w:val="none" w:sz="0" w:space="0" w:color="auto"/>
        <w:left w:val="none" w:sz="0" w:space="0" w:color="auto"/>
        <w:bottom w:val="none" w:sz="0" w:space="0" w:color="auto"/>
        <w:right w:val="none" w:sz="0" w:space="0" w:color="auto"/>
      </w:divBdr>
      <w:divsChild>
        <w:div w:id="116872412">
          <w:marLeft w:val="0"/>
          <w:marRight w:val="0"/>
          <w:marTop w:val="0"/>
          <w:marBottom w:val="0"/>
          <w:divBdr>
            <w:top w:val="none" w:sz="0" w:space="0" w:color="auto"/>
            <w:left w:val="none" w:sz="0" w:space="0" w:color="auto"/>
            <w:bottom w:val="none" w:sz="0" w:space="0" w:color="auto"/>
            <w:right w:val="none" w:sz="0" w:space="0" w:color="auto"/>
          </w:divBdr>
          <w:divsChild>
            <w:div w:id="610475133">
              <w:marLeft w:val="0"/>
              <w:marRight w:val="0"/>
              <w:marTop w:val="0"/>
              <w:marBottom w:val="0"/>
              <w:divBdr>
                <w:top w:val="none" w:sz="0" w:space="0" w:color="auto"/>
                <w:left w:val="none" w:sz="0" w:space="0" w:color="auto"/>
                <w:bottom w:val="none" w:sz="0" w:space="0" w:color="auto"/>
                <w:right w:val="none" w:sz="0" w:space="0" w:color="auto"/>
              </w:divBdr>
              <w:divsChild>
                <w:div w:id="644939877">
                  <w:marLeft w:val="0"/>
                  <w:marRight w:val="0"/>
                  <w:marTop w:val="0"/>
                  <w:marBottom w:val="0"/>
                  <w:divBdr>
                    <w:top w:val="none" w:sz="0" w:space="0" w:color="auto"/>
                    <w:left w:val="none" w:sz="0" w:space="0" w:color="auto"/>
                    <w:bottom w:val="none" w:sz="0" w:space="0" w:color="auto"/>
                    <w:right w:val="none" w:sz="0" w:space="0" w:color="auto"/>
                  </w:divBdr>
                  <w:divsChild>
                    <w:div w:id="694581741">
                      <w:marLeft w:val="0"/>
                      <w:marRight w:val="0"/>
                      <w:marTop w:val="0"/>
                      <w:marBottom w:val="0"/>
                      <w:divBdr>
                        <w:top w:val="none" w:sz="0" w:space="0" w:color="auto"/>
                        <w:left w:val="none" w:sz="0" w:space="0" w:color="auto"/>
                        <w:bottom w:val="none" w:sz="0" w:space="0" w:color="auto"/>
                        <w:right w:val="none" w:sz="0" w:space="0" w:color="auto"/>
                      </w:divBdr>
                      <w:divsChild>
                        <w:div w:id="608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455">
              <w:marLeft w:val="0"/>
              <w:marRight w:val="0"/>
              <w:marTop w:val="0"/>
              <w:marBottom w:val="0"/>
              <w:divBdr>
                <w:top w:val="none" w:sz="0" w:space="0" w:color="auto"/>
                <w:left w:val="none" w:sz="0" w:space="0" w:color="auto"/>
                <w:bottom w:val="none" w:sz="0" w:space="0" w:color="auto"/>
                <w:right w:val="none" w:sz="0" w:space="0" w:color="auto"/>
              </w:divBdr>
              <w:divsChild>
                <w:div w:id="1347949388">
                  <w:marLeft w:val="0"/>
                  <w:marRight w:val="0"/>
                  <w:marTop w:val="0"/>
                  <w:marBottom w:val="0"/>
                  <w:divBdr>
                    <w:top w:val="none" w:sz="0" w:space="0" w:color="auto"/>
                    <w:left w:val="none" w:sz="0" w:space="0" w:color="auto"/>
                    <w:bottom w:val="none" w:sz="0" w:space="0" w:color="auto"/>
                    <w:right w:val="none" w:sz="0" w:space="0" w:color="auto"/>
                  </w:divBdr>
                  <w:divsChild>
                    <w:div w:id="1853570525">
                      <w:marLeft w:val="0"/>
                      <w:marRight w:val="0"/>
                      <w:marTop w:val="0"/>
                      <w:marBottom w:val="0"/>
                      <w:divBdr>
                        <w:top w:val="none" w:sz="0" w:space="0" w:color="auto"/>
                        <w:left w:val="none" w:sz="0" w:space="0" w:color="auto"/>
                        <w:bottom w:val="none" w:sz="0" w:space="0" w:color="auto"/>
                        <w:right w:val="none" w:sz="0" w:space="0" w:color="auto"/>
                      </w:divBdr>
                      <w:divsChild>
                        <w:div w:id="489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7185">
          <w:marLeft w:val="0"/>
          <w:marRight w:val="0"/>
          <w:marTop w:val="0"/>
          <w:marBottom w:val="0"/>
          <w:divBdr>
            <w:top w:val="none" w:sz="0" w:space="0" w:color="auto"/>
            <w:left w:val="none" w:sz="0" w:space="0" w:color="auto"/>
            <w:bottom w:val="none" w:sz="0" w:space="0" w:color="auto"/>
            <w:right w:val="none" w:sz="0" w:space="0" w:color="auto"/>
          </w:divBdr>
          <w:divsChild>
            <w:div w:id="1386370885">
              <w:marLeft w:val="0"/>
              <w:marRight w:val="0"/>
              <w:marTop w:val="0"/>
              <w:marBottom w:val="0"/>
              <w:divBdr>
                <w:top w:val="none" w:sz="0" w:space="0" w:color="auto"/>
                <w:left w:val="none" w:sz="0" w:space="0" w:color="auto"/>
                <w:bottom w:val="none" w:sz="0" w:space="0" w:color="auto"/>
                <w:right w:val="none" w:sz="0" w:space="0" w:color="auto"/>
              </w:divBdr>
              <w:divsChild>
                <w:div w:id="874004039">
                  <w:marLeft w:val="0"/>
                  <w:marRight w:val="0"/>
                  <w:marTop w:val="0"/>
                  <w:marBottom w:val="0"/>
                  <w:divBdr>
                    <w:top w:val="none" w:sz="0" w:space="0" w:color="auto"/>
                    <w:left w:val="none" w:sz="0" w:space="0" w:color="auto"/>
                    <w:bottom w:val="none" w:sz="0" w:space="0" w:color="auto"/>
                    <w:right w:val="none" w:sz="0" w:space="0" w:color="auto"/>
                  </w:divBdr>
                  <w:divsChild>
                    <w:div w:id="1768427249">
                      <w:marLeft w:val="0"/>
                      <w:marRight w:val="0"/>
                      <w:marTop w:val="0"/>
                      <w:marBottom w:val="0"/>
                      <w:divBdr>
                        <w:top w:val="none" w:sz="0" w:space="0" w:color="auto"/>
                        <w:left w:val="none" w:sz="0" w:space="0" w:color="auto"/>
                        <w:bottom w:val="none" w:sz="0" w:space="0" w:color="auto"/>
                        <w:right w:val="none" w:sz="0" w:space="0" w:color="auto"/>
                      </w:divBdr>
                      <w:divsChild>
                        <w:div w:id="940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3816">
      <w:bodyDiv w:val="1"/>
      <w:marLeft w:val="0"/>
      <w:marRight w:val="0"/>
      <w:marTop w:val="0"/>
      <w:marBottom w:val="0"/>
      <w:divBdr>
        <w:top w:val="none" w:sz="0" w:space="0" w:color="auto"/>
        <w:left w:val="none" w:sz="0" w:space="0" w:color="auto"/>
        <w:bottom w:val="none" w:sz="0" w:space="0" w:color="auto"/>
        <w:right w:val="none" w:sz="0" w:space="0" w:color="auto"/>
      </w:divBdr>
    </w:div>
    <w:div w:id="535430467">
      <w:bodyDiv w:val="1"/>
      <w:marLeft w:val="0"/>
      <w:marRight w:val="0"/>
      <w:marTop w:val="0"/>
      <w:marBottom w:val="0"/>
      <w:divBdr>
        <w:top w:val="none" w:sz="0" w:space="0" w:color="auto"/>
        <w:left w:val="none" w:sz="0" w:space="0" w:color="auto"/>
        <w:bottom w:val="none" w:sz="0" w:space="0" w:color="auto"/>
        <w:right w:val="none" w:sz="0" w:space="0" w:color="auto"/>
      </w:divBdr>
    </w:div>
    <w:div w:id="573667037">
      <w:bodyDiv w:val="1"/>
      <w:marLeft w:val="0"/>
      <w:marRight w:val="0"/>
      <w:marTop w:val="0"/>
      <w:marBottom w:val="0"/>
      <w:divBdr>
        <w:top w:val="none" w:sz="0" w:space="0" w:color="auto"/>
        <w:left w:val="none" w:sz="0" w:space="0" w:color="auto"/>
        <w:bottom w:val="none" w:sz="0" w:space="0" w:color="auto"/>
        <w:right w:val="none" w:sz="0" w:space="0" w:color="auto"/>
      </w:divBdr>
    </w:div>
    <w:div w:id="836924068">
      <w:bodyDiv w:val="1"/>
      <w:marLeft w:val="0"/>
      <w:marRight w:val="0"/>
      <w:marTop w:val="0"/>
      <w:marBottom w:val="0"/>
      <w:divBdr>
        <w:top w:val="none" w:sz="0" w:space="0" w:color="auto"/>
        <w:left w:val="none" w:sz="0" w:space="0" w:color="auto"/>
        <w:bottom w:val="none" w:sz="0" w:space="0" w:color="auto"/>
        <w:right w:val="none" w:sz="0" w:space="0" w:color="auto"/>
      </w:divBdr>
    </w:div>
    <w:div w:id="1079135704">
      <w:bodyDiv w:val="1"/>
      <w:marLeft w:val="0"/>
      <w:marRight w:val="0"/>
      <w:marTop w:val="0"/>
      <w:marBottom w:val="0"/>
      <w:divBdr>
        <w:top w:val="none" w:sz="0" w:space="0" w:color="auto"/>
        <w:left w:val="none" w:sz="0" w:space="0" w:color="auto"/>
        <w:bottom w:val="none" w:sz="0" w:space="0" w:color="auto"/>
        <w:right w:val="none" w:sz="0" w:space="0" w:color="auto"/>
      </w:divBdr>
    </w:div>
    <w:div w:id="1079905030">
      <w:bodyDiv w:val="1"/>
      <w:marLeft w:val="0"/>
      <w:marRight w:val="0"/>
      <w:marTop w:val="0"/>
      <w:marBottom w:val="0"/>
      <w:divBdr>
        <w:top w:val="none" w:sz="0" w:space="0" w:color="auto"/>
        <w:left w:val="none" w:sz="0" w:space="0" w:color="auto"/>
        <w:bottom w:val="none" w:sz="0" w:space="0" w:color="auto"/>
        <w:right w:val="none" w:sz="0" w:space="0" w:color="auto"/>
      </w:divBdr>
    </w:div>
    <w:div w:id="1207373155">
      <w:bodyDiv w:val="1"/>
      <w:marLeft w:val="0"/>
      <w:marRight w:val="0"/>
      <w:marTop w:val="0"/>
      <w:marBottom w:val="0"/>
      <w:divBdr>
        <w:top w:val="none" w:sz="0" w:space="0" w:color="auto"/>
        <w:left w:val="none" w:sz="0" w:space="0" w:color="auto"/>
        <w:bottom w:val="none" w:sz="0" w:space="0" w:color="auto"/>
        <w:right w:val="none" w:sz="0" w:space="0" w:color="auto"/>
      </w:divBdr>
    </w:div>
    <w:div w:id="1297569749">
      <w:bodyDiv w:val="1"/>
      <w:marLeft w:val="0"/>
      <w:marRight w:val="0"/>
      <w:marTop w:val="0"/>
      <w:marBottom w:val="0"/>
      <w:divBdr>
        <w:top w:val="none" w:sz="0" w:space="0" w:color="auto"/>
        <w:left w:val="none" w:sz="0" w:space="0" w:color="auto"/>
        <w:bottom w:val="none" w:sz="0" w:space="0" w:color="auto"/>
        <w:right w:val="none" w:sz="0" w:space="0" w:color="auto"/>
      </w:divBdr>
    </w:div>
    <w:div w:id="1421835617">
      <w:bodyDiv w:val="1"/>
      <w:marLeft w:val="0"/>
      <w:marRight w:val="0"/>
      <w:marTop w:val="0"/>
      <w:marBottom w:val="0"/>
      <w:divBdr>
        <w:top w:val="none" w:sz="0" w:space="0" w:color="auto"/>
        <w:left w:val="none" w:sz="0" w:space="0" w:color="auto"/>
        <w:bottom w:val="none" w:sz="0" w:space="0" w:color="auto"/>
        <w:right w:val="none" w:sz="0" w:space="0" w:color="auto"/>
      </w:divBdr>
    </w:div>
    <w:div w:id="1498956879">
      <w:bodyDiv w:val="1"/>
      <w:marLeft w:val="0"/>
      <w:marRight w:val="0"/>
      <w:marTop w:val="0"/>
      <w:marBottom w:val="0"/>
      <w:divBdr>
        <w:top w:val="none" w:sz="0" w:space="0" w:color="auto"/>
        <w:left w:val="none" w:sz="0" w:space="0" w:color="auto"/>
        <w:bottom w:val="none" w:sz="0" w:space="0" w:color="auto"/>
        <w:right w:val="none" w:sz="0" w:space="0" w:color="auto"/>
      </w:divBdr>
    </w:div>
    <w:div w:id="1760246432">
      <w:bodyDiv w:val="1"/>
      <w:marLeft w:val="0"/>
      <w:marRight w:val="0"/>
      <w:marTop w:val="0"/>
      <w:marBottom w:val="0"/>
      <w:divBdr>
        <w:top w:val="none" w:sz="0" w:space="0" w:color="auto"/>
        <w:left w:val="none" w:sz="0" w:space="0" w:color="auto"/>
        <w:bottom w:val="none" w:sz="0" w:space="0" w:color="auto"/>
        <w:right w:val="none" w:sz="0" w:space="0" w:color="auto"/>
      </w:divBdr>
    </w:div>
    <w:div w:id="1798060424">
      <w:bodyDiv w:val="1"/>
      <w:marLeft w:val="0"/>
      <w:marRight w:val="0"/>
      <w:marTop w:val="0"/>
      <w:marBottom w:val="0"/>
      <w:divBdr>
        <w:top w:val="none" w:sz="0" w:space="0" w:color="auto"/>
        <w:left w:val="none" w:sz="0" w:space="0" w:color="auto"/>
        <w:bottom w:val="none" w:sz="0" w:space="0" w:color="auto"/>
        <w:right w:val="none" w:sz="0" w:space="0" w:color="auto"/>
      </w:divBdr>
    </w:div>
    <w:div w:id="1895192623">
      <w:bodyDiv w:val="1"/>
      <w:marLeft w:val="0"/>
      <w:marRight w:val="0"/>
      <w:marTop w:val="0"/>
      <w:marBottom w:val="0"/>
      <w:divBdr>
        <w:top w:val="none" w:sz="0" w:space="0" w:color="auto"/>
        <w:left w:val="none" w:sz="0" w:space="0" w:color="auto"/>
        <w:bottom w:val="none" w:sz="0" w:space="0" w:color="auto"/>
        <w:right w:val="none" w:sz="0" w:space="0" w:color="auto"/>
      </w:divBdr>
    </w:div>
    <w:div w:id="2032954580">
      <w:bodyDiv w:val="1"/>
      <w:marLeft w:val="0"/>
      <w:marRight w:val="0"/>
      <w:marTop w:val="0"/>
      <w:marBottom w:val="0"/>
      <w:divBdr>
        <w:top w:val="none" w:sz="0" w:space="0" w:color="auto"/>
        <w:left w:val="none" w:sz="0" w:space="0" w:color="auto"/>
        <w:bottom w:val="none" w:sz="0" w:space="0" w:color="auto"/>
        <w:right w:val="none" w:sz="0" w:space="0" w:color="auto"/>
      </w:divBdr>
    </w:div>
    <w:div w:id="2060663000">
      <w:bodyDiv w:val="1"/>
      <w:marLeft w:val="0"/>
      <w:marRight w:val="0"/>
      <w:marTop w:val="0"/>
      <w:marBottom w:val="0"/>
      <w:divBdr>
        <w:top w:val="none" w:sz="0" w:space="0" w:color="auto"/>
        <w:left w:val="none" w:sz="0" w:space="0" w:color="auto"/>
        <w:bottom w:val="none" w:sz="0" w:space="0" w:color="auto"/>
        <w:right w:val="none" w:sz="0" w:space="0" w:color="auto"/>
      </w:divBdr>
    </w:div>
    <w:div w:id="21026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media-press/newsroom/news/heat-rising-european-super-cartel-taken-down-in-six-countries" TargetMode="External"/><Relationship Id="rId13" Type="http://schemas.openxmlformats.org/officeDocument/2006/relationships/hyperlink" Target="https://www.europol.europa.eu/publications-events/publications/other-side-of-coin-analysis-of-financial-and-economic-crime" TargetMode="External"/><Relationship Id="rId18" Type="http://schemas.openxmlformats.org/officeDocument/2006/relationships/hyperlink" Target="https://www.ecteg.eu/" TargetMode="External"/><Relationship Id="rId26" Type="http://schemas.openxmlformats.org/officeDocument/2006/relationships/hyperlink" Target="https://www.europol.europa.eu/publications-events/main-reports/socta-report" TargetMode="External"/><Relationship Id="rId3" Type="http://schemas.openxmlformats.org/officeDocument/2006/relationships/hyperlink" Target="https://www.europol.europa.eu/media-press/newsroom/news/dismantling-encrypted-criminal-encrochat-communications-leads-to-over-6-500-arrests-and-close-to-eur-900-million-seized" TargetMode="External"/><Relationship Id="rId21" Type="http://schemas.openxmlformats.org/officeDocument/2006/relationships/hyperlink" Target="https://www.europol.europa.eu/publications-events/main-reports/socta-report" TargetMode="External"/><Relationship Id="rId7" Type="http://schemas.openxmlformats.org/officeDocument/2006/relationships/hyperlink" Target="https://www.emcdda.europa.eu/publications/european-drug-report/2023/drug-induced-deaths_en" TargetMode="External"/><Relationship Id="rId12" Type="http://schemas.openxmlformats.org/officeDocument/2006/relationships/hyperlink" Target="https://www.europol.europa.eu/cms/sites/default/files/documents/Europol_Joint-report_Criminal%20networks%20in%20EU%20ports_Public_version.pdf" TargetMode="External"/><Relationship Id="rId17" Type="http://schemas.openxmlformats.org/officeDocument/2006/relationships/hyperlink" Target="https://ec.europa.eu/info/funding-tenders/opportunities/portal/screen/opportunities/topic-details/horizon-cl3-2024-fct-01-08" TargetMode="External"/><Relationship Id="rId25" Type="http://schemas.openxmlformats.org/officeDocument/2006/relationships/hyperlink" Target="https://www.consilium.europa.eu/media/28734/141582.pdf" TargetMode="External"/><Relationship Id="rId2" Type="http://schemas.openxmlformats.org/officeDocument/2006/relationships/hyperlink" Target="https://www.europol.europa.eu/publications-events/main-reports/socta-report" TargetMode="External"/><Relationship Id="rId16" Type="http://schemas.openxmlformats.org/officeDocument/2006/relationships/hyperlink" Target="https://data.consilium.europa.eu/doc/document/ST-8927-2020-INIT/cs/pdf" TargetMode="External"/><Relationship Id="rId20" Type="http://schemas.openxmlformats.org/officeDocument/2006/relationships/hyperlink" Target="https://home-affairs.ec.europa.eu/policies/internal-security/cybercrime_cs" TargetMode="External"/><Relationship Id="rId29" Type="http://schemas.openxmlformats.org/officeDocument/2006/relationships/hyperlink" Target="https://rm.coe.int/1680064587" TargetMode="External"/><Relationship Id="rId1" Type="http://schemas.openxmlformats.org/officeDocument/2006/relationships/hyperlink" Target="https://www.emcdda.europa.eu/publications/eu-drug-markets_en" TargetMode="External"/><Relationship Id="rId6" Type="http://schemas.openxmlformats.org/officeDocument/2006/relationships/hyperlink" Target="https://www.europol.europa.eu/publications-events/publications/other-side-of-coin-analysis-of-financial-and-economic-crime" TargetMode="External"/><Relationship Id="rId11" Type="http://schemas.openxmlformats.org/officeDocument/2006/relationships/hyperlink" Target="https://data.europa.eu/doi/10.2832/03796" TargetMode="External"/><Relationship Id="rId24" Type="http://schemas.openxmlformats.org/officeDocument/2006/relationships/hyperlink" Target="https://www.imo.org/en/OurWork/Security/Pages/SOLAS-XI-2%20ISPS%20Code.aspx" TargetMode="External"/><Relationship Id="rId5" Type="http://schemas.openxmlformats.org/officeDocument/2006/relationships/hyperlink" Target="https://www.europol.europa.eu/publications-events/publications/other-side-of-coin-analysis-of-financial-and-economic-crime" TargetMode="External"/><Relationship Id="rId15" Type="http://schemas.openxmlformats.org/officeDocument/2006/relationships/hyperlink" Target="https://www.europol.europa.eu/publications-events/publications/other-side-of-coin-analysis-of-financial-and-economic-crime" TargetMode="External"/><Relationship Id="rId23" Type="http://schemas.openxmlformats.org/officeDocument/2006/relationships/hyperlink" Target="https://administrativeapproach.eu/" TargetMode="External"/><Relationship Id="rId28" Type="http://schemas.openxmlformats.org/officeDocument/2006/relationships/hyperlink" Target="https://rm.coe.int/16800656ce" TargetMode="External"/><Relationship Id="rId10" Type="http://schemas.openxmlformats.org/officeDocument/2006/relationships/hyperlink" Target="https://data.consilium.europa.eu/doc/document/ST-12000-2023-INIT/en/pdf" TargetMode="External"/><Relationship Id="rId19" Type="http://schemas.openxmlformats.org/officeDocument/2006/relationships/hyperlink" Target="https://www.eactda.eu/" TargetMode="External"/><Relationship Id="rId4" Type="http://schemas.openxmlformats.org/officeDocument/2006/relationships/hyperlink" Target="https://www.europol.europa.eu/publications-events/publications/other-side-of-coin-analysis-of-financial-and-economic-crime" TargetMode="External"/><Relationship Id="rId9" Type="http://schemas.openxmlformats.org/officeDocument/2006/relationships/hyperlink" Target="https://maoc.eu/statistics/" TargetMode="External"/><Relationship Id="rId14" Type="http://schemas.openxmlformats.org/officeDocument/2006/relationships/hyperlink" Target="https://www.europol.europa.eu/publications-events/publications/other-side-of-coin-analysis-of-financial-and-economic-crime" TargetMode="External"/><Relationship Id="rId22" Type="http://schemas.openxmlformats.org/officeDocument/2006/relationships/hyperlink" Target="https://euriec.eu/en" TargetMode="External"/><Relationship Id="rId27" Type="http://schemas.openxmlformats.org/officeDocument/2006/relationships/hyperlink" Target="https://www.europol.europa.eu/media-press/newsroom/news/heat-rising-european-super-cartel-taken-down-in-six-countries" TargetMode="External"/><Relationship Id="rId30" Type="http://schemas.openxmlformats.org/officeDocument/2006/relationships/hyperlink" Target="https://rm.coe.int/168008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F1DD-5F65-4473-A6FB-C4D4AD93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9529</Words>
  <Characters>57657</Characters>
  <Application>Microsoft Office Word</Application>
  <DocSecurity>0</DocSecurity>
  <Lines>945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67019</CharactersWithSpaces>
  <SharedDoc>false</SharedDoc>
  <HLinks>
    <vt:vector size="138" baseType="variant">
      <vt:variant>
        <vt:i4>6029333</vt:i4>
      </vt:variant>
      <vt:variant>
        <vt:i4>66</vt:i4>
      </vt:variant>
      <vt:variant>
        <vt:i4>0</vt:i4>
      </vt:variant>
      <vt:variant>
        <vt:i4>5</vt:i4>
      </vt:variant>
      <vt:variant>
        <vt:lpwstr>https://rm.coe.int/168008371</vt:lpwstr>
      </vt:variant>
      <vt:variant>
        <vt:lpwstr/>
      </vt:variant>
      <vt:variant>
        <vt:i4>5373977</vt:i4>
      </vt:variant>
      <vt:variant>
        <vt:i4>63</vt:i4>
      </vt:variant>
      <vt:variant>
        <vt:i4>0</vt:i4>
      </vt:variant>
      <vt:variant>
        <vt:i4>5</vt:i4>
      </vt:variant>
      <vt:variant>
        <vt:lpwstr>https://rm.coe.int/1680064587</vt:lpwstr>
      </vt:variant>
      <vt:variant>
        <vt:lpwstr/>
      </vt:variant>
      <vt:variant>
        <vt:i4>524314</vt:i4>
      </vt:variant>
      <vt:variant>
        <vt:i4>60</vt:i4>
      </vt:variant>
      <vt:variant>
        <vt:i4>0</vt:i4>
      </vt:variant>
      <vt:variant>
        <vt:i4>5</vt:i4>
      </vt:variant>
      <vt:variant>
        <vt:lpwstr>https://rm.coe.int/16800656ce</vt:lpwstr>
      </vt:variant>
      <vt:variant>
        <vt:lpwstr/>
      </vt:variant>
      <vt:variant>
        <vt:i4>6684776</vt:i4>
      </vt:variant>
      <vt:variant>
        <vt:i4>57</vt:i4>
      </vt:variant>
      <vt:variant>
        <vt:i4>0</vt:i4>
      </vt:variant>
      <vt:variant>
        <vt:i4>5</vt:i4>
      </vt:variant>
      <vt:variant>
        <vt:lpwstr>https://www.europol.europa.eu/publications-events/main-reports/socta-report</vt:lpwstr>
      </vt:variant>
      <vt:variant>
        <vt:lpwstr/>
      </vt:variant>
      <vt:variant>
        <vt:i4>6750226</vt:i4>
      </vt:variant>
      <vt:variant>
        <vt:i4>54</vt:i4>
      </vt:variant>
      <vt:variant>
        <vt:i4>0</vt:i4>
      </vt:variant>
      <vt:variant>
        <vt:i4>5</vt:i4>
      </vt:variant>
      <vt:variant>
        <vt:lpwstr>https://www.emcdda.europa.eu/publications/eu-drug-markets/cocaine_en</vt:lpwstr>
      </vt:variant>
      <vt:variant>
        <vt:lpwstr/>
      </vt:variant>
      <vt:variant>
        <vt:i4>6881404</vt:i4>
      </vt:variant>
      <vt:variant>
        <vt:i4>51</vt:i4>
      </vt:variant>
      <vt:variant>
        <vt:i4>0</vt:i4>
      </vt:variant>
      <vt:variant>
        <vt:i4>5</vt:i4>
      </vt:variant>
      <vt:variant>
        <vt:lpwstr>https://www.imo.org/en/OurWork/Security/Pages/SOLAS-XI-2 ISPS Code.aspx</vt:lpwstr>
      </vt:variant>
      <vt:variant>
        <vt:lpwstr/>
      </vt:variant>
      <vt:variant>
        <vt:i4>7340087</vt:i4>
      </vt:variant>
      <vt:variant>
        <vt:i4>48</vt:i4>
      </vt:variant>
      <vt:variant>
        <vt:i4>0</vt:i4>
      </vt:variant>
      <vt:variant>
        <vt:i4>5</vt:i4>
      </vt:variant>
      <vt:variant>
        <vt:lpwstr>https://www.consilium.europa.eu/media/28734/141582.pdf</vt:lpwstr>
      </vt:variant>
      <vt:variant>
        <vt:lpwstr/>
      </vt:variant>
      <vt:variant>
        <vt:i4>2949223</vt:i4>
      </vt:variant>
      <vt:variant>
        <vt:i4>45</vt:i4>
      </vt:variant>
      <vt:variant>
        <vt:i4>0</vt:i4>
      </vt:variant>
      <vt:variant>
        <vt:i4>5</vt:i4>
      </vt:variant>
      <vt:variant>
        <vt:lpwstr>https://administrativeapproach.eu/</vt:lpwstr>
      </vt:variant>
      <vt:variant>
        <vt:lpwstr/>
      </vt:variant>
      <vt:variant>
        <vt:i4>4849676</vt:i4>
      </vt:variant>
      <vt:variant>
        <vt:i4>42</vt:i4>
      </vt:variant>
      <vt:variant>
        <vt:i4>0</vt:i4>
      </vt:variant>
      <vt:variant>
        <vt:i4>5</vt:i4>
      </vt:variant>
      <vt:variant>
        <vt:lpwstr>https://euriec.eu/en</vt:lpwstr>
      </vt:variant>
      <vt:variant>
        <vt:lpwstr/>
      </vt:variant>
      <vt:variant>
        <vt:i4>6684776</vt:i4>
      </vt:variant>
      <vt:variant>
        <vt:i4>39</vt:i4>
      </vt:variant>
      <vt:variant>
        <vt:i4>0</vt:i4>
      </vt:variant>
      <vt:variant>
        <vt:i4>5</vt:i4>
      </vt:variant>
      <vt:variant>
        <vt:lpwstr>https://www.europol.europa.eu/publications-events/main-reports/socta-report</vt:lpwstr>
      </vt:variant>
      <vt:variant>
        <vt:lpwstr/>
      </vt:variant>
      <vt:variant>
        <vt:i4>1966207</vt:i4>
      </vt:variant>
      <vt:variant>
        <vt:i4>36</vt:i4>
      </vt:variant>
      <vt:variant>
        <vt:i4>0</vt:i4>
      </vt:variant>
      <vt:variant>
        <vt:i4>5</vt:i4>
      </vt:variant>
      <vt:variant>
        <vt:lpwstr>https://home-affairs.ec.europa.eu/policies/internal-security/cybercrime_en</vt:lpwstr>
      </vt:variant>
      <vt:variant>
        <vt:lpwstr/>
      </vt:variant>
      <vt:variant>
        <vt:i4>7733369</vt:i4>
      </vt:variant>
      <vt:variant>
        <vt:i4>33</vt:i4>
      </vt:variant>
      <vt:variant>
        <vt:i4>0</vt:i4>
      </vt:variant>
      <vt:variant>
        <vt:i4>5</vt:i4>
      </vt:variant>
      <vt:variant>
        <vt:lpwstr>https://www.eactda.eu/</vt:lpwstr>
      </vt:variant>
      <vt:variant>
        <vt:lpwstr/>
      </vt:variant>
      <vt:variant>
        <vt:i4>1376339</vt:i4>
      </vt:variant>
      <vt:variant>
        <vt:i4>30</vt:i4>
      </vt:variant>
      <vt:variant>
        <vt:i4>0</vt:i4>
      </vt:variant>
      <vt:variant>
        <vt:i4>5</vt:i4>
      </vt:variant>
      <vt:variant>
        <vt:lpwstr>https://www.ecteg.eu/</vt:lpwstr>
      </vt:variant>
      <vt:variant>
        <vt:lpwstr/>
      </vt:variant>
      <vt:variant>
        <vt:i4>6619238</vt:i4>
      </vt:variant>
      <vt:variant>
        <vt:i4>27</vt:i4>
      </vt:variant>
      <vt:variant>
        <vt:i4>0</vt:i4>
      </vt:variant>
      <vt:variant>
        <vt:i4>5</vt:i4>
      </vt:variant>
      <vt:variant>
        <vt:lpwstr>https://data.consilium.europa.eu/doc/document/ST-8927-2020-INIT/en/pdf</vt:lpwstr>
      </vt:variant>
      <vt:variant>
        <vt:lpwstr/>
      </vt:variant>
      <vt:variant>
        <vt:i4>6684776</vt:i4>
      </vt:variant>
      <vt:variant>
        <vt:i4>24</vt:i4>
      </vt:variant>
      <vt:variant>
        <vt:i4>0</vt:i4>
      </vt:variant>
      <vt:variant>
        <vt:i4>5</vt:i4>
      </vt:variant>
      <vt:variant>
        <vt:lpwstr>https://www.europol.europa.eu/publications-events/main-reports/socta-report</vt:lpwstr>
      </vt:variant>
      <vt:variant>
        <vt:lpwstr/>
      </vt:variant>
      <vt:variant>
        <vt:i4>1048584</vt:i4>
      </vt:variant>
      <vt:variant>
        <vt:i4>21</vt:i4>
      </vt:variant>
      <vt:variant>
        <vt:i4>0</vt:i4>
      </vt:variant>
      <vt:variant>
        <vt:i4>5</vt:i4>
      </vt:variant>
      <vt:variant>
        <vt:lpwstr>https://www.europol.europa.eu/cms/sites/default/files/documents/Europol_Joint-report_Criminal networks in EU ports_Public_version.pdf</vt:lpwstr>
      </vt:variant>
      <vt:variant>
        <vt:lpwstr/>
      </vt:variant>
      <vt:variant>
        <vt:i4>262171</vt:i4>
      </vt:variant>
      <vt:variant>
        <vt:i4>18</vt:i4>
      </vt:variant>
      <vt:variant>
        <vt:i4>0</vt:i4>
      </vt:variant>
      <vt:variant>
        <vt:i4>5</vt:i4>
      </vt:variant>
      <vt:variant>
        <vt:lpwstr>https://data.europa.eu/doi/10.2832/03796</vt:lpwstr>
      </vt:variant>
      <vt:variant>
        <vt:lpwstr/>
      </vt:variant>
      <vt:variant>
        <vt:i4>3145845</vt:i4>
      </vt:variant>
      <vt:variant>
        <vt:i4>15</vt:i4>
      </vt:variant>
      <vt:variant>
        <vt:i4>0</vt:i4>
      </vt:variant>
      <vt:variant>
        <vt:i4>5</vt:i4>
      </vt:variant>
      <vt:variant>
        <vt:lpwstr>https://maoc.eu/statistics/</vt:lpwstr>
      </vt:variant>
      <vt:variant>
        <vt:lpwstr/>
      </vt:variant>
      <vt:variant>
        <vt:i4>1114149</vt:i4>
      </vt:variant>
      <vt:variant>
        <vt:i4>12</vt:i4>
      </vt:variant>
      <vt:variant>
        <vt:i4>0</vt:i4>
      </vt:variant>
      <vt:variant>
        <vt:i4>5</vt:i4>
      </vt:variant>
      <vt:variant>
        <vt:lpwstr>https://www.emcdda.europa.eu/publications/european-drug-report/2023/drug-induced-deaths_en</vt:lpwstr>
      </vt:variant>
      <vt:variant>
        <vt:lpwstr/>
      </vt:variant>
      <vt:variant>
        <vt:i4>4128878</vt:i4>
      </vt:variant>
      <vt:variant>
        <vt:i4>9</vt:i4>
      </vt:variant>
      <vt:variant>
        <vt:i4>0</vt:i4>
      </vt:variant>
      <vt:variant>
        <vt:i4>5</vt:i4>
      </vt:variant>
      <vt:variant>
        <vt:lpwstr>https://www.europol.europa.eu/publications-events/publications/the-other-side-of-the-coin-analysis-of-financial-and-economic-crime</vt:lpwstr>
      </vt:variant>
      <vt:variant>
        <vt:lpwstr/>
      </vt:variant>
      <vt:variant>
        <vt:i4>3932279</vt:i4>
      </vt:variant>
      <vt:variant>
        <vt:i4>6</vt:i4>
      </vt:variant>
      <vt:variant>
        <vt:i4>0</vt:i4>
      </vt:variant>
      <vt:variant>
        <vt:i4>5</vt:i4>
      </vt:variant>
      <vt:variant>
        <vt:lpwstr>https://www.europol.europa.eu/media-press/newsroom/news/dismantling-encrypted-criminal-encrochat-communications-leads-to-over-6-500-arrests-and-close-to-eur-900-million-seized</vt:lpwstr>
      </vt:variant>
      <vt:variant>
        <vt:lpwstr/>
      </vt:variant>
      <vt:variant>
        <vt:i4>6684776</vt:i4>
      </vt:variant>
      <vt:variant>
        <vt:i4>3</vt:i4>
      </vt:variant>
      <vt:variant>
        <vt:i4>0</vt:i4>
      </vt:variant>
      <vt:variant>
        <vt:i4>5</vt:i4>
      </vt:variant>
      <vt:variant>
        <vt:lpwstr>https://www.europol.europa.eu/publications-events/main-reports/socta-report</vt:lpwstr>
      </vt:variant>
      <vt:variant>
        <vt:lpwstr/>
      </vt:variant>
      <vt:variant>
        <vt:i4>2621470</vt:i4>
      </vt:variant>
      <vt:variant>
        <vt:i4>0</vt:i4>
      </vt:variant>
      <vt:variant>
        <vt:i4>0</vt:i4>
      </vt:variant>
      <vt:variant>
        <vt:i4>5</vt:i4>
      </vt:variant>
      <vt:variant>
        <vt:lpwstr>https://www.emcdda.europa.eu/publications/eu-drug-markets_en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2023-10-16T09:20:00Z</dcterms:created>
  <dcterms:modified xsi:type="dcterms:W3CDTF">2023-11-13T08:22:00Z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2023-10-14T07:05:47Z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3d295cf1-ccac-49d1-8b82-71ef12623dab</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