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3676519-8B68-45B4-A112-B59F8427755E" style="width:455.1pt;height:558.8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Sammendrag</w:t>
      </w:r>
    </w:p>
    <w:p>
      <w:pPr>
        <w:pBdr>
          <w:top w:val="single" w:sz="4" w:space="1" w:color="auto"/>
          <w:left w:val="single" w:sz="4" w:space="4" w:color="auto"/>
          <w:bottom w:val="single" w:sz="4" w:space="7" w:color="auto"/>
          <w:right w:val="single" w:sz="4" w:space="4" w:color="auto"/>
        </w:pBdr>
        <w:spacing w:after="0"/>
        <w:rPr>
          <w:rFonts w:eastAsia="Times New Roman" w:cs="Times New Roman"/>
          <w:noProof/>
        </w:rPr>
      </w:pPr>
      <w:r>
        <w:rPr>
          <w:noProof/>
        </w:rPr>
        <w:t xml:space="preserve">Strukturreformen af det cypriotiske retssystem fortsætter, men er blevet forsinket. Et lovforslag om opsplitning af den nuværende øverste domstol i en øverste forfatningsdomstol og en domstol i første instans og om udnævnelsesprocedurerne for dommere og formænd ved disse to nye domstole er under behandling i parlamentet. Disse udnævnelser skal foretages af Republikken Cyperns præsident efter ikkebindende høring af et rådgivende domstolsråd. Det er vigtigt, at denne reform sikrer domstolenes uafhængighed i overensstemmelse med EU-retten og under hensyntagen til Europarådets anbefalinger. Også oprettelsen af en appeldomstol drøftes i parlamentet. Oprettelsen af specialretter og omstruktureringen af domstolene er i gang. Den nye civile retsplejelov er blevet godkendt og har til formål at fremskynde behandlingen af retssager. Styrkelsen af lovkontorets kapacitet fortsætter, herunder adskillelsen af funktioner og ansættelsesprocedurer. Yderligere reformer skal løse store udfordringer med hensyn til retssystemets effektivitet og kvalitet, navnlig hvad angår digitalisering. Retssager på det civil-, handels- og forvaltningsretlige område er fortsat meget langvarige.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spacing w:after="0"/>
        <w:rPr>
          <w:rFonts w:eastAsia="Times New Roman" w:cs="Times New Roman"/>
          <w:bCs/>
          <w:noProof/>
          <w:szCs w:val="20"/>
        </w:rPr>
      </w:pPr>
      <w:r>
        <w:rPr>
          <w:noProof/>
        </w:rPr>
        <w:t xml:space="preserve">Cypern forbedrer løbende sine lovgivningsmæssige rammer for bekæmpelse af korruption, om end enkelte vigtige reformer endnu ikke er blevet gennemført, f.eks. oprettelse af et agentur til bekæmpelse af korruption, beskyttelse af whistleblowere, regulering af lobbyvirksomhed og indberetning af aktiver for folkevalgte. Kontoret for gennemsigtighed og forebyggelse af korruption har fået til opgave at føre tilsyn med gennemførelsen af den nye plan for bekæmpelse af korruption for 2021-2026. Efterforskningen af korruptionssager fortsatte, idet manipulation af idrætskonkurrencer fremstår som et særligt risikoområde, selv om antallet af pådømte korruptionssager stadig er lavt. Rigsadvokatens kontor har fået nye ressourcer, og en ændring af straffeloven har skærpet sanktionerne for embedsmisbrug og givet mulighed for anvendelse af særlige efterforskningsteknikker i forbindelse med sådanne lovovertrædelser. Regeringen har iværksat en undersøgelse af ordningerne med statsborgerskab gennem investeringer som reaktion på anklager om korruption, som involverer udlændinge og højtstående embedsmænd. En ny adfærdskodeks med fokus på bekæmpelse af korruption skal forbedre integriteten i politiet. Under covid-19-pandemien blev økonomiske støtteforanstaltninger ledsaget af tiltag, hvis formål var at mindske risikoen for svig og korruption.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rPr>
          <w:rFonts w:eastAsia="Times New Roman" w:cs="Times New Roman"/>
          <w:noProof/>
        </w:rPr>
      </w:pPr>
      <w:r>
        <w:rPr>
          <w:noProof/>
        </w:rPr>
        <w:t xml:space="preserve">Ytringsfriheden og retten til adgang til oplysninger er juridisk og formelt beskyttet i forfatningen. Sekundær lovgivning beskytter udtrykkeligt journalisters kilder og fremmer mediepluralisme inden for radio- og tv-sektoren. Siden december 2020 har sekundær lovgivning opstillet rammer og betingelser for offentlighedens adgang til oplysninger og ligget til grund for etableringen af informationskommissariatet. Lovforslag, som forventes vedtaget i andet halvår af 2021, er indrettet til at styrke den cypriotiske radio- og tv-myndigheds uafhængighed samt at skærpe garantierne for talefrihed og gennemsigtighed med hensyn til ejerskab. </w:t>
      </w:r>
    </w:p>
    <w:p>
      <w:pPr>
        <w:pBdr>
          <w:top w:val="single" w:sz="4" w:space="1" w:color="auto"/>
          <w:left w:val="single" w:sz="4" w:space="4" w:color="auto"/>
          <w:bottom w:val="single" w:sz="4" w:space="7" w:color="auto"/>
          <w:right w:val="single" w:sz="4" w:space="4" w:color="auto"/>
        </w:pBdr>
        <w:rPr>
          <w:rFonts w:cs="Times New Roman"/>
          <w:bCs/>
          <w:noProof/>
        </w:rPr>
      </w:pPr>
      <w:r>
        <w:rPr>
          <w:noProof/>
        </w:rPr>
        <w:t xml:space="preserve">Systemet med demokratisk kontrol og balance indebærer en høringsproces som led i et projekt om bedre regulering. Høringsprocessen om lovforslag er imidlertid begrænset til drøftelser i repræsentanternes hus, og offentlighedens adgang til disse lovforslag giver anledning til bekymring. Den undtagelsestilstand, der er fastsat i forfatningen, er ikke blevet erklæret under pandemien, men borgere og virksomheder er blevet pålagt restriktioner i henhold til karantæneloven, som giver ministerrådet bemyndigelse til at udstede dekreter vedrørende covid-19-pandemien. Som nævnt i rapporten om retsstatssituationen 2020 oplever nogle civilsamfundsorganisationer fortsat visse udfordringer med hensyn til registreringsrammen, selv om der er noteret forbedringer i ny lovgivning, som gør det lettere for NGO'er at blive registreret. </w:t>
      </w:r>
    </w:p>
    <w:p>
      <w:pPr>
        <w:pStyle w:val="Heading1"/>
        <w:numPr>
          <w:ilvl w:val="0"/>
          <w:numId w:val="8"/>
        </w:numPr>
        <w:rPr>
          <w:noProof/>
        </w:rPr>
      </w:pPr>
      <w:r>
        <w:rPr>
          <w:noProof/>
        </w:rPr>
        <w:t xml:space="preserve">Retssystemet </w:t>
      </w:r>
    </w:p>
    <w:p>
      <w:pPr>
        <w:rPr>
          <w:rFonts w:eastAsia="Times New Roman" w:cs="Times New Roman"/>
          <w:noProof/>
          <w:szCs w:val="20"/>
        </w:rPr>
      </w:pPr>
      <w:r>
        <w:rPr>
          <w:noProof/>
        </w:rPr>
        <w:t>Retssystemet</w:t>
      </w:r>
      <w:r>
        <w:rPr>
          <w:rStyle w:val="FootnoteReference"/>
          <w:rFonts w:eastAsia="Times New Roman" w:cs="Times New Roman"/>
          <w:noProof/>
          <w:szCs w:val="20"/>
          <w:lang w:eastAsia="fr-FR"/>
        </w:rPr>
        <w:footnoteReference w:id="2"/>
      </w:r>
      <w:r>
        <w:rPr>
          <w:noProof/>
        </w:rPr>
        <w:t xml:space="preserve"> består af seks kredsdomstole, seks domstole i første instans i straffesager</w:t>
      </w:r>
      <w:r>
        <w:rPr>
          <w:rStyle w:val="FootnoteReference"/>
          <w:rFonts w:eastAsia="Times New Roman" w:cs="Times New Roman"/>
          <w:noProof/>
          <w:szCs w:val="20"/>
          <w:lang w:eastAsia="fr-FR"/>
        </w:rPr>
        <w:footnoteReference w:id="3"/>
      </w:r>
      <w:r>
        <w:rPr>
          <w:noProof/>
        </w:rPr>
        <w:t>, forvaltningsdomstolen</w:t>
      </w:r>
      <w:r>
        <w:rPr>
          <w:rStyle w:val="FootnoteReference"/>
          <w:rFonts w:eastAsia="Times New Roman" w:cs="Times New Roman"/>
          <w:noProof/>
          <w:szCs w:val="20"/>
          <w:lang w:eastAsia="fr-FR"/>
        </w:rPr>
        <w:footnoteReference w:id="4"/>
      </w:r>
      <w:r>
        <w:rPr>
          <w:noProof/>
        </w:rPr>
        <w:t>, forvaltningsdomstolen for international beskyttelse</w:t>
      </w:r>
      <w:r>
        <w:rPr>
          <w:rStyle w:val="FootnoteReference"/>
          <w:rFonts w:eastAsia="Times New Roman" w:cs="Times New Roman"/>
          <w:noProof/>
          <w:szCs w:val="20"/>
          <w:lang w:eastAsia="fr-FR"/>
        </w:rPr>
        <w:footnoteReference w:id="5"/>
      </w:r>
      <w:r>
        <w:rPr>
          <w:noProof/>
        </w:rPr>
        <w:t xml:space="preserve"> og den øverste domstol</w:t>
      </w:r>
      <w:r>
        <w:rPr>
          <w:rStyle w:val="FootnoteReference"/>
          <w:rFonts w:eastAsia="Times New Roman" w:cs="Times New Roman"/>
          <w:noProof/>
          <w:szCs w:val="20"/>
          <w:lang w:eastAsia="fr-FR"/>
        </w:rPr>
        <w:footnoteReference w:id="6"/>
      </w:r>
      <w:r>
        <w:rPr>
          <w:noProof/>
        </w:rPr>
        <w:t>. En forfatningsdomstol er under oprettelse. Derudover findes der domstole i familieretlige sager, domstole i lejeretlige sager, arbejdsretter og en militærdomstol</w:t>
      </w:r>
      <w:r>
        <w:rPr>
          <w:rStyle w:val="FootnoteReference"/>
          <w:rFonts w:eastAsia="Times New Roman" w:cs="Times New Roman"/>
          <w:noProof/>
          <w:szCs w:val="20"/>
          <w:lang w:eastAsia="fr-FR"/>
        </w:rPr>
        <w:footnoteReference w:id="7"/>
      </w:r>
      <w:r>
        <w:rPr>
          <w:noProof/>
        </w:rPr>
        <w:t>. Der arbejder 113 dommere ved domstolene i første instans og 13 dommere ved den øverste domstol. Dommerne ved den øverste domstol udnævnes af republikkens præsident blandt dommerne inden for retsvæsenet og efter indstilling fra den øverste domstol, som præsidenten dog ikke er forpligtet til at følge. Det er imidlertid fast praksis, at republikkens præsident følger indstillingerne fra den øverste domstol, som hver gang efter anciennitet indstiller den ældste dommer til den ledige stilling. Samme praksis gælder for udnævnelse af formanden for den øverste domstol, hvor republikkens præsident altid følger indstillingen om udnævnelse af den øverste domstols ældste dommer</w:t>
      </w:r>
      <w:r>
        <w:rPr>
          <w:rStyle w:val="FootnoteReference"/>
          <w:rFonts w:eastAsia="Times New Roman" w:cs="Times New Roman"/>
          <w:noProof/>
          <w:szCs w:val="20"/>
          <w:lang w:eastAsia="fr-FR"/>
        </w:rPr>
        <w:footnoteReference w:id="8"/>
      </w:r>
      <w:r>
        <w:rPr>
          <w:noProof/>
        </w:rPr>
        <w:t>. Dommerne i første instans udnævnes, overflyttes og forfremmes af det øverste domstolsråd, som består af alle medlemmer af den øverste domstol (formanden og 12 dommere)</w:t>
      </w:r>
      <w:r>
        <w:rPr>
          <w:rStyle w:val="FootnoteReference"/>
          <w:rFonts w:eastAsia="Times New Roman" w:cs="Times New Roman"/>
          <w:noProof/>
          <w:szCs w:val="20"/>
          <w:lang w:eastAsia="fr-FR"/>
        </w:rPr>
        <w:footnoteReference w:id="9"/>
      </w:r>
      <w:r>
        <w:rPr>
          <w:noProof/>
        </w:rPr>
        <w:t>. Anklagemyndigheden er uafhængig og organiseret under republikkens rigsadvokat. Rigsadvokaten leder republikkens lovkontor, der er en uafhængig tjeneste, som bistår rigsadvokaten, og som ikke henhører under noget ministerium</w:t>
      </w:r>
      <w:r>
        <w:rPr>
          <w:rStyle w:val="FootnoteReference"/>
          <w:rFonts w:eastAsia="Times New Roman" w:cs="Times New Roman"/>
          <w:noProof/>
          <w:szCs w:val="20"/>
          <w:lang w:eastAsia="fr-FR"/>
        </w:rPr>
        <w:footnoteReference w:id="10"/>
      </w:r>
      <w:r>
        <w:rPr>
          <w:noProof/>
        </w:rPr>
        <w:t>. Rigsadvokaten har beføjelser til efter eget skøn og i den almene interesse at iværksætte, gennemføre, overtage og videreføre eller afbryde enhver straffesag mod enhver person (juridisk eller fysisk) i republikken. Rigsadvokaten er ligeledes republikkens, præsidentens, ministerrådets og de enkelte ministres juridiske rådgiver. Han udøver alle øvrige funktioner og opgaver, som er overdraget ham ved forfatningen eller almindelig lov</w:t>
      </w:r>
      <w:r>
        <w:rPr>
          <w:rStyle w:val="FootnoteReference"/>
          <w:rFonts w:eastAsia="Times New Roman" w:cs="Times New Roman"/>
          <w:noProof/>
          <w:szCs w:val="20"/>
          <w:lang w:eastAsia="fr-FR"/>
        </w:rPr>
        <w:footnoteReference w:id="11"/>
      </w:r>
      <w:r>
        <w:rPr>
          <w:noProof/>
        </w:rPr>
        <w:t>. Cypern deltager i Den Europæiske Anklagemyndighed. Det uafhængige nationale advokatsamfund har reguleringsmæssig og disciplinær kompetence over for sine medlemmer.</w:t>
      </w:r>
    </w:p>
    <w:p>
      <w:pPr>
        <w:pStyle w:val="Heading2"/>
        <w:rPr>
          <w:noProof/>
        </w:rPr>
      </w:pPr>
      <w:r>
        <w:rPr>
          <w:noProof/>
        </w:rPr>
        <w:t xml:space="preserve">Uafhængighed </w:t>
      </w:r>
    </w:p>
    <w:p>
      <w:pPr>
        <w:rPr>
          <w:rFonts w:eastAsia="Times New Roman" w:cs="Times New Roman"/>
          <w:b/>
          <w:bCs/>
          <w:noProof/>
        </w:rPr>
      </w:pPr>
      <w:r>
        <w:rPr>
          <w:b/>
          <w:bCs/>
          <w:noProof/>
        </w:rPr>
        <w:t>Opfattelsen af retsvæsenets uafhængighed er middel.</w:t>
      </w:r>
      <w:r>
        <w:rPr>
          <w:noProof/>
        </w:rPr>
        <w:t xml:space="preserve"> 48 % af borgerne opfatter retsvæsenets uafhængighed som "rimelig god" eller "meget god", idet denne procentdel i 2021 er faldet med 7 procentpoint i forhold til 2020. Det tilsvarende tal blandt virksomhederne er 45 % og er faldet med 3 procentpoint i forhold til 2020</w:t>
      </w:r>
      <w:r>
        <w:rPr>
          <w:rStyle w:val="FootnoteReference"/>
          <w:rFonts w:eastAsia="Times New Roman" w:cs="Times New Roman"/>
          <w:noProof/>
          <w:lang w:eastAsia="fr-FR"/>
        </w:rPr>
        <w:footnoteReference w:id="12"/>
      </w:r>
      <w:r>
        <w:rPr>
          <w:noProof/>
        </w:rPr>
        <w:t>. Opfattelsen af retsvæsenets uafhængighed</w:t>
      </w:r>
      <w:r>
        <w:rPr>
          <w:rStyle w:val="FootnoteReference"/>
          <w:rFonts w:eastAsia="Times New Roman" w:cs="Times New Roman"/>
          <w:noProof/>
          <w:lang w:eastAsia="fr-FR"/>
        </w:rPr>
        <w:footnoteReference w:id="13"/>
      </w:r>
      <w:r>
        <w:rPr>
          <w:noProof/>
        </w:rPr>
        <w:t xml:space="preserve"> har været middel siden 2016.</w:t>
      </w:r>
    </w:p>
    <w:p>
      <w:pPr>
        <w:autoSpaceDE w:val="0"/>
        <w:autoSpaceDN w:val="0"/>
        <w:spacing w:before="40" w:after="40"/>
        <w:rPr>
          <w:rFonts w:eastAsia="Times New Roman"/>
          <w:noProof/>
          <w:szCs w:val="20"/>
        </w:rPr>
      </w:pPr>
      <w:r>
        <w:rPr>
          <w:b/>
          <w:noProof/>
        </w:rPr>
        <w:t>Opsplitningen af den nuværende øverste domstol i en øverste forfatningsdomstol og en domstol i første instans er under behandling i parlamentet</w:t>
      </w:r>
      <w:r>
        <w:rPr>
          <w:rStyle w:val="FootnoteReference"/>
          <w:rFonts w:cs="Times New Roman"/>
          <w:b/>
          <w:bCs/>
          <w:noProof/>
        </w:rPr>
        <w:footnoteReference w:id="14"/>
      </w:r>
      <w:r>
        <w:rPr>
          <w:b/>
          <w:noProof/>
        </w:rPr>
        <w:t>.</w:t>
      </w:r>
      <w:r>
        <w:rPr>
          <w:b/>
          <w:bCs/>
          <w:noProof/>
        </w:rPr>
        <w:t xml:space="preserve"> </w:t>
      </w:r>
      <w:r>
        <w:rPr>
          <w:noProof/>
        </w:rPr>
        <w:t>Lovforslaget blev forelagt parlamentet ved udgangen af 2020, og der blev nedsat et ad hoc-udvalg, som skal færdiggøre teksten</w:t>
      </w:r>
      <w:r>
        <w:rPr>
          <w:rStyle w:val="FootnoteReference"/>
          <w:rFonts w:cs="Times New Roman"/>
          <w:noProof/>
        </w:rPr>
        <w:footnoteReference w:id="15"/>
      </w:r>
      <w:r>
        <w:rPr>
          <w:noProof/>
        </w:rPr>
        <w:t>. Ifølge dette forslag, som det ser ud for øjeblikket, kan alene republikkens præsident udnævne dommere og formænd til disse domstole</w:t>
      </w:r>
      <w:r>
        <w:rPr>
          <w:rStyle w:val="FootnoteReference"/>
          <w:rFonts w:eastAsia="Times New Roman" w:cs="Times New Roman"/>
          <w:noProof/>
          <w:szCs w:val="20"/>
          <w:lang w:eastAsia="fr-FR"/>
        </w:rPr>
        <w:footnoteReference w:id="16"/>
      </w:r>
      <w:r>
        <w:rPr>
          <w:noProof/>
        </w:rPr>
        <w:t>. Der skal ifølge forslaget oprettes et rådgivende domstolsråd</w:t>
      </w:r>
      <w:r>
        <w:rPr>
          <w:rStyle w:val="FootnoteReference"/>
          <w:rFonts w:eastAsia="Times New Roman" w:cs="Times New Roman"/>
          <w:noProof/>
          <w:szCs w:val="20"/>
          <w:lang w:eastAsia="fr-FR"/>
        </w:rPr>
        <w:footnoteReference w:id="17"/>
      </w:r>
      <w:r>
        <w:rPr>
          <w:noProof/>
        </w:rPr>
        <w:t>, der er forskelligt fra det øverste domstolsråd, og som har til opgave at opstille en liste over de bedst egnede ansøgere, som dog ikke er bindende for præsidenten</w:t>
      </w:r>
      <w:r>
        <w:rPr>
          <w:rStyle w:val="FootnoteReference"/>
          <w:rFonts w:eastAsia="Times New Roman" w:cs="Times New Roman"/>
          <w:noProof/>
          <w:szCs w:val="20"/>
          <w:lang w:eastAsia="fr-FR"/>
        </w:rPr>
        <w:footnoteReference w:id="18"/>
      </w:r>
      <w:r>
        <w:rPr>
          <w:noProof/>
        </w:rPr>
        <w:t>. Det er vigtigt, at denne reform sikrer domstolenes uafhængighed i overensstemmelse med EU-retten og under hensyntagen til Europarådets anbefalinger</w:t>
      </w:r>
      <w:r>
        <w:rPr>
          <w:rStyle w:val="FootnoteReference"/>
          <w:rFonts w:cs="Times New Roman"/>
          <w:noProof/>
          <w:szCs w:val="24"/>
        </w:rPr>
        <w:footnoteReference w:id="19"/>
      </w:r>
      <w:r>
        <w:rPr>
          <w:noProof/>
        </w:rPr>
        <w:t xml:space="preserve">. Høring af Venedigkommissionen om lovforslaget ville skabe ro om den foreslåede reform i denne henseende. Der er endvidere fremsat lovforslag om oprettelse af en appeldomstol, hvortil dommerne og formanden udnævnes af det øverste domstolsråd. Efter parlamentets opløsning den 14. april 2021 med henblik på parlamentsvalget den 30. maj vil de endnu ikke vedtagne forslag blive drøftet af det nyvalgte parlament. </w:t>
      </w:r>
    </w:p>
    <w:p>
      <w:pPr>
        <w:autoSpaceDE w:val="0"/>
        <w:autoSpaceDN w:val="0"/>
        <w:spacing w:before="40" w:after="40"/>
        <w:rPr>
          <w:rFonts w:ascii="Calibri" w:eastAsia="Times New Roman" w:hAnsi="Calibri" w:cs="Calibri"/>
          <w:b/>
          <w:noProof/>
          <w:szCs w:val="24"/>
          <w:lang w:eastAsia="en-GB"/>
        </w:rPr>
      </w:pPr>
    </w:p>
    <w:p>
      <w:pPr>
        <w:rPr>
          <w:rFonts w:cs="Times New Roman"/>
          <w:noProof/>
        </w:rPr>
      </w:pPr>
      <w:r>
        <w:rPr>
          <w:b/>
          <w:bCs/>
          <w:noProof/>
        </w:rPr>
        <w:t>Der gennemføres i øjeblikket en reform af det øverste domstolsråd med henblik på at gøre det mere repræsentativt for retssystemets komponenter.</w:t>
      </w:r>
      <w:r>
        <w:rPr>
          <w:noProof/>
        </w:rPr>
        <w:t xml:space="preserve"> Et lovforslag udarbejdet i 2020 vedrørte en udvidelse af det øverste domstolsråd, hvor det var sammensat af medlemmerne af den øverste domstol, formanden og dommerne ved domstolen i første instans, formanden for appeldomstolen, den ældste formand for kredsdomstolene, formanden for dommerforeningen, rigsadvokaten og formanden for det cypriotiske advokatsamfund. Retsvæsenet foretrak et revideret øverste domstolsråd, som alene består af medlemmer af retsvæsenet</w:t>
      </w:r>
      <w:r>
        <w:rPr>
          <w:rStyle w:val="FootnoteReference"/>
          <w:rFonts w:cs="Times New Roman"/>
          <w:noProof/>
        </w:rPr>
        <w:footnoteReference w:id="20"/>
      </w:r>
      <w:r>
        <w:rPr>
          <w:noProof/>
        </w:rPr>
        <w:t>. Dette lovforslag har været under behandling siden udgangen af 2020 og blev ikke vedtaget, inden parlamentet blev opløst tidligere på foråret</w:t>
      </w:r>
      <w:r>
        <w:rPr>
          <w:rStyle w:val="FootnoteReference"/>
          <w:rFonts w:cs="Times New Roman"/>
          <w:noProof/>
        </w:rPr>
        <w:footnoteReference w:id="21"/>
      </w:r>
      <w:r>
        <w:rPr>
          <w:noProof/>
        </w:rPr>
        <w:t>. Det er vigtigt, at denne reform tager hensyn til Europarådets anbefalinger</w:t>
      </w:r>
      <w:r>
        <w:rPr>
          <w:rStyle w:val="FootnoteReference"/>
          <w:rFonts w:cs="Times New Roman"/>
          <w:noProof/>
        </w:rPr>
        <w:footnoteReference w:id="22"/>
      </w:r>
      <w:r>
        <w:rPr>
          <w:noProof/>
        </w:rPr>
        <w:t>.</w:t>
      </w:r>
    </w:p>
    <w:p>
      <w:pPr>
        <w:pStyle w:val="ManualConsidrant"/>
        <w:spacing w:before="0" w:after="0"/>
        <w:ind w:left="0" w:firstLine="0"/>
        <w:rPr>
          <w:noProof/>
          <w:szCs w:val="24"/>
        </w:rPr>
      </w:pPr>
      <w:r>
        <w:rPr>
          <w:b/>
          <w:noProof/>
          <w:szCs w:val="20"/>
        </w:rPr>
        <w:t>Handlingsplanen for styrkelse af republikkens lovkontor er ved at blive gennemført</w:t>
      </w:r>
      <w:r>
        <w:rPr>
          <w:rStyle w:val="FootnoteReference"/>
          <w:rFonts w:eastAsia="Times New Roman"/>
          <w:b/>
          <w:noProof/>
          <w:szCs w:val="20"/>
          <w:lang w:eastAsia="fr-FR"/>
        </w:rPr>
        <w:footnoteReference w:id="23"/>
      </w:r>
      <w:r>
        <w:rPr>
          <w:b/>
          <w:noProof/>
          <w:szCs w:val="20"/>
        </w:rPr>
        <w:t xml:space="preserve">, og det overvejes at indføre en lov om lovkontorets budgetmæssige uafhængighed. </w:t>
      </w:r>
      <w:r>
        <w:rPr>
          <w:noProof/>
        </w:rPr>
        <w:t>Reformen</w:t>
      </w:r>
      <w:r>
        <w:rPr>
          <w:rStyle w:val="FootnoteReference"/>
          <w:rFonts w:eastAsia="Times New Roman"/>
          <w:noProof/>
          <w:szCs w:val="20"/>
          <w:lang w:eastAsia="fr-FR"/>
        </w:rPr>
        <w:footnoteReference w:id="24"/>
      </w:r>
      <w:r>
        <w:rPr>
          <w:noProof/>
        </w:rPr>
        <w:t xml:space="preserve"> omfatter bl.a. omstrukturering og etablering af særskilte, selvstændige direktorater i lovkontoret for at sikre en mere effektiv adskillelse af rigsadvokatens to hovedfunktioner, oprettelse af nye stillinger, rationalisering af procedurer, adskillelse af funktioner og ansættelsesprocedurer. Et lovforslag vedrørende lovkontorets budgetmæssige uafhængighed drøftes fortsat mellem rigsadvokaten og finansministeriet</w:t>
      </w:r>
      <w:r>
        <w:rPr>
          <w:rStyle w:val="FootnoteReference"/>
          <w:rFonts w:eastAsia="Times New Roman"/>
          <w:noProof/>
          <w:szCs w:val="20"/>
          <w:lang w:eastAsia="fr-FR"/>
        </w:rPr>
        <w:footnoteReference w:id="25"/>
      </w:r>
      <w:r>
        <w:rPr>
          <w:noProof/>
        </w:rPr>
        <w:t>. For at foregribe den planlagte reform blev der i slutningen af 2020 ansat et større antal nye advokater i republikkens lovkontor, og flere af dem behandler straffesager, herunder korruptionssager</w:t>
      </w:r>
      <w:r>
        <w:rPr>
          <w:rStyle w:val="FootnoteReference"/>
          <w:noProof/>
          <w:szCs w:val="24"/>
        </w:rPr>
        <w:footnoteReference w:id="26"/>
      </w:r>
      <w:r>
        <w:rPr>
          <w:noProof/>
        </w:rPr>
        <w:t xml:space="preserve">. </w:t>
      </w:r>
    </w:p>
    <w:p>
      <w:pPr>
        <w:pStyle w:val="ManualConsidrant"/>
        <w:spacing w:before="0" w:after="0"/>
        <w:ind w:left="0" w:firstLine="0"/>
        <w:rPr>
          <w:noProof/>
          <w:szCs w:val="24"/>
        </w:rPr>
      </w:pPr>
    </w:p>
    <w:p>
      <w:pPr>
        <w:pStyle w:val="Heading2"/>
        <w:rPr>
          <w:noProof/>
        </w:rPr>
      </w:pPr>
      <w:r>
        <w:rPr>
          <w:noProof/>
        </w:rPr>
        <w:t xml:space="preserve">Kvalitet </w:t>
      </w:r>
    </w:p>
    <w:p>
      <w:pPr>
        <w:rPr>
          <w:rFonts w:eastAsia="Times New Roman" w:cs="Times New Roman"/>
          <w:noProof/>
          <w:szCs w:val="20"/>
        </w:rPr>
      </w:pPr>
      <w:r>
        <w:rPr>
          <w:b/>
          <w:noProof/>
          <w:szCs w:val="20"/>
        </w:rPr>
        <w:t xml:space="preserve">Der iværksættes foranstaltninger for at forbedre digitaliseringen af retssystemet, men der er alvorlige problemer på dette område. </w:t>
      </w:r>
      <w:r>
        <w:rPr>
          <w:noProof/>
        </w:rPr>
        <w:t>Offentligheden har adgang til meget begrænsede onlineoplysninger om retssystemet</w:t>
      </w:r>
      <w:r>
        <w:rPr>
          <w:rStyle w:val="FootnoteReference"/>
          <w:rFonts w:eastAsia="Times New Roman" w:cs="Times New Roman"/>
          <w:noProof/>
          <w:szCs w:val="20"/>
          <w:lang w:eastAsia="fr-FR"/>
        </w:rPr>
        <w:footnoteReference w:id="27"/>
      </w:r>
      <w:r>
        <w:rPr>
          <w:noProof/>
        </w:rPr>
        <w:t>. Desuden findes der meget få digitale løsninger til at indlede og følge retssager i civil-, handels- og forvaltningsretlige sager</w:t>
      </w:r>
      <w:r>
        <w:rPr>
          <w:rStyle w:val="FootnoteReference"/>
          <w:rFonts w:eastAsia="Times New Roman" w:cs="Times New Roman"/>
          <w:noProof/>
          <w:szCs w:val="20"/>
          <w:lang w:eastAsia="fr-FR"/>
        </w:rPr>
        <w:footnoteReference w:id="28"/>
      </w:r>
      <w:r>
        <w:rPr>
          <w:noProof/>
        </w:rPr>
        <w:t>. Indførelse af et elektronisk domstolsforvaltningssystem er et af de vigtigste mål med de igangværende reformer</w:t>
      </w:r>
      <w:r>
        <w:rPr>
          <w:rStyle w:val="FootnoteReference"/>
          <w:rFonts w:eastAsia="Times New Roman" w:cs="Times New Roman"/>
          <w:noProof/>
          <w:szCs w:val="20"/>
          <w:lang w:eastAsia="fr-FR"/>
        </w:rPr>
        <w:footnoteReference w:id="29"/>
      </w:r>
      <w:r>
        <w:rPr>
          <w:noProof/>
        </w:rPr>
        <w:t>. Gennemførelsen heraf og de relevante offentlige indkøbsprocedurer er imidlertid blevet udsat siden 2017. I mellemtiden er der blevet udviklet et elektronisk miniregister til anlæggelse af sager, som blev operationelt i 2020, i alle civile registre og ved den øverste domstol for at muliggøre en mere effektiv behandling af ansøgninger, indtil e-justice-systemet er blevet gennemført fuldt ud</w:t>
      </w:r>
      <w:r>
        <w:rPr>
          <w:rStyle w:val="FootnoteReference"/>
          <w:rFonts w:eastAsia="Times New Roman" w:cs="Times New Roman"/>
          <w:noProof/>
          <w:szCs w:val="20"/>
          <w:lang w:eastAsia="fr-FR"/>
        </w:rPr>
        <w:footnoteReference w:id="30"/>
      </w:r>
      <w:r>
        <w:rPr>
          <w:noProof/>
        </w:rPr>
        <w:t>. Registrets gennemførelse blev fremskyndet af covid-19-pandemien.</w:t>
      </w:r>
    </w:p>
    <w:p>
      <w:pPr>
        <w:rPr>
          <w:rFonts w:cs="Times New Roman"/>
          <w:noProof/>
        </w:rPr>
      </w:pPr>
      <w:r>
        <w:rPr>
          <w:b/>
          <w:noProof/>
        </w:rPr>
        <w:t>Informative websteder for offentligheden om retspraksis og lovgivning er blevet udviklet yderligere.</w:t>
      </w:r>
      <w:r>
        <w:rPr>
          <w:noProof/>
        </w:rPr>
        <w:t xml:space="preserve"> Et websted forvaltet af det cypriotiske advokatsamfund giver offentligheden fri, gratis adgang til en række datasæt, f.eks. retspraksis- og lovgivningsdatabaser. Det giver adgang til databasen over cypriotisk retspraksis, Republikken Cyperns øverste domstols retspraksis, Den Europæiske Menneskerettighedsdomstols retspraksis og cypriotisk lovgivning. Den øverste domstol giver cypriotiske dommere adgang til nationale og internationale onlinedatabaser og afholder udgifterne hertil</w:t>
      </w:r>
      <w:r>
        <w:rPr>
          <w:rStyle w:val="FootnoteReference"/>
          <w:rFonts w:cs="Times New Roman"/>
          <w:noProof/>
        </w:rPr>
        <w:footnoteReference w:id="31"/>
      </w:r>
      <w:r>
        <w:rPr>
          <w:noProof/>
        </w:rPr>
        <w:t>.</w:t>
      </w:r>
    </w:p>
    <w:p>
      <w:pPr>
        <w:pStyle w:val="Heading2"/>
        <w:rPr>
          <w:noProof/>
        </w:rPr>
      </w:pPr>
      <w:r>
        <w:rPr>
          <w:noProof/>
        </w:rPr>
        <w:t>Effektivitet</w:t>
      </w:r>
    </w:p>
    <w:p>
      <w:pPr>
        <w:rPr>
          <w:rFonts w:cs="Times New Roman"/>
          <w:noProof/>
          <w:szCs w:val="24"/>
        </w:rPr>
      </w:pPr>
      <w:r>
        <w:rPr>
          <w:b/>
          <w:noProof/>
          <w:szCs w:val="24"/>
        </w:rPr>
        <w:t>Retssystemet oplever fortsat alvorlige problemer med hensyn til effektivitet</w:t>
      </w:r>
      <w:r>
        <w:rPr>
          <w:rStyle w:val="FootnoteReference"/>
          <w:rFonts w:cs="Times New Roman"/>
          <w:b/>
          <w:noProof/>
          <w:szCs w:val="24"/>
        </w:rPr>
        <w:footnoteReference w:id="32"/>
      </w:r>
      <w:r>
        <w:rPr>
          <w:b/>
          <w:noProof/>
          <w:szCs w:val="24"/>
        </w:rPr>
        <w:t xml:space="preserve">. </w:t>
      </w:r>
      <w:r>
        <w:rPr>
          <w:noProof/>
        </w:rPr>
        <w:t>Den tid, der medgår til behandling af civil-, handels- og forvaltningsretlige sager i første instans (882 dage i 2019 sammenlignet med 737 dage i 2018), er fortsat blandt de længste i EU</w:t>
      </w:r>
      <w:r>
        <w:rPr>
          <w:rStyle w:val="FootnoteReference"/>
          <w:rFonts w:cs="Times New Roman"/>
          <w:noProof/>
          <w:szCs w:val="24"/>
        </w:rPr>
        <w:footnoteReference w:id="33"/>
      </w:r>
      <w:r>
        <w:rPr>
          <w:noProof/>
        </w:rPr>
        <w:t>. I forvaltningsretlige sager i første instans er sagsbehandlingstiden blevet længere (495 dage i 2019 sammenlignet med 487 dage i 2018)</w:t>
      </w:r>
      <w:r>
        <w:rPr>
          <w:rStyle w:val="FootnoteReference"/>
          <w:rFonts w:cs="Times New Roman"/>
          <w:noProof/>
          <w:szCs w:val="24"/>
        </w:rPr>
        <w:footnoteReference w:id="34"/>
      </w:r>
      <w:r>
        <w:rPr>
          <w:noProof/>
        </w:rPr>
        <w:t xml:space="preserve"> og gennemførelsesprocenten lavere (omkring 170 % i 2019 sammenlignet med omkring 219 % i 2018)</w:t>
      </w:r>
      <w:r>
        <w:rPr>
          <w:rStyle w:val="FootnoteReference"/>
          <w:rFonts w:cs="Times New Roman"/>
          <w:noProof/>
          <w:szCs w:val="24"/>
        </w:rPr>
        <w:footnoteReference w:id="35"/>
      </w:r>
      <w:r>
        <w:rPr>
          <w:noProof/>
        </w:rPr>
        <w:t>. Der er siden september 2020 blevet kørt et pilotprojekt ved kredsdomstolen i Paphos for at mindske efterslæbet. Der er blevet ansat en række nye dommere og nedsat en taskforce, som primært arbejder med at afvikle efterslæbet af forsinkede sager</w:t>
      </w:r>
      <w:r>
        <w:rPr>
          <w:rStyle w:val="FootnoteReference"/>
          <w:rFonts w:cs="Times New Roman"/>
          <w:noProof/>
          <w:szCs w:val="24"/>
        </w:rPr>
        <w:footnoteReference w:id="36"/>
      </w:r>
      <w:r>
        <w:rPr>
          <w:noProof/>
        </w:rPr>
        <w:t>.</w:t>
      </w:r>
    </w:p>
    <w:p>
      <w:pPr>
        <w:rPr>
          <w:rFonts w:cs="Times New Roman"/>
          <w:noProof/>
        </w:rPr>
      </w:pPr>
      <w:r>
        <w:rPr>
          <w:b/>
          <w:noProof/>
          <w:szCs w:val="20"/>
        </w:rPr>
        <w:t>Gennemførelsen af handlingsplanen for at tackle udfordringer med hensyn til effektivitet fortsætter, dog med nogen forsinkelse</w:t>
      </w:r>
      <w:r>
        <w:rPr>
          <w:rStyle w:val="FootnoteReference"/>
          <w:rFonts w:eastAsia="Times New Roman" w:cs="Times New Roman"/>
          <w:b/>
          <w:noProof/>
          <w:szCs w:val="20"/>
          <w:lang w:eastAsia="fr-FR"/>
        </w:rPr>
        <w:footnoteReference w:id="37"/>
      </w:r>
      <w:r>
        <w:rPr>
          <w:b/>
          <w:noProof/>
          <w:szCs w:val="20"/>
        </w:rPr>
        <w:t xml:space="preserve">. </w:t>
      </w:r>
      <w:r>
        <w:rPr>
          <w:noProof/>
        </w:rPr>
        <w:t>I denne forbindelse tillægger et lovforslag udarbejdet sidst i 2020 af ministeriet for retlige anliggender og offentlig orden dommere og højerestående dommere ved kredsdomstolene større civilretlig kompetence for så vidt angår mængden af tvister, de kan behandle og pådømme, for at gøre systemet mere fleksibelt</w:t>
      </w:r>
      <w:r>
        <w:rPr>
          <w:rStyle w:val="FootnoteReference"/>
          <w:rFonts w:cs="Times New Roman"/>
          <w:noProof/>
        </w:rPr>
        <w:footnoteReference w:id="38"/>
      </w:r>
      <w:r>
        <w:rPr>
          <w:noProof/>
        </w:rPr>
        <w:t>. Den afgørelse, som den øverste domstol traf i februar 2019 om at overdrage behandlingen af finansielle tvister vedrørende misligholdte lån til seks allerede fungerende højerestående dommere ved kredsdomstolene, er fortsat ved at blive gennemført</w:t>
      </w:r>
      <w:bookmarkStart w:id="2" w:name="_Hlk18567410"/>
      <w:r>
        <w:rPr>
          <w:rStyle w:val="FootnoteReference"/>
          <w:rFonts w:cs="Times New Roman"/>
          <w:noProof/>
        </w:rPr>
        <w:footnoteReference w:id="39"/>
      </w:r>
      <w:r>
        <w:rPr>
          <w:noProof/>
        </w:rPr>
        <w:t>.</w:t>
      </w:r>
      <w:bookmarkEnd w:id="2"/>
    </w:p>
    <w:p>
      <w:pPr>
        <w:rPr>
          <w:rFonts w:cs="Times New Roman"/>
          <w:noProof/>
        </w:rPr>
      </w:pPr>
      <w:r>
        <w:rPr>
          <w:b/>
          <w:noProof/>
          <w:szCs w:val="24"/>
        </w:rPr>
        <w:t xml:space="preserve">Den nye civile retsplejelov er blevet godkendt. </w:t>
      </w:r>
      <w:r>
        <w:rPr>
          <w:noProof/>
        </w:rPr>
        <w:t>Den 19. maj 2021 blev den nye civile retsplejelov godkendt af den øverste domstol, og den skal erstatte den forældede lovramme, som har været i kraft siden 1958</w:t>
      </w:r>
      <w:r>
        <w:rPr>
          <w:rStyle w:val="FootnoteReference"/>
          <w:rFonts w:eastAsia="Times New Roman" w:cs="Times New Roman"/>
          <w:noProof/>
          <w:szCs w:val="24"/>
          <w:lang w:eastAsia="en-GB"/>
        </w:rPr>
        <w:footnoteReference w:id="40"/>
      </w:r>
      <w:r>
        <w:rPr>
          <w:noProof/>
        </w:rPr>
        <w:t>. Denne retsplejelov, som endnu ikke er blevet gennemført, har til formål at fremskynde behandlingen af retssager og generelt øge effektiviteten af den civile retsproces, herunder med hensyn til fuldbyrdelsen af retsafgørelser</w:t>
      </w:r>
      <w:r>
        <w:rPr>
          <w:rStyle w:val="FootnoteReference"/>
          <w:rFonts w:cs="Times New Roman"/>
          <w:noProof/>
        </w:rPr>
        <w:footnoteReference w:id="41"/>
      </w:r>
      <w:r>
        <w:rPr>
          <w:noProof/>
        </w:rPr>
        <w:t>.</w:t>
      </w:r>
    </w:p>
    <w:p>
      <w:pPr>
        <w:pStyle w:val="Heading1"/>
        <w:numPr>
          <w:ilvl w:val="0"/>
          <w:numId w:val="8"/>
        </w:numPr>
        <w:rPr>
          <w:noProof/>
        </w:rPr>
      </w:pPr>
      <w:r>
        <w:rPr>
          <w:noProof/>
        </w:rPr>
        <w:t xml:space="preserve">Ramme for bekæmpelse af korruption </w:t>
      </w:r>
    </w:p>
    <w:p>
      <w:pPr>
        <w:pStyle w:val="Normal1"/>
        <w:spacing w:before="0" w:beforeAutospacing="0" w:after="240" w:afterAutospacing="0"/>
        <w:jc w:val="both"/>
        <w:textAlignment w:val="baseline"/>
        <w:rPr>
          <w:bCs/>
          <w:noProof/>
        </w:rPr>
      </w:pPr>
      <w:r>
        <w:rPr>
          <w:noProof/>
        </w:rPr>
        <w:t xml:space="preserve">Der blev vedtaget </w:t>
      </w:r>
      <w:r>
        <w:rPr>
          <w:noProof/>
          <w:shd w:val="clear" w:color="auto" w:fill="FFFFFF"/>
        </w:rPr>
        <w:t>en ny handlingsplan</w:t>
      </w:r>
      <w:r>
        <w:rPr>
          <w:noProof/>
        </w:rPr>
        <w:t xml:space="preserve"> mod korruption for 2021-2026, og kontoret for gennemsigtighed og forebyggelse af korruption har fået til opgave at føre tilsyn med dens gennemførelse. </w:t>
      </w:r>
      <w:r>
        <w:rPr>
          <w:noProof/>
          <w:shd w:val="clear" w:color="auto" w:fill="FFFFFF"/>
        </w:rPr>
        <w:t xml:space="preserve">Rigsadvokaten er den øverste anklagemyndighed i straffesager, herunder i sager om korruption. Anklagemyndighedens kontor yder juridisk rådgivning til de retshåndhævende myndigheder i forbindelse med efterforskning af korruption. </w:t>
      </w:r>
      <w:r>
        <w:rPr>
          <w:noProof/>
        </w:rPr>
        <w:t xml:space="preserve">Der blev udnævnt en ny rigsadvokat og ansat nyt personale, og kontoret for retsforfølgelse af økonomisk kriminalitet blev omorganiseret. </w:t>
      </w:r>
      <w:r>
        <w:rPr>
          <w:noProof/>
          <w:shd w:val="clear" w:color="auto" w:fill="FFFFFF"/>
        </w:rPr>
        <w:t xml:space="preserve">Et nyt lovforslag om adgang til offentlige oplysninger markerer en forbedring af den lovgivningsmæssige ramme mod korruption. </w:t>
      </w:r>
    </w:p>
    <w:p>
      <w:pPr>
        <w:spacing w:line="259" w:lineRule="auto"/>
        <w:jc w:val="left"/>
        <w:rPr>
          <w:rFonts w:cs="Times New Roman"/>
          <w:noProof/>
          <w:szCs w:val="24"/>
        </w:rPr>
      </w:pPr>
      <w:r>
        <w:rPr>
          <w:b/>
          <w:noProof/>
          <w:szCs w:val="24"/>
        </w:rPr>
        <w:t>Eksperter og virksomhedsledere opfatter fortsat graden af korruption i den offentlige sektor som relativt høj.</w:t>
      </w:r>
      <w:r>
        <w:rPr>
          <w:noProof/>
        </w:rPr>
        <w:t xml:space="preserve"> I Transparency Internationals korruptionsindeks for 2020 scorer Cypern 57/100 og ligger nr. 12 i EU og nr. 42 på verdensplan</w:t>
      </w:r>
      <w:r>
        <w:rPr>
          <w:rFonts w:cs="Times New Roman"/>
          <w:bCs/>
          <w:noProof/>
          <w:szCs w:val="24"/>
          <w:vertAlign w:val="superscript"/>
        </w:rPr>
        <w:footnoteReference w:id="42"/>
      </w:r>
      <w:r>
        <w:rPr>
          <w:noProof/>
        </w:rPr>
        <w:t>. Opfattelsen af korruption er blevet forringet</w:t>
      </w:r>
      <w:r>
        <w:rPr>
          <w:rFonts w:cs="Times New Roman"/>
          <w:noProof/>
          <w:szCs w:val="24"/>
          <w:vertAlign w:val="superscript"/>
        </w:rPr>
        <w:footnoteReference w:id="43"/>
      </w:r>
      <w:r>
        <w:rPr>
          <w:noProof/>
        </w:rPr>
        <w:t xml:space="preserve"> gennem de seneste fem år</w:t>
      </w:r>
      <w:r>
        <w:rPr>
          <w:rFonts w:cs="Times New Roman"/>
          <w:noProof/>
          <w:szCs w:val="24"/>
          <w:vertAlign w:val="superscript"/>
        </w:rPr>
        <w:footnoteReference w:id="44"/>
      </w:r>
      <w:r>
        <w:rPr>
          <w:noProof/>
        </w:rPr>
        <w:t>.</w:t>
      </w:r>
    </w:p>
    <w:p>
      <w:pPr>
        <w:autoSpaceDE w:val="0"/>
        <w:autoSpaceDN w:val="0"/>
        <w:adjustRightInd w:val="0"/>
        <w:spacing w:after="0"/>
        <w:rPr>
          <w:rFonts w:cs="Times New Roman"/>
          <w:b/>
          <w:bCs/>
          <w:noProof/>
          <w:color w:val="000000"/>
          <w:szCs w:val="24"/>
        </w:rPr>
      </w:pPr>
      <w:r>
        <w:rPr>
          <w:b/>
          <w:noProof/>
          <w:szCs w:val="24"/>
        </w:rPr>
        <w:t xml:space="preserve">Den strategiske ramme for bekæmpelse af korruption er blevet revideret. </w:t>
      </w:r>
      <w:r>
        <w:rPr>
          <w:noProof/>
        </w:rPr>
        <w:t>I januar 2021 vedtog republikkens præsident og ministeren for retlige anliggender og offentlig orden en ny strategi for bekæmpelse af korruption for 2021-2026. De foreslåede foranstaltninger vedrører gennemsigtighed, ansvarlighed og korruptionsspørgsmål og har til formål at styrke de eksisterende institutioner og skabe nye beskyttelsesmekanismer</w:t>
      </w:r>
      <w:r>
        <w:rPr>
          <w:rFonts w:cs="Times New Roman"/>
          <w:noProof/>
          <w:szCs w:val="24"/>
          <w:vertAlign w:val="superscript"/>
        </w:rPr>
        <w:footnoteReference w:id="45"/>
      </w:r>
      <w:r>
        <w:rPr>
          <w:noProof/>
        </w:rPr>
        <w:t>. Strategien omfatter tre søjler</w:t>
      </w:r>
      <w:r>
        <w:rPr>
          <w:rFonts w:cs="Times New Roman"/>
          <w:noProof/>
          <w:szCs w:val="24"/>
          <w:vertAlign w:val="superscript"/>
        </w:rPr>
        <w:footnoteReference w:id="46"/>
      </w:r>
      <w:r>
        <w:rPr>
          <w:noProof/>
        </w:rPr>
        <w:t>, som er opdelt i konkrete tiltag</w:t>
      </w:r>
      <w:r>
        <w:rPr>
          <w:rFonts w:cs="Times New Roman"/>
          <w:bCs/>
          <w:noProof/>
          <w:szCs w:val="24"/>
          <w:vertAlign w:val="superscript"/>
        </w:rPr>
        <w:footnoteReference w:id="47"/>
      </w:r>
      <w:r>
        <w:rPr>
          <w:noProof/>
        </w:rPr>
        <w:t xml:space="preserve">. </w:t>
      </w:r>
      <w:r>
        <w:rPr>
          <w:noProof/>
          <w:color w:val="000000"/>
          <w:szCs w:val="24"/>
        </w:rPr>
        <w:t>Kontoret for gennemsigtighed og forebyggelse af korruption (under ministeriet for retlige anliggender og offentlig orden) har udnævnt to embedsmænd, som står for den interinstitutionelle koordinering og gennemførelse af strategien. Alle offentlige institutioner har et kontaktpunkt for strategien for bekæmpelse af korruption, som rapporterer om de fremskridt, der gøres med hensyn til gennemførelsen af foranstaltninger til bekæmpelse af korruption inden for deres respektive ansvarsområder. Kontoret for gennemsigtighed og forebyggelse af korruption indsamler og centraliserer oplysninger om strategiens gennemførelse og offentliggør resultaterne på en onlineplatform</w:t>
      </w:r>
      <w:r>
        <w:rPr>
          <w:rFonts w:eastAsia="Times New Roman" w:cs="Times New Roman"/>
          <w:noProof/>
          <w:color w:val="000000"/>
          <w:szCs w:val="24"/>
          <w:vertAlign w:val="superscript"/>
          <w:lang w:eastAsia="en-GB"/>
        </w:rPr>
        <w:footnoteReference w:id="48"/>
      </w:r>
      <w:r>
        <w:rPr>
          <w:noProof/>
          <w:color w:val="000000"/>
          <w:szCs w:val="24"/>
        </w:rPr>
        <w:t xml:space="preserve">. </w:t>
      </w:r>
      <w:r>
        <w:rPr>
          <w:noProof/>
        </w:rPr>
        <w:t xml:space="preserve">Sidst i 2020 lancerede ministerrådet desuden et nationalt integritetsprogram baseret på </w:t>
      </w:r>
      <w:r>
        <w:rPr>
          <w:noProof/>
          <w:szCs w:val="24"/>
          <w:shd w:val="clear" w:color="auto" w:fill="FFFFFF"/>
        </w:rPr>
        <w:t xml:space="preserve">Den Internationale Standardiseringsorganisations (ISO) </w:t>
      </w:r>
      <w:r>
        <w:rPr>
          <w:noProof/>
        </w:rPr>
        <w:t xml:space="preserve">standard for </w:t>
      </w:r>
      <w:r>
        <w:rPr>
          <w:noProof/>
          <w:szCs w:val="24"/>
          <w:shd w:val="clear" w:color="auto" w:fill="FFFFFF"/>
        </w:rPr>
        <w:t>ledelsessystemer til bekæmpelse af bestikkelse</w:t>
      </w:r>
      <w:r>
        <w:rPr>
          <w:noProof/>
        </w:rPr>
        <w:t>. Justitsministeriet har ansvaret for at føre tilsyn med programmets gennemførelse</w:t>
      </w:r>
      <w:r>
        <w:rPr>
          <w:rFonts w:eastAsia="Times New Roman" w:cs="Times New Roman"/>
          <w:noProof/>
          <w:szCs w:val="24"/>
          <w:vertAlign w:val="superscript"/>
          <w:lang w:eastAsia="en-GB"/>
        </w:rPr>
        <w:footnoteReference w:id="49"/>
      </w:r>
      <w:r>
        <w:rPr>
          <w:noProof/>
        </w:rPr>
        <w:t>.</w:t>
      </w:r>
    </w:p>
    <w:p>
      <w:pPr>
        <w:autoSpaceDE w:val="0"/>
        <w:autoSpaceDN w:val="0"/>
        <w:adjustRightInd w:val="0"/>
        <w:spacing w:after="0"/>
        <w:rPr>
          <w:rFonts w:cs="Times New Roman"/>
          <w:b/>
          <w:bCs/>
          <w:noProof/>
          <w:color w:val="000000"/>
          <w:szCs w:val="24"/>
        </w:rPr>
      </w:pPr>
    </w:p>
    <w:p>
      <w:pPr>
        <w:widowControl w:val="0"/>
        <w:autoSpaceDE w:val="0"/>
        <w:autoSpaceDN w:val="0"/>
        <w:adjustRightInd w:val="0"/>
        <w:spacing w:after="160"/>
        <w:rPr>
          <w:rFonts w:cs="Times New Roman"/>
          <w:bCs/>
          <w:noProof/>
          <w:szCs w:val="24"/>
        </w:rPr>
      </w:pPr>
      <w:r>
        <w:rPr>
          <w:b/>
          <w:noProof/>
          <w:szCs w:val="24"/>
        </w:rPr>
        <w:t xml:space="preserve">Loven om adgang til offentlige oplysninger er blevet vedtaget, men anden lovgivning til bekæmpelse af korruption drøftes fortsat i parlamentet. </w:t>
      </w:r>
      <w:r>
        <w:rPr>
          <w:noProof/>
        </w:rPr>
        <w:t>Loven om adgang til den offentlige sektors oplysninger</w:t>
      </w:r>
      <w:r>
        <w:rPr>
          <w:rFonts w:cs="Times New Roman"/>
          <w:bCs/>
          <w:noProof/>
          <w:szCs w:val="24"/>
          <w:vertAlign w:val="superscript"/>
        </w:rPr>
        <w:footnoteReference w:id="50"/>
      </w:r>
      <w:r>
        <w:rPr>
          <w:noProof/>
        </w:rPr>
        <w:t xml:space="preserve">, </w:t>
      </w:r>
      <w:r>
        <w:rPr>
          <w:noProof/>
          <w:color w:val="212529"/>
          <w:szCs w:val="24"/>
          <w:shd w:val="clear" w:color="auto" w:fill="FFFFFF"/>
        </w:rPr>
        <w:t>der giver en fysisk eller juridisk person ret til adgang til oplysninger, som er i en offentlig myndigheds besiddelse</w:t>
      </w:r>
      <w:r>
        <w:rPr>
          <w:noProof/>
        </w:rPr>
        <w:t>, trådte i kraft i december 2020. Lovforslaget om oprettelse af en uafhængig myndighed med ansvar for bekæmpelse af korruption og lovforslaget om lobbyvirksomhed er kommet igennem førstebehandlingen i det relevante parlamentariske udvalg. En række lovforslag om folkevalgte og statslige embedsmænds indberetning af aktiver behandles fortsat i parlamentsudvalget om institutioner, kvalifikationer og ombudsmanden</w:t>
      </w:r>
      <w:r>
        <w:rPr>
          <w:rFonts w:cs="Times New Roman"/>
          <w:noProof/>
          <w:szCs w:val="24"/>
          <w:vertAlign w:val="superscript"/>
        </w:rPr>
        <w:footnoteReference w:id="51"/>
      </w:r>
      <w:r>
        <w:rPr>
          <w:noProof/>
        </w:rPr>
        <w:t xml:space="preserve">. Der er dog ikke angivet nogen tidshorisont for den endelige vedtagelse. </w:t>
      </w:r>
    </w:p>
    <w:p>
      <w:pPr>
        <w:autoSpaceDE w:val="0"/>
        <w:autoSpaceDN w:val="0"/>
        <w:adjustRightInd w:val="0"/>
        <w:spacing w:after="0"/>
        <w:rPr>
          <w:rFonts w:cs="Times New Roman"/>
          <w:noProof/>
          <w:color w:val="000000"/>
          <w:shd w:val="clear" w:color="auto" w:fill="FFFFFF"/>
        </w:rPr>
      </w:pPr>
      <w:r>
        <w:rPr>
          <w:b/>
          <w:bCs/>
          <w:noProof/>
          <w:color w:val="000000"/>
        </w:rPr>
        <w:t xml:space="preserve">Straffen for misbrug af offentligt embede er blevet skærpet. </w:t>
      </w:r>
      <w:r>
        <w:rPr>
          <w:noProof/>
          <w:color w:val="000000"/>
        </w:rPr>
        <w:t>I marts 2021 blev straffen for offentlige embedsmænds misbrug af offentligt embede</w:t>
      </w:r>
      <w:r>
        <w:rPr>
          <w:rStyle w:val="FootnoteReference"/>
          <w:rFonts w:cs="Times New Roman"/>
          <w:noProof/>
          <w:color w:val="000000"/>
        </w:rPr>
        <w:footnoteReference w:id="52"/>
      </w:r>
      <w:r>
        <w:rPr>
          <w:noProof/>
          <w:color w:val="000000"/>
        </w:rPr>
        <w:t xml:space="preserve"> (hvad enten de er folkevalgt eller udnævnt) hævet fra tre til syv års fængsel</w:t>
      </w:r>
      <w:r>
        <w:rPr>
          <w:rFonts w:cs="Times New Roman"/>
          <w:noProof/>
          <w:color w:val="000000"/>
          <w:vertAlign w:val="superscript"/>
        </w:rPr>
        <w:footnoteReference w:id="53"/>
      </w:r>
      <w:r>
        <w:rPr>
          <w:noProof/>
          <w:color w:val="000000"/>
        </w:rPr>
        <w:t xml:space="preserve">. </w:t>
      </w:r>
    </w:p>
    <w:p>
      <w:pPr>
        <w:autoSpaceDE w:val="0"/>
        <w:autoSpaceDN w:val="0"/>
        <w:adjustRightInd w:val="0"/>
        <w:spacing w:after="0"/>
        <w:rPr>
          <w:rFonts w:cs="Times New Roman"/>
          <w:noProof/>
          <w:color w:val="000000"/>
          <w:szCs w:val="24"/>
          <w:shd w:val="clear" w:color="auto" w:fill="FFFFFF"/>
        </w:rPr>
      </w:pPr>
    </w:p>
    <w:p>
      <w:pPr>
        <w:widowControl w:val="0"/>
        <w:autoSpaceDE w:val="0"/>
        <w:autoSpaceDN w:val="0"/>
        <w:adjustRightInd w:val="0"/>
        <w:spacing w:after="160"/>
        <w:rPr>
          <w:rFonts w:cs="Times New Roman"/>
          <w:noProof/>
          <w:szCs w:val="24"/>
        </w:rPr>
      </w:pPr>
      <w:r>
        <w:rPr>
          <w:b/>
          <w:noProof/>
          <w:szCs w:val="24"/>
        </w:rPr>
        <w:t>Kapaciteten på rigsadvokatens kontor øges fortsat.</w:t>
      </w:r>
      <w:r>
        <w:rPr>
          <w:noProof/>
        </w:rPr>
        <w:t xml:space="preserve"> Der blev udnævnt en ny rigsadvokat i slutningen af juni 2020.</w:t>
      </w:r>
      <w:r>
        <w:rPr>
          <w:b/>
          <w:noProof/>
          <w:szCs w:val="24"/>
        </w:rPr>
        <w:t xml:space="preserve"> </w:t>
      </w:r>
      <w:r>
        <w:rPr>
          <w:noProof/>
        </w:rPr>
        <w:t>Kontoret har for nylig ansat 24 advokater på første niveau med bemyndigelse til at retsforfølge økonomisk kriminalitet, herunder korruption, og tre embedsmænd er blevet flyttet fra personaleafdelingen til rigsadvokatens kontor. I perioden 2013-2020 blev 149 korruptionssager efterforsket, og der blev afsagt dom i de 20 (herunder fem sager vedrørende højtstående embedsmænd og politisk eksponerede personer)</w:t>
      </w:r>
      <w:r>
        <w:rPr>
          <w:rFonts w:cs="Times New Roman"/>
          <w:noProof/>
          <w:szCs w:val="24"/>
          <w:vertAlign w:val="superscript"/>
        </w:rPr>
        <w:footnoteReference w:id="54"/>
      </w:r>
      <w:r>
        <w:rPr>
          <w:noProof/>
        </w:rPr>
        <w:t>. Et særligt risikoområde, som reguleres i henhold til loven om bekæmpelse af manipulation af idrætskonkurrencer</w:t>
      </w:r>
      <w:r>
        <w:rPr>
          <w:rFonts w:cs="Times New Roman"/>
          <w:noProof/>
          <w:szCs w:val="24"/>
          <w:bdr w:val="none" w:sz="0" w:space="0" w:color="auto" w:frame="1"/>
          <w:vertAlign w:val="superscript"/>
        </w:rPr>
        <w:footnoteReference w:id="55"/>
      </w:r>
      <w:r>
        <w:rPr>
          <w:noProof/>
        </w:rPr>
        <w:t>, resulterede i, at der blev indledt flere efterforskninger af korruptionssager (12 sager i 2020 og tre sager i 2021) og interessekonflikter (to sager i 2020 og en i 2021), men der er endnu ikke afsagt dom i sagerne</w:t>
      </w:r>
      <w:r>
        <w:rPr>
          <w:rFonts w:cs="Times New Roman"/>
          <w:noProof/>
          <w:szCs w:val="24"/>
          <w:vertAlign w:val="superscript"/>
        </w:rPr>
        <w:footnoteReference w:id="56"/>
      </w:r>
      <w:r>
        <w:rPr>
          <w:noProof/>
        </w:rPr>
        <w:t>. I løbet af 2020 koordinerede rigsadvokaten møder med spilorganisationen og politiet vedrørende gennemførelsen af loven om bekæmpelse af manipulation af idrætskonkurrencer</w:t>
      </w:r>
      <w:r>
        <w:rPr>
          <w:rStyle w:val="FootnoteReference"/>
          <w:rFonts w:cs="Times New Roman"/>
          <w:noProof/>
          <w:szCs w:val="24"/>
          <w:bdr w:val="none" w:sz="0" w:space="0" w:color="auto" w:frame="1"/>
        </w:rPr>
        <w:footnoteReference w:id="57"/>
      </w:r>
      <w:r>
        <w:rPr>
          <w:noProof/>
        </w:rPr>
        <w:t>.</w:t>
      </w:r>
    </w:p>
    <w:p>
      <w:pPr>
        <w:spacing w:after="0"/>
        <w:textAlignment w:val="baseline"/>
        <w:rPr>
          <w:rFonts w:eastAsia="Times New Roman" w:cs="Times New Roman"/>
          <w:noProof/>
          <w:bdr w:val="none" w:sz="0" w:space="0" w:color="auto" w:frame="1"/>
        </w:rPr>
      </w:pPr>
      <w:r>
        <w:rPr>
          <w:b/>
          <w:bCs/>
          <w:noProof/>
          <w:bdr w:val="none" w:sz="0" w:space="0" w:color="auto" w:frame="1"/>
        </w:rPr>
        <w:t xml:space="preserve">Regeringen nedsatte et undersøgelsesudvalg, som skal undersøge Cyperns ordning med statsborgerskab gennem investeringer. </w:t>
      </w:r>
      <w:r>
        <w:rPr>
          <w:noProof/>
          <w:bdr w:val="none" w:sz="0" w:space="0" w:color="auto" w:frame="1"/>
        </w:rPr>
        <w:t>Som reaktion på anklager om korruption, der involverer udlændinge og højtstående embedsmænd (herunder med mulig deltagelse af politisk eksponerede personer), nedsatte rigsadvokaten efter anmodning fra ministerrådet den 7. september 2020 et undersøgelsesudvalg, som fik til opgave at undersøge alle naturalisationer baseret på Cyperns ordning med statsborgerskab gennem investeringer i perioden 2007-2020. Udvalget undersøgte angiveligt 6 779 investeringsbaserede naturalisationer</w:t>
      </w:r>
      <w:r>
        <w:rPr>
          <w:rStyle w:val="FootnoteReference"/>
          <w:rFonts w:eastAsia="Times New Roman" w:cs="Times New Roman"/>
          <w:noProof/>
          <w:bdr w:val="none" w:sz="0" w:space="0" w:color="auto" w:frame="1"/>
          <w:lang w:eastAsia="en-IE"/>
        </w:rPr>
        <w:footnoteReference w:id="58"/>
      </w:r>
      <w:r>
        <w:rPr>
          <w:noProof/>
          <w:bdr w:val="none" w:sz="0" w:space="0" w:color="auto" w:frame="1"/>
        </w:rPr>
        <w:t>. Udvalgets foreløbige konklusioner, som blev offentliggjort i april 2021, angiver, at over 53 % af alle analyserede naturalisationer var i strid med loven</w:t>
      </w:r>
      <w:r>
        <w:rPr>
          <w:rStyle w:val="FootnoteReference"/>
          <w:rFonts w:eastAsia="Times New Roman" w:cs="Times New Roman"/>
          <w:noProof/>
          <w:bdr w:val="none" w:sz="0" w:space="0" w:color="auto" w:frame="1"/>
          <w:lang w:eastAsia="en-IE"/>
        </w:rPr>
        <w:footnoteReference w:id="59"/>
      </w:r>
      <w:r>
        <w:rPr>
          <w:noProof/>
          <w:bdr w:val="none" w:sz="0" w:space="0" w:color="auto" w:frame="1"/>
        </w:rPr>
        <w:t xml:space="preserve">. </w:t>
      </w:r>
      <w:r>
        <w:rPr>
          <w:bCs/>
          <w:noProof/>
          <w:bdr w:val="none" w:sz="0" w:space="0" w:color="auto" w:frame="1"/>
        </w:rPr>
        <w:t>Europa-Kommissionen indledte en traktatbrudsprocedure mod Cypern vedrørende ordningen med statsborgerskab gennem investeringer</w:t>
      </w:r>
      <w:r>
        <w:rPr>
          <w:rStyle w:val="FootnoteReference"/>
          <w:rFonts w:eastAsia="Times New Roman" w:cs="Times New Roman"/>
          <w:bCs/>
          <w:noProof/>
          <w:bdr w:val="none" w:sz="0" w:space="0" w:color="auto" w:frame="1"/>
          <w:lang w:eastAsia="en-IE"/>
        </w:rPr>
        <w:footnoteReference w:id="60"/>
      </w:r>
      <w:r>
        <w:rPr>
          <w:bCs/>
          <w:noProof/>
          <w:bdr w:val="none" w:sz="0" w:space="0" w:color="auto" w:frame="1"/>
        </w:rPr>
        <w:t>.</w:t>
      </w:r>
      <w:r>
        <w:rPr>
          <w:noProof/>
          <w:bdr w:val="none" w:sz="0" w:space="0" w:color="auto" w:frame="1"/>
        </w:rPr>
        <w:t xml:space="preserve"> </w:t>
      </w:r>
    </w:p>
    <w:p>
      <w:pPr>
        <w:spacing w:after="0"/>
        <w:textAlignment w:val="baseline"/>
        <w:rPr>
          <w:rFonts w:eastAsia="Times New Roman" w:cs="Times New Roman"/>
          <w:noProof/>
          <w:bdr w:val="none" w:sz="0" w:space="0" w:color="auto" w:frame="1"/>
          <w:lang w:eastAsia="en-IE"/>
        </w:rPr>
      </w:pPr>
    </w:p>
    <w:p>
      <w:pPr>
        <w:spacing w:after="0"/>
        <w:textAlignment w:val="baseline"/>
        <w:rPr>
          <w:rFonts w:eastAsia="Times New Roman" w:cs="Times New Roman"/>
          <w:noProof/>
          <w:color w:val="000000"/>
          <w:szCs w:val="24"/>
          <w:bdr w:val="none" w:sz="0" w:space="0" w:color="auto" w:frame="1"/>
        </w:rPr>
      </w:pPr>
      <w:r>
        <w:rPr>
          <w:b/>
          <w:iCs/>
          <w:noProof/>
          <w:szCs w:val="24"/>
        </w:rPr>
        <w:t xml:space="preserve">Kontoret for retsforfølgelse af økonomisk kriminalitet er blevet omorganiseret. </w:t>
      </w:r>
      <w:r>
        <w:rPr>
          <w:noProof/>
        </w:rPr>
        <w:t>I 2020 blev kontoret for efterforskning af økonomisk kriminalitet omorganiseret og delt i to afdelinger, nemlig en afdeling, som efterforsker økonomisk kriminalitet, og en støtteafdeling (som startede op i februar 2021) med to politiefterforskere og fire kriminaltekniske revisorer</w:t>
      </w:r>
      <w:r>
        <w:rPr>
          <w:rFonts w:eastAsia="Times New Roman" w:cs="Times New Roman"/>
          <w:iCs/>
          <w:noProof/>
          <w:szCs w:val="24"/>
          <w:vertAlign w:val="superscript"/>
          <w:lang w:eastAsia="en-IE"/>
        </w:rPr>
        <w:footnoteReference w:id="61"/>
      </w:r>
      <w:r>
        <w:rPr>
          <w:noProof/>
        </w:rPr>
        <w:t>. Støtteenheden yder ligeledes støtte til andre enheder i form af finansiel efterretningsanalyse og due diligence vedrørende mistænkelige personer. Kontoret har imidlertid fortsat vanskeligt ved at tiltrække og fastholde kvalificeret personale</w:t>
      </w:r>
      <w:r>
        <w:rPr>
          <w:rFonts w:eastAsia="Times New Roman" w:cs="Times New Roman"/>
          <w:iCs/>
          <w:noProof/>
          <w:szCs w:val="24"/>
          <w:vertAlign w:val="superscript"/>
          <w:lang w:eastAsia="en-IE"/>
        </w:rPr>
        <w:footnoteReference w:id="62"/>
      </w:r>
      <w:r>
        <w:rPr>
          <w:noProof/>
        </w:rPr>
        <w:t>. Efterforskningen af nogle sager om økonomisk kriminalitet er blevet forsinket som følge af de finansielle institutioners langsomme reaktion på domstolskendelser om offentliggørelse og i nogle internationale sager, fordi de udenlandske myndigheder angiveligt reagerer langsomt på anmodninger om gensidig juridisk bistand</w:t>
      </w:r>
      <w:r>
        <w:rPr>
          <w:rFonts w:eastAsia="Times New Roman" w:cs="Times New Roman"/>
          <w:bCs/>
          <w:iCs/>
          <w:noProof/>
          <w:szCs w:val="24"/>
          <w:vertAlign w:val="superscript"/>
          <w:lang w:eastAsia="en-IE"/>
        </w:rPr>
        <w:footnoteReference w:id="63"/>
      </w:r>
      <w:r>
        <w:rPr>
          <w:noProof/>
        </w:rPr>
        <w:t>. I 2020 fandt der en konfiskation sted i forbindelse med en korruptionssag, som involverede fire sagsøgte, herunder en embedsmand</w:t>
      </w:r>
      <w:r>
        <w:rPr>
          <w:rFonts w:eastAsia="Times New Roman" w:cs="Times New Roman"/>
          <w:iCs/>
          <w:noProof/>
          <w:szCs w:val="24"/>
          <w:vertAlign w:val="superscript"/>
          <w:lang w:eastAsia="en-IE"/>
        </w:rPr>
        <w:footnoteReference w:id="64"/>
      </w:r>
      <w:r>
        <w:rPr>
          <w:noProof/>
        </w:rPr>
        <w:t xml:space="preserve">. </w:t>
      </w:r>
    </w:p>
    <w:p>
      <w:pPr>
        <w:autoSpaceDE w:val="0"/>
        <w:autoSpaceDN w:val="0"/>
        <w:adjustRightInd w:val="0"/>
        <w:spacing w:after="0"/>
        <w:rPr>
          <w:rFonts w:cs="Times New Roman"/>
          <w:iCs/>
          <w:noProof/>
          <w:color w:val="000000"/>
          <w:szCs w:val="24"/>
        </w:rPr>
      </w:pPr>
    </w:p>
    <w:p>
      <w:pPr>
        <w:rPr>
          <w:rFonts w:cs="Times New Roman"/>
          <w:b/>
          <w:noProof/>
          <w:szCs w:val="24"/>
        </w:rPr>
      </w:pPr>
      <w:r>
        <w:rPr>
          <w:b/>
          <w:iCs/>
          <w:noProof/>
          <w:color w:val="000000"/>
          <w:szCs w:val="24"/>
        </w:rPr>
        <w:t xml:space="preserve">Der er indført nye instrumenter til forbedring af integriteten inden for politiet, herunder en onlineplatform for whistleblowing. </w:t>
      </w:r>
      <w:r>
        <w:rPr>
          <w:iCs/>
          <w:noProof/>
          <w:color w:val="000000"/>
          <w:szCs w:val="24"/>
        </w:rPr>
        <w:t>I 2020 lancerede politiets tjeneste for interne anliggender, som har ansvaret for at efterforske anklager om korruption inden for politiet</w:t>
      </w:r>
      <w:r>
        <w:rPr>
          <w:noProof/>
          <w:color w:val="000000"/>
          <w:szCs w:val="24"/>
        </w:rPr>
        <w:t xml:space="preserve">, en onlineplatform for whistleblowing. Siden da har den modtaget </w:t>
      </w:r>
      <w:r>
        <w:rPr>
          <w:iCs/>
          <w:noProof/>
          <w:color w:val="000000"/>
          <w:szCs w:val="24"/>
        </w:rPr>
        <w:t>141 klager</w:t>
      </w:r>
      <w:r>
        <w:rPr>
          <w:rFonts w:cs="Times New Roman"/>
          <w:iCs/>
          <w:noProof/>
          <w:color w:val="000000"/>
          <w:szCs w:val="24"/>
          <w:vertAlign w:val="superscript"/>
        </w:rPr>
        <w:footnoteReference w:id="65"/>
      </w:r>
      <w:r>
        <w:rPr>
          <w:iCs/>
          <w:noProof/>
          <w:color w:val="000000"/>
          <w:szCs w:val="24"/>
        </w:rPr>
        <w:t>. 36 klager er allerede blevet efterforsket (hvoraf 21 senere blev afvist). Der foreligger ingen oplysninger om pådømte sager. I starten af 2021</w:t>
      </w:r>
      <w:r>
        <w:rPr>
          <w:noProof/>
          <w:color w:val="121314"/>
          <w:szCs w:val="24"/>
          <w:shd w:val="clear" w:color="auto" w:fill="FFFFFF"/>
        </w:rPr>
        <w:t xml:space="preserve"> vedtog politiets tjeneste for interne anliggender en adfærdskodeks for politiet med fokus på bekæmpelse af korruption (indført i den eksisterende etiske politikodeks)</w:t>
      </w:r>
      <w:r>
        <w:rPr>
          <w:rFonts w:cs="Times New Roman"/>
          <w:noProof/>
          <w:color w:val="121314"/>
          <w:szCs w:val="24"/>
          <w:shd w:val="clear" w:color="auto" w:fill="FFFFFF"/>
          <w:vertAlign w:val="superscript"/>
        </w:rPr>
        <w:footnoteReference w:id="66"/>
      </w:r>
      <w:r>
        <w:rPr>
          <w:noProof/>
          <w:color w:val="121314"/>
          <w:szCs w:val="24"/>
          <w:shd w:val="clear" w:color="auto" w:fill="FFFFFF"/>
        </w:rPr>
        <w:t xml:space="preserve"> og belyste sine kompetencer i en lokal informationsbrochure</w:t>
      </w:r>
      <w:r>
        <w:rPr>
          <w:noProof/>
          <w:szCs w:val="24"/>
        </w:rPr>
        <w:t>.</w:t>
      </w:r>
      <w:r>
        <w:rPr>
          <w:noProof/>
          <w:color w:val="121314"/>
          <w:szCs w:val="24"/>
          <w:shd w:val="clear" w:color="auto" w:fill="FFFFFF"/>
        </w:rPr>
        <w:t xml:space="preserve"> Hvis en politibetjent mistænkes for korruption, kan tjenesten beslutte at foretage </w:t>
      </w:r>
      <w:r>
        <w:rPr>
          <w:noProof/>
          <w:szCs w:val="24"/>
        </w:rPr>
        <w:t>en såkaldt integritetstest</w:t>
      </w:r>
      <w:r>
        <w:rPr>
          <w:iCs/>
          <w:noProof/>
          <w:color w:val="000000"/>
          <w:szCs w:val="24"/>
        </w:rPr>
        <w:t xml:space="preserve"> af den mistænkte. En mistanke om korruption meddeles rigsadvokaten, og bevismateriale, der peger på tilsidesættelse af disciplinære bestemmelser, sendes til politidirektøren med henblik på eventuelle korrigerende foranstaltninger. I perioden 2018-2020 blev 13 sager henvist til rigsadvokaten, og en sag blev pådømt (med domfældelse). Der er for øjeblikket indledt 11 efterforskninger, og en afventer behandling i rigsadvokatens kontor</w:t>
      </w:r>
      <w:r>
        <w:rPr>
          <w:rStyle w:val="FootnoteReference"/>
          <w:rFonts w:cs="Times New Roman"/>
          <w:iCs/>
          <w:noProof/>
          <w:color w:val="000000"/>
          <w:szCs w:val="24"/>
        </w:rPr>
        <w:footnoteReference w:id="67"/>
      </w:r>
      <w:r>
        <w:rPr>
          <w:iCs/>
          <w:noProof/>
          <w:color w:val="000000"/>
          <w:szCs w:val="24"/>
        </w:rPr>
        <w:t>.</w:t>
      </w:r>
    </w:p>
    <w:p>
      <w:pPr>
        <w:spacing w:after="160"/>
        <w:rPr>
          <w:rFonts w:cs="Times New Roman"/>
          <w:noProof/>
          <w:szCs w:val="24"/>
        </w:rPr>
      </w:pPr>
      <w:r>
        <w:rPr>
          <w:b/>
          <w:noProof/>
          <w:szCs w:val="24"/>
        </w:rPr>
        <w:t>Der er vedtaget nye bestemmelser om interessekonflikter vedrørende parlamentsmedlemmer.</w:t>
      </w:r>
      <w:r>
        <w:rPr>
          <w:noProof/>
        </w:rPr>
        <w:t xml:space="preserve"> I februar 2021 vedtog repræsentanternes hus en adfærdskodeks for sine medlemmer med bestemmelser om uforeneligheder, indberetning af aktiver, gaver og lobbyvirksomhed</w:t>
      </w:r>
      <w:r>
        <w:rPr>
          <w:rFonts w:cs="Times New Roman"/>
          <w:noProof/>
          <w:szCs w:val="24"/>
          <w:vertAlign w:val="superscript"/>
        </w:rPr>
        <w:footnoteReference w:id="68"/>
      </w:r>
      <w:r>
        <w:rPr>
          <w:noProof/>
        </w:rPr>
        <w:t>. Et parlamentsudvalg fører tilsyn med kodeksens overholdelse. For andre embedsmænd sigter et igangværende projekt på — ud over den eksisterende forvaltningsret</w:t>
      </w:r>
      <w:r>
        <w:rPr>
          <w:rFonts w:cs="Times New Roman"/>
          <w:noProof/>
          <w:szCs w:val="24"/>
          <w:vertAlign w:val="superscript"/>
        </w:rPr>
        <w:footnoteReference w:id="69"/>
      </w:r>
      <w:r>
        <w:rPr>
          <w:noProof/>
        </w:rPr>
        <w:t xml:space="preserve"> — at udarbejde et fælles sæt principper for interessekonflikter vedrørende offentlige embedsmænd fra alle sektorer</w:t>
      </w:r>
      <w:r>
        <w:rPr>
          <w:rFonts w:cs="Times New Roman"/>
          <w:iCs/>
          <w:noProof/>
          <w:szCs w:val="24"/>
          <w:vertAlign w:val="superscript"/>
        </w:rPr>
        <w:footnoteReference w:id="70"/>
      </w:r>
      <w:r>
        <w:rPr>
          <w:noProof/>
        </w:rPr>
        <w:t>.</w:t>
      </w:r>
    </w:p>
    <w:p>
      <w:pPr>
        <w:spacing w:after="0"/>
        <w:textAlignment w:val="baseline"/>
        <w:rPr>
          <w:rFonts w:eastAsia="Times New Roman" w:cs="Times New Roman"/>
          <w:noProof/>
          <w:color w:val="000000"/>
          <w:szCs w:val="24"/>
        </w:rPr>
      </w:pPr>
      <w:r>
        <w:rPr>
          <w:b/>
          <w:noProof/>
          <w:szCs w:val="24"/>
        </w:rPr>
        <w:t>Der foreligger ingen data om gennemførelsen af rammen for indberetning af aktiver.</w:t>
      </w:r>
      <w:r>
        <w:rPr>
          <w:noProof/>
        </w:rPr>
        <w:t xml:space="preserve"> Der findes regler for indberetning af aktiver, men der blev rejst spørgsmål om nøjagtigheden og kontrollen af disse indberetninger</w:t>
      </w:r>
      <w:r>
        <w:rPr>
          <w:rStyle w:val="FootnoteReference"/>
          <w:rFonts w:eastAsia="Times New Roman" w:cs="Times New Roman"/>
          <w:noProof/>
          <w:color w:val="000000"/>
          <w:szCs w:val="24"/>
          <w:bdr w:val="none" w:sz="0" w:space="0" w:color="auto" w:frame="1"/>
          <w:lang w:eastAsia="en-IE"/>
        </w:rPr>
        <w:footnoteReference w:id="71"/>
      </w:r>
      <w:r>
        <w:rPr>
          <w:noProof/>
        </w:rPr>
        <w:t>. Der findes desuden regler og sanktioner for misligholdelse af forpligtelser vedrørende indberetning af aktiver, herunder for højtstående embedsmænd og politisk eksponerede personer (som f.eks. parlamentsmedlemmer og republikkens præsident), men deres effektivitet er fortsat uklar, da der ikke foreligger oplysninger om gennemførelsen af ordningen for indberetning af aktiver.</w:t>
      </w:r>
      <w:r>
        <w:rPr>
          <w:noProof/>
          <w:color w:val="000000"/>
          <w:szCs w:val="24"/>
          <w:bdr w:val="none" w:sz="0" w:space="0" w:color="auto" w:frame="1"/>
        </w:rPr>
        <w:t xml:space="preserve"> De bekymringer, der blev givet udtryk for i sidste års rapport, er derfor fortsat relevante. </w:t>
      </w:r>
    </w:p>
    <w:p>
      <w:pPr>
        <w:autoSpaceDE w:val="0"/>
        <w:autoSpaceDN w:val="0"/>
        <w:adjustRightInd w:val="0"/>
        <w:spacing w:after="0"/>
        <w:rPr>
          <w:rFonts w:cs="Times New Roman"/>
          <w:b/>
          <w:noProof/>
          <w:color w:val="000000"/>
          <w:szCs w:val="24"/>
          <w:bdr w:val="none" w:sz="0" w:space="0" w:color="auto" w:frame="1"/>
        </w:rPr>
      </w:pPr>
    </w:p>
    <w:p>
      <w:pPr>
        <w:autoSpaceDE w:val="0"/>
        <w:autoSpaceDN w:val="0"/>
        <w:adjustRightInd w:val="0"/>
        <w:spacing w:after="0"/>
        <w:rPr>
          <w:rFonts w:cs="Times New Roman"/>
          <w:noProof/>
          <w:color w:val="000000"/>
        </w:rPr>
      </w:pPr>
      <w:r>
        <w:rPr>
          <w:b/>
          <w:noProof/>
          <w:color w:val="000000"/>
        </w:rPr>
        <w:t>Et forslag til lov om indberetning af korruption har afventet lovgivers godkendelse</w:t>
      </w:r>
      <w:r>
        <w:rPr>
          <w:rFonts w:cs="Times New Roman"/>
          <w:b/>
          <w:noProof/>
          <w:color w:val="000000"/>
          <w:vertAlign w:val="superscript"/>
        </w:rPr>
        <w:footnoteReference w:id="72"/>
      </w:r>
      <w:r>
        <w:rPr>
          <w:b/>
          <w:noProof/>
          <w:color w:val="000000"/>
        </w:rPr>
        <w:t xml:space="preserve"> siden maj 2017</w:t>
      </w:r>
      <w:r>
        <w:rPr>
          <w:noProof/>
          <w:color w:val="000000"/>
        </w:rPr>
        <w:t>. Denne lov vil indføre nye bestemmelser om beskyttelse af personer, som indberetter korruption, i den offentlige såvel som i den private sektor</w:t>
      </w:r>
      <w:r>
        <w:rPr>
          <w:rFonts w:cs="Times New Roman"/>
          <w:noProof/>
          <w:color w:val="000000"/>
          <w:vertAlign w:val="superscript"/>
        </w:rPr>
        <w:footnoteReference w:id="73"/>
      </w:r>
      <w:r>
        <w:rPr>
          <w:noProof/>
          <w:color w:val="000000"/>
        </w:rPr>
        <w:t>.</w:t>
      </w:r>
    </w:p>
    <w:p>
      <w:pPr>
        <w:autoSpaceDE w:val="0"/>
        <w:autoSpaceDN w:val="0"/>
        <w:adjustRightInd w:val="0"/>
        <w:spacing w:after="0"/>
        <w:rPr>
          <w:rFonts w:cs="Times New Roman"/>
          <w:iCs/>
          <w:noProof/>
          <w:color w:val="000000"/>
          <w:szCs w:val="24"/>
        </w:rPr>
      </w:pPr>
    </w:p>
    <w:p>
      <w:pPr>
        <w:spacing w:after="160"/>
        <w:rPr>
          <w:rFonts w:cs="Times New Roman"/>
          <w:noProof/>
          <w:sz w:val="22"/>
        </w:rPr>
      </w:pPr>
      <w:r>
        <w:rPr>
          <w:b/>
          <w:noProof/>
          <w:szCs w:val="24"/>
        </w:rPr>
        <w:t xml:space="preserve">Der er iværksat tiltag til forebyggelse af svig i forbindelse med støtteordninger under covid-19-pandemien. </w:t>
      </w:r>
      <w:r>
        <w:rPr>
          <w:noProof/>
        </w:rPr>
        <w:t>Ministeriet for arbejds-, velfærds- og socialsikringsanliggender har indført en kontrolmekanisme, som er tilkoblet socialsikringens database, og som muliggør automatisk kontrol af modtagere af covid-19-relateret støtte (den såkaldte særordning). Hvis kriterierne for at modtage støtte under særordningen er blevet overtrådt, har ministeriet for arbejds-, velfærds- og socialsikringsanliggender krævet de udbetalte beløb tilbagebetalt. I sundhedssektoren er prislofter over nødvendighedsvarer til beskyttelse mod sygdommen (f.eks. masker og covid-19-test) nogle af de tiltag, der har til formål at afhjælpe korruptionsrisici</w:t>
      </w:r>
      <w:r>
        <w:rPr>
          <w:rStyle w:val="FootnoteReference"/>
          <w:rFonts w:cs="Times New Roman"/>
          <w:bCs/>
          <w:noProof/>
          <w:szCs w:val="24"/>
        </w:rPr>
        <w:footnoteReference w:id="74"/>
      </w:r>
      <w:r>
        <w:rPr>
          <w:noProof/>
        </w:rPr>
        <w:t>.</w:t>
      </w:r>
    </w:p>
    <w:p>
      <w:pPr>
        <w:pStyle w:val="Heading1"/>
        <w:numPr>
          <w:ilvl w:val="0"/>
          <w:numId w:val="8"/>
        </w:numPr>
        <w:rPr>
          <w:noProof/>
        </w:rPr>
      </w:pPr>
      <w:r>
        <w:rPr>
          <w:noProof/>
        </w:rPr>
        <w:t>Mediepluralisme og mediefrihed</w:t>
      </w:r>
    </w:p>
    <w:p>
      <w:pPr>
        <w:rPr>
          <w:noProof/>
        </w:rPr>
      </w:pPr>
      <w:r>
        <w:rPr>
          <w:noProof/>
        </w:rPr>
        <w:t>I Cypern er ytringsfriheden og retten til adgang til oplysninger juridisk og formelt beskyttet ved artikel 19 i Republikken Cyperns forfatning. Sekundær lovgivning beskytter udtrykkeligt journalisters kilder og fremmer mediepluralisme inden for radio- og tv-sektoren. Loven om adgang til den offentlige sektors oplysninger (2017) trådte efter flere udsættelser i kraft i december 2020 med det formål at fastsætte denne ret i den sekundære lovgivning</w:t>
      </w:r>
      <w:r>
        <w:rPr>
          <w:rStyle w:val="FootnoteReference"/>
          <w:noProof/>
        </w:rPr>
        <w:footnoteReference w:id="75"/>
      </w:r>
      <w:r>
        <w:rPr>
          <w:noProof/>
        </w:rPr>
        <w:t>. Loven opstiller rammer og betingelser for offentlighedens adgang til oplysninger i de offentlige myndigheders besiddelse og ligger til grund for oprettelsen af et informationskommissariat. To separate lovforslag, som efter planen vil blive vedtaget i anden halvdel af 2021, forventes henholdsvis at bringe cypriotisk lovgivning på linje med direktivet om audiovisuelle medietjenester og at styrke pressefriheden</w:t>
      </w:r>
      <w:r>
        <w:rPr>
          <w:rFonts w:eastAsia="Times New Roman" w:cs="Times New Roman"/>
          <w:noProof/>
          <w:vertAlign w:val="superscript"/>
          <w:lang w:eastAsia="en-GB"/>
        </w:rPr>
        <w:footnoteReference w:id="76"/>
      </w:r>
      <w:r>
        <w:rPr>
          <w:noProof/>
        </w:rPr>
        <w:t>. Cypern har ydet et statstilskud, primært bestående i annonceindtægter udbetalt til medieforetagender med henblik på at oplyse offentligheden om covid-19-pandemien.</w:t>
      </w:r>
    </w:p>
    <w:p>
      <w:pPr>
        <w:rPr>
          <w:noProof/>
        </w:rPr>
      </w:pPr>
      <w:r>
        <w:rPr>
          <w:b/>
          <w:bCs/>
          <w:noProof/>
        </w:rPr>
        <w:t>Der blev fremsat ændringsforslag</w:t>
      </w:r>
      <w:r>
        <w:rPr>
          <w:rStyle w:val="FootnoteReference"/>
          <w:b/>
          <w:bCs/>
          <w:noProof/>
        </w:rPr>
        <w:footnoteReference w:id="77"/>
      </w:r>
      <w:r>
        <w:rPr>
          <w:b/>
          <w:bCs/>
          <w:noProof/>
        </w:rPr>
        <w:t xml:space="preserve"> med henblik på at styrke uafhængigheden af tilsynsmyndigheden for audiovisuelle medietjenester (den cypriotiske radio- og tv-myndighed). </w:t>
      </w:r>
      <w:r>
        <w:rPr>
          <w:noProof/>
        </w:rPr>
        <w:t>Der blev i parlamentet fremsat ændringsforslag til loven om radio- og fjernsynsvirksomhed 7(I)/1998 med henblik på udtrykkeligt at fastsætte myndighedens funktionelle og effektive uafhængighed og bringe loven i overensstemmelse med direktivet om audiovisuelle medietjenester</w:t>
      </w:r>
      <w:r>
        <w:rPr>
          <w:rStyle w:val="FootnoteReference"/>
          <w:noProof/>
        </w:rPr>
        <w:footnoteReference w:id="78"/>
      </w:r>
      <w:r>
        <w:rPr>
          <w:noProof/>
        </w:rPr>
        <w:t>. Derudover er kriterierne for udvælgelse af den cypriotiske radio- og tv-myndigheds bestyrelsesmedlemmer på linje med den cypriotiske lov om offentlig ledelse som indført ved ministerrådets beslutning 87/869 og sikrer dermed, at bestyrelsesmedlemmerne har en høj grad af faglighed</w:t>
      </w:r>
      <w:r>
        <w:rPr>
          <w:rStyle w:val="FootnoteReference"/>
          <w:noProof/>
        </w:rPr>
        <w:footnoteReference w:id="79"/>
      </w:r>
      <w:r>
        <w:rPr>
          <w:noProof/>
        </w:rPr>
        <w:t>.</w:t>
      </w:r>
    </w:p>
    <w:p>
      <w:pPr>
        <w:rPr>
          <w:noProof/>
        </w:rPr>
      </w:pPr>
      <w:r>
        <w:rPr>
          <w:b/>
          <w:bCs/>
          <w:noProof/>
        </w:rPr>
        <w:t>Cyperns uafhængige presseråd (medieklagenævnet) har 13 medlemmer og er ansvarligt for nyhedsmediernes (såvel trykte som elektroniske) selvregulering</w:t>
      </w:r>
      <w:r>
        <w:rPr>
          <w:noProof/>
        </w:rPr>
        <w:t>. Hvis det vedtages, vil lovforslaget om beskyttelse af pressefrihed og mediernes drift</w:t>
      </w:r>
      <w:r>
        <w:rPr>
          <w:rStyle w:val="FootnoteReference"/>
          <w:noProof/>
        </w:rPr>
        <w:footnoteReference w:id="80"/>
      </w:r>
      <w:r>
        <w:rPr>
          <w:noProof/>
        </w:rPr>
        <w:t xml:space="preserve"> indføre klagenævnet i loven</w:t>
      </w:r>
      <w:r>
        <w:rPr>
          <w:rStyle w:val="FootnoteReference"/>
          <w:noProof/>
        </w:rPr>
        <w:footnoteReference w:id="81"/>
      </w:r>
      <w:r>
        <w:rPr>
          <w:noProof/>
        </w:rPr>
        <w:t>. Klagenævnet er helt frit for regeringsindblanding og domstolskontrol, men observatoriet for mediepluralisme påpeger, at covid-19-pandemien og de dermed forbundne hjemsendelser yderligere har forværret eksisterende problemer i den forstand, at nævnet i sit arbejde i vid udstrækning koncentrerer sig om at sikre beskæftigelse og lønninger og mindre om den redaktionelle uafhængighed</w:t>
      </w:r>
      <w:r>
        <w:rPr>
          <w:rStyle w:val="FootnoteReference"/>
          <w:noProof/>
        </w:rPr>
        <w:footnoteReference w:id="82"/>
      </w:r>
      <w:r>
        <w:rPr>
          <w:noProof/>
        </w:rPr>
        <w:t>.</w:t>
      </w:r>
    </w:p>
    <w:p>
      <w:pPr>
        <w:rPr>
          <w:noProof/>
        </w:rPr>
      </w:pPr>
      <w:r>
        <w:rPr>
          <w:b/>
          <w:bCs/>
          <w:noProof/>
        </w:rPr>
        <w:t xml:space="preserve">De lovgivningsmæssige rammer i Cypern, som allerede giver mulighed for en vis grad af gennemsigtighed med hensyn til medieejerskab i den audiovisuelle mediesektor, forventes at blive styrket. </w:t>
      </w:r>
      <w:r>
        <w:rPr>
          <w:noProof/>
        </w:rPr>
        <w:t>Observatoriet for mediepluralisme (MPM) 2021 minder om de bekymringer og bekræfter de risikoniveauer, der blev fremhævet i MPM 2020 med hensyn til den effektive gennemførelse af de nuværende bestemmelser og fraværet af rammer, der sikrer gennemsigtighed med hensyn til ejerskab inden for den trykte presse og de digitale medier, hvilket gør det vanskeligt at identificere og kontrollere de egentlige ejere eller krydsejerskab inden for disse sektorer. Det udkast til lovgivning, som for øjeblikket befinder sig i høringsfasen, har til formål at afhjælpe disse mangler</w:t>
      </w:r>
      <w:r>
        <w:rPr>
          <w:rStyle w:val="FootnoteReference"/>
          <w:noProof/>
        </w:rPr>
        <w:footnoteReference w:id="83"/>
      </w:r>
      <w:r>
        <w:rPr>
          <w:noProof/>
        </w:rPr>
        <w:t xml:space="preserve"> ved at forpligte alle medieforetagender til at offentliggøre reviderede regnskaber indeholdende oplysninger om de reelle ejere</w:t>
      </w:r>
      <w:r>
        <w:rPr>
          <w:rStyle w:val="FootnoteReference"/>
          <w:noProof/>
        </w:rPr>
        <w:footnoteReference w:id="84"/>
      </w:r>
      <w:r>
        <w:rPr>
          <w:noProof/>
        </w:rPr>
        <w:t xml:space="preserve">. </w:t>
      </w:r>
    </w:p>
    <w:p>
      <w:pPr>
        <w:rPr>
          <w:noProof/>
        </w:rPr>
      </w:pPr>
      <w:r>
        <w:rPr>
          <w:b/>
          <w:bCs/>
          <w:noProof/>
        </w:rPr>
        <w:t>Der findes fortsat mekanismer, som skal sikre mediernes politiske uafhængighed og forebygge interessekonflikter.</w:t>
      </w:r>
      <w:r>
        <w:rPr>
          <w:noProof/>
        </w:rPr>
        <w:t xml:space="preserve"> Der findes stadig ingen rammer for statslig annoncering, men der blev uddelt et statstilskud på 700 000 EUR — primært bestående i annonceindtægter udbetalt til medieforetagender med henblik på at oplyse offentligheden om covid-19-pandemien. MPM 2021 er af den opfattelse, at de ydede tilskud er mere diversificerede end under tidligere ordninger, og at de har reduceret risikofaktoren vedrørende indikatoren for statens regulering af ressourcer</w:t>
      </w:r>
      <w:r>
        <w:rPr>
          <w:noProof/>
          <w:vertAlign w:val="superscript"/>
        </w:rPr>
        <w:footnoteReference w:id="85"/>
      </w:r>
      <w:r>
        <w:rPr>
          <w:noProof/>
        </w:rPr>
        <w:t xml:space="preserve"> markant. MPM 2021 konkluderede, at risikoen inden for området politisk uafhængighed generelt er faldet (fra 59 % til 55 %), om end den redaktionelle autonomi fortsat er et højrisikoområde, eftersom medieejerne følger politiske dagsordener, hvilket medfører en grad af selvcensur blandt det redaktionelle personale</w:t>
      </w:r>
      <w:r>
        <w:rPr>
          <w:rStyle w:val="FootnoteReference"/>
          <w:noProof/>
        </w:rPr>
        <w:footnoteReference w:id="86"/>
      </w:r>
      <w:r>
        <w:rPr>
          <w:noProof/>
        </w:rPr>
        <w:t>. En detaljeret mekanisme til regulering af udbetalingerne af annonceindtægter til statslige annoncekampagner efter covid-19-pandemien</w:t>
      </w:r>
      <w:r>
        <w:rPr>
          <w:rStyle w:val="FootnoteReference"/>
          <w:noProof/>
        </w:rPr>
        <w:footnoteReference w:id="87"/>
      </w:r>
      <w:r>
        <w:rPr>
          <w:noProof/>
        </w:rPr>
        <w:t xml:space="preserve"> er under udarbejdelse.</w:t>
      </w:r>
    </w:p>
    <w:p>
      <w:pPr>
        <w:rPr>
          <w:noProof/>
        </w:rPr>
      </w:pPr>
      <w:r>
        <w:rPr>
          <w:b/>
          <w:bCs/>
          <w:noProof/>
        </w:rPr>
        <w:t>Direkte trusler er fortsat sjældne, men der blev indberettet et tilfælde af onlinechikane og overvågning af en journalist.</w:t>
      </w:r>
      <w:r>
        <w:rPr>
          <w:noProof/>
        </w:rPr>
        <w:t xml:space="preserve"> Der er indført lovgivningsmæssige garantier til beskyttelse af journalisters kilder. Når det bliver vedtaget, forventes lovforslaget om beskyttelse af pressefrihed og mediernes drift at styrke garantierne for talefrihed, både online og offline</w:t>
      </w:r>
      <w:r>
        <w:rPr>
          <w:rStyle w:val="FootnoteReference"/>
          <w:noProof/>
        </w:rPr>
        <w:footnoteReference w:id="88"/>
      </w:r>
      <w:r>
        <w:rPr>
          <w:noProof/>
        </w:rPr>
        <w:t>. Interessenter har givet udtryk for bekymringer over forfølgelse af, cyberangreb på og alvorlig digital chikane mod en undersøgende journalist</w:t>
      </w:r>
      <w:r>
        <w:rPr>
          <w:rStyle w:val="FootnoteReference"/>
          <w:noProof/>
        </w:rPr>
        <w:footnoteReference w:id="89"/>
      </w:r>
      <w:r>
        <w:rPr>
          <w:noProof/>
        </w:rPr>
        <w:t>, navnlig ved eksponering på de sociale medier</w:t>
      </w:r>
      <w:r>
        <w:rPr>
          <w:rStyle w:val="FootnoteReference"/>
          <w:noProof/>
        </w:rPr>
        <w:footnoteReference w:id="90"/>
      </w:r>
      <w:r>
        <w:rPr>
          <w:noProof/>
        </w:rPr>
        <w:t xml:space="preserve">. Europarådets platform til fremme af beskyttelsen af journalistik og journalisters sikkerhed har ikke udsendt nogen varsler vedrørende Cypern siden rapporten om retsstatssituationen 2020. </w:t>
      </w:r>
    </w:p>
    <w:p>
      <w:pPr>
        <w:pStyle w:val="Heading1"/>
        <w:numPr>
          <w:ilvl w:val="0"/>
          <w:numId w:val="8"/>
        </w:numPr>
        <w:rPr>
          <w:noProof/>
        </w:rPr>
      </w:pPr>
      <w:r>
        <w:rPr>
          <w:noProof/>
        </w:rPr>
        <w:t>Andre institutionelle spørgsmål vedrørende den demokratiske kontrol og balance</w:t>
      </w:r>
    </w:p>
    <w:p>
      <w:pPr>
        <w:rPr>
          <w:rFonts w:eastAsia="Times New Roman" w:cs="Times New Roman"/>
          <w:noProof/>
          <w:szCs w:val="20"/>
        </w:rPr>
      </w:pPr>
      <w:r>
        <w:rPr>
          <w:noProof/>
        </w:rPr>
        <w:t>Republikken Cypern er en præsidentiel repræsentativ republik. Cyperns præsident er både statsoverhoved og regeringschef. Repræsentanternes hus er parlamentet og har lovgivningsbeføjelser. Både medlemmer af repræsentanternes hus og ministre har initiativret til lovgivningsforslag. Den øverste domstol har kompetence til at træffe afgørelse om loves forfatningsmæssighed i forbindelse med konkrete sager, der indbringes for den</w:t>
      </w:r>
      <w:r>
        <w:rPr>
          <w:rFonts w:eastAsia="Times New Roman" w:cs="Times New Roman"/>
          <w:noProof/>
          <w:szCs w:val="20"/>
          <w:vertAlign w:val="superscript"/>
          <w:lang w:eastAsia="fr-FR"/>
        </w:rPr>
        <w:footnoteReference w:id="91"/>
      </w:r>
      <w:r>
        <w:rPr>
          <w:noProof/>
        </w:rPr>
        <w:t>. Der findes en række nationale uafhængige myndigheder, organisationer og institutioner, der har til formål at beskytte og garantere menneskerettighederne.</w:t>
      </w:r>
    </w:p>
    <w:p>
      <w:pPr>
        <w:rPr>
          <w:rFonts w:eastAsia="Times New Roman" w:cs="Times New Roman"/>
          <w:b/>
          <w:noProof/>
          <w:szCs w:val="20"/>
        </w:rPr>
      </w:pPr>
      <w:r>
        <w:rPr>
          <w:b/>
          <w:noProof/>
        </w:rPr>
        <w:t>Trods de foranstaltninger, der er iværksat for at forbedre inddragelsen af interessenter, finder der ikke altid offentlige høringer sted i den indledende fase af politikkernes udformning og udarbejdelse.</w:t>
      </w:r>
      <w:r>
        <w:rPr>
          <w:noProof/>
        </w:rPr>
        <w:t xml:space="preserve"> Der afholdes sjældent åbne offentlige høringer om retsakter</w:t>
      </w:r>
      <w:r>
        <w:rPr>
          <w:rStyle w:val="FootnoteReference"/>
          <w:rFonts w:eastAsia="Times New Roman" w:cs="Times New Roman"/>
          <w:noProof/>
          <w:szCs w:val="20"/>
          <w:lang w:eastAsia="fr-FR"/>
        </w:rPr>
        <w:footnoteReference w:id="92"/>
      </w:r>
      <w:r>
        <w:rPr>
          <w:noProof/>
        </w:rPr>
        <w:t xml:space="preserve"> på trods af forpligtelsen i forbindelse med projektet om bedre lovgivning og relevante cirkulærer fra finansministeriet og republikkens lovkontor</w:t>
      </w:r>
      <w:r>
        <w:rPr>
          <w:rStyle w:val="FootnoteReference"/>
          <w:rFonts w:eastAsia="Times New Roman" w:cs="Times New Roman"/>
          <w:noProof/>
          <w:szCs w:val="20"/>
          <w:lang w:eastAsia="fr-FR"/>
        </w:rPr>
        <w:footnoteReference w:id="93"/>
      </w:r>
      <w:r>
        <w:rPr>
          <w:noProof/>
        </w:rPr>
        <w:t>. Tværtimod er høringsprocessen om forslag til lovgivning ikke særlig tilgængelig for offentligheden og begrænser sig til drøftelser i repræsentanternes hus. For øjeblikket deles forslag til retsakter via justitsministeriets standarddistributionsliste til forud identificerede interessenter</w:t>
      </w:r>
      <w:r>
        <w:rPr>
          <w:rStyle w:val="FootnoteReference"/>
          <w:rFonts w:eastAsia="Times New Roman" w:cs="Times New Roman"/>
          <w:noProof/>
          <w:szCs w:val="20"/>
          <w:lang w:eastAsia="fr-FR"/>
        </w:rPr>
        <w:footnoteReference w:id="94"/>
      </w:r>
      <w:r>
        <w:rPr>
          <w:noProof/>
        </w:rPr>
        <w:t>, så sidstnævnte kan give deres meninger til kende og/eller deltage i drøftelserne i de relevante stående parlamentsudvalg</w:t>
      </w:r>
      <w:r>
        <w:rPr>
          <w:rStyle w:val="FootnoteReference"/>
          <w:rFonts w:eastAsia="Times New Roman" w:cs="Times New Roman"/>
          <w:noProof/>
          <w:szCs w:val="20"/>
          <w:lang w:eastAsia="fr-FR"/>
        </w:rPr>
        <w:footnoteReference w:id="95"/>
      </w:r>
      <w:r>
        <w:rPr>
          <w:noProof/>
        </w:rPr>
        <w:t>. Rigsadvokaten gennemgår først lovforslagene med hensyn til deres overholdelse af legalitets- og proportionalitetsprincippet</w:t>
      </w:r>
      <w:r>
        <w:rPr>
          <w:rStyle w:val="FootnoteReference"/>
          <w:rFonts w:eastAsia="Times New Roman" w:cs="Times New Roman"/>
          <w:noProof/>
          <w:szCs w:val="20"/>
          <w:lang w:eastAsia="fr-FR"/>
        </w:rPr>
        <w:footnoteReference w:id="96"/>
      </w:r>
      <w:r>
        <w:rPr>
          <w:noProof/>
        </w:rPr>
        <w:t xml:space="preserve">. </w:t>
      </w:r>
    </w:p>
    <w:p>
      <w:pPr>
        <w:rPr>
          <w:rFonts w:cs="Times New Roman"/>
          <w:bCs/>
          <w:noProof/>
        </w:rPr>
      </w:pPr>
      <w:r>
        <w:rPr>
          <w:b/>
          <w:bCs/>
          <w:noProof/>
        </w:rPr>
        <w:t>Regeringen har fået bemyndigelse til at træffe foranstaltninger til håndtering af covid-19-pandemien</w:t>
      </w:r>
      <w:r>
        <w:rPr>
          <w:noProof/>
        </w:rPr>
        <w:t>. Den undtagelsestilstand, der er fastsat i forfatningen, er ikke blevet erklæret i Cypern, men der blev indført restriktioner i henhold til karantæneloven, som giver ministerrådet</w:t>
      </w:r>
      <w:r>
        <w:rPr>
          <w:rStyle w:val="FootnoteReference"/>
          <w:rFonts w:cs="Times New Roman"/>
          <w:bCs/>
          <w:noProof/>
        </w:rPr>
        <w:footnoteReference w:id="97"/>
      </w:r>
      <w:r>
        <w:rPr>
          <w:noProof/>
        </w:rPr>
        <w:t xml:space="preserve"> bemyndigelse til at udstede dekreter som følge af covid-19-pandemien, som finder anvendelse på borgerne såvel som på offentlige myndigheder og virksomheder</w:t>
      </w:r>
      <w:r>
        <w:rPr>
          <w:rStyle w:val="FootnoteReference"/>
          <w:rFonts w:cs="Times New Roman"/>
          <w:bCs/>
          <w:noProof/>
        </w:rPr>
        <w:footnoteReference w:id="98"/>
      </w:r>
      <w:r>
        <w:rPr>
          <w:noProof/>
        </w:rPr>
        <w:t>. Det cypriotiske parlament overvåger regelmæssigt gennemførelsen af samtlige covid-19-relaterede foranstaltninger</w:t>
      </w:r>
      <w:r>
        <w:rPr>
          <w:rStyle w:val="FootnoteReference"/>
          <w:rFonts w:cs="Times New Roman"/>
          <w:bCs/>
          <w:noProof/>
        </w:rPr>
        <w:footnoteReference w:id="99"/>
      </w:r>
      <w:r>
        <w:rPr>
          <w:noProof/>
        </w:rPr>
        <w:t>. Ifølge oplysninger fra regeringen er der indtil videre kun gjort indsigelse mod restriktionerne én gang med en sag, som blev anlagt i 2020 og fortsat verserer for forvaltningsdomstolen, vedrørende det antal ansatte, der måtte være på kontorer og andre arbejdspladser</w:t>
      </w:r>
      <w:r>
        <w:rPr>
          <w:rFonts w:cs="Times New Roman"/>
          <w:bCs/>
          <w:noProof/>
          <w:szCs w:val="24"/>
          <w:vertAlign w:val="superscript"/>
        </w:rPr>
        <w:footnoteReference w:id="100"/>
      </w:r>
      <w:r>
        <w:rPr>
          <w:noProof/>
        </w:rPr>
        <w:t xml:space="preserve">. </w:t>
      </w:r>
    </w:p>
    <w:p>
      <w:pPr>
        <w:rPr>
          <w:rFonts w:asciiTheme="minorHAnsi" w:hAnsiTheme="minorHAnsi"/>
          <w:noProof/>
          <w:sz w:val="22"/>
        </w:rPr>
      </w:pPr>
      <w:r>
        <w:rPr>
          <w:b/>
          <w:bCs/>
          <w:noProof/>
        </w:rPr>
        <w:t>I forbindelse med covid-19-pandemien har ombudsmanden aktivt hjulpet borgerne.</w:t>
      </w:r>
      <w:r>
        <w:rPr>
          <w:noProof/>
        </w:rPr>
        <w:t xml:space="preserve"> Siden marts 2020 har ombudsmanden afholdt en oplysningskampagne vedrørende covid-19-pandemien og beskyttelsen af menneskerettigheder</w:t>
      </w:r>
      <w:r>
        <w:rPr>
          <w:rStyle w:val="FootnoteReference"/>
          <w:rFonts w:cs="Times New Roman"/>
          <w:bCs/>
          <w:noProof/>
        </w:rPr>
        <w:footnoteReference w:id="101"/>
      </w:r>
      <w:r>
        <w:rPr>
          <w:noProof/>
        </w:rPr>
        <w:t>. Ombudsmanden blev i 2015</w:t>
      </w:r>
      <w:r>
        <w:rPr>
          <w:rFonts w:cs="Times New Roman"/>
          <w:bCs/>
          <w:noProof/>
          <w:vertAlign w:val="superscript"/>
        </w:rPr>
        <w:footnoteReference w:id="102"/>
      </w:r>
      <w:r>
        <w:rPr>
          <w:noProof/>
        </w:rPr>
        <w:t xml:space="preserve"> akkrediteret med B-status af den globale alliance af nationale menneskerettighedsinstitutioner (GANHRI), og denne akkreditering vil blive evalueret igen i juni 2021</w:t>
      </w:r>
      <w:r>
        <w:rPr>
          <w:rFonts w:cs="Times New Roman"/>
          <w:bCs/>
          <w:noProof/>
          <w:vertAlign w:val="superscript"/>
        </w:rPr>
        <w:footnoteReference w:id="103"/>
      </w:r>
      <w:r>
        <w:rPr>
          <w:noProof/>
        </w:rPr>
        <w:t xml:space="preserve">. </w:t>
      </w:r>
    </w:p>
    <w:p>
      <w:pPr>
        <w:rPr>
          <w:noProof/>
          <w:color w:val="000000" w:themeColor="text1"/>
        </w:rPr>
      </w:pPr>
      <w:r>
        <w:rPr>
          <w:b/>
          <w:noProof/>
        </w:rPr>
        <w:t>Der er sket fremskridt, men registreringen af civilsamfundsorganisationer giver fortsat anledning til bekymring</w:t>
      </w:r>
      <w:r>
        <w:rPr>
          <w:rStyle w:val="FootnoteReference"/>
          <w:rFonts w:eastAsia="Times New Roman" w:cs="Times New Roman"/>
          <w:b/>
          <w:noProof/>
          <w:szCs w:val="20"/>
          <w:lang w:eastAsia="fr-FR"/>
        </w:rPr>
        <w:footnoteReference w:id="104"/>
      </w:r>
      <w:r>
        <w:rPr>
          <w:b/>
          <w:noProof/>
          <w:szCs w:val="20"/>
        </w:rPr>
        <w:t xml:space="preserve">. </w:t>
      </w:r>
      <w:r>
        <w:rPr>
          <w:noProof/>
        </w:rPr>
        <w:t>Disse bekymringer blev gentaget af Europarådets kommissær for menneskerettigheder</w:t>
      </w:r>
      <w:r>
        <w:rPr>
          <w:rFonts w:cs="Times New Roman"/>
          <w:noProof/>
          <w:szCs w:val="24"/>
          <w:vertAlign w:val="superscript"/>
          <w:lang w:eastAsia="en-GB"/>
        </w:rPr>
        <w:footnoteReference w:id="105"/>
      </w:r>
      <w:r>
        <w:rPr>
          <w:noProof/>
        </w:rPr>
        <w:t xml:space="preserve"> og vedrørte NGO'ers mulighed for at operere i Cypern og gennemførelsen af loven om foreninger, som for nylig medførte, at flere NGO'er blev afregistreret. Som svar på disse bekymringer</w:t>
      </w:r>
      <w:r>
        <w:rPr>
          <w:rFonts w:cs="Times New Roman"/>
          <w:noProof/>
          <w:szCs w:val="24"/>
          <w:vertAlign w:val="superscript"/>
          <w:lang w:eastAsia="en-GB"/>
        </w:rPr>
        <w:footnoteReference w:id="106"/>
      </w:r>
      <w:r>
        <w:rPr>
          <w:noProof/>
        </w:rPr>
        <w:t xml:space="preserve"> understregede regeringen, at 2017-lovgivningen</w:t>
      </w:r>
      <w:r>
        <w:rPr>
          <w:rFonts w:cs="Times New Roman"/>
          <w:noProof/>
          <w:szCs w:val="24"/>
          <w:vertAlign w:val="superscript"/>
          <w:lang w:eastAsia="en-GB"/>
        </w:rPr>
        <w:footnoteReference w:id="107"/>
      </w:r>
      <w:r>
        <w:rPr>
          <w:noProof/>
        </w:rPr>
        <w:t xml:space="preserve"> indfører elementer af gennemsigtighed og ansvarlighed for NGO'ers transaktioner i overensstemmelse med både Den Finansielle Aktionsgruppes retningslinjer</w:t>
      </w:r>
      <w:r>
        <w:rPr>
          <w:rFonts w:cs="Times New Roman"/>
          <w:noProof/>
          <w:szCs w:val="24"/>
          <w:vertAlign w:val="superscript"/>
          <w:lang w:eastAsia="en-GB"/>
        </w:rPr>
        <w:footnoteReference w:id="108"/>
      </w:r>
      <w:r>
        <w:rPr>
          <w:noProof/>
        </w:rPr>
        <w:t xml:space="preserve"> for beskyttelse af NGO'er mod misbrug til finansiering af terrorisme og med EU's femte direktiv om forebyggelse og overvågning af hvidvask af penge</w:t>
      </w:r>
      <w:r>
        <w:rPr>
          <w:rStyle w:val="FootnoteReference"/>
          <w:rFonts w:cs="Times New Roman"/>
          <w:noProof/>
          <w:szCs w:val="24"/>
          <w:lang w:eastAsia="en-GB"/>
        </w:rPr>
        <w:footnoteReference w:id="109"/>
      </w:r>
      <w:r>
        <w:rPr>
          <w:noProof/>
        </w:rPr>
        <w:t>. Det er nu muligt at registrere sammenslutninger af organisationer direkte, uden at deres medlemmer også registreres individuelt</w:t>
      </w:r>
      <w:r>
        <w:rPr>
          <w:noProof/>
          <w:color w:val="000000" w:themeColor="text1"/>
          <w:vertAlign w:val="superscript"/>
        </w:rPr>
        <w:footnoteReference w:id="110"/>
      </w:r>
      <w:r>
        <w:rPr>
          <w:noProof/>
          <w:color w:val="000000" w:themeColor="text1"/>
        </w:rPr>
        <w:t xml:space="preserve">. </w:t>
      </w:r>
    </w:p>
    <w:p>
      <w:pPr>
        <w:rPr>
          <w:rFonts w:eastAsia="Times New Roman" w:cs="Times New Roman"/>
          <w:noProof/>
          <w:szCs w:val="20"/>
          <w:lang w:eastAsia="fr-FR"/>
        </w:rPr>
      </w:pPr>
    </w:p>
    <w:p>
      <w:pPr>
        <w:pageBreakBefore/>
        <w:spacing w:after="120"/>
        <w:rPr>
          <w:rFonts w:eastAsia="Times New Roman" w:cs="Times New Roman"/>
          <w:b/>
          <w:bCs/>
          <w:noProof/>
          <w:sz w:val="22"/>
        </w:rPr>
      </w:pPr>
      <w:r>
        <w:rPr>
          <w:b/>
          <w:bCs/>
          <w:noProof/>
          <w:sz w:val="22"/>
        </w:rPr>
        <w:t>Bilag I: Liste over kilder i alfabetisk rækkefølge*</w:t>
      </w:r>
    </w:p>
    <w:p>
      <w:pPr>
        <w:spacing w:after="120"/>
        <w:rPr>
          <w:rFonts w:eastAsia="Times New Roman" w:cs="Times New Roman"/>
          <w:i/>
          <w:iCs/>
          <w:noProof/>
          <w:sz w:val="22"/>
        </w:rPr>
      </w:pPr>
      <w:r>
        <w:rPr>
          <w:i/>
          <w:iCs/>
          <w:noProof/>
          <w:sz w:val="22"/>
        </w:rPr>
        <w:t xml:space="preserve">* Listen over indkomne bidrag i forbindelse med høringen om rapporten om retsstatssituationen 2021 kan findes på </w:t>
      </w:r>
      <w:hyperlink r:id="rId16"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Style w:val="Hyperlink"/>
          <w:rFonts w:cs="Times New Roman"/>
          <w:bCs/>
          <w:i/>
          <w:noProof/>
          <w:color w:val="auto"/>
          <w:sz w:val="22"/>
          <w:u w:val="none"/>
        </w:rPr>
      </w:pPr>
      <w:r>
        <w:rPr>
          <w:noProof/>
          <w:sz w:val="22"/>
        </w:rPr>
        <w:t>Agenturet for Grundlæggende Rettigheder</w:t>
      </w:r>
      <w:r>
        <w:rPr>
          <w:noProof/>
          <w:color w:val="000000" w:themeColor="text1"/>
          <w:sz w:val="22"/>
        </w:rPr>
        <w:t xml:space="preserve"> (2021), </w:t>
      </w:r>
      <w:r>
        <w:rPr>
          <w:rStyle w:val="Hyperlink"/>
          <w:bCs/>
          <w:i/>
          <w:noProof/>
          <w:color w:val="auto"/>
          <w:sz w:val="22"/>
          <w:u w:val="none"/>
        </w:rPr>
        <w:t xml:space="preserve">Bidrag fra </w:t>
      </w:r>
      <w:r>
        <w:rPr>
          <w:i/>
          <w:noProof/>
          <w:sz w:val="22"/>
        </w:rPr>
        <w:t xml:space="preserve">Agenturet for Grundlæggende Rettigheder </w:t>
      </w:r>
      <w:r>
        <w:rPr>
          <w:rStyle w:val="Hyperlink"/>
          <w:bCs/>
          <w:i/>
          <w:noProof/>
          <w:color w:val="auto"/>
          <w:sz w:val="22"/>
          <w:u w:val="none"/>
        </w:rPr>
        <w:t>til rapporten om retsstatssituationen 2021</w:t>
      </w:r>
      <w:r>
        <w:rPr>
          <w:i/>
          <w:noProof/>
          <w:sz w:val="22"/>
        </w:rPr>
        <w:t>.</w:t>
      </w:r>
    </w:p>
    <w:p>
      <w:pPr>
        <w:spacing w:after="120"/>
        <w:rPr>
          <w:rFonts w:cs="Times New Roman"/>
          <w:noProof/>
          <w:sz w:val="22"/>
          <w:lang w:val="en-US"/>
        </w:rPr>
      </w:pPr>
      <w:r>
        <w:rPr>
          <w:noProof/>
          <w:sz w:val="22"/>
          <w:lang w:val="en-US"/>
        </w:rPr>
        <w:t xml:space="preserve">Centre for Media Pluralism and Media Freedom (2021), </w:t>
      </w:r>
      <w:r>
        <w:rPr>
          <w:i/>
          <w:iCs/>
          <w:noProof/>
          <w:sz w:val="22"/>
          <w:lang w:val="en-US"/>
        </w:rPr>
        <w:t xml:space="preserve">Media pluralism monitor 2021 </w:t>
      </w:r>
      <w:r>
        <w:rPr>
          <w:noProof/>
          <w:sz w:val="22"/>
          <w:lang w:val="en-US"/>
        </w:rPr>
        <w:t xml:space="preserve">— </w:t>
      </w:r>
      <w:r>
        <w:rPr>
          <w:i/>
          <w:iCs/>
          <w:noProof/>
          <w:sz w:val="22"/>
          <w:lang w:val="en-US"/>
        </w:rPr>
        <w:t xml:space="preserve">Report on Cyprus </w:t>
      </w:r>
      <w:r>
        <w:rPr>
          <w:noProof/>
          <w:sz w:val="22"/>
          <w:lang w:val="en-US"/>
        </w:rPr>
        <w:t>(</w:t>
      </w:r>
      <w:r>
        <w:rPr>
          <w:noProof/>
          <w:sz w:val="22"/>
          <w:highlight w:val="yellow"/>
          <w:lang w:val="en-US"/>
        </w:rPr>
        <w:t>link to be added when available</w:t>
      </w:r>
      <w:r>
        <w:rPr>
          <w:noProof/>
          <w:sz w:val="22"/>
          <w:lang w:val="en-US"/>
        </w:rPr>
        <w:t>).</w:t>
      </w:r>
    </w:p>
    <w:p>
      <w:pPr>
        <w:spacing w:after="120"/>
        <w:rPr>
          <w:rFonts w:cs="Times New Roman"/>
          <w:noProof/>
          <w:sz w:val="22"/>
          <w:lang w:val="en-US"/>
        </w:rPr>
      </w:pPr>
      <w:r>
        <w:rPr>
          <w:noProof/>
          <w:sz w:val="22"/>
          <w:lang w:val="en-US"/>
        </w:rPr>
        <w:t>CEPEJ (2020), Study on the functioning of the judicial systems in the EU Member States.</w:t>
      </w:r>
    </w:p>
    <w:p>
      <w:pPr>
        <w:spacing w:after="120"/>
        <w:rPr>
          <w:rFonts w:cs="Times New Roman"/>
          <w:bCs/>
          <w:noProof/>
          <w:sz w:val="22"/>
        </w:rPr>
      </w:pPr>
      <w:r>
        <w:rPr>
          <w:bCs/>
          <w:noProof/>
          <w:sz w:val="22"/>
        </w:rPr>
        <w:t xml:space="preserve">Den cypriotiske regering (2021), </w:t>
      </w:r>
      <w:r>
        <w:rPr>
          <w:bCs/>
          <w:i/>
          <w:noProof/>
          <w:sz w:val="22"/>
        </w:rPr>
        <w:t>Input fra Cypern til rapporten om retsstatssituationen 2021.</w:t>
      </w:r>
    </w:p>
    <w:p>
      <w:pPr>
        <w:spacing w:after="120"/>
        <w:rPr>
          <w:rFonts w:cs="Times New Roman"/>
          <w:bCs/>
          <w:noProof/>
          <w:sz w:val="22"/>
        </w:rPr>
      </w:pPr>
      <w:r>
        <w:rPr>
          <w:noProof/>
        </w:rPr>
        <w:t>Den Finansielle Aktionsgruppe</w:t>
      </w:r>
      <w:r>
        <w:rPr>
          <w:bCs/>
          <w:noProof/>
          <w:sz w:val="22"/>
        </w:rPr>
        <w:t xml:space="preserve"> (2015), </w:t>
      </w:r>
      <w:r>
        <w:rPr>
          <w:bCs/>
          <w:i/>
          <w:noProof/>
          <w:sz w:val="22"/>
        </w:rPr>
        <w:t>Combating the abuse of non-profit organisations (anbefaling 8)</w:t>
      </w:r>
      <w:r>
        <w:rPr>
          <w:bCs/>
          <w:noProof/>
          <w:sz w:val="22"/>
        </w:rPr>
        <w:t xml:space="preserve"> (</w:t>
      </w:r>
      <w:hyperlink r:id="rId17" w:history="1">
        <w:r>
          <w:rPr>
            <w:rStyle w:val="Hyperlink"/>
            <w:bCs/>
            <w:noProof/>
            <w:sz w:val="22"/>
          </w:rPr>
          <w:t>http://www.fatf-gafi.org/media/fatf/documents/reports/BPP-combating-abuse-non-profit-organisations.pdf</w:t>
        </w:r>
      </w:hyperlink>
      <w:r>
        <w:rPr>
          <w:rStyle w:val="Hyperlink"/>
          <w:bCs/>
          <w:noProof/>
          <w:sz w:val="22"/>
        </w:rPr>
        <w:t>)</w:t>
      </w:r>
      <w:r>
        <w:rPr>
          <w:bCs/>
          <w:noProof/>
          <w:sz w:val="22"/>
        </w:rPr>
        <w:t xml:space="preserve">. </w:t>
      </w:r>
    </w:p>
    <w:p>
      <w:pPr>
        <w:spacing w:after="120"/>
        <w:rPr>
          <w:rFonts w:cs="Times New Roman"/>
          <w:bCs/>
          <w:noProof/>
          <w:sz w:val="22"/>
        </w:rPr>
      </w:pPr>
      <w:r>
        <w:rPr>
          <w:bCs/>
          <w:noProof/>
          <w:sz w:val="22"/>
        </w:rPr>
        <w:t xml:space="preserve">Det cypriotiske advokatsamfund (2021), </w:t>
      </w:r>
      <w:r>
        <w:rPr>
          <w:bCs/>
          <w:i/>
          <w:noProof/>
          <w:sz w:val="22"/>
        </w:rPr>
        <w:t>Bidrag fra det cypriotiske advokatsamfund til rapporten om retsstatssituationen 2021.</w:t>
      </w:r>
    </w:p>
    <w:p>
      <w:pPr>
        <w:spacing w:after="120"/>
        <w:rPr>
          <w:rFonts w:cs="Times New Roman"/>
          <w:bCs/>
          <w:noProof/>
          <w:sz w:val="22"/>
        </w:rPr>
      </w:pPr>
      <w:r>
        <w:rPr>
          <w:noProof/>
        </w:rPr>
        <w:t>Det cypriotiske undersøgelsesudvalg</w:t>
      </w:r>
      <w:r>
        <w:rPr>
          <w:bCs/>
          <w:noProof/>
          <w:sz w:val="22"/>
        </w:rPr>
        <w:t xml:space="preserve"> (2021), </w:t>
      </w:r>
      <w:r>
        <w:rPr>
          <w:bCs/>
          <w:i/>
          <w:noProof/>
          <w:sz w:val="22"/>
        </w:rPr>
        <w:t>Foreløbig rapport om proceduren for meddelelse af statsborgerskab til udenlandske investorer og forretningsfolk</w:t>
      </w:r>
      <w:r>
        <w:rPr>
          <w:bCs/>
          <w:noProof/>
          <w:sz w:val="22"/>
        </w:rPr>
        <w:t xml:space="preserve"> (</w:t>
      </w:r>
      <w:hyperlink r:id="rId18" w:history="1">
        <w:r>
          <w:rPr>
            <w:noProof/>
          </w:rPr>
          <w:t>https://www.pio.gov.cy/assets/pdf/newsroom/2021/04/Interim Report 27 04 2021(pdf).pdf</w:t>
        </w:r>
      </w:hyperlink>
      <w:r>
        <w:rPr>
          <w:bCs/>
          <w:noProof/>
          <w:sz w:val="22"/>
        </w:rPr>
        <w:t>).</w:t>
      </w:r>
    </w:p>
    <w:p>
      <w:pPr>
        <w:spacing w:after="120"/>
        <w:rPr>
          <w:rStyle w:val="Hyperlink"/>
          <w:rFonts w:cs="Times New Roman"/>
          <w:bCs/>
          <w:noProof/>
          <w:color w:val="auto"/>
          <w:sz w:val="22"/>
          <w:u w:val="none"/>
          <w:lang w:val="en-US"/>
        </w:rPr>
      </w:pPr>
      <w:r>
        <w:rPr>
          <w:bCs/>
          <w:noProof/>
          <w:sz w:val="22"/>
          <w:lang w:val="en-US"/>
        </w:rPr>
        <w:t xml:space="preserve">Europa-Kommissionen (2020), </w:t>
      </w:r>
      <w:r>
        <w:rPr>
          <w:bCs/>
          <w:i/>
          <w:noProof/>
          <w:sz w:val="22"/>
          <w:lang w:val="en-US"/>
        </w:rPr>
        <w:t>Investor citizenship schemes: European Commission opens infringements against Cyprus and Malta for "selling" EU citizenship</w:t>
      </w:r>
      <w:r>
        <w:rPr>
          <w:bCs/>
          <w:noProof/>
          <w:sz w:val="22"/>
          <w:lang w:val="en-US"/>
        </w:rPr>
        <w:t>, INFR(2020)2300 (</w:t>
      </w:r>
      <w:hyperlink r:id="rId19" w:history="1">
        <w:r>
          <w:rPr>
            <w:rStyle w:val="Hyperlink"/>
            <w:noProof/>
            <w:sz w:val="22"/>
            <w:lang w:val="en-US"/>
          </w:rPr>
          <w:t>https://ec.europa.eu/commission/presscorner/detail/en/ip_20_1925</w:t>
        </w:r>
      </w:hyperlink>
      <w:r>
        <w:rPr>
          <w:bCs/>
          <w:noProof/>
          <w:sz w:val="22"/>
          <w:lang w:val="en-US"/>
        </w:rPr>
        <w:t xml:space="preserve">). </w:t>
      </w:r>
    </w:p>
    <w:p>
      <w:pPr>
        <w:spacing w:after="120"/>
        <w:rPr>
          <w:rStyle w:val="Hyperlink"/>
          <w:rFonts w:cs="Times New Roman"/>
          <w:bCs/>
          <w:i/>
          <w:noProof/>
          <w:color w:val="auto"/>
          <w:sz w:val="22"/>
          <w:u w:val="none"/>
        </w:rPr>
      </w:pPr>
      <w:r>
        <w:rPr>
          <w:rStyle w:val="Hyperlink"/>
          <w:bCs/>
          <w:noProof/>
          <w:color w:val="auto"/>
          <w:sz w:val="22"/>
          <w:u w:val="none"/>
        </w:rPr>
        <w:t xml:space="preserve">Europa-Kommissionen (2020), </w:t>
      </w:r>
      <w:r>
        <w:rPr>
          <w:rStyle w:val="Hyperlink"/>
          <w:bCs/>
          <w:i/>
          <w:noProof/>
          <w:color w:val="auto"/>
          <w:sz w:val="22"/>
          <w:u w:val="none"/>
        </w:rPr>
        <w:t>Rapport om retsstatssituationen 2020 — Retsstatssituationen i Den Europæiske Union.</w:t>
      </w:r>
    </w:p>
    <w:p>
      <w:pPr>
        <w:spacing w:after="120"/>
        <w:rPr>
          <w:rFonts w:cs="Times New Roman"/>
          <w:noProof/>
          <w:color w:val="000000"/>
          <w:sz w:val="22"/>
        </w:rPr>
      </w:pPr>
      <w:r>
        <w:rPr>
          <w:noProof/>
          <w:color w:val="000000"/>
          <w:sz w:val="22"/>
        </w:rPr>
        <w:t xml:space="preserve">Europa-Kommissionen (2021), </w:t>
      </w:r>
      <w:r>
        <w:rPr>
          <w:i/>
          <w:noProof/>
          <w:color w:val="000000"/>
          <w:sz w:val="22"/>
        </w:rPr>
        <w:t>EU's resultattavle for retlige anliggender</w:t>
      </w:r>
      <w:r>
        <w:rPr>
          <w:noProof/>
          <w:color w:val="000000"/>
          <w:sz w:val="22"/>
        </w:rPr>
        <w:t>.</w:t>
      </w:r>
    </w:p>
    <w:p>
      <w:pPr>
        <w:spacing w:after="120"/>
        <w:rPr>
          <w:rFonts w:cs="Times New Roman"/>
          <w:noProof/>
          <w:color w:val="000000"/>
          <w:sz w:val="22"/>
        </w:rPr>
      </w:pPr>
      <w:r>
        <w:rPr>
          <w:noProof/>
          <w:color w:val="000000"/>
          <w:sz w:val="22"/>
        </w:rPr>
        <w:t xml:space="preserve">Europa-Kommissionen, Pressehjørnet (2021), </w:t>
      </w:r>
      <w:r>
        <w:rPr>
          <w:i/>
          <w:noProof/>
          <w:color w:val="000000"/>
          <w:sz w:val="22"/>
        </w:rPr>
        <w:t xml:space="preserve">De vigtigste afgørelser på traktatbrudsområdet — juni </w:t>
      </w:r>
      <w:r>
        <w:rPr>
          <w:noProof/>
          <w:color w:val="000000"/>
          <w:sz w:val="22"/>
        </w:rPr>
        <w:t>(</w:t>
      </w:r>
      <w:hyperlink r:id="rId20" w:history="1">
        <w:r>
          <w:rPr>
            <w:rStyle w:val="Hyperlink"/>
            <w:bCs/>
            <w:noProof/>
            <w:sz w:val="22"/>
          </w:rPr>
          <w:t>https://ec.europa.eu/commission/presscorner/detail/da/inf_21_2743</w:t>
        </w:r>
      </w:hyperlink>
      <w:r>
        <w:rPr>
          <w:noProof/>
          <w:color w:val="000000"/>
          <w:sz w:val="22"/>
        </w:rPr>
        <w:t>).</w:t>
      </w:r>
    </w:p>
    <w:p>
      <w:pPr>
        <w:spacing w:after="120"/>
        <w:rPr>
          <w:rFonts w:cs="Times New Roman"/>
          <w:noProof/>
          <w:color w:val="000000"/>
          <w:sz w:val="22"/>
          <w:lang w:val="en-US"/>
        </w:rPr>
      </w:pPr>
      <w:r>
        <w:rPr>
          <w:noProof/>
          <w:color w:val="000000"/>
          <w:sz w:val="22"/>
          <w:lang w:val="en-US"/>
        </w:rPr>
        <w:t xml:space="preserve">Europarådets Ministerkomité (2010), </w:t>
      </w:r>
      <w:r>
        <w:rPr>
          <w:i/>
          <w:noProof/>
          <w:color w:val="000000"/>
          <w:sz w:val="22"/>
          <w:lang w:val="en-US"/>
        </w:rPr>
        <w:t>Recommendation CM/Rec(2010)12 of the Committee of Ministers to member states on judges: independence, efficiency and responsibilities</w:t>
      </w:r>
      <w:r>
        <w:rPr>
          <w:noProof/>
          <w:color w:val="000000"/>
          <w:sz w:val="22"/>
          <w:lang w:val="en-US"/>
        </w:rPr>
        <w:t>.</w:t>
      </w:r>
    </w:p>
    <w:p>
      <w:pPr>
        <w:spacing w:after="120"/>
        <w:rPr>
          <w:rFonts w:cs="Times New Roman"/>
          <w:noProof/>
          <w:sz w:val="22"/>
        </w:rPr>
      </w:pPr>
      <w:r>
        <w:rPr>
          <w:noProof/>
          <w:sz w:val="22"/>
        </w:rPr>
        <w:t xml:space="preserve">Generaldirektoratet for Kommunikation (2019), </w:t>
      </w:r>
      <w:r>
        <w:rPr>
          <w:i/>
          <w:iCs/>
          <w:noProof/>
          <w:sz w:val="22"/>
        </w:rPr>
        <w:t>Flash Eurobarometer-undersøgelse 482: Businesses' attitudes towards corruption in the EU</w:t>
      </w:r>
      <w:r>
        <w:rPr>
          <w:noProof/>
          <w:sz w:val="22"/>
        </w:rPr>
        <w:t>.</w:t>
      </w:r>
    </w:p>
    <w:p>
      <w:pPr>
        <w:spacing w:after="120"/>
        <w:rPr>
          <w:rFonts w:cs="Times New Roman"/>
          <w:noProof/>
          <w:sz w:val="22"/>
        </w:rPr>
      </w:pPr>
      <w:r>
        <w:rPr>
          <w:noProof/>
          <w:sz w:val="22"/>
        </w:rPr>
        <w:t xml:space="preserve">Generaldirektoratet for Kommunikation (2020), </w:t>
      </w:r>
      <w:r>
        <w:rPr>
          <w:i/>
          <w:iCs/>
          <w:noProof/>
          <w:sz w:val="22"/>
        </w:rPr>
        <w:t>Særlig Eurobarometerundersøgelse 502: Corruption</w:t>
      </w:r>
      <w:r>
        <w:rPr>
          <w:noProof/>
          <w:sz w:val="22"/>
        </w:rPr>
        <w:t>.</w:t>
      </w:r>
    </w:p>
    <w:p>
      <w:pPr>
        <w:spacing w:after="120"/>
        <w:rPr>
          <w:rFonts w:cs="Times New Roman"/>
          <w:bCs/>
          <w:i/>
          <w:noProof/>
          <w:sz w:val="22"/>
          <w:lang w:val="en-US"/>
        </w:rPr>
      </w:pPr>
      <w:r>
        <w:rPr>
          <w:bCs/>
          <w:noProof/>
          <w:sz w:val="22"/>
          <w:lang w:val="en-US"/>
        </w:rPr>
        <w:t xml:space="preserve">Greco (2020), </w:t>
      </w:r>
      <w:r>
        <w:rPr>
          <w:bCs/>
          <w:i/>
          <w:noProof/>
          <w:sz w:val="22"/>
          <w:lang w:val="en-US"/>
        </w:rPr>
        <w:t xml:space="preserve">Fourth Evaluation Round - Second Compliance Report on Cyprus on corruption prevention in respect of members of parliament, judges and prosecutors </w:t>
      </w:r>
      <w:r>
        <w:rPr>
          <w:bCs/>
          <w:noProof/>
          <w:sz w:val="22"/>
          <w:lang w:val="en-US"/>
        </w:rPr>
        <w:t>(</w:t>
      </w:r>
      <w:hyperlink r:id="rId21" w:history="1">
        <w:r>
          <w:rPr>
            <w:rStyle w:val="Hyperlink"/>
            <w:bCs/>
            <w:noProof/>
            <w:sz w:val="22"/>
            <w:lang w:val="en-US"/>
          </w:rPr>
          <w:t>https://rm.coe.int/fourth-evaluation-round-corruption-prevention-in-respect-of-members-of/1680a06389</w:t>
        </w:r>
      </w:hyperlink>
      <w:r>
        <w:rPr>
          <w:rStyle w:val="Hyperlink"/>
          <w:bCs/>
          <w:noProof/>
          <w:sz w:val="22"/>
          <w:lang w:val="en-US"/>
        </w:rPr>
        <w:t>)</w:t>
      </w:r>
      <w:r>
        <w:rPr>
          <w:noProof/>
          <w:lang w:val="en-US"/>
        </w:rPr>
        <w:t>.</w:t>
      </w:r>
    </w:p>
    <w:p>
      <w:pPr>
        <w:spacing w:after="120"/>
        <w:rPr>
          <w:rFonts w:cs="Times New Roman"/>
          <w:bCs/>
          <w:i/>
          <w:noProof/>
          <w:sz w:val="22"/>
        </w:rPr>
      </w:pPr>
      <w:r>
        <w:rPr>
          <w:bCs/>
          <w:noProof/>
          <w:sz w:val="22"/>
        </w:rPr>
        <w:t xml:space="preserve">Journalister uden Grænser (2021), </w:t>
      </w:r>
      <w:r>
        <w:rPr>
          <w:bCs/>
          <w:i/>
          <w:noProof/>
          <w:sz w:val="22"/>
        </w:rPr>
        <w:t>Bidrag fra Journalister uden Grænser til rapporten om retsstatssituationen 2021.</w:t>
      </w:r>
    </w:p>
    <w:p>
      <w:pPr>
        <w:spacing w:after="120"/>
        <w:rPr>
          <w:rFonts w:cs="Times New Roman"/>
          <w:bCs/>
          <w:iCs/>
          <w:noProof/>
          <w:sz w:val="22"/>
        </w:rPr>
      </w:pPr>
      <w:r>
        <w:rPr>
          <w:noProof/>
        </w:rPr>
        <w:t xml:space="preserve">Journalister uden Grænser (2021), </w:t>
      </w:r>
      <w:r>
        <w:rPr>
          <w:i/>
          <w:noProof/>
        </w:rPr>
        <w:t>Det internationale pressefrihedsindeks 2021 — Cypern</w:t>
      </w:r>
      <w:r>
        <w:rPr>
          <w:noProof/>
        </w:rPr>
        <w:t xml:space="preserve"> </w:t>
      </w:r>
      <w:r>
        <w:rPr>
          <w:bCs/>
          <w:iCs/>
          <w:noProof/>
          <w:sz w:val="22"/>
        </w:rPr>
        <w:t>(</w:t>
      </w:r>
      <w:hyperlink r:id="rId22" w:history="1">
        <w:r>
          <w:rPr>
            <w:rStyle w:val="Hyperlink"/>
            <w:bCs/>
            <w:iCs/>
            <w:noProof/>
            <w:sz w:val="22"/>
          </w:rPr>
          <w:t>https://rsf.org/en/cyprus</w:t>
        </w:r>
      </w:hyperlink>
      <w:r>
        <w:rPr>
          <w:bCs/>
          <w:iCs/>
          <w:noProof/>
          <w:sz w:val="22"/>
        </w:rPr>
        <w:t>)</w:t>
      </w:r>
      <w:r>
        <w:rPr>
          <w:noProof/>
        </w:rPr>
        <w:t>.</w:t>
      </w:r>
    </w:p>
    <w:p>
      <w:pPr>
        <w:spacing w:after="120"/>
        <w:rPr>
          <w:rStyle w:val="Hyperlink"/>
          <w:rFonts w:cs="Times New Roman"/>
          <w:bCs/>
          <w:noProof/>
          <w:color w:val="auto"/>
          <w:sz w:val="22"/>
          <w:u w:val="none"/>
        </w:rPr>
      </w:pPr>
      <w:r>
        <w:rPr>
          <w:bCs/>
          <w:noProof/>
          <w:sz w:val="22"/>
        </w:rPr>
        <w:t xml:space="preserve">Kathimerini (2021), </w:t>
      </w:r>
      <w:r>
        <w:rPr>
          <w:bCs/>
          <w:i/>
          <w:noProof/>
          <w:sz w:val="22"/>
        </w:rPr>
        <w:t>Interim report on golden passports delivered</w:t>
      </w:r>
      <w:r>
        <w:rPr>
          <w:bCs/>
          <w:noProof/>
          <w:sz w:val="22"/>
        </w:rPr>
        <w:t xml:space="preserve"> (</w:t>
      </w:r>
      <w:hyperlink r:id="rId23" w:history="1">
        <w:r>
          <w:rPr>
            <w:rStyle w:val="Hyperlink"/>
            <w:bCs/>
            <w:noProof/>
            <w:sz w:val="22"/>
          </w:rPr>
          <w:t>https://knews.kathimerini.com.cy/en/news/interim-report-on-golden-passports-delivered</w:t>
        </w:r>
      </w:hyperlink>
      <w:r>
        <w:rPr>
          <w:bCs/>
          <w:noProof/>
          <w:sz w:val="22"/>
          <w:u w:val="single"/>
        </w:rPr>
        <w:t>).</w:t>
      </w:r>
    </w:p>
    <w:p>
      <w:pPr>
        <w:spacing w:after="120"/>
        <w:rPr>
          <w:rFonts w:cs="Times New Roman"/>
          <w:bCs/>
          <w:noProof/>
          <w:sz w:val="22"/>
          <w:lang w:val="en-US"/>
        </w:rPr>
      </w:pPr>
      <w:r>
        <w:rPr>
          <w:bCs/>
          <w:noProof/>
          <w:sz w:val="22"/>
          <w:lang w:val="en-US"/>
        </w:rPr>
        <w:t xml:space="preserve">OECD (2019), </w:t>
      </w:r>
      <w:r>
        <w:rPr>
          <w:bCs/>
          <w:i/>
          <w:noProof/>
          <w:sz w:val="22"/>
          <w:lang w:val="en-US"/>
        </w:rPr>
        <w:t>Indicators of Regulatory Policy and Governance — Cyprus</w:t>
      </w:r>
      <w:r>
        <w:rPr>
          <w:bCs/>
          <w:noProof/>
          <w:sz w:val="22"/>
          <w:lang w:val="en-US"/>
        </w:rPr>
        <w:t>.</w:t>
      </w:r>
    </w:p>
    <w:p>
      <w:pPr>
        <w:spacing w:after="120"/>
        <w:rPr>
          <w:rFonts w:cs="Times New Roman"/>
          <w:bCs/>
          <w:noProof/>
          <w:sz w:val="22"/>
          <w:lang w:val="en-US"/>
        </w:rPr>
      </w:pPr>
      <w:r>
        <w:rPr>
          <w:bCs/>
          <w:noProof/>
          <w:sz w:val="22"/>
          <w:lang w:val="en-US"/>
        </w:rPr>
        <w:t xml:space="preserve">Organized Crime and Corruption Reporting Project, </w:t>
      </w:r>
      <w:r>
        <w:rPr>
          <w:bCs/>
          <w:i/>
          <w:noProof/>
          <w:sz w:val="22"/>
          <w:lang w:val="en-US"/>
        </w:rPr>
        <w:t>"Cypriot Journalist Says He is Being Spied on and Fears for His Life</w:t>
      </w:r>
      <w:r>
        <w:rPr>
          <w:bCs/>
          <w:noProof/>
          <w:sz w:val="22"/>
          <w:lang w:val="en-US"/>
        </w:rPr>
        <w:t>" (</w:t>
      </w:r>
      <w:hyperlink r:id="rId24" w:history="1">
        <w:r>
          <w:rPr>
            <w:rStyle w:val="Hyperlink"/>
            <w:bCs/>
            <w:noProof/>
            <w:sz w:val="22"/>
            <w:lang w:val="en-US"/>
          </w:rPr>
          <w:t>https://www.occrp.org/en/daily/12631-cypriot-journalist-says-he-is-being-spied-on-and-fears-for-his-life</w:t>
        </w:r>
      </w:hyperlink>
      <w:r>
        <w:rPr>
          <w:bCs/>
          <w:noProof/>
          <w:sz w:val="22"/>
          <w:lang w:val="en-US"/>
        </w:rPr>
        <w:t>).</w:t>
      </w:r>
    </w:p>
    <w:p>
      <w:pPr>
        <w:spacing w:after="120"/>
        <w:rPr>
          <w:rFonts w:cs="Times New Roman"/>
          <w:bCs/>
          <w:noProof/>
          <w:sz w:val="22"/>
        </w:rPr>
      </w:pPr>
      <w:r>
        <w:rPr>
          <w:noProof/>
        </w:rPr>
        <w:t>Republikken Cyperns præsidentskab</w:t>
      </w:r>
      <w:r>
        <w:rPr>
          <w:bCs/>
          <w:noProof/>
          <w:sz w:val="22"/>
        </w:rPr>
        <w:t>, Kommunikations- og informationswebstedet Exandas (</w:t>
      </w:r>
      <w:hyperlink r:id="rId25" w:history="1">
        <w:r>
          <w:rPr>
            <w:rStyle w:val="Hyperlink"/>
            <w:bCs/>
            <w:noProof/>
            <w:sz w:val="22"/>
          </w:rPr>
          <w:t>https://exandas.presidency.gov.cy/</w:t>
        </w:r>
      </w:hyperlink>
      <w:r>
        <w:rPr>
          <w:bCs/>
          <w:noProof/>
          <w:sz w:val="22"/>
        </w:rPr>
        <w:t xml:space="preserve">). </w:t>
      </w:r>
    </w:p>
    <w:p>
      <w:pPr>
        <w:spacing w:after="120"/>
        <w:rPr>
          <w:rFonts w:cs="Times New Roman"/>
          <w:bCs/>
          <w:i/>
          <w:noProof/>
          <w:sz w:val="22"/>
        </w:rPr>
      </w:pPr>
      <w:r>
        <w:rPr>
          <w:bCs/>
          <w:noProof/>
          <w:sz w:val="22"/>
        </w:rPr>
        <w:t xml:space="preserve">Republikken Cyperns øverste domstol (2021), </w:t>
      </w:r>
      <w:r>
        <w:rPr>
          <w:bCs/>
          <w:i/>
          <w:noProof/>
          <w:sz w:val="22"/>
        </w:rPr>
        <w:t>Bidrag fra Republikken Cyperns øverste domstol til rapporten om retsstatssituationen 2021.</w:t>
      </w:r>
    </w:p>
    <w:p>
      <w:pPr>
        <w:spacing w:after="120"/>
        <w:rPr>
          <w:rFonts w:cs="Times New Roman"/>
          <w:bCs/>
          <w:noProof/>
          <w:sz w:val="22"/>
        </w:rPr>
      </w:pPr>
      <w:r>
        <w:rPr>
          <w:bCs/>
          <w:noProof/>
          <w:sz w:val="22"/>
        </w:rPr>
        <w:t xml:space="preserve">Sigma Live (2021), </w:t>
      </w:r>
      <w:r>
        <w:rPr>
          <w:bCs/>
          <w:i/>
          <w:noProof/>
          <w:sz w:val="22"/>
        </w:rPr>
        <w:t>Rapport om statsborgerskab</w:t>
      </w:r>
      <w:r>
        <w:rPr>
          <w:bCs/>
          <w:noProof/>
          <w:sz w:val="22"/>
        </w:rPr>
        <w:t xml:space="preserve"> (</w:t>
      </w:r>
      <w:hyperlink r:id="rId26" w:history="1">
        <w:r>
          <w:rPr>
            <w:rStyle w:val="Hyperlink"/>
            <w:bCs/>
            <w:noProof/>
            <w:sz w:val="22"/>
          </w:rPr>
          <w:t>https://www.sigmalive.com/news/politics/795517/ekthesi-politografiseonto-53-ektos-nomikou-plaisioupeitharxikes-efthynes</w:t>
        </w:r>
      </w:hyperlink>
      <w:r>
        <w:rPr>
          <w:bCs/>
          <w:noProof/>
          <w:sz w:val="22"/>
        </w:rPr>
        <w:t>).</w:t>
      </w:r>
    </w:p>
    <w:p>
      <w:pPr>
        <w:spacing w:after="120"/>
        <w:rPr>
          <w:rFonts w:cs="Times New Roman"/>
          <w:bCs/>
          <w:noProof/>
          <w:sz w:val="22"/>
        </w:rPr>
      </w:pPr>
      <w:r>
        <w:rPr>
          <w:noProof/>
        </w:rPr>
        <w:t xml:space="preserve">Skrivelse fra </w:t>
      </w:r>
      <w:r>
        <w:rPr>
          <w:bCs/>
          <w:noProof/>
          <w:sz w:val="22"/>
        </w:rPr>
        <w:t>Dunja Mijatović, kommissær for menneskerettigheder, til Nicos Nouris, Cyperns indenrigsminister (2021) (</w:t>
      </w:r>
      <w:hyperlink r:id="rId27" w:history="1">
        <w:r>
          <w:rPr>
            <w:rStyle w:val="Hyperlink"/>
            <w:bCs/>
            <w:noProof/>
            <w:sz w:val="22"/>
          </w:rPr>
          <w:t>https://rm.coe.int/letter-to-mr-nicos-nouris-minister-of-interior-of-cyprus-by-ms-dunja-m/1680a1c09b</w:t>
        </w:r>
      </w:hyperlink>
      <w:r>
        <w:rPr>
          <w:bCs/>
          <w:noProof/>
          <w:sz w:val="22"/>
        </w:rPr>
        <w:t>).</w:t>
      </w:r>
    </w:p>
    <w:p>
      <w:pPr>
        <w:spacing w:after="120"/>
        <w:rPr>
          <w:rFonts w:cs="Times New Roman"/>
          <w:bCs/>
          <w:noProof/>
          <w:sz w:val="22"/>
        </w:rPr>
      </w:pPr>
      <w:r>
        <w:rPr>
          <w:noProof/>
        </w:rPr>
        <w:t xml:space="preserve">Svarskrivelse fra </w:t>
      </w:r>
      <w:r>
        <w:rPr>
          <w:bCs/>
          <w:noProof/>
          <w:sz w:val="22"/>
        </w:rPr>
        <w:t>Nicos Nouris, Cyperns indenrigsminister, til Dunja Mijatović, kommissær for menneskerettigheder (2021) (</w:t>
      </w:r>
      <w:hyperlink r:id="rId28" w:history="1">
        <w:r>
          <w:rPr>
            <w:rStyle w:val="Hyperlink"/>
            <w:bCs/>
            <w:noProof/>
            <w:sz w:val="22"/>
          </w:rPr>
          <w:t>https://rm.coe.int/reply-of-mr-nicos-nouris-minister-of-the-interiorof-cyprus-to-the-lett/1680a1cb15</w:t>
        </w:r>
      </w:hyperlink>
      <w:r>
        <w:rPr>
          <w:bCs/>
          <w:noProof/>
          <w:sz w:val="22"/>
        </w:rPr>
        <w:t>).</w:t>
      </w:r>
    </w:p>
    <w:p>
      <w:pPr>
        <w:spacing w:after="120"/>
        <w:rPr>
          <w:rFonts w:cs="Times New Roman"/>
          <w:i/>
          <w:iCs/>
          <w:noProof/>
          <w:sz w:val="22"/>
        </w:rPr>
      </w:pPr>
      <w:r>
        <w:rPr>
          <w:noProof/>
          <w:sz w:val="22"/>
        </w:rPr>
        <w:t>Transparency International (2021)</w:t>
      </w:r>
      <w:r>
        <w:rPr>
          <w:i/>
          <w:iCs/>
          <w:noProof/>
          <w:sz w:val="22"/>
        </w:rPr>
        <w:t>, Corruption Perceptions Index 2020.</w:t>
      </w:r>
    </w:p>
    <w:p>
      <w:pPr>
        <w:pageBreakBefore/>
        <w:spacing w:after="120"/>
        <w:rPr>
          <w:rFonts w:eastAsia="Times New Roman" w:cs="Times New Roman"/>
          <w:b/>
          <w:noProof/>
          <w:sz w:val="22"/>
        </w:rPr>
      </w:pPr>
      <w:r>
        <w:rPr>
          <w:b/>
          <w:noProof/>
          <w:sz w:val="22"/>
        </w:rPr>
        <w:t>Bilag II: Landebesøg i Cypern</w:t>
      </w:r>
    </w:p>
    <w:p>
      <w:pPr>
        <w:spacing w:after="120"/>
        <w:rPr>
          <w:rFonts w:eastAsia="Times New Roman" w:cs="Times New Roman"/>
          <w:noProof/>
          <w:sz w:val="22"/>
          <w:shd w:val="clear" w:color="auto" w:fill="FFFFFF"/>
        </w:rPr>
      </w:pPr>
      <w:r>
        <w:rPr>
          <w:noProof/>
          <w:sz w:val="22"/>
        </w:rPr>
        <w:t>Kommissionens tjenestegrene afholdt i april 2021 virtuelle møder med:</w:t>
      </w:r>
    </w:p>
    <w:p>
      <w:pPr>
        <w:numPr>
          <w:ilvl w:val="0"/>
          <w:numId w:val="2"/>
        </w:numPr>
        <w:spacing w:after="120"/>
        <w:contextualSpacing/>
        <w:rPr>
          <w:rFonts w:cs="Times New Roman"/>
          <w:noProof/>
          <w:sz w:val="22"/>
          <w:shd w:val="clear" w:color="auto" w:fill="FFFFFF"/>
        </w:rPr>
      </w:pPr>
      <w:r>
        <w:rPr>
          <w:noProof/>
          <w:sz w:val="22"/>
          <w:shd w:val="clear" w:color="auto" w:fill="FFFFFF"/>
        </w:rPr>
        <w:t>Cyprus Integrity Forum</w:t>
      </w:r>
    </w:p>
    <w:p>
      <w:pPr>
        <w:numPr>
          <w:ilvl w:val="0"/>
          <w:numId w:val="2"/>
        </w:numPr>
        <w:spacing w:after="120"/>
        <w:contextualSpacing/>
        <w:rPr>
          <w:rFonts w:cs="Times New Roman"/>
          <w:noProof/>
          <w:sz w:val="22"/>
          <w:shd w:val="clear" w:color="auto" w:fill="FFFFFF"/>
        </w:rPr>
      </w:pPr>
      <w:r>
        <w:rPr>
          <w:noProof/>
          <w:sz w:val="22"/>
          <w:shd w:val="clear" w:color="auto" w:fill="FFFFFF"/>
        </w:rPr>
        <w:t>Den cypriotiske radio- og tv-myndighed</w:t>
      </w:r>
    </w:p>
    <w:p>
      <w:pPr>
        <w:numPr>
          <w:ilvl w:val="0"/>
          <w:numId w:val="2"/>
        </w:numPr>
        <w:spacing w:after="120"/>
        <w:contextualSpacing/>
        <w:rPr>
          <w:rFonts w:cs="Times New Roman"/>
          <w:noProof/>
          <w:sz w:val="22"/>
          <w:shd w:val="clear" w:color="auto" w:fill="FFFFFF"/>
        </w:rPr>
      </w:pPr>
      <w:r>
        <w:rPr>
          <w:noProof/>
          <w:sz w:val="22"/>
          <w:shd w:val="clear" w:color="auto" w:fill="FFFFFF"/>
        </w:rPr>
        <w:t>Den øverste domstol</w:t>
      </w:r>
    </w:p>
    <w:p>
      <w:pPr>
        <w:numPr>
          <w:ilvl w:val="0"/>
          <w:numId w:val="2"/>
        </w:numPr>
        <w:spacing w:after="120"/>
        <w:contextualSpacing/>
        <w:rPr>
          <w:rFonts w:cs="Times New Roman"/>
          <w:noProof/>
          <w:sz w:val="22"/>
          <w:shd w:val="clear" w:color="auto" w:fill="FFFFFF"/>
        </w:rPr>
      </w:pPr>
      <w:r>
        <w:rPr>
          <w:noProof/>
          <w:sz w:val="22"/>
          <w:shd w:val="clear" w:color="auto" w:fill="FFFFFF"/>
        </w:rPr>
        <w:t>Det cypriotiske advokatsamfund</w:t>
      </w:r>
    </w:p>
    <w:p>
      <w:pPr>
        <w:numPr>
          <w:ilvl w:val="0"/>
          <w:numId w:val="2"/>
        </w:numPr>
        <w:spacing w:after="120"/>
        <w:contextualSpacing/>
        <w:rPr>
          <w:rFonts w:cs="Times New Roman"/>
          <w:noProof/>
          <w:sz w:val="22"/>
          <w:shd w:val="clear" w:color="auto" w:fill="FFFFFF"/>
        </w:rPr>
      </w:pPr>
      <w:r>
        <w:rPr>
          <w:noProof/>
          <w:sz w:val="22"/>
          <w:shd w:val="clear" w:color="auto" w:fill="FFFFFF"/>
        </w:rPr>
        <w:t>Indenrigsministeriet — medier</w:t>
      </w:r>
    </w:p>
    <w:p>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Justitsministeriet </w:t>
      </w:r>
    </w:p>
    <w:p>
      <w:pPr>
        <w:numPr>
          <w:ilvl w:val="0"/>
          <w:numId w:val="2"/>
        </w:numPr>
        <w:spacing w:after="120"/>
        <w:contextualSpacing/>
        <w:rPr>
          <w:rFonts w:cs="Times New Roman"/>
          <w:noProof/>
          <w:sz w:val="22"/>
          <w:shd w:val="clear" w:color="auto" w:fill="FFFFFF"/>
        </w:rPr>
      </w:pPr>
      <w:r>
        <w:rPr>
          <w:noProof/>
          <w:sz w:val="22"/>
          <w:shd w:val="clear" w:color="auto" w:fill="FFFFFF"/>
        </w:rPr>
        <w:t>Kontoret for gennemsigtighed og forebyggelse af korruption</w:t>
      </w:r>
    </w:p>
    <w:p>
      <w:pPr>
        <w:numPr>
          <w:ilvl w:val="0"/>
          <w:numId w:val="2"/>
        </w:numPr>
        <w:spacing w:after="120"/>
        <w:contextualSpacing/>
        <w:rPr>
          <w:rFonts w:cs="Times New Roman"/>
          <w:noProof/>
          <w:sz w:val="22"/>
          <w:shd w:val="clear" w:color="auto" w:fill="FFFFFF"/>
        </w:rPr>
      </w:pPr>
      <w:r>
        <w:rPr>
          <w:noProof/>
          <w:sz w:val="22"/>
          <w:shd w:val="clear" w:color="auto" w:fill="FFFFFF"/>
        </w:rPr>
        <w:t>Politiet — kontoret for efterforskning af økonomisk kriminalitet</w:t>
      </w:r>
    </w:p>
    <w:p>
      <w:pPr>
        <w:numPr>
          <w:ilvl w:val="0"/>
          <w:numId w:val="2"/>
        </w:numPr>
        <w:spacing w:after="120"/>
        <w:contextualSpacing/>
        <w:rPr>
          <w:rFonts w:cs="Times New Roman"/>
          <w:noProof/>
          <w:sz w:val="22"/>
          <w:shd w:val="clear" w:color="auto" w:fill="FFFFFF"/>
        </w:rPr>
      </w:pPr>
      <w:r>
        <w:rPr>
          <w:noProof/>
          <w:sz w:val="22"/>
          <w:shd w:val="clear" w:color="auto" w:fill="FFFFFF"/>
        </w:rPr>
        <w:t>Politiet — tjenesten for interne anliggender</w:t>
      </w:r>
    </w:p>
    <w:p>
      <w:pPr>
        <w:numPr>
          <w:ilvl w:val="0"/>
          <w:numId w:val="2"/>
        </w:numPr>
        <w:spacing w:after="120"/>
        <w:contextualSpacing/>
        <w:rPr>
          <w:rFonts w:cs="Times New Roman"/>
          <w:noProof/>
          <w:sz w:val="22"/>
          <w:shd w:val="clear" w:color="auto" w:fill="FFFFFF"/>
        </w:rPr>
      </w:pPr>
      <w:r>
        <w:rPr>
          <w:noProof/>
          <w:sz w:val="22"/>
          <w:shd w:val="clear" w:color="auto" w:fill="FFFFFF"/>
        </w:rPr>
        <w:t>Presse- og informationskontoret</w:t>
      </w:r>
    </w:p>
    <w:p>
      <w:pPr>
        <w:numPr>
          <w:ilvl w:val="0"/>
          <w:numId w:val="2"/>
        </w:numPr>
        <w:spacing w:after="120"/>
        <w:contextualSpacing/>
        <w:rPr>
          <w:rFonts w:cs="Times New Roman"/>
          <w:noProof/>
          <w:sz w:val="22"/>
          <w:shd w:val="clear" w:color="auto" w:fill="FFFFFF"/>
        </w:rPr>
      </w:pPr>
      <w:r>
        <w:rPr>
          <w:noProof/>
          <w:sz w:val="22"/>
        </w:rPr>
        <w:t xml:space="preserve">Repræsentanter for rigsadvokaten </w:t>
      </w:r>
    </w:p>
    <w:p>
      <w:pPr>
        <w:spacing w:after="120"/>
        <w:contextualSpacing/>
        <w:rPr>
          <w:rFonts w:cs="Times New Roman"/>
          <w:noProof/>
          <w:sz w:val="22"/>
          <w:shd w:val="clear" w:color="auto" w:fill="FFFFFF"/>
        </w:rPr>
      </w:pPr>
    </w:p>
    <w:p>
      <w:pPr>
        <w:spacing w:after="120"/>
        <w:contextualSpacing/>
        <w:rPr>
          <w:rFonts w:cs="Times New Roman"/>
          <w:noProof/>
          <w:sz w:val="22"/>
          <w:shd w:val="clear" w:color="auto" w:fill="FFFFFF"/>
        </w:rPr>
      </w:pPr>
      <w:r>
        <w:rPr>
          <w:noProof/>
          <w:sz w:val="22"/>
          <w:shd w:val="clear" w:color="auto" w:fill="FFFFFF"/>
        </w:rPr>
        <w:t>* Kommissionen mødtes også med følgende organisationer på en række horisontale møder:</w:t>
      </w:r>
    </w:p>
    <w:p>
      <w:pPr>
        <w:numPr>
          <w:ilvl w:val="0"/>
          <w:numId w:val="13"/>
        </w:numPr>
        <w:spacing w:after="120"/>
        <w:contextualSpacing/>
        <w:rPr>
          <w:rFonts w:cs="Times New Roman"/>
          <w:noProof/>
          <w:sz w:val="22"/>
          <w:shd w:val="clear" w:color="auto" w:fill="FFFFFF"/>
        </w:rPr>
      </w:pPr>
      <w:r>
        <w:rPr>
          <w:noProof/>
          <w:sz w:val="22"/>
          <w:shd w:val="clear" w:color="auto" w:fill="FFFFFF"/>
        </w:rPr>
        <w:t>Amnesty International</w:t>
      </w:r>
    </w:p>
    <w:p>
      <w:pPr>
        <w:numPr>
          <w:ilvl w:val="0"/>
          <w:numId w:val="13"/>
        </w:numPr>
        <w:spacing w:after="120"/>
        <w:contextualSpacing/>
        <w:rPr>
          <w:rFonts w:cs="Times New Roman"/>
          <w:noProof/>
          <w:sz w:val="22"/>
          <w:shd w:val="clear" w:color="auto" w:fill="FFFFFF"/>
        </w:rPr>
      </w:pPr>
      <w:r>
        <w:rPr>
          <w:noProof/>
          <w:sz w:val="22"/>
          <w:shd w:val="clear" w:color="auto" w:fill="FFFFFF"/>
        </w:rPr>
        <w:t>Center for Reproductive Rights</w:t>
      </w:r>
    </w:p>
    <w:p>
      <w:pPr>
        <w:numPr>
          <w:ilvl w:val="0"/>
          <w:numId w:val="13"/>
        </w:numPr>
        <w:spacing w:after="120"/>
        <w:contextualSpacing/>
        <w:rPr>
          <w:rFonts w:cs="Times New Roman"/>
          <w:noProof/>
          <w:sz w:val="22"/>
          <w:shd w:val="clear" w:color="auto" w:fill="FFFFFF"/>
        </w:rPr>
      </w:pPr>
      <w:r>
        <w:rPr>
          <w:noProof/>
          <w:sz w:val="22"/>
          <w:shd w:val="clear" w:color="auto" w:fill="FFFFFF"/>
        </w:rPr>
        <w:t>CIVICUS</w:t>
      </w:r>
    </w:p>
    <w:p>
      <w:pPr>
        <w:numPr>
          <w:ilvl w:val="0"/>
          <w:numId w:val="13"/>
        </w:numPr>
        <w:spacing w:after="120"/>
        <w:contextualSpacing/>
        <w:rPr>
          <w:rFonts w:cs="Times New Roman"/>
          <w:noProof/>
          <w:sz w:val="22"/>
          <w:shd w:val="clear" w:color="auto" w:fill="FFFFFF"/>
        </w:rPr>
      </w:pPr>
      <w:r>
        <w:rPr>
          <w:noProof/>
          <w:sz w:val="22"/>
          <w:shd w:val="clear" w:color="auto" w:fill="FFFFFF"/>
        </w:rPr>
        <w:t>Civil Liberties Union for Europe</w:t>
      </w:r>
    </w:p>
    <w:p>
      <w:pPr>
        <w:numPr>
          <w:ilvl w:val="0"/>
          <w:numId w:val="13"/>
        </w:numPr>
        <w:spacing w:after="120"/>
        <w:contextualSpacing/>
        <w:rPr>
          <w:rFonts w:cs="Times New Roman"/>
          <w:noProof/>
          <w:sz w:val="22"/>
          <w:shd w:val="clear" w:color="auto" w:fill="FFFFFF"/>
        </w:rPr>
      </w:pPr>
      <w:r>
        <w:rPr>
          <w:noProof/>
          <w:sz w:val="22"/>
          <w:shd w:val="clear" w:color="auto" w:fill="FFFFFF"/>
        </w:rPr>
        <w:t>Civil Society Europe</w:t>
      </w:r>
    </w:p>
    <w:p>
      <w:pPr>
        <w:numPr>
          <w:ilvl w:val="0"/>
          <w:numId w:val="13"/>
        </w:numPr>
        <w:spacing w:after="120"/>
        <w:contextualSpacing/>
        <w:rPr>
          <w:rFonts w:cs="Times New Roman"/>
          <w:noProof/>
          <w:sz w:val="22"/>
          <w:shd w:val="clear" w:color="auto" w:fill="FFFFFF"/>
        </w:rPr>
      </w:pPr>
      <w:r>
        <w:rPr>
          <w:noProof/>
          <w:sz w:val="22"/>
          <w:shd w:val="clear" w:color="auto" w:fill="FFFFFF"/>
        </w:rPr>
        <w:t>Conference of European Churches</w:t>
      </w:r>
    </w:p>
    <w:p>
      <w:pPr>
        <w:numPr>
          <w:ilvl w:val="0"/>
          <w:numId w:val="13"/>
        </w:numPr>
        <w:spacing w:after="120"/>
        <w:contextualSpacing/>
        <w:rPr>
          <w:rFonts w:cs="Times New Roman"/>
          <w:noProof/>
          <w:sz w:val="22"/>
          <w:shd w:val="clear" w:color="auto" w:fill="FFFFFF"/>
        </w:rPr>
      </w:pPr>
      <w:r>
        <w:rPr>
          <w:noProof/>
          <w:sz w:val="22"/>
          <w:shd w:val="clear" w:color="auto" w:fill="FFFFFF"/>
        </w:rPr>
        <w:t>EuroCommerce</w:t>
      </w:r>
    </w:p>
    <w:p>
      <w:pPr>
        <w:numPr>
          <w:ilvl w:val="0"/>
          <w:numId w:val="13"/>
        </w:numPr>
        <w:spacing w:after="120"/>
        <w:contextualSpacing/>
        <w:rPr>
          <w:rFonts w:cs="Times New Roman"/>
          <w:noProof/>
          <w:sz w:val="22"/>
          <w:shd w:val="clear" w:color="auto" w:fill="FFFFFF"/>
        </w:rPr>
      </w:pPr>
      <w:r>
        <w:rPr>
          <w:noProof/>
          <w:sz w:val="22"/>
          <w:shd w:val="clear" w:color="auto" w:fill="FFFFFF"/>
        </w:rPr>
        <w:t>European Center for Not-for-Profit Law</w:t>
      </w:r>
    </w:p>
    <w:p>
      <w:pPr>
        <w:numPr>
          <w:ilvl w:val="0"/>
          <w:numId w:val="13"/>
        </w:numPr>
        <w:spacing w:after="120"/>
        <w:contextualSpacing/>
        <w:rPr>
          <w:rFonts w:cs="Times New Roman"/>
          <w:noProof/>
          <w:sz w:val="22"/>
          <w:shd w:val="clear" w:color="auto" w:fill="FFFFFF"/>
        </w:rPr>
      </w:pPr>
      <w:r>
        <w:rPr>
          <w:noProof/>
          <w:sz w:val="22"/>
          <w:shd w:val="clear" w:color="auto" w:fill="FFFFFF"/>
        </w:rPr>
        <w:t>European Centre for Press and Media Freedom</w:t>
      </w:r>
    </w:p>
    <w:p>
      <w:pPr>
        <w:numPr>
          <w:ilvl w:val="0"/>
          <w:numId w:val="13"/>
        </w:numPr>
        <w:spacing w:after="120"/>
        <w:contextualSpacing/>
        <w:rPr>
          <w:rFonts w:cs="Times New Roman"/>
          <w:noProof/>
          <w:sz w:val="22"/>
          <w:shd w:val="clear" w:color="auto" w:fill="FFFFFF"/>
        </w:rPr>
      </w:pPr>
      <w:r>
        <w:rPr>
          <w:noProof/>
          <w:sz w:val="22"/>
          <w:shd w:val="clear" w:color="auto" w:fill="FFFFFF"/>
        </w:rPr>
        <w:t>European Civic Forum</w:t>
      </w:r>
    </w:p>
    <w:p>
      <w:pPr>
        <w:numPr>
          <w:ilvl w:val="0"/>
          <w:numId w:val="13"/>
        </w:numPr>
        <w:spacing w:after="120"/>
        <w:contextualSpacing/>
        <w:rPr>
          <w:rFonts w:cs="Times New Roman"/>
          <w:noProof/>
          <w:sz w:val="22"/>
          <w:shd w:val="clear" w:color="auto" w:fill="FFFFFF"/>
        </w:rPr>
      </w:pPr>
      <w:r>
        <w:rPr>
          <w:noProof/>
          <w:sz w:val="22"/>
          <w:shd w:val="clear" w:color="auto" w:fill="FFFFFF"/>
        </w:rPr>
        <w:t>European Federation of Journalists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European Partnership for Democracy </w:t>
      </w:r>
    </w:p>
    <w:p>
      <w:pPr>
        <w:numPr>
          <w:ilvl w:val="0"/>
          <w:numId w:val="13"/>
        </w:numPr>
        <w:spacing w:after="120"/>
        <w:contextualSpacing/>
        <w:rPr>
          <w:rFonts w:cs="Times New Roman"/>
          <w:noProof/>
          <w:sz w:val="22"/>
          <w:shd w:val="clear" w:color="auto" w:fill="FFFFFF"/>
        </w:rPr>
      </w:pPr>
      <w:r>
        <w:rPr>
          <w:noProof/>
          <w:sz w:val="22"/>
          <w:shd w:val="clear" w:color="auto" w:fill="FFFFFF"/>
        </w:rPr>
        <w:t>European Youth Forum</w:t>
      </w:r>
    </w:p>
    <w:p>
      <w:pPr>
        <w:numPr>
          <w:ilvl w:val="0"/>
          <w:numId w:val="13"/>
        </w:numPr>
        <w:spacing w:after="120"/>
        <w:contextualSpacing/>
        <w:rPr>
          <w:rFonts w:cs="Times New Roman"/>
          <w:noProof/>
          <w:sz w:val="22"/>
          <w:shd w:val="clear" w:color="auto" w:fill="FFFFFF"/>
        </w:rPr>
      </w:pPr>
      <w:r>
        <w:rPr>
          <w:noProof/>
          <w:sz w:val="22"/>
          <w:shd w:val="clear" w:color="auto" w:fill="FFFFFF"/>
        </w:rPr>
        <w:t>Front Line Defenders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House Foundation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Watch </w:t>
      </w:r>
    </w:p>
    <w:p>
      <w:pPr>
        <w:numPr>
          <w:ilvl w:val="0"/>
          <w:numId w:val="13"/>
        </w:numPr>
        <w:spacing w:after="120"/>
        <w:contextualSpacing/>
        <w:rPr>
          <w:rFonts w:cs="Times New Roman"/>
          <w:noProof/>
          <w:sz w:val="22"/>
          <w:shd w:val="clear" w:color="auto" w:fill="FFFFFF"/>
        </w:rPr>
      </w:pPr>
      <w:r>
        <w:rPr>
          <w:noProof/>
          <w:sz w:val="22"/>
          <w:shd w:val="clear" w:color="auto" w:fill="FFFFFF"/>
        </w:rPr>
        <w:t>ILGA-Europe</w:t>
      </w:r>
    </w:p>
    <w:p>
      <w:pPr>
        <w:numPr>
          <w:ilvl w:val="0"/>
          <w:numId w:val="13"/>
        </w:numPr>
        <w:spacing w:after="120"/>
        <w:contextualSpacing/>
        <w:rPr>
          <w:rFonts w:cs="Times New Roman"/>
          <w:noProof/>
          <w:sz w:val="22"/>
          <w:shd w:val="clear" w:color="auto" w:fill="FFFFFF"/>
        </w:rPr>
      </w:pPr>
      <w:r>
        <w:rPr>
          <w:noProof/>
          <w:sz w:val="22"/>
          <w:shd w:val="clear" w:color="auto" w:fill="FFFFFF"/>
        </w:rPr>
        <w:t>International Commission of Jurists</w:t>
      </w:r>
    </w:p>
    <w:p>
      <w:pPr>
        <w:numPr>
          <w:ilvl w:val="0"/>
          <w:numId w:val="13"/>
        </w:numPr>
        <w:spacing w:after="120"/>
        <w:contextualSpacing/>
        <w:rPr>
          <w:rFonts w:cs="Times New Roman"/>
          <w:noProof/>
          <w:sz w:val="22"/>
          <w:shd w:val="clear" w:color="auto" w:fill="FFFFFF"/>
        </w:rPr>
      </w:pPr>
      <w:r>
        <w:rPr>
          <w:noProof/>
          <w:sz w:val="22"/>
          <w:shd w:val="clear" w:color="auto" w:fill="FFFFFF"/>
        </w:rPr>
        <w:t>International Federation for Human Rights</w:t>
      </w:r>
    </w:p>
    <w:p>
      <w:pPr>
        <w:numPr>
          <w:ilvl w:val="0"/>
          <w:numId w:val="13"/>
        </w:numPr>
        <w:spacing w:after="120"/>
        <w:contextualSpacing/>
        <w:rPr>
          <w:rFonts w:cs="Times New Roman"/>
          <w:noProof/>
          <w:sz w:val="22"/>
          <w:shd w:val="clear" w:color="auto" w:fill="FFFFFF"/>
        </w:rPr>
      </w:pPr>
      <w:r>
        <w:rPr>
          <w:noProof/>
          <w:sz w:val="22"/>
          <w:shd w:val="clear" w:color="auto" w:fill="FFFFFF"/>
        </w:rPr>
        <w:t>International Planned Parenthood Federation European Network (IPPF EN)</w:t>
      </w:r>
    </w:p>
    <w:p>
      <w:pPr>
        <w:numPr>
          <w:ilvl w:val="0"/>
          <w:numId w:val="13"/>
        </w:numPr>
        <w:spacing w:after="120"/>
        <w:contextualSpacing/>
        <w:rPr>
          <w:rFonts w:cs="Times New Roman"/>
          <w:noProof/>
          <w:sz w:val="22"/>
          <w:shd w:val="clear" w:color="auto" w:fill="FFFFFF"/>
        </w:rPr>
      </w:pPr>
      <w:r>
        <w:rPr>
          <w:noProof/>
          <w:sz w:val="22"/>
          <w:shd w:val="clear" w:color="auto" w:fill="FFFFFF"/>
        </w:rPr>
        <w:t>International Press Institute</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Netherlands Helsinki Committee </w:t>
      </w:r>
    </w:p>
    <w:p>
      <w:pPr>
        <w:numPr>
          <w:ilvl w:val="0"/>
          <w:numId w:val="13"/>
        </w:numPr>
        <w:spacing w:after="120"/>
        <w:contextualSpacing/>
        <w:rPr>
          <w:rFonts w:cs="Times New Roman"/>
          <w:noProof/>
          <w:sz w:val="22"/>
          <w:shd w:val="clear" w:color="auto" w:fill="FFFFFF"/>
        </w:rPr>
      </w:pPr>
      <w:r>
        <w:rPr>
          <w:noProof/>
          <w:sz w:val="22"/>
          <w:shd w:val="clear" w:color="auto" w:fill="FFFFFF"/>
        </w:rPr>
        <w:t>Open Society European Policy Institute</w:t>
      </w:r>
    </w:p>
    <w:p>
      <w:pPr>
        <w:numPr>
          <w:ilvl w:val="0"/>
          <w:numId w:val="13"/>
        </w:numPr>
        <w:spacing w:after="120"/>
        <w:contextualSpacing/>
        <w:rPr>
          <w:rFonts w:cs="Times New Roman"/>
          <w:noProof/>
          <w:sz w:val="22"/>
          <w:shd w:val="clear" w:color="auto" w:fill="FFFFFF"/>
        </w:rPr>
      </w:pPr>
      <w:r>
        <w:rPr>
          <w:noProof/>
          <w:sz w:val="22"/>
          <w:shd w:val="clear" w:color="auto" w:fill="FFFFFF"/>
        </w:rPr>
        <w:t>Philanthropy Advocacy</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Protection International </w:t>
      </w:r>
    </w:p>
    <w:p>
      <w:pPr>
        <w:numPr>
          <w:ilvl w:val="0"/>
          <w:numId w:val="13"/>
        </w:numPr>
        <w:spacing w:after="120"/>
        <w:contextualSpacing/>
        <w:rPr>
          <w:rFonts w:cs="Times New Roman"/>
          <w:noProof/>
          <w:sz w:val="22"/>
          <w:shd w:val="clear" w:color="auto" w:fill="FFFFFF"/>
        </w:rPr>
      </w:pPr>
      <w:r>
        <w:rPr>
          <w:noProof/>
          <w:sz w:val="22"/>
          <w:shd w:val="clear" w:color="auto" w:fill="FFFFFF"/>
        </w:rPr>
        <w:t>Reporters without Borders</w:t>
      </w:r>
    </w:p>
    <w:p>
      <w:pPr>
        <w:numPr>
          <w:ilvl w:val="0"/>
          <w:numId w:val="13"/>
        </w:numPr>
        <w:spacing w:after="120"/>
        <w:contextualSpacing/>
        <w:rPr>
          <w:rFonts w:cs="Times New Roman"/>
          <w:noProof/>
          <w:sz w:val="22"/>
          <w:shd w:val="clear" w:color="auto" w:fill="FFFFFF"/>
        </w:rPr>
      </w:pPr>
      <w:r>
        <w:rPr>
          <w:noProof/>
          <w:sz w:val="22"/>
          <w:shd w:val="clear" w:color="auto" w:fill="FFFFFF"/>
        </w:rPr>
        <w:t>Transparency International EU</w:t>
      </w:r>
    </w:p>
    <w:p>
      <w:pPr>
        <w:spacing w:after="120"/>
        <w:contextualSpacing/>
        <w:rPr>
          <w:rFonts w:cs="Times New Roman"/>
          <w:noProof/>
          <w:sz w:val="22"/>
          <w:shd w:val="clear" w:color="auto" w:fill="FFFFFF"/>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1</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45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lang w:val="en-US"/>
        </w:rPr>
      </w:pPr>
      <w:r>
        <w:rPr>
          <w:rStyle w:val="FootnoteReference"/>
          <w:rFonts w:cs="Times New Roman"/>
        </w:rPr>
        <w:footnoteRef/>
      </w:r>
      <w:r>
        <w:rPr>
          <w:lang w:val="en-US"/>
        </w:rPr>
        <w:t xml:space="preserve"> </w:t>
      </w:r>
      <w:r>
        <w:rPr>
          <w:lang w:val="en-US"/>
        </w:rPr>
        <w:tab/>
        <w:t>CEPEJ (2021), Study on the functioning of the judicial systems in the EU Member States.</w:t>
      </w:r>
    </w:p>
  </w:footnote>
  <w:footnote w:id="3">
    <w:p>
      <w:pPr>
        <w:pStyle w:val="FootnoteText"/>
        <w:rPr>
          <w:rFonts w:cs="Times New Roman"/>
        </w:rPr>
      </w:pPr>
      <w:r>
        <w:rPr>
          <w:rStyle w:val="FootnoteReference"/>
          <w:rFonts w:cs="Times New Roman"/>
        </w:rPr>
        <w:footnoteRef/>
      </w:r>
      <w:r>
        <w:t xml:space="preserve"> </w:t>
      </w:r>
      <w:r>
        <w:tab/>
        <w:t>Domstolen i første instans i straffesager har ubegrænsede beføjelser til at behandle og påkende enhver straffesag i første instans.</w:t>
      </w:r>
    </w:p>
  </w:footnote>
  <w:footnote w:id="4">
    <w:p>
      <w:pPr>
        <w:pStyle w:val="FootnoteText"/>
        <w:rPr>
          <w:rFonts w:cs="Times New Roman"/>
        </w:rPr>
      </w:pPr>
      <w:r>
        <w:rPr>
          <w:rStyle w:val="FootnoteReference"/>
          <w:rFonts w:cs="Times New Roman"/>
        </w:rPr>
        <w:footnoteRef/>
      </w:r>
      <w:r>
        <w:t xml:space="preserve"> </w:t>
      </w:r>
      <w:r>
        <w:tab/>
        <w:t xml:space="preserve">Lov 131 (I)/2015 om oprettelse af forvaltningsdomstolen og dens funktion. </w:t>
      </w:r>
    </w:p>
  </w:footnote>
  <w:footnote w:id="5">
    <w:p>
      <w:pPr>
        <w:pStyle w:val="FootnoteText"/>
        <w:rPr>
          <w:rFonts w:cs="Times New Roman"/>
        </w:rPr>
      </w:pPr>
      <w:r>
        <w:rPr>
          <w:rStyle w:val="FootnoteReference"/>
          <w:rFonts w:cs="Times New Roman"/>
        </w:rPr>
        <w:footnoteRef/>
      </w:r>
      <w:r>
        <w:t xml:space="preserve"> </w:t>
      </w:r>
      <w:r>
        <w:tab/>
        <w:t>Lov 73 (I)/2018 om oprettelse af forvaltningsdomstolen for international beskyttelse og dens funktion.</w:t>
      </w:r>
    </w:p>
  </w:footnote>
  <w:footnote w:id="6">
    <w:p>
      <w:pPr>
        <w:pStyle w:val="FootnoteText"/>
        <w:rPr>
          <w:rFonts w:cs="Times New Roman"/>
        </w:rPr>
      </w:pPr>
      <w:r>
        <w:rPr>
          <w:rStyle w:val="FootnoteReference"/>
          <w:rFonts w:cs="Times New Roman"/>
        </w:rPr>
        <w:footnoteRef/>
      </w:r>
      <w:r>
        <w:t xml:space="preserve"> </w:t>
      </w:r>
      <w:r>
        <w:tab/>
        <w:t>Cyperns øverste domstol fungerer som appelinstans. Den fungerer ligeledes som forfatningsdomstol.</w:t>
      </w:r>
    </w:p>
  </w:footnote>
  <w:footnote w:id="7">
    <w:p>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tab/>
      </w:r>
      <w:r>
        <w:rPr>
          <w:bCs/>
          <w:sz w:val="20"/>
          <w:szCs w:val="20"/>
        </w:rPr>
        <w:t>Bidrag fra Republikken Cyperns øverste domstol til rapporten om retsstatssituationen 2021</w:t>
      </w:r>
      <w:r>
        <w:rPr>
          <w:bCs/>
          <w:i/>
          <w:sz w:val="20"/>
          <w:szCs w:val="20"/>
        </w:rPr>
        <w:t>.</w:t>
      </w:r>
    </w:p>
  </w:footnote>
  <w:footnote w:id="8">
    <w:p>
      <w:pPr>
        <w:pStyle w:val="FootnoteText"/>
        <w:rPr>
          <w:rFonts w:cs="Times New Roman"/>
        </w:rPr>
      </w:pPr>
      <w:r>
        <w:rPr>
          <w:rStyle w:val="FootnoteReference"/>
          <w:rFonts w:cs="Times New Roman"/>
        </w:rPr>
        <w:footnoteRef/>
      </w:r>
      <w:r>
        <w:t xml:space="preserve"> </w:t>
      </w:r>
      <w:r>
        <w:tab/>
        <w:t>Input fra Cypern til rapporten om retsstatssituationen 2021. Bidrag fra den øverste domstol til rapporten om retsstatssituationen 2021, s. 6, og oplysninger udleveret af den øverste domstol i forbindelse med landebesøget i Cypern.</w:t>
      </w:r>
    </w:p>
  </w:footnote>
  <w:footnote w:id="9">
    <w:p>
      <w:pPr>
        <w:pStyle w:val="FootnoteText"/>
        <w:rPr>
          <w:rFonts w:cs="Times New Roman"/>
        </w:rPr>
      </w:pPr>
      <w:r>
        <w:rPr>
          <w:rStyle w:val="FootnoteReference"/>
          <w:rFonts w:cs="Times New Roman"/>
        </w:rPr>
        <w:footnoteRef/>
      </w:r>
      <w:r>
        <w:t xml:space="preserve"> </w:t>
      </w:r>
      <w:r>
        <w:tab/>
        <w:t>Artikel 157.2 i Cyperns forfatning bestemmer, at udnævnelse, forfremmelse, overflytning, afslutning af ansættelsesforhold, afskedigelse og disciplinærsager for retsembedsmænd udelukkende henhører under det øverste domstolsråds kompetence. Ovennævnte forfatningsbestemmelse uddybes i kapitel 10 i lov nr. 33/64 om retspleje.</w:t>
      </w:r>
    </w:p>
  </w:footnote>
  <w:footnote w:id="10">
    <w:p>
      <w:pPr>
        <w:pStyle w:val="FootnoteText"/>
        <w:rPr>
          <w:rFonts w:cs="Times New Roman"/>
        </w:rPr>
      </w:pPr>
      <w:r>
        <w:rPr>
          <w:rStyle w:val="FootnoteReference"/>
          <w:rFonts w:cs="Times New Roman"/>
        </w:rPr>
        <w:footnoteRef/>
      </w:r>
      <w:r>
        <w:t xml:space="preserve"> </w:t>
      </w:r>
      <w:r>
        <w:tab/>
        <w:t>De to funktioner (anklager og juridisk rådgiver) er adskilt, og personalet er ikke det samme. Rigsadvokatens repræsentanter (republikkens offentlige anklagere) handler på rigsadvokatens vegne og modtager kun instrukser fra denne. Alle offentlige anklagere ved republikkens lovkontor er medlem af den offentlige tjeneste, og de er omfattet af loven og reglerne om offentlig tjeneste, herunder disciplinære procedurer, som alle andre offentlige embedsmænd.</w:t>
      </w:r>
    </w:p>
  </w:footnote>
  <w:footnote w:id="11">
    <w:p>
      <w:pPr>
        <w:pStyle w:val="FootnoteText"/>
        <w:rPr>
          <w:rFonts w:cs="Times New Roman"/>
        </w:rPr>
      </w:pPr>
      <w:r>
        <w:rPr>
          <w:rStyle w:val="FootnoteReference"/>
          <w:rFonts w:cs="Times New Roman"/>
        </w:rPr>
        <w:footnoteRef/>
      </w:r>
      <w:r>
        <w:t xml:space="preserve"> </w:t>
      </w:r>
      <w:r>
        <w:tab/>
        <w:t>Artikel 112 i Cyperns forfatning.</w:t>
      </w:r>
    </w:p>
  </w:footnote>
  <w:footnote w:id="12">
    <w:p>
      <w:pPr>
        <w:pStyle w:val="FootnoteText"/>
        <w:rPr>
          <w:rFonts w:cs="Times New Roman"/>
        </w:rPr>
      </w:pPr>
      <w:r>
        <w:rPr>
          <w:rStyle w:val="FootnoteReference"/>
          <w:rFonts w:cs="Times New Roman"/>
        </w:rPr>
        <w:footnoteRef/>
      </w:r>
      <w:r>
        <w:t xml:space="preserve"> </w:t>
      </w:r>
      <w:r>
        <w:tab/>
        <w:t>Figur 47 og 49, EU's resultattavle for retlige anliggender for 2021.</w:t>
      </w:r>
    </w:p>
  </w:footnote>
  <w:footnote w:id="13">
    <w:p>
      <w:pPr>
        <w:pStyle w:val="FootnoteText"/>
        <w:rPr>
          <w:rFonts w:cs="Times New Roman"/>
        </w:rPr>
      </w:pPr>
      <w:r>
        <w:rPr>
          <w:rStyle w:val="FootnoteReference"/>
          <w:rFonts w:cs="Times New Roman"/>
        </w:rPr>
        <w:footnoteRef/>
      </w:r>
      <w:r>
        <w:t xml:space="preserve"> </w:t>
      </w:r>
      <w:r>
        <w:tab/>
        <w:t>Graden af opfattelsen af retsvæsenets uafhængighed er kategoriseret som følger: meget lav (under 30 % af respondenterne opfatter retsvæsenets uafhængighed som rimelig god eller meget god), lav (30-39 %), middel (40-59 %), høj (60-75 %), meget høj (over 75 %).</w:t>
      </w:r>
    </w:p>
  </w:footnote>
  <w:footnote w:id="14">
    <w:p>
      <w:pPr>
        <w:pStyle w:val="FootnoteText"/>
        <w:rPr>
          <w:rFonts w:cs="Times New Roman"/>
        </w:rPr>
      </w:pPr>
      <w:r>
        <w:rPr>
          <w:rStyle w:val="FootnoteReference"/>
          <w:rFonts w:cs="Times New Roman"/>
        </w:rPr>
        <w:footnoteRef/>
      </w:r>
      <w:r>
        <w:t xml:space="preserve"> </w:t>
      </w:r>
      <w:r>
        <w:tab/>
        <w:t>Rapport om retsstatssituationen 2020, landekapitlet om Cypern, s. 2.</w:t>
      </w:r>
    </w:p>
  </w:footnote>
  <w:footnote w:id="15">
    <w:p>
      <w:pPr>
        <w:pStyle w:val="FootnoteText"/>
        <w:rPr>
          <w:rFonts w:cs="Times New Roman"/>
        </w:rPr>
      </w:pPr>
      <w:r>
        <w:rPr>
          <w:rStyle w:val="FootnoteReference"/>
          <w:rFonts w:cs="Times New Roman"/>
        </w:rPr>
        <w:footnoteRef/>
      </w:r>
      <w:r>
        <w:t xml:space="preserve"> </w:t>
      </w:r>
      <w:r>
        <w:tab/>
        <w:t>Udvalget ledes af ministeren for retlige anliggender og offentlig orden og er sammensat af en repræsentant for hvert af de politiske partier, der deltager i parlamentets retsudvalg, samt af formanden for det cypriotiske advokatsamfund. Ministeren for retlige anliggender og offentlig orden konsulterer på samme tid den øverste domstol. Oplysninger indhentet i forbindelse med landebesøget i Cypern.</w:t>
      </w:r>
    </w:p>
  </w:footnote>
  <w:footnote w:id="16">
    <w:p>
      <w:pPr>
        <w:pStyle w:val="FootnoteText"/>
        <w:rPr>
          <w:rFonts w:cs="Times New Roman"/>
        </w:rPr>
      </w:pPr>
      <w:r>
        <w:rPr>
          <w:rStyle w:val="FootnoteReference"/>
          <w:rFonts w:cs="Times New Roman"/>
        </w:rPr>
        <w:footnoteRef/>
      </w:r>
      <w:r>
        <w:t xml:space="preserve"> </w:t>
      </w:r>
      <w:r>
        <w:tab/>
        <w:t>Skriftligt bidrag udleveret af justitsministeriet i forbindelse med landebesøget i Cypern.</w:t>
      </w:r>
    </w:p>
  </w:footnote>
  <w:footnote w:id="17">
    <w:p>
      <w:pPr>
        <w:pStyle w:val="FootnoteText"/>
        <w:rPr>
          <w:rFonts w:cs="Times New Roman"/>
        </w:rPr>
      </w:pPr>
      <w:r>
        <w:rPr>
          <w:rStyle w:val="FootnoteReference"/>
          <w:rFonts w:cs="Times New Roman"/>
        </w:rPr>
        <w:footnoteRef/>
      </w:r>
      <w:r>
        <w:t xml:space="preserve"> </w:t>
      </w:r>
      <w:r>
        <w:tab/>
      </w:r>
      <w:r>
        <w:rPr>
          <w:i/>
        </w:rPr>
        <w:t>"Et rådgivende domstolsråd […] fungerer som rådgiver for republikkens præsident for så vidt angår ansøgeres egnethed til at blive udnævnt til dommere ved den øverste forfatningsdomstol og domstolen i første instans. Det rådgivende domstolsråd har to sammensætninger, alt efter om en dommer udnævnes til den øverste forfatningsdomstol eller til domstolen i første instans. I en procedure for udnævnelse af medlemmer af den øverste forfatningsdomstol er rådet sammensat af formanden for den øverste forfatningsdomstol som formand for rådet, de fire ældste medlemmer af den samme domstol, republikkens rigsadvokat og formanden for det cypriotiske advokatsamfund. I en procedure for udnævnelse af medlemmer af domstolen i første instans er rådet sammensat af formanden for den øverste domstol som formand for rådet, de fire ældste medlemmer af den samme domstol, republikkens rigsadvokat og formanden for det cypriotiske advokatsamfund."</w:t>
      </w:r>
      <w:r>
        <w:t xml:space="preserve"> Lovforslag indhentet i forbindelse med landebesøget i Cypern.</w:t>
      </w:r>
    </w:p>
  </w:footnote>
  <w:footnote w:id="18">
    <w:p>
      <w:pPr>
        <w:pStyle w:val="FootnoteText"/>
        <w:rPr>
          <w:rFonts w:cs="Times New Roman"/>
        </w:rPr>
      </w:pPr>
      <w:r>
        <w:rPr>
          <w:rStyle w:val="FootnoteReference"/>
          <w:rFonts w:cs="Times New Roman"/>
        </w:rPr>
        <w:footnoteRef/>
      </w:r>
      <w:r>
        <w:t xml:space="preserve"> </w:t>
      </w:r>
      <w:r>
        <w:tab/>
      </w:r>
      <w:r>
        <w:rPr>
          <w:i/>
        </w:rPr>
        <w:t>"Det rådgivende domstolsråd udarbejder en liste over personer, som findes egnede til udnævnelse, hvis antal er mindst tre gange så stort som antallet af ledige stillinger, [...] og udarbejder vurderingsrapporter for hver enkelt ansøger, som indgives til republikkens præsident i alfabetisk rækkefølge. Rapporten indeholder rådets begrundede udtalelse om de enkelte ansøgeres egnethed og er en rådgivende rapport til republikkens præsident."</w:t>
      </w:r>
      <w:r>
        <w:t xml:space="preserve"> Lovforslag indhentet i forbindelse med landebesøget i Cypern.</w:t>
      </w:r>
    </w:p>
  </w:footnote>
  <w:footnote w:id="19">
    <w:p>
      <w:pPr>
        <w:pStyle w:val="FootnoteText"/>
        <w:rPr>
          <w:rFonts w:cs="Times New Roman"/>
        </w:rPr>
      </w:pPr>
      <w:r>
        <w:rPr>
          <w:rStyle w:val="FootnoteReference"/>
          <w:rFonts w:cs="Times New Roman"/>
        </w:rPr>
        <w:footnoteRef/>
      </w:r>
      <w:r>
        <w:tab/>
        <w:t>Anbefaling CM/Rec(2010)12 fra Europarådets Ministerkomité, punkt 47. Domstolens dom af 20.4.2021, Repubblika, sag C-896/19, ECLI:EU:C:2021:311, præmis 71. Domstolens dom af 9.4.2021, AB m.fl.., sag C-824/18, præmis 122.</w:t>
      </w:r>
    </w:p>
  </w:footnote>
  <w:footnote w:id="20">
    <w:p>
      <w:pPr>
        <w:pStyle w:val="FootnoteText"/>
        <w:rPr>
          <w:rFonts w:cs="Times New Roman"/>
        </w:rPr>
      </w:pPr>
      <w:r>
        <w:rPr>
          <w:rStyle w:val="FootnoteReference"/>
          <w:rFonts w:cs="Times New Roman"/>
        </w:rPr>
        <w:footnoteRef/>
      </w:r>
      <w:r>
        <w:t xml:space="preserve"> </w:t>
      </w:r>
      <w:r>
        <w:tab/>
        <w:t>GRECO, Fourth Evaluation Round - Second Compliance Report, s. 8. Oplysninger indhentet i forbindelse med landebesøget i Cypern.</w:t>
      </w:r>
    </w:p>
  </w:footnote>
  <w:footnote w:id="21">
    <w:p>
      <w:pPr>
        <w:pStyle w:val="FootnoteText"/>
        <w:rPr>
          <w:rFonts w:cs="Times New Roman"/>
        </w:rPr>
      </w:pPr>
      <w:r>
        <w:rPr>
          <w:rStyle w:val="FootnoteReference"/>
          <w:rFonts w:cs="Times New Roman"/>
        </w:rPr>
        <w:footnoteRef/>
      </w:r>
      <w:r>
        <w:t xml:space="preserve"> </w:t>
      </w:r>
      <w:r>
        <w:tab/>
        <w:t>Oplysninger udleveret af justitsministeriet i forbindelse med landebesøget i Cypern.</w:t>
      </w:r>
    </w:p>
  </w:footnote>
  <w:footnote w:id="22">
    <w:p>
      <w:pPr>
        <w:pStyle w:val="FootnoteText"/>
        <w:rPr>
          <w:rFonts w:cs="Times New Roman"/>
        </w:rPr>
      </w:pPr>
      <w:r>
        <w:rPr>
          <w:rStyle w:val="FootnoteReference"/>
          <w:rFonts w:cs="Times New Roman"/>
        </w:rPr>
        <w:footnoteRef/>
      </w:r>
      <w:r>
        <w:tab/>
        <w:t xml:space="preserve">Anbefaling CM/Rec(2010)12 fra Europarådets Ministerkomité, punkt 27. </w:t>
      </w:r>
    </w:p>
  </w:footnote>
  <w:footnote w:id="23">
    <w:p>
      <w:pPr>
        <w:pStyle w:val="FootnoteText"/>
        <w:rPr>
          <w:rFonts w:cs="Times New Roman"/>
        </w:rPr>
      </w:pPr>
      <w:r>
        <w:rPr>
          <w:rStyle w:val="FootnoteReference"/>
          <w:rFonts w:cs="Times New Roman"/>
        </w:rPr>
        <w:footnoteRef/>
      </w:r>
      <w:r>
        <w:t xml:space="preserve"> </w:t>
      </w:r>
      <w:r>
        <w:tab/>
        <w:t>Rapport om retsstatssituationen 2020, landekapitlet om Cypern, s. 3.</w:t>
      </w:r>
    </w:p>
  </w:footnote>
  <w:footnote w:id="24">
    <w:p>
      <w:pPr>
        <w:pStyle w:val="FootnoteText"/>
        <w:rPr>
          <w:rFonts w:cs="Times New Roman"/>
        </w:rPr>
      </w:pPr>
      <w:r>
        <w:rPr>
          <w:rStyle w:val="FootnoteReference"/>
          <w:rFonts w:cs="Times New Roman"/>
        </w:rPr>
        <w:footnoteRef/>
      </w:r>
      <w:r>
        <w:t xml:space="preserve"> </w:t>
      </w:r>
      <w:r>
        <w:tab/>
        <w:t xml:space="preserve">Uafhængige eksperter gennemførte i 2019 en funktionel gennemgang af lovkontoret. På grundlag af denne rapport færdiggjorde og vedtog ministerrådet den 15.10.2019 en handlingsplan. Ifølge handlingsplanen skal der gennemføres en omfattende reform af republikkens lovkontor. </w:t>
      </w:r>
    </w:p>
  </w:footnote>
  <w:footnote w:id="25">
    <w:p>
      <w:pPr>
        <w:pStyle w:val="FootnoteText"/>
        <w:rPr>
          <w:rFonts w:cs="Times New Roman"/>
        </w:rPr>
      </w:pPr>
      <w:r>
        <w:rPr>
          <w:rStyle w:val="FootnoteReference"/>
          <w:rFonts w:cs="Times New Roman"/>
        </w:rPr>
        <w:footnoteRef/>
      </w:r>
      <w:r>
        <w:t xml:space="preserve"> </w:t>
      </w:r>
      <w:r>
        <w:tab/>
        <w:t>Input fra Cypern til rapporten om retsstatssituationen 2021, s. 2.</w:t>
      </w:r>
    </w:p>
  </w:footnote>
  <w:footnote w:id="26">
    <w:p>
      <w:pPr>
        <w:pStyle w:val="FootnoteText"/>
        <w:rPr>
          <w:rFonts w:cs="Times New Roman"/>
        </w:rPr>
      </w:pPr>
      <w:r>
        <w:rPr>
          <w:rStyle w:val="FootnoteReference"/>
          <w:rFonts w:cs="Times New Roman"/>
        </w:rPr>
        <w:footnoteRef/>
      </w:r>
      <w:r>
        <w:t xml:space="preserve"> </w:t>
      </w:r>
      <w:r>
        <w:tab/>
        <w:t>Input fra Cypern til rapporten om retsstatssituationen 2021, s. 4. Oplysninger indhentet i forbindelse med landebesøget i Cypern.</w:t>
      </w:r>
    </w:p>
  </w:footnote>
  <w:footnote w:id="27">
    <w:p>
      <w:pPr>
        <w:pStyle w:val="FootnoteText"/>
        <w:rPr>
          <w:rFonts w:cs="Times New Roman"/>
        </w:rPr>
      </w:pPr>
      <w:r>
        <w:rPr>
          <w:rStyle w:val="FootnoteReference"/>
          <w:rFonts w:cs="Times New Roman"/>
        </w:rPr>
        <w:footnoteRef/>
      </w:r>
      <w:r>
        <w:t xml:space="preserve"> </w:t>
      </w:r>
      <w:r>
        <w:tab/>
        <w:t>Figur 39, EU's resultattavle for retlige anliggender for 2021.</w:t>
      </w:r>
    </w:p>
  </w:footnote>
  <w:footnote w:id="28">
    <w:p>
      <w:pPr>
        <w:pStyle w:val="FootnoteText"/>
        <w:rPr>
          <w:rFonts w:cs="Times New Roman"/>
        </w:rPr>
      </w:pPr>
      <w:r>
        <w:rPr>
          <w:rStyle w:val="FootnoteReference"/>
          <w:rFonts w:cs="Times New Roman"/>
        </w:rPr>
        <w:footnoteRef/>
      </w:r>
      <w:r>
        <w:t xml:space="preserve"> </w:t>
      </w:r>
      <w:r>
        <w:tab/>
        <w:t>Figur 43, EU's resultattavle for retlige anliggender for 2021.</w:t>
      </w:r>
    </w:p>
  </w:footnote>
  <w:footnote w:id="29">
    <w:p>
      <w:pPr>
        <w:pStyle w:val="FootnoteText"/>
        <w:rPr>
          <w:rFonts w:cs="Times New Roman"/>
        </w:rPr>
      </w:pPr>
      <w:r>
        <w:rPr>
          <w:rStyle w:val="FootnoteReference"/>
          <w:rFonts w:cs="Times New Roman"/>
        </w:rPr>
        <w:footnoteRef/>
      </w:r>
      <w:r>
        <w:t xml:space="preserve"> </w:t>
      </w:r>
      <w:r>
        <w:tab/>
        <w:t>Cypern har anmodet om bistand fra genopretnings- og resiliensfaciliteten på dette område. Et pilotprojekt vedrørende e-justice forventes gennemført om 12-15 måneder.</w:t>
      </w:r>
    </w:p>
  </w:footnote>
  <w:footnote w:id="30">
    <w:p>
      <w:pPr>
        <w:pStyle w:val="FootnoteText"/>
        <w:rPr>
          <w:rFonts w:cs="Times New Roman"/>
        </w:rPr>
      </w:pPr>
      <w:r>
        <w:rPr>
          <w:rStyle w:val="FootnoteReference"/>
          <w:rFonts w:cs="Times New Roman"/>
        </w:rPr>
        <w:footnoteRef/>
      </w:r>
      <w:r>
        <w:t xml:space="preserve"> </w:t>
      </w:r>
      <w:r>
        <w:tab/>
        <w:t>Input fra Cypern til rapporten om retsstatssituationen 2021, s. 6-7.</w:t>
      </w:r>
    </w:p>
  </w:footnote>
  <w:footnote w:id="31">
    <w:p>
      <w:pPr>
        <w:pStyle w:val="FootnoteText"/>
        <w:rPr>
          <w:rFonts w:cs="Times New Roman"/>
          <w:bCs/>
        </w:rPr>
      </w:pPr>
      <w:r>
        <w:rPr>
          <w:rStyle w:val="FootnoteReference"/>
          <w:rFonts w:cs="Times New Roman"/>
        </w:rPr>
        <w:footnoteRef/>
      </w:r>
      <w:r>
        <w:t xml:space="preserve"> </w:t>
      </w:r>
      <w:r>
        <w:tab/>
        <w:t>Websted for cypriotisk lovgivning</w:t>
      </w:r>
      <w:r>
        <w:rPr>
          <w:rStyle w:val="Hyperlink"/>
          <w:color w:val="auto"/>
          <w:u w:val="none"/>
        </w:rPr>
        <w:t xml:space="preserve">. </w:t>
      </w:r>
      <w:r>
        <w:t>Oplysninger indhentet i forbindelse med landebesøget i Cypern.</w:t>
      </w:r>
    </w:p>
  </w:footnote>
  <w:footnote w:id="32">
    <w:p>
      <w:pPr>
        <w:pStyle w:val="FootnoteText"/>
        <w:rPr>
          <w:rFonts w:cs="Times New Roman"/>
        </w:rPr>
      </w:pPr>
      <w:r>
        <w:rPr>
          <w:rStyle w:val="FootnoteReference"/>
          <w:rFonts w:cs="Times New Roman"/>
        </w:rPr>
        <w:footnoteRef/>
      </w:r>
      <w:r>
        <w:t xml:space="preserve"> </w:t>
      </w:r>
      <w:r>
        <w:tab/>
        <w:t>Rapport om retsstatssituationen 2020, landekapitlet om Cypern, s. 4.</w:t>
      </w:r>
    </w:p>
  </w:footnote>
  <w:footnote w:id="33">
    <w:p>
      <w:pPr>
        <w:pStyle w:val="FootnoteText"/>
        <w:rPr>
          <w:rFonts w:cs="Times New Roman"/>
        </w:rPr>
      </w:pPr>
      <w:r>
        <w:rPr>
          <w:rStyle w:val="FootnoteReference"/>
          <w:rFonts w:cs="Times New Roman"/>
        </w:rPr>
        <w:footnoteRef/>
      </w:r>
      <w:r>
        <w:t xml:space="preserve"> </w:t>
      </w:r>
      <w:r>
        <w:tab/>
      </w:r>
      <w:r>
        <w:rPr>
          <w:color w:val="000000"/>
        </w:rPr>
        <w:t>Figur 5, EU's resultattavle for retlige anliggender for 2021.</w:t>
      </w:r>
    </w:p>
  </w:footnote>
  <w:footnote w:id="34">
    <w:p>
      <w:pPr>
        <w:pStyle w:val="FootnoteText"/>
        <w:rPr>
          <w:rFonts w:cs="Times New Roman"/>
        </w:rPr>
      </w:pPr>
      <w:r>
        <w:rPr>
          <w:rStyle w:val="FootnoteReference"/>
          <w:rFonts w:cs="Times New Roman"/>
        </w:rPr>
        <w:footnoteRef/>
      </w:r>
      <w:r>
        <w:t xml:space="preserve"> </w:t>
      </w:r>
      <w:r>
        <w:tab/>
      </w:r>
      <w:r>
        <w:rPr>
          <w:color w:val="000000"/>
        </w:rPr>
        <w:t>Figur 8, EU's resultattavle for retlige anliggender for 2021.</w:t>
      </w:r>
    </w:p>
  </w:footnote>
  <w:footnote w:id="35">
    <w:p>
      <w:pPr>
        <w:pStyle w:val="FootnoteText"/>
        <w:rPr>
          <w:rFonts w:cs="Times New Roman"/>
        </w:rPr>
      </w:pPr>
      <w:r>
        <w:rPr>
          <w:rStyle w:val="FootnoteReference"/>
          <w:rFonts w:cs="Times New Roman"/>
        </w:rPr>
        <w:footnoteRef/>
      </w:r>
      <w:r>
        <w:t xml:space="preserve"> </w:t>
      </w:r>
      <w:r>
        <w:tab/>
      </w:r>
      <w:r>
        <w:rPr>
          <w:color w:val="000000"/>
        </w:rPr>
        <w:t>Figur 12, EU's resultattavle for retlige anliggender for 2021.</w:t>
      </w:r>
    </w:p>
  </w:footnote>
  <w:footnote w:id="36">
    <w:p>
      <w:pPr>
        <w:pStyle w:val="FootnoteText"/>
        <w:rPr>
          <w:rFonts w:cs="Times New Roman"/>
        </w:rPr>
      </w:pPr>
      <w:r>
        <w:rPr>
          <w:rStyle w:val="FootnoteReference"/>
          <w:rFonts w:cs="Times New Roman"/>
        </w:rPr>
        <w:footnoteRef/>
      </w:r>
      <w:r>
        <w:t xml:space="preserve"> </w:t>
      </w:r>
      <w:r>
        <w:tab/>
        <w:t>Input fra Cypern til rapporten om retsstatssituationen 2021, s. 9.</w:t>
      </w:r>
    </w:p>
  </w:footnote>
  <w:footnote w:id="37">
    <w:p>
      <w:pPr>
        <w:pStyle w:val="FootnoteText"/>
        <w:rPr>
          <w:rFonts w:cs="Times New Roman"/>
        </w:rPr>
      </w:pPr>
      <w:r>
        <w:rPr>
          <w:rStyle w:val="FootnoteReference"/>
          <w:rFonts w:cs="Times New Roman"/>
        </w:rPr>
        <w:footnoteRef/>
      </w:r>
      <w:r>
        <w:t xml:space="preserve"> </w:t>
      </w:r>
      <w:r>
        <w:tab/>
        <w:t>Rapport om retsstatssituationen 2020, landekapitlet om Cypern, s. 4.</w:t>
      </w:r>
    </w:p>
  </w:footnote>
  <w:footnote w:id="38">
    <w:p>
      <w:pPr>
        <w:pStyle w:val="FootnoteText"/>
        <w:rPr>
          <w:rFonts w:cs="Times New Roman"/>
        </w:rPr>
      </w:pPr>
      <w:r>
        <w:rPr>
          <w:rStyle w:val="FootnoteReference"/>
          <w:rFonts w:cs="Times New Roman"/>
        </w:rPr>
        <w:footnoteRef/>
      </w:r>
      <w:r>
        <w:t xml:space="preserve"> </w:t>
      </w:r>
      <w:r>
        <w:tab/>
        <w:t>Input fra Cypern til rapporten om retsstatssituationen 2021, s. 9.</w:t>
      </w:r>
    </w:p>
  </w:footnote>
  <w:footnote w:id="39">
    <w:p>
      <w:pPr>
        <w:pStyle w:val="FootnoteText"/>
        <w:rPr>
          <w:rFonts w:cs="Times New Roman"/>
        </w:rPr>
      </w:pPr>
      <w:r>
        <w:rPr>
          <w:rStyle w:val="FootnoteReference"/>
          <w:rFonts w:cs="Times New Roman"/>
        </w:rPr>
        <w:footnoteRef/>
      </w:r>
      <w:r>
        <w:t xml:space="preserve"> </w:t>
      </w:r>
      <w:r>
        <w:tab/>
        <w:t>Ibid.</w:t>
      </w:r>
    </w:p>
  </w:footnote>
  <w:footnote w:id="40">
    <w:p>
      <w:pPr>
        <w:pStyle w:val="FootnoteText"/>
        <w:rPr>
          <w:rFonts w:cs="Times New Roman"/>
        </w:rPr>
      </w:pPr>
      <w:r>
        <w:rPr>
          <w:rStyle w:val="FootnoteReference"/>
          <w:rFonts w:cs="Times New Roman"/>
        </w:rPr>
        <w:footnoteRef/>
      </w:r>
      <w:r>
        <w:t xml:space="preserve"> </w:t>
      </w:r>
      <w:r>
        <w:tab/>
        <w:t>Den nye civile retsplejelov blev godkendt den 19.5.2021.</w:t>
      </w:r>
    </w:p>
  </w:footnote>
  <w:footnote w:id="41">
    <w:p>
      <w:pPr>
        <w:pStyle w:val="FootnoteText"/>
        <w:rPr>
          <w:rFonts w:cs="Times New Roman"/>
          <w:bCs/>
        </w:rPr>
      </w:pPr>
      <w:r>
        <w:rPr>
          <w:rStyle w:val="FootnoteReference"/>
          <w:rFonts w:cs="Times New Roman"/>
        </w:rPr>
        <w:footnoteRef/>
      </w:r>
      <w:r>
        <w:t xml:space="preserve"> </w:t>
      </w:r>
      <w:r>
        <w:tab/>
        <w:t xml:space="preserve">Der er ikke behov for yderligere lovgivningsmæssige tiltag med henblik på vedtagelse af den nye civile retsplejelov. Denne reform er blevet gennemført med udgangspunkt i Kommissionens tekniske bistand til Cypern. </w:t>
      </w:r>
    </w:p>
  </w:footnote>
  <w:footnote w:id="42">
    <w:p>
      <w:pPr>
        <w:pStyle w:val="FootnoteText"/>
        <w:rPr>
          <w:rFonts w:cs="Times New Roman"/>
        </w:rPr>
      </w:pPr>
      <w:r>
        <w:rPr>
          <w:rStyle w:val="FootnoteReference"/>
        </w:rPr>
        <w:footnoteRef/>
      </w:r>
      <w:r>
        <w:t xml:space="preserve"> </w:t>
      </w:r>
      <w:r>
        <w:tab/>
        <w:t>Transparency International, Corruption Perceptions Index 2020, s. 2-3. Opfattelsen af korruption er kategoriseret som følger: lav (opfattelsen af korruption blandt eksperter og virksomhedsledere i den offentlige sektor er over 79), relativt lav (79-60), relativt høj (59-50), høj (under 50).</w:t>
      </w:r>
    </w:p>
  </w:footnote>
  <w:footnote w:id="43">
    <w:p>
      <w:pPr>
        <w:pStyle w:val="FootnoteText"/>
      </w:pPr>
      <w:r>
        <w:rPr>
          <w:rStyle w:val="FootnoteReference"/>
        </w:rPr>
        <w:footnoteRef/>
      </w:r>
      <w:r>
        <w:t xml:space="preserve"> </w:t>
      </w:r>
      <w:r>
        <w:tab/>
        <w:t>I 2015 lå tallet på 61, mens det i 2020 er på 57. Tallet stiger/falder betydeligt, når det ændres med mere end 5 point, forbedres/forringes (ændres med 4-5 point), ligger relativt stabilt (ændres med 1-3 point) gennem de seneste fem år.</w:t>
      </w:r>
    </w:p>
  </w:footnote>
  <w:footnote w:id="44">
    <w:p>
      <w:pPr>
        <w:pStyle w:val="FootnoteText"/>
      </w:pPr>
      <w:r>
        <w:rPr>
          <w:rStyle w:val="FootnoteReference"/>
        </w:rPr>
        <w:footnoteRef/>
      </w:r>
      <w:r>
        <w:t xml:space="preserve"> </w:t>
      </w:r>
      <w:r>
        <w:tab/>
        <w:t>Oplysningerne fra Eurobarometerundersøgelsen om borgere og virksomheders opfattelse af og erfaringer med korruption som indberettet sidste år opdateres hvert andet år. Det seneste datasæt er fra Særlig Eurobarometerundersøgelse 502 (2020) og Flash-Eurobarometerundersøgelse 482 (2019).</w:t>
      </w:r>
    </w:p>
  </w:footnote>
  <w:footnote w:id="45">
    <w:p>
      <w:pPr>
        <w:pStyle w:val="FootnoteText"/>
        <w:rPr>
          <w:rFonts w:cs="Times New Roman"/>
        </w:rPr>
      </w:pPr>
      <w:r>
        <w:rPr>
          <w:rStyle w:val="FootnoteReference"/>
          <w:rFonts w:cs="Times New Roman"/>
        </w:rPr>
        <w:footnoteRef/>
      </w:r>
      <w:r>
        <w:t xml:space="preserve"> </w:t>
      </w:r>
      <w:r>
        <w:tab/>
        <w:t>Input fra Cypern til rapporten om retsstatssituationen 2021, s. 10.</w:t>
      </w:r>
    </w:p>
  </w:footnote>
  <w:footnote w:id="46">
    <w:p>
      <w:pPr>
        <w:pStyle w:val="FootnoteText"/>
        <w:rPr>
          <w:rFonts w:cs="Times New Roman"/>
        </w:rPr>
      </w:pPr>
      <w:r>
        <w:rPr>
          <w:rStyle w:val="FootnoteReference"/>
          <w:rFonts w:cs="Times New Roman"/>
        </w:rPr>
        <w:footnoteRef/>
      </w:r>
      <w:r>
        <w:t xml:space="preserve"> </w:t>
      </w:r>
      <w:r>
        <w:tab/>
        <w:t>Navnlig 1) forebyggelse, uddannelse og oplysning, 2) retlige foranstaltninger og 3) risikoovervågning og -vurdering.</w:t>
      </w:r>
    </w:p>
  </w:footnote>
  <w:footnote w:id="47">
    <w:p>
      <w:pPr>
        <w:pStyle w:val="FootnoteText"/>
        <w:rPr>
          <w:rFonts w:cs="Times New Roman"/>
        </w:rPr>
      </w:pPr>
      <w:r>
        <w:rPr>
          <w:rStyle w:val="FootnoteReference"/>
          <w:rFonts w:cs="Times New Roman"/>
        </w:rPr>
        <w:footnoteRef/>
      </w:r>
      <w:r>
        <w:t xml:space="preserve"> </w:t>
      </w:r>
      <w:r>
        <w:tab/>
        <w:t>Bl.a. aftalememoranda mellem staten og universiteter, etablering af en enhed til bekæmpelse af korruption under rigsadvokatens tilsyn, nedsættelse af et uafhængigt udvalg for forvaltning af menneskelige ressourcer og oprettelse af den uafhængige myndighed med ansvar for bekæmpelse af korruption. Oplysninger indhentet i forbindelse med landebesøget i Cypern.</w:t>
      </w:r>
    </w:p>
  </w:footnote>
  <w:footnote w:id="48">
    <w:p>
      <w:pPr>
        <w:pStyle w:val="FootnoteText"/>
        <w:rPr>
          <w:rFonts w:cs="Times New Roman"/>
        </w:rPr>
      </w:pPr>
      <w:r>
        <w:rPr>
          <w:rStyle w:val="FootnoteReference"/>
          <w:rFonts w:cs="Times New Roman"/>
        </w:rPr>
        <w:footnoteRef/>
      </w:r>
      <w:r>
        <w:t xml:space="preserve"> </w:t>
      </w:r>
      <w:r>
        <w:tab/>
        <w:t>Kommunikations- og informationswebstedet Exandas</w:t>
      </w:r>
      <w:r>
        <w:rPr>
          <w:rStyle w:val="Hyperlink"/>
          <w:color w:val="auto"/>
          <w:u w:val="none"/>
        </w:rPr>
        <w:t>.</w:t>
      </w:r>
    </w:p>
  </w:footnote>
  <w:footnote w:id="49">
    <w:p>
      <w:pPr>
        <w:pStyle w:val="FootnoteText"/>
        <w:rPr>
          <w:rFonts w:cs="Times New Roman"/>
        </w:rPr>
      </w:pPr>
      <w:r>
        <w:rPr>
          <w:rStyle w:val="FootnoteReference"/>
          <w:rFonts w:cs="Times New Roman"/>
        </w:rPr>
        <w:footnoteRef/>
      </w:r>
      <w:r>
        <w:t xml:space="preserve"> </w:t>
      </w:r>
      <w:r>
        <w:tab/>
        <w:t>Oplysninger udleveret af justitsministeriet i forbindelse med landebesøget i Cypern.</w:t>
      </w:r>
    </w:p>
  </w:footnote>
  <w:footnote w:id="50">
    <w:p>
      <w:pPr>
        <w:pStyle w:val="FootnoteText"/>
        <w:rPr>
          <w:rFonts w:cs="Times New Roman"/>
        </w:rPr>
      </w:pPr>
      <w:r>
        <w:rPr>
          <w:rStyle w:val="FootnoteReference"/>
          <w:rFonts w:cs="Times New Roman"/>
        </w:rPr>
        <w:footnoteRef/>
      </w:r>
      <w:r>
        <w:t xml:space="preserve"> </w:t>
      </w:r>
      <w:r>
        <w:tab/>
        <w:t xml:space="preserve">Lov om adgang til den offentlige sektors oplysninger af 2017 (184 (I) / 2017). </w:t>
      </w:r>
    </w:p>
  </w:footnote>
  <w:footnote w:id="51">
    <w:p>
      <w:pPr>
        <w:pStyle w:val="FootnoteText"/>
        <w:rPr>
          <w:rFonts w:cs="Times New Roman"/>
        </w:rPr>
      </w:pPr>
      <w:r>
        <w:rPr>
          <w:rStyle w:val="FootnoteReference"/>
          <w:rFonts w:cs="Times New Roman"/>
        </w:rPr>
        <w:footnoteRef/>
      </w:r>
      <w:r>
        <w:t xml:space="preserve"> </w:t>
      </w:r>
      <w:r>
        <w:tab/>
        <w:t>Input fra Cypern til rapporten om retsstatssituationen 2021, s. 11.</w:t>
      </w:r>
    </w:p>
  </w:footnote>
  <w:footnote w:id="52">
    <w:p>
      <w:pPr>
        <w:pStyle w:val="FootnoteText"/>
        <w:rPr>
          <w:rFonts w:cs="Times New Roman"/>
        </w:rPr>
      </w:pPr>
      <w:r>
        <w:rPr>
          <w:rStyle w:val="FootnoteReference"/>
          <w:rFonts w:cs="Times New Roman"/>
        </w:rPr>
        <w:footnoteRef/>
      </w:r>
      <w:r>
        <w:t xml:space="preserve"> </w:t>
      </w:r>
      <w:r>
        <w:tab/>
        <w:t>Straffelovens artikel </w:t>
      </w:r>
      <w:r>
        <w:rPr>
          <w:color w:val="000000"/>
        </w:rPr>
        <w:t>105.</w:t>
      </w:r>
    </w:p>
  </w:footnote>
  <w:footnote w:id="53">
    <w:p>
      <w:pPr>
        <w:pStyle w:val="FootnoteText"/>
        <w:rPr>
          <w:rFonts w:cs="Times New Roman"/>
        </w:rPr>
      </w:pPr>
      <w:r>
        <w:rPr>
          <w:rStyle w:val="FootnoteReference"/>
          <w:rFonts w:cs="Times New Roman"/>
        </w:rPr>
        <w:footnoteRef/>
      </w:r>
      <w:r>
        <w:t xml:space="preserve"> </w:t>
      </w:r>
      <w:r>
        <w:tab/>
        <w:t xml:space="preserve">Input fra Cypern til rapporten om retsstatssituationen 2021, s. 17. </w:t>
      </w:r>
    </w:p>
  </w:footnote>
  <w:footnote w:id="54">
    <w:p>
      <w:pPr>
        <w:pStyle w:val="FootnoteText"/>
        <w:rPr>
          <w:rFonts w:cs="Times New Roman"/>
        </w:rPr>
      </w:pPr>
      <w:r>
        <w:rPr>
          <w:rStyle w:val="FootnoteReference"/>
          <w:rFonts w:cs="Times New Roman"/>
        </w:rPr>
        <w:footnoteRef/>
      </w:r>
      <w:r>
        <w:t xml:space="preserve"> </w:t>
      </w:r>
      <w:r>
        <w:tab/>
        <w:t>Oplysninger udleveret af rigsadvokatens kontor i forbindelse med landebesøget i Cypern. Til sammenligning blev det i rapporten om retsstatssituationen 2020 i kapitlet om Cypern bemærket, at i alt 120 korruptionssager var blevet efterforsket eller var under efterforskning i perioden mellem 2013 og 2018, hvoraf 98 var afsluttet, og 22 stadig var under behandling. 47 sager ventede på at blive indbragt for domstolene eller verserede for domstolene. 37 personer blev dømt for korruption i 26 sager, hvoraf der i 12 sager var tale om korruption på højt niveau, som involverede vicerigsadvokaten, medlemmer af repræsentanternes hus og tidligere ministre.</w:t>
      </w:r>
    </w:p>
  </w:footnote>
  <w:footnote w:id="55">
    <w:p>
      <w:pPr>
        <w:pStyle w:val="FootnoteText"/>
        <w:rPr>
          <w:rFonts w:cs="Times New Roman"/>
        </w:rPr>
      </w:pPr>
      <w:r>
        <w:rPr>
          <w:rStyle w:val="FootnoteReference"/>
          <w:rFonts w:cs="Times New Roman"/>
        </w:rPr>
        <w:footnoteRef/>
      </w:r>
      <w:r>
        <w:t xml:space="preserve"> </w:t>
      </w:r>
      <w:r>
        <w:tab/>
        <w:t>Lov 180(I) af 2017.</w:t>
      </w:r>
    </w:p>
  </w:footnote>
  <w:footnote w:id="56">
    <w:p>
      <w:pPr>
        <w:pStyle w:val="FootnoteText"/>
        <w:rPr>
          <w:rFonts w:cs="Times New Roman"/>
        </w:rPr>
      </w:pPr>
      <w:r>
        <w:rPr>
          <w:rStyle w:val="FootnoteReference"/>
          <w:rFonts w:cs="Times New Roman"/>
        </w:rPr>
        <w:footnoteRef/>
      </w:r>
      <w:r>
        <w:t xml:space="preserve"> </w:t>
      </w:r>
      <w:r>
        <w:tab/>
        <w:t>Oplysninger udleveret af rigsadvokatens kontor i forbindelse med landebesøget i Cypern.</w:t>
      </w:r>
    </w:p>
  </w:footnote>
  <w:footnote w:id="57">
    <w:p>
      <w:pPr>
        <w:pStyle w:val="FootnoteText"/>
        <w:rPr>
          <w:rFonts w:cs="Times New Roman"/>
        </w:rPr>
      </w:pPr>
      <w:r>
        <w:rPr>
          <w:rStyle w:val="FootnoteReference"/>
          <w:rFonts w:cs="Times New Roman"/>
        </w:rPr>
        <w:footnoteRef/>
      </w:r>
      <w:r>
        <w:t xml:space="preserve"> </w:t>
      </w:r>
      <w:r>
        <w:tab/>
        <w:t>Ibid.</w:t>
      </w:r>
    </w:p>
  </w:footnote>
  <w:footnote w:id="58">
    <w:p>
      <w:pPr>
        <w:pStyle w:val="FootnoteText"/>
      </w:pPr>
      <w:r>
        <w:rPr>
          <w:rStyle w:val="FootnoteReference"/>
        </w:rPr>
        <w:footnoteRef/>
      </w:r>
      <w:r>
        <w:t xml:space="preserve"> </w:t>
      </w:r>
      <w:r>
        <w:tab/>
        <w:t>Se Sigma Live, 7.6.2021, Rapport om statsborgerskab.</w:t>
      </w:r>
    </w:p>
  </w:footnote>
  <w:footnote w:id="59">
    <w:p>
      <w:pPr>
        <w:pStyle w:val="FootnoteText"/>
        <w:rPr>
          <w:rFonts w:cs="Times New Roman"/>
          <w:color w:val="0563C1" w:themeColor="hyperlink"/>
          <w:u w:val="single"/>
        </w:rPr>
      </w:pPr>
      <w:r>
        <w:rPr>
          <w:rStyle w:val="FootnoteReference"/>
          <w:rFonts w:cs="Times New Roman"/>
        </w:rPr>
        <w:footnoteRef/>
      </w:r>
      <w:r>
        <w:t xml:space="preserve"> </w:t>
      </w:r>
      <w:r>
        <w:tab/>
        <w:t>Oplysninger indhentet i forbindelse med landebesøget i Cypern og Kathimerini, "Interim report on golden passports delivered", 10.6.2021</w:t>
      </w:r>
      <w:r>
        <w:rPr>
          <w:rStyle w:val="Hyperlink"/>
          <w:color w:val="auto"/>
          <w:u w:val="none"/>
        </w:rPr>
        <w:t xml:space="preserve">. Se også undersøgelsesudvalgets foreløbige rapport om proceduren for meddelelse af statsborgerskab til udenlandske investorer og forretningsfolk, 16.4.2021. </w:t>
      </w:r>
    </w:p>
  </w:footnote>
  <w:footnote w:id="60">
    <w:p>
      <w:pPr>
        <w:pStyle w:val="FootnoteText"/>
      </w:pPr>
      <w:r>
        <w:rPr>
          <w:rStyle w:val="FootnoteReference"/>
        </w:rPr>
        <w:footnoteRef/>
      </w:r>
      <w:r>
        <w:rPr>
          <w:lang w:val="en-US"/>
        </w:rPr>
        <w:t xml:space="preserve"> </w:t>
      </w:r>
      <w:r>
        <w:rPr>
          <w:lang w:val="en-US"/>
        </w:rPr>
        <w:tab/>
        <w:t xml:space="preserve">Europa-Kommissionen, Investor citizenship schemes: European Commission opens infringements against Cyprus and Malta for "selling" EU citizenship, 20.10.2020, </w:t>
      </w:r>
      <w:r>
        <w:rPr>
          <w:bCs/>
          <w:bdr w:val="none" w:sz="0" w:space="0" w:color="auto" w:frame="1"/>
          <w:lang w:val="en-US"/>
        </w:rPr>
        <w:t xml:space="preserve">INFR(2020)2300. </w:t>
      </w:r>
      <w:r>
        <w:t xml:space="preserve">Europa-Kommissionen, </w:t>
      </w:r>
      <w:r>
        <w:rPr>
          <w:i/>
        </w:rPr>
        <w:t xml:space="preserve">De vigtigste afgørelser på traktatbrudsområdet — juni </w:t>
      </w:r>
      <w:r>
        <w:t>9.6.2021</w:t>
      </w:r>
      <w:r>
        <w:rPr>
          <w:bCs/>
          <w:bdr w:val="none" w:sz="0" w:space="0" w:color="auto" w:frame="1"/>
        </w:rPr>
        <w:t>. Traktatbruddet vedrører Cyperns misligholdelse af sine forpligtelser i henhold til princippet om loyalt samarbejde og EU-statsborgerskab, idet Cypern tilbyder statsborgerskab til gengæld for forud fastsatte betalinger og investeringer.</w:t>
      </w:r>
    </w:p>
  </w:footnote>
  <w:footnote w:id="61">
    <w:p>
      <w:pPr>
        <w:pStyle w:val="FootnoteText"/>
        <w:rPr>
          <w:rFonts w:cs="Times New Roman"/>
        </w:rPr>
      </w:pPr>
      <w:r>
        <w:rPr>
          <w:rStyle w:val="FootnoteReference"/>
          <w:rFonts w:cs="Times New Roman"/>
        </w:rPr>
        <w:footnoteRef/>
      </w:r>
      <w:r>
        <w:t xml:space="preserve"> </w:t>
      </w:r>
      <w:r>
        <w:tab/>
        <w:t>Oplysninger udleveret af politiets kontor for efterforskning af økonomisk kriminalitet i forbindelse med landebesøget i Cypern.</w:t>
      </w:r>
    </w:p>
  </w:footnote>
  <w:footnote w:id="62">
    <w:p>
      <w:pPr>
        <w:pStyle w:val="FootnoteText"/>
        <w:rPr>
          <w:rFonts w:cs="Times New Roman"/>
        </w:rPr>
      </w:pPr>
      <w:r>
        <w:rPr>
          <w:rStyle w:val="FootnoteReference"/>
          <w:rFonts w:cs="Times New Roman"/>
        </w:rPr>
        <w:footnoteRef/>
      </w:r>
      <w:r>
        <w:t xml:space="preserve"> </w:t>
      </w:r>
      <w:r>
        <w:tab/>
        <w:t>Ibid.</w:t>
      </w:r>
    </w:p>
  </w:footnote>
  <w:footnote w:id="63">
    <w:p>
      <w:pPr>
        <w:pStyle w:val="FootnoteText"/>
        <w:rPr>
          <w:rFonts w:cs="Times New Roman"/>
        </w:rPr>
      </w:pPr>
      <w:r>
        <w:rPr>
          <w:rStyle w:val="FootnoteReference"/>
          <w:rFonts w:cs="Times New Roman"/>
        </w:rPr>
        <w:footnoteRef/>
      </w:r>
      <w:r>
        <w:t xml:space="preserve"> </w:t>
      </w:r>
      <w:r>
        <w:tab/>
        <w:t>Input fra Cypern til rapporten om retsstatssituationen 2021, s. 25.</w:t>
      </w:r>
    </w:p>
  </w:footnote>
  <w:footnote w:id="64">
    <w:p>
      <w:pPr>
        <w:pStyle w:val="FootnoteText"/>
        <w:rPr>
          <w:rFonts w:cs="Times New Roman"/>
        </w:rPr>
      </w:pPr>
      <w:r>
        <w:rPr>
          <w:rStyle w:val="FootnoteReference"/>
          <w:rFonts w:cs="Times New Roman"/>
        </w:rPr>
        <w:footnoteRef/>
      </w:r>
      <w:r>
        <w:t xml:space="preserve"> </w:t>
      </w:r>
      <w:r>
        <w:tab/>
        <w:t>Input fra Cypern til rapporten om retsstatssituationen 2021, s. 16.</w:t>
      </w:r>
    </w:p>
  </w:footnote>
  <w:footnote w:id="65">
    <w:p>
      <w:pPr>
        <w:pStyle w:val="FootnoteText"/>
        <w:rPr>
          <w:rFonts w:cs="Times New Roman"/>
        </w:rPr>
      </w:pPr>
      <w:r>
        <w:rPr>
          <w:rStyle w:val="FootnoteReference"/>
          <w:rFonts w:cs="Times New Roman"/>
        </w:rPr>
        <w:footnoteRef/>
      </w:r>
      <w:r>
        <w:t xml:space="preserve"> </w:t>
      </w:r>
      <w:r>
        <w:tab/>
        <w:t>Input fra Cypern til rapporten om retsstatssituationen 2021.</w:t>
      </w:r>
    </w:p>
  </w:footnote>
  <w:footnote w:id="66">
    <w:p>
      <w:pPr>
        <w:pStyle w:val="FootnoteText"/>
        <w:rPr>
          <w:rFonts w:cs="Times New Roman"/>
        </w:rPr>
      </w:pPr>
      <w:r>
        <w:rPr>
          <w:rStyle w:val="FootnoteReference"/>
          <w:rFonts w:cs="Times New Roman"/>
        </w:rPr>
        <w:footnoteRef/>
      </w:r>
      <w:r>
        <w:t xml:space="preserve"> </w:t>
      </w:r>
      <w:r>
        <w:tab/>
        <w:t xml:space="preserve">Cyperns politi, etisk politikodeks. </w:t>
      </w:r>
    </w:p>
  </w:footnote>
  <w:footnote w:id="67">
    <w:p>
      <w:pPr>
        <w:pStyle w:val="FootnoteText"/>
        <w:rPr>
          <w:rFonts w:cs="Times New Roman"/>
        </w:rPr>
      </w:pPr>
      <w:r>
        <w:rPr>
          <w:rStyle w:val="FootnoteReference"/>
          <w:rFonts w:cs="Times New Roman"/>
        </w:rPr>
        <w:footnoteRef/>
      </w:r>
      <w:r>
        <w:t xml:space="preserve"> </w:t>
      </w:r>
      <w:r>
        <w:tab/>
        <w:t>Oplysninger indhentet i forbindelse med landebesøget i Cypern.</w:t>
      </w:r>
    </w:p>
  </w:footnote>
  <w:footnote w:id="68">
    <w:p>
      <w:pPr>
        <w:autoSpaceDE w:val="0"/>
        <w:autoSpaceDN w:val="0"/>
        <w:spacing w:after="0"/>
        <w:ind w:left="284" w:hanging="284"/>
        <w:rPr>
          <w:rFonts w:eastAsia="Times New Roman" w:cs="Times New Roman"/>
          <w:sz w:val="20"/>
          <w:szCs w:val="20"/>
        </w:rPr>
      </w:pPr>
      <w:r>
        <w:rPr>
          <w:rStyle w:val="FootnoteReference"/>
          <w:rFonts w:cs="Times New Roman"/>
          <w:sz w:val="20"/>
          <w:szCs w:val="20"/>
        </w:rPr>
        <w:footnoteRef/>
      </w:r>
      <w:r>
        <w:rPr>
          <w:sz w:val="20"/>
          <w:szCs w:val="20"/>
        </w:rPr>
        <w:t xml:space="preserve"> </w:t>
      </w:r>
      <w:r>
        <w:tab/>
      </w:r>
      <w:r>
        <w:rPr>
          <w:sz w:val="20"/>
          <w:szCs w:val="20"/>
        </w:rPr>
        <w:t>Input fra Cypern til rapporten om retsstatssituationen 2021. Det er værd at bemærke, at det af rapporten om retsstatssituationen 2020, landekapitlet om Cypern, s. 8, fremgik, at der findes adfærdskodekser for medlemmerne af regeringen samt offentlige embedsmænd og anklagere, men der findes ingen tilsvarende bestemmelser for medlemmerne af repræsentanternes hus. Adfærdskodeksen skal vejlede om, hvordan interessekonflikter vedrørende parlamentsmedlemmer kan forebygges og håndteres.</w:t>
      </w:r>
    </w:p>
  </w:footnote>
  <w:footnote w:id="69">
    <w:p>
      <w:pPr>
        <w:pStyle w:val="FootnoteText"/>
        <w:rPr>
          <w:rFonts w:cs="Times New Roman"/>
        </w:rPr>
      </w:pPr>
      <w:r>
        <w:rPr>
          <w:rStyle w:val="FootnoteReference"/>
          <w:rFonts w:cs="Times New Roman"/>
        </w:rPr>
        <w:footnoteRef/>
      </w:r>
      <w:r>
        <w:t xml:space="preserve"> </w:t>
      </w:r>
      <w:r>
        <w:tab/>
      </w:r>
      <w:r>
        <w:rPr>
          <w:shd w:val="clear" w:color="auto" w:fill="FFFFFF"/>
        </w:rPr>
        <w:t xml:space="preserve">Lov nr. 1 af 1990 om offentlig tjeneste og lov nr. 100(I) af 2015 om ændring af loven om offentlig tjeneste. </w:t>
      </w:r>
    </w:p>
  </w:footnote>
  <w:footnote w:id="70">
    <w:p>
      <w:pPr>
        <w:pStyle w:val="FootnoteText"/>
        <w:rPr>
          <w:rFonts w:cs="Times New Roman"/>
        </w:rPr>
      </w:pPr>
      <w:r>
        <w:rPr>
          <w:rStyle w:val="FootnoteReference"/>
          <w:rFonts w:cs="Times New Roman"/>
        </w:rPr>
        <w:footnoteRef/>
      </w:r>
      <w:r>
        <w:t xml:space="preserve"> </w:t>
      </w:r>
      <w:r>
        <w:tab/>
        <w:t>Input fra Cypern til rapporten om retsstatssituationen 2021, s. 12.</w:t>
      </w:r>
    </w:p>
  </w:footnote>
  <w:footnote w:id="71">
    <w:p>
      <w:pPr>
        <w:pStyle w:val="FootnoteText"/>
        <w:rPr>
          <w:rFonts w:cs="Times New Roman"/>
        </w:rPr>
      </w:pPr>
      <w:r>
        <w:rPr>
          <w:rStyle w:val="FootnoteReference"/>
          <w:rFonts w:cs="Times New Roman"/>
        </w:rPr>
        <w:footnoteRef/>
      </w:r>
      <w:r>
        <w:t xml:space="preserve"> </w:t>
      </w:r>
      <w:r>
        <w:tab/>
        <w:t>Rapport om retsstatssituationen 2020, landekapitlet om Cypern, s. 8.</w:t>
      </w:r>
    </w:p>
  </w:footnote>
  <w:footnote w:id="72">
    <w:p>
      <w:pPr>
        <w:pStyle w:val="FootnoteText"/>
        <w:rPr>
          <w:rFonts w:cs="Times New Roman"/>
        </w:rPr>
      </w:pPr>
      <w:r>
        <w:rPr>
          <w:rStyle w:val="FootnoteReference"/>
          <w:rFonts w:cs="Times New Roman"/>
        </w:rPr>
        <w:footnoteRef/>
      </w:r>
      <w:r>
        <w:t xml:space="preserve"> </w:t>
      </w:r>
      <w:r>
        <w:tab/>
        <w:t>Input fra Cypern til rapporten om retsstatssituationen 2021, s. 12.</w:t>
      </w:r>
    </w:p>
  </w:footnote>
  <w:footnote w:id="73">
    <w:p>
      <w:pPr>
        <w:pStyle w:val="FootnoteText"/>
        <w:rPr>
          <w:rFonts w:cs="Times New Roman"/>
        </w:rPr>
      </w:pPr>
      <w:r>
        <w:rPr>
          <w:rStyle w:val="FootnoteReference"/>
          <w:rFonts w:cs="Times New Roman"/>
        </w:rPr>
        <w:footnoteRef/>
      </w:r>
      <w:r>
        <w:t xml:space="preserve"> </w:t>
      </w:r>
      <w:r>
        <w:tab/>
        <w:t>I henhold til lovforslaget kan personer, der er direkte involveret i korruption, men som frivilligt går til politiet og/eller tilbyder at samarbejde med myndighederne og sikrer fuld efterforskning og retsforfølgelse af sagen, få nedsat straffen for den pågældende lovovertrædelse (op til halvdelen af den maksimale straf).</w:t>
      </w:r>
    </w:p>
  </w:footnote>
  <w:footnote w:id="74">
    <w:p>
      <w:pPr>
        <w:pStyle w:val="FootnoteText"/>
        <w:rPr>
          <w:rFonts w:cs="Times New Roman"/>
        </w:rPr>
      </w:pPr>
      <w:r>
        <w:rPr>
          <w:rStyle w:val="FootnoteReference"/>
          <w:rFonts w:cs="Times New Roman"/>
        </w:rPr>
        <w:footnoteRef/>
      </w:r>
      <w:r>
        <w:t xml:space="preserve"> </w:t>
      </w:r>
      <w:r>
        <w:tab/>
        <w:t>Input fra Cypern til rapporten om retsstatssituationen 2021, s. 13-14.</w:t>
      </w:r>
    </w:p>
  </w:footnote>
  <w:footnote w:id="75">
    <w:p>
      <w:pPr>
        <w:pStyle w:val="FootnoteText"/>
        <w:rPr>
          <w:rFonts w:cs="Times New Roman"/>
        </w:rPr>
      </w:pPr>
      <w:r>
        <w:rPr>
          <w:rStyle w:val="FootnoteReference"/>
          <w:rFonts w:cs="Times New Roman"/>
        </w:rPr>
        <w:footnoteRef/>
      </w:r>
      <w:r>
        <w:t xml:space="preserve"> </w:t>
      </w:r>
      <w:r>
        <w:tab/>
        <w:t xml:space="preserve">Lov 184 (I)/2017 om adgang til den offentlige sektors oplysninger. </w:t>
      </w:r>
    </w:p>
  </w:footnote>
  <w:footnote w:id="76">
    <w:p>
      <w:pPr>
        <w:pStyle w:val="FootnoteText"/>
        <w:rPr>
          <w:rFonts w:cs="Times New Roman"/>
        </w:rPr>
      </w:pPr>
      <w:r>
        <w:rPr>
          <w:rStyle w:val="FootnoteReference"/>
          <w:rFonts w:cs="Times New Roman"/>
        </w:rPr>
        <w:footnoteRef/>
      </w:r>
      <w:r>
        <w:t xml:space="preserve"> </w:t>
      </w:r>
      <w:r>
        <w:tab/>
        <w:t>Cypern er siden 2020 gået endnu et trin op i Journalister uden Grænsers internationale pressefrihedsindeks og ligger nu som nr. 26 på verdensplan og nr. 13 i EU. Journalister uden Grænser — Cypern</w:t>
      </w:r>
      <w:r>
        <w:rPr>
          <w:rStyle w:val="Hyperlink"/>
        </w:rPr>
        <w:t>.</w:t>
      </w:r>
      <w:r>
        <w:t xml:space="preserve"> Cypern er siden 2020 gået endnu et trin op i Journalister uden Grænsers internationale pressefrihedsindeks og ligger nu som nr. 26 på verdensplan og nr. 13 i EU.</w:t>
      </w:r>
    </w:p>
  </w:footnote>
  <w:footnote w:id="77">
    <w:p>
      <w:pPr>
        <w:pStyle w:val="FootnoteText"/>
        <w:rPr>
          <w:rFonts w:cs="Times New Roman"/>
        </w:rPr>
      </w:pPr>
      <w:r>
        <w:rPr>
          <w:rStyle w:val="FootnoteReference"/>
          <w:rFonts w:cs="Times New Roman"/>
        </w:rPr>
        <w:footnoteRef/>
      </w:r>
      <w:r>
        <w:t xml:space="preserve"> </w:t>
      </w:r>
      <w:r>
        <w:tab/>
        <w:t>Den 4.3.2021.</w:t>
      </w:r>
    </w:p>
  </w:footnote>
  <w:footnote w:id="78">
    <w:p>
      <w:pPr>
        <w:pStyle w:val="FootnoteText"/>
        <w:rPr>
          <w:rFonts w:cs="Times New Roman"/>
        </w:rPr>
      </w:pPr>
      <w:r>
        <w:rPr>
          <w:rStyle w:val="FootnoteReference"/>
          <w:rFonts w:cs="Times New Roman"/>
        </w:rPr>
        <w:footnoteRef/>
      </w:r>
      <w:r>
        <w:t xml:space="preserve"> </w:t>
      </w:r>
      <w:r>
        <w:tab/>
        <w:t>Input fra Cypern til rapporten om retsstatssituationen 2021, s. 20.</w:t>
      </w:r>
    </w:p>
  </w:footnote>
  <w:footnote w:id="79">
    <w:p>
      <w:pPr>
        <w:pStyle w:val="FootnoteText"/>
        <w:rPr>
          <w:rFonts w:cs="Times New Roman"/>
        </w:rPr>
      </w:pPr>
      <w:r>
        <w:rPr>
          <w:rStyle w:val="FootnoteReference"/>
          <w:rFonts w:cs="Times New Roman"/>
        </w:rPr>
        <w:footnoteRef/>
      </w:r>
      <w:r>
        <w:t xml:space="preserve"> </w:t>
      </w:r>
      <w:r>
        <w:tab/>
        <w:t>Input fra Cypern til rapporten om retsstatssituationen 2021, s. 19.</w:t>
      </w:r>
    </w:p>
  </w:footnote>
  <w:footnote w:id="80">
    <w:p>
      <w:pPr>
        <w:pStyle w:val="FootnoteText"/>
        <w:rPr>
          <w:rFonts w:cs="Times New Roman"/>
        </w:rPr>
      </w:pPr>
      <w:r>
        <w:rPr>
          <w:rStyle w:val="FootnoteReference"/>
          <w:rFonts w:cs="Times New Roman"/>
        </w:rPr>
        <w:footnoteRef/>
      </w:r>
      <w:r>
        <w:t xml:space="preserve"> </w:t>
      </w:r>
      <w:r>
        <w:tab/>
        <w:t>2021-lovforslag om beskyttelse af pressefrihed og mediernes drift i Republikken Cypern.</w:t>
      </w:r>
    </w:p>
  </w:footnote>
  <w:footnote w:id="81">
    <w:p>
      <w:pPr>
        <w:pStyle w:val="FootnoteText"/>
        <w:rPr>
          <w:rFonts w:cs="Times New Roman"/>
        </w:rPr>
      </w:pPr>
      <w:r>
        <w:rPr>
          <w:rStyle w:val="FootnoteReference"/>
          <w:rFonts w:cs="Times New Roman"/>
        </w:rPr>
        <w:footnoteRef/>
      </w:r>
      <w:r>
        <w:t xml:space="preserve"> </w:t>
      </w:r>
      <w:r>
        <w:tab/>
        <w:t>Medieklagenævnet blev oprettet i 1997 af sammenslutningen af udgivere af aviser og tidsskrifter, ejerne af private elektroniske medier og Cyperns journalistforbund.</w:t>
      </w:r>
    </w:p>
  </w:footnote>
  <w:footnote w:id="82">
    <w:p>
      <w:pPr>
        <w:pStyle w:val="FootnoteText"/>
        <w:rPr>
          <w:rFonts w:cs="Times New Roman"/>
        </w:rPr>
      </w:pPr>
      <w:r>
        <w:rPr>
          <w:rStyle w:val="FootnoteReference"/>
          <w:rFonts w:cs="Times New Roman"/>
        </w:rPr>
        <w:footnoteRef/>
      </w:r>
      <w:r>
        <w:t xml:space="preserve"> </w:t>
      </w:r>
      <w:r>
        <w:tab/>
        <w:t>Observatoriet for mediepluralisme 2021, s. 10.</w:t>
      </w:r>
    </w:p>
  </w:footnote>
  <w:footnote w:id="83">
    <w:p>
      <w:pPr>
        <w:pStyle w:val="FootnoteText"/>
        <w:rPr>
          <w:rFonts w:cs="Times New Roman"/>
        </w:rPr>
      </w:pPr>
      <w:r>
        <w:rPr>
          <w:rStyle w:val="FootnoteReference"/>
          <w:rFonts w:cs="Times New Roman"/>
        </w:rPr>
        <w:footnoteRef/>
      </w:r>
      <w:r>
        <w:t xml:space="preserve"> </w:t>
      </w:r>
      <w:r>
        <w:tab/>
        <w:t>2021-lovforslag om beskyttelse af pressefrihed og mediernes drift i Republikken Cypern.</w:t>
      </w:r>
    </w:p>
  </w:footnote>
  <w:footnote w:id="84">
    <w:p>
      <w:pPr>
        <w:pStyle w:val="FootnoteText"/>
        <w:rPr>
          <w:rFonts w:cs="Times New Roman"/>
        </w:rPr>
      </w:pPr>
      <w:r>
        <w:rPr>
          <w:rStyle w:val="FootnoteReference"/>
          <w:rFonts w:cs="Times New Roman"/>
        </w:rPr>
        <w:footnoteRef/>
      </w:r>
      <w:r>
        <w:t xml:space="preserve"> </w:t>
      </w:r>
      <w:r>
        <w:tab/>
        <w:t>Input fra Cypern til rapporten om retsstatssituationen 2021, s. 19-20.</w:t>
      </w:r>
    </w:p>
  </w:footnote>
  <w:footnote w:id="85">
    <w:p>
      <w:pPr>
        <w:pStyle w:val="FootnoteText"/>
      </w:pPr>
      <w:r>
        <w:rPr>
          <w:rStyle w:val="FootnoteReference"/>
        </w:rPr>
        <w:footnoteRef/>
      </w:r>
      <w:r>
        <w:t xml:space="preserve"> </w:t>
      </w:r>
      <w:r>
        <w:tab/>
        <w:t>Observatoriet for mediepluralisme 2021, s. 14.</w:t>
      </w:r>
    </w:p>
  </w:footnote>
  <w:footnote w:id="86">
    <w:p>
      <w:pPr>
        <w:pStyle w:val="FootnoteText"/>
        <w:rPr>
          <w:rFonts w:cs="Times New Roman"/>
        </w:rPr>
      </w:pPr>
      <w:r>
        <w:rPr>
          <w:rStyle w:val="FootnoteReference"/>
          <w:rFonts w:cs="Times New Roman"/>
        </w:rPr>
        <w:footnoteRef/>
      </w:r>
      <w:r>
        <w:t xml:space="preserve"> </w:t>
      </w:r>
      <w:r>
        <w:tab/>
        <w:t>Ibid.</w:t>
      </w:r>
    </w:p>
  </w:footnote>
  <w:footnote w:id="87">
    <w:p>
      <w:pPr>
        <w:pStyle w:val="FootnoteText"/>
        <w:rPr>
          <w:rFonts w:cs="Times New Roman"/>
        </w:rPr>
      </w:pPr>
      <w:r>
        <w:rPr>
          <w:rStyle w:val="FootnoteReference"/>
          <w:rFonts w:cs="Times New Roman"/>
        </w:rPr>
        <w:footnoteRef/>
      </w:r>
      <w:r>
        <w:t xml:space="preserve"> </w:t>
      </w:r>
      <w:r>
        <w:tab/>
        <w:t>Input fra Cypern til rapporten om retsstatssituationen 2021, s. 20-21, og oplysninger indhentet i forbindelse med landebesøget i Cypern.</w:t>
      </w:r>
    </w:p>
  </w:footnote>
  <w:footnote w:id="88">
    <w:p>
      <w:pPr>
        <w:pStyle w:val="FootnoteText"/>
        <w:rPr>
          <w:rFonts w:cs="Times New Roman"/>
        </w:rPr>
      </w:pPr>
      <w:r>
        <w:rPr>
          <w:rStyle w:val="FootnoteReference"/>
          <w:rFonts w:cs="Times New Roman"/>
        </w:rPr>
        <w:footnoteRef/>
      </w:r>
      <w:r>
        <w:t xml:space="preserve"> </w:t>
      </w:r>
      <w:r>
        <w:tab/>
        <w:t>Input fra Cypern til rapporten om retsstatssituationen 2021, s. 20-21, og oplysninger udleveret af presse- og informationskontoret i forbindelse med landebesøget i Cypern.</w:t>
      </w:r>
    </w:p>
  </w:footnote>
  <w:footnote w:id="89">
    <w:p>
      <w:pPr>
        <w:pStyle w:val="FootnoteText"/>
        <w:rPr>
          <w:rFonts w:cs="Times New Roman"/>
          <w:lang w:val="en-US"/>
        </w:rPr>
      </w:pPr>
      <w:r>
        <w:rPr>
          <w:rStyle w:val="FootnoteReference"/>
          <w:rFonts w:cs="Times New Roman"/>
        </w:rPr>
        <w:footnoteRef/>
      </w:r>
      <w:r>
        <w:rPr>
          <w:lang w:val="en-US"/>
        </w:rPr>
        <w:t xml:space="preserve"> </w:t>
      </w:r>
      <w:r>
        <w:rPr>
          <w:lang w:val="en-US"/>
        </w:rPr>
        <w:tab/>
        <w:t>Organized Crime and Corruption Reporting Project, "</w:t>
      </w:r>
      <w:r>
        <w:rPr>
          <w:i/>
          <w:lang w:val="en-US"/>
        </w:rPr>
        <w:t>Cypriot Journalist Says He is Being Spied on and Fears for His Life</w:t>
      </w:r>
      <w:r>
        <w:rPr>
          <w:lang w:val="en-US"/>
        </w:rPr>
        <w:t>".</w:t>
      </w:r>
    </w:p>
  </w:footnote>
  <w:footnote w:id="90">
    <w:p>
      <w:pPr>
        <w:pStyle w:val="FootnoteText"/>
        <w:rPr>
          <w:rFonts w:cs="Times New Roman"/>
        </w:rPr>
      </w:pPr>
      <w:r>
        <w:rPr>
          <w:rStyle w:val="FootnoteReference"/>
          <w:rFonts w:cs="Times New Roman"/>
        </w:rPr>
        <w:footnoteRef/>
      </w:r>
      <w:r>
        <w:t xml:space="preserve"> </w:t>
      </w:r>
      <w:r>
        <w:tab/>
        <w:t>Journalister uden Grænser — Cypern</w:t>
      </w:r>
      <w:r>
        <w:rPr>
          <w:rStyle w:val="Hyperlink"/>
          <w:color w:val="auto"/>
          <w:u w:val="none"/>
        </w:rPr>
        <w:t>.</w:t>
      </w:r>
      <w:r>
        <w:t xml:space="preserve"> </w:t>
      </w:r>
    </w:p>
  </w:footnote>
  <w:footnote w:id="91">
    <w:p>
      <w:pPr>
        <w:pStyle w:val="FootnoteText"/>
        <w:rPr>
          <w:rFonts w:cs="Times New Roman"/>
        </w:rPr>
      </w:pPr>
      <w:r>
        <w:rPr>
          <w:rStyle w:val="FootnoteReference"/>
          <w:rFonts w:cs="Times New Roman"/>
        </w:rPr>
        <w:footnoteRef/>
      </w:r>
      <w:r>
        <w:t xml:space="preserve"> </w:t>
      </w:r>
      <w:r>
        <w:tab/>
        <w:t>Der er planer om at oprette en forfatningsdomstol, som skal overtage kontrollen med loves forfatningsmæssighed fra den øverste domstol (se afsnit I). Input fra Cypern til rapporten om retsstatssituationen 2021.</w:t>
      </w:r>
    </w:p>
  </w:footnote>
  <w:footnote w:id="92">
    <w:p>
      <w:pPr>
        <w:pStyle w:val="FootnoteText"/>
        <w:rPr>
          <w:rFonts w:cs="Times New Roman"/>
        </w:rPr>
      </w:pPr>
      <w:r>
        <w:rPr>
          <w:rStyle w:val="FootnoteReference"/>
          <w:rFonts w:cs="Times New Roman"/>
        </w:rPr>
        <w:footnoteRef/>
      </w:r>
      <w:r>
        <w:t xml:space="preserve"> </w:t>
      </w:r>
      <w:r>
        <w:tab/>
        <w:t>Bidrag fra Agenturet for Grundlæggende Rettigheder til rapporten om retsstatssituationen 2021 — Cypern, s. 5.</w:t>
      </w:r>
    </w:p>
  </w:footnote>
  <w:footnote w:id="93">
    <w:p>
      <w:pPr>
        <w:pStyle w:val="FootnoteText"/>
        <w:rPr>
          <w:rFonts w:cs="Times New Roman"/>
        </w:rPr>
      </w:pPr>
      <w:r>
        <w:rPr>
          <w:rStyle w:val="FootnoteReference"/>
          <w:rFonts w:cs="Times New Roman"/>
        </w:rPr>
        <w:footnoteRef/>
      </w:r>
      <w:r>
        <w:t xml:space="preserve"> </w:t>
      </w:r>
      <w:r>
        <w:tab/>
        <w:t xml:space="preserve">Rapport om retsstatssituationen 2020, landekapitlet om Cypern, s. 10. OECD (2019), </w:t>
      </w:r>
      <w:r>
        <w:rPr>
          <w:i/>
        </w:rPr>
        <w:t>Indicators of Regulatory Policy and Governance — Cyprus</w:t>
      </w:r>
      <w:r>
        <w:t>.</w:t>
      </w:r>
    </w:p>
  </w:footnote>
  <w:footnote w:id="94">
    <w:p>
      <w:pPr>
        <w:pStyle w:val="FootnoteText"/>
        <w:rPr>
          <w:rFonts w:cs="Times New Roman"/>
        </w:rPr>
      </w:pPr>
      <w:r>
        <w:rPr>
          <w:rStyle w:val="FootnoteReference"/>
          <w:rFonts w:cs="Times New Roman"/>
        </w:rPr>
        <w:footnoteRef/>
      </w:r>
      <w:r>
        <w:t xml:space="preserve"> </w:t>
      </w:r>
      <w:r>
        <w:tab/>
        <w:t>F.eks. advokatsamfundet, civilsamfundsorganisationer. Oplysninger indhentet i forbindelse med landebesøget i Cypern.</w:t>
      </w:r>
    </w:p>
  </w:footnote>
  <w:footnote w:id="95">
    <w:p>
      <w:pPr>
        <w:pStyle w:val="FootnoteText"/>
        <w:rPr>
          <w:rFonts w:cs="Times New Roman"/>
        </w:rPr>
      </w:pPr>
      <w:r>
        <w:rPr>
          <w:rStyle w:val="FootnoteReference"/>
          <w:rFonts w:cs="Times New Roman"/>
        </w:rPr>
        <w:footnoteRef/>
      </w:r>
      <w:r>
        <w:t xml:space="preserve"> </w:t>
      </w:r>
      <w:r>
        <w:tab/>
        <w:t xml:space="preserve">Oplysninger indhentet i forbindelse med landebesøget i Cypern. </w:t>
      </w:r>
    </w:p>
  </w:footnote>
  <w:footnote w:id="96">
    <w:p>
      <w:pPr>
        <w:pStyle w:val="FootnoteText"/>
        <w:rPr>
          <w:rFonts w:cs="Times New Roman"/>
        </w:rPr>
      </w:pPr>
      <w:r>
        <w:rPr>
          <w:rStyle w:val="FootnoteReference"/>
          <w:rFonts w:cs="Times New Roman"/>
        </w:rPr>
        <w:footnoteRef/>
      </w:r>
      <w:r>
        <w:t xml:space="preserve"> </w:t>
      </w:r>
      <w:r>
        <w:tab/>
        <w:t>Oplysninger udleveret af rigsadvokatens kontor i forbindelse med landebesøget i Cypern.</w:t>
      </w:r>
    </w:p>
  </w:footnote>
  <w:footnote w:id="97">
    <w:p>
      <w:pPr>
        <w:pStyle w:val="FootnoteText"/>
        <w:rPr>
          <w:rFonts w:cs="Times New Roman"/>
        </w:rPr>
      </w:pPr>
      <w:r>
        <w:rPr>
          <w:rStyle w:val="FootnoteReference"/>
          <w:rFonts w:cs="Times New Roman"/>
        </w:rPr>
        <w:footnoteRef/>
      </w:r>
      <w:r>
        <w:t xml:space="preserve"> </w:t>
      </w:r>
      <w:r>
        <w:tab/>
        <w:t>Bemyndigelsen blev uddelegeret til sundhedsministeren.</w:t>
      </w:r>
    </w:p>
  </w:footnote>
  <w:footnote w:id="98">
    <w:p>
      <w:pPr>
        <w:pStyle w:val="FootnoteText"/>
        <w:rPr>
          <w:rFonts w:cs="Times New Roman"/>
        </w:rPr>
      </w:pPr>
      <w:r>
        <w:rPr>
          <w:rStyle w:val="FootnoteReference"/>
          <w:rFonts w:cs="Times New Roman"/>
        </w:rPr>
        <w:footnoteRef/>
      </w:r>
      <w:r>
        <w:t xml:space="preserve"> </w:t>
      </w:r>
      <w:r>
        <w:tab/>
        <w:t xml:space="preserve">Lovgivningen om covid-19-relaterede lovovertrædelser og straffe blev drøftet og vedtaget i det cypriotiske parlament i 2020. Oplysninger indhentet i forbindelse med landebesøget i Cypern. </w:t>
      </w:r>
    </w:p>
  </w:footnote>
  <w:footnote w:id="99">
    <w:p>
      <w:pPr>
        <w:pStyle w:val="FootnoteText"/>
        <w:rPr>
          <w:rFonts w:cs="Times New Roman"/>
        </w:rPr>
      </w:pPr>
      <w:r>
        <w:rPr>
          <w:rStyle w:val="FootnoteReference"/>
          <w:rFonts w:cs="Times New Roman"/>
        </w:rPr>
        <w:footnoteRef/>
      </w:r>
      <w:r>
        <w:t xml:space="preserve"> </w:t>
      </w:r>
      <w:r>
        <w:tab/>
        <w:t>Oplysninger udleveret af justitsministeriet i forbindelse med landebesøget i Cypern.</w:t>
      </w:r>
    </w:p>
  </w:footnote>
  <w:footnote w:id="100">
    <w:p>
      <w:pPr>
        <w:pStyle w:val="FootnoteText"/>
        <w:rPr>
          <w:rFonts w:cs="Times New Roman"/>
        </w:rPr>
      </w:pPr>
      <w:r>
        <w:rPr>
          <w:rStyle w:val="FootnoteReference"/>
          <w:rFonts w:cs="Times New Roman"/>
        </w:rPr>
        <w:footnoteRef/>
      </w:r>
      <w:r>
        <w:t xml:space="preserve"> </w:t>
      </w:r>
      <w:r>
        <w:tab/>
        <w:t>Input fra Cypern til rapporten om retsstatssituationen 2021, s. 22-24.</w:t>
      </w:r>
    </w:p>
  </w:footnote>
  <w:footnote w:id="101">
    <w:p>
      <w:pPr>
        <w:pStyle w:val="FootnoteText"/>
        <w:rPr>
          <w:rFonts w:cs="Times New Roman"/>
        </w:rPr>
      </w:pPr>
      <w:r>
        <w:rPr>
          <w:rStyle w:val="FootnoteReference"/>
          <w:rFonts w:cs="Times New Roman"/>
        </w:rPr>
        <w:footnoteRef/>
      </w:r>
      <w:r>
        <w:t xml:space="preserve"> </w:t>
      </w:r>
      <w:r>
        <w:tab/>
        <w:t>Bidrag fra ENNHRI til rapporten om retsstatssituationen 2021.</w:t>
      </w:r>
    </w:p>
  </w:footnote>
  <w:footnote w:id="102">
    <w:p>
      <w:pPr>
        <w:pStyle w:val="FootnoteText"/>
        <w:rPr>
          <w:rFonts w:cs="Times New Roman"/>
        </w:rPr>
      </w:pPr>
      <w:r>
        <w:rPr>
          <w:rStyle w:val="FootnoteReference"/>
          <w:rFonts w:cs="Times New Roman"/>
        </w:rPr>
        <w:footnoteRef/>
      </w:r>
      <w:r>
        <w:t xml:space="preserve"> </w:t>
      </w:r>
      <w:r>
        <w:tab/>
        <w:t>Rapport om retsstatssituationen 2020, landekapitlet om Cypern, s. 11.</w:t>
      </w:r>
    </w:p>
  </w:footnote>
  <w:footnote w:id="103">
    <w:p>
      <w:pPr>
        <w:pStyle w:val="FootnoteText"/>
        <w:rPr>
          <w:rFonts w:cs="Times New Roman"/>
        </w:rPr>
      </w:pPr>
      <w:r>
        <w:rPr>
          <w:rStyle w:val="FootnoteReference"/>
          <w:rFonts w:cs="Times New Roman"/>
        </w:rPr>
        <w:footnoteRef/>
      </w:r>
      <w:r>
        <w:t xml:space="preserve"> </w:t>
      </w:r>
      <w:r>
        <w:tab/>
        <w:t>FN's UPR (2019) — Cypern accepterede syv henstillinger om sikring af en national menneskerettighedsinstitution (NHRI), som er i overensstemmelse med Parisprincipperne.</w:t>
      </w:r>
    </w:p>
  </w:footnote>
  <w:footnote w:id="104">
    <w:p>
      <w:pPr>
        <w:pStyle w:val="FootnoteText"/>
        <w:rPr>
          <w:rFonts w:cs="Times New Roman"/>
        </w:rPr>
      </w:pPr>
      <w:r>
        <w:rPr>
          <w:rStyle w:val="FootnoteReference"/>
          <w:rFonts w:cs="Times New Roman"/>
        </w:rPr>
        <w:footnoteRef/>
      </w:r>
      <w:r>
        <w:t xml:space="preserve"> </w:t>
      </w:r>
      <w:r>
        <w:tab/>
        <w:t>Rapport om retsstatssituationen 2020, landekapitlet om Cypern, s. 12.</w:t>
      </w:r>
    </w:p>
  </w:footnote>
  <w:footnote w:id="105">
    <w:p>
      <w:pPr>
        <w:pStyle w:val="FootnoteText"/>
        <w:rPr>
          <w:rFonts w:cs="Times New Roman"/>
        </w:rPr>
      </w:pPr>
      <w:r>
        <w:rPr>
          <w:rStyle w:val="FootnoteReference"/>
          <w:rFonts w:cs="Times New Roman"/>
        </w:rPr>
        <w:footnoteRef/>
      </w:r>
      <w:r>
        <w:t xml:space="preserve"> </w:t>
      </w:r>
      <w:r>
        <w:tab/>
        <w:t>Skrivelse fra Dunja Mijatović, kommissær for menneskerettigheder, til Nicos Nouris, Cyperns indenrigsminister, 18.3.2021.</w:t>
      </w:r>
    </w:p>
  </w:footnote>
  <w:footnote w:id="106">
    <w:p>
      <w:pPr>
        <w:pStyle w:val="FootnoteText"/>
        <w:rPr>
          <w:rFonts w:cs="Times New Roman"/>
        </w:rPr>
      </w:pPr>
      <w:r>
        <w:rPr>
          <w:rStyle w:val="FootnoteReference"/>
          <w:rFonts w:cs="Times New Roman"/>
        </w:rPr>
        <w:footnoteRef/>
      </w:r>
      <w:r>
        <w:t xml:space="preserve"> </w:t>
      </w:r>
      <w:r>
        <w:tab/>
        <w:t>Svar fra Nicos Nouris, Cyperns indenrigsminister, til Dunja Mijatović, kommissær for menneskerettigheder (2021)</w:t>
      </w:r>
      <w:r>
        <w:rPr>
          <w:rStyle w:val="Hyperlink"/>
          <w:color w:val="auto"/>
          <w:u w:val="none"/>
        </w:rPr>
        <w:t>.</w:t>
      </w:r>
    </w:p>
  </w:footnote>
  <w:footnote w:id="107">
    <w:p>
      <w:pPr>
        <w:pStyle w:val="FootnoteText"/>
        <w:rPr>
          <w:rFonts w:cs="Times New Roman"/>
        </w:rPr>
      </w:pPr>
      <w:r>
        <w:rPr>
          <w:rStyle w:val="FootnoteReference"/>
          <w:rFonts w:cs="Times New Roman"/>
        </w:rPr>
        <w:footnoteRef/>
      </w:r>
      <w:r>
        <w:t xml:space="preserve"> </w:t>
      </w:r>
      <w:r>
        <w:tab/>
        <w:t>Lov om foreninger og fonde og andre tilknyttede anliggender. Input fra Cypern til rapporten om retsstatssituationen 2020, s. 47.</w:t>
      </w:r>
    </w:p>
  </w:footnote>
  <w:footnote w:id="108">
    <w:p>
      <w:pPr>
        <w:pStyle w:val="FootnoteText"/>
        <w:rPr>
          <w:rFonts w:cs="Times New Roman"/>
        </w:rPr>
      </w:pPr>
      <w:r>
        <w:rPr>
          <w:rStyle w:val="FootnoteReference"/>
          <w:rFonts w:cs="Times New Roman"/>
        </w:rPr>
        <w:footnoteRef/>
      </w:r>
      <w:r>
        <w:t xml:space="preserve"> </w:t>
      </w:r>
      <w:r>
        <w:tab/>
        <w:t xml:space="preserve">Den Finansielle Aktionsgruppe (2015), </w:t>
      </w:r>
      <w:r>
        <w:rPr>
          <w:i/>
        </w:rPr>
        <w:t>Combating the abuse of non-profit organisations (anbefaling 8)</w:t>
      </w:r>
      <w:r>
        <w:t>, s. 22-23.</w:t>
      </w:r>
    </w:p>
  </w:footnote>
  <w:footnote w:id="109">
    <w:p>
      <w:pPr>
        <w:pStyle w:val="FootnoteText"/>
        <w:rPr>
          <w:rFonts w:cs="Times New Roman"/>
        </w:rPr>
      </w:pPr>
      <w:r>
        <w:rPr>
          <w:rStyle w:val="FootnoteReference"/>
          <w:rFonts w:cs="Times New Roman"/>
        </w:rPr>
        <w:footnoteRef/>
      </w:r>
      <w:r>
        <w:t xml:space="preserve"> </w:t>
      </w:r>
      <w:r>
        <w:tab/>
        <w:t>Derudover forklarede regeringen, at alle eksisterende NGO'er skulle ændre deres vedtægter og træffe andre foranstaltninger såsom at opstille regnskaber og underrette registratoren om bestyrelsesmedlemmerne inden den 31.12.2019. Ud af de ca. 6 500 NGO'er overholdt 3 500 den fastsatte tidsfrist. Dem, der ikke overholdt tidsfristen, fik en ny mulighed for at bringe deres forhold i orden inden oktober 2020. Et stort flertal af de berørte NGO'er undlod at tage initiativ til at overholde den nye frist. Ud af de sager i 2020, hvor NGO'er blev nægtet registrering, blev der i 60 tilfælde indgivet en klage med henblik på administrativ prøvelse, hvor prøvelsesmyndigheden (generalregistratoren) i 23 tilfælde annullerede registratorens afgørelse om at nægte registrering. Kun én NGO havde ved udgangen af 2020 appelleret den administrative afgørelse om at nægte registrering til den øverste domstol, og denne sag verserer for øjeblikket.</w:t>
      </w:r>
    </w:p>
  </w:footnote>
  <w:footnote w:id="110">
    <w:p>
      <w:pPr>
        <w:pStyle w:val="FootnoteText"/>
        <w:rPr>
          <w:rFonts w:cs="Times New Roman"/>
          <w:i/>
        </w:rPr>
      </w:pPr>
      <w:r>
        <w:rPr>
          <w:rStyle w:val="FootnoteReference"/>
          <w:rFonts w:cs="Times New Roman"/>
        </w:rPr>
        <w:footnoteRef/>
      </w:r>
      <w:r>
        <w:t xml:space="preserve"> </w:t>
      </w:r>
      <w:r>
        <w:tab/>
        <w:t>Bidrag fra Agenturet for Grundlæggende Rettigheder til rapporten om retsstatssituationen 2021. Artikel 44, stk. 1, i lov 104(I)/2017, som ændret ved lov 118(I</w:t>
      </w:r>
      <w:r>
        <w:rPr>
          <w:shd w:val="clear" w:color="auto" w:fill="FAFAFA"/>
        </w:rPr>
        <w:t>)/2020</w:t>
      </w:r>
      <w:r>
        <w:t>:</w:t>
      </w:r>
      <w:r>
        <w:rPr>
          <w:i/>
        </w:rPr>
        <w:t xml:space="preserve"> "Fem (5) eller flere foreninger, fonde, nonprofitorganisationer eller andre tilsvarende almennyttige juridiske enheder, hvad enten de er udenlandske eller nationale, som har et fælles formål, kan under overholdelse af de for dem gældende lovbestemmelser oprette sammenslutninger og/eller foreninger og registreres som sådanne i et register, som føres af registratoren, under forudsætning af at det af deres vedtægter fremgår, at det er republikkens gældende lov, der finder anvendelse på deres aktiviteter".</w:t>
      </w:r>
    </w:p>
    <w:p>
      <w:pPr>
        <w:pStyle w:val="FootnoteText"/>
        <w:ind w:firstLine="0"/>
        <w:rPr>
          <w:rFonts w:cs="Times New Roman"/>
          <w:i/>
        </w:rPr>
      </w:pPr>
      <w:r>
        <w:rPr>
          <w:i/>
        </w:rPr>
        <w:t>"Det er underforstået, at sådanne sammenslutninger og/eller foreninger under overholdelse af bestemmelserne i den europæiske konvention om anerkendelse af internationale ikkestatslige organisationers status som juridisk person (ratificering) af 2003 også kan oprettes med tilsvarende organisationer i udlandet, under forudsætning af at det af deres vedtægter fremgår, at det er republikkens gældende lov, der finder anvendelse på deres aktiviteter i Republikken Cypern."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da-DK" w:vendorID="64" w:dllVersion="131078" w:nlCheck="1" w:checkStyle="0"/>
  <w:defaultTabStop w:val="720"/>
  <w:hyphenationZone w:val="425"/>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edsagedokument til"/>
    <w:docVar w:name="LW_CORRIGENDUM" w:val="&lt;UNUSED&gt;"/>
    <w:docVar w:name="LW_COVERPAGE_EXISTS" w:val="True"/>
    <w:docVar w:name="LW_COVERPAGE_GUID" w:val="73676519-8B68-45B4-A112-B59F8427755E"/>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den "/>
    <w:docVar w:name="LW_EMISSION_SUFFIX" w:val=" "/>
    <w:docVar w:name="LW_ID_DOCTYPE_NONLW" w:val="CP-025"/>
    <w:docVar w:name="LW_LANGUE" w:val="DA"/>
    <w:docVar w:name="LW_LEVEL_OF_SENSITIVITY" w:val="Standard treatment"/>
    <w:docVar w:name="LW_NOM.INST" w:val="EUROPA-KOMMISSIONEN"/>
    <w:docVar w:name="LW_NOM.INST_JOINTDOC" w:val="&lt;EMPTY&gt;"/>
    <w:docVar w:name="LW_OBJETACTEPRINCIPAL.CP" w:val="Retsstatssituationen i Den Europæiske Union"/>
    <w:docVar w:name="LW_PART_NBR" w:val="1"/>
    <w:docVar w:name="LW_PART_NBR_TOTAL" w:val="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om retsstatssituationen 2021_x000d__x000b__x000d__x000b_Landekapitel om Cypern"/>
    <w:docVar w:name="LW_TYPE.DOC.CP" w:val="ARBEJDSDOKUMENT FRA KOMMISSIONENS TJENESTEGRENE"/>
    <w:docVar w:name="LW_TYPEACTEPRINCIPAL.CP" w:val="MEDDELELSE FRA KOMMISSIONEN TIL EUROPA-PARLAMENTET, RÅDET, DET EUROPÆISKE ØKONOMISKE OG SOCIALE UDVALG OG REGIONSUDVALGET "/>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a-DK"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a-DK"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a-DK"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a-DK"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pio.gov.cy/assets/pdf/newsroom/2021/04/Interim%20Report%2027%2004%202021(pdf).pdf" TargetMode="External"/><Relationship Id="rId26" Type="http://schemas.openxmlformats.org/officeDocument/2006/relationships/hyperlink" Target="https://www.sigmalive.com/news/politics/795517/ekthesi-politografiseonto-53-ektos-nomikou-plaisioupeitharxikes-efthynes" TargetMode="External"/><Relationship Id="rId3" Type="http://schemas.openxmlformats.org/officeDocument/2006/relationships/styles" Target="styles.xml"/><Relationship Id="rId21" Type="http://schemas.openxmlformats.org/officeDocument/2006/relationships/hyperlink" Target="https://rm.coe.int/fourth-evaluation-round-corruption-prevention-in-respect-of-members-of/1680a06389"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atf-gafi.org/media/fatf/documents/reports/BPP-combating-abuse-non-profit-organisations.pdf" TargetMode="External"/><Relationship Id="rId25" Type="http://schemas.openxmlformats.org/officeDocument/2006/relationships/hyperlink" Target="https://exandas.presidency.gov.cy/"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ec.europa.eu/commission/presscorner/detail/da/inf_21_274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occrp.org/en/daily/12631-cypriot-journalist-says-he-is-being-spied-on-and-fears-for-his-life"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knews.kathimerini.com.cy/en/news/interim-report-on-golden-passports-delivered" TargetMode="External"/><Relationship Id="rId28" Type="http://schemas.openxmlformats.org/officeDocument/2006/relationships/hyperlink" Target="https://rm.coe.int/reply-of-mr-nicos-nouris-minister-of-the-interiorof-cyprus-to-the-lett/1680a1cb15" TargetMode="External"/><Relationship Id="rId36" Type="http://schemas.openxmlformats.org/officeDocument/2006/relationships/theme" Target="theme/theme1.xml"/><Relationship Id="Rf9fc4da9052744be"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ec.europa.eu/commission/presscorner/detail/en/ip_20_1925"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rsf.org/en/cyprus" TargetMode="External"/><Relationship Id="rId27" Type="http://schemas.openxmlformats.org/officeDocument/2006/relationships/hyperlink" Target="https://rm.coe.int/letter-to-mr-nicos-nouris-minister-of-interior-of-cyprus-by-ms-dunja-m/1680a1c09b" TargetMode="External"/><Relationship Id="rId30" Type="http://schemas.openxmlformats.org/officeDocument/2006/relationships/header" Target="header5.xml"/><Relationship Id="rId35" Type="http://schemas.openxmlformats.org/officeDocument/2006/relationships/fontTable" Target="fontTable.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47969-2777-411C-ABE7-6DB3E4C6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4964</Words>
  <Characters>33510</Characters>
  <Application>Microsoft Office Word</Application>
  <DocSecurity>0</DocSecurity>
  <Lines>515</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2021-07-19T11:30:00Z</dcterms:created>
  <dcterms:modified xsi:type="dcterms:W3CDTF">2021-09-13T17:43:00Z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