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8EFD03-901F-49F4-AE88-D9C335A025D7" style="width:455.5pt;height:559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Περίληψη</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Το γερμανικό σύστημα απονομής δικαιοσύνης, το οποίο χαρακτηρίζεται από τον σημαντικό ρόλο των ομόσπονδων κρατών (</w:t>
      </w:r>
      <w:r>
        <w:rPr>
          <w:i/>
          <w:noProof/>
          <w:szCs w:val="20"/>
        </w:rPr>
        <w:t>Länder</w:t>
      </w:r>
      <w:r>
        <w:rPr>
          <w:noProof/>
        </w:rPr>
        <w:t xml:space="preserve">) στην απονομή της δικαιοσύνης, εξακολουθεί να επωφελείται από πολύ υψηλό επίπεδο εκλαμβανόμενης ανεξαρτησίας της δικαιοσύνης. Επί του παρόντος εξετάζεται νομοθετική πρόταση για τον περιορισμό της σπανίως χρησιμοποιούμενης εξουσίας των υπουργών Δικαιοσύνης να εκδίδουν εντολές προς τους εισαγγελείς σε μεμονωμένες υποθέσεις, λαμβανομένης υπόψη της νομολογίας του Δικαστηρίου της Ευρωπαϊκής Ένωσης. Σε εξέλιξη βρίσκονται συζητήσεις σχετικά με τα κριτήρια επιλογής ορισμένων προεδρευόντων δικαστών στα ομοσπονδιακά δικαστήρια, μετά από ορισμένες επικρίσεις που διατυπώθηκαν από δικαστές σχετικά με την προτεινόμενη κατάργηση των απαιτήσεων πείρας. Η δημιουργία πρόσθετων θέσεων για δικαστές και εισαγγελείς στο πλαίσιο του «συμφώνου για το κράτος δικαίου» του 2019 προχωρά. Όπως επισημαίνεται στην έκθεση του 2020 για το κράτος δικαίου, εξακολουθούν να υφίστανται μακροπρόθεσμες προκλήσεις όσον αφορά τις προσλήψεις στο δικαστικό σώμα, λαμβανομένων επίσης υπόψη των επικείμενων κυμάτων συνταξιοδότησης δικαστών. Η ψηφιοποίηση της δικαιοσύνης εξακολουθεί να βελτιώνεται περαιτέρω με διάφορες πρωτοβουλίες. Σε αρκετά ομόσπονδα κράτη ιδρύονται εξειδικευμένα εμποροδικεία που επικεντρώνονται σε διεθνείς υποθέσεις, τα οποία μπορούν να εργάζονται στην αγγλική γλώσσα. Το σύστημα απονομής δικαιοσύνης εξακολουθεί να λειτουργεί αποδοτικά, παρουσιάζοντας βελτιώσεις όσον αφορά τις διοικητικές υποθέσεις.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Η στρατηγική απάντηση στην πρόληψη της διαφθοράς γνώρισε περαιτέρω θετικές εξελίξεις, συμπληρώνοντας το ήδη ισχύον πλαίσιο για την αντιμετώπιση της διαφθοράς. Η Γερμανία εκσυγχρονίζει το στρατηγικό της πλαίσιο για την πρόληψη της διαφθοράς στην ομοσπονδιακή διοίκηση. Βάσει νέου νόμου θα δημιουργηθεί μητρώο ομάδων συμφερόντων έως τον Ιανουάριο του 2022, χωρίς ωστόσο να προβλέπεται «νομοθετικό αποτύπωμα». Εξακολουθούν να παρατηρούνται ελλείψεις στη ρύθμιση των δευτερευουσών δραστηριοτήτων των βουλευτών και στους κανόνες για τη δημοσιοποίηση περιουσιακών στοιχείων, μολονότι δρομολογούνται ορισμένες βελτιώσεις. Οι κανόνες χρηματοδότησης των πολιτικών κομμάτων έχουν ορισμένα νομικά κενά, μεταξύ άλλων όσον αφορά τις χορηγίες, ενώ τα ανώτατα όρια για τις δωρεές θεωρούνται υπερβολικά υψηλά. Η οικονομική ζημία που προκλήθηκε από τη διαφθορά μειώθηκε σημαντικά με τη μείωση της κλασικής δωροδοκίας με μετρητά. Στο επίκεντρο τίθενται και άλλες μορφές μη χρηματικής δωροδοκίας, όπως τα δωρεάν εισιτήρια εκδηλώσεων και η πιθανή αθέμιτη επιρροή μέσω ιδιωτικών δείπνων για τις επιχειρήσεις και την πολιτική. Η Γερμανία κατέχει ηγετικό ρόλο παγκοσμίως στη δίωξη ατόμων που διαπράττουν δωροδοκία στο εξωτερικό, πλην όμως δεν υπάρχει νομική διάταξη για την ποινική ευθύνη των εταιρειών.</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Η Γερμανία διαθέτει κανονιστικό πλαίσιο για την ελευθερία και την πολυφωνία των μέσων μαζικής επικοινωνίας, το οποίο λειτουργεί εύρυθμα. Κατά τη διάρκεια της μεταφοράς της αναθεωρημένης οδηγίας για τις υπηρεσίες οπτικοακουστικών μέσων, επικαιροποιήθηκε το γερμανικό νομοθετικό πλαίσιο για τα μέσα μαζικής επικοινωνίας, κυρίως μέσω της κρατικής συνθήκης για τα μέσα μαζικής επικοινωνίας, η οποία άρχισε να ισχύει τον Νοέμβριο του 2020. Ο βαθμός ανεξαρτησίας των μέσων μαζικής επικοινωνίας και των αρμόδιων ρυθμιστικών αρχών παραμένει υψηλός. Το γερμανικό δίκαιο εγγυάται καλό επίπεδο διαφάνειας όσον αφορά το ιδιοκτησιακό καθεστώς των μέσων μαζικής επικοινωνίας. Παρά το σταθερό νομικό πλαίσιο, κύριο μέλημα παραμένει η σωματική ασφάλεια των δημοσιογράφων, κυρίως κατά την κάλυψη διαδηλώσεων. Εν προκειμένω, το 2020 χαρακτηρίστηκε από σημαντικό αριθμό καταγεγραμμένων περιπτώσεων επίθεσης κατά δημοσιογράφων.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Το σύστημα ελέγχων και ισορροπιών (μηχανισμός θεσμικών αντιβάρων) διαδραμάτισε ενεργό ρόλο κατά τη διάρκεια της πανδημίας COVID-19. Περιοριστικά μέτρα ελήφθησαν πρωτίστως από τις κυβερνήσεις των ομόσπονδων κρατών βάσει του νόμου για την προστασία από τις λοιμώξεις, ο οποίος έχει τροποποιηθεί αρκετές φορές, μεταξύ άλλων και τον Νοέμβριο του 2020, προκειμένου να αυξηθεί η εποπτεία από την Ομοσπονδιακή Βουλή. Τα μέτρα αυτά αποτέλεσαν αντικείμενο εκτενούς δικαστικού ελέγχου. Έχουν εκφραστεί ορισμένες ανησυχίες σχετικά με την ευρύτερη τάση συντόμευσης των περιόδων διαβούλευσης με τα ενδιαφερόμενα μέρη. Στις 9 Ιουνίου 2021 η Επιτροπή κίνησε διαδικασία επί παραβάσει κατά της Γερμανίας για παράβαση της αρχής της υπεροχής του δικαίου της ΕΕ σε σχέση με την απόφαση του Ομοσπονδιακού Συνταγματικού Δικαστηρίου της 5ης Μαΐου 2020. Η κοινωνία των πολιτών εξακολουθεί να επωφελείται από ισχυρό πλαίσιο, αλλά αντιμετωπίζει αβεβαιότητα όσον αφορά το καθεστώς φοροαπαλλαγής των μη κερδοσκοπικών οργανισμών. Σύμφωνα με ενδιαφερόμενα μέρη, οι ανησυχίες σχετικά με την απώλεια αυτού του καθεστώτος μπορεί να οδηγήσουν τους εν λόγω οργανισμούς να μη λαμβάνουν θέση σχετικά με δυνητικά ευαίσθητα ζητήματα. </w:t>
      </w:r>
    </w:p>
    <w:p>
      <w:pPr>
        <w:pStyle w:val="Heading1"/>
        <w:rPr>
          <w:noProof/>
        </w:rPr>
      </w:pPr>
      <w:r>
        <w:rPr>
          <w:noProof/>
        </w:rPr>
        <w:t xml:space="preserve">Σύστημα απονομής δικαιοσύνης </w:t>
      </w:r>
    </w:p>
    <w:p>
      <w:pPr>
        <w:rPr>
          <w:rFonts w:eastAsia="Times New Roman" w:cs="Times New Roman"/>
          <w:noProof/>
        </w:rPr>
      </w:pPr>
      <w:r>
        <w:rPr>
          <w:noProof/>
        </w:rPr>
        <w:t>Το σύστημα των δικαστηρίων στη Γερμανία είναι δομημένο με ομοσπονδιακό τρόπο. Η δικαιοδοσία ασκείται από τα ομοσπονδιακά δικαστήρια και από τα δικαστήρια των 16 ομόσπονδων κρατών («</w:t>
      </w:r>
      <w:r>
        <w:rPr>
          <w:i/>
          <w:iCs/>
          <w:noProof/>
        </w:rPr>
        <w:t>Länder</w:t>
      </w:r>
      <w:r>
        <w:rPr>
          <w:noProof/>
        </w:rPr>
        <w:t>»). Το βασικό μερίδιο της αρμοδιότητας και του φόρτου εργασίας όσον αφορά την απονομή της δικαιοσύνης ανήκει στα ομόσπονδα κράτη</w:t>
      </w:r>
      <w:r>
        <w:rPr>
          <w:rStyle w:val="FootnoteReference"/>
          <w:rFonts w:eastAsia="Times New Roman" w:cs="Times New Roman"/>
          <w:i/>
          <w:iCs/>
          <w:noProof/>
          <w:lang w:eastAsia="fr-FR"/>
        </w:rPr>
        <w:footnoteReference w:id="2"/>
      </w:r>
      <w:r>
        <w:rPr>
          <w:noProof/>
        </w:rPr>
        <w:t>. Η δομή των δικαστηρίων διαιρείται στην τακτική δικαιοδοσία (αστική και ποινική) και στα ειδικά δικαστήρια (διοικητικά δικαστήρια, φορολογικά δικαστήρια, δικαστήρια εργατικών διαφορών και δικαστήρια διαφορών κοινωνικής ασφάλισης). Ο διορισμός των δικαστών και των εισαγγελέων, με εξαίρεση τα ομοσπονδιακά δικαστήρια και τον Γενικό Εισαγγελέα στο Ανώτατο Ομοσπονδιακό Δικαστήριο, εμπίπτει στην αρμοδιότητα των ομόσπονδων κρατών. Ενώ οι λεπτομέρειες των διαδικασιών διορισμού διαφέρουν μεταξύ των ομόσπονδων κρατών, τα βασικά στοιχεία είναι κοινά σε όλα, ιδίως δε η αρχή της αξιοκρατίας</w:t>
      </w:r>
      <w:r>
        <w:rPr>
          <w:rStyle w:val="FootnoteReference"/>
          <w:rFonts w:eastAsia="Times New Roman" w:cs="Times New Roman"/>
          <w:noProof/>
          <w:lang w:eastAsia="fr-FR"/>
        </w:rPr>
        <w:footnoteReference w:id="3"/>
      </w:r>
      <w:r>
        <w:rPr>
          <w:noProof/>
        </w:rPr>
        <w:t xml:space="preserve"> και ο δικαστικός έλεγχος της διαδικασίας και της απόφασης διορισμού. Στα ομοσπονδιακά δικαστήρια, η επιτροπή επιλογής δικαστών (</w:t>
      </w:r>
      <w:r>
        <w:rPr>
          <w:i/>
          <w:iCs/>
          <w:noProof/>
        </w:rPr>
        <w:t>Richterwahlausschuss</w:t>
      </w:r>
      <w:r>
        <w:rPr>
          <w:noProof/>
        </w:rPr>
        <w:t>) επιλέγει τους δικαστές για διορισμό από την εκτελεστική εξουσία και κατά τη διαδικασία αυτή πρέπει να ζητείται η γνώμη συμβουλίων δικαστών (</w:t>
      </w:r>
      <w:r>
        <w:rPr>
          <w:i/>
          <w:iCs/>
          <w:noProof/>
        </w:rPr>
        <w:t>Präsidialräte</w:t>
      </w:r>
      <w:r>
        <w:rPr>
          <w:noProof/>
        </w:rPr>
        <w:t>) των αντίστοιχων δικαστηρίων</w:t>
      </w:r>
      <w:r>
        <w:rPr>
          <w:rStyle w:val="FootnoteReference"/>
          <w:rFonts w:eastAsia="Times New Roman" w:cs="Times New Roman"/>
          <w:noProof/>
          <w:lang w:eastAsia="fr-FR"/>
        </w:rPr>
        <w:footnoteReference w:id="4"/>
      </w:r>
      <w:r>
        <w:rPr>
          <w:noProof/>
        </w:rPr>
        <w:t>. Επί του παρόντος υπάρχουν 638 ειρηνοδικεία, 115 πρωτοδικεία και 24 εφετεία, καθώς και 51 διοικητικά δικαστήρια και 15 διοικητικά εφετεία στα 16 ομόσπονδα κράτη</w:t>
      </w:r>
      <w:r>
        <w:rPr>
          <w:rStyle w:val="FootnoteReference"/>
          <w:rFonts w:eastAsia="Times New Roman" w:cs="Times New Roman"/>
          <w:noProof/>
          <w:lang w:eastAsia="fr-FR"/>
        </w:rPr>
        <w:footnoteReference w:id="5"/>
      </w:r>
      <w:r>
        <w:rPr>
          <w:noProof/>
        </w:rPr>
        <w:t>. Υπάρχουν πέντε ομοσπονδιακά δικαστήρια: το Ανώτατο Ομοσπονδιακό Δικαστήριο, το Ομοσπονδιακό Διοικητικό Δικαστήριο, το Ομοσπονδιακό Φορολογικό Δικαστήριο, το Ομοσπονδιακό Δικαστήριο Εργατικών Διαφορών και το Ομοσπονδιακό Δικαστήριο Διαφορών Κοινωνικής Ασφάλισης. Ο έλεγχος της συνταγματικότητας των νόμων διενεργείται από το Ομοσπονδιακό Συνταγματικό Δικαστήριο και τα συνταγματικά δικαστήρια των ομόσπονδων κρατών. Οι εισαγγελικές αρχές στη Γερμανία αποτελούν μέρος της εκτελεστικής εξουσίας, σε ομοσπονδιακό επίπεδο, με τον Γενικό Εισαγγελέα στο Ανώτατο Ομοσπονδιακό Δικαστήριο. Στο επίπεδο των ομόσπονδων κρατών, καθένα εξ αυτών έχει τη δική του εισαγγελική αρχή. Η Γερμανία συμμετέχει στην Ευρωπαϊκή Εισαγγελία. Υπάρχουν 27 περιφερειακοί δικηγορικοί σύλλογοι στη Γερμανία</w:t>
      </w:r>
      <w:r>
        <w:rPr>
          <w:rStyle w:val="FootnoteReference"/>
          <w:rFonts w:eastAsia="Times New Roman" w:cs="Times New Roman"/>
          <w:noProof/>
          <w:lang w:eastAsia="fr-FR"/>
        </w:rPr>
        <w:footnoteReference w:id="6"/>
      </w:r>
      <w:r>
        <w:rPr>
          <w:noProof/>
        </w:rPr>
        <w:t xml:space="preserve">, οι οποίοι είναι οργανωμένοι υπό την αιγίδα του γερμανικού Ομοσπονδιακού Δικηγορικού Συλλόγου. </w:t>
      </w:r>
    </w:p>
    <w:p>
      <w:pPr>
        <w:pStyle w:val="Heading2"/>
        <w:rPr>
          <w:noProof/>
        </w:rPr>
      </w:pPr>
      <w:r>
        <w:rPr>
          <w:noProof/>
        </w:rPr>
        <w:t xml:space="preserve">Ανεξαρτησία </w:t>
      </w:r>
    </w:p>
    <w:p>
      <w:pPr>
        <w:rPr>
          <w:rFonts w:eastAsia="Times New Roman" w:cs="Times New Roman"/>
          <w:noProof/>
          <w:szCs w:val="20"/>
        </w:rPr>
      </w:pPr>
      <w:r>
        <w:rPr>
          <w:b/>
          <w:noProof/>
          <w:szCs w:val="20"/>
        </w:rPr>
        <w:t xml:space="preserve">Το επίπεδο της εκλαμβανόμενης ανεξαρτησίας της δικαιοσύνης εξακολουθεί να είναι υψηλό. </w:t>
      </w:r>
      <w:r>
        <w:rPr>
          <w:noProof/>
        </w:rPr>
        <w:t>Συνολικά, το 2021 το 80 % του γενικού πληθυσμού και το 69 % των επιχειρήσεων εκλαμβάνουν το επίπεδο ανεξαρτησίας των δικαστηρίων και των δικαστών ως «πολύ καλό» ή «αρκετά καλό»</w:t>
      </w:r>
      <w:r>
        <w:rPr>
          <w:rStyle w:val="FootnoteReference"/>
          <w:rFonts w:eastAsia="Times New Roman" w:cs="Times New Roman"/>
          <w:noProof/>
          <w:szCs w:val="20"/>
          <w:lang w:eastAsia="fr-FR"/>
        </w:rPr>
        <w:footnoteReference w:id="7"/>
      </w:r>
      <w:r>
        <w:rPr>
          <w:noProof/>
        </w:rPr>
        <w:t xml:space="preserve">. Αυτό το υψηλό επίπεδο εκλαμβανόμενης ανεξαρτησίας της δικαιοσύνης εμφανίζει σταθερή τάση κατά την τελευταία πενταετία και αντιπροσωπεύει ελαφρά περαιτέρω αύξηση σε σύγκριση με το 2020 όσον αφορά το ευρύ κοινό, ενώ για τις επιχειρήσεις έχει μειωθεί κάπως σε σύγκριση με το σταθερό επίπεδο των προηγούμενων ετών. </w:t>
      </w:r>
    </w:p>
    <w:p>
      <w:pPr>
        <w:rPr>
          <w:rFonts w:eastAsia="Times New Roman" w:cs="Times New Roman"/>
          <w:noProof/>
          <w:szCs w:val="20"/>
        </w:rPr>
      </w:pPr>
      <w:r>
        <w:rPr>
          <w:b/>
          <w:noProof/>
          <w:szCs w:val="20"/>
        </w:rPr>
        <w:t xml:space="preserve">Εξετάζεται το ενδεχόμενο αλλαγών σχετικά με την εξουσία των Υπουργών Δικαιοσύνης να εκδίδουν εντολές προς τους εισαγγελείς σε μεμονωμένες υποθέσεις. </w:t>
      </w:r>
      <w:r>
        <w:rPr>
          <w:noProof/>
        </w:rPr>
        <w:t>Τον Ιανουάριο του 2021 υποβλήθηκε προς διαβούλευση στα ομόσπονδα κράτη και στα ενδιαφερόμενα μέρη σχέδιο πρότασης για την τροποποίηση του συστήματος εντολών προς τους εισαγγελείς σε μεμονωμένες υποθέσεις, το οποίο ήταν υπό συζήτηση κατά τα προηγούμενα έτη</w:t>
      </w:r>
      <w:r>
        <w:rPr>
          <w:rStyle w:val="FootnoteReference"/>
          <w:rFonts w:eastAsia="Times New Roman" w:cs="Times New Roman"/>
          <w:noProof/>
          <w:szCs w:val="20"/>
          <w:lang w:eastAsia="fr-FR"/>
        </w:rPr>
        <w:footnoteReference w:id="8"/>
      </w:r>
      <w:r>
        <w:rPr>
          <w:noProof/>
        </w:rPr>
        <w:t>. Η πρόταση, μεταξύ άλλων, αντιδρά στη νομολογία του Ευρωπαϊκού Δικαστηρίου σχετικά με την εφαρμογή του ευρωπαϊκού εντάλματος σύλληψης</w:t>
      </w:r>
      <w:r>
        <w:rPr>
          <w:rStyle w:val="FootnoteReference"/>
          <w:rFonts w:eastAsia="Times New Roman" w:cs="Times New Roman"/>
          <w:noProof/>
          <w:szCs w:val="20"/>
          <w:lang w:eastAsia="fr-FR"/>
        </w:rPr>
        <w:footnoteReference w:id="9"/>
      </w:r>
      <w:r>
        <w:rPr>
          <w:noProof/>
        </w:rPr>
        <w:t>. Η πρόταση κωδικοποιεί την υποχρέωση τήρησης της αρχής της νομιμότητας και θεσπίζει απαίτηση σύμφωνα με την οποία οι εντολές σε μεμονωμένες υποθέσεις πρέπει να είναι αιτιολογημένες και να εκδίδονται γραπτώς</w:t>
      </w:r>
      <w:r>
        <w:rPr>
          <w:rStyle w:val="FootnoteReference"/>
          <w:rFonts w:eastAsia="Times New Roman" w:cs="Times New Roman"/>
          <w:noProof/>
          <w:szCs w:val="20"/>
          <w:lang w:eastAsia="fr-FR"/>
        </w:rPr>
        <w:footnoteReference w:id="10"/>
      </w:r>
      <w:r>
        <w:rPr>
          <w:noProof/>
        </w:rPr>
        <w:t>. Οι εν λόγω προβλεπόμενες εγγυήσεις συνάδουν με τις συστάσεις του Συμβουλίου της Ευρώπης</w:t>
      </w:r>
      <w:r>
        <w:rPr>
          <w:rStyle w:val="FootnoteReference"/>
          <w:rFonts w:eastAsia="Times New Roman" w:cs="Times New Roman"/>
          <w:noProof/>
          <w:szCs w:val="20"/>
          <w:lang w:eastAsia="fr-FR"/>
        </w:rPr>
        <w:footnoteReference w:id="11"/>
      </w:r>
      <w:r>
        <w:rPr>
          <w:noProof/>
        </w:rPr>
        <w:t>. Επιπλέον, η πρόταση θα καταργήσει τη δυνατότητα παροχής εντολών σε μεμονωμένες υποθέσεις για τον τομέα της δικαστικής συνεργασίας της ΕΕ σε ποινικές υποθέσεις, διατηρώντας την κατά τα λοιπά</w:t>
      </w:r>
      <w:r>
        <w:rPr>
          <w:rStyle w:val="FootnoteReference"/>
          <w:rFonts w:eastAsia="Times New Roman" w:cs="Times New Roman"/>
          <w:noProof/>
          <w:szCs w:val="20"/>
          <w:lang w:eastAsia="fr-FR"/>
        </w:rPr>
        <w:footnoteReference w:id="12"/>
      </w:r>
      <w:r>
        <w:rPr>
          <w:noProof/>
        </w:rPr>
        <w:t>. Παρότι οι προτεινόμενες εγγυήσεις έτυχαν ευρείας αποδοχής από τα ενδιαφερόμενα μέρη</w:t>
      </w:r>
      <w:r>
        <w:rPr>
          <w:rStyle w:val="FootnoteReference"/>
          <w:rFonts w:eastAsia="Times New Roman" w:cs="Times New Roman"/>
          <w:noProof/>
          <w:szCs w:val="20"/>
          <w:lang w:eastAsia="fr-FR"/>
        </w:rPr>
        <w:footnoteReference w:id="13"/>
      </w:r>
      <w:r>
        <w:rPr>
          <w:noProof/>
        </w:rPr>
        <w:t xml:space="preserve">, οι αντιδράσεις στο τελευταίο στοιχείο της πρότασης ήταν ανάμεικτες. Ορισμένα </w:t>
      </w:r>
      <w:r>
        <w:rPr>
          <w:noProof/>
          <w:szCs w:val="20"/>
        </w:rPr>
        <w:t>ομόσπονδα κράτη</w:t>
      </w:r>
      <w:r>
        <w:rPr>
          <w:rStyle w:val="FootnoteReference"/>
          <w:rFonts w:eastAsia="Times New Roman" w:cs="Times New Roman"/>
          <w:noProof/>
          <w:szCs w:val="20"/>
          <w:lang w:eastAsia="fr-FR"/>
        </w:rPr>
        <w:footnoteReference w:id="14"/>
      </w:r>
      <w:r>
        <w:rPr>
          <w:noProof/>
        </w:rPr>
        <w:t xml:space="preserve"> και ενδιαφερόμενα μέρη</w:t>
      </w:r>
      <w:r>
        <w:rPr>
          <w:rStyle w:val="FootnoteReference"/>
          <w:rFonts w:eastAsia="Times New Roman" w:cs="Times New Roman"/>
          <w:noProof/>
          <w:szCs w:val="20"/>
          <w:lang w:eastAsia="fr-FR"/>
        </w:rPr>
        <w:footnoteReference w:id="15"/>
      </w:r>
      <w:r>
        <w:rPr>
          <w:noProof/>
        </w:rPr>
        <w:t xml:space="preserve"> θεωρούν ότι το ισχύον σύστημα εντολών πρέπει να διατηρηθεί ώστε να συνάδει με την αρχή της συνταγματικής δημοκρατίας και, ως εκ τούτου, με την υποχρέωση λογοδοσίας της εισαγγελικής αρχής. Άλλα ενδιαφερόμενα μέρη</w:t>
      </w:r>
      <w:r>
        <w:rPr>
          <w:rStyle w:val="FootnoteReference"/>
          <w:rFonts w:eastAsia="Times New Roman" w:cs="Times New Roman"/>
          <w:noProof/>
          <w:szCs w:val="20"/>
          <w:lang w:eastAsia="fr-FR"/>
        </w:rPr>
        <w:footnoteReference w:id="16"/>
      </w:r>
      <w:r>
        <w:rPr>
          <w:noProof/>
        </w:rPr>
        <w:t xml:space="preserve"> θεωρούν ότι η εξουσία έκδοσης εντολών σε μεμονωμένες υποθέσεις θα πρέπει να καταργηθεί πλήρως και ότι η πρόταση θα δημιουργήσει τεχνητό διαχωρισμό των εθνικών υποθέσεων και εκείνων που αφορούν τη δικαστική συνεργασία της ΕΕ. Η κυβέρνηση επανεξετάζει τις απαντήσεις που υποβλήθηκαν στο πλαίσιο της διαβούλευσης προκειμένου να αποφασίσει αν —και με ποιον τρόπο— θα προχωρήσει η πρόταση</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noProof/>
        </w:rPr>
      </w:pPr>
      <w:r>
        <w:rPr>
          <w:b/>
          <w:bCs/>
          <w:noProof/>
        </w:rPr>
        <w:t>Τα κριτήρια επιλογής των προεδρευόντων δικαστών στα ομοσπονδιακά δικαστήρια αποτελούν αντικείμενο συζητήσεων που βρίσκονται σε εξέλιξη, μετά από ορισμένες επικρίσεις που διατυπώθηκαν σχετικά με την προτεινόμενη κατάργηση των ειδικών απαιτήσεων πείρας.</w:t>
      </w:r>
      <w:r>
        <w:rPr>
          <w:noProof/>
        </w:rPr>
        <w:t xml:space="preserve"> Οι προαγωγές σε θέσεις προέδρου, αντιπροέδρου και προεδρεύοντος δικαστή τμήματος</w:t>
      </w:r>
      <w:r>
        <w:rPr>
          <w:rStyle w:val="FootnoteReference"/>
          <w:rFonts w:eastAsia="Times New Roman" w:cs="Times New Roman"/>
          <w:noProof/>
          <w:lang w:eastAsia="fr-FR"/>
        </w:rPr>
        <w:footnoteReference w:id="18"/>
      </w:r>
      <w:r>
        <w:rPr>
          <w:noProof/>
        </w:rPr>
        <w:t xml:space="preserve"> στα ομοσπονδιακά δικαστήρια αποφασίζονται από τον ομοσπονδιακό πρόεδρο κατόπιν πρότασης του αρμόδιου υπουργού</w:t>
      </w:r>
      <w:r>
        <w:rPr>
          <w:rStyle w:val="FootnoteReference"/>
          <w:rFonts w:eastAsia="Times New Roman" w:cs="Times New Roman"/>
          <w:noProof/>
          <w:lang w:eastAsia="fr-FR"/>
        </w:rPr>
        <w:footnoteReference w:id="19"/>
      </w:r>
      <w:r>
        <w:rPr>
          <w:noProof/>
        </w:rPr>
        <w:t>. Η πρόταση βασίζεται σε διαδικασία που περιλαμβάνει την υποχρεωτική συμμετοχή του Συμβουλίου Δικαστών του οικείου δικαστηρίου. Η αρχή της αξιοκρατίας για την επιλογή των υποψηφίων καθορίζεται μέσω απαιτήσεων που ορίζει ο νόμος και, ειδικότερα, στην περίπτωση της θέσης προεδρευόντων δικαστών, μέσω των κριτηρίων επιλογής για τη θέση</w:t>
      </w:r>
      <w:r>
        <w:rPr>
          <w:rStyle w:val="FootnoteReference"/>
          <w:rFonts w:eastAsia="Times New Roman" w:cs="Times New Roman"/>
          <w:noProof/>
          <w:lang w:eastAsia="fr-FR"/>
        </w:rPr>
        <w:footnoteReference w:id="20"/>
      </w:r>
      <w:r>
        <w:rPr>
          <w:noProof/>
        </w:rPr>
        <w:t>· και οι αιτήσεις αξιολογούνται, ειδικότερα, με βάση την επαγγελματική τους αξιολόγηση από τον πρόεδρο του δικαστηρίου τους. Τον Σεπτέμβριο του 2020 το Υπουργείο Δικαιοσύνης αναθεώρησε τα κριτήρια επιλογής του για τη θέση των προεδρευόντων δικαστών σε όλα τα ομοσπονδιακά δικαστήρια που εμπίπτουν στην αρμοδιότητά του, καταργώντας ειδικότερα την απαίτηση πενταετούς συνήθως πείρας στο αντίστοιχο ομοσπονδιακό δικαστήριο για τη θέση προεδρεύοντος δικαστή</w:t>
      </w:r>
      <w:r>
        <w:rPr>
          <w:rStyle w:val="FootnoteReference"/>
          <w:rFonts w:eastAsia="Times New Roman" w:cs="Times New Roman"/>
          <w:noProof/>
          <w:lang w:eastAsia="fr-FR"/>
        </w:rPr>
        <w:footnoteReference w:id="21"/>
      </w:r>
      <w:r>
        <w:rPr>
          <w:noProof/>
        </w:rPr>
        <w:t>. Οι πρόεδροι των ομοσπονδιακών δικαστηρίων</w:t>
      </w:r>
      <w:r>
        <w:rPr>
          <w:rStyle w:val="FootnoteReference"/>
          <w:rFonts w:eastAsia="Times New Roman" w:cs="Times New Roman"/>
          <w:noProof/>
          <w:lang w:eastAsia="fr-FR"/>
        </w:rPr>
        <w:footnoteReference w:id="22"/>
      </w:r>
      <w:r>
        <w:rPr>
          <w:noProof/>
        </w:rPr>
        <w:t xml:space="preserve"> και τα ενδιαφερόμενα μέρη</w:t>
      </w:r>
      <w:r>
        <w:rPr>
          <w:rStyle w:val="FootnoteReference"/>
          <w:rFonts w:eastAsia="Times New Roman" w:cs="Times New Roman"/>
          <w:noProof/>
          <w:lang w:eastAsia="fr-FR"/>
        </w:rPr>
        <w:footnoteReference w:id="23"/>
      </w:r>
      <w:r>
        <w:rPr>
          <w:noProof/>
        </w:rPr>
        <w:t xml:space="preserve"> επέκριναν το γεγονός αυτό, υποστηρίζοντας ότι η πείρα αυτή είναι απαραίτητη για την εκπλήρωση των καθηκόντων του προεδρεύοντος δικαστή και εκφράζοντας τη λύπη τους για την έλλειψη συμμετοχής τους</w:t>
      </w:r>
      <w:r>
        <w:rPr>
          <w:rStyle w:val="FootnoteReference"/>
          <w:rFonts w:eastAsia="Times New Roman" w:cs="Times New Roman"/>
          <w:noProof/>
          <w:lang w:eastAsia="fr-FR"/>
        </w:rPr>
        <w:footnoteReference w:id="24"/>
      </w:r>
      <w:r>
        <w:rPr>
          <w:noProof/>
        </w:rPr>
        <w:t xml:space="preserve"> στην προετοιμασία των αλλαγών</w:t>
      </w:r>
      <w:r>
        <w:rPr>
          <w:rStyle w:val="FootnoteReference"/>
          <w:rFonts w:eastAsia="Times New Roman" w:cs="Times New Roman"/>
          <w:noProof/>
          <w:lang w:eastAsia="fr-FR"/>
        </w:rPr>
        <w:footnoteReference w:id="25"/>
      </w:r>
      <w:r>
        <w:rPr>
          <w:noProof/>
        </w:rPr>
        <w:t>. Το Υπουργείο επικρίθηκε επίσης για την αναθεώρηση των κριτηρίων επιλογής κατά τη διάρκεια διαδικασίας πρόσληψης που βρισκόταν σε εξέλιξη. Μετά τις επικρίσεις, το Υπουργείο Δικαιοσύνης βρίσκεται σε διάλογο με τα ομοσπονδιακά δικαστήρια. Στις αρχές του 2021 το Υπουργείο πρότεινε δύο υποψηφίους στον ομοσπονδιακό πρόεδρο για τις κενές θέσεις του αντιπροέδρου και του προέδρου στο Ομοσπονδιακό Φορολογικό Δικαστήριο, οι οποίοι εξελέγησαν από την επιτροπή εκλογής ομοσπονδιακών δικαστών, αλλά δεν πληρούν την απαίτηση πενταετούς πείρας στο Ομοσπονδιακό Φορολογικό Δικαστήριο</w:t>
      </w:r>
      <w:r>
        <w:rPr>
          <w:rStyle w:val="FootnoteReference"/>
          <w:rFonts w:eastAsia="Times New Roman" w:cs="Times New Roman"/>
          <w:noProof/>
          <w:lang w:eastAsia="fr-FR"/>
        </w:rPr>
        <w:footnoteReference w:id="26"/>
      </w:r>
      <w:r>
        <w:rPr>
          <w:noProof/>
        </w:rPr>
        <w:t>. Επί του παρόντος εκκρεμούν προσφυγές κατά της διαδικασίας προαγωγής για τη θέση του προέδρου και του αντιπροέδρου</w:t>
      </w:r>
      <w:r>
        <w:rPr>
          <w:rStyle w:val="FootnoteReference"/>
          <w:rFonts w:eastAsia="Times New Roman" w:cs="Times New Roman"/>
          <w:noProof/>
          <w:lang w:eastAsia="fr-FR"/>
        </w:rPr>
        <w:footnoteReference w:id="27"/>
      </w:r>
      <w:r>
        <w:rPr>
          <w:noProof/>
        </w:rPr>
        <w:t>, με ανασταλτικό αποτέλεσμα για τον διορισμό. Σύμφωνα με το Συμβούλιο της Ευρώπης, οι διαδικασίες για τον διορισμό των προέδρων ανώτατων δικαστηρίων θα πρέπει να καθορίζονται από τον νόμο, σε αξιοκρατική βάση και αποκλείοντας επισήμως κάθε δυνατότητα πολιτικής επιρροής</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 xml:space="preserve">Ποιότητα </w:t>
      </w:r>
    </w:p>
    <w:p>
      <w:pPr>
        <w:rPr>
          <w:rFonts w:eastAsia="Times New Roman" w:cs="Times New Roman"/>
          <w:noProof/>
          <w:szCs w:val="20"/>
        </w:rPr>
      </w:pPr>
      <w:r>
        <w:rPr>
          <w:b/>
          <w:noProof/>
          <w:szCs w:val="20"/>
        </w:rPr>
        <w:t>Η εφαρμογή του «συμφώνου για το κράτος δικαίου» του 2019 βρίσκεται σε εξέλιξη, αλλά εξακολουθούν να υφίστανται περισσότερο μακροπρόθεσμες προκλήσεις όσον αφορά τις προσλήψεις στο δικαστικό σώμα</w:t>
      </w:r>
      <w:r>
        <w:rPr>
          <w:rStyle w:val="FootnoteReference"/>
          <w:rFonts w:eastAsia="Times New Roman" w:cs="Times New Roman"/>
          <w:noProof/>
          <w:szCs w:val="20"/>
          <w:lang w:eastAsia="fr-FR"/>
        </w:rPr>
        <w:footnoteReference w:id="29"/>
      </w:r>
      <w:r>
        <w:rPr>
          <w:b/>
          <w:noProof/>
          <w:szCs w:val="20"/>
        </w:rPr>
        <w:t xml:space="preserve">. </w:t>
      </w:r>
      <w:r>
        <w:rPr>
          <w:noProof/>
        </w:rPr>
        <w:t>Η δημιουργία και η πλήρωση των 2 000 θέσεων δικαστών και εισαγγελέων στα ομόσπονδα κράτη που προβλέπονται στο σύμφωνο για το κράτος δικαίου προχωρούν. Στα περισσότερα ομόσπονδα κράτη έχουν δημιουργηθεί όλες οι θέσεις σύμφωνα με την κατανομή (ορισμένα εξ αυτών προχώρησαν και πέραν των υποχρεώσεών τους), ενώ στα υπόλοιπα ομόσπονδα κράτη έχει προγραμματιστεί να δημιουργηθούν όλες οι εκκρεμείς θέσεις έως τον Δεκέμβριο του 2021. Δημιουργήθηκαν επίσης οι θέσεις που προβλέπονται σε ομοσπονδιακό επίπεδο</w:t>
      </w:r>
      <w:r>
        <w:rPr>
          <w:rStyle w:val="FootnoteReference"/>
          <w:rFonts w:eastAsia="Times New Roman" w:cs="Times New Roman"/>
          <w:noProof/>
          <w:szCs w:val="20"/>
          <w:lang w:eastAsia="fr-FR"/>
        </w:rPr>
        <w:footnoteReference w:id="30"/>
      </w:r>
      <w:r>
        <w:rPr>
          <w:noProof/>
        </w:rPr>
        <w:t>. Στις 10 Ιουνίου 2021 υποβλήθηκε κοινή έκθεση της Ομοσπονδιακής Κυβέρνησης και των ομόσπονδων κρατών σχετικά με την κατάσταση εφαρμογής του συμφώνου, η οποία κατέληγε στο συμπέρασμα ότι η εφαρμογή έχει σημειώσει ικανοποιητική πρόοδο, επισημαίνοντας ειδικότερα ότι μέχρι στιγμής έχουν δημιουργηθεί περισσότερες από 2 700 θέσεις δικαστών και εισαγγελέων, με τις 2 500 θέσεις να έχουν πληρωθεί</w:t>
      </w:r>
      <w:r>
        <w:rPr>
          <w:rStyle w:val="FootnoteReference"/>
          <w:rFonts w:eastAsia="Times New Roman" w:cs="Times New Roman"/>
          <w:noProof/>
          <w:szCs w:val="20"/>
          <w:lang w:eastAsia="fr-FR"/>
        </w:rPr>
        <w:footnoteReference w:id="31"/>
      </w:r>
      <w:r>
        <w:rPr>
          <w:noProof/>
        </w:rPr>
        <w:t>. Ωστόσο, τα ενδιαφερόμενα μέρη</w:t>
      </w:r>
      <w:r>
        <w:rPr>
          <w:rStyle w:val="FootnoteReference"/>
          <w:rFonts w:eastAsia="Times New Roman" w:cs="Times New Roman"/>
          <w:noProof/>
          <w:szCs w:val="20"/>
          <w:lang w:eastAsia="fr-FR"/>
        </w:rPr>
        <w:footnoteReference w:id="32"/>
      </w:r>
      <w:r>
        <w:rPr>
          <w:noProof/>
        </w:rPr>
        <w:t xml:space="preserve"> θεωρούν ότι απαιτούνται περαιτέρω επενδύσεις, ιδίως λαμβανομένης υπόψη της αύξησης των νέων καθηκόντων του δικαστικού σώματος, και, ως εκ τούτου, πρότειναν την επέκταση του συμφώνου για το κράτος δικαίου. Σε απόφαση της Διάσκεψης των Υπουργών Δικαιοσύνης της 16ης Ιουνίου 2021, τα 16 ομόσπονδα κράτη ζήτησαν από κοινού τη συνέχιση και επέκταση του συμφώνου για το κράτος δικαίου πέραν του 2021, μεταξύ άλλων και για τη χρηματοδότηση επενδύσεων στην ψηφιοποίηση του συστήματος απονομής δικαιοσύνης</w:t>
      </w:r>
      <w:r>
        <w:rPr>
          <w:rStyle w:val="FootnoteReference"/>
          <w:rFonts w:eastAsia="Times New Roman" w:cs="Times New Roman"/>
          <w:noProof/>
          <w:szCs w:val="20"/>
          <w:lang w:eastAsia="fr-FR"/>
        </w:rPr>
        <w:footnoteReference w:id="33"/>
      </w:r>
      <w:r>
        <w:rPr>
          <w:noProof/>
        </w:rPr>
        <w:t>. Όπως έχει ήδη επισημανθεί στην έκθεση του 2020 για το κράτος δικαίου, εξακολουθούν να υπάρχουν προκλήσεις όσον αφορά τη μακροπρόθεσμη κατάσταση των προσλήψεων για τα δικαστήρια και τις εισαγγελικές υπηρεσίες, λαμβανομένων υπόψη των επικείμενων κυμάτων συνταξιοδότησης</w:t>
      </w:r>
      <w:r>
        <w:rPr>
          <w:rStyle w:val="FootnoteReference"/>
          <w:rFonts w:eastAsia="Times New Roman" w:cs="Times New Roman"/>
          <w:noProof/>
          <w:szCs w:val="20"/>
          <w:lang w:eastAsia="fr-FR"/>
        </w:rPr>
        <w:footnoteReference w:id="34"/>
      </w:r>
      <w:r>
        <w:rPr>
          <w:noProof/>
        </w:rPr>
        <w:t>· τα ενδιαφερόμενα μέρη εξακολουθούν να επισημαίνουν το ζήτημα της ανταγωνιστικότητας των μισθών στην κατώτερη βαθμίδα για τους δικαστές και τους εισαγγελείς και τις συνεχιζόμενες διαφορές στα επίπεδα των μισθών στα διάφορα ομόσπονδα κράτη στο πλαίσιο αυτό</w:t>
      </w:r>
      <w:r>
        <w:rPr>
          <w:rStyle w:val="FootnoteReference"/>
          <w:rFonts w:eastAsia="Times New Roman" w:cs="Times New Roman"/>
          <w:noProof/>
          <w:szCs w:val="20"/>
          <w:lang w:eastAsia="fr-FR"/>
        </w:rPr>
        <w:footnoteReference w:id="35"/>
      </w:r>
      <w:r>
        <w:rPr>
          <w:noProof/>
        </w:rPr>
        <w:t>. Τα ομόσπονδα κράτη, ιδίως στο ανατολικό τμήμα της Γερμανίας, αναλαμβάνουν ορισμένες πρωτοβουλίες για την προσέλκυση πτυχιούχων σε δικαστικά επαγγέλματα ενόψει της συνταξιοδότησης των δικαστών που προσλήφθηκαν μετά την επανένωση</w:t>
      </w:r>
      <w:r>
        <w:rPr>
          <w:rStyle w:val="FootnoteReference"/>
          <w:rFonts w:eastAsia="Times New Roman" w:cs="Times New Roman"/>
          <w:noProof/>
          <w:szCs w:val="20"/>
          <w:lang w:eastAsia="fr-FR"/>
        </w:rPr>
        <w:footnoteReference w:id="36"/>
      </w:r>
      <w:r>
        <w:rPr>
          <w:noProof/>
        </w:rPr>
        <w:t xml:space="preserve">.  </w:t>
      </w:r>
    </w:p>
    <w:p>
      <w:pPr>
        <w:rPr>
          <w:rFonts w:eastAsia="Times New Roman" w:cs="Times New Roman"/>
          <w:noProof/>
          <w:szCs w:val="20"/>
        </w:rPr>
      </w:pPr>
      <w:r>
        <w:rPr>
          <w:b/>
          <w:noProof/>
          <w:szCs w:val="20"/>
        </w:rPr>
        <w:t>Οι προσπάθειες για τη βελτίωση της ψηφιοποίησης του συστήματος απονομής δικαιοσύνης συνεχίζονται, ακόμη και στο πλαίσιο της πανδημίας COVID-19</w:t>
      </w:r>
      <w:r>
        <w:rPr>
          <w:rStyle w:val="FootnoteReference"/>
          <w:rFonts w:eastAsia="Times New Roman" w:cs="Times New Roman"/>
          <w:noProof/>
          <w:szCs w:val="20"/>
          <w:lang w:eastAsia="fr-FR"/>
        </w:rPr>
        <w:footnoteReference w:id="37"/>
      </w:r>
      <w:r>
        <w:rPr>
          <w:b/>
          <w:noProof/>
          <w:szCs w:val="20"/>
        </w:rPr>
        <w:t xml:space="preserve">. </w:t>
      </w:r>
      <w:r>
        <w:rPr>
          <w:noProof/>
        </w:rPr>
        <w:t>Στη Γερμανία εφαρμόζονται διεξοδικοί δικονομικοί κανόνες για τη χρήση ψηφιακών εργαλείων σε αστικές και διοικητικές διαδικασίες. Ωστόσο, είναι λιγότερο ανεπτυγμένες στις κύριες ακροάσεις σε ποινικές διαδικασίες, ειδικά όσον αφορά τη δυνατότητα διεξαγωγής προφορικής διαδικασίας μέσω εξ αποστάσεως επικοινωνίας με τον κατηγορούμενο</w:t>
      </w:r>
      <w:r>
        <w:rPr>
          <w:rStyle w:val="FootnoteReference"/>
          <w:rFonts w:eastAsia="Times New Roman" w:cs="Times New Roman"/>
          <w:noProof/>
          <w:szCs w:val="20"/>
          <w:lang w:eastAsia="fr-FR"/>
        </w:rPr>
        <w:footnoteReference w:id="38"/>
      </w:r>
      <w:r>
        <w:rPr>
          <w:noProof/>
        </w:rPr>
        <w:t>. Τα εργαλεία ηλεκτρονικής επικοινωνίας για τα δικαστήρια και τις εισαγγελικές υπηρεσίες εφαρμόζονται πλήρως</w:t>
      </w:r>
      <w:r>
        <w:rPr>
          <w:rStyle w:val="FootnoteReference"/>
          <w:rFonts w:eastAsia="Times New Roman" w:cs="Times New Roman"/>
          <w:noProof/>
          <w:szCs w:val="20"/>
          <w:lang w:eastAsia="fr-FR"/>
        </w:rPr>
        <w:footnoteReference w:id="39"/>
      </w:r>
      <w:r>
        <w:rPr>
          <w:noProof/>
        </w:rPr>
        <w:t>. Μολονότι οι ψηφιακές λύσεις για την κίνηση και την παρακολούθηση διαδικασιών σε αστικές και διοικητικές υποθέσεις είναι επαρκώς ανεπτυγμένες, αυτό στην πράξη δεν ισχύει στον ίδιο βαθμό για τις ποινικές υποθέσεις</w:t>
      </w:r>
      <w:r>
        <w:rPr>
          <w:rStyle w:val="FootnoteReference"/>
          <w:rFonts w:eastAsia="Times New Roman" w:cs="Times New Roman"/>
          <w:noProof/>
          <w:szCs w:val="20"/>
          <w:lang w:eastAsia="fr-FR"/>
        </w:rPr>
        <w:footnoteReference w:id="40"/>
      </w:r>
      <w:r>
        <w:rPr>
          <w:noProof/>
        </w:rPr>
        <w:t>. Τα τρία έργα σε επίπεδο ομόσπονδων κρατών για την καθιέρωση ηλεκτρονικών αρχείων προχωρούν ενόψει του γενικού στόχου της πλήρους μετάβασης σε ηλεκτρονικά αρχεία έως το 2026. Η Ομοσπονδιακή Κυβέρνηση, σε συνεργασία με τα ομόσπονδα κράτη και τα ομοσπονδιακά δικαστήρια, αναπτύσσει σειρά περαιτέρω έργων ψηφιοποίησης, συμπεριλαμβανομένης της δημιουργίας κοινής πλατφόρμας βιντεοδιασκέψεων για όλα τα δικαστήρια, καθώς και εφαρμογής ΤΠ που θα επιτρέπει στους πολίτες να λαμβάνουν βοήθεια κατά την υποβολή αξιώσεων στο δικαστήριο</w:t>
      </w:r>
      <w:r>
        <w:rPr>
          <w:rStyle w:val="FootnoteReference"/>
          <w:rFonts w:eastAsia="Times New Roman" w:cs="Times New Roman"/>
          <w:noProof/>
          <w:szCs w:val="20"/>
          <w:lang w:eastAsia="fr-FR"/>
        </w:rPr>
        <w:footnoteReference w:id="41"/>
      </w:r>
      <w:r>
        <w:rPr>
          <w:noProof/>
        </w:rPr>
        <w:t>. Η κυβέρνηση και τα ενδιαφερόμενα μέρη αναφέρουν ότι, στο πλαίσιο της πανδημίας COVID-19, οι υφιστάμενες δυνατότητες για ψηφιακές ακροάσεις που προβλέπονται στον κώδικα πολιτικής δικονομίας διευκόλυναν τη συνέχιση της δραστηριότητας των δικαστηρίων</w:t>
      </w:r>
      <w:r>
        <w:rPr>
          <w:rStyle w:val="FootnoteReference"/>
          <w:rFonts w:eastAsia="Times New Roman" w:cs="Times New Roman"/>
          <w:noProof/>
          <w:szCs w:val="20"/>
          <w:lang w:eastAsia="fr-FR"/>
        </w:rPr>
        <w:footnoteReference w:id="42"/>
      </w:r>
      <w:r>
        <w:rPr>
          <w:noProof/>
        </w:rPr>
        <w:t xml:space="preserve">. </w:t>
      </w:r>
    </w:p>
    <w:p>
      <w:pPr>
        <w:rPr>
          <w:rFonts w:eastAsia="Times New Roman" w:cs="Times New Roman"/>
          <w:noProof/>
        </w:rPr>
      </w:pPr>
      <w:r>
        <w:rPr>
          <w:b/>
          <w:bCs/>
          <w:noProof/>
        </w:rPr>
        <w:t xml:space="preserve">Σε αρκετά ομόσπονδα κράτη έχουν συσταθεί εξειδικευμένα εμποροδικεία που επικεντρώνονται σε διεθνείς διαφορές. </w:t>
      </w:r>
      <w:r>
        <w:rPr>
          <w:noProof/>
        </w:rPr>
        <w:t>Τον Νοέμβριο του 2020 ένα νέο εμποροδικείο, αρμόδιο για εμπορικές υποθέσεις μεγάλης αξίας, ιδίως με διεθνή διάσταση</w:t>
      </w:r>
      <w:r>
        <w:rPr>
          <w:rStyle w:val="FootnoteReference"/>
          <w:rFonts w:eastAsia="Times New Roman" w:cs="Times New Roman"/>
          <w:noProof/>
          <w:lang w:eastAsia="fr-FR"/>
        </w:rPr>
        <w:footnoteReference w:id="43"/>
      </w:r>
      <w:r>
        <w:rPr>
          <w:noProof/>
        </w:rPr>
        <w:t>, ξεκίνησε τις εργασίες του στη Βάδη-Βιρτεμβέργη, με έδρες στο Μανχάιμ και στη Στουτγάρδη</w:t>
      </w:r>
      <w:r>
        <w:rPr>
          <w:rStyle w:val="FootnoteReference"/>
          <w:rFonts w:eastAsia="Times New Roman" w:cs="Times New Roman"/>
          <w:noProof/>
          <w:lang w:eastAsia="fr-FR"/>
        </w:rPr>
        <w:footnoteReference w:id="44"/>
      </w:r>
      <w:r>
        <w:rPr>
          <w:noProof/>
        </w:rPr>
        <w:t>. Οι διαδικασίες στο δικαστήριο μπορούν να διεξάγονται αποκλειστικά στην αγγλική γλώσσα κατόπιν αιτήματος των διαδίκων. Παρόμοια εξειδικευμένα τμήματα τα οποία ασχολούνται με εμπορικές διαφορές, με δυνατότητα διεξαγωγής των διαδικασιών στην αγγλική γλώσσα, είχαν ήδη συσταθεί σε δικαστήρια της Έσης, της Βόρειας Ρηνανίας - Βεστφαλίας και του Σάαρ</w:t>
      </w:r>
      <w:r>
        <w:rPr>
          <w:rStyle w:val="FootnoteReference"/>
          <w:rFonts w:eastAsia="Times New Roman" w:cs="Times New Roman"/>
          <w:noProof/>
          <w:lang w:eastAsia="fr-FR"/>
        </w:rPr>
        <w:footnoteReference w:id="45"/>
      </w:r>
      <w:r>
        <w:rPr>
          <w:noProof/>
        </w:rPr>
        <w:t>.</w:t>
      </w:r>
      <w:r>
        <w:rPr>
          <w:b/>
          <w:bCs/>
          <w:noProof/>
        </w:rPr>
        <w:t xml:space="preserve"> </w:t>
      </w:r>
      <w:r>
        <w:rPr>
          <w:noProof/>
        </w:rPr>
        <w:t>Ο γενικός στόχος αυτών των πρωτοβουλιών είναι να αυξηθεί η ελκυστικότητα της Γερμανίας ως τόπου εκδίκασης διεθνών εμπορικών διαφορών. Σε έγγραφο θέσης που εγκρίθηκε από τη Διάσκεψη των Υπουργών Δικαιοσύνης των ομόσπονδων κρατών τον Νοέμβριο του 2020, τα ομόσπονδα κράτη ζητούν τη δημιουργία των νομικών προϋποθέσεων για την προαιρετική σύσταση εμποροδικείων που θα ασχολούνται αποκλειστικά με εμπορικές υποθέσεις που έχουν διεθνή διάσταση, αξίας άνω των 2 εκατ. EUR, για τις οποίες οι διαδικασίες θα διεξάγονται στα αγγλικά</w:t>
      </w:r>
      <w:r>
        <w:rPr>
          <w:rStyle w:val="FootnoteReference"/>
          <w:rFonts w:eastAsia="Times New Roman" w:cs="Times New Roman"/>
          <w:noProof/>
          <w:lang w:eastAsia="fr-FR"/>
        </w:rPr>
        <w:footnoteReference w:id="46"/>
      </w:r>
      <w:r>
        <w:rPr>
          <w:noProof/>
        </w:rPr>
        <w:t>. Τον Μάιο του 2021 υποβλήθηκε στην Ομοσπονδιακή Βουλή (Bundestag) νομοσχέδιο που κατατέθηκε στο Ομοσπονδιακό Συμβούλιο (Bundesrat) από τη Βόρεια Ρηνανία - Βεστφαλία και το Αμβούργο, στο οποίο προτείνονται τροποποιήσεις του νόμου για τη σύσταση δικαστηρίων προκειμένου να καταστεί δυνατή η ίδρυση τέτοιων δικαστηρίων</w:t>
      </w:r>
      <w:r>
        <w:rPr>
          <w:rStyle w:val="FootnoteReference"/>
          <w:rFonts w:eastAsia="Times New Roman" w:cs="Times New Roman"/>
          <w:noProof/>
          <w:lang w:eastAsia="fr-FR"/>
        </w:rPr>
        <w:footnoteReference w:id="47"/>
      </w:r>
      <w:r>
        <w:rPr>
          <w:noProof/>
        </w:rPr>
        <w:t xml:space="preserve">.  </w:t>
      </w:r>
    </w:p>
    <w:p>
      <w:pPr>
        <w:pStyle w:val="Heading2"/>
        <w:rPr>
          <w:noProof/>
        </w:rPr>
      </w:pPr>
      <w:r>
        <w:rPr>
          <w:noProof/>
        </w:rPr>
        <w:t>Αποδοτικότητα</w:t>
      </w:r>
    </w:p>
    <w:p>
      <w:pPr>
        <w:rPr>
          <w:rFonts w:eastAsia="Times New Roman" w:cs="Times New Roman"/>
          <w:noProof/>
          <w:szCs w:val="20"/>
        </w:rPr>
      </w:pPr>
      <w:r>
        <w:rPr>
          <w:b/>
          <w:noProof/>
          <w:szCs w:val="20"/>
        </w:rPr>
        <w:t>Το σύστημα απονομής δικαιοσύνης εξακολουθεί να λειτουργεί αποδοτικά και παρουσιάζει βελτιώσεις όσον αφορά την αποδοτικότητα στις διοικητικές υποθέσεις</w:t>
      </w:r>
      <w:r>
        <w:rPr>
          <w:rStyle w:val="FootnoteReference"/>
          <w:rFonts w:eastAsia="Times New Roman" w:cs="Times New Roman"/>
          <w:b/>
          <w:noProof/>
          <w:szCs w:val="20"/>
          <w:lang w:eastAsia="fr-FR"/>
        </w:rPr>
        <w:footnoteReference w:id="48"/>
      </w:r>
      <w:r>
        <w:rPr>
          <w:b/>
          <w:noProof/>
          <w:szCs w:val="20"/>
        </w:rPr>
        <w:t xml:space="preserve">. </w:t>
      </w:r>
      <w:r>
        <w:rPr>
          <w:noProof/>
        </w:rPr>
        <w:t>Τόσο ο χρόνος εκδίκασης (από 435 ημέρες το 2018 σε 397 ημέρες το 2019) όσο και το ποσοστό διεκπεραίωσης (από 97,1 % το 2018 σε 109 % το 2019) βελτιώθηκαν όσον αφορά τις διοικητικές υποθέσεις το 2019, αντιστρέφοντας την τάση των προηγούμενων ετών, κατά τα οποία η αποδοτικότητα των διοικητικών υποθέσεων είχε μειωθεί</w:t>
      </w:r>
      <w:r>
        <w:rPr>
          <w:rStyle w:val="FootnoteReference"/>
          <w:rFonts w:eastAsia="Times New Roman" w:cs="Times New Roman"/>
          <w:noProof/>
          <w:szCs w:val="20"/>
          <w:lang w:eastAsia="fr-FR"/>
        </w:rPr>
        <w:footnoteReference w:id="49"/>
      </w:r>
      <w:r>
        <w:rPr>
          <w:noProof/>
        </w:rPr>
        <w:t>. Αυτή η αύξηση της αποδοτικότητας οδήγησε επίσης σε μείωση του αριθμού των εκκρεμών διοικητικών υποθέσεων, παρότι παραμένει σχετικά υψηλή με 1,0 υπόθεση ανά 100 κατοίκους</w:t>
      </w:r>
      <w:r>
        <w:rPr>
          <w:rStyle w:val="FootnoteReference"/>
          <w:noProof/>
          <w:lang w:eastAsia="fr-FR"/>
        </w:rPr>
        <w:footnoteReference w:id="50"/>
      </w:r>
      <w:r>
        <w:rPr>
          <w:noProof/>
        </w:rPr>
        <w:t>. Όσον αφορά τις αστικές και εμπορικές υποθέσεις αμφισβητούμενης δικαιοδοσίας, οι δείκτες επιδόσεων παρέμειναν σταθεροί (με τη διεκπεραίωση να βελτιώνεται ελαφρώς από 97,2 % το 2018 σε 98,8 % το 2019)</w:t>
      </w:r>
      <w:r>
        <w:rPr>
          <w:rStyle w:val="FootnoteReference"/>
          <w:rFonts w:eastAsia="Times New Roman" w:cs="Times New Roman"/>
          <w:noProof/>
          <w:szCs w:val="20"/>
          <w:lang w:eastAsia="fr-FR"/>
        </w:rPr>
        <w:footnoteReference w:id="51"/>
      </w:r>
      <w:r>
        <w:rPr>
          <w:noProof/>
        </w:rPr>
        <w:t>. Σύμφωνα με τα ενδιαφερόμενα μέρη, δεν φαίνεται να υπάρχει σημαντικός αντίκτυπος της πανδημίας COVID-19 στην αποδοτικότητα του συστήματος απονομής δικαιοσύνης μέχρι στιγμής</w:t>
      </w:r>
      <w:r>
        <w:rPr>
          <w:rStyle w:val="FootnoteReference"/>
          <w:rFonts w:eastAsia="Times New Roman" w:cs="Times New Roman"/>
          <w:noProof/>
          <w:szCs w:val="20"/>
          <w:lang w:eastAsia="fr-FR"/>
        </w:rPr>
        <w:footnoteReference w:id="52"/>
      </w:r>
      <w:r>
        <w:rPr>
          <w:noProof/>
        </w:rPr>
        <w:t>. Προκειμένου να κατανοήσει για ποιον λόγο ο αριθμός των εισερχόμενων αστικών υποθέσεων μειώνεται σταθερά, το Υπουργείο Δικαιοσύνης ανέθεσε την εκπόνηση μελέτης σχετικά με το θέμα αυτό</w:t>
      </w:r>
      <w:r>
        <w:rPr>
          <w:rStyle w:val="FootnoteReference"/>
          <w:rFonts w:eastAsia="Times New Roman" w:cs="Times New Roman"/>
          <w:noProof/>
          <w:szCs w:val="20"/>
          <w:lang w:eastAsia="fr-FR"/>
        </w:rPr>
        <w:footnoteReference w:id="53"/>
      </w:r>
      <w:r>
        <w:rPr>
          <w:noProof/>
        </w:rPr>
        <w:t xml:space="preserve">. </w:t>
      </w:r>
    </w:p>
    <w:p>
      <w:pPr>
        <w:pStyle w:val="Heading1"/>
        <w:rPr>
          <w:noProof/>
        </w:rPr>
      </w:pPr>
      <w:r>
        <w:rPr>
          <w:noProof/>
        </w:rPr>
        <w:t xml:space="preserve">Πλαίσιο για την αντιμετώπιση της διαφθοράς </w:t>
      </w:r>
    </w:p>
    <w:p>
      <w:pPr>
        <w:rPr>
          <w:rFonts w:eastAsia="Times New Roman" w:cs="Times New Roman"/>
          <w:noProof/>
        </w:rPr>
      </w:pPr>
      <w:r>
        <w:rPr>
          <w:noProof/>
          <w:color w:val="000000"/>
          <w:bdr w:val="none" w:sz="0" w:space="0" w:color="auto" w:frame="1"/>
        </w:rPr>
        <w:t xml:space="preserve">Η Γερμανία διαθέτει διάφορες αρχές που είναι αρμόδιες για την πρόληψη της διαφθοράς σε ομοσπονδιακό επίπεδο, στις οποίες περιλαμβάνονται το Ομοσπονδιακό Υπουργείο Εσωτερικών, Στέγασης και Εθνικών Θεμάτων και ο Ανώτατος Ελεγκτικός Φορέας. Η οδηγία του 2004 σχετικά με την πρόληψη της διαφθοράς στην ομοσπονδιακή διοίκηση, η οποία παρέχει το στρατηγικό νομικό πλαίσιο για την πρόληψη της διαφθοράς στην ομοσπονδιακή δημόσια διοίκηση, βρίσκεται επί του παρόντος σε διαδικασία αναθεώρησης. </w:t>
      </w:r>
      <w:r>
        <w:rPr>
          <w:noProof/>
          <w:bdr w:val="none" w:sz="0" w:space="0" w:color="auto" w:frame="1"/>
        </w:rPr>
        <w:t>Οι</w:t>
      </w:r>
      <w:r>
        <w:rPr>
          <w:noProof/>
          <w:color w:val="000000"/>
          <w:bdr w:val="none" w:sz="0" w:space="0" w:color="auto" w:frame="1"/>
        </w:rPr>
        <w:t xml:space="preserve"> συμπληρωματικοί λεπτομερείς κανόνες σχετικά με τα δώρα και τις εξυπηρετήσεις για τους ομοσπονδιακούς δημόσιους υπαλλήλους και, στο πλαίσιο της οδηγίας για την πρόληψη της διαφθοράς, επίσης οι ολοκληρωμένοι κώδικες δεοντολογίας με στόχο την πρόληψη της διαφθοράς σε ομοσπονδιακό επίπεδο, βρίσκονται επί του παρόντος σε διαδικασία αναθεώρησης. Όσον αφορά την καταστολή της διαφθοράς, η Γερμανία ακολουθεί αποκεντρωμένη προσέγγιση. </w:t>
      </w:r>
      <w:r>
        <w:rPr>
          <w:noProof/>
          <w:color w:val="000000" w:themeColor="text1"/>
        </w:rPr>
        <w:t>Τα δεκαέξι ομόσπονδα κράτη (</w:t>
      </w:r>
      <w:r>
        <w:rPr>
          <w:i/>
          <w:noProof/>
          <w:color w:val="000000" w:themeColor="text1"/>
        </w:rPr>
        <w:t>Länder</w:t>
      </w:r>
      <w:r>
        <w:rPr>
          <w:noProof/>
          <w:color w:val="000000" w:themeColor="text1"/>
        </w:rPr>
        <w:t>) είναι υπεύθυνα για τη διερεύνηση και τη δίωξη αδικημάτων διαφθοράς σε ολόκληρη τη Γερμανία. Ορισμένα ομόσπονδα κράτη διαθέτουν εξειδικευμένες αστυνομικές και εισαγγελικές υπηρεσίες για τη διαφθορά.</w:t>
      </w:r>
      <w:r>
        <w:rPr>
          <w:noProof/>
          <w:color w:val="000000"/>
          <w:bdr w:val="none" w:sz="0" w:space="0" w:color="auto" w:frame="1"/>
        </w:rPr>
        <w:t xml:space="preserve"> Η Ομοσπονδιακή Αστυνομία Δίωξης του Εγκλήματος διαδραματίζει ρόλο στην ανταλλαγή πληροφοριών μεταξύ του διεθνούς και του τοπικού επιπέδου, καθώς και μεταξύ των αστυνομικών υπηρεσιών σε επίπεδο ομόσπονδων κρατών. </w:t>
      </w:r>
    </w:p>
    <w:p>
      <w:pPr>
        <w:rPr>
          <w:rFonts w:eastAsia="Times New Roman" w:cs="Times New Roman"/>
          <w:noProof/>
          <w:szCs w:val="20"/>
        </w:rPr>
      </w:pPr>
      <w:r>
        <w:rPr>
          <w:b/>
          <w:noProof/>
          <w:szCs w:val="20"/>
        </w:rPr>
        <w:t xml:space="preserve">Σύμφωνα με την αντίληψη εμπειρογνωμόνων και διευθυντικών στελεχών επιχειρήσεων, το επίπεδο διαφθοράς στον δημόσιο τομέα παραμένει χαμηλό. </w:t>
      </w:r>
      <w:r>
        <w:rPr>
          <w:noProof/>
        </w:rPr>
        <w:t>Στον δείκτη αντίληψης της διαφθοράς της Διεθνούς Διαφάνειας για το 2020, η Γερμανία βαθμολογήθηκε με 80/100, και καταλαμβάνει την 4η θέση στην Ευρωπαϊκή Ένωση και την 9η παγκοσμίως</w:t>
      </w:r>
      <w:r>
        <w:rPr>
          <w:rFonts w:eastAsia="Times New Roman" w:cs="Times New Roman"/>
          <w:bCs/>
          <w:noProof/>
          <w:szCs w:val="20"/>
          <w:vertAlign w:val="superscript"/>
          <w:lang w:eastAsia="fr-FR"/>
        </w:rPr>
        <w:footnoteReference w:id="54"/>
      </w:r>
      <w:r>
        <w:rPr>
          <w:noProof/>
        </w:rPr>
        <w:t>. Η αντίληψη αυτή παραμένει σχετικά σταθερή</w:t>
      </w:r>
      <w:r>
        <w:rPr>
          <w:rFonts w:eastAsia="Times New Roman" w:cs="Times New Roman"/>
          <w:noProof/>
          <w:szCs w:val="20"/>
          <w:vertAlign w:val="superscript"/>
          <w:lang w:eastAsia="fr-FR"/>
        </w:rPr>
        <w:footnoteReference w:id="55"/>
      </w:r>
      <w:r>
        <w:rPr>
          <w:noProof/>
        </w:rPr>
        <w:t xml:space="preserve"> κατά την τελευταία πενταετία</w:t>
      </w:r>
      <w:r>
        <w:rPr>
          <w:rFonts w:eastAsia="Times New Roman" w:cs="Times New Roman"/>
          <w:noProof/>
          <w:szCs w:val="20"/>
          <w:vertAlign w:val="superscript"/>
          <w:lang w:eastAsia="fr-FR"/>
        </w:rPr>
        <w:footnoteReference w:id="56"/>
      </w:r>
      <w:r>
        <w:rPr>
          <w:noProof/>
        </w:rPr>
        <w:t>.</w:t>
      </w:r>
    </w:p>
    <w:p>
      <w:pPr>
        <w:rPr>
          <w:rFonts w:eastAsia="Times New Roman" w:cs="Times New Roman"/>
          <w:noProof/>
          <w:szCs w:val="20"/>
        </w:rPr>
      </w:pPr>
      <w:r>
        <w:rPr>
          <w:b/>
          <w:noProof/>
          <w:szCs w:val="20"/>
        </w:rPr>
        <w:t>Η Γερμανία έχει δρομολογήσει αναθεώρηση του συνολικού στρατηγικού πλαισίου της για την πρόληψη της διαφθοράς σε ομοσπονδιακό επίπεδο.</w:t>
      </w:r>
      <w:r>
        <w:rPr>
          <w:noProof/>
        </w:rPr>
        <w:t xml:space="preserve"> Στο πλαίσιο αυτό, προγραμματίζονται επικαιροποιήσεις βάσει της «οδηγίας της Ομοσπονδιακής Κυβέρνησης σχετικά με την πρόληψη της διαφθοράς στην ομοσπονδιακή διοίκηση»</w:t>
      </w:r>
      <w:r>
        <w:rPr>
          <w:rFonts w:eastAsia="Times New Roman" w:cs="Times New Roman"/>
          <w:noProof/>
          <w:szCs w:val="20"/>
          <w:vertAlign w:val="superscript"/>
          <w:lang w:eastAsia="fr-FR"/>
        </w:rPr>
        <w:footnoteReference w:id="57"/>
      </w:r>
      <w:r>
        <w:rPr>
          <w:noProof/>
        </w:rPr>
        <w:t xml:space="preserve"> του 2004, η οποία αποτελεί το κύριο κανονιστικό πλαίσιο για την πρόληψη της διαφθοράς, μεταξύ άλλων όσον αφορά τις αναλύσεις κινδύνου διαφθοράς</w:t>
      </w:r>
      <w:r>
        <w:rPr>
          <w:rFonts w:eastAsia="Times New Roman" w:cs="Times New Roman"/>
          <w:noProof/>
          <w:szCs w:val="20"/>
          <w:vertAlign w:val="superscript"/>
          <w:lang w:eastAsia="fr-FR"/>
        </w:rPr>
        <w:footnoteReference w:id="58"/>
      </w:r>
      <w:r>
        <w:rPr>
          <w:noProof/>
        </w:rPr>
        <w:t>. Οι κανόνες του 2004 σχετικά με την απαγόρευση αποδοχής εξυπηρετήσεων και δώρων βρίσκονται επίσης επί του παρόντος σε διαδικασία αναθεώρησης προκειμένου να αξιολογηθεί αν απαιτούνται πιο επικαιροποιημένοι και εναρμονισμένοι κανόνες και αυξημένη ασφάλεια δικαίου</w:t>
      </w:r>
      <w:r>
        <w:rPr>
          <w:rFonts w:eastAsia="Times New Roman" w:cs="Times New Roman"/>
          <w:noProof/>
          <w:szCs w:val="20"/>
          <w:vertAlign w:val="superscript"/>
          <w:lang w:eastAsia="fr-FR"/>
        </w:rPr>
        <w:footnoteReference w:id="59"/>
      </w:r>
      <w:r>
        <w:rPr>
          <w:noProof/>
        </w:rPr>
        <w:t>. Για πρώτη φορά, η Γερμανία θα δημοσιεύσει ολοκληρωμένη συγκεφαλαιωτική έκθεση σχετικά με την ακεραιότητα στην ομοσπονδιακή δημόσια διοίκηση το 2021</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Λόγω της ομοσπονδιακής δομής, το θεσμικό πλαίσιο της Γερμανίας για την καταπολέμηση της διαφθοράς, το οποίο αποσκοπεί στην καταστολή της διαφθοράς, είναι αποκεντρωμένο.</w:t>
      </w:r>
      <w:r>
        <w:rPr>
          <w:noProof/>
        </w:rPr>
        <w:t xml:space="preserve"> Τα δεκαέξι γερμανικά ομόσπονδα κράτη είναι αρμόδια για την καταστολή της διαφθοράς</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Οι αρμοδιότητες των δεκαέξι Υπουργείων Εσωτερικών σε επίπεδο ομόσπονδων κρατών εξαρτώνται από το νομοθετικό πλαίσιο του αντίστοιχου ομόσπονδου κράτους. Μπορεί να περιλαμβάνουν τον συντονισμό της πολιτικής και την πρόληψη της διαφθοράς, καθώς και —σε ορισμένες περιπτώσεις— ερευνητικά καθήκοντα</w:t>
      </w:r>
      <w:r>
        <w:rPr>
          <w:rStyle w:val="FootnoteReference"/>
          <w:rFonts w:eastAsia="Times New Roman" w:cs="Times New Roman"/>
          <w:noProof/>
          <w:szCs w:val="20"/>
          <w:lang w:eastAsia="fr-FR"/>
        </w:rPr>
        <w:footnoteReference w:id="62"/>
      </w:r>
      <w:r>
        <w:rPr>
          <w:noProof/>
        </w:rPr>
        <w:t>. Η αστυνομία, συμπεριλαμβανομένης της αστυνομίας δίωξης του εγκλήματος των ομόσπονδων κρατών (</w:t>
      </w:r>
      <w:r>
        <w:rPr>
          <w:i/>
          <w:noProof/>
          <w:szCs w:val="20"/>
        </w:rPr>
        <w:t>Landeskriminalämter</w:t>
      </w:r>
      <w:r>
        <w:rPr>
          <w:noProof/>
        </w:rPr>
        <w:t>) και της τοπικής αστυνομίας, υπόκειται στο δίκαιο των δεκαέξι ομόσπονδων κρατών. Ορισμένα ομόσπονδα κράτη έχουν δημιουργήσει εξειδικευμένες αστυνομικές μονάδες και εξειδικευμένες εισαγγελικές υπηρεσίες που εστιάζουν ειδικά στις έρευνες και ποινικές διώξεις του οικονομικού εγκλήματος και της διαφθοράς</w:t>
      </w:r>
      <w:r>
        <w:rPr>
          <w:rFonts w:eastAsia="Times New Roman" w:cs="Times New Roman"/>
          <w:noProof/>
          <w:szCs w:val="20"/>
          <w:vertAlign w:val="superscript"/>
          <w:lang w:eastAsia="fr-FR"/>
        </w:rPr>
        <w:footnoteReference w:id="63"/>
      </w:r>
      <w:r>
        <w:rPr>
          <w:noProof/>
        </w:rPr>
        <w:t>. Για την εκδίκαση των υποθέσεων διαφθοράς, υπάρχουν ειδικά ποινικά τμήματα στα πρωτοδικεία, τα οποία ειδικεύονται στο οικονομικό έγκλημα, συμπεριλαμβανομένης της διαφθοράς. Η Ομοσπονδιακή Αστυνομία Δίωξης του Εγκλήματος (</w:t>
      </w:r>
      <w:r>
        <w:rPr>
          <w:i/>
          <w:noProof/>
          <w:szCs w:val="20"/>
        </w:rPr>
        <w:t>Bundeskriminalamt</w:t>
      </w:r>
      <w:r>
        <w:rPr>
          <w:noProof/>
        </w:rPr>
        <w:t xml:space="preserve">) διαδραματίζει ουσιαστικό ρόλο στη συνεργασία και την ανταλλαγή πληροφοριών μεταξύ των ομόσπονδων κρατών και με διεθνείς εταίρους στις ποινικές έρευνες. </w:t>
      </w:r>
    </w:p>
    <w:p>
      <w:pPr>
        <w:rPr>
          <w:rFonts w:eastAsia="Times New Roman" w:cs="Times New Roman"/>
          <w:noProof/>
          <w:szCs w:val="20"/>
        </w:rPr>
      </w:pPr>
      <w:r>
        <w:rPr>
          <w:b/>
          <w:noProof/>
          <w:szCs w:val="20"/>
        </w:rPr>
        <w:t>Ο αριθμός των αναφερόμενων περιπτώσεων διαφθοράς έχει αυξηθεί,</w:t>
      </w:r>
      <w:r>
        <w:rPr>
          <w:noProof/>
        </w:rPr>
        <w:t xml:space="preserve"> </w:t>
      </w:r>
      <w:r>
        <w:rPr>
          <w:b/>
          <w:noProof/>
          <w:szCs w:val="24"/>
        </w:rPr>
        <w:t>αλλά η συνολική οικονομική ζημία που προκαλείται από τη διαφθορά στην κοινωνία μειώνεται.</w:t>
      </w:r>
      <w:r>
        <w:rPr>
          <w:b/>
          <w:noProof/>
          <w:szCs w:val="20"/>
        </w:rPr>
        <w:t xml:space="preserve"> </w:t>
      </w:r>
      <w:r>
        <w:rPr>
          <w:noProof/>
        </w:rPr>
        <w:t>Υπάρχουν δημοσιευμένες πληροφορίες σχετικά με τις προσπάθειες της γερμανικής αστυνομίας για την καταστολή της διαφθοράς, η οποία είναι σε μεγάλο βαθμό ποινικοποιημένη</w:t>
      </w:r>
      <w:r>
        <w:rPr>
          <w:rFonts w:eastAsia="Times New Roman" w:cs="Times New Roman"/>
          <w:noProof/>
          <w:szCs w:val="20"/>
          <w:vertAlign w:val="superscript"/>
          <w:lang w:eastAsia="fr-FR"/>
        </w:rPr>
        <w:footnoteReference w:id="64"/>
      </w:r>
      <w:r>
        <w:rPr>
          <w:noProof/>
        </w:rPr>
        <w:t>. Στην τελευταία επίσημη έκθεση της ομοσπονδιακής αστυνομίας σχετικά με τη διαφθορά αναφέρονται 5 428 υποθέσεις διαφθοράς που καταγράφηκαν από την αστυνομία το 2019</w:t>
      </w:r>
      <w:r>
        <w:rPr>
          <w:rFonts w:eastAsia="Times New Roman" w:cs="Times New Roman"/>
          <w:noProof/>
          <w:szCs w:val="20"/>
          <w:vertAlign w:val="superscript"/>
          <w:lang w:eastAsia="fr-FR"/>
        </w:rPr>
        <w:footnoteReference w:id="65"/>
      </w:r>
      <w:r>
        <w:rPr>
          <w:noProof/>
        </w:rPr>
        <w:t>. Πρόκειται για σημαντική αύξηση κατά 42,7 % σε σύγκριση με το 2018. Η έκθεση δείχνει επίσης ελαφρά αύξηση του αριθμού των υπόπτων κατά 3,3 %. Από τα άτομα που αποδέχθηκαν δωροδοκία, το 67 % ήταν δημόσιοι λειτουργοί. Οι δημόσιες συμβάσεις είναι ο τομέας που επηρεάζεται περισσότερο. Οι κλασσικές περιπτώσεις δωροδοκίας με μετρητά μειώνονται και, ως εκ τούτου, η οικονομική ζημία που προκλήθηκε από τη διαφθορά μειώθηκε σημαντικά κατά 61,2 % και ανήλθε σε 47 εκατ. EUR το 2019. Αντιθέτως, στο επίκεντρο τίθενται και άλλες μορφές μη χρηματικής δωροδοκίας και δυνητικής αθέμιτης επιρροής, συμπεριλαμβανομένης κυρίως της παροχής δωρεάν εισιτηρίων εκδηλώσεων, τα οποία υπό διαφορετικές συνθήκες δεν είναι προσβάσιμα στο κοινό, καθώς και ιδιωτικών δείπνων όπου οι επιχειρήσεις συναντούν πολιτικούς. Οι κοινοβουλευτικές εξεταστικές επιτροπές ζητούν και πραγματοποιούν συνεδριάσεις επιτροπών σε τακτική βάση για την εξέταση υποθέσεων διαφθοράς σε υψηλά κλιμάκια, στις οποίες εμπλέκονται μέλη της κυβέρνησης ή ομοσπονδιακών υπουργείων. Υπάρχουν ορισμένες ανησυχίες όσον αφορά την ικανότητα εντοπισμού και διερεύνησης καταγγελιών για οικονομικά εγκλήματα που σχετίζονται με τη διαφθορά</w:t>
      </w:r>
      <w:r>
        <w:rPr>
          <w:rFonts w:eastAsia="Times New Roman" w:cs="Times New Roman"/>
          <w:noProof/>
          <w:szCs w:val="20"/>
          <w:vertAlign w:val="superscript"/>
          <w:lang w:eastAsia="fr-FR"/>
        </w:rPr>
        <w:footnoteReference w:id="66"/>
      </w:r>
      <w:r>
        <w:rPr>
          <w:noProof/>
        </w:rPr>
        <w:t>. Για να αντιμετωπιστούν οι ανησυχίες σχετικά με τις καθυστερήσεις, η Μονάδα Χρηματοοικονομικών Πληροφοριών της Γερμανίας ανακοίνωσε αύξηση των ικανοτήτων της σε 800 υπαλλήλους κατά την επόμενη τριετία και την εισαγωγή ειδικού λογισμικού για τον εντοπισμό των τομέων κινδύνου</w:t>
      </w:r>
      <w:r>
        <w:rPr>
          <w:rFonts w:eastAsia="Times New Roman" w:cs="Times New Roman"/>
          <w:noProof/>
          <w:szCs w:val="20"/>
          <w:vertAlign w:val="superscript"/>
          <w:lang w:eastAsia="fr-FR"/>
        </w:rPr>
        <w:footnoteReference w:id="67"/>
      </w:r>
      <w:r>
        <w:rPr>
          <w:noProof/>
        </w:rPr>
        <w:t>. Σε υποθέσεις δωροδοκίας στο εξωτερικό, η επιβολή της ευθύνης των εταιρειών από τη Γερμανία παραμένει εξαιρετικά χαμηλή, παρά τον ηγετικό της ρόλο στη διερεύνηση, τη δίωξη και την επιβολή κυρώσεων σε άτομα που διαπράττουν δωροδοκία στο εξωτερικό</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Τον Μάρτιο του 2021 θεσπίστηκε νέος ομοσπονδιακός νόμος για τη δημιουργία μητρώου ομάδων συμφερόντων για τους εκπροσώπους συμφερόντων, το οποίο θα τεθεί σε λειτουργία την 1η Ιανουαρίου 2022</w:t>
      </w:r>
      <w:r>
        <w:rPr>
          <w:noProof/>
        </w:rPr>
        <w:t>. Η νομοθεσία</w:t>
      </w:r>
      <w:r>
        <w:rPr>
          <w:rFonts w:eastAsia="Times New Roman" w:cs="Times New Roman"/>
          <w:noProof/>
          <w:szCs w:val="20"/>
          <w:vertAlign w:val="superscript"/>
          <w:lang w:eastAsia="fr-FR"/>
        </w:rPr>
        <w:footnoteReference w:id="69"/>
      </w:r>
      <w:r>
        <w:rPr>
          <w:noProof/>
        </w:rPr>
        <w:t xml:space="preserve"> αποσκοπεί στην αύξηση της διαφάνειας στην ομοσπονδιακή διαδικασία λήψης αποφάσεων. Θεσπίζει κανόνες για τις δραστηριότητες άσκησης πίεσης ή επιρροής από ομάδες συμφερόντων προς το γερμανικό ομοσπονδιακό κοινοβούλιο, την κυβέρνηση και τα υπουργεία. Τα ενδιαφερόμενα μέρη αναγνωρίζουν το προβλεπόμενο ευρύ προσωπικό πεδίο εφαρμογής, συμπεριλαμβανομένων επίσης των δικηγόρων και των πελατών επιχειρήσεων παροχής συμβουλευτικών υπηρεσιών που ασκούν πίεση ή επιρροή εξ ονόματός τους</w:t>
      </w:r>
      <w:r>
        <w:rPr>
          <w:rFonts w:eastAsia="Times New Roman" w:cs="Times New Roman"/>
          <w:noProof/>
          <w:szCs w:val="20"/>
          <w:vertAlign w:val="superscript"/>
          <w:lang w:eastAsia="fr-FR"/>
        </w:rPr>
        <w:footnoteReference w:id="70"/>
      </w:r>
      <w:r>
        <w:rPr>
          <w:noProof/>
        </w:rPr>
        <w:t>. Ωστόσο, φορείς όπως συνδικαλιστικές οργανώσεις, ενώσεις εργοδοτών, εκκλησίες και θρησκευτικές κοινότητες, ως οι σημαντικότεροι παράγοντες άσκησης πίεσης ή επιρροής από ομάδες συμφερόντων στη Γερμανία, απαλλάσσονται από την απαίτηση υποχρεωτικής καταχώρισης. Η παροχή χρηματοοικονομικών πληροφοριών σχετικά με τα ποσά που επενδύονται στις δραστηριότητες άσκησης πίεσης ή επιρροής από ομάδες συμφερόντων παραμένει επίσης προαιρετική. Επιπλέον, η απαίτηση καταχώρισης αφορά μόνο τις συναντήσεις με ανώτατους κυβερνητικούς αξιωματούχους. Το τεχνικό επίπεδο στα υπουργεία, όπου λαμβάνουν χώρα σε τακτική βάση οι περισσότερες δραστηριότητες άσκησης πίεσης ή επιρροής από ομάδες συμφερόντων, δεν περιλαμβάνεται, με αποτέλεσμα να μην υπάρχει αρχείο καταγραφής των εν λόγω συναντήσεων. Η μη συμμόρφωση μπορεί να επισύρει κυρώσεις ύψους έως 50 000 EUR. Το ηλεκτρονικό μητρώο ομάδων συμφερόντων θα τεθεί σε λειτουργία έως την 1η Ιανουαρίου 2022 και θα τελεί υπό τη διαχείριση της Ομοσπονδιακής Βουλής (</w:t>
      </w:r>
      <w:r>
        <w:rPr>
          <w:i/>
          <w:noProof/>
          <w:szCs w:val="20"/>
        </w:rPr>
        <w:t>Bundestag</w:t>
      </w:r>
      <w:r>
        <w:rPr>
          <w:noProof/>
        </w:rPr>
        <w:t>). Η θέσπιση «νομοθετικού αποτυπώματος» που θα επέτρεπε την παρακολούθηση και την ιχνηλάτηση όλων των εκπροσώπων συμφερόντων που επιδιώκουν να επηρεάσουν και να συμβάλουν σε συγκεκριμένα νομοθετικά κείμενα δεν έχει λάβει την υποστήριξη της πολιτικής πλειοψηφίας σε ομοσπονδιακό επίπεδο στο πλαίσιο του διαλόγου σχετικά με το μητρώο ομάδων συμφερόντων. Η ομάδα χωρών κατά της διαφθοράς (GRECO) συνέστησε επίσης να βελτιωθεί η διαφάνεια των εξωτερικών παρατηρήσεων που υποβάλλονται για την κατάρτιση νομοθετικών προτάσεων</w:t>
      </w:r>
      <w:r>
        <w:rPr>
          <w:rStyle w:val="FootnoteReference"/>
          <w:rFonts w:eastAsia="Times New Roman" w:cs="Times New Roman"/>
          <w:noProof/>
          <w:szCs w:val="20"/>
          <w:lang w:eastAsia="fr-FR"/>
        </w:rPr>
        <w:footnoteReference w:id="71"/>
      </w:r>
      <w:r>
        <w:rPr>
          <w:noProof/>
        </w:rPr>
        <w:t>. Εξακολουθούν επίσης να υπάρχουν ανησυχίες σχετικά με τη συνεπή εφαρμογή των κανόνων της Γερμανίας για τη μεταπήδηση από τον δημόσιο στον ιδιωτικό τομέα, συμπεριλαμβανομένων των διαφορετικών περιόδων αναμονής και της μεγάλης διακριτικής ευχέρειας των ανωτέρων όσον αφορά τις μελλοντικές προσλήψεις υφυπουργών και γενικών διευθυντών</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Η Γερμανία ενισχύει τους κανόνες σχετικά με τις πιθανές συγκρούσεις συμφερόντων</w:t>
      </w:r>
      <w:r>
        <w:rPr>
          <w:noProof/>
        </w:rPr>
        <w:t xml:space="preserve"> </w:t>
      </w:r>
      <w:r>
        <w:rPr>
          <w:b/>
          <w:noProof/>
          <w:szCs w:val="20"/>
        </w:rPr>
        <w:t xml:space="preserve">για τους βουλευτές και για τα μέλη του φορέα χρηματοπιστωτικής εποπτείας της. </w:t>
      </w:r>
      <w:r>
        <w:rPr>
          <w:noProof/>
        </w:rPr>
        <w:t>Για τον περιορισμό των δευτερευουσών δραστηριοτήτων των μελών της Ομοσπονδιακής Βουλής, τον Δεκέμβριο του 2020 υποβλήθηκαν στη Βουλή τροποποιήσεις του νόμου περί μελών της Ομοσπονδιακής Βουλής</w:t>
      </w:r>
      <w:r>
        <w:rPr>
          <w:rFonts w:eastAsia="Times New Roman" w:cs="Times New Roman"/>
          <w:noProof/>
          <w:szCs w:val="20"/>
          <w:vertAlign w:val="superscript"/>
          <w:lang w:val="en-IE" w:eastAsia="fr-FR"/>
        </w:rPr>
        <w:footnoteReference w:id="73"/>
      </w:r>
      <w:r>
        <w:rPr>
          <w:noProof/>
        </w:rPr>
        <w:t>, οι οποίες και εγκρίθηκαν τον Ιούνιο του 2021</w:t>
      </w:r>
      <w:r>
        <w:rPr>
          <w:rStyle w:val="FootnoteReference"/>
          <w:rFonts w:eastAsia="Times New Roman" w:cs="Times New Roman"/>
          <w:noProof/>
          <w:szCs w:val="20"/>
          <w:lang w:eastAsia="fr-FR"/>
        </w:rPr>
        <w:footnoteReference w:id="74"/>
      </w:r>
      <w:r>
        <w:rPr>
          <w:noProof/>
        </w:rPr>
        <w:t>. Η μεταρρύθμιση περιλαμβάνει την απαγόρευση των αμειβόμενων δραστηριοτήτων άσκησης πίεσης ή επιρροής από ομάδες συμφερόντων ως παράπλευρων θέσεων εργασίας των βουλευτών, καθώς και των αμειβόμενων διαλέξεων που συνδέονται με το κοινοβουλευτικό τους έργο. Οι δευτερεύουσες δραστηριότητες άνω των 1 000 EUR μηνιαίως, ή 3 000 EUR ετησίως, θα πρέπει να δημοσιοποιούνται. Οι τροποποιήσεις δεν συνεπάγονται τη δημοσιοποίηση του πραγματικού χρόνου που αφιερώνεται για την απασχόληση στην παράλληλη εργασία. Ο νόμος για την ενίσχυση της ακεραιότητας της χρηματοπιστωτικής αγοράς (FISG), ο οποίος άρχισε να ισχύει την 1η Ιουλίου 2021, απαγορεύει περαιτέρω τις ιδιωτικές συναλλαγές σε χρηματοπιστωτικά μέσα για τους υπαλλήλους της Ομοσπονδιακής Εποπτικής Αρχής Χρηματοπιστωτικών Υπηρεσιών</w:t>
      </w:r>
      <w:r>
        <w:rPr>
          <w:rFonts w:eastAsia="Times New Roman" w:cs="Times New Roman"/>
          <w:noProof/>
          <w:szCs w:val="20"/>
          <w:vertAlign w:val="superscript"/>
          <w:lang w:eastAsia="fr-FR"/>
        </w:rPr>
        <w:footnoteReference w:id="75"/>
      </w:r>
      <w:r>
        <w:rPr>
          <w:noProof/>
        </w:rPr>
        <w:t xml:space="preserve">. </w:t>
      </w:r>
    </w:p>
    <w:p>
      <w:pPr>
        <w:rPr>
          <w:rFonts w:eastAsia="Times New Roman" w:cs="Times New Roman"/>
          <w:noProof/>
        </w:rPr>
      </w:pPr>
      <w:r>
        <w:rPr>
          <w:b/>
          <w:bCs/>
          <w:noProof/>
        </w:rPr>
        <w:t>Οι κανόνες της Γερμανίας σχετικά με τις δηλώσεις περιουσιακών στοιχείων βρίσκονται σε διαδικασία αναθεώρησης</w:t>
      </w:r>
      <w:r>
        <w:rPr>
          <w:noProof/>
        </w:rPr>
        <w:t>. Η τροποποίηση του νόμου περί μελών της Ομοσπονδιακής Βουλής προβλέπει διάταξη σύμφωνα με την οποία τα μέλη της Ομοσπονδιακής Βουλής πρέπει να δημοσιοποιούν τις χρηματοοικονομικές συμμετοχές τους σε μη ανώνυμες εταιρείες και εταιρείες με μετοχικό κεφάλαιο άνω του 5 %, καθώς και τα έσοδα από τις συμμετοχές αυτές</w:t>
      </w:r>
      <w:r>
        <w:rPr>
          <w:rStyle w:val="FootnoteReference"/>
          <w:rFonts w:eastAsia="Times New Roman" w:cs="Times New Roman"/>
          <w:noProof/>
          <w:lang w:eastAsia="fr-FR"/>
        </w:rPr>
        <w:footnoteReference w:id="76"/>
      </w:r>
      <w:r>
        <w:rPr>
          <w:noProof/>
        </w:rPr>
        <w:t>. Τα περιουσιακά στοιχεία και τα οικονομικά συμφέροντα των βουλευτών υπόκεινται σε κοινοποίηση, εάν το αντίστοιχο μέλος της Βουλής είναι επιφορτισμένο με ζήτημα σε κοινοβουλευτική επιτροπή και, ταυτόχρονα, αμείβεται μέσω δευτερεύουσας δραστηριότητας. Ωστόσο, εξακολουθούν να υπάρχουν ανησυχίες σχετικά με την απουσία ρύθμισης όσον αφορά τη δημοσιοποίηση των περιουσιακών στοιχείων των μελών της Ομοσπονδιακής Κυβέρνησης</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Νέοι κανόνες για την προστασία των μαρτύρων δημοσίου συμφέροντος βρίσκονται στο στάδιο της κατάρτισης</w:t>
      </w:r>
      <w:r>
        <w:rPr>
          <w:noProof/>
        </w:rPr>
        <w:t>.</w:t>
      </w:r>
      <w:r>
        <w:rPr>
          <w:b/>
          <w:noProof/>
          <w:szCs w:val="20"/>
        </w:rPr>
        <w:t xml:space="preserve"> </w:t>
      </w:r>
      <w:r>
        <w:rPr>
          <w:noProof/>
        </w:rPr>
        <w:t>Το νομοσχέδιο για την προστασία των μαρτύρων δημοσίου συμφέροντος αποσκοπεί στην προστασία των δημοσιοποιήσεων παραβάσεων του ενωσιακού και του εθνικού δικαίου και καλύπτει τόσο τον ιδιωτικό όσο και τον δημόσιο τομέα</w:t>
      </w:r>
      <w:r>
        <w:rPr>
          <w:rStyle w:val="FootnoteReference"/>
          <w:rFonts w:eastAsia="Times New Roman" w:cs="Times New Roman"/>
          <w:noProof/>
          <w:szCs w:val="20"/>
          <w:lang w:eastAsia="fr-FR"/>
        </w:rPr>
        <w:footnoteReference w:id="78"/>
      </w:r>
      <w:r>
        <w:rPr>
          <w:noProof/>
        </w:rPr>
        <w:t>. Στην πράξη, υπάρχουν αρκετά σημεία επαφής για δημοσιοποιήσεις μαρτύρων δημοσίου συμφέροντος σε ομοσπονδιακό επίπεδο και σε επίπεδο ομόσπονδων κρατών, μεταξύ των οποίων συγκαταλέγονται οι εντεταλμένοι για την καταπολέμηση της διαφθοράς, οι ειδικοί διαμεσολαβητές, όπως ο διαμεσολαβητής των ενόπλων δυνάμεων σε ομοσπονδιακό επίπεδο, καθώς και οι συνήγοροι του πολίτη και οι δικηγόροι εμπιστοσύνης σε επίπεδο ομόσπονδων κρατών, οι οποίοι διευκολύνουν τη δημοσιοποίηση και τη διερεύνηση αδικημάτων διαφθοράς. Ο κατακερματισμός μεταξύ των θεσμικών οργάνων και των διοικητικών επιπέδων έχει επικριθεί, καθώς οι δυνητικοί μάρτυρες δημοσίου συμφέροντος και οι καταγγέλλοντες ενδέχεται να δυσκολεύονται να εντοπίσουν τους κατάλληλους διαύλους δημοσιοποίησης</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Η χρηματοδότηση των πολιτικών κομμάτων ρυθμίζεται από ειδικό νόμο με ευλόγως αποτρεπτικές κυρώσεις.</w:t>
      </w:r>
      <w:r>
        <w:rPr>
          <w:noProof/>
        </w:rPr>
        <w:t xml:space="preserve"> Τα πολιτικά κόμματα υποχρεούνται να υποβάλλουν ετήσιες οικονομικές εκθέσεις στον πρόεδρο της Ομοσπονδιακής Βουλής, μεταξύ άλλων σχετικά με τα περιουσιακά στοιχεία, τις υποχρεώσεις, τα έσοδα και τις δαπάνες των πολιτικών κομμάτων τόσο κατά τις περιόδους προεκλογικής εκστρατείας όσο και εκτός των περιόδων προεκλογικής εκστρατείας</w:t>
      </w:r>
      <w:r>
        <w:rPr>
          <w:rFonts w:eastAsia="Times New Roman" w:cs="Times New Roman"/>
          <w:noProof/>
          <w:szCs w:val="20"/>
          <w:vertAlign w:val="superscript"/>
          <w:lang w:eastAsia="fr-FR"/>
        </w:rPr>
        <w:footnoteReference w:id="80"/>
      </w:r>
      <w:r>
        <w:rPr>
          <w:noProof/>
        </w:rPr>
        <w:t>. Σε περίπτωση ανακρίβειας, μπορεί να επιβληθεί κύρωση στο αντίστοιχο κόμμα με ποσό διπλάσιο από τις αντίστοιχες εσφαλμένες πληροφορίες</w:t>
      </w:r>
      <w:r>
        <w:rPr>
          <w:rStyle w:val="FootnoteReference"/>
          <w:rFonts w:eastAsia="Times New Roman" w:cs="Times New Roman"/>
          <w:noProof/>
          <w:szCs w:val="20"/>
          <w:lang w:eastAsia="fr-FR"/>
        </w:rPr>
        <w:footnoteReference w:id="81"/>
      </w:r>
      <w:r>
        <w:rPr>
          <w:noProof/>
        </w:rPr>
        <w:t>. Έχουν διατυπωθεί ανησυχίες σχετικά με το σημαντικό χρονικό διάστημα που μεσολαβεί μεταξύ του εισοδήματος του κόμματος και της υποβολής των σχετικών στοιχείων</w:t>
      </w:r>
      <w:r>
        <w:rPr>
          <w:rFonts w:eastAsia="Times New Roman" w:cs="Times New Roman"/>
          <w:noProof/>
          <w:szCs w:val="20"/>
          <w:vertAlign w:val="superscript"/>
          <w:lang w:eastAsia="fr-FR"/>
        </w:rPr>
        <w:footnoteReference w:id="82"/>
      </w:r>
      <w:r>
        <w:rPr>
          <w:noProof/>
        </w:rPr>
        <w:t>. Οι δωρεές άνω των 50 000 EUR πρέπει να αναφέρονται χωρίς καθυστέρηση και να δημοσιεύονται στον ιστότοπο της Ομοσπονδιακής Βουλής. Οι δωρεές άνω των 10 000 EUR πρέπει να δημοσιοποιούνται στην ετήσια έκθεση, ενώ τα ανώτατα όρια για τις ανώνυμες δωρεές είναι 500 EUR και για τις δωρεές σε μετρητά 1 000 EUR. Οι διεθνείς αξιολογητές έχουν επισημάνει επανειλημμένα την ανάγκη για χαμηλότερα κατώτατα όρια και για ενίσχυση της τήρησης αρχείων</w:t>
      </w:r>
      <w:r>
        <w:rPr>
          <w:rFonts w:eastAsia="Times New Roman" w:cs="Times New Roman"/>
          <w:noProof/>
          <w:szCs w:val="20"/>
          <w:vertAlign w:val="superscript"/>
          <w:lang w:eastAsia="fr-FR"/>
        </w:rPr>
        <w:footnoteReference w:id="83"/>
      </w:r>
      <w:r>
        <w:rPr>
          <w:noProof/>
        </w:rPr>
        <w:t>. Οι χορηγίες εξακολουθούν σε μεγάλο βαθμό να μην υπόκεινται σε ρυθμίσεις, παρά τις δυνατότητές τους να αγοράζουν πρόσβαση σε σημαντικούς κυβερνητικούς αξιωματούχους</w:t>
      </w:r>
      <w:r>
        <w:rPr>
          <w:rStyle w:val="FootnoteReference"/>
          <w:rFonts w:eastAsia="Times New Roman" w:cs="Times New Roman"/>
          <w:noProof/>
          <w:szCs w:val="20"/>
          <w:lang w:eastAsia="fr-FR"/>
        </w:rPr>
        <w:footnoteReference w:id="84"/>
      </w:r>
      <w:r>
        <w:rPr>
          <w:noProof/>
        </w:rPr>
        <w:t xml:space="preserve">. </w:t>
      </w:r>
    </w:p>
    <w:p>
      <w:pPr>
        <w:rPr>
          <w:rFonts w:eastAsia="Times New Roman" w:cs="Times New Roman"/>
          <w:noProof/>
          <w:szCs w:val="20"/>
        </w:rPr>
      </w:pPr>
      <w:r>
        <w:rPr>
          <w:b/>
          <w:noProof/>
          <w:szCs w:val="20"/>
        </w:rPr>
        <w:t xml:space="preserve">Η πανδημία COVID-19 επηρέασε την καταπολέμηση της διαφθοράς στη Γερμανία, αναδεικνύοντας κινδύνους διαφθοράς που συνδέονται ειδικά με την πανδημία. </w:t>
      </w:r>
      <w:r>
        <w:rPr>
          <w:noProof/>
        </w:rPr>
        <w:t>Η Μονάδα Χρηματοοικονομικών Πληροφοριών έχει λάβει αυξημένο αριθμό αναφορών στο πλαίσιο των μέτρων στήριξης για τη νόσο COVID-19 που πρότεινε η κυβέρνηση, μεταξύ άλλων σε σχέση με διαφθορά και κυρίως σε σχέση με απάτη</w:t>
      </w:r>
      <w:r>
        <w:rPr>
          <w:rFonts w:eastAsia="Times New Roman" w:cs="Times New Roman"/>
          <w:noProof/>
          <w:szCs w:val="20"/>
          <w:vertAlign w:val="superscript"/>
          <w:lang w:eastAsia="fr-FR"/>
        </w:rPr>
        <w:footnoteReference w:id="85"/>
      </w:r>
      <w:r>
        <w:rPr>
          <w:noProof/>
        </w:rPr>
        <w:t>. Επιπλέον, οι ισχυρισμοί σχετικά με μίζες τις οποίες έλαβαν βουλευτές που έχουν μεσολαβήσει σε συμφωνίες για λογαριασμό της κυβέρνησης με αντικείμενο χειρουργικές μάσκες οδήγησε σε δημόσιες συζητήσεις και στην έναρξη ερευνών για διαφθορά</w:t>
      </w:r>
      <w:r>
        <w:rPr>
          <w:rStyle w:val="FootnoteReference"/>
          <w:rFonts w:eastAsia="Times New Roman" w:cs="Times New Roman"/>
          <w:noProof/>
          <w:szCs w:val="20"/>
          <w:lang w:eastAsia="fr-FR"/>
        </w:rPr>
        <w:footnoteReference w:id="86"/>
      </w:r>
      <w:r>
        <w:rPr>
          <w:noProof/>
        </w:rPr>
        <w:t>. Προκειμένου να ενισχύσει την πρόληψη της διαφθοράς, μεταξύ άλλων κατά τη διάρκεια και στον απόηχο της πανδημίας COVID-19, η Γερμανία θα δρομολογήσει ηλεκτρονικό μητρώο ανταγωνισμού κατά το 2021 για τη στήριξη των διαδικασιών σύναψης δημόσιων συμβάσεων</w:t>
      </w:r>
      <w:r>
        <w:rPr>
          <w:rFonts w:eastAsia="Times New Roman" w:cs="Times New Roman"/>
          <w:noProof/>
          <w:szCs w:val="20"/>
          <w:vertAlign w:val="superscript"/>
          <w:lang w:eastAsia="fr-FR"/>
        </w:rPr>
        <w:footnoteReference w:id="87"/>
      </w:r>
      <w:r>
        <w:rPr>
          <w:noProof/>
        </w:rPr>
        <w:t>. Όταν το μητρώο τεθεί σε λειτουργία, θα φιλοξενεί και θα επισημαίνει στις δημόσιες αναθέτουσες αρχές πληροφορίες που έχουν σημασία για τον αποκλεισμό υποψηφίων από τη διαδικασία σύναψης συμβάσεων, μεταξύ άλλων σχετικά με τελεσίδικες καταδικαστικές αποφάσεις, ποινικές αποφάσεις εκδοθείσες κατά τη συνοπτική διαδικασία και πρόστιμα για διαφθορά, δωροδοκία, νομιμοποίηση εσόδων από εγκληματικές δραστηριότητες, φοροδιαφυγή και άλλα σοβαρά εγκλήματα.</w:t>
      </w:r>
    </w:p>
    <w:p>
      <w:pPr>
        <w:pStyle w:val="Heading1"/>
        <w:rPr>
          <w:noProof/>
        </w:rPr>
      </w:pPr>
      <w:r>
        <w:rPr>
          <w:noProof/>
        </w:rPr>
        <w:t>Πολυφωνία και ελευθερία των μέσων μαζικής επικοινωνίας</w:t>
      </w:r>
    </w:p>
    <w:p>
      <w:pPr>
        <w:rPr>
          <w:rFonts w:cs="Times New Roman"/>
          <w:noProof/>
          <w:szCs w:val="24"/>
        </w:rPr>
      </w:pPr>
      <w:r>
        <w:rPr>
          <w:noProof/>
        </w:rPr>
        <w:t>Η Γερμανία διαθέτει παγιωμένο πλαίσιο για την ελευθερία και την πολυφωνία των μέσων μαζικής επικοινωνίας, που εμπίπτει κυρίως στην αρμοδιότητα των ομόσπονδων κρατών (</w:t>
      </w:r>
      <w:r>
        <w:rPr>
          <w:i/>
          <w:noProof/>
          <w:szCs w:val="24"/>
        </w:rPr>
        <w:t>Länder</w:t>
      </w:r>
      <w:r>
        <w:rPr>
          <w:noProof/>
        </w:rPr>
        <w:t>). Οι δεκατέσσερις αρχές μέσων μαζικής επικοινωνίας είναι ανεξάρτητες ρυθμιστικές αρχές, με νομικές εγγυήσεις που διασφαλίζουν την πολιτική ανεξαρτησία τους</w:t>
      </w:r>
      <w:r>
        <w:rPr>
          <w:rStyle w:val="FootnoteReference"/>
          <w:rFonts w:cs="Times New Roman"/>
          <w:noProof/>
          <w:szCs w:val="24"/>
        </w:rPr>
        <w:footnoteReference w:id="88"/>
      </w:r>
      <w:r>
        <w:rPr>
          <w:noProof/>
        </w:rPr>
        <w:t>. Το Σύνταγμα (</w:t>
      </w:r>
      <w:r>
        <w:rPr>
          <w:i/>
          <w:noProof/>
          <w:szCs w:val="24"/>
        </w:rPr>
        <w:t>Grundgesetz</w:t>
      </w:r>
      <w:r>
        <w:rPr>
          <w:noProof/>
        </w:rPr>
        <w:t>) και το παράγωγο δίκαιο εγγυώνται ρητά τα δικαιώματα των δημοσιογράφων να προστατεύουν το απόρρητο των πηγών τους και το δικαίωμα πρόσβασης στην πληροφόρηση</w:t>
      </w:r>
      <w:r>
        <w:rPr>
          <w:rStyle w:val="FootnoteReference"/>
          <w:rFonts w:cs="Times New Roman"/>
          <w:noProof/>
          <w:szCs w:val="24"/>
        </w:rPr>
        <w:footnoteReference w:id="89"/>
      </w:r>
      <w:r>
        <w:rPr>
          <w:noProof/>
        </w:rPr>
        <w:t>. Η νέα κρατική συνθήκη για τα μέσα μαζικής επικοινωνίας (</w:t>
      </w:r>
      <w:r>
        <w:rPr>
          <w:i/>
          <w:noProof/>
          <w:szCs w:val="24"/>
        </w:rPr>
        <w:t>Medienstaatsvertrag</w:t>
      </w:r>
      <w:r>
        <w:rPr>
          <w:noProof/>
        </w:rPr>
        <w:t>) και άλλες νομοθετικές πράξεις</w:t>
      </w:r>
      <w:r>
        <w:rPr>
          <w:rStyle w:val="FootnoteReference"/>
          <w:rFonts w:cs="Times New Roman"/>
          <w:noProof/>
          <w:szCs w:val="24"/>
        </w:rPr>
        <w:footnoteReference w:id="90"/>
      </w:r>
      <w:r>
        <w:rPr>
          <w:noProof/>
        </w:rPr>
        <w:t xml:space="preserve"> εκδόθηκαν για τη μεταφορά της αναθεωρημένης οδηγίας για τις υπηρεσίες οπτικοακουστικών μέσων</w:t>
      </w:r>
      <w:r>
        <w:rPr>
          <w:rStyle w:val="FootnoteReference"/>
          <w:rFonts w:cs="Times New Roman"/>
          <w:noProof/>
          <w:szCs w:val="24"/>
        </w:rPr>
        <w:footnoteReference w:id="91"/>
      </w:r>
      <w:r>
        <w:rPr>
          <w:noProof/>
        </w:rPr>
        <w:t xml:space="preserve"> στο γερμανικό δίκαιο</w:t>
      </w:r>
      <w:r>
        <w:rPr>
          <w:rStyle w:val="FootnoteReference"/>
          <w:rFonts w:cs="Times New Roman"/>
          <w:noProof/>
          <w:szCs w:val="24"/>
        </w:rPr>
        <w:footnoteReference w:id="92"/>
      </w:r>
      <w:r>
        <w:rPr>
          <w:noProof/>
        </w:rPr>
        <w:t xml:space="preserve">. </w:t>
      </w:r>
    </w:p>
    <w:p>
      <w:pPr>
        <w:rPr>
          <w:rFonts w:cs="Times New Roman"/>
          <w:noProof/>
          <w:szCs w:val="24"/>
        </w:rPr>
      </w:pPr>
      <w:r>
        <w:rPr>
          <w:b/>
          <w:noProof/>
          <w:szCs w:val="24"/>
        </w:rPr>
        <w:t>Ο βαθμός ανεξαρτησίας των αρχών των μέσων μαζικής επικοινωνίας και των συμβουλίων ραδιοτηλεόρασης παραμένει υψηλός</w:t>
      </w:r>
      <w:r>
        <w:rPr>
          <w:rStyle w:val="FootnoteReference"/>
          <w:rFonts w:cs="Times New Roman"/>
          <w:b/>
          <w:noProof/>
          <w:szCs w:val="24"/>
        </w:rPr>
        <w:footnoteReference w:id="93"/>
      </w:r>
      <w:r>
        <w:rPr>
          <w:noProof/>
        </w:rPr>
        <w:t>. Με την έναρξη ισχύος της αναθεωρημένης κρατικής συνθήκης για τα μέσα μαζικής επικοινωνίας, οι αρχές των μέσων μαζικής επικοινωνίας απέκτησαν νέες αρμοδιότητες, ειδικότερα όσον αφορά τους παρόχους υπηρεσιών διαμεσολάβησης στα μέσα μαζικής επικοινωνίας. Ωστόσο, οι αρχές των μέσων μαζικής επικοινωνίας θα αρχίσουν σταδιακά να εφαρμόζουν πλήρως τους νέους κανόνες, καθώς εγκρίνουν σταδιακά τις κοινές τους καταστατικές διατάξεις, που απαιτούνται από την κρατική συνθήκη για τα μέσα μαζικής επικοινωνίας και περιγράφουν λεπτομερώς ορισμένες από τις διατάξεις της (π.χ. σχετικά με τη δυνατότητα εύρεσης περιεχομένου που θεωρείται σημαντικό για τη διαμόρφωση της κοινής γνώμης)</w:t>
      </w:r>
      <w:r>
        <w:rPr>
          <w:rStyle w:val="FootnoteReference"/>
          <w:rFonts w:cs="Times New Roman"/>
          <w:noProof/>
          <w:szCs w:val="24"/>
        </w:rPr>
        <w:footnoteReference w:id="94"/>
      </w:r>
      <w:r>
        <w:rPr>
          <w:noProof/>
        </w:rPr>
        <w:t>.</w:t>
      </w:r>
    </w:p>
    <w:p>
      <w:pPr>
        <w:rPr>
          <w:rFonts w:cs="Times New Roman"/>
          <w:noProof/>
          <w:szCs w:val="24"/>
        </w:rPr>
      </w:pPr>
      <w:r>
        <w:rPr>
          <w:b/>
          <w:noProof/>
          <w:szCs w:val="24"/>
        </w:rPr>
        <w:t>Η αυτορρύθμιση του Τύπου εξακολουθεί να λειτουργεί ικανοποιητικά, ενώ επισημαίνονται ορισμένα ζητήματα σχετικά με τη δημοσίευση επιπλήξεων</w:t>
      </w:r>
      <w:r>
        <w:rPr>
          <w:rStyle w:val="FootnoteReference"/>
          <w:rFonts w:cs="Times New Roman"/>
          <w:b/>
          <w:noProof/>
          <w:szCs w:val="24"/>
        </w:rPr>
        <w:footnoteReference w:id="95"/>
      </w:r>
      <w:r>
        <w:rPr>
          <w:b/>
          <w:noProof/>
          <w:szCs w:val="24"/>
        </w:rPr>
        <w:t xml:space="preserve">. </w:t>
      </w:r>
      <w:r>
        <w:rPr>
          <w:noProof/>
        </w:rPr>
        <w:t>Το Γερμανικό Συμβούλιο Τύπου απαρτίζεται από ενώσεις δημοσιογράφων και εκδοτών. Στην ετήσια έκθεσή του για το 2020 επισημαίνεται η έντονη αύξηση των καταγγελιών που σχετίζονται με μικρό αριθμό αμφιλεγόμενων άρθρων στον Τύπο (το 2020 ελήφθησαν 4 085 μεμονωμένες καταγγελίες, έναντι 2 175 το 2019)</w:t>
      </w:r>
      <w:r>
        <w:rPr>
          <w:rStyle w:val="FootnoteReference"/>
          <w:rFonts w:cs="Times New Roman"/>
          <w:noProof/>
          <w:szCs w:val="24"/>
        </w:rPr>
        <w:footnoteReference w:id="96"/>
      </w:r>
      <w:r>
        <w:rPr>
          <w:noProof/>
        </w:rPr>
        <w:t xml:space="preserve">. Ταυτόχρονα, η έκθεση καταλήγει στο συμπέρασμα ότι οι εμπλεκόμενοι εκδότες δημοσίευσαν μόνο 34 από τις συνολικά 53 δημόσιες επιπλήξεις τις οποίες εξέδωσε το Συμβούλιο Τύπου το 2020. Δεδομένου ότι ο Κώδικας Τύπου υποχρεώνει τους εκδότες να δημοσιεύουν τις εν λόγω δημόσιες επιπλήξεις, αυτό θα μπορούσε να σηματοδοτήσει πιθανά προβλήματα όσον αφορά την αποτελεσματικότητα αυτής της πτυχής του αυτορρυθμιζόμενου Κώδικα Τύπου. </w:t>
      </w:r>
    </w:p>
    <w:p>
      <w:pPr>
        <w:rPr>
          <w:rFonts w:cs="Times New Roman"/>
          <w:noProof/>
          <w:szCs w:val="24"/>
        </w:rPr>
      </w:pPr>
      <w:r>
        <w:rPr>
          <w:b/>
          <w:noProof/>
          <w:szCs w:val="24"/>
        </w:rPr>
        <w:t>Η γερμανική νομοθεσία εξακολουθεί να διασφαλίζει καλό επίπεδο διαφάνειας όσον αφορά τις πληροφορίες σχετικά με το ιδιοκτησιακό καθεστώς των μέσων μαζικής επικοινωνίας</w:t>
      </w:r>
      <w:r>
        <w:rPr>
          <w:rStyle w:val="FootnoteReference"/>
          <w:rFonts w:cs="Times New Roman"/>
          <w:b/>
          <w:noProof/>
          <w:szCs w:val="24"/>
        </w:rPr>
        <w:footnoteReference w:id="97"/>
      </w:r>
      <w:r>
        <w:rPr>
          <w:b/>
          <w:noProof/>
          <w:szCs w:val="24"/>
        </w:rPr>
        <w:t xml:space="preserve">. </w:t>
      </w:r>
      <w:r>
        <w:rPr>
          <w:noProof/>
        </w:rPr>
        <w:t>Αυτό οφείλεται στις διατάξεις που απαιτούν από τους εμπορικούς ραδιοτηλεοπτικούς φορείς να αναφέρουν πληροφορίες σχετικά με το ιδιοκτησιακό καθεστώς τους, καθώς και σχέδια που επηρεάζουν τη μετοχική τους σύνθεση</w:t>
      </w:r>
      <w:r>
        <w:rPr>
          <w:rStyle w:val="FootnoteReference"/>
          <w:rFonts w:cs="Times New Roman"/>
          <w:noProof/>
          <w:szCs w:val="24"/>
        </w:rPr>
        <w:footnoteReference w:id="98"/>
      </w:r>
      <w:r>
        <w:rPr>
          <w:noProof/>
        </w:rPr>
        <w:t>. Επιπλέον, οι φορείς των διαδικτυακών μέσων πρέπει να δημοσιοποιούν τις πληροφορίες για το ιδιοκτησιακό τους καθεστώς στις πληροφορίες αποτύπωσής τους στους ιστοτόπους τους. Όσον αφορά τον Τύπο, οι υποχρεώσεις διαφάνειας για τις αποτυπώσεις προβλέπονται στην αντίστοιχη νομοθεσία περί Τύπου του ομόσπονδου κράτους</w:t>
      </w:r>
      <w:r>
        <w:rPr>
          <w:rStyle w:val="FootnoteReference"/>
          <w:rFonts w:cs="Times New Roman"/>
          <w:noProof/>
          <w:szCs w:val="24"/>
        </w:rPr>
        <w:footnoteReference w:id="99"/>
      </w:r>
      <w:r>
        <w:rPr>
          <w:noProof/>
        </w:rPr>
        <w:t>. Η Επιτροπή για τη Συγκέντρωση στα Μέσα Μαζικής Επικοινωνίας (KEK) των κρατικών αρχών των μέσων μαζικής επικοινωνίας παρακολουθεί τη συγκέντρωση στον ιδιωτικό ραδιοτηλεοπτικό τομέα και διατηρεί δημόσια βάση δεδομένων με πληροφορίες σχετικά με το ιδιοκτησιακό καθεστώς των μέσων μαζικής επικοινωνίας, που καλύπτει την τηλεόραση, το ραδιόφωνο, τον Τύπο και τα διαδικτυακά μέσα</w:t>
      </w:r>
      <w:r>
        <w:rPr>
          <w:rStyle w:val="FootnoteReference"/>
          <w:rFonts w:cs="Times New Roman"/>
          <w:noProof/>
          <w:szCs w:val="24"/>
        </w:rPr>
        <w:footnoteReference w:id="100"/>
      </w:r>
      <w:r>
        <w:rPr>
          <w:noProof/>
        </w:rPr>
        <w:t>. Σύμφωνα με το Παρατηρητήριο για την πολυφωνία στα μέσα μαζικής επικοινωνίας 2021, υπάρχει χαμηλός κίνδυνος όσον αφορά τη διαφάνεια της ιδιοκτησίας των μέσων μαζικής επικοινωνίας, και μέτριος κίνδυνος όσον αφορά τη συγκέντρωση των ειδησεογραφικών μέσων μαζικής επικοινωνίας</w:t>
      </w:r>
      <w:r>
        <w:rPr>
          <w:rStyle w:val="FootnoteReference"/>
          <w:rFonts w:cs="Times New Roman"/>
          <w:noProof/>
          <w:szCs w:val="24"/>
        </w:rPr>
        <w:footnoteReference w:id="101"/>
      </w:r>
      <w:r>
        <w:rPr>
          <w:noProof/>
        </w:rPr>
        <w:t>. Η συγκέντρωση των μέσων μαζικής επικοινωνίας ρυθμίζεται από την κρατική συνθήκη για τα μέσα μαζικής επικοινωνίας και υπόκειται σε ρυθμιστική εποπτεία από την Επιτροπή για τη Συγκέντρωση στα Μέσα Μαζικής Επικοινωνίας</w:t>
      </w:r>
      <w:r>
        <w:rPr>
          <w:rStyle w:val="FootnoteReference"/>
          <w:rFonts w:cs="Times New Roman"/>
          <w:noProof/>
          <w:szCs w:val="24"/>
        </w:rPr>
        <w:footnoteReference w:id="102"/>
      </w:r>
      <w:r>
        <w:rPr>
          <w:noProof/>
        </w:rPr>
        <w:t>.</w:t>
      </w:r>
    </w:p>
    <w:p>
      <w:pPr>
        <w:rPr>
          <w:rFonts w:cs="Times New Roman"/>
          <w:noProof/>
          <w:szCs w:val="24"/>
        </w:rPr>
      </w:pPr>
      <w:r>
        <w:rPr>
          <w:b/>
          <w:noProof/>
          <w:szCs w:val="24"/>
        </w:rPr>
        <w:t>Οι οργανισμοί μέσων μαζικής επικοινωνίας έχουν επωφεληθεί από προγράμματα στήριξης σε σχέση με τη νόσο COVID-19.</w:t>
      </w:r>
      <w:r>
        <w:rPr>
          <w:noProof/>
        </w:rPr>
        <w:t xml:space="preserve"> Το συνολικό επίπεδο πολυφωνίας των μέσων μαζικής επικοινωνίας στη Γερμανία παραμένει υψηλό.</w:t>
      </w:r>
      <w:r>
        <w:rPr>
          <w:b/>
          <w:noProof/>
          <w:szCs w:val="24"/>
        </w:rPr>
        <w:t xml:space="preserve"> </w:t>
      </w:r>
      <w:r>
        <w:rPr>
          <w:noProof/>
        </w:rPr>
        <w:t>Ταυτόχρονα, τα ενδιαφερόμενα μέρη επισημαίνουν τις αυξανόμενες οικονομικές δυσχέρειες πολλών περιφερειακών και τοπικών μέσων, θέτοντας σε κίνδυνο την πολυμορφία των απόψεων σε περιφερειακό επίπεδο</w:t>
      </w:r>
      <w:r>
        <w:rPr>
          <w:rStyle w:val="FootnoteReference"/>
          <w:rFonts w:cs="Times New Roman"/>
          <w:noProof/>
          <w:szCs w:val="24"/>
        </w:rPr>
        <w:footnoteReference w:id="103"/>
      </w:r>
      <w:r>
        <w:rPr>
          <w:noProof/>
        </w:rPr>
        <w:t>. Οι φορείς μέσων μαζικής επικοινωνίας μπόρεσαν να υποβάλουν αίτηση για τα γενικά προγράμματα αρωγής της γερμανικής κυβέρνησης με στόχο την αντιμετώπιση των οικονομικών επιπτώσεων της πανδημίας COVID-19 σε επιχειρήσεις και ελεύθερους επαγγελματίες. Επιπλέον, εφαρμόστηκε στοχοθετημένο πρόγραμμα στήριξης που απευθυνόταν στον τομέα των ραδιοφωνικών εκπομπών</w:t>
      </w:r>
      <w:r>
        <w:rPr>
          <w:rStyle w:val="FootnoteReference"/>
          <w:rFonts w:cs="Times New Roman"/>
          <w:noProof/>
          <w:szCs w:val="24"/>
        </w:rPr>
        <w:footnoteReference w:id="104"/>
      </w:r>
      <w:r>
        <w:rPr>
          <w:noProof/>
        </w:rPr>
        <w:t>. Μολονότι τα δημόσια προγράμματα στήριξης κατόρθωσαν να μετριάσουν τις επιπτώσεις της πανδημίας COVID-19, το Παρατηρητήριο για την πολυφωνία στα μέσα μαζικής επικοινωνίας επισημαίνει ανησυχίες όσον αφορά τη μακροπρόθεσμη βιωσιμότητα του τομέα, ακόμη και αν οι φορείς των μέσων μαζικής επικοινωνίας είναι σε θέση να παράγουν με αργούς ρυθμούς περισσότερα έσοδα από την προσφορά ψηφιακών υπηρεσιών</w:t>
      </w:r>
      <w:r>
        <w:rPr>
          <w:rStyle w:val="FootnoteReference"/>
          <w:rFonts w:cs="Times New Roman"/>
          <w:noProof/>
          <w:szCs w:val="24"/>
        </w:rPr>
        <w:footnoteReference w:id="105"/>
      </w:r>
      <w:r>
        <w:rPr>
          <w:noProof/>
        </w:rPr>
        <w:t xml:space="preserve">. </w:t>
      </w:r>
    </w:p>
    <w:p>
      <w:pPr>
        <w:rPr>
          <w:rFonts w:cs="Times New Roman"/>
          <w:noProof/>
          <w:szCs w:val="24"/>
        </w:rPr>
      </w:pPr>
      <w:r>
        <w:rPr>
          <w:b/>
          <w:noProof/>
          <w:szCs w:val="24"/>
        </w:rPr>
        <w:t>Υπάρχουν εγγυήσεις κατά του ελέγχου μέσων μαζικής επικοινωνίας από πολιτικά κόμματα</w:t>
      </w:r>
      <w:r>
        <w:rPr>
          <w:rStyle w:val="FootnoteReference"/>
          <w:rFonts w:cs="Times New Roman"/>
          <w:b/>
          <w:noProof/>
          <w:szCs w:val="24"/>
        </w:rPr>
        <w:footnoteReference w:id="106"/>
      </w:r>
      <w:r>
        <w:rPr>
          <w:b/>
          <w:noProof/>
          <w:szCs w:val="24"/>
        </w:rPr>
        <w:t xml:space="preserve">. </w:t>
      </w:r>
      <w:r>
        <w:rPr>
          <w:noProof/>
        </w:rPr>
        <w:t>Ο δείκτης του Παρατηρητηρίου για την πολυφωνία στα μέσα μαζικής επικοινωνίας 2021 σχετικά με την πολιτική ανεξαρτησία των μέσων μαζικής επικοινωνίας δείχνει χαμηλό κίνδυνο</w:t>
      </w:r>
      <w:r>
        <w:rPr>
          <w:rStyle w:val="FootnoteReference"/>
          <w:rFonts w:cs="Times New Roman"/>
          <w:noProof/>
          <w:szCs w:val="24"/>
        </w:rPr>
        <w:footnoteReference w:id="107"/>
      </w:r>
      <w:r>
        <w:rPr>
          <w:noProof/>
        </w:rPr>
        <w:t>.</w:t>
      </w:r>
      <w:r>
        <w:rPr>
          <w:b/>
          <w:noProof/>
          <w:szCs w:val="24"/>
        </w:rPr>
        <w:t xml:space="preserve"> </w:t>
      </w:r>
      <w:r>
        <w:rPr>
          <w:noProof/>
        </w:rPr>
        <w:t>Η πολιτική διαφήμιση δεν επιτρέπεται ούτε στις τηλεοπτικές εκπομπές ούτε στο ραδιόφωνο και στα τηλεμέσα που είναι ανάλογα με τις υπηρεσίες ραδιοτηλεοπτικής μετάδοσης</w:t>
      </w:r>
      <w:r>
        <w:rPr>
          <w:rStyle w:val="FootnoteReference"/>
          <w:rFonts w:cs="Times New Roman"/>
          <w:noProof/>
          <w:szCs w:val="24"/>
        </w:rPr>
        <w:footnoteReference w:id="108"/>
      </w:r>
      <w:r>
        <w:rPr>
          <w:noProof/>
        </w:rPr>
        <w:t>, με εξαίρεση μια σύντομη περίοδο πριν από τις εκλογές, η οποία ρυθμίζεται αυστηρά όσον αφορά την κατανομή του ραδιοτηλεοπτικού χρόνου μεταξύ των πολιτικών κομμάτων</w:t>
      </w:r>
      <w:r>
        <w:rPr>
          <w:rStyle w:val="FootnoteReference"/>
          <w:rFonts w:cs="Times New Roman"/>
          <w:noProof/>
          <w:szCs w:val="24"/>
        </w:rPr>
        <w:footnoteReference w:id="109"/>
      </w:r>
      <w:r>
        <w:rPr>
          <w:noProof/>
        </w:rPr>
        <w:t>. Όσον αφορά το περιεχόμενο των μέσων μαζικής επικοινωνίας που δεν καλύπτεται από τους εν λόγω κανόνες για τα τηλεμέσα που είναι ανάλογα με τις υπηρεσίες ραδιοτηλεοπτικής μετάδοσης, η αναθεωρημένη κρατική συνθήκη για τα μέσα μαζικής επικοινωνίας έχει επεκτείνει τις διατάξεις περί διαφάνειας όσον αφορά την πολιτική διαφήμιση στο διαδίκτυο, απαιτώντας την κατάλληλη επισήμανση της εν λόγω διαφήμισης</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Το πλαίσιο για την πρόσβαση των δημοσιογράφων σε πληροφορίες έχει μεν θεσπιστεί, αλλά διατυπώνονται επικρίσεις για ορισμένες ελλείψεις. </w:t>
      </w:r>
      <w:r>
        <w:rPr>
          <w:noProof/>
        </w:rPr>
        <w:t>Το Σύνταγμα, ο νόμος περί ελευθερίας της πληροφόρησης και η νομοθεσία περί Τύπου που είναι σε ισχύ στα περισσότερα ομόσπονδα κράτη διασφαλίζουν την πρόσβαση των δημοσιογράφων σε πληροφορίες</w:t>
      </w:r>
      <w:r>
        <w:rPr>
          <w:rStyle w:val="FootnoteReference"/>
          <w:rFonts w:cs="Times New Roman"/>
          <w:noProof/>
          <w:szCs w:val="24"/>
        </w:rPr>
        <w:footnoteReference w:id="111"/>
      </w:r>
      <w:r>
        <w:rPr>
          <w:noProof/>
        </w:rPr>
        <w:t>. Ωστόσο, σε επίπεδο παγκόσμιας σύγκρισης, το πλαίσιο αυτό θεωρείται σχετικά αδύναμο από τους Δημοσιογράφους Χωρίς Σύνορα</w:t>
      </w:r>
      <w:r>
        <w:rPr>
          <w:rStyle w:val="FootnoteReference"/>
          <w:rFonts w:cs="Times New Roman"/>
          <w:noProof/>
          <w:szCs w:val="24"/>
        </w:rPr>
        <w:footnoteReference w:id="112"/>
      </w:r>
      <w:r>
        <w:rPr>
          <w:noProof/>
        </w:rPr>
        <w:t>. Η GRECO συνέστησε να αξιολογηθεί ανεξάρτητα ο νόμος περί ελευθερίας της πληροφόρησης και να εξεταστούν πιθανές βελτιώσεις σε αυτή τη βάση, κυρίως όσον αφορά τις εξαιρέσεις που επιτρέπουν την απόρριψη αιτήσεων βάσει του νόμου</w:t>
      </w:r>
      <w:r>
        <w:rPr>
          <w:rStyle w:val="FootnoteReference"/>
          <w:rFonts w:cs="Times New Roman"/>
          <w:noProof/>
          <w:szCs w:val="24"/>
        </w:rPr>
        <w:footnoteReference w:id="113"/>
      </w:r>
      <w:r>
        <w:rPr>
          <w:noProof/>
        </w:rPr>
        <w:t xml:space="preserve">. </w:t>
      </w:r>
    </w:p>
    <w:p>
      <w:pPr>
        <w:rPr>
          <w:rFonts w:cs="Times New Roman"/>
          <w:noProof/>
          <w:szCs w:val="24"/>
        </w:rPr>
      </w:pPr>
      <w:r>
        <w:rPr>
          <w:b/>
          <w:noProof/>
          <w:szCs w:val="24"/>
        </w:rPr>
        <w:t>Εντείνονται οι ανησυχίες όσον αφορά τη σωματική ασφάλεια των δημοσιογράφων, κυρίως κατά την κάλυψη διαδηλώσεων</w:t>
      </w:r>
      <w:r>
        <w:rPr>
          <w:rStyle w:val="FootnoteReference"/>
          <w:rFonts w:cs="Times New Roman"/>
          <w:noProof/>
          <w:szCs w:val="24"/>
        </w:rPr>
        <w:footnoteReference w:id="114"/>
      </w:r>
      <w:r>
        <w:rPr>
          <w:noProof/>
        </w:rPr>
        <w:t>. Παρά το υφιστάμενο πλαίσιο για την προστασία των δημοσιογράφων</w:t>
      </w:r>
      <w:r>
        <w:rPr>
          <w:rStyle w:val="FootnoteReference"/>
          <w:rFonts w:cs="Times New Roman"/>
          <w:noProof/>
          <w:szCs w:val="24"/>
        </w:rPr>
        <w:footnoteReference w:id="115"/>
      </w:r>
      <w:r>
        <w:rPr>
          <w:noProof/>
        </w:rPr>
        <w:t>, τα ενδιαφερόμενα μέρη αναφέρουν αύξηση των επιθέσεων κατά δημοσιογράφων και εργαζομένων στα μέσα μαζικής επικοινωνίας κατά την κάλυψη διαδηλώσεων</w:t>
      </w:r>
      <w:r>
        <w:rPr>
          <w:rStyle w:val="FootnoteReference"/>
          <w:rFonts w:cs="Times New Roman"/>
          <w:noProof/>
          <w:szCs w:val="24"/>
        </w:rPr>
        <w:footnoteReference w:id="116"/>
      </w:r>
      <w:r>
        <w:rPr>
          <w:noProof/>
        </w:rPr>
        <w:t>. Ειδικότερα, οι διαδηλώσεις σχετικά με την πανδημία COVID-19 χαρακτηρίστηκαν από επαναλαμβανόμενες αναφορές βίας κατά δημοσιογράφων</w:t>
      </w:r>
      <w:r>
        <w:rPr>
          <w:rStyle w:val="FootnoteReference"/>
          <w:rFonts w:cs="Times New Roman"/>
          <w:noProof/>
          <w:szCs w:val="24"/>
        </w:rPr>
        <w:footnoteReference w:id="117"/>
      </w:r>
      <w:r>
        <w:rPr>
          <w:noProof/>
        </w:rPr>
        <w:t>. Έως τον Δεκέμβριο του 2020, στα στατιστικά στοιχεία της αστυνομίας είχαν καταγραφεί 252 περιστατικά κατά εκπροσώπων των μέσων μαζικής επικοινωνίας για το έτος</w:t>
      </w:r>
      <w:r>
        <w:rPr>
          <w:rStyle w:val="FootnoteReference"/>
          <w:rFonts w:cs="Times New Roman"/>
          <w:noProof/>
          <w:szCs w:val="24"/>
        </w:rPr>
        <w:footnoteReference w:id="118"/>
      </w:r>
      <w:r>
        <w:rPr>
          <w:noProof/>
        </w:rPr>
        <w:t xml:space="preserve"> (έναντι 104 περιπτώσεων το 2019 και 93 περιπτώσεων το 2018</w:t>
      </w:r>
      <w:r>
        <w:rPr>
          <w:rStyle w:val="FootnoteReference"/>
          <w:rFonts w:cs="Times New Roman"/>
          <w:noProof/>
          <w:szCs w:val="24"/>
        </w:rPr>
        <w:footnoteReference w:id="119"/>
      </w:r>
      <w:r>
        <w:rPr>
          <w:noProof/>
        </w:rPr>
        <w:t>). Τα 252 περιστατικά περιλάμβαναν 29 περιπτώσεις απειλών και 30 περιπτώσεις βίαιων αδικημάτων, εκ των οποίων 22 χαρακτηρίστηκαν σωματικές βλάβες</w:t>
      </w:r>
      <w:r>
        <w:rPr>
          <w:rStyle w:val="FootnoteReference"/>
          <w:rFonts w:cs="Times New Roman"/>
          <w:noProof/>
          <w:szCs w:val="24"/>
        </w:rPr>
        <w:footnoteReference w:id="120"/>
      </w:r>
      <w:r>
        <w:rPr>
          <w:noProof/>
        </w:rPr>
        <w:t>. Από τον Οκτώβριο του 2020 η πλατφόρμα του Συμβουλίου της Ευρώπης για την προώθηση της προστασίας της δημοσιογραφίας και της ασφάλειας των δημοσιογράφων δημοσίευσε μία προειδοποίηση για τη Γερμανία, η οποία αφορούσε επιθετικές ενέργειες εναντίον δημοσιογράφων κατά τη διάρκεια διαδήλωσης</w:t>
      </w:r>
      <w:r>
        <w:rPr>
          <w:rStyle w:val="FootnoteReference"/>
          <w:rFonts w:cs="Times New Roman"/>
          <w:noProof/>
          <w:szCs w:val="24"/>
        </w:rPr>
        <w:footnoteReference w:id="121"/>
      </w:r>
      <w:r>
        <w:rPr>
          <w:noProof/>
        </w:rPr>
        <w:t>. Ενώσεις και συνδικαλιστικές οργανώσεις δημοσιογράφων επισημαίνουν την έλλειψη προστασίας και στήριξης των δημοσιογράφων από την αστυνομία κατά τη διάρκεια διαδηλώσεων</w:t>
      </w:r>
      <w:r>
        <w:rPr>
          <w:rStyle w:val="FootnoteReference"/>
          <w:rFonts w:cs="Times New Roman"/>
          <w:noProof/>
          <w:szCs w:val="24"/>
        </w:rPr>
        <w:footnoteReference w:id="122"/>
      </w:r>
      <w:r>
        <w:rPr>
          <w:noProof/>
        </w:rPr>
        <w:t>. Το Γερμανικό Συμβούλιο Τύπου ζητεί ισχυρότερη προστασία της ελευθερίας του Τύπου και έχει προτείνει την επικαιροποίηση των υφιστάμενων αρχών δεοντολογίας για τα μέσα μαζικής επικοινωνίας και την αστυνομία</w:t>
      </w:r>
      <w:r>
        <w:rPr>
          <w:rStyle w:val="FootnoteReference"/>
          <w:rFonts w:cs="Times New Roman"/>
          <w:noProof/>
          <w:szCs w:val="24"/>
        </w:rPr>
        <w:footnoteReference w:id="123"/>
      </w:r>
      <w:r>
        <w:rPr>
          <w:noProof/>
        </w:rPr>
        <w:t>. Τα ομόσπονδα κράτη αξιολογούν επί του παρόντος αυτή την επικαιροποίηση των εν λόγω αρχών δεοντολογίας. Επιπλέον, ορισμένα ομόσπονδα κράτη έχουν λάβει μέτρα για τη βελτίωση των σχέσεων μεταξύ των δημοσιογράφων και της αστυνομίας</w:t>
      </w:r>
      <w:r>
        <w:rPr>
          <w:rStyle w:val="FootnoteReference"/>
          <w:rFonts w:cs="Times New Roman"/>
          <w:noProof/>
          <w:szCs w:val="24"/>
        </w:rPr>
        <w:footnoteReference w:id="124"/>
      </w:r>
      <w:r>
        <w:rPr>
          <w:noProof/>
        </w:rPr>
        <w:t>. Τον Απρίλιο του 2021 οι ενώσεις δημοσιογράφων δημοσίευσαν κώδικα δεοντολογίας για τις επιχειρήσεις μέσων μαζικής επικοινωνίας, ζητώντας από τους εκδότες να δεσμευτούν αυτοβούλως σε σειρά μέτρων που αποσκοπούν στην προστασία των δημοσιογράφων από τη βία και τις απειλές</w:t>
      </w:r>
      <w:r>
        <w:rPr>
          <w:rStyle w:val="FootnoteReference"/>
          <w:rFonts w:cs="Times New Roman"/>
          <w:noProof/>
          <w:szCs w:val="24"/>
        </w:rPr>
        <w:footnoteReference w:id="125"/>
      </w:r>
      <w:r>
        <w:rPr>
          <w:noProof/>
        </w:rPr>
        <w:t>. Παρότι ο δείκτης του Παρατηρητηρίου για την πολυφωνία στα μέσα μαζικής επικοινωνίας 2021 σχετικά με το δημοσιογραφικό επάγγελμα, τα πρότυπα και την προστασία δείχνει χαμηλό κίνδυνο, ο αντίστοιχος δείκτης για τη σωματική ασφάλεια των δημοσιογράφων δείχνει υψηλό κίνδυνο</w:t>
      </w:r>
      <w:r>
        <w:rPr>
          <w:rStyle w:val="FootnoteReference"/>
          <w:rFonts w:cs="Times New Roman"/>
          <w:noProof/>
          <w:szCs w:val="24"/>
        </w:rPr>
        <w:footnoteReference w:id="126"/>
      </w:r>
      <w:r>
        <w:rPr>
          <w:noProof/>
        </w:rPr>
        <w:t xml:space="preserve">. </w:t>
      </w:r>
    </w:p>
    <w:p>
      <w:pPr>
        <w:rPr>
          <w:rFonts w:cs="Times New Roman"/>
          <w:noProof/>
          <w:color w:val="FF0000"/>
          <w:szCs w:val="24"/>
        </w:rPr>
      </w:pPr>
      <w:r>
        <w:rPr>
          <w:b/>
          <w:noProof/>
          <w:szCs w:val="24"/>
        </w:rPr>
        <w:t xml:space="preserve">Υπάρχουν ορισμένες ανησυχίες όσον αφορά την ιδιωτική ζωή των δημοσιογράφων στο πλαίσιο δικαστικών αγωγών. </w:t>
      </w:r>
      <w:r>
        <w:rPr>
          <w:noProof/>
        </w:rPr>
        <w:t>Οι ενώσεις δημοσιογράφων επισημαίνουν τις ανησυχίες τους αναφορικά με τα ιδιωτικά δεδομένα των δημοσιογράφων και, ειδικότερα, τη δημοσιοποίηση της ιδιωτικής τους διεύθυνσης σε περίπτωση που κινηθούν νομικά κατά της παρενόχλησης, τόσο της σωματικής όσο και της διαδικτυακής</w:t>
      </w:r>
      <w:r>
        <w:rPr>
          <w:rStyle w:val="FootnoteReference"/>
          <w:rFonts w:cs="Times New Roman"/>
          <w:noProof/>
          <w:szCs w:val="24"/>
        </w:rPr>
        <w:footnoteReference w:id="127"/>
      </w:r>
      <w:r>
        <w:rPr>
          <w:noProof/>
        </w:rPr>
        <w:t xml:space="preserve">. </w:t>
      </w:r>
      <w:r>
        <w:rPr>
          <w:noProof/>
          <w:color w:val="000000" w:themeColor="text1"/>
          <w:szCs w:val="24"/>
        </w:rPr>
        <w:t>ΜΚΟ και ενώσεις δημοσιογράφων διαβλέπουν πιθανούς κινδύνους να υπόκεινται οι δημοσιογράφοι σε μέτρα ηλεκτρονικής παρακολούθησης από τις υπηρεσίες πληροφοριών, ειδικότερα όταν έρχονται σε επαφή με δυνητικούς πληροφοριοδότες, και ζητούν ισχυρότερες εγγυήσεις στους αντίστοιχους νόμους, κυρίως στον αναθεωρημένο νόμο για την Ομοσπονδιακή Υπηρεσία Πληροφοριών (BND)</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Γενικά, οι μηχανισμοί προ της δικαστικής αμφισβήτησης οδηγούν στην απόρριψη πιθανών υποθέσεων στρατηγικών αγωγών κατά της συμμετοχής του κοινού (SLAPP) προτού αυτές φτάσουν στο δικαστήριο</w:t>
      </w:r>
      <w:r>
        <w:rPr>
          <w:rStyle w:val="FootnoteReference"/>
          <w:rFonts w:cs="Times New Roman"/>
          <w:noProof/>
          <w:szCs w:val="24"/>
        </w:rPr>
        <w:footnoteReference w:id="129"/>
      </w:r>
      <w:r>
        <w:rPr>
          <w:noProof/>
        </w:rPr>
        <w:t>. Ωστόσο, παρότι ενδέχεται να μην υπάρχουν πολλές σημαντικές περιπτώσεις, τα ενδιαφερόμενα μέρη και οι μελέτες επισημαίνουν ότι το πρόβλημα των προληπτικών αγωγών ή των απειλών κατά δημοσιογράφων είναι επίσης παρόν στη Γερμανία</w:t>
      </w:r>
      <w:r>
        <w:rPr>
          <w:rStyle w:val="FootnoteReference"/>
          <w:rFonts w:cs="Times New Roman"/>
          <w:noProof/>
          <w:szCs w:val="24"/>
        </w:rPr>
        <w:footnoteReference w:id="130"/>
      </w:r>
      <w:r>
        <w:rPr>
          <w:noProof/>
        </w:rPr>
        <w:t xml:space="preserve">. </w:t>
      </w:r>
    </w:p>
    <w:p>
      <w:pPr>
        <w:pStyle w:val="Heading1"/>
        <w:rPr>
          <w:noProof/>
        </w:rPr>
      </w:pPr>
      <w:r>
        <w:rPr>
          <w:noProof/>
        </w:rPr>
        <w:t>Αλλα θεσμικά ζητήματα σχετικά με το σύστημα ελέγχων και ισορροπιών (μηχανισμός θεσμικών αντιβάρων)</w:t>
      </w:r>
    </w:p>
    <w:p>
      <w:pPr>
        <w:rPr>
          <w:rFonts w:cs="Times New Roman"/>
          <w:noProof/>
        </w:rPr>
      </w:pPr>
      <w:r>
        <w:rPr>
          <w:noProof/>
        </w:rPr>
        <w:t>Η Γερμανία είναι ομοσπονδιακή δημοκρατία, όπου οι εξουσίες κατανέμονται μεταξύ της ομοσπονδιακής κυβέρνησης και των κυβερνήσεων των δεκαέξι ομόσπονδων κρατών. Η διάκριση των εξουσιών κατοχυρώνεται στον Θεμελιώδη Νόμο</w:t>
      </w:r>
      <w:r>
        <w:rPr>
          <w:rStyle w:val="FootnoteReference"/>
          <w:rFonts w:cs="Times New Roman"/>
          <w:noProof/>
        </w:rPr>
        <w:footnoteReference w:id="131"/>
      </w:r>
      <w:r>
        <w:rPr>
          <w:noProof/>
        </w:rPr>
        <w:t xml:space="preserve"> και στα συντάγματα των ομόσπονδων κρατών. Σε ομοσπονδιακό επίπεδο, η ομοσπονδιακή νομοθετική εξουσία ανήκει στην Ομοσπονδιακή Βουλή (</w:t>
      </w:r>
      <w:r>
        <w:rPr>
          <w:i/>
          <w:iCs/>
          <w:noProof/>
        </w:rPr>
        <w:t>Bundestag</w:t>
      </w:r>
      <w:r>
        <w:rPr>
          <w:noProof/>
        </w:rPr>
        <w:t>) και στο όργανο εκπροσώπησης των ομόσπονδων κρατών (</w:t>
      </w:r>
      <w:r>
        <w:rPr>
          <w:i/>
          <w:iCs/>
          <w:noProof/>
        </w:rPr>
        <w:t>Bundesrat</w:t>
      </w:r>
      <w:r>
        <w:rPr>
          <w:noProof/>
        </w:rPr>
        <w:t>)</w:t>
      </w:r>
      <w:r>
        <w:rPr>
          <w:rStyle w:val="FootnoteReference"/>
          <w:rFonts w:cs="Times New Roman"/>
          <w:noProof/>
        </w:rPr>
        <w:footnoteReference w:id="132"/>
      </w:r>
      <w:r>
        <w:rPr>
          <w:noProof/>
        </w:rPr>
        <w:t xml:space="preserve">. Η κυβέρνηση, το </w:t>
      </w:r>
      <w:r>
        <w:rPr>
          <w:i/>
          <w:iCs/>
          <w:noProof/>
        </w:rPr>
        <w:t>Bundesrat</w:t>
      </w:r>
      <w:r>
        <w:rPr>
          <w:noProof/>
        </w:rPr>
        <w:t xml:space="preserve"> ή τα μέλη του </w:t>
      </w:r>
      <w:r>
        <w:rPr>
          <w:i/>
          <w:iCs/>
          <w:noProof/>
        </w:rPr>
        <w:t>Bundestag</w:t>
      </w:r>
      <w:r>
        <w:rPr>
          <w:noProof/>
        </w:rPr>
        <w:t xml:space="preserve"> μπορούν να υποβάλλουν νομοθετικές προτάσεις</w:t>
      </w:r>
      <w:r>
        <w:rPr>
          <w:rStyle w:val="FootnoteReference"/>
          <w:rFonts w:cs="Times New Roman"/>
          <w:noProof/>
        </w:rPr>
        <w:footnoteReference w:id="133"/>
      </w:r>
      <w:r>
        <w:rPr>
          <w:noProof/>
        </w:rPr>
        <w:t xml:space="preserve">. Το Γερμανικό Ινστιτούτο Ανθρωπίνων Δικαιωμάτων και ο Ομοσπονδιακός Οργανισμός για την Καταπολέμηση των Διακρίσεων συμβάλλουν στην προάσπιση των θεμελιωδών δικαιωμάτων. </w:t>
      </w:r>
    </w:p>
    <w:p>
      <w:pPr>
        <w:rPr>
          <w:rFonts w:eastAsia="Times New Roman" w:cs="Times New Roman"/>
          <w:noProof/>
          <w:szCs w:val="20"/>
        </w:rPr>
      </w:pPr>
      <w:r>
        <w:rPr>
          <w:b/>
          <w:noProof/>
          <w:szCs w:val="20"/>
        </w:rPr>
        <w:t xml:space="preserve">Έχουν εκφραστεί ανησυχίες σχετικά με τη διαφάνεια της νομοθετικής διαδικασίας και την τάση για συντόμευση των περιόδων διαβούλευσης. </w:t>
      </w:r>
      <w:r>
        <w:rPr>
          <w:noProof/>
        </w:rPr>
        <w:t>Γενικά, υπάρχει ισχυρό πλαίσιο διαβούλευσης με τα ενδιαφερόμενα μέρη στο πλαίσιο της νομοθετικής διαδικασίας</w:t>
      </w:r>
      <w:r>
        <w:rPr>
          <w:rStyle w:val="FootnoteReference"/>
          <w:rFonts w:eastAsia="Times New Roman" w:cs="Times New Roman"/>
          <w:noProof/>
          <w:szCs w:val="20"/>
          <w:lang w:eastAsia="fr-FR"/>
        </w:rPr>
        <w:footnoteReference w:id="134"/>
      </w:r>
      <w:r>
        <w:rPr>
          <w:noProof/>
        </w:rPr>
        <w:t>. Τον Σεπτέμβριο του 2020 η Ομοσπονδιακή Κυβέρνηση δημιούργησε επίσης μια πλατφόρμα που συγκεντρώνει τους ιστοτόπους διαφόρων υπουργείων, όπου φιλοξενούνται πληροφορίες σχετικά με τις δυνατότητες (έγκαιρης) συμμετοχής των ενδιαφερόμενων μερών</w:t>
      </w:r>
      <w:r>
        <w:rPr>
          <w:rStyle w:val="FootnoteReference"/>
          <w:rFonts w:eastAsia="Times New Roman" w:cs="Times New Roman"/>
          <w:noProof/>
          <w:szCs w:val="20"/>
          <w:lang w:eastAsia="fr-FR"/>
        </w:rPr>
        <w:footnoteReference w:id="135"/>
      </w:r>
      <w:r>
        <w:rPr>
          <w:noProof/>
        </w:rPr>
        <w:t xml:space="preserve">. Ωστόσο, σε έγγραφο θέσης της Διάσκεψης των Υπουργών Δικαιοσύνης των ομόσπονδων κρατών του Νοεμβρίου του 2020 τονίστηκε η ανάγκη για επαρκή χρόνο διαβουλεύσεων με τα ομόσπονδα κράτη σχετικά με τα νομοσχέδια και ζητήθηκε οι νομοθετικές προτάσεις που υποβάλλονται από το </w:t>
      </w:r>
      <w:r>
        <w:rPr>
          <w:i/>
          <w:noProof/>
          <w:szCs w:val="20"/>
        </w:rPr>
        <w:t>Bundesrat</w:t>
      </w:r>
      <w:r>
        <w:rPr>
          <w:noProof/>
        </w:rPr>
        <w:t xml:space="preserve"> να εξετάζονται από το </w:t>
      </w:r>
      <w:r>
        <w:rPr>
          <w:i/>
          <w:noProof/>
          <w:szCs w:val="20"/>
        </w:rPr>
        <w:t>Bundestag</w:t>
      </w:r>
      <w:r>
        <w:rPr>
          <w:noProof/>
        </w:rPr>
        <w:t xml:space="preserve"> χωρίς αδικαιολόγητη καθυστέρηση</w:t>
      </w:r>
      <w:r>
        <w:rPr>
          <w:rStyle w:val="FootnoteReference"/>
          <w:rFonts w:eastAsia="Times New Roman" w:cs="Times New Roman"/>
          <w:noProof/>
          <w:szCs w:val="20"/>
          <w:lang w:eastAsia="fr-FR"/>
        </w:rPr>
        <w:footnoteReference w:id="136"/>
      </w:r>
      <w:r>
        <w:rPr>
          <w:noProof/>
        </w:rPr>
        <w:t>. Επιπλέον, τα ενδιαφερόμενα μέρη έχουν εκφράσει ανησυχίες σχετικά με τα τακτικά φαινόμενα συντομευμένων περιόδων διαβούλευσης για την εξέταση χρονοβόρων και πολύπλοκων προτάσεων, ενώ επίσης έχουν διατυπώσει ανησυχίες και σχετικά με τη γενική έλλειψη διαφάνειας των στοιχείων που επηρεάζουν τη νομοθετική διαδικασία πριν από την επίσημη διαδικασία διαβούλευσης</w:t>
      </w:r>
      <w:r>
        <w:rPr>
          <w:rStyle w:val="FootnoteReference"/>
          <w:rFonts w:eastAsia="Times New Roman" w:cs="Times New Roman"/>
          <w:noProof/>
          <w:szCs w:val="20"/>
          <w:lang w:eastAsia="fr-FR"/>
        </w:rPr>
        <w:footnoteReference w:id="137"/>
      </w:r>
      <w:r>
        <w:rPr>
          <w:noProof/>
        </w:rPr>
        <w:t>. Η GRECO συνέστησε επίσης, τον Δεκέμβριο του 2020, να προσδιορίζονται και να δημοσιοποιούνται οι σημαντικές εξωτερικές παρατηρήσεις οι οποίες υποβάλλονται για τις νομοθετικές προτάσεις και οι οποίες παραλαμβάνονται πριν από την επίσημη έναρξη των διαβουλεύσεων</w:t>
      </w:r>
      <w:r>
        <w:rPr>
          <w:rStyle w:val="FootnoteReference"/>
          <w:rFonts w:eastAsia="Times New Roman" w:cs="Times New Roman"/>
          <w:noProof/>
          <w:szCs w:val="20"/>
          <w:lang w:eastAsia="fr-FR"/>
        </w:rPr>
        <w:footnoteReference w:id="138"/>
      </w:r>
      <w:r>
        <w:rPr>
          <w:noProof/>
        </w:rPr>
        <w:t>. Παρότι συντομευμένες περίοδοι διαβούλευσης έχουν προκύψει επίσης στο πλαίσιο της πανδημίας COVID-19, τα ενδιαφερόμενα μέρη θεωρούν ότι πρόκειται για ευρύτερη τάση</w:t>
      </w:r>
      <w:r>
        <w:rPr>
          <w:rStyle w:val="FootnoteReference"/>
          <w:rFonts w:eastAsia="Times New Roman" w:cs="Times New Roman"/>
          <w:noProof/>
          <w:szCs w:val="20"/>
          <w:lang w:eastAsia="fr-FR"/>
        </w:rPr>
        <w:footnoteReference w:id="139"/>
      </w:r>
      <w:r>
        <w:rPr>
          <w:noProof/>
        </w:rPr>
        <w:t xml:space="preserve">. </w:t>
      </w:r>
    </w:p>
    <w:p>
      <w:pPr>
        <w:rPr>
          <w:rFonts w:eastAsia="Times New Roman" w:cs="Times New Roman"/>
          <w:noProof/>
        </w:rPr>
      </w:pPr>
      <w:r>
        <w:rPr>
          <w:b/>
          <w:bCs/>
          <w:noProof/>
        </w:rPr>
        <w:t xml:space="preserve">Το πλαίσιο για τη θέσπιση μέτρων που σχετίζονται με την πανδημία COVID-19 έχει τροποποιηθεί αρκετές φορές και τα μέτρα έχουν αποτελέσει αντικείμενο διεξοδικού δικαστικού ελέγχου. </w:t>
      </w:r>
      <w:r>
        <w:rPr>
          <w:noProof/>
        </w:rPr>
        <w:t>Τα μέτρα που σχετίζονται με την πανδημία λαμβάνονται βάσει του νόμου για την προστασία από τις λοιμώξεις (IfSG), ο οποίος επιτρέπει στις κυβερνήσεις των ομόσπονδων κρατών (οι οποίες είναι αρμόδιες για τη θέσπιση μέτρων δυνάμει του IfSG) να επιβάλλουν περιορισμούς με διάταγμα. Στο πλαίσιο της πανδημίας COVID-19, τον Μάρτιο του 2020, επεκτάθηκαν επίσης οι εξουσίες της Ομοσπονδιακής Κυβέρνησης να λαμβάνει μέτρα δυνάμει του IfSG</w:t>
      </w:r>
      <w:r>
        <w:rPr>
          <w:rStyle w:val="FootnoteReference"/>
          <w:rFonts w:eastAsia="Times New Roman" w:cs="Times New Roman"/>
          <w:noProof/>
          <w:lang w:eastAsia="fr-FR"/>
        </w:rPr>
        <w:footnoteReference w:id="140"/>
      </w:r>
      <w:r>
        <w:rPr>
          <w:noProof/>
        </w:rPr>
        <w:t xml:space="preserve">. Οι περισσότερες από αυτές τις εξουσιοδοτήσεις μπορούν να ασκηθούν μόνον εφόσον το </w:t>
      </w:r>
      <w:r>
        <w:rPr>
          <w:i/>
          <w:iCs/>
          <w:noProof/>
        </w:rPr>
        <w:t>Bundestag</w:t>
      </w:r>
      <w:r>
        <w:rPr>
          <w:noProof/>
        </w:rPr>
        <w:t xml:space="preserve"> έχει κηρύξει «κατάσταση επιδημίας», την οποία μπορεί να ανακαλέσει ανά πάσα στιγμή και η οποία πρέπει να επιβεβαιώνεται εκ νέου ανά τρίμηνο</w:t>
      </w:r>
      <w:r>
        <w:rPr>
          <w:rStyle w:val="FootnoteReference"/>
          <w:rFonts w:eastAsia="Times New Roman" w:cs="Times New Roman"/>
          <w:noProof/>
          <w:lang w:eastAsia="fr-FR"/>
        </w:rPr>
        <w:footnoteReference w:id="141"/>
      </w:r>
      <w:r>
        <w:rPr>
          <w:noProof/>
        </w:rPr>
        <w:t>. Μετά από συζητήσεις σχετικά με την έλλειψη ρόλου της Ομοσπονδιακής Βουλής</w:t>
      </w:r>
      <w:r>
        <w:rPr>
          <w:rStyle w:val="FootnoteReference"/>
          <w:rFonts w:eastAsia="Times New Roman" w:cs="Times New Roman"/>
          <w:noProof/>
          <w:lang w:eastAsia="fr-FR"/>
        </w:rPr>
        <w:footnoteReference w:id="142"/>
      </w:r>
      <w:r>
        <w:rPr>
          <w:noProof/>
        </w:rPr>
        <w:t>, τον Νοέμβριο του 2020 εγκρίθηκαν τροποποιήσεις για την αύξηση του κοινοβουλευτικού ελέγχου, κυρίως με την καθιέρωση τυποποιημένου καταλόγου μέτρων που μπορούν να ληφθούν με διάταγμα και τα οποία προηγουμένως δεν προβλέπονταν από τον νόμο</w:t>
      </w:r>
      <w:r>
        <w:rPr>
          <w:rStyle w:val="FootnoteReference"/>
          <w:rFonts w:eastAsia="Times New Roman" w:cs="Times New Roman"/>
          <w:noProof/>
          <w:lang w:eastAsia="fr-FR"/>
        </w:rPr>
        <w:footnoteReference w:id="143"/>
      </w:r>
      <w:r>
        <w:rPr>
          <w:noProof/>
        </w:rPr>
        <w:t>. Περαιτέρω τροποποιήσεις που εγκρίθηκαν τον Απρίλιο του 2021, εισήγαγαν τη λεγόμενη «πέδη έκτακτης ανάγκης», που προβλέπει την αυτόματη θέσπιση ορισμένων περιοριστικών μέτρων με ομοσπονδιακό νόμο σε περίπτωση που σημειωθεί συγκεκριμένο κατώτατο όριο κρουσμάτων COVID-19 εντός τριών ημερών σε μια πόλη ή περιφέρεια</w:t>
      </w:r>
      <w:r>
        <w:rPr>
          <w:rStyle w:val="FootnoteReference"/>
          <w:rFonts w:eastAsia="Times New Roman" w:cs="Times New Roman"/>
          <w:noProof/>
          <w:lang w:eastAsia="fr-FR"/>
        </w:rPr>
        <w:footnoteReference w:id="144"/>
      </w:r>
      <w:r>
        <w:rPr>
          <w:noProof/>
        </w:rPr>
        <w:t>. Αυτό αποτέλεσε αντικείμενο σημαντικών συζητήσεων σχετικά με τη συνταγματικότητα και την αναλογικότητα των εν λόγω διατάξεων</w:t>
      </w:r>
      <w:r>
        <w:rPr>
          <w:rStyle w:val="FootnoteReference"/>
          <w:rFonts w:eastAsia="Times New Roman" w:cs="Times New Roman"/>
          <w:noProof/>
          <w:lang w:eastAsia="fr-FR"/>
        </w:rPr>
        <w:footnoteReference w:id="145"/>
      </w:r>
      <w:r>
        <w:rPr>
          <w:noProof/>
        </w:rPr>
        <w:t>. Προκειμένου να προσαρμοστεί στις συνθήκες της πανδημίας, η Ομοσπονδιακή Βουλή τροποποίησε τον εσωτερικό κανονισμό της, επιτρέποντας τις ηλεκτρονικές ψηφοφορίες στις επιτροπές και μειώνοντας την απαρτία που απαιτείται για την ψηφοφορία στην ολομέλεια</w:t>
      </w:r>
      <w:r>
        <w:rPr>
          <w:rStyle w:val="FootnoteReference"/>
          <w:rFonts w:eastAsia="Times New Roman" w:cs="Times New Roman"/>
          <w:noProof/>
          <w:lang w:eastAsia="fr-FR"/>
        </w:rPr>
        <w:footnoteReference w:id="146"/>
      </w:r>
      <w:r>
        <w:rPr>
          <w:noProof/>
        </w:rPr>
        <w:t>. Τα μέτρα που ελήφθησαν στο πλαίσιο της πανδημίας έχουν αποτελέσει αντικείμενο διεξοδικού δικαστικού ελέγχου, κυρίως από τα ανώτερα διοικητικά δικαστήρια και τα συνταγματικά δικαστήρια των ομόσπονδων κρατών, ενώ έως το τέλος του 2020 είχαν καταχωριστεί περισσότερες από 6 000 υποθέσεις</w:t>
      </w:r>
      <w:r>
        <w:rPr>
          <w:rStyle w:val="FootnoteReference"/>
          <w:rFonts w:eastAsia="Times New Roman" w:cs="Times New Roman"/>
          <w:noProof/>
          <w:lang w:eastAsia="fr-FR"/>
        </w:rPr>
        <w:footnoteReference w:id="147"/>
      </w:r>
      <w:r>
        <w:rPr>
          <w:noProof/>
        </w:rPr>
        <w:t>. Πολλές από τις υποθέσεις αυτές μέχρι στιγμής έχουν διεκπεραιωθεί μόνο σε επείγουσες διαδικασίες, ενώ η κύρια απόφαση εξακολουθεί να εκκρεμεί. Τον Μάρτιο το Συνταγματικό Δικαστήριο είχε λάβει 321 συνταγματικές προσφυγές σχετικά με τα μέτρα COVID-19 και είχε περατώσει 273 από αυτές</w:t>
      </w:r>
      <w:r>
        <w:rPr>
          <w:rStyle w:val="FootnoteReference"/>
          <w:rFonts w:eastAsia="Times New Roman" w:cs="Times New Roman"/>
          <w:noProof/>
          <w:szCs w:val="20"/>
          <w:lang w:eastAsia="fr-FR"/>
        </w:rPr>
        <w:footnoteReference w:id="148"/>
      </w:r>
      <w:r>
        <w:rPr>
          <w:noProof/>
        </w:rPr>
        <w:t xml:space="preserve">. </w:t>
      </w:r>
    </w:p>
    <w:p>
      <w:pPr>
        <w:rPr>
          <w:noProof/>
        </w:rPr>
      </w:pPr>
      <w:r>
        <w:rPr>
          <w:b/>
          <w:noProof/>
          <w:szCs w:val="20"/>
        </w:rPr>
        <w:t xml:space="preserve">Η Επιτροπή κίνησε διαδικασία επί παραβάσει κατά της Γερμανίας για παραβίαση θεμελιωδών αρχών του δικαίου της ΕΕ λαμβανομένης υπόψη της απόφασης του Ομοσπονδιακού Συνταγματικού Δικαστηρίου της 5ης Μαΐου 2020. </w:t>
      </w:r>
      <w:r>
        <w:rPr>
          <w:noProof/>
        </w:rPr>
        <w:t>Στις 9 Ιουνίου 2021 η Επιτροπή αποφάσισε να αποστείλει προειδοποιητική επιστολή στη Γερμανία για παραβίαση των αρχών της αυτονομίας, της υπεροχής, της αποτελεσματικότητας και της ομοιόμορφης εφαρμογής του δικαίου της Ένωσης, καθώς και του σεβασμού της δικαιοδοσίας του Δικαστηρίου της Ευρωπαϊκής Ένωσης δυνάμει του άρθρου 267 της ΣΛΕΕ</w:t>
      </w:r>
      <w:r>
        <w:rPr>
          <w:noProof/>
          <w:vertAlign w:val="superscript"/>
        </w:rPr>
        <w:footnoteReference w:id="149"/>
      </w:r>
      <w:r>
        <w:rPr>
          <w:noProof/>
        </w:rPr>
        <w:t>. Με την απόφασή του της 5ης Μαΐου 2020</w:t>
      </w:r>
      <w:r>
        <w:rPr>
          <w:noProof/>
          <w:vertAlign w:val="superscript"/>
        </w:rPr>
        <w:footnoteReference w:id="150"/>
      </w:r>
      <w:r>
        <w:rPr>
          <w:noProof/>
        </w:rPr>
        <w:t>, το Ομοσπονδιακό Συνταγματικό Δικαστήριο στέρησε την απόφαση του Ευρωπαϊκού Δικαστηρίου από τα έννομα αποτελέσματά της στη Γερμανία</w:t>
      </w:r>
      <w:r>
        <w:rPr>
          <w:noProof/>
          <w:vertAlign w:val="superscript"/>
        </w:rPr>
        <w:footnoteReference w:id="151"/>
      </w:r>
      <w:r>
        <w:rPr>
          <w:noProof/>
        </w:rPr>
        <w:t>. Η διάταξη του Ομοσπονδιακού Συνταγματικού Δικαστηρίου της 29ης Απριλίου 2021 με την οποία η αίτηση εκτέλεσης της απόφασης κρίθηκε απαράδεκτη</w:t>
      </w:r>
      <w:r>
        <w:rPr>
          <w:noProof/>
          <w:vertAlign w:val="superscript"/>
        </w:rPr>
        <w:footnoteReference w:id="152"/>
      </w:r>
      <w:r>
        <w:rPr>
          <w:noProof/>
        </w:rPr>
        <w:t xml:space="preserve"> δεν αναιρεί τη νομική κατάσταση που δημιουργήθηκε με την απόφαση του Ομοσπονδιακού Συνταγματικού Δικαστηρίου, ειδικότερα όσον αφορά την αρχή της υπεροχής του δικαίου της ΕΕ.</w:t>
      </w:r>
    </w:p>
    <w:p>
      <w:pPr>
        <w:rPr>
          <w:rFonts w:eastAsia="Times New Roman" w:cs="Times New Roman"/>
          <w:noProof/>
          <w:szCs w:val="20"/>
        </w:rPr>
      </w:pPr>
      <w:r>
        <w:rPr>
          <w:b/>
          <w:noProof/>
          <w:szCs w:val="20"/>
        </w:rPr>
        <w:t>Η θέση του διευθυντή του Ομοσπονδιακού Οργανισμού για την Καταπολέμηση των Διακρίσεων παραμένει κενή.</w:t>
      </w:r>
      <w:r>
        <w:rPr>
          <w:noProof/>
        </w:rPr>
        <w:t xml:space="preserve"> Σύμφωνα με τη γερμανική νομοθεσία, ο διευθυντής του Ομοσπονδιακού Οργανισμού για την Καταπολέμηση των Διακρίσεων διορίζεται από την Ομοσπονδιακή Κυβέρνηση κατόπιν πρότασης του Υπουργείου Οικογένειας, Τρίτης Ηλικίας, Γυναικών και Νεολαίας και είναι ανεξάρτητος κατά την άσκηση των καθηκόντων του/της</w:t>
      </w:r>
      <w:r>
        <w:rPr>
          <w:rStyle w:val="FootnoteReference"/>
          <w:rFonts w:eastAsia="Times New Roman" w:cs="Times New Roman"/>
          <w:noProof/>
          <w:szCs w:val="20"/>
          <w:lang w:eastAsia="fr-FR"/>
        </w:rPr>
        <w:footnoteReference w:id="153"/>
      </w:r>
      <w:r>
        <w:rPr>
          <w:noProof/>
        </w:rPr>
        <w:t>. Από τον Απρίλιο του 2018 τα καθήκοντα ασκούνται προσωρινά, δεδομένου ότι το αποτέλεσμα της διαδικασίας επιλογής του νέου διευθυντή ακυρώθηκε από το δικαστήριο λόγω μη συμμόρφωσης με τη συνταγματική αρχή της αξιοκρατίας</w:t>
      </w:r>
      <w:r>
        <w:rPr>
          <w:rStyle w:val="FootnoteReference"/>
          <w:rFonts w:eastAsia="Times New Roman" w:cs="Times New Roman"/>
          <w:noProof/>
          <w:szCs w:val="20"/>
          <w:lang w:eastAsia="fr-FR"/>
        </w:rPr>
        <w:footnoteReference w:id="154"/>
      </w:r>
      <w:r>
        <w:rPr>
          <w:noProof/>
        </w:rPr>
        <w:t>. Σύμφωνα με το αρμόδιο υπουργείο, υπήρξαν αρκετές αποκλίνουσες δικαστικές αποφάσεις σχετικά με τη διαδικασία επιλογής, οι οποίες οδήγησαν σε αβεβαιότητα ως προς τα κριτήρια επιλογής</w:t>
      </w:r>
      <w:r>
        <w:rPr>
          <w:rStyle w:val="FootnoteReference"/>
          <w:rFonts w:eastAsia="Times New Roman" w:cs="Times New Roman"/>
          <w:noProof/>
          <w:szCs w:val="20"/>
          <w:lang w:eastAsia="fr-FR"/>
        </w:rPr>
        <w:footnoteReference w:id="155"/>
      </w:r>
      <w:r>
        <w:rPr>
          <w:noProof/>
        </w:rPr>
        <w:t xml:space="preserve">. </w:t>
      </w:r>
    </w:p>
    <w:p>
      <w:pPr>
        <w:rPr>
          <w:rFonts w:eastAsia="Times New Roman" w:cs="Times New Roman"/>
          <w:noProof/>
        </w:rPr>
      </w:pPr>
      <w:r>
        <w:rPr>
          <w:b/>
          <w:noProof/>
        </w:rPr>
        <w:t>Η αβεβαιότητα όσον αφορά το καθεστώς φοροαπαλλαγής για τις οργανώσεις της κοινωνίας των πολιτών εξακολουθεί να αποτελεί πρόκληση</w:t>
      </w:r>
      <w:r>
        <w:rPr>
          <w:rStyle w:val="FootnoteReference"/>
          <w:rFonts w:eastAsia="Times New Roman" w:cs="Times New Roman"/>
          <w:noProof/>
          <w:lang w:eastAsia="fr-FR"/>
        </w:rPr>
        <w:footnoteReference w:id="156"/>
      </w:r>
      <w:r>
        <w:rPr>
          <w:b/>
          <w:noProof/>
        </w:rPr>
        <w:t xml:space="preserve"> παρότι έχουν επέλθει ορισμένες μικρές βελτιώσεις του πλαισίου. </w:t>
      </w:r>
      <w:r>
        <w:rPr>
          <w:noProof/>
        </w:rPr>
        <w:t>Γενικά, ο χώρος της κοινωνίας των πολιτών εξακολουθεί να θεωρείται «ανοιχτός»</w:t>
      </w:r>
      <w:r>
        <w:rPr>
          <w:rStyle w:val="FootnoteReference"/>
          <w:rFonts w:eastAsia="Times New Roman" w:cs="Times New Roman"/>
          <w:noProof/>
          <w:szCs w:val="20"/>
          <w:lang w:eastAsia="fr-FR"/>
        </w:rPr>
        <w:footnoteReference w:id="157"/>
      </w:r>
      <w:r>
        <w:rPr>
          <w:noProof/>
        </w:rPr>
        <w:t xml:space="preserve"> και εξακολουθεί να υπάρχει ισχυρό πλαίσιο για την κοινωνία των πολιτών</w:t>
      </w:r>
      <w:r>
        <w:rPr>
          <w:rStyle w:val="FootnoteReference"/>
          <w:rFonts w:eastAsia="Times New Roman" w:cs="Times New Roman"/>
          <w:noProof/>
          <w:lang w:eastAsia="fr-FR"/>
        </w:rPr>
        <w:footnoteReference w:id="158"/>
      </w:r>
      <w:r>
        <w:rPr>
          <w:noProof/>
        </w:rPr>
        <w:t>. Με μεταρρύθμιση του φορολογικού κώδικα τον Δεκέμβριο του 2020 προστέθηκαν περαιτέρω κατηγορίες παραγόντων της κοινωνίας των πολιτών στις δραστηριότητες που καλύπτονται από το καθεστώς φοροαπαλλαγής για μη κερδοσκοπικούς οργανισμούς με κοινωφελή σκοπό</w:t>
      </w:r>
      <w:r>
        <w:rPr>
          <w:rStyle w:val="FootnoteReference"/>
          <w:rFonts w:eastAsia="Times New Roman" w:cs="Times New Roman"/>
          <w:noProof/>
          <w:lang w:eastAsia="fr-FR"/>
        </w:rPr>
        <w:footnoteReference w:id="159"/>
      </w:r>
      <w:r>
        <w:rPr>
          <w:noProof/>
        </w:rPr>
        <w:t>. Ωστόσο, η μεταρρύθμιση αυτή δεν ήρε την αβεβαιότητα που δημιουργήθηκε με απόφαση του Ομοσπονδιακού Φορολογικού Δικαστηρίου του 2019</w:t>
      </w:r>
      <w:r>
        <w:rPr>
          <w:rStyle w:val="FootnoteReference"/>
          <w:rFonts w:eastAsia="Times New Roman" w:cs="Times New Roman"/>
          <w:noProof/>
          <w:lang w:eastAsia="fr-FR"/>
        </w:rPr>
        <w:footnoteReference w:id="160"/>
      </w:r>
      <w:r>
        <w:rPr>
          <w:noProof/>
        </w:rPr>
        <w:t>, η οποία και επιβεβαιώθηκε περαιτέρω με απόφαση του Δεκεμβρίου του 2020</w:t>
      </w:r>
      <w:r>
        <w:rPr>
          <w:rStyle w:val="FootnoteReference"/>
          <w:rFonts w:eastAsia="Times New Roman" w:cs="Times New Roman"/>
          <w:noProof/>
          <w:lang w:eastAsia="fr-FR"/>
        </w:rPr>
        <w:footnoteReference w:id="161"/>
      </w:r>
      <w:r>
        <w:rPr>
          <w:noProof/>
        </w:rPr>
        <w:t xml:space="preserve"> σχετικά με το πεδίο εφαρμογής του καθεστώτος φοροαπαλλαγής. Σύμφωνα με τη νομολογία, οι οργανώσεις της κοινωνίας των πολιτών δεν πρέπει να ασχολούνται με πολιτικά θέματα γενικότερα, αλλά επιτρέπεται να το πράττουν μόνον εφόσον είναι απολύτως αναγκαίο για την άσκηση των δραστηριοτήτων που περιλαμβάνονται στον φορολογικό κώδικα. Μολονότι μπορούν να παρέχουν πληροφορίες στο κοινό με ουδέτερο τρόπο, στην πράξη η ερμηνεία αυτών των προϋποθέσεων δημιουργεί σημαντική αβεβαιότητα για τις οργανώσεις της κοινωνίας των πολιτών, ειδικά δε εκείνες που δραστηριοποιούνται στην προάσπιση των ανθρωπίνων δικαιωμάτων και της δημοκρατίας</w:t>
      </w:r>
      <w:r>
        <w:rPr>
          <w:rStyle w:val="FootnoteReference"/>
          <w:rFonts w:eastAsia="Times New Roman" w:cs="Times New Roman"/>
          <w:noProof/>
          <w:lang w:eastAsia="fr-FR"/>
        </w:rPr>
        <w:footnoteReference w:id="162"/>
      </w:r>
      <w:r>
        <w:rPr>
          <w:noProof/>
        </w:rPr>
        <w:t>. Σύμφωνα με τα ενδιαφερόμενα μέρη, οι ανησυχίες όσον αφορά την απώλεια του καθεστώτος φοροαπαλλαγής μπορούν να οδηγήσουν τις οργανώσεις της κοινωνίας των πολιτών να μην λαμβάνουν θέση σχετικά με δυνητικά ευαίσθητα ζητήματα, ενώ αναφέρουν και ότι οι απειλές για άσκηση αγωγών που σχετίζονται με το φορολογικό καθεστώς μπορούν επίσης να χρησιμοποιηθούν ως πολιτική τακτική</w:t>
      </w:r>
      <w:r>
        <w:rPr>
          <w:rStyle w:val="FootnoteReference"/>
          <w:rFonts w:eastAsia="Times New Roman" w:cs="Times New Roman"/>
          <w:noProof/>
          <w:lang w:eastAsia="fr-FR"/>
        </w:rPr>
        <w:footnoteReference w:id="163"/>
      </w:r>
      <w:r>
        <w:rPr>
          <w:noProof/>
        </w:rPr>
        <w:t>. Πέραν τούτου, το νεοσυσταθέν Ομοσπονδιακό Γερμανικό Ίδρυμα για τη Συμμετοχή των Πολιτών και τον Εθελοντισμό, το οποίο ξεκίνησε τις δραστηριότητές του τον Ιούλιο του 2020 και βασίζεται σε κοινή πρωτοβουλία διαφόρων ομοσπονδιακών υπουργείων, έχει καταρτίσει πρόγραμμα στήριξης για να βοηθήσει τις οργανώσεις της κοινωνίας των πολιτών να αντιμετωπίσουν τις επιπτώσεις της πανδημίας COVID-19, με προϋπολογισμό ύψους 20 εκατ. EUR το 2020</w:t>
      </w:r>
      <w:r>
        <w:rPr>
          <w:rStyle w:val="FootnoteReference"/>
          <w:rFonts w:eastAsia="Times New Roman" w:cs="Times New Roman"/>
          <w:noProof/>
          <w:lang w:eastAsia="fr-FR"/>
        </w:rPr>
        <w:footnoteReference w:id="164"/>
      </w:r>
      <w:r>
        <w:rPr>
          <w:noProof/>
        </w:rPr>
        <w:t>.</w:t>
      </w:r>
    </w:p>
    <w:p>
      <w:pPr>
        <w:pageBreakBefore/>
        <w:spacing w:after="120" w:line="264" w:lineRule="auto"/>
        <w:rPr>
          <w:rFonts w:eastAsia="Times New Roman" w:cs="Times New Roman"/>
          <w:b/>
          <w:noProof/>
          <w:sz w:val="22"/>
        </w:rPr>
      </w:pPr>
      <w:r>
        <w:rPr>
          <w:b/>
          <w:noProof/>
          <w:sz w:val="22"/>
        </w:rPr>
        <w:t xml:space="preserve">Παράρτημα I: Κατάλογος των πηγών με αλφαβητική σειρά* </w:t>
      </w:r>
    </w:p>
    <w:p>
      <w:pPr>
        <w:spacing w:after="120"/>
        <w:rPr>
          <w:rFonts w:eastAsia="Times New Roman" w:cs="Times New Roman"/>
          <w:i/>
          <w:noProof/>
          <w:sz w:val="22"/>
        </w:rPr>
      </w:pPr>
      <w:r>
        <w:rPr>
          <w:i/>
          <w:noProof/>
          <w:sz w:val="22"/>
        </w:rPr>
        <w:t xml:space="preserve">* Ο κατάλογος των παρατηρήσεων που ελήφθησαν στο πλαίσιο της διαβούλευσης για την έκθεση του 2021 για το κράτος δικαίου διατίθεται στον ιστότοπο </w:t>
      </w:r>
      <w:hyperlink r:id="rId19"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Συμμετοχή σε ομοσπονδιακό επίπεδο (</w:t>
      </w:r>
      <w:r>
        <w:rPr>
          <w:i/>
          <w:noProof/>
          <w:sz w:val="22"/>
        </w:rPr>
        <w:t>Beteiligung auf Bundesebene</w:t>
      </w:r>
      <w:r>
        <w:rPr>
          <w:noProof/>
          <w:sz w:val="22"/>
        </w:rPr>
        <w:t>) (</w:t>
      </w:r>
      <w:hyperlink r:id="rId20" w:history="1">
        <w:r>
          <w:rPr>
            <w:rStyle w:val="Hyperlink"/>
            <w:noProof/>
            <w:sz w:val="22"/>
          </w:rPr>
          <w:t>https://www.bundesregierung.de/breg-de/service/gesetzgebungsverfahren-beteiligung</w:t>
        </w:r>
      </w:hyperlink>
      <w:r>
        <w:rPr>
          <w:noProof/>
          <w:sz w:val="22"/>
        </w:rPr>
        <w:t>).</w:t>
      </w:r>
    </w:p>
    <w:p>
      <w:pPr>
        <w:spacing w:after="120"/>
        <w:rPr>
          <w:rFonts w:eastAsia="Times New Roman" w:cs="Times New Roman"/>
          <w:noProof/>
          <w:sz w:val="22"/>
        </w:rPr>
      </w:pPr>
      <w:r>
        <w:rPr>
          <w:noProof/>
          <w:sz w:val="22"/>
        </w:rPr>
        <w:t>Bundeskriminalamt (2020), Bundeslagebild Korruption 2019, (</w:t>
      </w:r>
      <w:hyperlink r:id="rId21" w:history="1">
        <w:r>
          <w:rPr>
            <w:rStyle w:val="Hyperlink"/>
            <w:noProof/>
            <w:sz w:val="22"/>
          </w:rPr>
          <w:t>https://www.bka.de/SharedDocs/Downloads/DE/Publikationen/JahresberichteUndLagebilder/Korruption/korruptionBundeslagebild2019.html;jsessionid=BB07C9D8DF5A361AB3C08080C0AC57C7.live0612?nn=28078</w:t>
        </w:r>
      </w:hyperlink>
      <w:r>
        <w:rPr>
          <w:noProof/>
          <w:sz w:val="22"/>
        </w:rPr>
        <w:t>)</w:t>
      </w:r>
    </w:p>
    <w:p>
      <w:pPr>
        <w:spacing w:after="120"/>
        <w:rPr>
          <w:rFonts w:eastAsia="Times New Roman" w:cs="Times New Roman"/>
          <w:noProof/>
          <w:sz w:val="22"/>
        </w:rPr>
      </w:pPr>
      <w:r>
        <w:rPr>
          <w:noProof/>
          <w:sz w:val="22"/>
        </w:rPr>
        <w:t xml:space="preserve">Centre for Media Pluralism and Media Freedom (Κέντρο για την πολυφωνία και την ελευθερία των μέσων επικοινωνίας) (2021), </w:t>
      </w:r>
      <w:r>
        <w:rPr>
          <w:i/>
          <w:noProof/>
          <w:sz w:val="22"/>
        </w:rPr>
        <w:t>Media pluralism monitor 2021</w:t>
      </w:r>
      <w:r>
        <w:rPr>
          <w:noProof/>
          <w:sz w:val="22"/>
        </w:rPr>
        <w:t xml:space="preserve"> (Παρατηρητήριο για την πολυφωνία στα μέσα μαζικής επικοινωνίας 2021). </w:t>
      </w:r>
    </w:p>
    <w:p>
      <w:pPr>
        <w:spacing w:after="120"/>
        <w:rPr>
          <w:rFonts w:eastAsia="Times New Roman" w:cs="Times New Roman"/>
          <w:noProof/>
          <w:sz w:val="22"/>
        </w:rPr>
      </w:pPr>
      <w:r>
        <w:rPr>
          <w:noProof/>
          <w:sz w:val="22"/>
        </w:rPr>
        <w:t>CIVICUS, Monitor tracking civic space: Germany (Παρατηρητήριο για τον εντοπισμό του χώρου της κοινωνίας των πολιτών, Γερμανία) (</w:t>
      </w:r>
      <w:hyperlink r:id="rId22" w:history="1">
        <w:r>
          <w:rPr>
            <w:rStyle w:val="Hyperlink"/>
            <w:noProof/>
            <w:sz w:val="22"/>
          </w:rPr>
          <w:t>https://monitor.civicus.org/country/germany/</w:t>
        </w:r>
      </w:hyperlink>
      <w:r>
        <w:rPr>
          <w:noProof/>
          <w:sz w:val="22"/>
          <w:u w:val="single"/>
        </w:rPr>
        <w:t>)</w:t>
      </w:r>
      <w:r>
        <w:rPr>
          <w:noProof/>
          <w:sz w:val="22"/>
        </w:rPr>
        <w:t>.</w:t>
      </w:r>
    </w:p>
    <w:p>
      <w:pPr>
        <w:spacing w:after="120"/>
        <w:rPr>
          <w:rStyle w:val="Hyperlink"/>
          <w:rFonts w:cs="Times New Roman"/>
          <w:noProof/>
          <w:sz w:val="22"/>
          <w:highlight w:val="yellow"/>
        </w:rPr>
      </w:pPr>
      <w:r>
        <w:rPr>
          <w:noProof/>
          <w:sz w:val="22"/>
        </w:rPr>
        <w:t xml:space="preserve">Διάσκεψη των Υπουργών Δικαιοσύνης (2020), </w:t>
      </w:r>
      <w:r>
        <w:rPr>
          <w:rStyle w:val="jlqj4b"/>
          <w:noProof/>
          <w:sz w:val="22"/>
        </w:rPr>
        <w:t>Έκθεση της ομάδας εργασίας της χώρας με θέμα «Η Γερμανία ως τόπος απονομής δικαιοσύνης: Ενίσχυση των δικαστηρίων οικονομικών διαφορών / εμποροδικείων (</w:t>
      </w:r>
      <w:r>
        <w:rPr>
          <w:rStyle w:val="jlqj4b"/>
          <w:i/>
          <w:noProof/>
          <w:sz w:val="22"/>
        </w:rPr>
        <w:t xml:space="preserve">Bericht der Länderarbeitsgruppe „Justizstandort Deutschland: Stärkung der Gerichte in Wirtschaftsstreitigkeiten/Commercial Courts) </w:t>
      </w:r>
      <w:r>
        <w:rPr>
          <w:rStyle w:val="jlqj4b"/>
          <w:noProof/>
          <w:sz w:val="22"/>
        </w:rPr>
        <w:t>(</w:t>
      </w:r>
      <w:hyperlink r:id="rId23" w:history="1">
        <w:r>
          <w:rPr>
            <w:rStyle w:val="Hyperlink"/>
            <w:noProof/>
            <w:sz w:val="22"/>
          </w:rPr>
          <w:t>https://www.justiz.nrw.de/JM/jumiko/beschluesse/2020/Herbstkonferenz_2020/Top-I-25-Bericht-der-Laenderarbeitsgruppe-Justizstandort-Deutschland---Staerkung-der-Gerichte-in-Wirtschaftsstreitigkeiten.pdf</w:t>
        </w:r>
      </w:hyperlink>
      <w:r>
        <w:rPr>
          <w:rStyle w:val="Hyperlink"/>
          <w:noProof/>
          <w:color w:val="auto"/>
          <w:sz w:val="22"/>
        </w:rPr>
        <w:t>)</w:t>
      </w:r>
      <w:r>
        <w:rPr>
          <w:rStyle w:val="jlqj4b"/>
          <w:noProof/>
          <w:sz w:val="22"/>
        </w:rPr>
        <w:t xml:space="preserve">. </w:t>
      </w:r>
    </w:p>
    <w:p>
      <w:pPr>
        <w:spacing w:after="120"/>
        <w:rPr>
          <w:rStyle w:val="Hyperlink"/>
          <w:rFonts w:cs="Times New Roman"/>
          <w:noProof/>
          <w:sz w:val="22"/>
        </w:rPr>
      </w:pPr>
      <w:r>
        <w:rPr>
          <w:noProof/>
          <w:sz w:val="22"/>
        </w:rPr>
        <w:t xml:space="preserve">Διάσκεψη των Υπουργών Δικαιοσύνης (2020), </w:t>
      </w:r>
      <w:r>
        <w:rPr>
          <w:rStyle w:val="jlqj4b"/>
          <w:noProof/>
          <w:sz w:val="22"/>
        </w:rPr>
        <w:t>Ενίσχυση του ομοσπονδιακού συστήματος στην πράξη — Η συμμετοχή των χωρών σε ομοσπονδιακές νομοθετικές προτάσεις και η αντιμετώπιση των νομοθετικών πρωτοβουλιών του Ομοσπονδιακού Συμβουλίου από την Ομοσπονδιακή Κυβέρνηση (</w:t>
      </w:r>
      <w:r>
        <w:rPr>
          <w:i/>
          <w:noProof/>
          <w:sz w:val="22"/>
        </w:rPr>
        <w:t>Föderalismus in der Praxis stärken – Die Beteiligung der Länder an Gesetzgebungsvorhaben des Bundes und die Behandlung von Gesetzesinitiativen des Bundesrates durch die Bundesregierung)</w:t>
      </w:r>
      <w:r>
        <w:rPr>
          <w:noProof/>
          <w:sz w:val="22"/>
        </w:rPr>
        <w:t xml:space="preserve"> (</w:t>
      </w:r>
      <w:hyperlink r:id="rId24" w:history="1">
        <w:r>
          <w:rPr>
            <w:rStyle w:val="Hyperlink"/>
            <w:noProof/>
            <w:sz w:val="22"/>
          </w:rPr>
          <w:t>https://www.justiz.nrw.de/JM/jumiko/beschluesse/2020/Herbstkonferenz_2020/Top-I-8-Foerderalismus-in-der-Praxis-staerken---Die-Beteiligung-der-Laender-an-Gesetzgebungsvorhaben.pdf</w:t>
        </w:r>
      </w:hyperlink>
      <w:r>
        <w:rPr>
          <w:rStyle w:val="Hyperlink"/>
          <w:noProof/>
          <w:color w:val="auto"/>
          <w:sz w:val="22"/>
        </w:rPr>
        <w:t>)</w:t>
      </w:r>
    </w:p>
    <w:p>
      <w:pPr>
        <w:spacing w:after="120"/>
        <w:rPr>
          <w:rFonts w:eastAsia="Times New Roman" w:cs="Times New Roman"/>
          <w:noProof/>
          <w:sz w:val="22"/>
          <w:lang w:val="en-US"/>
        </w:rPr>
      </w:pPr>
      <w:r>
        <w:rPr>
          <w:noProof/>
          <w:sz w:val="22"/>
        </w:rPr>
        <w:t xml:space="preserve">Διάσκεψη των Υπουργών Δικαιοσύνης (2021), Απόφαση — Συνέχιση της βιώσιμης αύξησης του προσωπικού και προώθηση της ψηφιοποίησης στα δικαστήρια — Σύμφωνο για το κράτος δικαίου 2.0. </w:t>
      </w:r>
      <w:r>
        <w:rPr>
          <w:noProof/>
          <w:sz w:val="22"/>
          <w:lang w:val="en-US"/>
        </w:rPr>
        <w:t>(</w:t>
      </w:r>
      <w:r>
        <w:rPr>
          <w:i/>
          <w:noProof/>
          <w:sz w:val="22"/>
          <w:lang w:val="en-US"/>
        </w:rPr>
        <w:t>Personalverstärkungen nachhaltig fortsetzen und Digitalisierung der Justiz vorantreiben – Pakt für den Rechtsstaat 2.0</w:t>
      </w:r>
      <w:r>
        <w:rPr>
          <w:noProof/>
          <w:sz w:val="22"/>
          <w:lang w:val="en-US"/>
        </w:rPr>
        <w:t>) (</w:t>
      </w:r>
      <w:hyperlink r:id="rId25" w:history="1">
        <w:r>
          <w:rPr>
            <w:rStyle w:val="Hyperlink"/>
            <w:noProof/>
            <w:sz w:val="22"/>
            <w:lang w:val="en-US"/>
          </w:rPr>
          <w:t>https://www.justiz.nrw.de/JM/jumiko/beschluesse/2021/Fruehjahrskonferenz_2021/TOP-I_-1-u-I_-20---Pakt-fuer-den-Rechtsstaat.pdf</w:t>
        </w:r>
      </w:hyperlink>
      <w:r>
        <w:rPr>
          <w:noProof/>
          <w:sz w:val="22"/>
          <w:lang w:val="en-US"/>
        </w:rPr>
        <w:t xml:space="preserve">). </w:t>
      </w:r>
    </w:p>
    <w:p>
      <w:pPr>
        <w:spacing w:after="120"/>
        <w:rPr>
          <w:rFonts w:eastAsia="Times New Roman" w:cs="Times New Roman"/>
          <w:noProof/>
          <w:sz w:val="22"/>
          <w:lang w:val="en-US"/>
        </w:rPr>
      </w:pPr>
      <w:r>
        <w:rPr>
          <w:noProof/>
          <w:sz w:val="22"/>
        </w:rPr>
        <w:t>Γνωμοδοτικό</w:t>
      </w:r>
      <w:r>
        <w:rPr>
          <w:noProof/>
          <w:sz w:val="22"/>
          <w:lang w:val="en-US"/>
        </w:rPr>
        <w:t xml:space="preserve"> </w:t>
      </w:r>
      <w:r>
        <w:rPr>
          <w:noProof/>
          <w:sz w:val="22"/>
        </w:rPr>
        <w:t>Συμβούλιο</w:t>
      </w:r>
      <w:r>
        <w:rPr>
          <w:noProof/>
          <w:sz w:val="22"/>
          <w:lang w:val="en-US"/>
        </w:rPr>
        <w:t xml:space="preserve"> </w:t>
      </w:r>
      <w:r>
        <w:rPr>
          <w:noProof/>
          <w:sz w:val="22"/>
        </w:rPr>
        <w:t>Ευρωπαίων</w:t>
      </w:r>
      <w:r>
        <w:rPr>
          <w:noProof/>
          <w:sz w:val="22"/>
          <w:lang w:val="en-US"/>
        </w:rPr>
        <w:t xml:space="preserve"> </w:t>
      </w:r>
      <w:r>
        <w:rPr>
          <w:noProof/>
          <w:sz w:val="22"/>
        </w:rPr>
        <w:t>Δικαστών</w:t>
      </w:r>
      <w:r>
        <w:rPr>
          <w:noProof/>
          <w:sz w:val="22"/>
          <w:lang w:val="en-US"/>
        </w:rPr>
        <w:t xml:space="preserve"> (2016), </w:t>
      </w:r>
      <w:r>
        <w:rPr>
          <w:i/>
          <w:noProof/>
          <w:sz w:val="22"/>
          <w:lang w:val="en-US"/>
        </w:rPr>
        <w:t>Opinion N°19 - The role of court presidents</w:t>
      </w:r>
      <w:r>
        <w:rPr>
          <w:noProof/>
          <w:sz w:val="22"/>
          <w:lang w:val="en-US"/>
        </w:rPr>
        <w:t xml:space="preserve"> (</w:t>
      </w:r>
      <w:r>
        <w:rPr>
          <w:noProof/>
          <w:sz w:val="22"/>
        </w:rPr>
        <w:t>Γνώμη</w:t>
      </w:r>
      <w:r>
        <w:rPr>
          <w:noProof/>
          <w:sz w:val="22"/>
          <w:lang w:val="en-US"/>
        </w:rPr>
        <w:t xml:space="preserve"> </w:t>
      </w:r>
      <w:r>
        <w:rPr>
          <w:noProof/>
          <w:sz w:val="22"/>
        </w:rPr>
        <w:t>αριθ</w:t>
      </w:r>
      <w:r>
        <w:rPr>
          <w:noProof/>
          <w:sz w:val="22"/>
          <w:lang w:val="en-US"/>
        </w:rPr>
        <w:t xml:space="preserve">. 19: </w:t>
      </w:r>
      <w:r>
        <w:rPr>
          <w:noProof/>
          <w:sz w:val="22"/>
        </w:rPr>
        <w:t>Ο</w:t>
      </w:r>
      <w:r>
        <w:rPr>
          <w:noProof/>
          <w:sz w:val="22"/>
          <w:lang w:val="en-US"/>
        </w:rPr>
        <w:t xml:space="preserve"> </w:t>
      </w:r>
      <w:r>
        <w:rPr>
          <w:noProof/>
          <w:sz w:val="22"/>
        </w:rPr>
        <w:t>ρόλος</w:t>
      </w:r>
      <w:r>
        <w:rPr>
          <w:noProof/>
          <w:sz w:val="22"/>
          <w:lang w:val="en-US"/>
        </w:rPr>
        <w:t xml:space="preserve"> </w:t>
      </w:r>
      <w:r>
        <w:rPr>
          <w:noProof/>
          <w:sz w:val="22"/>
        </w:rPr>
        <w:t>των</w:t>
      </w:r>
      <w:r>
        <w:rPr>
          <w:noProof/>
          <w:sz w:val="22"/>
          <w:lang w:val="en-US"/>
        </w:rPr>
        <w:t xml:space="preserve"> </w:t>
      </w:r>
      <w:r>
        <w:rPr>
          <w:noProof/>
          <w:sz w:val="22"/>
        </w:rPr>
        <w:t>προέδρων</w:t>
      </w:r>
      <w:r>
        <w:rPr>
          <w:noProof/>
          <w:sz w:val="22"/>
          <w:lang w:val="en-US"/>
        </w:rPr>
        <w:t xml:space="preserve"> </w:t>
      </w:r>
      <w:r>
        <w:rPr>
          <w:noProof/>
          <w:sz w:val="22"/>
        </w:rPr>
        <w:t>των</w:t>
      </w:r>
      <w:r>
        <w:rPr>
          <w:noProof/>
          <w:sz w:val="22"/>
          <w:lang w:val="en-US"/>
        </w:rPr>
        <w:t xml:space="preserve"> </w:t>
      </w:r>
      <w:r>
        <w:rPr>
          <w:noProof/>
          <w:sz w:val="22"/>
        </w:rPr>
        <w:t>δικαστηρίων</w:t>
      </w:r>
      <w:r>
        <w:rPr>
          <w:noProof/>
          <w:sz w:val="22"/>
          <w:lang w:val="en-US"/>
        </w:rPr>
        <w:t xml:space="preserve">). </w:t>
      </w:r>
    </w:p>
    <w:p>
      <w:pPr>
        <w:spacing w:after="120"/>
        <w:rPr>
          <w:rFonts w:eastAsia="Times New Roman" w:cs="Times New Roman"/>
          <w:noProof/>
          <w:sz w:val="22"/>
          <w:lang w:val="en-US"/>
        </w:rPr>
      </w:pPr>
      <w:r>
        <w:rPr>
          <w:noProof/>
          <w:sz w:val="22"/>
        </w:rPr>
        <w:t>Συμβούλιο</w:t>
      </w:r>
      <w:r>
        <w:rPr>
          <w:noProof/>
          <w:sz w:val="22"/>
          <w:lang w:val="en-US"/>
        </w:rPr>
        <w:t xml:space="preserve"> </w:t>
      </w:r>
      <w:r>
        <w:rPr>
          <w:noProof/>
          <w:sz w:val="22"/>
        </w:rPr>
        <w:t>της</w:t>
      </w:r>
      <w:r>
        <w:rPr>
          <w:noProof/>
          <w:sz w:val="22"/>
          <w:lang w:val="en-US"/>
        </w:rPr>
        <w:t xml:space="preserve"> </w:t>
      </w:r>
      <w:r>
        <w:rPr>
          <w:noProof/>
          <w:sz w:val="22"/>
        </w:rPr>
        <w:t>Ευρώπης</w:t>
      </w:r>
      <w:r>
        <w:rPr>
          <w:noProof/>
          <w:sz w:val="22"/>
          <w:lang w:val="en-US"/>
        </w:rPr>
        <w:t xml:space="preserve">: </w:t>
      </w:r>
      <w:r>
        <w:rPr>
          <w:noProof/>
          <w:sz w:val="22"/>
        </w:rPr>
        <w:t>Επιτροπή</w:t>
      </w:r>
      <w:r>
        <w:rPr>
          <w:noProof/>
          <w:sz w:val="22"/>
          <w:lang w:val="en-US"/>
        </w:rPr>
        <w:t xml:space="preserve"> </w:t>
      </w:r>
      <w:r>
        <w:rPr>
          <w:noProof/>
          <w:sz w:val="22"/>
        </w:rPr>
        <w:t>Υπουργών</w:t>
      </w:r>
      <w:r>
        <w:rPr>
          <w:noProof/>
          <w:sz w:val="22"/>
          <w:lang w:val="en-US"/>
        </w:rPr>
        <w:t xml:space="preserve"> (2000), </w:t>
      </w:r>
      <w:r>
        <w:rPr>
          <w:i/>
          <w:noProof/>
          <w:sz w:val="22"/>
          <w:lang w:val="en-US"/>
        </w:rPr>
        <w:t>Recommendation Rec(2000)19 of the Committee of Ministers on the role of public prosecution in the criminal justice system</w:t>
      </w:r>
      <w:r>
        <w:rPr>
          <w:noProof/>
          <w:sz w:val="22"/>
          <w:lang w:val="en-US"/>
        </w:rPr>
        <w:t xml:space="preserve"> [</w:t>
      </w:r>
      <w:r>
        <w:rPr>
          <w:noProof/>
          <w:sz w:val="22"/>
        </w:rPr>
        <w:t>Σύσταση</w:t>
      </w:r>
      <w:r>
        <w:rPr>
          <w:noProof/>
          <w:sz w:val="22"/>
          <w:lang w:val="en-US"/>
        </w:rPr>
        <w:t xml:space="preserve"> Rec(2000)19 </w:t>
      </w:r>
      <w:r>
        <w:rPr>
          <w:noProof/>
          <w:sz w:val="22"/>
        </w:rPr>
        <w:t>της</w:t>
      </w:r>
      <w:r>
        <w:rPr>
          <w:noProof/>
          <w:sz w:val="22"/>
          <w:lang w:val="en-US"/>
        </w:rPr>
        <w:t xml:space="preserve"> </w:t>
      </w:r>
      <w:r>
        <w:rPr>
          <w:noProof/>
          <w:sz w:val="22"/>
        </w:rPr>
        <w:t>Επιτροπής</w:t>
      </w:r>
      <w:r>
        <w:rPr>
          <w:noProof/>
          <w:sz w:val="22"/>
          <w:lang w:val="en-US"/>
        </w:rPr>
        <w:t xml:space="preserve"> </w:t>
      </w:r>
      <w:r>
        <w:rPr>
          <w:noProof/>
          <w:sz w:val="22"/>
        </w:rPr>
        <w:t>Υπουργών</w:t>
      </w:r>
      <w:r>
        <w:rPr>
          <w:noProof/>
          <w:sz w:val="22"/>
          <w:lang w:val="en-US"/>
        </w:rPr>
        <w:t xml:space="preserve"> </w:t>
      </w:r>
      <w:r>
        <w:rPr>
          <w:noProof/>
          <w:sz w:val="22"/>
        </w:rPr>
        <w:t>σχετικά</w:t>
      </w:r>
      <w:r>
        <w:rPr>
          <w:noProof/>
          <w:sz w:val="22"/>
          <w:lang w:val="en-US"/>
        </w:rPr>
        <w:t xml:space="preserve"> </w:t>
      </w:r>
      <w:r>
        <w:rPr>
          <w:noProof/>
          <w:sz w:val="22"/>
        </w:rPr>
        <w:t>με</w:t>
      </w:r>
      <w:r>
        <w:rPr>
          <w:noProof/>
          <w:sz w:val="22"/>
          <w:lang w:val="en-US"/>
        </w:rPr>
        <w:t xml:space="preserve"> </w:t>
      </w:r>
      <w:r>
        <w:rPr>
          <w:noProof/>
          <w:sz w:val="22"/>
        </w:rPr>
        <w:t>τον</w:t>
      </w:r>
      <w:r>
        <w:rPr>
          <w:noProof/>
          <w:sz w:val="22"/>
          <w:lang w:val="en-US"/>
        </w:rPr>
        <w:t xml:space="preserve"> </w:t>
      </w:r>
      <w:r>
        <w:rPr>
          <w:noProof/>
          <w:sz w:val="22"/>
        </w:rPr>
        <w:t>ρόλο</w:t>
      </w:r>
      <w:r>
        <w:rPr>
          <w:noProof/>
          <w:sz w:val="22"/>
          <w:lang w:val="en-US"/>
        </w:rPr>
        <w:t xml:space="preserve"> </w:t>
      </w:r>
      <w:r>
        <w:rPr>
          <w:noProof/>
          <w:sz w:val="22"/>
        </w:rPr>
        <w:t>των</w:t>
      </w:r>
      <w:r>
        <w:rPr>
          <w:noProof/>
          <w:sz w:val="22"/>
          <w:lang w:val="en-US"/>
        </w:rPr>
        <w:t xml:space="preserve"> </w:t>
      </w:r>
      <w:r>
        <w:rPr>
          <w:noProof/>
          <w:sz w:val="22"/>
        </w:rPr>
        <w:t>εισαγγελικών</w:t>
      </w:r>
      <w:r>
        <w:rPr>
          <w:noProof/>
          <w:sz w:val="22"/>
          <w:lang w:val="en-US"/>
        </w:rPr>
        <w:t xml:space="preserve"> </w:t>
      </w:r>
      <w:r>
        <w:rPr>
          <w:noProof/>
          <w:sz w:val="22"/>
        </w:rPr>
        <w:t>αρχών</w:t>
      </w:r>
      <w:r>
        <w:rPr>
          <w:noProof/>
          <w:sz w:val="22"/>
          <w:lang w:val="en-US"/>
        </w:rPr>
        <w:t xml:space="preserve"> </w:t>
      </w:r>
      <w:r>
        <w:rPr>
          <w:noProof/>
          <w:sz w:val="22"/>
        </w:rPr>
        <w:t>στο</w:t>
      </w:r>
      <w:r>
        <w:rPr>
          <w:noProof/>
          <w:sz w:val="22"/>
          <w:lang w:val="en-US"/>
        </w:rPr>
        <w:t xml:space="preserve"> </w:t>
      </w:r>
      <w:r>
        <w:rPr>
          <w:noProof/>
          <w:sz w:val="22"/>
        </w:rPr>
        <w:t>σύστημα</w:t>
      </w:r>
      <w:r>
        <w:rPr>
          <w:noProof/>
          <w:sz w:val="22"/>
          <w:lang w:val="en-US"/>
        </w:rPr>
        <w:t xml:space="preserve"> </w:t>
      </w:r>
      <w:r>
        <w:rPr>
          <w:noProof/>
          <w:sz w:val="22"/>
        </w:rPr>
        <w:t>απονομής</w:t>
      </w:r>
      <w:r>
        <w:rPr>
          <w:noProof/>
          <w:sz w:val="22"/>
          <w:lang w:val="en-US"/>
        </w:rPr>
        <w:t xml:space="preserve"> </w:t>
      </w:r>
      <w:r>
        <w:rPr>
          <w:noProof/>
          <w:sz w:val="22"/>
        </w:rPr>
        <w:t>ποινικής</w:t>
      </w:r>
      <w:r>
        <w:rPr>
          <w:noProof/>
          <w:sz w:val="22"/>
          <w:lang w:val="en-US"/>
        </w:rPr>
        <w:t xml:space="preserve"> </w:t>
      </w:r>
      <w:r>
        <w:rPr>
          <w:noProof/>
          <w:sz w:val="22"/>
        </w:rPr>
        <w:t>δικαιοσύνης</w:t>
      </w:r>
      <w:r>
        <w:rPr>
          <w:noProof/>
          <w:sz w:val="22"/>
          <w:lang w:val="en-US"/>
        </w:rPr>
        <w:t>].</w:t>
      </w:r>
    </w:p>
    <w:p>
      <w:pPr>
        <w:spacing w:after="120"/>
        <w:rPr>
          <w:rFonts w:eastAsia="Times New Roman" w:cs="Times New Roman"/>
          <w:noProof/>
          <w:sz w:val="22"/>
        </w:rPr>
      </w:pPr>
      <w:r>
        <w:rPr>
          <w:noProof/>
          <w:sz w:val="22"/>
        </w:rPr>
        <w:t>Συμβούλιο της Ευρώπης, Platform to promote the protection of journalism and safety of journalists – Germany (Πλατφόρμα για την προώθηση της προστασίας της δημοσιογραφίας και της ασφάλειας των δημοσιογράφων – Γερμανία) (</w:t>
      </w:r>
      <w:hyperlink r:id="rId26" w:history="1">
        <w:r>
          <w:rPr>
            <w:rStyle w:val="Hyperlink"/>
            <w:noProof/>
            <w:sz w:val="22"/>
          </w:rPr>
          <w:t>https://www.coe.int/en/web/media-freedom/germany</w:t>
        </w:r>
      </w:hyperlink>
      <w:r>
        <w:rPr>
          <w:noProof/>
          <w:sz w:val="22"/>
        </w:rPr>
        <w:t xml:space="preserve">). </w:t>
      </w:r>
    </w:p>
    <w:p>
      <w:pPr>
        <w:spacing w:after="120"/>
        <w:rPr>
          <w:rFonts w:eastAsia="Times New Roman" w:cs="Times New Roman"/>
          <w:noProof/>
          <w:sz w:val="22"/>
        </w:rPr>
      </w:pPr>
      <w:r>
        <w:rPr>
          <w:noProof/>
          <w:sz w:val="22"/>
        </w:rPr>
        <w:t>Δικαστήριο της Ευρωπαϊκής Ένωσης (2020), Ανακοινωθέν Τύπου αριθ. 58/20.</w:t>
      </w:r>
    </w:p>
    <w:p>
      <w:pPr>
        <w:spacing w:after="120"/>
        <w:rPr>
          <w:rFonts w:eastAsia="Times New Roman" w:cs="Times New Roman"/>
          <w:noProof/>
          <w:sz w:val="22"/>
        </w:rPr>
      </w:pPr>
      <w:r>
        <w:rPr>
          <w:noProof/>
          <w:sz w:val="22"/>
        </w:rPr>
        <w:t xml:space="preserve">Ομοσπονδιακό Συνταγματικό Δικαστήριο, διάταξη της 29ης Απριλίου 2021, </w:t>
      </w:r>
      <w:r>
        <w:rPr>
          <w:noProof/>
        </w:rPr>
        <w:t xml:space="preserve"> </w:t>
      </w:r>
      <w:r>
        <w:rPr>
          <w:noProof/>
        </w:rPr>
        <w:cr/>
      </w:r>
      <w:r>
        <w:rPr>
          <w:noProof/>
        </w:rPr>
        <w:br/>
      </w:r>
      <w:r>
        <w:rPr>
          <w:noProof/>
          <w:sz w:val="22"/>
        </w:rPr>
        <w:t>2 BvR 1651/15, 2 BvR 2006/15.</w:t>
      </w:r>
    </w:p>
    <w:p>
      <w:pPr>
        <w:spacing w:after="120"/>
        <w:rPr>
          <w:rFonts w:eastAsia="Times New Roman" w:cs="Times New Roman"/>
          <w:noProof/>
          <w:sz w:val="22"/>
        </w:rPr>
      </w:pPr>
      <w:r>
        <w:rPr>
          <w:noProof/>
          <w:sz w:val="22"/>
        </w:rPr>
        <w:t>Deutsche Richterzeitung (2020), Ο κορονοϊός οδηγεί σε προόδους όσον αφορά την ψηφιοποίηση (</w:t>
      </w:r>
      <w:r>
        <w:rPr>
          <w:i/>
          <w:noProof/>
          <w:sz w:val="22"/>
        </w:rPr>
        <w:t>Corona führt zu Digtialisierungsschub</w:t>
      </w:r>
      <w:r>
        <w:rPr>
          <w:noProof/>
          <w:sz w:val="22"/>
        </w:rPr>
        <w:t xml:space="preserve">) </w:t>
      </w:r>
    </w:p>
    <w:p>
      <w:pPr>
        <w:spacing w:after="120"/>
        <w:rPr>
          <w:rFonts w:eastAsia="Times New Roman" w:cs="Times New Roman"/>
          <w:i/>
          <w:noProof/>
          <w:sz w:val="22"/>
        </w:rPr>
      </w:pPr>
      <w:r>
        <w:rPr>
          <w:noProof/>
          <w:sz w:val="22"/>
        </w:rPr>
        <w:t>Deutsche Richterzeitung (2020), Η κρίση του κορονοϊού οδηγεί σε χιλιάδες υποθέσεις προσφυγών (</w:t>
      </w:r>
      <w:r>
        <w:rPr>
          <w:i/>
          <w:noProof/>
          <w:sz w:val="22"/>
        </w:rPr>
        <w:t>Corona-Krise sorgt für tausende Verfahren)</w:t>
      </w:r>
    </w:p>
    <w:p>
      <w:pPr>
        <w:spacing w:after="120"/>
        <w:rPr>
          <w:rFonts w:eastAsia="Times New Roman" w:cs="Times New Roman"/>
          <w:noProof/>
          <w:sz w:val="22"/>
        </w:rPr>
      </w:pPr>
      <w:r>
        <w:rPr>
          <w:noProof/>
          <w:sz w:val="22"/>
        </w:rPr>
        <w:t>Deutsche Richterzeitung (2021), Σύμφωνο με ενδιάμεσα μεικτά αποτελέσματα (</w:t>
      </w:r>
      <w:r>
        <w:rPr>
          <w:i/>
          <w:noProof/>
          <w:sz w:val="22"/>
        </w:rPr>
        <w:t>Pakt mit durchwachsener Zwischenbilanz</w:t>
      </w:r>
      <w:r>
        <w:rPr>
          <w:noProof/>
          <w:sz w:val="22"/>
        </w:rPr>
        <w:t xml:space="preserve">). </w:t>
      </w:r>
    </w:p>
    <w:p>
      <w:pPr>
        <w:spacing w:after="120" w:line="259" w:lineRule="auto"/>
        <w:rPr>
          <w:rFonts w:cs="Times New Roman"/>
          <w:noProof/>
          <w:sz w:val="22"/>
          <w:u w:val="single"/>
        </w:rPr>
      </w:pPr>
      <w:r>
        <w:rPr>
          <w:noProof/>
          <w:sz w:val="22"/>
        </w:rPr>
        <w:t>Οδηγία της Ομοσπονδιακής Κυβέρνησης σχετικά με την πρόληψη της διαφθοράς στην ομοσπονδιακή διοίκηση (2004) Richtlinie der Bundesregierung zur Korruptionsprävention in der Bundesverwaltung (2004) (</w:t>
      </w:r>
      <w:hyperlink r:id="rId27" w:history="1">
        <w:r>
          <w:rPr>
            <w:rStyle w:val="Hyperlink"/>
            <w:noProof/>
            <w:sz w:val="22"/>
          </w:rPr>
          <w:t>https://www.verwaltungsvorschriften-im-internet.de/bsvwvbund_30072004_O4634140151.htm</w:t>
        </w:r>
      </w:hyperlink>
      <w:r>
        <w:rPr>
          <w:noProof/>
          <w:sz w:val="22"/>
          <w:u w:val="single"/>
        </w:rPr>
        <w:t>).</w:t>
      </w:r>
    </w:p>
    <w:p>
      <w:pPr>
        <w:spacing w:after="120" w:line="259" w:lineRule="auto"/>
        <w:rPr>
          <w:rFonts w:cs="Times New Roman"/>
          <w:noProof/>
          <w:sz w:val="22"/>
        </w:rPr>
      </w:pPr>
      <w:r>
        <w:rPr>
          <w:noProof/>
          <w:sz w:val="22"/>
        </w:rPr>
        <w:t xml:space="preserve">Γενική Διεύθυνση Επικοινωνίας (2019), </w:t>
      </w:r>
      <w:r>
        <w:rPr>
          <w:i/>
          <w:iCs/>
          <w:noProof/>
          <w:sz w:val="22"/>
        </w:rPr>
        <w:t>Έκτακτο Ευρωβαρόμετρο 482: στάση των επιχειρήσεων απέναντι στη διαφθορά στην ΕΕ</w:t>
      </w:r>
      <w:r>
        <w:rPr>
          <w:noProof/>
          <w:sz w:val="22"/>
        </w:rPr>
        <w:t>.</w:t>
      </w:r>
    </w:p>
    <w:p>
      <w:pPr>
        <w:spacing w:after="120" w:line="259" w:lineRule="auto"/>
        <w:rPr>
          <w:rFonts w:cs="Times New Roman"/>
          <w:noProof/>
          <w:sz w:val="22"/>
        </w:rPr>
      </w:pPr>
      <w:r>
        <w:rPr>
          <w:noProof/>
          <w:sz w:val="22"/>
        </w:rPr>
        <w:t xml:space="preserve">Γενική Διεύθυνση Επικοινωνίας (2020), </w:t>
      </w:r>
      <w:r>
        <w:rPr>
          <w:i/>
          <w:iCs/>
          <w:noProof/>
          <w:sz w:val="22"/>
        </w:rPr>
        <w:t>Ειδικό Ευρωβαρόμετρο 502: διαφθορά</w:t>
      </w:r>
      <w:r>
        <w:rPr>
          <w:noProof/>
          <w:sz w:val="22"/>
        </w:rPr>
        <w:t>.</w:t>
      </w:r>
    </w:p>
    <w:p>
      <w:pPr>
        <w:spacing w:after="120"/>
        <w:rPr>
          <w:rFonts w:eastAsia="Times New Roman" w:cs="Times New Roman"/>
          <w:noProof/>
          <w:sz w:val="22"/>
        </w:rPr>
      </w:pPr>
      <w:r>
        <w:rPr>
          <w:noProof/>
          <w:sz w:val="22"/>
        </w:rPr>
        <w:t>DRB (2021), Μεγάλες μισθολογικές διαφορές μεταξύ των ομόσπονδων κρατών (</w:t>
      </w:r>
      <w:r>
        <w:rPr>
          <w:i/>
          <w:noProof/>
          <w:sz w:val="22"/>
        </w:rPr>
        <w:t>Große Besoldungsunterschiede zwischen den Bundesländern</w:t>
      </w:r>
      <w:r>
        <w:rPr>
          <w:noProof/>
          <w:sz w:val="22"/>
        </w:rPr>
        <w:t>) (</w:t>
      </w:r>
      <w:hyperlink r:id="rId28" w:history="1">
        <w:r>
          <w:rPr>
            <w:rStyle w:val="Hyperlink"/>
            <w:noProof/>
            <w:sz w:val="22"/>
          </w:rPr>
          <w:t>https://www.drb.de/newsroom/presse-mediencenter/nachrichten-auf-einen-blick/nachricht/news/grosse-besoldungsunterschiede-zwischen-den-bundeslaendern</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 xml:space="preserve">Ευρωπαϊκό Κέντρο Ελευθερίας του Τύπου και των Μέσων Ενημέρωσης (2021), </w:t>
      </w:r>
      <w:r>
        <w:rPr>
          <w:i/>
          <w:noProof/>
          <w:sz w:val="22"/>
        </w:rPr>
        <w:t>Παρατηρήσεις του Ευρωπαϊκού Κέντρου Ελευθερίας του Τύπου και των Μέσων Ενημέρωσης για την κατάρτιση της έκθεσης του 2021 για το κράτος δικαίου</w:t>
      </w:r>
    </w:p>
    <w:p>
      <w:pPr>
        <w:spacing w:after="120"/>
        <w:rPr>
          <w:rFonts w:eastAsia="Times New Roman" w:cs="Times New Roman"/>
          <w:noProof/>
          <w:sz w:val="22"/>
        </w:rPr>
      </w:pPr>
      <w:r>
        <w:rPr>
          <w:noProof/>
          <w:sz w:val="22"/>
        </w:rPr>
        <w:t>Ευρωπαϊκό Κέντρο Ελευθερίας του Τύπου και των Μέσων Ενημέρωσης, Platform on mapping media freedom (Πλατφόρμα για τη χαρτογράφηση της ελευθερίας των μέσων μαζικής επικοινωνίας) (</w:t>
      </w:r>
      <w:hyperlink r:id="rId29" w:history="1">
        <w:r>
          <w:rPr>
            <w:rStyle w:val="Hyperlink"/>
            <w:noProof/>
            <w:sz w:val="22"/>
          </w:rPr>
          <w:t>https://www.ecpmf.eu/monitor/mapping-media-freedom/</w:t>
        </w:r>
      </w:hyperlink>
      <w:r>
        <w:rPr>
          <w:noProof/>
          <w:sz w:val="22"/>
        </w:rPr>
        <w:t xml:space="preserve">) </w:t>
      </w:r>
    </w:p>
    <w:p>
      <w:pPr>
        <w:spacing w:after="120"/>
        <w:rPr>
          <w:rFonts w:eastAsia="Times New Roman" w:cs="Times New Roman"/>
          <w:noProof/>
          <w:sz w:val="22"/>
        </w:rPr>
      </w:pPr>
      <w:r>
        <w:rPr>
          <w:noProof/>
          <w:sz w:val="22"/>
        </w:rPr>
        <w:t xml:space="preserve">Ευρωπαϊκή Επιτροπή (2020), </w:t>
      </w:r>
      <w:r>
        <w:rPr>
          <w:i/>
          <w:noProof/>
          <w:sz w:val="22"/>
        </w:rPr>
        <w:t>Έκθεση για το κράτος δικαίου, Κεφάλαιο για την κατάσταση του κράτους δικαίου στη Γερμανία</w:t>
      </w:r>
      <w:r>
        <w:rPr>
          <w:noProof/>
          <w:sz w:val="22"/>
        </w:rPr>
        <w:t>.</w:t>
      </w:r>
    </w:p>
    <w:p>
      <w:pPr>
        <w:spacing w:after="120"/>
        <w:rPr>
          <w:rFonts w:eastAsia="Times New Roman" w:cs="Times New Roman"/>
          <w:noProof/>
          <w:sz w:val="22"/>
        </w:rPr>
      </w:pPr>
      <w:r>
        <w:rPr>
          <w:noProof/>
          <w:sz w:val="22"/>
        </w:rPr>
        <w:t xml:space="preserve">Ευρωπαϊκή Επιτροπή (2021), </w:t>
      </w:r>
      <w:r>
        <w:rPr>
          <w:i/>
          <w:noProof/>
          <w:sz w:val="22"/>
        </w:rPr>
        <w:t>Πίνακας αποτελεσμάτων της ΕΕ στον τομέα της δικαιοσύνης</w:t>
      </w:r>
      <w:r>
        <w:rPr>
          <w:noProof/>
          <w:sz w:val="22"/>
        </w:rPr>
        <w:t>.</w:t>
      </w:r>
    </w:p>
    <w:p>
      <w:pPr>
        <w:spacing w:after="120"/>
        <w:rPr>
          <w:rFonts w:eastAsia="Times New Roman" w:cs="Times New Roman"/>
          <w:noProof/>
          <w:sz w:val="22"/>
        </w:rPr>
      </w:pPr>
      <w:r>
        <w:rPr>
          <w:noProof/>
          <w:sz w:val="22"/>
        </w:rPr>
        <w:t xml:space="preserve">Ευρωπαϊκή Επιτροπή (9 Ιουνίου 2021), Δέσμη παραβάσεων Ιουνίου — κυριότερες αποφάσεις. </w:t>
      </w:r>
      <w:hyperlink r:id="rId30" w:history="1">
        <w:r>
          <w:rPr>
            <w:rStyle w:val="Hyperlink"/>
            <w:noProof/>
            <w:sz w:val="22"/>
          </w:rPr>
          <w:t>https://ec.europa.eu/commission/presscorner/detail/el/inf_21_2743</w:t>
        </w:r>
      </w:hyperlink>
      <w:r>
        <w:rPr>
          <w:noProof/>
          <w:sz w:val="22"/>
        </w:rPr>
        <w:t xml:space="preserve"> </w:t>
      </w:r>
    </w:p>
    <w:p>
      <w:pPr>
        <w:spacing w:after="120"/>
        <w:rPr>
          <w:rFonts w:eastAsia="Times New Roman" w:cs="Times New Roman"/>
          <w:noProof/>
          <w:sz w:val="22"/>
        </w:rPr>
      </w:pPr>
      <w:r>
        <w:rPr>
          <w:noProof/>
          <w:sz w:val="22"/>
        </w:rPr>
        <w:t xml:space="preserve">Ευρωπαϊκή Ομοσπονδία Δημοσιογράφων (2021), </w:t>
      </w:r>
      <w:r>
        <w:rPr>
          <w:i/>
          <w:noProof/>
          <w:sz w:val="22"/>
        </w:rPr>
        <w:t>Germany: 252 attacks against media workers in 2020</w:t>
      </w:r>
      <w:r>
        <w:rPr>
          <w:noProof/>
          <w:sz w:val="22"/>
        </w:rPr>
        <w:t xml:space="preserve"> (Γερμανία: 252 επιθέσεις κατά εργαζομένων στα μέσα μαζικής επικοινωνίας το 2020) (</w:t>
      </w:r>
      <w:hyperlink r:id="rId31" w:history="1">
        <w:r>
          <w:rPr>
            <w:rStyle w:val="Hyperlink"/>
            <w:noProof/>
            <w:sz w:val="22"/>
          </w:rPr>
          <w:t>https://europeanjournalists.org/blog/2021/01/21/germany-252-attacks-against-media-workers-in-2020/</w:t>
        </w:r>
      </w:hyperlink>
      <w:r>
        <w:rPr>
          <w:noProof/>
          <w:sz w:val="22"/>
        </w:rPr>
        <w:t>).</w:t>
      </w:r>
    </w:p>
    <w:p>
      <w:pPr>
        <w:spacing w:after="120"/>
        <w:rPr>
          <w:rFonts w:eastAsia="Times New Roman" w:cs="Times New Roman"/>
          <w:noProof/>
          <w:sz w:val="22"/>
        </w:rPr>
      </w:pPr>
      <w:r>
        <w:rPr>
          <w:noProof/>
          <w:sz w:val="22"/>
        </w:rPr>
        <w:t xml:space="preserve">Ευρωπαϊκό Δίκτυο των Εθνικών Οργανισμών για τα Ανθρώπινα Δικαιώματα (2021), </w:t>
      </w:r>
      <w:r>
        <w:rPr>
          <w:i/>
          <w:noProof/>
          <w:sz w:val="22"/>
        </w:rPr>
        <w:t>Παρατηρήσεις του Ευρωπαϊκού Δικτύου των Εθνικών Οργανισμών για τα Ανθρώπινα Δικαιώματα για την κατάρτιση της έκθεσης του 2021 για το κράτος δικαίου.</w:t>
      </w:r>
    </w:p>
    <w:p>
      <w:pPr>
        <w:spacing w:after="120"/>
        <w:rPr>
          <w:rFonts w:eastAsia="Times New Roman" w:cs="Times New Roman"/>
          <w:noProof/>
          <w:sz w:val="22"/>
        </w:rPr>
      </w:pPr>
      <w:r>
        <w:rPr>
          <w:noProof/>
          <w:sz w:val="22"/>
        </w:rPr>
        <w:t>Ομοσπονδιακό Γερμανικό Ίδρυμα για τη Συμμετοχή των Πολιτών και τον Εθελοντισμό, Förderprogramm 2020: Gemeinsam wirken in Zeiten von Corona (</w:t>
      </w:r>
      <w:hyperlink r:id="rId32" w:history="1">
        <w:r>
          <w:rPr>
            <w:rStyle w:val="Hyperlink"/>
            <w:noProof/>
            <w:sz w:val="22"/>
          </w:rPr>
          <w:t>https://www.deutsche-stiftung-engagement-und-ehrenamt.de/foerderung/</w:t>
        </w:r>
      </w:hyperlink>
      <w:r>
        <w:rPr>
          <w:noProof/>
          <w:sz w:val="22"/>
        </w:rPr>
        <w:t xml:space="preserve">). </w:t>
      </w:r>
    </w:p>
    <w:p>
      <w:pPr>
        <w:spacing w:after="120"/>
        <w:rPr>
          <w:rFonts w:eastAsia="Times New Roman" w:cs="Times New Roman"/>
          <w:noProof/>
          <w:sz w:val="22"/>
        </w:rPr>
      </w:pPr>
      <w:r>
        <w:rPr>
          <w:noProof/>
          <w:sz w:val="22"/>
        </w:rPr>
        <w:t xml:space="preserve">Ομοσπονδιακό Υπουργείο Δικαιοσύνης και Προστασίας των Καταναλωτών (2019), </w:t>
      </w:r>
      <w:r>
        <w:rPr>
          <w:i/>
          <w:noProof/>
          <w:sz w:val="22"/>
        </w:rPr>
        <w:t>Σύμφωνο για το κράτος δικαίου</w:t>
      </w:r>
      <w:r>
        <w:rPr>
          <w:noProof/>
          <w:sz w:val="22"/>
        </w:rPr>
        <w:t xml:space="preserve">. </w:t>
      </w:r>
    </w:p>
    <w:p>
      <w:pPr>
        <w:pStyle w:val="FootnoteText"/>
        <w:spacing w:after="120"/>
        <w:ind w:left="0" w:firstLine="0"/>
        <w:rPr>
          <w:rFonts w:cs="Times New Roman"/>
          <w:noProof/>
          <w:sz w:val="22"/>
          <w:szCs w:val="22"/>
        </w:rPr>
      </w:pPr>
      <w:r>
        <w:rPr>
          <w:noProof/>
          <w:sz w:val="22"/>
          <w:szCs w:val="22"/>
        </w:rPr>
        <w:t xml:space="preserve">Γερμανική Ένωση Δικαστών και Εισαγγελέων (2021), </w:t>
      </w:r>
      <w:r>
        <w:rPr>
          <w:i/>
          <w:noProof/>
          <w:sz w:val="22"/>
          <w:szCs w:val="22"/>
        </w:rPr>
        <w:t>Παρατηρήσεις της γερμανικής Ένωσης Δικαστών και Εισαγγελέων για την κατάρτιση της έκθεσης του 2021 για το κράτος δικαίου.</w:t>
      </w:r>
      <w:r>
        <w:rPr>
          <w:noProof/>
          <w:sz w:val="22"/>
          <w:szCs w:val="22"/>
        </w:rPr>
        <w:t xml:space="preserve"> </w:t>
      </w:r>
    </w:p>
    <w:p>
      <w:pPr>
        <w:pStyle w:val="FootnoteText"/>
        <w:spacing w:after="120"/>
        <w:ind w:left="0" w:firstLine="0"/>
        <w:rPr>
          <w:rFonts w:cs="Times New Roman"/>
          <w:noProof/>
          <w:sz w:val="22"/>
          <w:szCs w:val="22"/>
        </w:rPr>
      </w:pPr>
      <w:r>
        <w:rPr>
          <w:noProof/>
          <w:sz w:val="22"/>
          <w:szCs w:val="22"/>
        </w:rPr>
        <w:t xml:space="preserve">Γερμανικός Δικηγορικός Σύλλογος (2021), </w:t>
      </w:r>
      <w:r>
        <w:rPr>
          <w:i/>
          <w:noProof/>
          <w:sz w:val="22"/>
          <w:szCs w:val="22"/>
        </w:rPr>
        <w:t>Παρατηρήσεις του γερμανικού Δικηγορικού Συλλόγου για την κατάρτιση της έκθεσης του 2021 για το κράτος δικαίου</w:t>
      </w:r>
      <w:r>
        <w:rPr>
          <w:noProof/>
          <w:sz w:val="22"/>
          <w:szCs w:val="22"/>
        </w:rPr>
        <w:t>.</w:t>
      </w:r>
    </w:p>
    <w:p>
      <w:pPr>
        <w:spacing w:after="120"/>
        <w:rPr>
          <w:rFonts w:eastAsia="Times New Roman" w:cs="Times New Roman"/>
          <w:noProof/>
          <w:sz w:val="22"/>
        </w:rPr>
      </w:pPr>
      <w:r>
        <w:rPr>
          <w:noProof/>
          <w:sz w:val="22"/>
        </w:rPr>
        <w:t>Γερμανική Ομοσπονδιακή Βουλή (2021), Απάντηση της Ομοσπονδιακής Κυβέρνησης, Drucksache 19/25940 (</w:t>
      </w:r>
      <w:hyperlink r:id="rId33" w:history="1">
        <w:r>
          <w:rPr>
            <w:rStyle w:val="Hyperlink"/>
            <w:noProof/>
            <w:sz w:val="22"/>
          </w:rPr>
          <w:t>https://dip21.bundestag.de/dip21/btd/19/259/1925940.pdf</w:t>
        </w:r>
      </w:hyperlink>
      <w:r>
        <w:rPr>
          <w:noProof/>
          <w:sz w:val="22"/>
        </w:rPr>
        <w:t>)</w:t>
      </w:r>
    </w:p>
    <w:p>
      <w:pPr>
        <w:spacing w:after="120"/>
        <w:rPr>
          <w:rFonts w:eastAsia="Times New Roman" w:cs="Times New Roman"/>
          <w:noProof/>
          <w:sz w:val="22"/>
        </w:rPr>
      </w:pPr>
      <w:r>
        <w:rPr>
          <w:noProof/>
          <w:sz w:val="22"/>
        </w:rPr>
        <w:t xml:space="preserve">Γερμανικός Ομοσπονδιακός Δικηγορικός Σύλλογος (2021), </w:t>
      </w:r>
      <w:r>
        <w:rPr>
          <w:i/>
          <w:noProof/>
          <w:sz w:val="22"/>
        </w:rPr>
        <w:t>Παρατηρήσεις του γερμανικού Ομοσπονδιακού Δικηγορικού Συλλόγου για την κατάρτισης της έκθεσης του 2021 για το κράτος δικαίου.</w:t>
      </w:r>
    </w:p>
    <w:p>
      <w:pPr>
        <w:spacing w:after="120"/>
        <w:rPr>
          <w:rFonts w:eastAsia="Times New Roman" w:cs="Times New Roman"/>
          <w:noProof/>
          <w:sz w:val="22"/>
        </w:rPr>
      </w:pPr>
      <w:r>
        <w:rPr>
          <w:noProof/>
          <w:sz w:val="22"/>
        </w:rPr>
        <w:t>Γερμανική Ομοσπονδία Δημοσιογράφων (2020), Βελτίωση της ασφάλειας (</w:t>
      </w:r>
      <w:hyperlink r:id="rId34" w:history="1">
        <w:r>
          <w:rPr>
            <w:rStyle w:val="Hyperlink"/>
            <w:noProof/>
            <w:sz w:val="22"/>
          </w:rPr>
          <w:t>https://www.djv.de/startseite/profil/der-djv/pressebereich-download/pressemitteilungen/detail/news-sicherheit-verbessern</w:t>
        </w:r>
      </w:hyperlink>
      <w:r>
        <w:rPr>
          <w:noProof/>
          <w:sz w:val="22"/>
        </w:rPr>
        <w:t xml:space="preserve">). </w:t>
      </w:r>
    </w:p>
    <w:p>
      <w:pPr>
        <w:spacing w:after="120"/>
        <w:rPr>
          <w:rFonts w:eastAsia="Times New Roman" w:cs="Times New Roman"/>
          <w:noProof/>
          <w:sz w:val="22"/>
        </w:rPr>
      </w:pPr>
      <w:r>
        <w:rPr>
          <w:noProof/>
          <w:sz w:val="22"/>
        </w:rPr>
        <w:t>Γερμανική Ομοσπονδία Δημοσιογράφων (2021), Νόμος για την Ομοσπονδιακή Υπηρεσία Πληροφοριών (BND): Καλύτερη προστασία των πληροφοριοδοτών (</w:t>
      </w:r>
      <w:hyperlink r:id="rId35" w:history="1">
        <w:r>
          <w:rPr>
            <w:rStyle w:val="Hyperlink"/>
            <w:noProof/>
            <w:sz w:val="22"/>
          </w:rPr>
          <w:t>https://www.djv.de/suche/meldungen/news-informanten-besser-schuetzen</w:t>
        </w:r>
      </w:hyperlink>
      <w:r>
        <w:rPr>
          <w:noProof/>
          <w:sz w:val="22"/>
        </w:rPr>
        <w:t>)</w:t>
      </w:r>
    </w:p>
    <w:p>
      <w:pPr>
        <w:spacing w:after="120"/>
        <w:rPr>
          <w:rFonts w:eastAsia="Times New Roman" w:cs="Times New Roman"/>
          <w:noProof/>
          <w:sz w:val="22"/>
        </w:rPr>
      </w:pPr>
      <w:r>
        <w:rPr>
          <w:noProof/>
          <w:sz w:val="22"/>
        </w:rPr>
        <w:t>Γερμανική Ομοσπονδία Δημοσιογράφων (2021), Κώδικας δεοντολογίας για τις επιχειρήσεις μέσων μαζικής επικοινωνίας (</w:t>
      </w:r>
      <w:hyperlink r:id="rId36" w:history="1">
        <w:r>
          <w:rPr>
            <w:rStyle w:val="Hyperlink"/>
            <w:noProof/>
            <w:sz w:val="22"/>
          </w:rPr>
          <w:t>https://www.djv.de/startseite/info/themen-wissen/schutzkodex-journalistinnen-vor-gewalt-und-bedrohungen-schuetzen</w:t>
        </w:r>
      </w:hyperlink>
      <w:r>
        <w:rPr>
          <w:noProof/>
          <w:sz w:val="22"/>
        </w:rPr>
        <w:t xml:space="preserve">). </w:t>
      </w:r>
    </w:p>
    <w:p>
      <w:pPr>
        <w:spacing w:after="120"/>
        <w:rPr>
          <w:rStyle w:val="Hyperlink"/>
          <w:rFonts w:cs="Times New Roman"/>
          <w:i/>
          <w:noProof/>
          <w:color w:val="auto"/>
          <w:sz w:val="22"/>
          <w:u w:val="none"/>
        </w:rPr>
      </w:pPr>
      <w:r>
        <w:rPr>
          <w:rStyle w:val="Hyperlink"/>
          <w:noProof/>
          <w:color w:val="auto"/>
          <w:sz w:val="22"/>
          <w:u w:val="none"/>
        </w:rPr>
        <w:t xml:space="preserve">Γερμανική κυβέρνηση (2021), </w:t>
      </w:r>
      <w:r>
        <w:rPr>
          <w:rStyle w:val="Hyperlink"/>
          <w:i/>
          <w:noProof/>
          <w:color w:val="auto"/>
          <w:sz w:val="22"/>
          <w:u w:val="none"/>
        </w:rPr>
        <w:t>Πληροφορίες που έδωσε η Γερμανία για την κατάρτιση της έκθεσης του 2021 για το κράτος δικαίου</w:t>
      </w:r>
    </w:p>
    <w:p>
      <w:pPr>
        <w:spacing w:after="120"/>
        <w:rPr>
          <w:rFonts w:eastAsia="Times New Roman" w:cs="Times New Roman"/>
          <w:noProof/>
          <w:sz w:val="22"/>
        </w:rPr>
      </w:pPr>
      <w:r>
        <w:rPr>
          <w:noProof/>
          <w:sz w:val="22"/>
        </w:rPr>
        <w:t xml:space="preserve">Γερμανική Ένωση Δημοσιογράφων (2020), </w:t>
      </w:r>
      <w:r>
        <w:rPr>
          <w:i/>
          <w:noProof/>
          <w:sz w:val="22"/>
        </w:rPr>
        <w:t xml:space="preserve">Η dju στη ver.di καταδικάζει τις επιθέσεις κατά εργαζομένων στα μέσα μαζικής επικοινωνίας στη διαδήλωση «Querdenken» στη Λειψία </w:t>
      </w:r>
      <w:r>
        <w:rPr>
          <w:noProof/>
          <w:sz w:val="22"/>
        </w:rPr>
        <w:t>(</w:t>
      </w:r>
      <w:hyperlink r:id="rId37" w:history="1">
        <w:r>
          <w:rPr>
            <w:rStyle w:val="Hyperlink"/>
            <w:noProof/>
            <w:sz w:val="22"/>
          </w:rPr>
          <w:t>https://dju.verdi.de/presse/pressemitteilungen/++co++79521560-21a6-11eb-bdd1-001a4a16012a</w:t>
        </w:r>
      </w:hyperlink>
      <w:r>
        <w:rPr>
          <w:noProof/>
          <w:sz w:val="22"/>
        </w:rPr>
        <w:t xml:space="preserve">)· </w:t>
      </w:r>
    </w:p>
    <w:p>
      <w:pPr>
        <w:spacing w:after="120"/>
        <w:rPr>
          <w:rFonts w:eastAsia="Times New Roman" w:cs="Times New Roman"/>
          <w:noProof/>
          <w:sz w:val="22"/>
        </w:rPr>
      </w:pPr>
      <w:r>
        <w:rPr>
          <w:noProof/>
          <w:sz w:val="22"/>
        </w:rPr>
        <w:t xml:space="preserve">Γερμανικό Συμβούλιο Τύπου (2020), </w:t>
      </w:r>
      <w:r>
        <w:rPr>
          <w:i/>
          <w:noProof/>
          <w:sz w:val="22"/>
        </w:rPr>
        <w:t>Αρχές δεοντολογίας για τα μέσα μαζικής επικοινωνίας και την αστυνομία με στόχο την πρόληψη των εμποδίων κατά την εκτέλεση των αστυνομικών καθηκόντων και την ελεύθερη άσκηση της δημοσιογραφίας</w:t>
      </w:r>
      <w:r>
        <w:rPr>
          <w:noProof/>
          <w:sz w:val="22"/>
        </w:rPr>
        <w:t xml:space="preserve"> (</w:t>
      </w:r>
      <w:hyperlink r:id="rId38" w:history="1">
        <w:r>
          <w:rPr>
            <w:rStyle w:val="Hyperlink"/>
            <w:noProof/>
            <w:sz w:val="22"/>
          </w:rPr>
          <w:t>https://www.presserat.de/files/presserat/dokumente/download/Verhaltensgrunds%C3%A4tze_MedienPolizei_Entwurf_24_11_2020.pdf</w:t>
        </w:r>
      </w:hyperlink>
      <w:r>
        <w:rPr>
          <w:noProof/>
          <w:sz w:val="22"/>
        </w:rPr>
        <w:t>)</w:t>
      </w:r>
    </w:p>
    <w:p>
      <w:pPr>
        <w:spacing w:after="120"/>
        <w:rPr>
          <w:rFonts w:eastAsia="Times New Roman" w:cs="Times New Roman"/>
          <w:noProof/>
          <w:sz w:val="22"/>
        </w:rPr>
      </w:pPr>
      <w:r>
        <w:rPr>
          <w:noProof/>
          <w:sz w:val="22"/>
        </w:rPr>
        <w:t xml:space="preserve">Γερμανικό Συμβούλιο Τύπου (2021), </w:t>
      </w:r>
      <w:r>
        <w:rPr>
          <w:i/>
          <w:noProof/>
          <w:sz w:val="22"/>
        </w:rPr>
        <w:t>Ετήσια έκθεση 2020</w:t>
      </w:r>
      <w:r>
        <w:rPr>
          <w:noProof/>
          <w:sz w:val="22"/>
        </w:rPr>
        <w:t xml:space="preserve"> (</w:t>
      </w:r>
      <w:hyperlink r:id="rId39" w:history="1">
        <w:r>
          <w:rPr>
            <w:rStyle w:val="Hyperlink"/>
            <w:noProof/>
            <w:sz w:val="22"/>
          </w:rPr>
          <w:t>https://www.presserat.de/jahresberichte-statistiken.html</w:t>
        </w:r>
      </w:hyperlink>
      <w:r>
        <w:rPr>
          <w:noProof/>
          <w:sz w:val="22"/>
        </w:rPr>
        <w:t>).</w:t>
      </w:r>
    </w:p>
    <w:p>
      <w:pPr>
        <w:spacing w:after="120"/>
        <w:rPr>
          <w:rFonts w:eastAsia="Times New Roman" w:cs="Times New Roman"/>
          <w:noProof/>
          <w:sz w:val="22"/>
        </w:rPr>
      </w:pPr>
      <w:r>
        <w:rPr>
          <w:noProof/>
          <w:sz w:val="22"/>
        </w:rPr>
        <w:t xml:space="preserve">Gesellschaft für Freiheitsrechte (2021), </w:t>
      </w:r>
      <w:r>
        <w:rPr>
          <w:i/>
          <w:noProof/>
          <w:sz w:val="22"/>
        </w:rPr>
        <w:t>Παρατηρήσεις της Gesellschaft für Freiheitsrechte για την κατάρτιση της έκθεσης του 2021 για το κράτος δικαίου.</w:t>
      </w:r>
    </w:p>
    <w:p>
      <w:pPr>
        <w:spacing w:after="120"/>
        <w:rPr>
          <w:rFonts w:eastAsia="Times New Roman" w:cs="Times New Roman"/>
          <w:noProof/>
          <w:sz w:val="22"/>
        </w:rPr>
      </w:pPr>
      <w:r>
        <w:rPr>
          <w:noProof/>
          <w:sz w:val="22"/>
        </w:rPr>
        <w:t xml:space="preserve">Gesellschaft für Freiheitsrechte και Open Society Foundations (2020), Shrinking spaces in Germany; shrinking spaces in Europe (Συρρίκνωση των χώρων στη Γερμανία· συρρίκνωση των χώρων στην Ευρώπη). </w:t>
      </w:r>
    </w:p>
    <w:p>
      <w:pPr>
        <w:spacing w:after="120"/>
        <w:rPr>
          <w:rFonts w:eastAsia="Times New Roman" w:cs="Times New Roman"/>
          <w:noProof/>
          <w:sz w:val="22"/>
        </w:rPr>
      </w:pPr>
      <w:r>
        <w:rPr>
          <w:noProof/>
          <w:sz w:val="22"/>
        </w:rPr>
        <w:t xml:space="preserve">GFF (2021), </w:t>
      </w:r>
      <w:r>
        <w:rPr>
          <w:i/>
          <w:noProof/>
          <w:sz w:val="22"/>
        </w:rPr>
        <w:t>Παρατηρήσεις της GFF για την κατάρτιση της έκθεσης του 2021 για το κράτος δικαίου</w:t>
      </w:r>
      <w:r>
        <w:rPr>
          <w:noProof/>
          <w:sz w:val="22"/>
        </w:rPr>
        <w:t>.</w:t>
      </w:r>
    </w:p>
    <w:p>
      <w:pPr>
        <w:spacing w:after="120"/>
        <w:rPr>
          <w:rFonts w:eastAsia="Times New Roman" w:cs="Times New Roman"/>
          <w:noProof/>
          <w:sz w:val="22"/>
        </w:rPr>
      </w:pPr>
      <w:r>
        <w:rPr>
          <w:noProof/>
          <w:sz w:val="22"/>
        </w:rPr>
        <w:t>Gostomzyk T. και Moßbrucker D. (2019), «</w:t>
      </w:r>
      <w:r>
        <w:rPr>
          <w:i/>
          <w:noProof/>
          <w:sz w:val="22"/>
        </w:rPr>
        <w:t>Αν το γράψεις, θα σου κάνω μήνυση!</w:t>
      </w:r>
      <w:r>
        <w:rPr>
          <w:noProof/>
          <w:sz w:val="22"/>
        </w:rPr>
        <w:t>»</w:t>
      </w:r>
      <w:r>
        <w:rPr>
          <w:i/>
          <w:noProof/>
          <w:sz w:val="22"/>
        </w:rPr>
        <w:t xml:space="preserve"> Μελέτη σχετικά με τις προληπτικές στρατηγικές των δικηγόρων έναντι των μέσων μαζικής επικοινωνίας</w:t>
      </w:r>
      <w:r>
        <w:rPr>
          <w:noProof/>
          <w:sz w:val="22"/>
        </w:rPr>
        <w:t>.</w:t>
      </w:r>
    </w:p>
    <w:p>
      <w:pPr>
        <w:spacing w:after="120"/>
        <w:rPr>
          <w:rFonts w:eastAsia="Times New Roman" w:cs="Times New Roman"/>
          <w:noProof/>
          <w:sz w:val="22"/>
        </w:rPr>
      </w:pPr>
      <w:r>
        <w:rPr>
          <w:noProof/>
          <w:sz w:val="22"/>
        </w:rPr>
        <w:t xml:space="preserve">GRECO (Ομάδα χωρών κατά της διαφθοράς) (2020), </w:t>
      </w:r>
      <w:r>
        <w:rPr>
          <w:i/>
          <w:noProof/>
          <w:sz w:val="22"/>
        </w:rPr>
        <w:t>Fifth Evaluation Round – Evaluation Report on Germany on Preventing corruption and promoting integrity in central governments (top executive functions) and law enforcement agencies</w:t>
      </w:r>
      <w:r>
        <w:rPr>
          <w:noProof/>
          <w:sz w:val="22"/>
        </w:rPr>
        <w:t xml:space="preserve"> [Πέμπτος γύρος αξιολογήσεων — Έκθεση αξιολόγησης της Γερμανίας σχετικά με την πρόληψη της διαφθοράς και την προώθηση της ακεραιότητας στις κεντρικές κυβερνήσεις (ανώτατες εκτελεστικές λειτουργίες) και στις υπηρεσίες επιβολής του νόμου].</w:t>
      </w:r>
    </w:p>
    <w:p>
      <w:pPr>
        <w:spacing w:after="120"/>
        <w:rPr>
          <w:rFonts w:eastAsia="Times New Roman" w:cs="Times New Roman"/>
          <w:noProof/>
          <w:sz w:val="22"/>
        </w:rPr>
      </w:pPr>
      <w:r>
        <w:rPr>
          <w:noProof/>
          <w:sz w:val="22"/>
        </w:rPr>
        <w:t>H. Steinharter, Μονάδα Χρηματοοικονομικών Πληροφοριών (2020): Anti-Geldwäsche-Behörde FIU plant Hunderte neue Stellen, Handelsblatt (</w:t>
      </w:r>
      <w:hyperlink r:id="rId40" w:history="1">
        <w:r>
          <w:rPr>
            <w:rStyle w:val="Hyperlink"/>
            <w:noProof/>
            <w:sz w:val="22"/>
          </w:rPr>
          <w:t>https://www.handelsblatt.com/finanzen/banken-versicherungen/banken/financial-intelligence-unit-anti-geldwaesche-behoerde-fiu-plant-hunderte-neue-stellen/26745786.html?ticket=ST-55488-FuqUZPM3mm6lk6jLHzJ6-ap6</w:t>
        </w:r>
      </w:hyperlink>
      <w:r>
        <w:rPr>
          <w:noProof/>
          <w:sz w:val="22"/>
        </w:rPr>
        <w:t>)</w:t>
      </w:r>
    </w:p>
    <w:p>
      <w:pPr>
        <w:spacing w:after="120"/>
        <w:rPr>
          <w:rFonts w:eastAsia="Times New Roman" w:cs="Times New Roman"/>
          <w:noProof/>
          <w:sz w:val="22"/>
        </w:rPr>
      </w:pPr>
      <w:r>
        <w:rPr>
          <w:noProof/>
          <w:sz w:val="22"/>
        </w:rPr>
        <w:t>Έση, Βαυαρία, Βραδεμβούργο, Βόρεια Ρηνανία - Βεστφαλία, Μεκλεμβούργο - Δυτική Πομερανία, Σάαρ, Κάτω Σαξονία και Σλέσβιχ-Χολστάιν (2021), Κοινή επιστολή.</w:t>
      </w:r>
    </w:p>
    <w:p>
      <w:pPr>
        <w:spacing w:after="120"/>
        <w:rPr>
          <w:rFonts w:eastAsia="Times New Roman" w:cs="Times New Roman"/>
          <w:noProof/>
          <w:sz w:val="22"/>
        </w:rPr>
      </w:pPr>
      <w:r>
        <w:rPr>
          <w:noProof/>
          <w:sz w:val="22"/>
        </w:rPr>
        <w:t>Ομοσπονδιακό Συνταγματικό Δικαστήριο, απόφαση της 29ης Νοεμβρίου 2016, 2 BvR 2453/15.</w:t>
      </w:r>
    </w:p>
    <w:p>
      <w:pPr>
        <w:spacing w:after="120"/>
        <w:rPr>
          <w:rFonts w:eastAsia="Times New Roman" w:cs="Times New Roman"/>
          <w:noProof/>
          <w:sz w:val="22"/>
        </w:rPr>
      </w:pPr>
      <w:r>
        <w:rPr>
          <w:noProof/>
          <w:sz w:val="22"/>
        </w:rPr>
        <w:t>Ομοσπονδιακό Συνταγματικό Δικαστήριο, απόφαση της 5ης Μαΐου 2020, 2 BvR 859/15.</w:t>
      </w:r>
    </w:p>
    <w:p>
      <w:pPr>
        <w:spacing w:after="120"/>
        <w:rPr>
          <w:rFonts w:eastAsia="Times New Roman" w:cs="Times New Roman"/>
          <w:noProof/>
          <w:sz w:val="22"/>
        </w:rPr>
      </w:pPr>
      <w:r>
        <w:rPr>
          <w:noProof/>
          <w:sz w:val="22"/>
        </w:rPr>
        <w:t>Ομοσπονδιακό Συνταγματικό Δικαστήριο (19.05.2020), Δελτίο Τύπου αριθ. 37/2020 (</w:t>
      </w:r>
      <w:hyperlink r:id="rId41" w:history="1">
        <w:r>
          <w:rPr>
            <w:rStyle w:val="Hyperlink"/>
            <w:noProof/>
            <w:sz w:val="22"/>
          </w:rPr>
          <w:t>https://www.bundesverfassungsgericht.de/SharedDocs/Pressemitteilungen/EN/2020/bvg20-037.html</w:t>
        </w:r>
      </w:hyperlink>
      <w:r>
        <w:rPr>
          <w:noProof/>
          <w:sz w:val="22"/>
        </w:rPr>
        <w:t>)</w:t>
      </w:r>
    </w:p>
    <w:p>
      <w:pPr>
        <w:spacing w:after="120"/>
        <w:rPr>
          <w:rFonts w:eastAsia="Times New Roman" w:cs="Times New Roman"/>
          <w:noProof/>
          <w:sz w:val="22"/>
        </w:rPr>
      </w:pPr>
      <w:r>
        <w:rPr>
          <w:noProof/>
          <w:sz w:val="22"/>
        </w:rPr>
        <w:t xml:space="preserve">Ομοσπονδιακό Φορολογικό Δικαστήριο, απόφαση της 10ης Δεκεμβρίου 2020, V R 14/20. </w:t>
      </w:r>
    </w:p>
    <w:p>
      <w:pPr>
        <w:spacing w:after="120"/>
        <w:rPr>
          <w:rFonts w:eastAsia="Times New Roman" w:cs="Times New Roman"/>
          <w:noProof/>
          <w:sz w:val="22"/>
        </w:rPr>
      </w:pPr>
      <w:r>
        <w:rPr>
          <w:noProof/>
          <w:sz w:val="22"/>
        </w:rPr>
        <w:t>Ομοσπονδιακό Φορολογικό Δικαστήριο, απόφαση της 10ης Ιανουαρίου 2019, V R 60/17.</w:t>
      </w:r>
    </w:p>
    <w:p>
      <w:pPr>
        <w:spacing w:after="120"/>
        <w:rPr>
          <w:rFonts w:eastAsia="Times New Roman" w:cs="Times New Roman"/>
          <w:noProof/>
          <w:sz w:val="22"/>
        </w:rPr>
      </w:pPr>
      <w:r>
        <w:rPr>
          <w:noProof/>
          <w:sz w:val="22"/>
        </w:rPr>
        <w:t xml:space="preserve">Δικαστήριο της Ευρωπαϊκής Ένωσης, αποφάσεις της 27ης Μαΐου 2019, </w:t>
      </w:r>
      <w:r>
        <w:rPr>
          <w:i/>
          <w:iCs/>
          <w:noProof/>
          <w:sz w:val="22"/>
        </w:rPr>
        <w:t>OG και PI</w:t>
      </w:r>
      <w:r>
        <w:rPr>
          <w:noProof/>
          <w:sz w:val="22"/>
        </w:rPr>
        <w:t>, συνεκδικασθείσες υποθέσεις C-508/18 και C-82/19 PPU και της 24ης Νοεμβρίου 2020 – C-510/19.</w:t>
      </w:r>
    </w:p>
    <w:p>
      <w:pPr>
        <w:spacing w:after="120"/>
        <w:rPr>
          <w:rFonts w:eastAsia="Times New Roman" w:cs="Times New Roman"/>
          <w:noProof/>
          <w:sz w:val="22"/>
        </w:rPr>
      </w:pPr>
      <w:r>
        <w:rPr>
          <w:noProof/>
          <w:sz w:val="22"/>
        </w:rPr>
        <w:t>KEK (2021), Συγκέντρωση των μέσων μαζικής επικοινωνίας (</w:t>
      </w:r>
      <w:hyperlink r:id="rId42" w:history="1">
        <w:r>
          <w:rPr>
            <w:rStyle w:val="Hyperlink"/>
            <w:noProof/>
            <w:sz w:val="22"/>
          </w:rPr>
          <w:t>https://www.kek-online.de/medienkonzentration</w:t>
        </w:r>
      </w:hyperlink>
      <w:r>
        <w:rPr>
          <w:noProof/>
          <w:sz w:val="22"/>
        </w:rPr>
        <w:t>).</w:t>
      </w:r>
    </w:p>
    <w:p>
      <w:pPr>
        <w:spacing w:after="120"/>
        <w:rPr>
          <w:rFonts w:eastAsia="Times New Roman" w:cs="Times New Roman"/>
          <w:noProof/>
          <w:sz w:val="22"/>
        </w:rPr>
      </w:pPr>
      <w:r>
        <w:rPr>
          <w:noProof/>
          <w:sz w:val="22"/>
        </w:rPr>
        <w:t>LTO (2021), Επείγουσες προσφυγές κατά της αντικατάστασης στις κορυφαίες θέσεις του Ομοσπονδιακού Φορολογικού Δικαστηρίου. (</w:t>
      </w:r>
      <w:hyperlink r:id="rId43" w:history="1">
        <w:r>
          <w:rPr>
            <w:rStyle w:val="Hyperlink"/>
            <w:noProof/>
            <w:sz w:val="22"/>
          </w:rPr>
          <w:t>https://www.lto.de/recht/justiz/j/vg-muenchen-eilantraege-neubesetzung-praesident-bmjv-bundesgerichte-richter-auswahl-erfahrung-politische-einflussnahme-bundes-finanzhof/</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Αναπληρώτρια υπουργός για πολιτιστικά θέματα και τα μέσα ενημέρωσης (2020), «Neustart Kultur»: Ιδιωτικοί ραδιοτηλεοπτικοί σταθμοί (</w:t>
      </w:r>
      <w:hyperlink r:id="rId44" w:history="1">
        <w:r>
          <w:rPr>
            <w:rStyle w:val="Hyperlink"/>
            <w:noProof/>
            <w:sz w:val="22"/>
          </w:rPr>
          <w:t>https://www.bundesregierung.de/breg-de/bundesregierung/staatsministerin-fuer-kultur-und-medien/private-rundfunkveranstalter-1777032</w:t>
        </w:r>
      </w:hyperlink>
      <w:r>
        <w:rPr>
          <w:noProof/>
          <w:sz w:val="22"/>
        </w:rPr>
        <w:t>)</w:t>
      </w:r>
    </w:p>
    <w:p>
      <w:pPr>
        <w:spacing w:after="120"/>
        <w:rPr>
          <w:rFonts w:eastAsia="Times New Roman" w:cs="Times New Roman"/>
          <w:noProof/>
          <w:sz w:val="22"/>
        </w:rPr>
      </w:pPr>
      <w:r>
        <w:rPr>
          <w:noProof/>
          <w:sz w:val="22"/>
        </w:rPr>
        <w:t>ΟΟΣΑ (2021), Phase 4 Two-Year Follow-Up Report: Germany (Έκθεση διετούς παρακολούθησης 4ης φάσης: Γερμανία) (</w:t>
      </w:r>
      <w:hyperlink r:id="rId45" w:history="1">
        <w:r>
          <w:rPr>
            <w:rStyle w:val="Hyperlink"/>
            <w:noProof/>
            <w:sz w:val="22"/>
          </w:rPr>
          <w:t>https://www.oecd.org/corruption/germany-oecdanti-briberyconvention.htm</w:t>
        </w:r>
      </w:hyperlink>
      <w:r>
        <w:rPr>
          <w:noProof/>
          <w:sz w:val="22"/>
        </w:rPr>
        <w:t>)</w:t>
      </w:r>
    </w:p>
    <w:p>
      <w:pPr>
        <w:spacing w:after="120"/>
        <w:rPr>
          <w:rFonts w:eastAsia="Times New Roman" w:cs="Times New Roman"/>
          <w:noProof/>
          <w:sz w:val="22"/>
        </w:rPr>
      </w:pPr>
      <w:r>
        <w:rPr>
          <w:noProof/>
          <w:sz w:val="22"/>
        </w:rPr>
        <w:t xml:space="preserve">Κώδικας Τύπου της Αστυνομίας της Βάδης-Βιρτεμβέργης (Υπουργείο Εσωτερικών, Ψηφιοποίησης και Δήμων (2021), </w:t>
      </w:r>
      <w:r>
        <w:rPr>
          <w:i/>
          <w:noProof/>
          <w:sz w:val="22"/>
        </w:rPr>
        <w:t>Κρατικά πρότυπα για τις σχέσεις με τον Τύπο</w:t>
      </w:r>
      <w:r>
        <w:rPr>
          <w:noProof/>
          <w:sz w:val="22"/>
        </w:rPr>
        <w:t xml:space="preserve"> (</w:t>
      </w:r>
      <w:hyperlink r:id="rId46" w:history="1">
        <w:r>
          <w:rPr>
            <w:rStyle w:val="Hyperlink"/>
            <w:noProof/>
            <w:sz w:val="22"/>
          </w:rPr>
          <w:t>https://im.baden-wuerttemberg.de/de/service/presse-und-oeffentlichkeitsarbeit/pressemitteilung/pid/landesweite-standards-fuer-die-pressearbeit/</w:t>
        </w:r>
      </w:hyperlink>
      <w:r>
        <w:rPr>
          <w:noProof/>
          <w:sz w:val="22"/>
        </w:rPr>
        <w:t>)</w:t>
      </w:r>
    </w:p>
    <w:p>
      <w:pPr>
        <w:spacing w:after="120"/>
        <w:rPr>
          <w:rFonts w:cs="Times New Roman"/>
          <w:i/>
          <w:iCs/>
          <w:noProof/>
          <w:sz w:val="22"/>
        </w:rPr>
      </w:pPr>
      <w:r>
        <w:rPr>
          <w:iCs/>
          <w:noProof/>
          <w:sz w:val="22"/>
        </w:rPr>
        <w:t xml:space="preserve">Δημοσιογράφοι Χωρίς Σύνορα (2021), </w:t>
      </w:r>
      <w:r>
        <w:rPr>
          <w:i/>
          <w:iCs/>
          <w:noProof/>
          <w:sz w:val="22"/>
        </w:rPr>
        <w:t xml:space="preserve">2021 World Press Freedom Index – Germany </w:t>
      </w:r>
      <w:r>
        <w:rPr>
          <w:iCs/>
          <w:noProof/>
          <w:sz w:val="22"/>
        </w:rPr>
        <w:t>(Παγκόσμιος δείκτης ελευθερίας του Τύπου για το 2021 — Γερμανία) (</w:t>
      </w:r>
      <w:hyperlink r:id="rId47" w:history="1">
        <w:r>
          <w:rPr>
            <w:rStyle w:val="Hyperlink"/>
            <w:iCs/>
            <w:noProof/>
            <w:sz w:val="22"/>
          </w:rPr>
          <w:t>https://rsf.org/en/germany</w:t>
        </w:r>
      </w:hyperlink>
      <w:r>
        <w:rPr>
          <w:iCs/>
          <w:noProof/>
          <w:sz w:val="22"/>
        </w:rPr>
        <w:t>)</w:t>
      </w:r>
      <w:r>
        <w:rPr>
          <w:i/>
          <w:iCs/>
          <w:noProof/>
          <w:sz w:val="22"/>
        </w:rPr>
        <w:t xml:space="preserve"> </w:t>
      </w:r>
    </w:p>
    <w:p>
      <w:pPr>
        <w:spacing w:after="120"/>
        <w:rPr>
          <w:rFonts w:eastAsia="Times New Roman" w:cs="Times New Roman"/>
          <w:noProof/>
          <w:sz w:val="22"/>
        </w:rPr>
      </w:pPr>
      <w:r>
        <w:rPr>
          <w:noProof/>
          <w:sz w:val="22"/>
        </w:rPr>
        <w:t xml:space="preserve">Δημοσιογράφοι Χωρίς Σύνορα (2021), </w:t>
      </w:r>
      <w:r>
        <w:rPr>
          <w:i/>
          <w:noProof/>
          <w:sz w:val="22"/>
        </w:rPr>
        <w:t>Παρατηρήσεις των Δημοσιογράφων Χωρίς Σύνορα για την κατάρτιση της έκθεσης του 2021 για το κράτος δικαίου.</w:t>
      </w:r>
    </w:p>
    <w:p>
      <w:pPr>
        <w:spacing w:after="120"/>
        <w:rPr>
          <w:rFonts w:eastAsia="Times New Roman" w:cs="Times New Roman"/>
          <w:noProof/>
          <w:sz w:val="22"/>
        </w:rPr>
      </w:pPr>
      <w:r>
        <w:rPr>
          <w:noProof/>
          <w:sz w:val="22"/>
        </w:rPr>
        <w:t xml:space="preserve">Δημοσιογράφοι Χωρίς Σύνορα (2021), </w:t>
      </w:r>
      <w:r>
        <w:rPr>
          <w:i/>
          <w:noProof/>
          <w:sz w:val="22"/>
        </w:rPr>
        <w:t>Χαμένη ευκαιρία για την ελευθερία του Τύπου</w:t>
      </w:r>
      <w:r>
        <w:rPr>
          <w:noProof/>
          <w:sz w:val="22"/>
        </w:rPr>
        <w:t xml:space="preserve"> (</w:t>
      </w:r>
      <w:hyperlink r:id="rId48" w:history="1">
        <w:r>
          <w:rPr>
            <w:rStyle w:val="Hyperlink"/>
            <w:noProof/>
            <w:sz w:val="22"/>
          </w:rPr>
          <w:t>https://www.reporter-ohne-grenzen.de/pressemitteilungen/meldung/verpasste-chance-fuer-die-pressefreiheit</w:t>
        </w:r>
      </w:hyperlink>
      <w:r>
        <w:rPr>
          <w:noProof/>
          <w:sz w:val="22"/>
        </w:rPr>
        <w:t>)</w:t>
      </w:r>
    </w:p>
    <w:p>
      <w:pPr>
        <w:spacing w:after="120"/>
        <w:rPr>
          <w:rFonts w:eastAsia="Times New Roman" w:cs="Times New Roman"/>
          <w:noProof/>
          <w:sz w:val="22"/>
        </w:rPr>
      </w:pPr>
      <w:r>
        <w:rPr>
          <w:noProof/>
          <w:sz w:val="22"/>
        </w:rPr>
        <w:t xml:space="preserve">Κυβέρνηση του ομόσπονδου κράτους του Αμβούργου (2021), </w:t>
      </w:r>
      <w:r>
        <w:rPr>
          <w:i/>
          <w:noProof/>
          <w:sz w:val="22"/>
        </w:rPr>
        <w:t>Έγγραφο θέσης του Αμβούργου σχετικά με το σύμφωνο για το κράτος δικαίου</w:t>
      </w:r>
      <w:r>
        <w:rPr>
          <w:noProof/>
          <w:sz w:val="22"/>
        </w:rPr>
        <w:t>. (</w:t>
      </w:r>
      <w:hyperlink r:id="rId49" w:history="1">
        <w:r>
          <w:rPr>
            <w:rStyle w:val="Hyperlink"/>
            <w:noProof/>
            <w:sz w:val="22"/>
          </w:rPr>
          <w:t>https://www.hamburg.de/bjv/unsere-themen/14908648/positionspapier-zum-pakt-fuer-den-rechtsstaat/</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Κυβέρνηση του ομόσπονδου κράτους του Αμβούργου (2021), Έγγραφο θέσης του Αμβούργου σχετικά με το σύμφωνο για το κράτος δικαίου.</w:t>
      </w:r>
    </w:p>
    <w:p>
      <w:pPr>
        <w:spacing w:after="120"/>
        <w:rPr>
          <w:rFonts w:eastAsia="Times New Roman" w:cs="Times New Roman"/>
          <w:noProof/>
          <w:sz w:val="22"/>
        </w:rPr>
      </w:pPr>
      <w:r>
        <w:rPr>
          <w:noProof/>
          <w:sz w:val="22"/>
        </w:rPr>
        <w:t xml:space="preserve">Δήλωση της προέδρου von der Leyen (2020), Δήλωση/20/846. </w:t>
      </w:r>
    </w:p>
    <w:p>
      <w:pPr>
        <w:spacing w:after="120"/>
        <w:rPr>
          <w:rFonts w:eastAsia="Times New Roman" w:cs="Times New Roman"/>
          <w:noProof/>
          <w:sz w:val="22"/>
          <w:lang w:val="en-US"/>
        </w:rPr>
      </w:pPr>
      <w:r>
        <w:rPr>
          <w:noProof/>
          <w:sz w:val="22"/>
          <w:lang w:val="en-US"/>
        </w:rPr>
        <w:t xml:space="preserve">SWR (2021), </w:t>
      </w:r>
      <w:r>
        <w:rPr>
          <w:i/>
          <w:noProof/>
          <w:sz w:val="22"/>
          <w:lang w:val="en-US"/>
        </w:rPr>
        <w:t>Bettina Limperg: “Das muss sich unbedingt ändern”</w:t>
      </w:r>
      <w:r>
        <w:rPr>
          <w:noProof/>
          <w:sz w:val="22"/>
          <w:lang w:val="en-US"/>
        </w:rPr>
        <w:t xml:space="preserve"> (</w:t>
      </w:r>
      <w:hyperlink r:id="rId50" w:history="1">
        <w:r>
          <w:rPr>
            <w:rStyle w:val="Hyperlink"/>
            <w:noProof/>
            <w:sz w:val="22"/>
            <w:lang w:val="en-US"/>
          </w:rPr>
          <w:t>https://www.swr.de/swraktuell/baden-wuerttemberg/karlsruhe/bettina-limperg-praesidentin-des-bghs-100.html</w:t>
        </w:r>
      </w:hyperlink>
      <w:r>
        <w:rPr>
          <w:rStyle w:val="Hyperlink"/>
          <w:noProof/>
          <w:color w:val="auto"/>
          <w:sz w:val="22"/>
          <w:lang w:val="en-US"/>
        </w:rPr>
        <w:t>)</w:t>
      </w:r>
    </w:p>
    <w:p>
      <w:pPr>
        <w:spacing w:after="120"/>
        <w:rPr>
          <w:rFonts w:eastAsia="Times New Roman" w:cs="Times New Roman"/>
          <w:noProof/>
          <w:sz w:val="22"/>
          <w:lang w:val="en-US"/>
        </w:rPr>
      </w:pPr>
      <w:r>
        <w:rPr>
          <w:noProof/>
          <w:sz w:val="22"/>
          <w:lang w:val="en-US"/>
        </w:rPr>
        <w:t>Transparency International (</w:t>
      </w:r>
      <w:r>
        <w:rPr>
          <w:noProof/>
          <w:sz w:val="22"/>
        </w:rPr>
        <w:t>Διεθνής</w:t>
      </w:r>
      <w:r>
        <w:rPr>
          <w:noProof/>
          <w:sz w:val="22"/>
          <w:lang w:val="en-US"/>
        </w:rPr>
        <w:t xml:space="preserve"> </w:t>
      </w:r>
      <w:r>
        <w:rPr>
          <w:noProof/>
          <w:sz w:val="22"/>
        </w:rPr>
        <w:t>Διαφάνεια</w:t>
      </w:r>
      <w:r>
        <w:rPr>
          <w:noProof/>
          <w:sz w:val="22"/>
          <w:lang w:val="en-US"/>
        </w:rPr>
        <w:t xml:space="preserve">) (2021), </w:t>
      </w:r>
      <w:r>
        <w:rPr>
          <w:i/>
          <w:noProof/>
          <w:sz w:val="22"/>
          <w:lang w:val="en-US"/>
        </w:rPr>
        <w:t>Corruption Perception Index 2020</w:t>
      </w:r>
      <w:r>
        <w:rPr>
          <w:noProof/>
          <w:sz w:val="22"/>
          <w:lang w:val="en-US"/>
        </w:rPr>
        <w:t xml:space="preserve"> (</w:t>
      </w:r>
      <w:r>
        <w:rPr>
          <w:noProof/>
          <w:sz w:val="22"/>
        </w:rPr>
        <w:t>Δείκτης</w:t>
      </w:r>
      <w:r>
        <w:rPr>
          <w:noProof/>
          <w:sz w:val="22"/>
          <w:lang w:val="en-US"/>
        </w:rPr>
        <w:t xml:space="preserve"> </w:t>
      </w:r>
      <w:r>
        <w:rPr>
          <w:noProof/>
          <w:sz w:val="22"/>
        </w:rPr>
        <w:t>αντίληψης</w:t>
      </w:r>
      <w:r>
        <w:rPr>
          <w:noProof/>
          <w:sz w:val="22"/>
          <w:lang w:val="en-US"/>
        </w:rPr>
        <w:t xml:space="preserve"> </w:t>
      </w:r>
      <w:r>
        <w:rPr>
          <w:noProof/>
          <w:sz w:val="22"/>
        </w:rPr>
        <w:t>της</w:t>
      </w:r>
      <w:r>
        <w:rPr>
          <w:noProof/>
          <w:sz w:val="22"/>
          <w:lang w:val="en-US"/>
        </w:rPr>
        <w:t xml:space="preserve"> </w:t>
      </w:r>
      <w:r>
        <w:rPr>
          <w:noProof/>
          <w:sz w:val="22"/>
        </w:rPr>
        <w:t>διαφθοράς</w:t>
      </w:r>
      <w:r>
        <w:rPr>
          <w:noProof/>
          <w:sz w:val="22"/>
          <w:lang w:val="en-US"/>
        </w:rPr>
        <w:t xml:space="preserve"> </w:t>
      </w:r>
      <w:r>
        <w:rPr>
          <w:noProof/>
          <w:sz w:val="22"/>
        </w:rPr>
        <w:t>για</w:t>
      </w:r>
      <w:r>
        <w:rPr>
          <w:noProof/>
          <w:sz w:val="22"/>
          <w:lang w:val="en-US"/>
        </w:rPr>
        <w:t xml:space="preserve"> </w:t>
      </w:r>
      <w:r>
        <w:rPr>
          <w:noProof/>
          <w:sz w:val="22"/>
        </w:rPr>
        <w:t>το</w:t>
      </w:r>
      <w:r>
        <w:rPr>
          <w:noProof/>
          <w:sz w:val="22"/>
          <w:lang w:val="en-US"/>
        </w:rPr>
        <w:t xml:space="preserve"> 2020).</w:t>
      </w:r>
    </w:p>
    <w:p>
      <w:pPr>
        <w:spacing w:after="120"/>
        <w:rPr>
          <w:rFonts w:eastAsia="Times New Roman" w:cs="Times New Roman"/>
          <w:noProof/>
          <w:sz w:val="22"/>
        </w:rPr>
      </w:pPr>
      <w:r>
        <w:rPr>
          <w:noProof/>
          <w:sz w:val="22"/>
        </w:rPr>
        <w:t xml:space="preserve">Διεθνής Διαφάνεια Γερμανίας (2020), </w:t>
      </w:r>
      <w:r>
        <w:rPr>
          <w:i/>
          <w:noProof/>
          <w:sz w:val="22"/>
        </w:rPr>
        <w:t xml:space="preserve">Έγγραφο θέσης σχετικά με το νομοσχέδιο για τη θέσπιση μητρώου ομάδων συμφερόντων </w:t>
      </w:r>
      <w:r>
        <w:rPr>
          <w:noProof/>
          <w:sz w:val="22"/>
        </w:rPr>
        <w:t>(</w:t>
      </w:r>
      <w:hyperlink r:id="rId51" w:history="1">
        <w:r>
          <w:rPr>
            <w:rStyle w:val="Hyperlink"/>
            <w:noProof/>
            <w:sz w:val="22"/>
          </w:rPr>
          <w:t>https://www.transparency.de/fileadmin/Redaktion/Aktuelles/Stellungnahmen/2020/Stellungnahme_Transparency_Deutschland_Lobbyregister_20-09-29.pdf</w:t>
        </w:r>
      </w:hyperlink>
      <w:r>
        <w:rPr>
          <w:noProof/>
          <w:sz w:val="22"/>
        </w:rPr>
        <w:t>)</w:t>
      </w:r>
    </w:p>
    <w:p>
      <w:pPr>
        <w:spacing w:after="120"/>
        <w:rPr>
          <w:rFonts w:cs="Times New Roman"/>
          <w:noProof/>
          <w:sz w:val="22"/>
        </w:rPr>
      </w:pPr>
      <w:r>
        <w:rPr>
          <w:noProof/>
          <w:sz w:val="22"/>
        </w:rPr>
        <w:t xml:space="preserve">Transparency International-Deutschland (Διεθνής Διαφάνεια Γερμανίας) (2018), </w:t>
      </w:r>
      <w:r>
        <w:rPr>
          <w:i/>
          <w:noProof/>
          <w:sz w:val="22"/>
        </w:rPr>
        <w:t>Comments and Recommendations to UNCAC Second Review Cycle</w:t>
      </w:r>
      <w:r>
        <w:rPr>
          <w:noProof/>
          <w:sz w:val="22"/>
        </w:rPr>
        <w:t xml:space="preserve"> (Παρατηρήσεις και συστάσεις για τον δεύτερο κύκλο επισκόπησης σχετικά με τη σύμβαση των Ηνωμένων Εθνών κατά της διαφθοράς) (</w:t>
      </w:r>
      <w:hyperlink r:id="rId52" w:history="1">
        <w:r>
          <w:rPr>
            <w:rStyle w:val="Hyperlink"/>
            <w:noProof/>
            <w:sz w:val="22"/>
          </w:rPr>
          <w:t>https://www.transparency.de/fileadmin/Redaktion/Aktuelles/Stellungnahmen/2018/18-09-10_Comments_and_Recommendations_UNCAC_Second_Review_Cycle.pdf</w:t>
        </w:r>
      </w:hyperlink>
      <w:r>
        <w:rPr>
          <w:noProof/>
          <w:sz w:val="22"/>
        </w:rPr>
        <w:t>)</w:t>
      </w:r>
    </w:p>
    <w:p>
      <w:pPr>
        <w:spacing w:after="120"/>
        <w:rPr>
          <w:rFonts w:eastAsia="Times New Roman" w:cs="Times New Roman"/>
          <w:noProof/>
          <w:sz w:val="22"/>
        </w:rPr>
      </w:pPr>
      <w:r>
        <w:rPr>
          <w:noProof/>
          <w:sz w:val="22"/>
        </w:rPr>
        <w:t xml:space="preserve">Transparency International-Deutschland (Διεθνής Διαφάνεια Γερμανίας) (2020), </w:t>
      </w:r>
      <w:r>
        <w:rPr>
          <w:i/>
          <w:noProof/>
          <w:sz w:val="22"/>
        </w:rPr>
        <w:t>Stellungnahme zum Entwurf eines Gesetzes zur Stärkung der Finanzmarktintegrität</w:t>
      </w:r>
      <w:r>
        <w:rPr>
          <w:noProof/>
          <w:sz w:val="22"/>
        </w:rPr>
        <w:t xml:space="preserve"> (</w:t>
      </w:r>
      <w:hyperlink r:id="rId53" w:history="1">
        <w:r>
          <w:rPr>
            <w:rStyle w:val="Hyperlink"/>
            <w:noProof/>
            <w:sz w:val="22"/>
          </w:rPr>
          <w:t>https://www.transparency.de/fileadmin/Redaktion/Aktuelles/Stellungnahmen/2020/20-11-09_Stellungnahme_Transparency_Deutschland_Referentenentwurf_Gesetz_zur_Staerkung_der_Finanzmarktaufsicht_-_Website-Version__1_.pdf</w:t>
        </w:r>
      </w:hyperlink>
      <w:r>
        <w:rPr>
          <w:noProof/>
          <w:sz w:val="22"/>
        </w:rPr>
        <w:t xml:space="preserve">) </w:t>
      </w:r>
    </w:p>
    <w:p>
      <w:pPr>
        <w:spacing w:after="120"/>
        <w:rPr>
          <w:rFonts w:eastAsia="Times New Roman" w:cs="Times New Roman"/>
          <w:noProof/>
          <w:sz w:val="22"/>
        </w:rPr>
      </w:pPr>
      <w:r>
        <w:rPr>
          <w:noProof/>
          <w:sz w:val="22"/>
        </w:rPr>
        <w:t xml:space="preserve">UNCAC (2019), </w:t>
      </w:r>
      <w:r>
        <w:rPr>
          <w:i/>
          <w:noProof/>
          <w:sz w:val="22"/>
        </w:rPr>
        <w:t>Review of implementation of the United Nations Convention Against Corruption, Review Cycle 1 (Chapter III and IV), Executive Summary: Germany, Implementation Review Group [Επισκόπηση της εφαρμογής της σύμβασης των Ηνωμένων Εθνών κατά της διαφθοράς, Κύκλος επισκόπησης 1 (Κεφάλαια III και IV), Σύνοψη: Γερμανία, Ομάδα Επισκόπησης της Εφαρμογής της Σύμβασης των Ηνωμένων Εθνών κατά της Διαφθοράς] (Ιούλιος 2020), και Review Cycle 2 (Chapter II and V), Executive Summary: Germany, Implementation Review Group [Κύκλος επισκόπησης 2 (Κεφάλαια II και V), Σύνοψη: Γερμανία, Ομάδα Επισκόπησης της Εφαρμογής της Σύμβασης των Ηνωμένων Εθνών κατά της Διαφθοράς]</w:t>
      </w:r>
      <w:r>
        <w:rPr>
          <w:noProof/>
          <w:sz w:val="22"/>
        </w:rPr>
        <w:t xml:space="preserve"> (</w:t>
      </w:r>
      <w:hyperlink r:id="rId54" w:history="1">
        <w:r>
          <w:rPr>
            <w:rStyle w:val="Hyperlink"/>
            <w:noProof/>
            <w:sz w:val="22"/>
          </w:rPr>
          <w:t>https://www.unodc.org/documents/treaties/UNCAC/WorkingGroups/ImplementationReviewGroup/ExecutiveSummaries2/V2000216e.pdf</w:t>
        </w:r>
      </w:hyperlink>
      <w:r>
        <w:rPr>
          <w:noProof/>
          <w:sz w:val="22"/>
        </w:rPr>
        <w:t>)</w:t>
      </w:r>
    </w:p>
    <w:p>
      <w:pPr>
        <w:spacing w:after="120"/>
        <w:rPr>
          <w:rFonts w:eastAsia="Times New Roman" w:cs="Times New Roman"/>
          <w:noProof/>
          <w:sz w:val="22"/>
        </w:rPr>
      </w:pPr>
      <w:r>
        <w:rPr>
          <w:noProof/>
          <w:sz w:val="22"/>
        </w:rPr>
        <w:t xml:space="preserve">ZDF (2021), </w:t>
      </w:r>
      <w:r>
        <w:rPr>
          <w:i/>
          <w:noProof/>
          <w:sz w:val="22"/>
        </w:rPr>
        <w:t>Παρατηρήσεις του ZDF για την κατάρτιση της έκθεσης του 2021 για το κράτος δικαίου.</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Παράρτημα II: Επίσκεψη στη Γερμανία</w:t>
      </w:r>
    </w:p>
    <w:p>
      <w:pPr>
        <w:spacing w:after="120" w:line="264" w:lineRule="auto"/>
        <w:rPr>
          <w:rFonts w:eastAsia="Times New Roman" w:cs="Times New Roman"/>
          <w:noProof/>
          <w:sz w:val="22"/>
          <w:shd w:val="clear" w:color="auto" w:fill="FFFFFF"/>
        </w:rPr>
      </w:pPr>
      <w:r>
        <w:rPr>
          <w:noProof/>
          <w:sz w:val="22"/>
        </w:rPr>
        <w:t>Οι υπηρεσίες της Επιτροπής πραγματοποίησαν βιντεοδιασκέψεις τον Μάρτιο του 2021 με τους ακόλουθους φορείς:</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Επιτροπή Ευρωπαϊκών Υποθέσεων της Διάσκεψης των Υπουργών Δικαιοσύνης</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 xml:space="preserve">Ομοσπονδιακό Διοικητικό Δικαστήριο </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Ομοσπονδιακός Δικηγορικός Σύλλογος</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Ομοσπονδιακή Αστυνομία Δίωξης του Εγκλήματος</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Ανώτατο Ομοσπονδιακό Δικαστήριο</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Μονάδα Χρηματοοικονομικών Πληροφοριών</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Γερμανική Ένωση Δικαστών και Εισαγγελέων</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Γερμανικός Δικηγορικός Σύλλογος</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Γερμανικό Ινστιτούτο Ανθρωπίνων Δικαιωμάτων</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Κοινό Γραφείο των Αρχών των Μέσων Μαζικής Επικοινωνίας</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Αναπληρώτρια υπουργός για πολιτιστικά θέματα και τα μέσα ενημέρωσης</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Υπουργείο Υγείας</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Υπουργείο Δικαιοσύνης</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Υπουργείο Εσωτερικών</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Συμβούλιο Τύπου</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Ειδική εισαγγελική υπηρεσία για τη διαφθορά και το οικονομικό έγκλημα — Μόναχο</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Διεθνής Διαφάνεια Γερμανίας</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Η Επιτροπή συναντήθηκε επίσης με τους ακόλουθους οργανισμούς στο πλαίσιο σειράς οριζόντιων συνεδριάσεων:</w:t>
      </w:r>
    </w:p>
    <w:p>
      <w:pPr>
        <w:pStyle w:val="ListParagraph"/>
        <w:numPr>
          <w:ilvl w:val="0"/>
          <w:numId w:val="9"/>
        </w:numPr>
        <w:spacing w:after="120" w:line="256" w:lineRule="auto"/>
        <w:jc w:val="left"/>
        <w:rPr>
          <w:rFonts w:cs="Times New Roman"/>
          <w:noProof/>
          <w:sz w:val="22"/>
        </w:rPr>
      </w:pPr>
      <w:r>
        <w:rPr>
          <w:noProof/>
          <w:sz w:val="22"/>
        </w:rPr>
        <w:t>Διεθνής Αμνηστία</w:t>
      </w:r>
    </w:p>
    <w:p>
      <w:pPr>
        <w:pStyle w:val="ListParagraph"/>
        <w:numPr>
          <w:ilvl w:val="0"/>
          <w:numId w:val="9"/>
        </w:numPr>
        <w:spacing w:after="120" w:line="256" w:lineRule="auto"/>
        <w:jc w:val="left"/>
        <w:rPr>
          <w:rFonts w:cs="Times New Roman"/>
          <w:noProof/>
          <w:sz w:val="22"/>
        </w:rPr>
      </w:pPr>
      <w:r>
        <w:rPr>
          <w:noProof/>
          <w:sz w:val="22"/>
        </w:rPr>
        <w:t>Κέντρο για τα Δικαιώματα Αναπαραγωγής</w:t>
      </w:r>
    </w:p>
    <w:p>
      <w:pPr>
        <w:pStyle w:val="ListParagraph"/>
        <w:numPr>
          <w:ilvl w:val="0"/>
          <w:numId w:val="9"/>
        </w:numPr>
        <w:spacing w:after="120" w:line="256" w:lineRule="auto"/>
        <w:jc w:val="left"/>
        <w:rPr>
          <w:rFonts w:cs="Times New Roman"/>
          <w:noProof/>
          <w:sz w:val="22"/>
        </w:rPr>
      </w:pPr>
      <w:r>
        <w:rPr>
          <w:noProof/>
          <w:sz w:val="22"/>
        </w:rPr>
        <w:t>CIVICUS</w:t>
      </w:r>
    </w:p>
    <w:p>
      <w:pPr>
        <w:pStyle w:val="ListParagraph"/>
        <w:numPr>
          <w:ilvl w:val="0"/>
          <w:numId w:val="9"/>
        </w:numPr>
        <w:spacing w:after="120" w:line="256" w:lineRule="auto"/>
        <w:jc w:val="left"/>
        <w:rPr>
          <w:rFonts w:cs="Times New Roman"/>
          <w:noProof/>
          <w:sz w:val="22"/>
        </w:rPr>
      </w:pPr>
      <w:r>
        <w:rPr>
          <w:noProof/>
          <w:sz w:val="22"/>
        </w:rPr>
        <w:t>Ένωση για τις ατομικές ελευθερίες στην Ευρώπη</w:t>
      </w:r>
    </w:p>
    <w:p>
      <w:pPr>
        <w:pStyle w:val="ListParagraph"/>
        <w:numPr>
          <w:ilvl w:val="0"/>
          <w:numId w:val="9"/>
        </w:numPr>
        <w:spacing w:after="120" w:line="256" w:lineRule="auto"/>
        <w:jc w:val="left"/>
        <w:rPr>
          <w:rFonts w:cs="Times New Roman"/>
          <w:noProof/>
          <w:sz w:val="22"/>
        </w:rPr>
      </w:pPr>
      <w:r>
        <w:rPr>
          <w:noProof/>
          <w:sz w:val="22"/>
        </w:rPr>
        <w:t>Civil Society Europe</w:t>
      </w:r>
    </w:p>
    <w:p>
      <w:pPr>
        <w:pStyle w:val="ListParagraph"/>
        <w:numPr>
          <w:ilvl w:val="0"/>
          <w:numId w:val="9"/>
        </w:numPr>
        <w:spacing w:after="120" w:line="256" w:lineRule="auto"/>
        <w:jc w:val="left"/>
        <w:rPr>
          <w:rFonts w:cs="Times New Roman"/>
          <w:noProof/>
          <w:sz w:val="22"/>
        </w:rPr>
      </w:pPr>
      <w:r>
        <w:rPr>
          <w:noProof/>
          <w:sz w:val="22"/>
        </w:rPr>
        <w:t>Διάσκεψη των Ευρωπαϊκών Εκκλησιών</w:t>
      </w:r>
    </w:p>
    <w:p>
      <w:pPr>
        <w:pStyle w:val="ListParagraph"/>
        <w:numPr>
          <w:ilvl w:val="0"/>
          <w:numId w:val="9"/>
        </w:numPr>
        <w:spacing w:after="120" w:line="256" w:lineRule="auto"/>
        <w:jc w:val="left"/>
        <w:rPr>
          <w:rFonts w:cs="Times New Roman"/>
          <w:noProof/>
          <w:sz w:val="22"/>
        </w:rPr>
      </w:pPr>
      <w:r>
        <w:rPr>
          <w:noProof/>
          <w:sz w:val="22"/>
        </w:rPr>
        <w:t>EuroCommerce</w:t>
      </w:r>
    </w:p>
    <w:p>
      <w:pPr>
        <w:pStyle w:val="ListParagraph"/>
        <w:numPr>
          <w:ilvl w:val="0"/>
          <w:numId w:val="9"/>
        </w:numPr>
        <w:spacing w:after="120" w:line="256" w:lineRule="auto"/>
        <w:jc w:val="left"/>
        <w:rPr>
          <w:rFonts w:cs="Times New Roman"/>
          <w:noProof/>
          <w:sz w:val="22"/>
        </w:rPr>
      </w:pPr>
      <w:r>
        <w:rPr>
          <w:noProof/>
          <w:sz w:val="22"/>
        </w:rPr>
        <w:t>Ευρωπαϊκό Κέντρο για το Δίκαιο των Μη Κερδοσκοπικών Οργανώσεων</w:t>
      </w:r>
    </w:p>
    <w:p>
      <w:pPr>
        <w:pStyle w:val="ListParagraph"/>
        <w:numPr>
          <w:ilvl w:val="0"/>
          <w:numId w:val="9"/>
        </w:numPr>
        <w:spacing w:after="120" w:line="256" w:lineRule="auto"/>
        <w:jc w:val="left"/>
        <w:rPr>
          <w:rFonts w:cs="Times New Roman"/>
          <w:noProof/>
          <w:sz w:val="22"/>
        </w:rPr>
      </w:pPr>
      <w:r>
        <w:rPr>
          <w:noProof/>
          <w:sz w:val="22"/>
        </w:rPr>
        <w:t>Ευρωπαϊκό Κέντρο Ελευθερίας του Τύπου και των Μέσων Ενημέρωσης</w:t>
      </w:r>
    </w:p>
    <w:p>
      <w:pPr>
        <w:pStyle w:val="ListParagraph"/>
        <w:numPr>
          <w:ilvl w:val="0"/>
          <w:numId w:val="9"/>
        </w:numPr>
        <w:spacing w:after="120" w:line="256" w:lineRule="auto"/>
        <w:jc w:val="left"/>
        <w:rPr>
          <w:rFonts w:cs="Times New Roman"/>
          <w:noProof/>
          <w:sz w:val="22"/>
        </w:rPr>
      </w:pPr>
      <w:r>
        <w:rPr>
          <w:noProof/>
          <w:sz w:val="22"/>
        </w:rPr>
        <w:t>Ευρωπαϊκό Φόρουμ Πολιτών</w:t>
      </w:r>
    </w:p>
    <w:p>
      <w:pPr>
        <w:pStyle w:val="ListParagraph"/>
        <w:numPr>
          <w:ilvl w:val="0"/>
          <w:numId w:val="9"/>
        </w:numPr>
        <w:spacing w:after="120" w:line="256" w:lineRule="auto"/>
        <w:jc w:val="left"/>
        <w:rPr>
          <w:rFonts w:cs="Times New Roman"/>
          <w:noProof/>
          <w:sz w:val="22"/>
        </w:rPr>
      </w:pPr>
      <w:r>
        <w:rPr>
          <w:noProof/>
          <w:sz w:val="22"/>
        </w:rPr>
        <w:t>Ευρωπαϊκή Ομοσπονδία Δημοσιογράφων</w:t>
      </w:r>
    </w:p>
    <w:p>
      <w:pPr>
        <w:pStyle w:val="ListParagraph"/>
        <w:numPr>
          <w:ilvl w:val="0"/>
          <w:numId w:val="9"/>
        </w:numPr>
        <w:spacing w:after="120" w:line="256" w:lineRule="auto"/>
        <w:jc w:val="left"/>
        <w:rPr>
          <w:rFonts w:cs="Times New Roman"/>
          <w:noProof/>
          <w:sz w:val="22"/>
        </w:rPr>
      </w:pPr>
      <w:r>
        <w:rPr>
          <w:noProof/>
          <w:sz w:val="22"/>
        </w:rPr>
        <w:t xml:space="preserve">Ευρωπαϊκή Σύμπραξη για τη Δημοκρατία </w:t>
      </w:r>
    </w:p>
    <w:p>
      <w:pPr>
        <w:pStyle w:val="ListParagraph"/>
        <w:numPr>
          <w:ilvl w:val="0"/>
          <w:numId w:val="9"/>
        </w:numPr>
        <w:spacing w:after="120" w:line="256" w:lineRule="auto"/>
        <w:jc w:val="left"/>
        <w:rPr>
          <w:rFonts w:cs="Times New Roman"/>
          <w:noProof/>
          <w:sz w:val="22"/>
        </w:rPr>
      </w:pPr>
      <w:r>
        <w:rPr>
          <w:noProof/>
          <w:sz w:val="22"/>
        </w:rPr>
        <w:t>Ευρωπαϊκό Φόρουμ Νεότητας</w:t>
      </w:r>
    </w:p>
    <w:p>
      <w:pPr>
        <w:pStyle w:val="ListParagraph"/>
        <w:numPr>
          <w:ilvl w:val="0"/>
          <w:numId w:val="9"/>
        </w:numPr>
        <w:spacing w:after="120" w:line="256" w:lineRule="auto"/>
        <w:jc w:val="left"/>
        <w:rPr>
          <w:rFonts w:cs="Times New Roman"/>
          <w:noProof/>
          <w:sz w:val="22"/>
        </w:rPr>
      </w:pPr>
      <w:r>
        <w:rPr>
          <w:noProof/>
          <w:sz w:val="22"/>
        </w:rPr>
        <w:t>Front Line Defenders</w:t>
      </w:r>
    </w:p>
    <w:p>
      <w:pPr>
        <w:pStyle w:val="ListParagraph"/>
        <w:numPr>
          <w:ilvl w:val="0"/>
          <w:numId w:val="9"/>
        </w:numPr>
        <w:spacing w:after="120" w:line="256" w:lineRule="auto"/>
        <w:jc w:val="left"/>
        <w:rPr>
          <w:rFonts w:cs="Times New Roman"/>
          <w:noProof/>
          <w:sz w:val="22"/>
        </w:rPr>
      </w:pPr>
      <w:r>
        <w:rPr>
          <w:noProof/>
          <w:sz w:val="22"/>
        </w:rPr>
        <w:t xml:space="preserve">Ίδρυμα για τα Ανθρώπινα Δικαιώματα </w:t>
      </w:r>
    </w:p>
    <w:p>
      <w:pPr>
        <w:pStyle w:val="ListParagraph"/>
        <w:numPr>
          <w:ilvl w:val="0"/>
          <w:numId w:val="9"/>
        </w:numPr>
        <w:spacing w:after="120" w:line="256" w:lineRule="auto"/>
        <w:jc w:val="left"/>
        <w:rPr>
          <w:rFonts w:cs="Times New Roman"/>
          <w:noProof/>
          <w:sz w:val="22"/>
        </w:rPr>
      </w:pPr>
      <w:r>
        <w:rPr>
          <w:noProof/>
          <w:sz w:val="22"/>
        </w:rPr>
        <w:t xml:space="preserve">Παρατηρητήριο Ανθρωπίνων Δικαιωμάτων </w:t>
      </w:r>
    </w:p>
    <w:p>
      <w:pPr>
        <w:pStyle w:val="ListParagraph"/>
        <w:numPr>
          <w:ilvl w:val="0"/>
          <w:numId w:val="9"/>
        </w:numPr>
        <w:spacing w:after="120" w:line="256" w:lineRule="auto"/>
        <w:jc w:val="left"/>
        <w:rPr>
          <w:rFonts w:cs="Times New Roman"/>
          <w:noProof/>
          <w:sz w:val="22"/>
        </w:rPr>
      </w:pPr>
      <w:r>
        <w:rPr>
          <w:noProof/>
          <w:sz w:val="22"/>
        </w:rPr>
        <w:t>ILGA-Europe</w:t>
      </w:r>
    </w:p>
    <w:p>
      <w:pPr>
        <w:pStyle w:val="ListParagraph"/>
        <w:numPr>
          <w:ilvl w:val="0"/>
          <w:numId w:val="9"/>
        </w:numPr>
        <w:spacing w:after="120" w:line="256" w:lineRule="auto"/>
        <w:jc w:val="left"/>
        <w:rPr>
          <w:rFonts w:cs="Times New Roman"/>
          <w:noProof/>
          <w:sz w:val="22"/>
        </w:rPr>
      </w:pPr>
      <w:r>
        <w:rPr>
          <w:noProof/>
          <w:sz w:val="22"/>
        </w:rPr>
        <w:t>Διεθνής Επιτροπή Νομικών</w:t>
      </w:r>
    </w:p>
    <w:p>
      <w:pPr>
        <w:pStyle w:val="ListParagraph"/>
        <w:numPr>
          <w:ilvl w:val="0"/>
          <w:numId w:val="9"/>
        </w:numPr>
        <w:spacing w:after="120" w:line="256" w:lineRule="auto"/>
        <w:jc w:val="left"/>
        <w:rPr>
          <w:rFonts w:cs="Times New Roman"/>
          <w:noProof/>
          <w:sz w:val="22"/>
        </w:rPr>
      </w:pPr>
      <w:r>
        <w:rPr>
          <w:noProof/>
          <w:sz w:val="22"/>
        </w:rPr>
        <w:t>Διεθνής Ομοσπονδία για τα Ανθρώπινα Δικαιώματα</w:t>
      </w:r>
    </w:p>
    <w:p>
      <w:pPr>
        <w:pStyle w:val="ListParagraph"/>
        <w:numPr>
          <w:ilvl w:val="0"/>
          <w:numId w:val="9"/>
        </w:numPr>
        <w:spacing w:after="120" w:line="256" w:lineRule="auto"/>
        <w:jc w:val="left"/>
        <w:rPr>
          <w:rFonts w:cs="Times New Roman"/>
          <w:noProof/>
          <w:sz w:val="22"/>
        </w:rPr>
      </w:pPr>
      <w:r>
        <w:rPr>
          <w:noProof/>
          <w:sz w:val="22"/>
        </w:rPr>
        <w:t>Ευρωπαϊκό Δίκτυο της Διεθνούς Ομοσπονδίας Οικογενειακού Προγραμματισμού (IPPF EN)</w:t>
      </w:r>
    </w:p>
    <w:p>
      <w:pPr>
        <w:pStyle w:val="ListParagraph"/>
        <w:numPr>
          <w:ilvl w:val="0"/>
          <w:numId w:val="9"/>
        </w:numPr>
        <w:spacing w:after="120" w:line="256" w:lineRule="auto"/>
        <w:jc w:val="left"/>
        <w:rPr>
          <w:rFonts w:cs="Times New Roman"/>
          <w:noProof/>
          <w:sz w:val="22"/>
        </w:rPr>
      </w:pPr>
      <w:r>
        <w:rPr>
          <w:noProof/>
          <w:sz w:val="22"/>
        </w:rPr>
        <w:t>Διεθνές Ινστιτούτο Τύπου</w:t>
      </w:r>
    </w:p>
    <w:p>
      <w:pPr>
        <w:pStyle w:val="ListParagraph"/>
        <w:numPr>
          <w:ilvl w:val="0"/>
          <w:numId w:val="9"/>
        </w:numPr>
        <w:spacing w:after="120" w:line="256" w:lineRule="auto"/>
        <w:jc w:val="left"/>
        <w:rPr>
          <w:rFonts w:cs="Times New Roman"/>
          <w:noProof/>
          <w:sz w:val="22"/>
        </w:rPr>
      </w:pPr>
      <w:r>
        <w:rPr>
          <w:noProof/>
          <w:sz w:val="22"/>
        </w:rPr>
        <w:t xml:space="preserve">Επιτροπή του Ελσίνκι — Κάτω Χώρες </w:t>
      </w:r>
    </w:p>
    <w:p>
      <w:pPr>
        <w:pStyle w:val="ListParagraph"/>
        <w:numPr>
          <w:ilvl w:val="0"/>
          <w:numId w:val="9"/>
        </w:numPr>
        <w:spacing w:after="120" w:line="256" w:lineRule="auto"/>
        <w:jc w:val="left"/>
        <w:rPr>
          <w:rFonts w:cs="Times New Roman"/>
          <w:noProof/>
          <w:sz w:val="22"/>
        </w:rPr>
      </w:pPr>
      <w:r>
        <w:rPr>
          <w:noProof/>
          <w:sz w:val="22"/>
        </w:rPr>
        <w:t>Ινστιτούτο Ευρωπαϊκής Πολιτικής της Open Society</w:t>
      </w:r>
    </w:p>
    <w:p>
      <w:pPr>
        <w:pStyle w:val="ListParagraph"/>
        <w:numPr>
          <w:ilvl w:val="0"/>
          <w:numId w:val="9"/>
        </w:numPr>
        <w:spacing w:after="120" w:line="256" w:lineRule="auto"/>
        <w:jc w:val="left"/>
        <w:rPr>
          <w:rFonts w:cs="Times New Roman"/>
          <w:noProof/>
          <w:sz w:val="22"/>
        </w:rPr>
      </w:pPr>
      <w:r>
        <w:rPr>
          <w:noProof/>
          <w:sz w:val="22"/>
        </w:rPr>
        <w:t>Philanthropy Advocacy</w:t>
      </w:r>
    </w:p>
    <w:p>
      <w:pPr>
        <w:pStyle w:val="ListParagraph"/>
        <w:numPr>
          <w:ilvl w:val="0"/>
          <w:numId w:val="9"/>
        </w:numPr>
        <w:spacing w:after="120" w:line="256" w:lineRule="auto"/>
        <w:jc w:val="left"/>
        <w:rPr>
          <w:rFonts w:cs="Times New Roman"/>
          <w:noProof/>
          <w:sz w:val="22"/>
        </w:rPr>
      </w:pPr>
      <w:r>
        <w:rPr>
          <w:noProof/>
          <w:sz w:val="22"/>
        </w:rPr>
        <w:t xml:space="preserve">Protection International </w:t>
      </w:r>
    </w:p>
    <w:p>
      <w:pPr>
        <w:pStyle w:val="ListParagraph"/>
        <w:numPr>
          <w:ilvl w:val="0"/>
          <w:numId w:val="9"/>
        </w:numPr>
        <w:spacing w:after="120" w:line="256" w:lineRule="auto"/>
        <w:jc w:val="left"/>
        <w:rPr>
          <w:rFonts w:cs="Times New Roman"/>
          <w:noProof/>
          <w:sz w:val="22"/>
        </w:rPr>
      </w:pPr>
      <w:r>
        <w:rPr>
          <w:noProof/>
          <w:sz w:val="22"/>
        </w:rPr>
        <w:t>Δημοσιογράφοι Χωρίς Σύνορα</w:t>
      </w:r>
    </w:p>
    <w:p>
      <w:pPr>
        <w:pStyle w:val="ListParagraph"/>
        <w:numPr>
          <w:ilvl w:val="0"/>
          <w:numId w:val="9"/>
        </w:numPr>
        <w:spacing w:after="120" w:line="256" w:lineRule="auto"/>
        <w:jc w:val="left"/>
        <w:rPr>
          <w:rFonts w:cs="Times New Roman"/>
          <w:noProof/>
          <w:sz w:val="22"/>
        </w:rPr>
      </w:pPr>
      <w:r>
        <w:rPr>
          <w:noProof/>
          <w:sz w:val="22"/>
        </w:rPr>
        <w:t>Διεθνής Διαφάνεια ΕΕ</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Όπως εξηγείται στην έκθεση του 2020 για το κράτος δικαίου, η ανεξαρτησία του γερμανικού συστήματος απονομής δικαιοσύνης διασφαλίζεται με πολλαπλές εγγυήσεις, οι οποίες περιλαμβάνουν τον δικαστικό έλεγχο των διορισμών, των επαγγελματικών αξιολογήσεων, των προαγωγών, των πειθαρχικών κυρώσεων και των απολύσεων, καθώς και με ορισμένα στοιχεία δικαστικής αυτοδιοίκησης. </w:t>
      </w:r>
    </w:p>
  </w:footnote>
  <w:footnote w:id="3">
    <w:p>
      <w:pPr>
        <w:pStyle w:val="FootnoteText"/>
      </w:pPr>
      <w:r>
        <w:rPr>
          <w:rStyle w:val="FootnoteReference"/>
        </w:rPr>
        <w:footnoteRef/>
      </w:r>
      <w:r>
        <w:t xml:space="preserve"> </w:t>
      </w:r>
      <w:r>
        <w:tab/>
        <w:t>Η αρχή της αξιοκρατίας (</w:t>
      </w:r>
      <w:r>
        <w:rPr>
          <w:i/>
        </w:rPr>
        <w:t>Leistungsprinzip</w:t>
      </w:r>
      <w:r>
        <w:t xml:space="preserve">) κατοχυρώνεται στο άρθρο 33 παράγραφος 2 του Θεμελιώδους Νόμου· κυρίως βάσει των βαθμών στις δύο κρατικές εξετάσεις νομικών. </w:t>
      </w:r>
    </w:p>
  </w:footnote>
  <w:footnote w:id="4">
    <w:p>
      <w:pPr>
        <w:pStyle w:val="FootnoteText"/>
      </w:pPr>
      <w:r>
        <w:rPr>
          <w:rStyle w:val="FootnoteReference"/>
        </w:rPr>
        <w:footnoteRef/>
      </w:r>
      <w:r>
        <w:t xml:space="preserve"> </w:t>
      </w:r>
      <w:r>
        <w:tab/>
        <w:t>Η επιτροπή επιλογής δικαστών (</w:t>
      </w:r>
      <w:r>
        <w:rPr>
          <w:i/>
          <w:iCs/>
        </w:rPr>
        <w:t>Richterwahlausschuss</w:t>
      </w:r>
      <w:r>
        <w:t>) συγκροτείται ισομερώς από τους αρμόδιους υπουργούς των ομόσπονδων κρατών και μέλη που επιλέγει η Ομοσπονδιακή Βουλή. Βλ. νόμο περί εκλογής δικαστών (</w:t>
      </w:r>
      <w:r>
        <w:rPr>
          <w:i/>
          <w:iCs/>
        </w:rPr>
        <w:t>Richterwahlgesetz</w:t>
      </w:r>
      <w:r>
        <w:t>) και γερμανικό νόμο περί του δικαστικού σώματος (</w:t>
      </w:r>
      <w:r>
        <w:rPr>
          <w:i/>
          <w:iCs/>
        </w:rPr>
        <w:t>Deutsches Richtergesetz</w:t>
      </w:r>
      <w:r>
        <w:t xml:space="preserve">), άρθρα 54-55. Παρόμοιες επιτροπές υπάρχουν σε ορισμένα ομόσπονδα κράτη, όχι όμως σε όλα. Επιπλέον, η διαδικασία και η απόφαση περί διορισμού ή μη διορισμού υπόκεινται πλήρως σε δικαστικό έλεγχο ενώπιον των διοικητικών δικαστηρίων. </w:t>
      </w:r>
    </w:p>
  </w:footnote>
  <w:footnote w:id="5">
    <w:p>
      <w:pPr>
        <w:pStyle w:val="FootnoteText"/>
      </w:pPr>
      <w:r>
        <w:rPr>
          <w:rStyle w:val="FootnoteReference"/>
        </w:rPr>
        <w:footnoteRef/>
      </w:r>
      <w:r>
        <w:t xml:space="preserve"> </w:t>
      </w:r>
      <w:r>
        <w:tab/>
        <w:t xml:space="preserve">Υπάρχουν επίσης 18 φορολογικά δικαστήρια, 108 δικαστήρια εργατικών διαφορών, 18 εφετεία εργατικών διαφορών, 68 δικαστήρια διαφορών κοινωνικής ασφάλισης και 14 εφετεία διαφορών κοινωνικής ασφάλισης. Πληροφορίες που έδωσε η Γερμανία για την κατάρτιση της έκθεσης του 2021 για το κράτος δικαίου. </w:t>
      </w:r>
    </w:p>
  </w:footnote>
  <w:footnote w:id="6">
    <w:p>
      <w:pPr>
        <w:pStyle w:val="FootnoteText"/>
      </w:pPr>
      <w:r>
        <w:rPr>
          <w:rStyle w:val="FootnoteReference"/>
        </w:rPr>
        <w:footnoteRef/>
      </w:r>
      <w:r>
        <w:t xml:space="preserve"> </w:t>
      </w:r>
      <w:r>
        <w:tab/>
        <w:t xml:space="preserve">Υπάρχει επίσης ειδικός σύλλογος για τους δικηγόρους με δικαιώματα παράστασης σε αστικές υποθέσεις ενώπιον του Ανώτατου Ομοσπονδιακού Δικαστηρίου. </w:t>
      </w:r>
    </w:p>
  </w:footnote>
  <w:footnote w:id="7">
    <w:p>
      <w:pPr>
        <w:pStyle w:val="FootnoteText"/>
      </w:pPr>
      <w:r>
        <w:rPr>
          <w:rStyle w:val="FootnoteReference"/>
        </w:rPr>
        <w:footnoteRef/>
      </w:r>
      <w:r>
        <w:t xml:space="preserve"> </w:t>
      </w:r>
      <w:r>
        <w:tab/>
        <w:t xml:space="preserve">Διαγράμματα 48 και 50, Πίνακας αποτελεσμάτων της ΕΕ στον τομέα της δικαιοσύνης για το 2021. Το επίπεδο της εκλαμβανόμενης ανεξαρτησίας της δικαιοσύνης κατηγοριοποιείται ως εξής: πολύ χαμηλό (λιγότερο από το 30 % όσων απάντησαν θεωρούν την ανεξαρτησία της δικαιοσύνης «αρκετά καλή» και «πολύ καλή»)· χαμηλό (μεταξύ 30-39 %), μέτριο (μεταξύ 40-59 %), υψηλό (μεταξύ 60-75 %), πολύ υψηλό (άνω του 75 %). </w:t>
      </w:r>
    </w:p>
  </w:footnote>
  <w:footnote w:id="8">
    <w:p>
      <w:pPr>
        <w:pStyle w:val="FootnoteText"/>
      </w:pPr>
      <w:r>
        <w:rPr>
          <w:rStyle w:val="FootnoteReference"/>
        </w:rPr>
        <w:footnoteRef/>
      </w:r>
      <w:r>
        <w:t xml:space="preserve"> </w:t>
      </w:r>
      <w:r>
        <w:tab/>
        <w:t xml:space="preserve">Όπως επισημαίνεται στην έκθεση του 2020 για το κράτος δικαίου, το γεγονός ότι το δικαίωμα αυτό χρησιμοποιείται σπάνια στην πράξη, σε συνδυασμό με τις ισχύουσες νομικές εγγυήσεις, φαίνεται να μετριάζει τον κίνδυνο κατάχρησης του δικαιώματος παροχής εντολών· Έκθεση του 2020 για το κράτος δικαίου, κεφάλαιο για την κατάσταση του κράτους δικαίου στη Γερμανία, σ. 5. </w:t>
      </w:r>
    </w:p>
  </w:footnote>
  <w:footnote w:id="9">
    <w:p>
      <w:pPr>
        <w:pStyle w:val="FootnoteText"/>
      </w:pPr>
      <w:r>
        <w:rPr>
          <w:rStyle w:val="FootnoteReference"/>
        </w:rPr>
        <w:footnoteRef/>
      </w:r>
      <w:r>
        <w:t xml:space="preserve"> </w:t>
      </w:r>
      <w:r>
        <w:tab/>
        <w:t xml:space="preserve">Αποφάσεις του Δικαστηρίου της Ευρωπαϊκής Ένωσης, της 27ης Μαΐου 2019, </w:t>
      </w:r>
      <w:r>
        <w:rPr>
          <w:i/>
          <w:iCs/>
        </w:rPr>
        <w:t>OG και PI</w:t>
      </w:r>
      <w:r>
        <w:t>, συνεκδικασθείσες υποθέσεις C-508/18 και C-82/19 PPU και της 24ης Νοεμβρίου 2020 – C-510/19.</w:t>
      </w:r>
    </w:p>
  </w:footnote>
  <w:footnote w:id="10">
    <w:p>
      <w:pPr>
        <w:pStyle w:val="FootnoteText"/>
      </w:pPr>
      <w:r>
        <w:rPr>
          <w:rStyle w:val="FootnoteReference"/>
        </w:rPr>
        <w:footnoteRef/>
      </w:r>
      <w:r>
        <w:t xml:space="preserve"> </w:t>
      </w:r>
      <w:r>
        <w:tab/>
        <w:t xml:space="preserve">Υπουργείο Δικαιοσύνης και Προστασίας των Καταναλωτών (2021), Νομοσχέδιο για την ενίσχυση της ανεξαρτησίας των εισαγγελέων και της συνεργασίας στον τομέα του ποινικού δικαίου με τα κράτη μέλη της Ευρωπαϊκής Ένωσης. </w:t>
      </w:r>
    </w:p>
  </w:footnote>
  <w:footnote w:id="11">
    <w:p>
      <w:pPr>
        <w:pStyle w:val="FootnoteText"/>
      </w:pPr>
      <w:r>
        <w:rPr>
          <w:rStyle w:val="FootnoteReference"/>
        </w:rPr>
        <w:footnoteRef/>
      </w:r>
      <w:r>
        <w:t xml:space="preserve"> </w:t>
      </w:r>
      <w:r>
        <w:tab/>
        <w:t xml:space="preserve">Βλ. σύσταση Rec(2000)19 της Επιτροπής Υπουργών του Συμβουλίου της Ευρώπης, παράγραφος 13 στοιχεία (d-e). Περαιτέρω εγγυήσεις που συνιστώνται από το Συμβούλιο της Ευρώπης είναι να συμπεριλαμβάνεται η εντολή στη δικογραφία και να επιτρέπεται η πρόσβαση των διαδίκων σε αυτήν. </w:t>
      </w:r>
    </w:p>
  </w:footnote>
  <w:footnote w:id="12">
    <w:p>
      <w:pPr>
        <w:pStyle w:val="FootnoteText"/>
      </w:pPr>
      <w:r>
        <w:rPr>
          <w:rStyle w:val="FootnoteReference"/>
        </w:rPr>
        <w:footnoteRef/>
      </w:r>
      <w:r>
        <w:t xml:space="preserve"> </w:t>
      </w:r>
      <w:r>
        <w:tab/>
        <w:t>Συγκεκριμένα, το σχέδιο αναφέρεται στα μέρη οκτώ έως έντεκα και δεκατρία του νόμου για τη διεθνή νομική συνδρομή σε ποινικές υποθέσεις (</w:t>
      </w:r>
      <w:r>
        <w:rPr>
          <w:i/>
        </w:rPr>
        <w:t>Gesetz über die</w:t>
      </w:r>
      <w:r>
        <w:t xml:space="preserve"> </w:t>
      </w:r>
      <w:r>
        <w:rPr>
          <w:i/>
        </w:rPr>
        <w:t>internationale Rechtshilfe in Strafsachen</w:t>
      </w:r>
      <w:r>
        <w:t xml:space="preserve">), τα οποία, μεταξύ άλλων, καλύπτουν τη δικαστική συνεργασία της ΕΕ σε ποινικές υποθέσεις. </w:t>
      </w:r>
    </w:p>
  </w:footnote>
  <w:footnote w:id="13">
    <w:p>
      <w:pPr>
        <w:pStyle w:val="FootnoteText"/>
      </w:pPr>
      <w:r>
        <w:rPr>
          <w:rStyle w:val="FootnoteReference"/>
        </w:rPr>
        <w:footnoteRef/>
      </w:r>
      <w:r>
        <w:t xml:space="preserve"> </w:t>
      </w:r>
      <w:r>
        <w:tab/>
        <w:t xml:space="preserve">Βλ. τις παρατηρήσεις στις οποίες παραπέμπουν οι υποσημειώσεις 13, 14 και 15. </w:t>
      </w:r>
    </w:p>
  </w:footnote>
  <w:footnote w:id="14">
    <w:p>
      <w:pPr>
        <w:pStyle w:val="FootnoteText"/>
      </w:pPr>
      <w:r>
        <w:rPr>
          <w:rStyle w:val="FootnoteReference"/>
        </w:rPr>
        <w:footnoteRef/>
      </w:r>
      <w:r>
        <w:t xml:space="preserve"> </w:t>
      </w:r>
      <w:r>
        <w:tab/>
        <w:t xml:space="preserve">Κοινή επιστολή της Έσης, της Βαυαρίας, του Βραδεμβούργου, της Βόρειας Ρηνανίας - Βεστφαλίας, του Μεκλεμβούργου - Δυτικής Πομερανίας, του Σάαρ, της Κάτω Σαξονίας και του Σλέσβιχ-Χολστάιν της 3ης Φεβρουαρίου 2021. </w:t>
      </w:r>
    </w:p>
  </w:footnote>
  <w:footnote w:id="15">
    <w:p>
      <w:pPr>
        <w:pStyle w:val="FootnoteText"/>
      </w:pPr>
      <w:r>
        <w:rPr>
          <w:rStyle w:val="FootnoteReference"/>
        </w:rPr>
        <w:footnoteRef/>
      </w:r>
      <w:r>
        <w:t xml:space="preserve"> </w:t>
      </w:r>
      <w:r>
        <w:tab/>
        <w:t xml:space="preserve">Παρατηρήσεις του γερμανικού Δικηγορικού Συλλόγου για την κατάρτιση της έκθεσης του 2021 για το κράτος δικαίου, σ. 7. </w:t>
      </w:r>
    </w:p>
  </w:footnote>
  <w:footnote w:id="16">
    <w:p>
      <w:pPr>
        <w:pStyle w:val="FootnoteText"/>
      </w:pPr>
      <w:r>
        <w:rPr>
          <w:rStyle w:val="FootnoteReference"/>
        </w:rPr>
        <w:footnoteRef/>
      </w:r>
      <w:r>
        <w:t xml:space="preserve"> </w:t>
      </w:r>
      <w:r>
        <w:tab/>
        <w:t xml:space="preserve">Παρατηρήσεις της γερμανικής Ένωσης Δικαστών και Εισαγγελέων για την κατάρτιση της έκθεσης του 2021 για το κράτος δικαίου, σ. 7. </w:t>
      </w:r>
    </w:p>
  </w:footnote>
  <w:footnote w:id="17">
    <w:p>
      <w:pPr>
        <w:pStyle w:val="FootnoteText"/>
      </w:pPr>
      <w:r>
        <w:rPr>
          <w:rStyle w:val="FootnoteReference"/>
        </w:rPr>
        <w:footnoteRef/>
      </w:r>
      <w:r>
        <w:t xml:space="preserve"> </w:t>
      </w:r>
      <w:r>
        <w:tab/>
        <w:t xml:space="preserve">Πληροφορίες που ελήφθησαν από το Υπουργείο Δικαιοσύνης στο πλαίσιο της επίσκεψης στη Γερμανία. </w:t>
      </w:r>
    </w:p>
  </w:footnote>
  <w:footnote w:id="18">
    <w:p>
      <w:pPr>
        <w:pStyle w:val="FootnoteText"/>
      </w:pPr>
      <w:r>
        <w:rPr>
          <w:rStyle w:val="FootnoteReference"/>
        </w:rPr>
        <w:footnoteRef/>
      </w:r>
      <w:r>
        <w:t xml:space="preserve"> </w:t>
      </w:r>
      <w:r>
        <w:tab/>
        <w:t xml:space="preserve">Παρότι οι προεδρεύοντες δικαστές έχουν την ίδια ψήφο με τους υπόλοιπους δικαστές του τμήματος, διευθύνουν τις ακροάσεις και συντάσσουν επαγγελματικές αξιολογήσεις για τις προαγωγές· η θέση αυτή συνεπάγεται επίσης υψηλότερο μισθό. </w:t>
      </w:r>
    </w:p>
  </w:footnote>
  <w:footnote w:id="19">
    <w:p>
      <w:pPr>
        <w:pStyle w:val="FootnoteText"/>
      </w:pPr>
      <w:r>
        <w:rPr>
          <w:rStyle w:val="FootnoteReference"/>
        </w:rPr>
        <w:footnoteRef/>
      </w:r>
      <w:r>
        <w:t xml:space="preserve"> </w:t>
      </w:r>
      <w:r>
        <w:tab/>
        <w:t xml:space="preserve">Ο υπουργός Δικαιοσύνης είναι αρμόδιος για το Ανώτατο Ομοσπονδιακό Δικαστήριο, το Ομοσπονδιακό Φορολογικό Δικαστήριο και το Ομοσπονδιακό Διοικητικό Δικαστήριο, ενώ ο υπουργός Εργασίας είναι αρμόδιος για το Ομοσπονδιακό Δικαστήριο Διαφορών Κοινωνικής Ασφάλισης και το Ομοσπονδιακό Δικαστήριο Εργατικών Διαφορών. </w:t>
      </w:r>
    </w:p>
  </w:footnote>
  <w:footnote w:id="20">
    <w:p>
      <w:pPr>
        <w:pStyle w:val="FootnoteText"/>
      </w:pPr>
      <w:r>
        <w:rPr>
          <w:rStyle w:val="FootnoteReference"/>
        </w:rPr>
        <w:footnoteRef/>
      </w:r>
      <w:r>
        <w:t xml:space="preserve"> </w:t>
      </w:r>
      <w:r>
        <w:tab/>
        <w:t>Η νομολογία του Ομοσπονδιακού Συνταγματικού Δικαστηρίου έχει καθορίσει την εφαρμογή της αρχής της αξιοκρατίας για τους ομοσπονδιακούς δικαστές, βλ. π.χ. απόφαση του Ομοσπονδιακού Συνταγματικού Δικαστηρίου της 29ης Νοεμβρίου 2016, 2 BvR 2453/15.</w:t>
      </w:r>
    </w:p>
  </w:footnote>
  <w:footnote w:id="21">
    <w:p>
      <w:pPr>
        <w:pStyle w:val="FootnoteText"/>
      </w:pPr>
      <w:r>
        <w:rPr>
          <w:rStyle w:val="FootnoteReference"/>
        </w:rPr>
        <w:footnoteRef/>
      </w:r>
      <w:r>
        <w:t xml:space="preserve"> </w:t>
      </w:r>
      <w:r>
        <w:tab/>
        <w:t>Με τον τρόπο αυτόν, σύμφωνα με τα προηγούμενα κριτήρια, ήταν δυνατή η εξαίρεση από την απαίτηση πενταετούς πείρας.</w:t>
      </w:r>
    </w:p>
  </w:footnote>
  <w:footnote w:id="22">
    <w:p>
      <w:pPr>
        <w:pStyle w:val="FootnoteText"/>
      </w:pPr>
      <w:r>
        <w:rPr>
          <w:rStyle w:val="FootnoteReference"/>
        </w:rPr>
        <w:footnoteRef/>
      </w:r>
      <w:r>
        <w:t xml:space="preserve"> </w:t>
      </w:r>
      <w:r>
        <w:tab/>
        <w:t xml:space="preserve">Βλ. π.χ. SWR (2021), Bettina Limperg: «Das muss sich unbedingt ändern» και πληροφορίες που ελήφθησαν στο πλαίσιο της επίσκεψης στη Γερμανία. </w:t>
      </w:r>
    </w:p>
  </w:footnote>
  <w:footnote w:id="23">
    <w:p>
      <w:pPr>
        <w:pStyle w:val="FootnoteText"/>
      </w:pPr>
      <w:r>
        <w:rPr>
          <w:rStyle w:val="FootnoteReference"/>
        </w:rPr>
        <w:footnoteRef/>
      </w:r>
      <w:r>
        <w:t xml:space="preserve"> </w:t>
      </w:r>
      <w:r>
        <w:tab/>
        <w:t xml:space="preserve">Παρατηρήσεις της γερμανικής Ένωσης Δικαστών και Εισαγγελέων για την κατάρτιση της έκθεσης του 2021 για το κράτος δικαίου, σ. 6. Η Ένωση Δικαστών αναφέρει τον κίνδυνο η αντίληψη ότι οι προαγωγές επηρεάζονται από πολιτικά ζητήματα να επηρεάσει αρνητικά την εμπιστοσύνη του κοινού στο δικαστικό σώμα. Deutsche Richterzeitung (4/21), «Ein verstörender Verdacht». </w:t>
      </w:r>
    </w:p>
  </w:footnote>
  <w:footnote w:id="24">
    <w:p>
      <w:pPr>
        <w:pStyle w:val="FootnoteText"/>
      </w:pPr>
      <w:r>
        <w:rPr>
          <w:rStyle w:val="FootnoteReference"/>
        </w:rPr>
        <w:footnoteRef/>
      </w:r>
      <w:r>
        <w:t xml:space="preserve"> </w:t>
      </w:r>
      <w:r>
        <w:tab/>
        <w:t xml:space="preserve">Μολονότι η συμμετοχή αυτή δεν απαιτείται από τον νόμο, τα προηγούμενα κριτήρια επιλογής είχαν καθοριστεί το 2016 κατόπιν συμφωνίας μεταξύ του Υπουργείου Δικαιοσύνης και των ομοσπονδιακών δικαστηρίων. </w:t>
      </w:r>
    </w:p>
  </w:footnote>
  <w:footnote w:id="25">
    <w:p>
      <w:pPr>
        <w:pStyle w:val="FootnoteText"/>
      </w:pPr>
      <w:r>
        <w:rPr>
          <w:rStyle w:val="FootnoteReference"/>
        </w:rPr>
        <w:footnoteRef/>
      </w:r>
      <w:r>
        <w:t xml:space="preserve"> </w:t>
      </w:r>
      <w:r>
        <w:tab/>
        <w:t>Το Υπουργείο Δικαιοσύνης θεωρεί ότι η πείρα μπορεί να αποκτηθεί και σε άλλα αντίστοιχα δικαστήρια.</w:t>
      </w:r>
    </w:p>
  </w:footnote>
  <w:footnote w:id="26">
    <w:p>
      <w:pPr>
        <w:pStyle w:val="FootnoteText"/>
      </w:pPr>
      <w:r>
        <w:rPr>
          <w:rStyle w:val="FootnoteReference"/>
        </w:rPr>
        <w:footnoteRef/>
      </w:r>
      <w:r>
        <w:t xml:space="preserve"> </w:t>
      </w:r>
      <w:r>
        <w:tab/>
        <w:t xml:space="preserve">Το αν τα κριτήρια για τους προεδρεύοντες δικαστές ισχύουν για τους προέδρους και τους αντιπροέδρους των δικαστηρίων αποτελεί θέμα συζήτησης. Τα ενδιαφερόμενα μέρη θεωρούν ότι ειδικότερα οι αντιπρόεδροι έχουν πρωτίστως δικαστικές αρμοδιότητες και, ως εκ τούτου, θα πρέπει να πληρούν τα κριτήρια πείρας. Το Υπουργείο Δικαιοσύνης θεωρεί ότι, λόγω των διοικητικών αρμοδιοτήτων των προέδρων και των αντιπροέδρων, η πενταετής πείρα δεν θα πρέπει να θεωρείται υποχρεωτικό κριτήριο. Πληροφορίες που ελήφθησαν στο πλαίσιο της επίσκεψης στη Γερμανία. </w:t>
      </w:r>
    </w:p>
  </w:footnote>
  <w:footnote w:id="27">
    <w:p>
      <w:pPr>
        <w:pStyle w:val="FootnoteText"/>
      </w:pPr>
      <w:r>
        <w:rPr>
          <w:rStyle w:val="FootnoteReference"/>
        </w:rPr>
        <w:footnoteRef/>
      </w:r>
      <w:r>
        <w:t xml:space="preserve"> </w:t>
      </w:r>
      <w:r>
        <w:tab/>
        <w:t xml:space="preserve">LTO (2021), Επείγουσες προσφυγές κατά της αντικατάστασης στις κορυφαίες θέσεις του Ομοσπονδιακού Φορολογικού Δικαστηρίου. </w:t>
      </w:r>
    </w:p>
  </w:footnote>
  <w:footnote w:id="28">
    <w:p>
      <w:pPr>
        <w:pStyle w:val="FootnoteText"/>
      </w:pPr>
      <w:r>
        <w:rPr>
          <w:rStyle w:val="FootnoteReference"/>
        </w:rPr>
        <w:footnoteRef/>
      </w:r>
      <w:r>
        <w:t xml:space="preserve"> </w:t>
      </w:r>
      <w:r>
        <w:tab/>
        <w:t>Γνωμοδοτικό Συμβούλιο Ευρωπαίων Δικαστών (2016), Opinion N°19 The role of court presidents (Γνώμη αριθ. 19: Ο ρόλος των προέδρων των δικαστηρίων), παράγραφος 53. Σύμφωνα με το γερμανικό δίκαιο, κάθε απόφαση προαγωγής, συμπεριλαμβανομένων των προέδρων του Ανώτατου Δικαστηρίου, πρέπει να βασίζεται σε αξιοκρατικά κριτήρια (άρθρο 33 παράγραφος 2 του Θεμελιώδους Νόμου, άρθρο 46 του γερμανικού νόμου περί δικαστών, άρθρο 9 και άρθρο 22 παράγραφος 1 του ομοσπονδιακού νόμου για τους δημόσιους υπαλλήλους). Επιπλέον, κάθε τέτοια απόφαση υπόκειται σε δικαστικό έλεγχο.</w:t>
      </w:r>
    </w:p>
  </w:footnote>
  <w:footnote w:id="29">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6. </w:t>
      </w:r>
    </w:p>
  </w:footnote>
  <w:footnote w:id="30">
    <w:p>
      <w:pPr>
        <w:pStyle w:val="FootnoteText"/>
      </w:pPr>
      <w:r>
        <w:rPr>
          <w:rStyle w:val="FootnoteReference"/>
        </w:rPr>
        <w:footnoteRef/>
      </w:r>
      <w:r>
        <w:t xml:space="preserve"> </w:t>
      </w:r>
      <w:r>
        <w:tab/>
        <w:t xml:space="preserve">24 θέσεις στο Ανώτατο Ομοσπονδιακό Δικαστήριο και 71 θέσεις στην Ομοσπονδιακή Γενική Εισαγγελία, πληροφορίες που έδωσε η Γερμανία για την κατάρτιση της έκθεσης του 2021 για το κράτος δικαίου, σ. 9. </w:t>
      </w:r>
    </w:p>
  </w:footnote>
  <w:footnote w:id="31">
    <w:p>
      <w:pPr>
        <w:pStyle w:val="FootnoteText"/>
      </w:pPr>
      <w:r>
        <w:rPr>
          <w:rStyle w:val="FootnoteReference"/>
        </w:rPr>
        <w:footnoteRef/>
      </w:r>
      <w:r>
        <w:t xml:space="preserve"> </w:t>
      </w:r>
      <w:r>
        <w:tab/>
        <w:t xml:space="preserve">Κοινή έκθεση της Ομοσπονδιακής Κυβέρνησης και των ομόσπονδων κρατών σχετικά με την εφαρμογή των μέτρων που συμφωνήθηκαν στις 31 Ιανουαρίου 2019 σχετικά με το «σύμφωνο για το κράτος δικαίου»· βλ. επίσης Ομοσπονδιακό Υπουργείο Δικαιοσύνης και Προστασίας των Καταναλωτών (2019), Σύμφωνο για το κράτος δικαίου. </w:t>
      </w:r>
    </w:p>
  </w:footnote>
  <w:footnote w:id="32">
    <w:p>
      <w:pPr>
        <w:pStyle w:val="FootnoteText"/>
      </w:pPr>
      <w:r>
        <w:rPr>
          <w:rStyle w:val="FootnoteReference"/>
        </w:rPr>
        <w:footnoteRef/>
      </w:r>
      <w:r>
        <w:t xml:space="preserve"> </w:t>
      </w:r>
      <w:r>
        <w:tab/>
        <w:t>Η Γερμανική Ένωση Δικαστών και Εισαγγελέων επισημαίνει πρόσθετα κενά σε θέσεις περίπου 2 000 δικαστών και εισαγγελέων και προτείνει την παράταση του συμφώνου έως το 2025. Deutsche Richterzeitung (2021), Σύμφωνο με ενδιάμεσα μεικτά αποτελέσματα (</w:t>
      </w:r>
      <w:r>
        <w:rPr>
          <w:i/>
        </w:rPr>
        <w:t>Pakt mit durchwachsener Zwischenbilanz</w:t>
      </w:r>
      <w:r>
        <w:t xml:space="preserve">). </w:t>
      </w:r>
    </w:p>
  </w:footnote>
  <w:footnote w:id="33">
    <w:p>
      <w:pPr>
        <w:pStyle w:val="FootnoteText"/>
      </w:pPr>
      <w:r>
        <w:rPr>
          <w:rStyle w:val="FootnoteReference"/>
        </w:rPr>
        <w:footnoteRef/>
      </w:r>
      <w:r>
        <w:t xml:space="preserve"> </w:t>
      </w:r>
      <w:r>
        <w:tab/>
        <w:t xml:space="preserve">Διάσκεψη των Υπουργών Δικαιοσύνης (2021), Απόφαση — Συνέχιση της βιώσιμης αύξησης του προσωπικού και προώθηση της ψηφιοποίησης στα δικαστήρια — Σύμφωνο για το κράτος δικαίου 2.0. </w:t>
      </w:r>
    </w:p>
  </w:footnote>
  <w:footnote w:id="34">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6. </w:t>
      </w:r>
    </w:p>
  </w:footnote>
  <w:footnote w:id="35">
    <w:p>
      <w:pPr>
        <w:pStyle w:val="FootnoteText"/>
      </w:pPr>
      <w:r>
        <w:rPr>
          <w:rStyle w:val="FootnoteReference"/>
        </w:rPr>
        <w:footnoteRef/>
      </w:r>
      <w:r>
        <w:t xml:space="preserve"> </w:t>
      </w:r>
      <w:r>
        <w:tab/>
        <w:t>Έρευνα του 2021 που διεξήχθη από τη Γερμανική Ένωση Δικαστών και Εισαγγελέων δείχνει διαφορά 685 EUR μεταξύ των ομόσπονδων κρατών με τον υψηλότερο και τον χαμηλότερο μηνιαίο μισθό της κατώτερης βαθμίδας για τους δικαστές. DRB (2021), Σημαντικές μισθολογικές διαφορές μεταξύ των ομόσπονδων κρατών (</w:t>
      </w:r>
      <w:r>
        <w:rPr>
          <w:i/>
        </w:rPr>
        <w:t>Große Besoldungsunterschiede zwischen den Bundesländern</w:t>
      </w:r>
      <w:r>
        <w:t xml:space="preserve">). </w:t>
      </w:r>
    </w:p>
  </w:footnote>
  <w:footnote w:id="36">
    <w:p>
      <w:pPr>
        <w:pStyle w:val="FootnoteText"/>
      </w:pPr>
      <w:r>
        <w:rPr>
          <w:rStyle w:val="FootnoteReference"/>
        </w:rPr>
        <w:footnoteRef/>
      </w:r>
      <w:r>
        <w:t xml:space="preserve"> </w:t>
      </w:r>
      <w:r>
        <w:tab/>
        <w:t xml:space="preserve">Πληροφορίες που ελήφθησαν από τα Υπουργεία Δικαιοσύνης των ομόσπονδων κρατών στο πλαίσιο της επίσκεψης στη Γερμανία. </w:t>
      </w:r>
    </w:p>
  </w:footnote>
  <w:footnote w:id="37">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5. </w:t>
      </w:r>
    </w:p>
  </w:footnote>
  <w:footnote w:id="38">
    <w:p>
      <w:pPr>
        <w:pStyle w:val="FootnoteText"/>
      </w:pPr>
      <w:r>
        <w:rPr>
          <w:rStyle w:val="FootnoteReference"/>
        </w:rPr>
        <w:footnoteRef/>
      </w:r>
      <w:r>
        <w:t xml:space="preserve"> </w:t>
      </w:r>
      <w:r>
        <w:tab/>
        <w:t>Διάγραμμα 40, Πίνακας αποτελεσμάτων της ΕΕ στον τομέα της δικαιοσύνης για το 2021. Σύμφωνα με την κυβέρνηση, αυτό συνδέεται με την έμφαση που δίδεται στην αρχή της προφορικής διαδικασίας και στην παρουσία του κατηγορουμένου στην κύρια ακρόαση.</w:t>
      </w:r>
    </w:p>
  </w:footnote>
  <w:footnote w:id="39">
    <w:p>
      <w:pPr>
        <w:pStyle w:val="FootnoteText"/>
      </w:pPr>
      <w:r>
        <w:rPr>
          <w:rStyle w:val="FootnoteReference"/>
        </w:rPr>
        <w:footnoteRef/>
      </w:r>
      <w:r>
        <w:t xml:space="preserve"> </w:t>
      </w:r>
      <w:r>
        <w:tab/>
        <w:t xml:space="preserve">Διαγράμματα 42-43, Πίνακας αποτελεσμάτων της ΕΕ στον τομέα της δικαιοσύνης για το 2021. </w:t>
      </w:r>
    </w:p>
  </w:footnote>
  <w:footnote w:id="40">
    <w:p>
      <w:pPr>
        <w:pStyle w:val="FootnoteText"/>
      </w:pPr>
      <w:r>
        <w:rPr>
          <w:rStyle w:val="FootnoteReference"/>
        </w:rPr>
        <w:footnoteRef/>
      </w:r>
      <w:r>
        <w:t xml:space="preserve"> </w:t>
      </w:r>
      <w:r>
        <w:tab/>
        <w:t xml:space="preserve">Διαγράμματα 44-45, Πίνακας αποτελεσμάτων της ΕΕ στον τομέα της δικαιοσύνης για το 2021. </w:t>
      </w:r>
    </w:p>
  </w:footnote>
  <w:footnote w:id="41">
    <w:p>
      <w:pPr>
        <w:pStyle w:val="FootnoteText"/>
      </w:pPr>
      <w:r>
        <w:rPr>
          <w:rStyle w:val="FootnoteReference"/>
        </w:rPr>
        <w:footnoteRef/>
      </w:r>
      <w:r>
        <w:t xml:space="preserve"> </w:t>
      </w:r>
      <w:r>
        <w:tab/>
        <w:t xml:space="preserve">Πληροφορίες που έδωσε η Γερμανία για την κατάρτιση της έκθεσης του 2021 για το κράτος δικαίου, σ. 14. </w:t>
      </w:r>
    </w:p>
  </w:footnote>
  <w:footnote w:id="42">
    <w:p>
      <w:pPr>
        <w:pStyle w:val="FootnoteText"/>
      </w:pPr>
      <w:r>
        <w:rPr>
          <w:rStyle w:val="FootnoteReference"/>
        </w:rPr>
        <w:footnoteRef/>
      </w:r>
      <w:r>
        <w:t xml:space="preserve"> </w:t>
      </w:r>
      <w:r>
        <w:tab/>
        <w:t xml:space="preserve">Πληροφορίες που έδωσε η Γερμανία για την κατάρτιση της έκθεσης του 2021 για το κράτος δικαίου, σ. 14· Παρατηρήσεις της γερμανικής Ένωσης Δικαστών και Εισαγγελέων για την κατάρτιση της έκθεσης του 2021 για το κράτος δικαίου, σ. 9. </w:t>
      </w:r>
    </w:p>
  </w:footnote>
  <w:footnote w:id="43">
    <w:p>
      <w:pPr>
        <w:pStyle w:val="FootnoteText"/>
      </w:pPr>
      <w:r>
        <w:rPr>
          <w:rStyle w:val="FootnoteReference"/>
        </w:rPr>
        <w:footnoteRef/>
      </w:r>
      <w:r>
        <w:t xml:space="preserve"> </w:t>
      </w:r>
      <w:r>
        <w:tab/>
        <w:t xml:space="preserve">Ιδίως εταιρικές διαφορές, εξαγορές επιχειρήσεων και σημαντικές χρηματοοικονομικές διαφορές στον τομέα μεταξύ επιχειρήσεων (B2B). </w:t>
      </w:r>
    </w:p>
  </w:footnote>
  <w:footnote w:id="44">
    <w:p>
      <w:pPr>
        <w:pStyle w:val="FootnoteText"/>
      </w:pPr>
      <w:r>
        <w:rPr>
          <w:rStyle w:val="FootnoteReference"/>
        </w:rPr>
        <w:footnoteRef/>
      </w:r>
      <w:r>
        <w:t xml:space="preserve"> </w:t>
      </w:r>
      <w:r>
        <w:tab/>
        <w:t xml:space="preserve">Το εμποροδικείο: https://www.commercial-court.de/. </w:t>
      </w:r>
    </w:p>
  </w:footnote>
  <w:footnote w:id="45">
    <w:p>
      <w:pPr>
        <w:pStyle w:val="FootnoteText"/>
      </w:pPr>
      <w:r>
        <w:rPr>
          <w:rStyle w:val="FootnoteReference"/>
        </w:rPr>
        <w:footnoteRef/>
      </w:r>
      <w:r>
        <w:t xml:space="preserve"> </w:t>
      </w:r>
      <w:r>
        <w:tab/>
        <w:t xml:space="preserve">Στο Σάαρ, το 2019 δημιουργήθηκε τμήμα για (διασυνοριακές) εμπορικές διαφορές καθώς και τμήμα για διασυνοριακές καταναλωτικές διαφορές, με δυνατότητα διεξαγωγής των διαδικασιών στη γαλλική γλώσσα. </w:t>
      </w:r>
    </w:p>
  </w:footnote>
  <w:footnote w:id="46">
    <w:p>
      <w:pPr>
        <w:pStyle w:val="FootnoteText"/>
      </w:pPr>
      <w:r>
        <w:rPr>
          <w:rStyle w:val="FootnoteReference"/>
        </w:rPr>
        <w:footnoteRef/>
      </w:r>
      <w:r>
        <w:t xml:space="preserve"> </w:t>
      </w:r>
      <w:r>
        <w:tab/>
        <w:t xml:space="preserve">Διάσκεψη των Υπουργών Δικαιοσύνης (2020), </w:t>
      </w:r>
      <w:r>
        <w:rPr>
          <w:rStyle w:val="jlqj4b"/>
        </w:rPr>
        <w:t xml:space="preserve">Έκθεση της ομάδας εργασίας της χώρας με θέμα «Η Γερμανία ως τόπος απονομής δικαιοσύνης: Ενίσχυση των δικαστηρίων οικονομικών διαφορών / εμποροδικείων». </w:t>
      </w:r>
    </w:p>
  </w:footnote>
  <w:footnote w:id="47">
    <w:p>
      <w:pPr>
        <w:pStyle w:val="FootnoteText"/>
      </w:pPr>
      <w:r>
        <w:rPr>
          <w:rStyle w:val="FootnoteReference"/>
        </w:rPr>
        <w:footnoteRef/>
      </w:r>
      <w:r>
        <w:t xml:space="preserve"> </w:t>
      </w:r>
      <w:r>
        <w:tab/>
        <w:t xml:space="preserve">Bundesrat (2021), </w:t>
      </w:r>
      <w:r>
        <w:rPr>
          <w:rStyle w:val="jlqj4b"/>
        </w:rPr>
        <w:t xml:space="preserve">Νομοσχέδιο για την ενίσχυση των δικαστηρίων σε οικονομικές διαφορές. </w:t>
      </w:r>
    </w:p>
  </w:footnote>
  <w:footnote w:id="48">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Γερμανία, σ. 7.</w:t>
      </w:r>
    </w:p>
  </w:footnote>
  <w:footnote w:id="49">
    <w:p>
      <w:pPr>
        <w:pStyle w:val="FootnoteText"/>
      </w:pPr>
      <w:r>
        <w:rPr>
          <w:rStyle w:val="FootnoteReference"/>
        </w:rPr>
        <w:footnoteRef/>
      </w:r>
      <w:r>
        <w:t xml:space="preserve"> </w:t>
      </w:r>
      <w:r>
        <w:tab/>
        <w:t xml:space="preserve">Ο αριθμός των εισερχόμενων διοικητικών υποθέσεων παραμένει πολύ υψηλός. Διαγράμματα 5, 9 και 13, Πίνακας αποτελεσμάτων της ΕΕ στον τομέα της δικαιοσύνης για το 2021. </w:t>
      </w:r>
    </w:p>
  </w:footnote>
  <w:footnote w:id="50">
    <w:p>
      <w:pPr>
        <w:pStyle w:val="FootnoteText"/>
      </w:pPr>
      <w:r>
        <w:rPr>
          <w:rStyle w:val="FootnoteReference"/>
        </w:rPr>
        <w:footnoteRef/>
      </w:r>
      <w:r>
        <w:t xml:space="preserve"> </w:t>
      </w:r>
      <w:r>
        <w:tab/>
        <w:t xml:space="preserve">Διάγραμμα 16, Πίνακας αποτελεσμάτων της ΕΕ στον τομέα της δικαιοσύνης για το 2021. </w:t>
      </w:r>
    </w:p>
  </w:footnote>
  <w:footnote w:id="51">
    <w:p>
      <w:pPr>
        <w:pStyle w:val="FootnoteText"/>
      </w:pPr>
      <w:r>
        <w:rPr>
          <w:rStyle w:val="FootnoteReference"/>
        </w:rPr>
        <w:footnoteRef/>
      </w:r>
      <w:r>
        <w:t xml:space="preserve"> </w:t>
      </w:r>
      <w:r>
        <w:tab/>
        <w:t xml:space="preserve">Διάγραμμα 12, Πίνακας αποτελεσμάτων της ΕΕ στον τομέα της δικαιοσύνης για το 2021. </w:t>
      </w:r>
    </w:p>
  </w:footnote>
  <w:footnote w:id="52">
    <w:p>
      <w:pPr>
        <w:pStyle w:val="FootnoteText"/>
      </w:pPr>
      <w:r>
        <w:rPr>
          <w:rStyle w:val="FootnoteReference"/>
        </w:rPr>
        <w:footnoteRef/>
      </w:r>
      <w:r>
        <w:t xml:space="preserve"> </w:t>
      </w:r>
      <w:r>
        <w:tab/>
        <w:t>Deutsche Richterzeitung (2020), Ο κορονοϊός οδηγεί σε προόδους όσον αφορά την ψηφιοποίηση (</w:t>
      </w:r>
      <w:r>
        <w:rPr>
          <w:i/>
        </w:rPr>
        <w:t>Corona führt zu Digtialisierungsschub</w:t>
      </w:r>
      <w:r>
        <w:t xml:space="preserve">) και πληροφορίες που ελήφθησαν στο πλαίσιο της επίσκεψης στη Γερμανία. </w:t>
      </w:r>
    </w:p>
  </w:footnote>
  <w:footnote w:id="53">
    <w:p>
      <w:pPr>
        <w:pStyle w:val="FootnoteText"/>
      </w:pPr>
      <w:r>
        <w:rPr>
          <w:rStyle w:val="FootnoteReference"/>
        </w:rPr>
        <w:footnoteRef/>
      </w:r>
      <w:r>
        <w:tab/>
        <w:t xml:space="preserve">Παρατηρήσεις του γερμανικού Ομοσπονδιακού Δικηγορικού Συλλόγου για την κατάρτιση της έκθεσης του 2021 για το κράτος δικαίου, σ. 10. </w:t>
      </w:r>
    </w:p>
  </w:footnote>
  <w:footnote w:id="54">
    <w:p>
      <w:pPr>
        <w:pStyle w:val="FootnoteText"/>
      </w:pPr>
      <w:r>
        <w:rPr>
          <w:rStyle w:val="FootnoteReference"/>
        </w:rPr>
        <w:footnoteRef/>
      </w:r>
      <w:r>
        <w:t xml:space="preserve"> </w:t>
      </w:r>
      <w:r>
        <w:tab/>
        <w:t>Transparency International (Διεθνής Διαφάνεια), Δείκτης Αντίληψης της Διαφθοράς για το 2020 (2021), σ. 2-3. Το επίπεδο της εκλαμβανόμενης διαφθοράς κατηγοριοποιείται ως εξής: χαμηλό (η αντίληψη εμπειρογνωμόνων και στελεχών επιχειρήσεων σχετικά με τη διαφθορά στον δημόσιο τομέα λαμβάνει βαθμολογία μεγαλύτερη από 79)· σχετικά χαμηλό (βαθμολογίες μεταξύ 79-60), σχετικά υψηλό (βαθμολογίες μεταξύ 59-50), υψηλό (βαθμολογίες κάτω του 50).</w:t>
      </w:r>
    </w:p>
  </w:footnote>
  <w:footnote w:id="55">
    <w:p>
      <w:pPr>
        <w:pStyle w:val="FootnoteText"/>
      </w:pPr>
      <w:r>
        <w:rPr>
          <w:rStyle w:val="FootnoteReference"/>
        </w:rPr>
        <w:footnoteRef/>
      </w:r>
      <w:r>
        <w:t xml:space="preserve"> </w:t>
      </w:r>
      <w:r>
        <w:tab/>
        <w:t>Το 2015 η βαθμολογία ήταν 81, έναντι 80 το 2020. Η βαθμολογία αυξάνεται/μειώνεται σημαντικά όταν μεταβάλλεται πάνω από πέντε μονάδες· βελτιώνεται/επιδεινώνεται (μεταβολή 4-5 μονάδων)· είναι σχετικά σταθερή (μεταβολή από 1 έως 3 μονάδες) την τελευταία πενταετία.</w:t>
      </w:r>
    </w:p>
  </w:footnote>
  <w:footnote w:id="56">
    <w:p>
      <w:pPr>
        <w:pStyle w:val="FootnoteText"/>
      </w:pPr>
      <w:r>
        <w:rPr>
          <w:rStyle w:val="FootnoteReference"/>
        </w:rPr>
        <w:footnoteRef/>
      </w:r>
      <w:r>
        <w:t xml:space="preserve"> </w:t>
      </w:r>
      <w:r>
        <w:tab/>
        <w:t>Τα στοιχεία του Ευρωβαρόμετρου σχετικά με την αντίληψη και την εμπειρία των πολιτών και των επιχειρήσεων όσον αφορά τη διαφθορά, όπως αναφέρθηκαν πέρυσι, επικαιροποιούνται κάθε δεύτερο έτος. Τα πλέον πρόσφατα στοιχεία προέρχονται από το Ειδικό Ευρωβαρόμετρο 502 (2020) και από το Έκτακτο Ευρωβαρόμετρο 482 (2019).</w:t>
      </w:r>
    </w:p>
  </w:footnote>
  <w:footnote w:id="57">
    <w:p>
      <w:pPr>
        <w:pStyle w:val="FootnoteText"/>
      </w:pPr>
      <w:r>
        <w:rPr>
          <w:rStyle w:val="FootnoteReference"/>
        </w:rPr>
        <w:footnoteRef/>
      </w:r>
      <w:r>
        <w:t xml:space="preserve"> </w:t>
      </w:r>
      <w:r>
        <w:tab/>
        <w:t>Οδηγία της ομοσπονδιακής κυβέρνησης σχετικά με την πρόληψη της διαφθοράς στην ομοσπονδιακή διοίκηση (2004).</w:t>
      </w:r>
    </w:p>
  </w:footnote>
  <w:footnote w:id="58">
    <w:p>
      <w:pPr>
        <w:pStyle w:val="FootnoteText"/>
      </w:pPr>
      <w:r>
        <w:rPr>
          <w:rStyle w:val="FootnoteReference"/>
        </w:rPr>
        <w:footnoteRef/>
      </w:r>
      <w:r>
        <w:t xml:space="preserve"> </w:t>
      </w:r>
      <w:r>
        <w:tab/>
        <w:t xml:space="preserve">Πληροφορίες που ελήφθησαν από το Υπουργείο Δικαιοσύνης στο πλαίσιο της επίσκεψης στη Γερμανία. </w:t>
      </w:r>
    </w:p>
  </w:footnote>
  <w:footnote w:id="59">
    <w:p>
      <w:pPr>
        <w:pStyle w:val="FootnoteText"/>
      </w:pPr>
      <w:r>
        <w:rPr>
          <w:rStyle w:val="FootnoteReference"/>
        </w:rPr>
        <w:footnoteRef/>
      </w:r>
      <w:r>
        <w:t xml:space="preserve"> </w:t>
      </w:r>
      <w:r>
        <w:tab/>
        <w:t xml:space="preserve">Πληροφορίες που έδωσε η Γερμανία για την κατάρτιση της έκθεσης του 2021 για το κράτος δικαίου, σ. 18. </w:t>
      </w:r>
    </w:p>
  </w:footnote>
  <w:footnote w:id="60">
    <w:p>
      <w:pPr>
        <w:pStyle w:val="FootnoteText"/>
      </w:pPr>
      <w:r>
        <w:rPr>
          <w:rStyle w:val="FootnoteReference"/>
        </w:rPr>
        <w:footnoteRef/>
      </w:r>
      <w:r>
        <w:t xml:space="preserve"> </w:t>
      </w:r>
      <w:r>
        <w:tab/>
        <w:t>Στην εν λόγω έκθεση θα συγκεντρώνονται πληροφορίες από τρεις προϋπάρχουσες πηγές, μεταξύ άλλων από: i) την έκθεση σχετικά με τις εξελίξεις στον τομέα της πρόληψης της διαφθοράς και τα αποτελέσματά της στη δημόσια διοίκηση, συμπεριλαμβανομένου του αριθμού των υποθέσεων στις οποίες υπάρχουν υπόνοιες διαφθοράς και των ειδικών μέτρων πρόληψης της διαφθοράς ανά υπηρεσία· ii) τα ποσά των χορηγιών που έχει δεχθεί η δημόσια διοίκηση· και iii) την έκταση της χρήσης εξωτερικού προσωπικού στη δημόσια διοίκηση της Γερμανίας. Πληροφορίες που έδωσε η Γερμανία για την κατάρτιση της έκθεσης του 2021 για το κράτος δικαίου, σ. 19.</w:t>
      </w:r>
    </w:p>
  </w:footnote>
  <w:footnote w:id="61">
    <w:p>
      <w:pPr>
        <w:pStyle w:val="FootnoteText"/>
      </w:pPr>
      <w:r>
        <w:rPr>
          <w:rStyle w:val="FootnoteReference"/>
        </w:rPr>
        <w:footnoteRef/>
      </w:r>
      <w:r>
        <w:t xml:space="preserve"> </w:t>
      </w:r>
      <w:r>
        <w:tab/>
        <w:t>Σε ομοσπονδιακό επίπεδο, το Υπουργείο Εσωτερικών, Στέγασης και Εθνικών Θεμάτων είναι αρμόδιο για τον συνολικό συντονισμό της πολιτικής για την πρόληψη της διαφθοράς στην ομοσπονδιακή διοίκηση. Ως εκ τούτου, το Υπουργείο εγκρίνει κατευθυντήριες γραμμές για την εφαρμογή των κανόνων πρόληψης της διαφθοράς για όλους τους ομοσπονδιακούς διοικητικούς φορείς και εκδίδει κώδικες δεοντολογίας για το προσωπικό και τους προϊσταμένους. Οι πολίτες και οι εργαζόμενοι μπορούν να απευθύνονται σε ειδικά σημεία επαφής για ερωτήσεις ή ανησυχίες σχετικά με τη διαφθορά. Το ποινικό δίκαιο σχετικά με τη διαφθορά τελεί υπό την αιγίδα του Υπουργείου Δικαιοσύνης. Ούτε η Ομοσπονδιακή Εισαγγελία ούτε η Ομοσπονδιακή Αστυνομία Δίωξης του Εγκλήματος έχουν εντολή να καταπολεμήσουν τη διαφθορά.</w:t>
      </w:r>
    </w:p>
  </w:footnote>
  <w:footnote w:id="62">
    <w:p>
      <w:pPr>
        <w:pStyle w:val="FootnoteText"/>
      </w:pPr>
      <w:r>
        <w:rPr>
          <w:rStyle w:val="FootnoteReference"/>
        </w:rPr>
        <w:footnoteRef/>
      </w:r>
      <w:r>
        <w:t xml:space="preserve"> </w:t>
      </w:r>
      <w:r>
        <w:tab/>
        <w:t>Για παράδειγμα, τα Υπουργεία Εσωτερικών των ομόσπονδων κρατών της Βρέμης και του Αμβούργου έχουν ερευνητικά καθήκοντα.</w:t>
      </w:r>
    </w:p>
  </w:footnote>
  <w:footnote w:id="63">
    <w:p>
      <w:pPr>
        <w:pStyle w:val="FootnoteText"/>
      </w:pPr>
      <w:r>
        <w:rPr>
          <w:rStyle w:val="FootnoteReference"/>
        </w:rPr>
        <w:footnoteRef/>
      </w:r>
      <w:r>
        <w:t xml:space="preserve"> </w:t>
      </w:r>
      <w:r>
        <w:tab/>
        <w:t>Ειδικές εισαγγελίες («</w:t>
      </w:r>
      <w:r>
        <w:rPr>
          <w:i/>
        </w:rPr>
        <w:t>Schwerpunktstaatsanwaltschaften</w:t>
      </w:r>
      <w:r>
        <w:t xml:space="preserve">») υπάρχουν στο Βραδεμβούργο, στην Κάτω Σαξονία, στη Βόρεια Ρηνανία - Βεστφαλία, στη Θουριγγία, στο Σλέσβιχ-Χόλσταϊν, με διαφορετικές εντολές που καλύπτουν υποθέσεις διαφθοράς για ολόκληρο το αντίστοιχο ομόσπονδο κράτος ή απλώς ειδική, τοπικά περιορισμένη δικαιοδοσία εντός ενός ομόσπονδου κράτους. </w:t>
      </w:r>
    </w:p>
  </w:footnote>
  <w:footnote w:id="64">
    <w:p>
      <w:pPr>
        <w:pStyle w:val="FootnoteText"/>
      </w:pPr>
      <w:r>
        <w:rPr>
          <w:rStyle w:val="FootnoteReference"/>
        </w:rPr>
        <w:footnoteRef/>
      </w:r>
      <w:r>
        <w:t xml:space="preserve"> </w:t>
      </w:r>
      <w:r>
        <w:tab/>
        <w:t xml:space="preserve">Η διαφθορά είναι πλήρως ποινικοποιημένη στη Γερμανία, συμπεριλαμβανομένης της ενεργητικής και παθητικής δωροδοκίας (βλ. άρθρα 331-337 του Ποινικού Κώδικα). Η δωροδοκία στον ιδιωτικό τομέα τιμωρείται περαιτέρω στα άρθρα 299-300 του Ποινικού Κώδικα, ενώ η δωροδοκία δημόσιων λειτουργών ποινικοποιείται ειδικά στο άρθρο 108e. Η Γερμανία έχει θεσπίσει ειδικό νόμο για την καταπολέμηση της δωροδοκίας αλλοδαπών αξιωματούχων και έχει επίσης ρυθμίσει την ποινική ευθύνη νομικών προσώπων με κυρώσεις ύψους έως και 10 εκατ. EUR. </w:t>
      </w:r>
    </w:p>
  </w:footnote>
  <w:footnote w:id="65">
    <w:p>
      <w:pPr>
        <w:pStyle w:val="FootnoteText"/>
      </w:pPr>
      <w:r>
        <w:rPr>
          <w:rStyle w:val="FootnoteReference"/>
        </w:rPr>
        <w:footnoteRef/>
      </w:r>
      <w:r>
        <w:t xml:space="preserve"> </w:t>
      </w:r>
      <w:r>
        <w:tab/>
        <w:t xml:space="preserve">Bundeskriminalamt, Bundeslagebild Korruption 2019 (2020), σ. 2. </w:t>
      </w:r>
    </w:p>
  </w:footnote>
  <w:footnote w:id="66">
    <w:p>
      <w:pPr>
        <w:pStyle w:val="FootnoteText"/>
      </w:pPr>
      <w:r>
        <w:rPr>
          <w:rStyle w:val="FootnoteReference"/>
        </w:rPr>
        <w:footnoteRef/>
      </w:r>
      <w:r>
        <w:t xml:space="preserve"> </w:t>
      </w:r>
      <w:r>
        <w:tab/>
        <w:t xml:space="preserve">Πρβλ. Transparency International-Deutschland (Διεθνής Διαφάνεια Γερμανίας), Stellungnahme zum Entwurf eines Gesetzes zur Stärkung der Finanzmarktintegrität (Νοέμβριος 2020). </w:t>
      </w:r>
    </w:p>
  </w:footnote>
  <w:footnote w:id="67">
    <w:p>
      <w:pPr>
        <w:pStyle w:val="FootnoteText"/>
      </w:pPr>
      <w:r>
        <w:rPr>
          <w:rStyle w:val="FootnoteReference"/>
        </w:rPr>
        <w:footnoteRef/>
      </w:r>
      <w:r>
        <w:t xml:space="preserve"> </w:t>
      </w:r>
      <w:r>
        <w:tab/>
        <w:t xml:space="preserve">H. Steinharter, Μονάδα Χρηματοοικονομικών Πληροφοριών (2020): Anti-Geldwäsche-Behörde FIU plant Hunderte neue Stellen, Handelsblatt (23 Δεκεμβρίου 2020). </w:t>
      </w:r>
    </w:p>
  </w:footnote>
  <w:footnote w:id="68">
    <w:p>
      <w:pPr>
        <w:pStyle w:val="FootnoteText"/>
      </w:pPr>
      <w:r>
        <w:rPr>
          <w:rStyle w:val="FootnoteReference"/>
        </w:rPr>
        <w:footnoteRef/>
      </w:r>
      <w:r>
        <w:t xml:space="preserve"> </w:t>
      </w:r>
      <w:r>
        <w:tab/>
        <w:t>ΟΟΣΑ, Phase 4 Two-Year Follow-Up Report: Germany (Έκθεση διετούς παρακολούθησης 4ης φάσης: Γερμανία) (2021), σ. 3: «Η συνεχιζόμενη απόκλιση στην εισαγγελική προσέγγιση όσον αφορά τον καταλογισμό της ευθύνης σε φυσικά πρόσωπα σε αντιδιαστολή με τα νομικά πρόσωπα στα ομόσπονδα κράτη, η αποσπασματική ερευνητική προσέγγιση, σε συνδυασμό με την εναλλακτική χρήση των διαταγών δήμευσης, εξακολούθησε να παρεμποδίζει σε μεγάλο βαθμό τη δυνατότητα της Γερμανίας να καταλογίζει ευθύνες σε επιχειρήσεις σε υποθέσεις δωροδοκίας στο εξωτερικό.»</w:t>
      </w:r>
    </w:p>
  </w:footnote>
  <w:footnote w:id="69">
    <w:p>
      <w:pPr>
        <w:pStyle w:val="FootnoteText"/>
        <w:rPr>
          <w:lang w:val="en-US"/>
        </w:rPr>
      </w:pPr>
      <w:r>
        <w:rPr>
          <w:rStyle w:val="FootnoteReference"/>
        </w:rPr>
        <w:footnoteRef/>
      </w:r>
      <w:r>
        <w:t xml:space="preserve"> </w:t>
      </w:r>
      <w:r>
        <w:tab/>
        <w:t xml:space="preserve">Gesetz zur Einführung eines Lobbyregisters für die Interessenvertretung gegenüber dem Deutschen Bundestag und gegenüber der Bundesregierung (Lobbyregistergesetz – LobbyRG), (16. </w:t>
      </w:r>
      <w:r>
        <w:rPr>
          <w:lang w:val="en-US"/>
        </w:rPr>
        <w:t xml:space="preserve">April 2021), Bundesgesetzblatt 2021 Teil I Nr. 19 vom 27. April 2021, </w:t>
      </w:r>
      <w:r>
        <w:t>σ</w:t>
      </w:r>
      <w:r>
        <w:rPr>
          <w:lang w:val="en-US"/>
        </w:rPr>
        <w:t xml:space="preserve">. 818, </w:t>
      </w:r>
      <w:hyperlink w:anchor="__bgbl__%2F%2F*%5B%40attr_id%3D%27bgbl121s0818.pdf%27%5D__1625212991548" w:history="1">
        <w:r>
          <w:rPr>
            <w:rStyle w:val="Hyperlink"/>
            <w:lang w:val="en-US"/>
          </w:rPr>
          <w:t>https://www.bgbl.de/xaver/bgbl/start.xav#__bgbl__%2F%2F*%5B%40attr_id%3D%27bgbl121s0818.pdf%27%5D__1625212991548</w:t>
        </w:r>
      </w:hyperlink>
      <w:r>
        <w:rPr>
          <w:lang w:val="en-US"/>
        </w:rPr>
        <w:t xml:space="preserve">. </w:t>
      </w:r>
    </w:p>
  </w:footnote>
  <w:footnote w:id="70">
    <w:p>
      <w:pPr>
        <w:pStyle w:val="FootnoteText"/>
      </w:pPr>
      <w:r>
        <w:rPr>
          <w:rStyle w:val="FootnoteReference"/>
        </w:rPr>
        <w:footnoteRef/>
      </w:r>
      <w:r>
        <w:t xml:space="preserve"> </w:t>
      </w:r>
      <w:r>
        <w:tab/>
        <w:t>Διεθνής Διαφάνεια Γερμανίας (2020), έγγραφο θέσης σχετικά με το νομοσχέδιο για τη θέσπιση μητρώου ομάδων συμφερόντων και πληροφορίες που ελήφθησαν στο πλαίσιο της επίσκεψης στη Γερμανία.</w:t>
      </w:r>
    </w:p>
  </w:footnote>
  <w:footnote w:id="71">
    <w:p>
      <w:pPr>
        <w:pStyle w:val="FootnoteText"/>
      </w:pPr>
      <w:r>
        <w:rPr>
          <w:rStyle w:val="FootnoteReference"/>
        </w:rPr>
        <w:footnoteRef/>
      </w:r>
      <w:r>
        <w:t xml:space="preserve"> </w:t>
      </w:r>
      <w:r>
        <w:tab/>
        <w:t>GRECO (Ομάδα χωρών κατά της διαφθοράς), 5</w:t>
      </w:r>
      <w:r>
        <w:rPr>
          <w:vertAlign w:val="superscript"/>
        </w:rPr>
        <w:t>th</w:t>
      </w:r>
      <w:r>
        <w:t xml:space="preserve"> Evaluation Round evaluation report - Germany (2020), (Πέμπτος γύρος αξιολογήσεων — Έκθεση αξιολόγησης της Γερμανίας), παράγραφος 60. Βλ. επίσης πυλώνα IV αναφορικά με άλλα θεσμικά θέματα σχετικά με το σύστημα ελέγχων και ισορροπιών (μηχανισμός θεσμικών αντιβάρων) για περισσότερες πληροφορίες σχετικά με τη διαφάνεια στη διαδικασία λήψης αποφάσεων. Βλ. επίσης τμήμα IV.</w:t>
      </w:r>
    </w:p>
  </w:footnote>
  <w:footnote w:id="72">
    <w:p>
      <w:pPr>
        <w:pStyle w:val="FootnoteText"/>
      </w:pPr>
      <w:r>
        <w:rPr>
          <w:rStyle w:val="FootnoteReference"/>
        </w:rPr>
        <w:footnoteRef/>
      </w:r>
      <w:r>
        <w:t xml:space="preserve"> </w:t>
      </w:r>
      <w:r>
        <w:tab/>
        <w:t>Πρβλ. GRECO, 5</w:t>
      </w:r>
      <w:r>
        <w:rPr>
          <w:vertAlign w:val="superscript"/>
        </w:rPr>
        <w:t>th</w:t>
      </w:r>
      <w:r>
        <w:t xml:space="preserve"> Evaluation Round evaluation report – Germany (2020), (Πέμπτος γύρος αξιολογήσεων — Έκθεση αξιολόγησης της Γερμανίας), παράγραφοι 89 και 91. Οι πολιτικοί υπάλληλοι και οι γενικοί διευθυντές υπόκεινται στους κανονισμούς αναμονής που καθορίζονται στο άρθρο 105 του νόμου για τους δημόσιους υπαλλήλους.</w:t>
      </w:r>
    </w:p>
  </w:footnote>
  <w:footnote w:id="73">
    <w:p>
      <w:pPr>
        <w:pStyle w:val="FootnoteText"/>
        <w:rPr>
          <w:lang w:val="fr-BE"/>
        </w:rPr>
      </w:pPr>
      <w:r>
        <w:rPr>
          <w:rStyle w:val="FootnoteReference"/>
        </w:rPr>
        <w:footnoteRef/>
      </w:r>
      <w:r>
        <w:rPr>
          <w:lang w:val="fr-BE"/>
        </w:rPr>
        <w:t xml:space="preserve"> </w:t>
      </w:r>
      <w:r>
        <w:rPr>
          <w:lang w:val="fr-BE"/>
        </w:rPr>
        <w:tab/>
        <w:t>Gesetz über die Rechtsverhältnisse der Mitglieder des Deutschen Bundestages (Abgeordnetengesetz –AbgG).</w:t>
      </w:r>
    </w:p>
  </w:footnote>
  <w:footnote w:id="74">
    <w:p>
      <w:pPr>
        <w:pStyle w:val="FootnoteText"/>
        <w:rPr>
          <w:lang w:val="fr-BE"/>
        </w:rPr>
      </w:pPr>
      <w:r>
        <w:rPr>
          <w:rStyle w:val="FootnoteReference"/>
        </w:rPr>
        <w:footnoteRef/>
      </w:r>
      <w:r>
        <w:rPr>
          <w:lang w:val="fr-BE"/>
        </w:rPr>
        <w:t xml:space="preserve"> </w:t>
      </w:r>
      <w:r>
        <w:rPr>
          <w:lang w:val="fr-BE"/>
        </w:rPr>
        <w:tab/>
        <w:t>Gesetz zur Änderung des Abgeordnetengesetzes – Verbesserung der Transparenzregeln für Mitglieder des Deutschen Bundestages, https://dserver.bundestag.de/btd/19/287/1928784.pdf</w:t>
      </w:r>
    </w:p>
  </w:footnote>
  <w:footnote w:id="75">
    <w:p>
      <w:pPr>
        <w:pStyle w:val="FootnoteText"/>
      </w:pPr>
      <w:r>
        <w:rPr>
          <w:rStyle w:val="FootnoteReference"/>
        </w:rPr>
        <w:footnoteRef/>
      </w:r>
      <w:r>
        <w:rPr>
          <w:lang w:val="fr-BE"/>
        </w:rPr>
        <w:t xml:space="preserve"> </w:t>
      </w:r>
      <w:r>
        <w:rPr>
          <w:lang w:val="fr-BE"/>
        </w:rPr>
        <w:tab/>
        <w:t xml:space="preserve">Gesetz zur Stärkung der Finanzmarktintegrität (Finanzmarktintegritätsstärkungsgesetz – FISG), Bundesgesetzblatt Teil I vom 3. </w:t>
      </w:r>
      <w:r>
        <w:t xml:space="preserve">Juni 2021, σ. 1534. </w:t>
      </w:r>
    </w:p>
  </w:footnote>
  <w:footnote w:id="76">
    <w:p>
      <w:pPr>
        <w:pStyle w:val="FootnoteText"/>
      </w:pPr>
      <w:r>
        <w:rPr>
          <w:rStyle w:val="FootnoteReference"/>
        </w:rPr>
        <w:footnoteRef/>
      </w:r>
      <w:r>
        <w:t xml:space="preserve"> </w:t>
      </w:r>
      <w:r>
        <w:tab/>
        <w:t>Πληροφορίες που ελήφθησαν κατά την επίσκεψη στη Γερμανία.</w:t>
      </w:r>
    </w:p>
  </w:footnote>
  <w:footnote w:id="77">
    <w:p>
      <w:pPr>
        <w:pStyle w:val="FootnoteText"/>
      </w:pPr>
      <w:r>
        <w:rPr>
          <w:rStyle w:val="FootnoteReference"/>
        </w:rPr>
        <w:footnoteRef/>
      </w:r>
      <w:r>
        <w:t xml:space="preserve"> </w:t>
      </w:r>
      <w:r>
        <w:tab/>
        <w:t>GRECO (Ομάδα χωρών κατά της διαφθοράς), 5</w:t>
      </w:r>
      <w:r>
        <w:rPr>
          <w:vertAlign w:val="superscript"/>
        </w:rPr>
        <w:t>th</w:t>
      </w:r>
      <w:r>
        <w:t xml:space="preserve"> Evaluation Round (5ος γύρος αξιολογήσεων) (2020), παράγραφος 95, και όπως αναφέρθηκε προηγουμένως στην έκθεση του 2020 για το κράτος δικαίου, κεφάλαιο για την κατάσταση του κράτους δικαίου στη Γερμανία, σ. 9.</w:t>
      </w:r>
    </w:p>
  </w:footnote>
  <w:footnote w:id="78">
    <w:p>
      <w:pPr>
        <w:pStyle w:val="FootnoteText"/>
      </w:pPr>
      <w:r>
        <w:rPr>
          <w:rStyle w:val="FootnoteReference"/>
        </w:rPr>
        <w:footnoteRef/>
      </w:r>
      <w:r>
        <w:t xml:space="preserve"> </w:t>
      </w:r>
      <w:r>
        <w:tab/>
        <w:t xml:space="preserve">Πληροφορίες που έδωσε η Γερμανία για την κατάρτιση της έκθεσης του 2021 για το κράτος δικαίου, σ. 21 και πληροφορίες που ελήφθησαν στο πλαίσιο της επίσκεψης στη Γερμανία. </w:t>
      </w:r>
    </w:p>
  </w:footnote>
  <w:footnote w:id="79">
    <w:p>
      <w:pPr>
        <w:pStyle w:val="FootnoteText"/>
      </w:pPr>
      <w:r>
        <w:rPr>
          <w:rStyle w:val="FootnoteReference"/>
        </w:rPr>
        <w:footnoteRef/>
      </w:r>
      <w:r>
        <w:t xml:space="preserve"> </w:t>
      </w:r>
      <w:r>
        <w:tab/>
        <w:t xml:space="preserve">Διεθνής Διαφάνεια Γερμανίας, Comments and Recommendations to UNCAC Second Review Cycle (Παρατηρήσεις και συστάσεις για τον δεύτερο κύκλο επισκόπησης σχετικά με τη σύμβαση των Ηνωμένων Εθνών κατά της διαφθοράς) (2018), σ. 3. </w:t>
      </w:r>
    </w:p>
  </w:footnote>
  <w:footnote w:id="80">
    <w:p>
      <w:pPr>
        <w:pStyle w:val="FootnoteText"/>
      </w:pPr>
      <w:r>
        <w:rPr>
          <w:rStyle w:val="FootnoteReference"/>
        </w:rPr>
        <w:footnoteRef/>
      </w:r>
      <w:r>
        <w:t xml:space="preserve"> </w:t>
      </w:r>
      <w:r>
        <w:tab/>
        <w:t>Γερμανικός νόμος για τα πολιτικά κόμματα.</w:t>
      </w:r>
    </w:p>
  </w:footnote>
  <w:footnote w:id="81">
    <w:p>
      <w:pPr>
        <w:pStyle w:val="FootnoteText"/>
      </w:pPr>
      <w:r>
        <w:rPr>
          <w:rStyle w:val="FootnoteReference"/>
        </w:rPr>
        <w:footnoteRef/>
      </w:r>
      <w:r>
        <w:t xml:space="preserve"> </w:t>
      </w:r>
      <w:r>
        <w:tab/>
        <w:t>Σύμφωνα με το άρθρο 23 στοιχείο (a) του νόμου για τα πολιτικά κόμματα. Επιπλέον, όταν οι ανακρίβειες αφορούν ακίνητα ή συμμετοχές σε εταιρείες στον ισολογισμό ή στο συνοδευτικό τμήμα της επεξηγηματικής σημείωσης, η απαίτηση ανέρχεται στο 10 % των περιουσιακών στοιχείων που δεν έχουν συμπεριληφθεί ή έχουν δηλωθεί εσφαλμένα.</w:t>
      </w:r>
    </w:p>
  </w:footnote>
  <w:footnote w:id="82">
    <w:p>
      <w:pPr>
        <w:pStyle w:val="FootnoteText"/>
      </w:pPr>
      <w:r>
        <w:rPr>
          <w:rStyle w:val="FootnoteReference"/>
        </w:rPr>
        <w:footnoteRef/>
      </w:r>
      <w:r>
        <w:t xml:space="preserve"> </w:t>
      </w:r>
      <w:r>
        <w:tab/>
        <w:t>Πληροφορίες που ελήφθησαν από το LobbyControl στο πλαίσιο της επίσκεψης στη Γερμανία, σύμφωνα με τις οποίες τα στοιχεία για το έτος 2019 δεν είχαν ακόμη δημοσιευθεί τον Απρίλιο του 2021.</w:t>
      </w:r>
    </w:p>
  </w:footnote>
  <w:footnote w:id="83">
    <w:p>
      <w:pPr>
        <w:pStyle w:val="FootnoteText"/>
      </w:pPr>
      <w:r>
        <w:rPr>
          <w:rStyle w:val="FootnoteReference"/>
        </w:rPr>
        <w:footnoteRef/>
      </w:r>
      <w:r>
        <w:t xml:space="preserve"> </w:t>
      </w:r>
      <w:r>
        <w:tab/>
        <w:t>Πιο πρόσφατα, βλ. UNCAC, Review of implementation of the United Nations Convention Against Corruption, Review Cycle 1 (Chapter III and IV), Executive Summary: Germany, Implementation Review Group [Επισκόπηση της εφαρμογής της σύμβασης των Ηνωμένων Εθνών κατά της διαφθοράς, Κύκλος επισκόπησης 1 (Κεφάλαια III και IV), Σύνοψη: Γερμανία, Ομάδα Επισκόπησης της Εφαρμογής της Σύμβασης των Ηνωμένων Εθνών κατά της Διαφθοράς] (Ιούλιος 2020), και Review Cycle 2 (Chapter II and V), Executive Summary: Germany, Implementation Review Group [Κύκλος επισκόπησης 2 (Κεφάλαια II και V), Σύνοψη: Γερμανία, Ομάδα Επισκόπησης της Εφαρμογής της Σύμβασης των Ηνωμένων Εθνών κατά της Διαφθοράς], Ιανουάριος 2019</w:t>
      </w:r>
      <w:r>
        <w:rPr>
          <w:rStyle w:val="Hyperlink"/>
          <w:color w:val="auto"/>
          <w:u w:val="none"/>
        </w:rPr>
        <w:t>.</w:t>
      </w:r>
    </w:p>
  </w:footnote>
  <w:footnote w:id="84">
    <w:p>
      <w:pPr>
        <w:pStyle w:val="FootnoteText"/>
      </w:pPr>
      <w:r>
        <w:rPr>
          <w:rStyle w:val="FootnoteReference"/>
        </w:rPr>
        <w:footnoteRef/>
      </w:r>
      <w:r>
        <w:t xml:space="preserve"> </w:t>
      </w:r>
      <w:r>
        <w:tab/>
        <w:t>Πληροφορίες που ελήφθησαν στο πλαίσιο της επίσκεψης στη Γερμανία.</w:t>
      </w:r>
    </w:p>
  </w:footnote>
  <w:footnote w:id="85">
    <w:p>
      <w:pPr>
        <w:pStyle w:val="FootnoteText"/>
      </w:pPr>
      <w:r>
        <w:rPr>
          <w:rStyle w:val="FootnoteReference"/>
        </w:rPr>
        <w:footnoteRef/>
      </w:r>
      <w:r>
        <w:t xml:space="preserve"> </w:t>
      </w:r>
      <w:r>
        <w:tab/>
        <w:t xml:space="preserve">Πληροφορίες που ελήφθησαν από τη Μονάδα Χρηματοοικονομικών Πληροφοριών στο πλαίσιο της επίσκεψης στη Γερμανία. </w:t>
      </w:r>
    </w:p>
  </w:footnote>
  <w:footnote w:id="86">
    <w:p>
      <w:pPr>
        <w:pStyle w:val="FootnoteText"/>
      </w:pPr>
      <w:r>
        <w:rPr>
          <w:rStyle w:val="FootnoteReference"/>
        </w:rPr>
        <w:footnoteRef/>
      </w:r>
      <w:r>
        <w:t xml:space="preserve"> </w:t>
      </w:r>
      <w:r>
        <w:tab/>
        <w:t xml:space="preserve">Δύο πολιτικοί κατηγορούνται ότι έλαβαν εξαψήφια ποσά ως μίζες έπειτα από σύστασή τους προς την ομοσπονδιακή κυβέρνηση σχετικά με κατασκευαστές χειρουργικών μασκών. Πληροφορίες που ελήφθησαν στο πλαίσιο της επίσκεψης στη Γερμανία. </w:t>
      </w:r>
    </w:p>
  </w:footnote>
  <w:footnote w:id="87">
    <w:p>
      <w:pPr>
        <w:pStyle w:val="FootnoteText"/>
      </w:pPr>
      <w:r>
        <w:rPr>
          <w:rStyle w:val="FootnoteReference"/>
        </w:rPr>
        <w:footnoteRef/>
      </w:r>
      <w:r>
        <w:t xml:space="preserve"> </w:t>
      </w:r>
      <w:r>
        <w:tab/>
        <w:t>Πληροφορίες που έδωσε η Γερμανία για την κατάρτιση της έκθεσης του 2021 για το κράτος δικαίου, σ. 23.</w:t>
      </w:r>
    </w:p>
  </w:footnote>
  <w:footnote w:id="88">
    <w:p>
      <w:pPr>
        <w:pStyle w:val="FootnoteText"/>
      </w:pPr>
      <w:r>
        <w:rPr>
          <w:rStyle w:val="FootnoteReference"/>
        </w:rPr>
        <w:footnoteRef/>
      </w:r>
      <w:r>
        <w:t xml:space="preserve"> </w:t>
      </w:r>
      <w:r>
        <w:tab/>
        <w:t xml:space="preserve">Οι 14 αρχές μέσων μαζικής επικοινωνίας είναι αρμόδιες για τους ιδιωτικούς ραδιοτηλεοπτικούς σταθμούς, ενώ τα δημόσια μέσα μαζικής επικοινωνίας τελούν υπό την εποπτεία ειδικών συμβουλίων ραδιοτηλεόρασης. </w:t>
      </w:r>
    </w:p>
  </w:footnote>
  <w:footnote w:id="89">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Γερμανία.</w:t>
      </w:r>
    </w:p>
  </w:footnote>
  <w:footnote w:id="90">
    <w:p>
      <w:pPr>
        <w:pStyle w:val="FootnoteText"/>
      </w:pPr>
      <w:r>
        <w:rPr>
          <w:rStyle w:val="FootnoteReference"/>
        </w:rPr>
        <w:footnoteRef/>
      </w:r>
      <w:r>
        <w:t xml:space="preserve"> </w:t>
      </w:r>
      <w:r>
        <w:tab/>
        <w:t>Ειδικότερα, ο νόμος για την τροποποίηση του νόμου για τα τηλεμέσα και άλλων νόμων, της 19ης Νοεμβρίου 2020.</w:t>
      </w:r>
    </w:p>
  </w:footnote>
  <w:footnote w:id="91">
    <w:p>
      <w:pPr>
        <w:pStyle w:val="FootnoteText"/>
      </w:pPr>
      <w:r>
        <w:rPr>
          <w:rStyle w:val="FootnoteReference"/>
        </w:rPr>
        <w:footnoteRef/>
      </w:r>
      <w:r>
        <w:t xml:space="preserve"> </w:t>
      </w:r>
      <w:r>
        <w:tab/>
        <w:t>Οδηγία (ΕΕ) 2018/1808 για την τροποποίηση της οδηγίας 2010/13/ΕΕ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ενόψει των μεταβαλλόμενων συνθηκών της αγοράς.</w:t>
      </w:r>
    </w:p>
  </w:footnote>
  <w:footnote w:id="92">
    <w:p>
      <w:pPr>
        <w:pStyle w:val="FootnoteText"/>
      </w:pPr>
      <w:r>
        <w:rPr>
          <w:rStyle w:val="FootnoteReference"/>
        </w:rPr>
        <w:footnoteRef/>
      </w:r>
      <w:r>
        <w:t xml:space="preserve"> </w:t>
      </w:r>
      <w:r>
        <w:tab/>
        <w:t>Στον παγκόσμιο δείκτη ελευθερίας του Τύπου για το 2021, η Γερμανία κατατάσσεται στη 13η θέση παγκοσμίως και στην 9η θέση μεταξύ των κρατών μελών της ΕΕ (Δημοσιογράφοι Χωρίς Σύνορα, Γερμανία). Τα τελευταία έτη, η κατάσταση είναι σταθερή και η χώρα εξακολουθεί να απολαύει υψηλού βαθμού ελευθερίας των μέσων μαζικής επικοινωνίας και προστασίας των δημοσιογράφων. Το Παρατηρητήριο για την πολυφωνία στα μέσα μαζικής επικοινωνίας (Media Pluralism Monitor) 2021 αξιολογεί τον συνολικό κίνδυνο για την πολυφωνία των μέσων μαζικής επικοινωνίας στη Γερμανία ως μάλλον χαμηλό (Παρατηρητήριο για την πολυφωνία στα μέσα μαζικής επικοινωνίας 2021, σ. 8).</w:t>
      </w:r>
    </w:p>
  </w:footnote>
  <w:footnote w:id="93">
    <w:p>
      <w:pPr>
        <w:pStyle w:val="FootnoteText"/>
      </w:pPr>
      <w:r>
        <w:rPr>
          <w:rStyle w:val="FootnoteReference"/>
        </w:rPr>
        <w:footnoteRef/>
      </w:r>
      <w:r>
        <w:t xml:space="preserve"> </w:t>
      </w:r>
      <w:r>
        <w:tab/>
        <w:t xml:space="preserve">2021 Media Pluralism Monitor (Παρατηρητήριο για την πολυφωνία στα μέσα μαζικής επικοινωνίας 2021), σ. 11. Βλ. επίσης έκθεση του 2020 για το κράτος δικαίου, κεφάλαιο για την κατάσταση του κράτους δικαίου στη Γερμανία, σ. 10-11. </w:t>
      </w:r>
    </w:p>
  </w:footnote>
  <w:footnote w:id="94">
    <w:p>
      <w:pPr>
        <w:pStyle w:val="FootnoteText"/>
      </w:pPr>
      <w:r>
        <w:rPr>
          <w:rStyle w:val="FootnoteReference"/>
        </w:rPr>
        <w:footnoteRef/>
      </w:r>
      <w:r>
        <w:t xml:space="preserve"> </w:t>
      </w:r>
      <w:r>
        <w:tab/>
        <w:t>Πληροφορίες που ελήφθησαν στο πλαίσιο της επίσκεψης στη Γερμανία. Κρατική συνθήκη για τα μέσα μαζικής επικοινωνίας, άρθρο 84.</w:t>
      </w:r>
    </w:p>
  </w:footnote>
  <w:footnote w:id="95">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13. Η δημόσια επίπληξη (</w:t>
      </w:r>
      <w:r>
        <w:rPr>
          <w:i/>
        </w:rPr>
        <w:t>öffentliche Rüge</w:t>
      </w:r>
      <w:r>
        <w:t xml:space="preserve">), η οποία υποχρεώνει το σχετικό μέσο μαζικής επικοινωνίας να δημοσιεύσει διόρθωση είναι η μεγαλύτερη κύρωση του Γερμανικού Συμβουλίου Τύπου (για την προστασία των πληγέντων, το Συμβούλιο μπορεί επίσης να αποφασίσει να απευθύνει μη δημόσια επίπληξη).  </w:t>
      </w:r>
    </w:p>
  </w:footnote>
  <w:footnote w:id="96">
    <w:p>
      <w:pPr>
        <w:pStyle w:val="FootnoteText"/>
      </w:pPr>
      <w:r>
        <w:rPr>
          <w:rStyle w:val="FootnoteReference"/>
        </w:rPr>
        <w:footnoteRef/>
      </w:r>
      <w:r>
        <w:t xml:space="preserve"> </w:t>
      </w:r>
      <w:r>
        <w:tab/>
        <w:t xml:space="preserve">Γερμανικό Συμβούλιο Τύπου (2021), Ετήσια έκθεση 2020. </w:t>
      </w:r>
    </w:p>
  </w:footnote>
  <w:footnote w:id="97">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12· έκθεση του 2020 για το κράτος δικαίου, κεφάλαιο για την κατάσταση του κράτους δικαίου στη Γερμανία, σ. 11.</w:t>
      </w:r>
    </w:p>
  </w:footnote>
  <w:footnote w:id="98">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12. </w:t>
      </w:r>
    </w:p>
  </w:footnote>
  <w:footnote w:id="99">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12· έκθεση του 2020 για το κράτος δικαίου, Κεφάλαιο για την κατάσταση του κράτους δικαίου στη Γερμανία, σ. 12.</w:t>
      </w:r>
    </w:p>
  </w:footnote>
  <w:footnote w:id="100">
    <w:p>
      <w:pPr>
        <w:pStyle w:val="FootnoteText"/>
      </w:pPr>
      <w:r>
        <w:rPr>
          <w:rStyle w:val="FootnoteReference"/>
        </w:rPr>
        <w:footnoteRef/>
      </w:r>
      <w:r>
        <w:t xml:space="preserve"> </w:t>
      </w:r>
      <w:r>
        <w:tab/>
        <w:t>KEK (2021), Συγκέντρωση των μέσων μαζικής επικοινωνίας.</w:t>
      </w:r>
    </w:p>
  </w:footnote>
  <w:footnote w:id="101">
    <w:p>
      <w:pPr>
        <w:pStyle w:val="FootnoteText"/>
      </w:pPr>
      <w:r>
        <w:rPr>
          <w:rStyle w:val="FootnoteReference"/>
        </w:rPr>
        <w:footnoteRef/>
      </w:r>
      <w:r>
        <w:t xml:space="preserve"> </w:t>
      </w:r>
      <w:r>
        <w:tab/>
        <w:t xml:space="preserve">Σύμφωνα με το Παρατηρητήριο για την πολυφωνία στα μέσα μαζικής επικοινωνίας 2021: «Η συγκέντρωση κοινού των ιδιοκτητών των 4 κορυφαίων οπτικοακουστικών μέσων στη Γερμανία (ProSiebenSat.1, Mediengruppe RTL, ARD, ZDF) είναι 89 %. Το μερίδιο αγοράς των ιδιοκτητών των κορυφαίων 4 εφημερίδων (Springer, KKR, Media Union, Funke) είναι 60 % και το μερίδιο αγοράς των 4 κορυφαίων διαδικτυακών ειδησεογραφικών μέσων (Bertelsmann, Burda, Springer, United Internet) είναι 34 %». Παρότι η κρατική νομοθεσία για τα μέσα μαζικής επικοινωνίας περιέχει διατάξεις σχετικά με τη συγκέντρωση των μέσων μαζικής επικοινωνίας σε ολόκληρο τον τομέα του Τύπου και των ραδιοτηλεοπτικών μεταδόσεων, η κρατική συνθήκη για τα μέσα μαζικής επικοινωνίας ρυθμίζει τη συγκέντρωση σε επίπεδο ιδιοκτησιακού καθεστώτος στην τηλεόραση, υπό τη ρυθμιστική εποπτεία της Επιτροπής για τη Συγκέντρωση στα Μέσα Μαζικής Επικοινωνίας (KEK). </w:t>
      </w:r>
    </w:p>
  </w:footnote>
  <w:footnote w:id="102">
    <w:p>
      <w:pPr>
        <w:pStyle w:val="FootnoteText"/>
      </w:pPr>
      <w:r>
        <w:rPr>
          <w:rStyle w:val="FootnoteReference"/>
        </w:rPr>
        <w:footnoteRef/>
      </w:r>
      <w:r>
        <w:t xml:space="preserve"> </w:t>
      </w:r>
      <w:r>
        <w:tab/>
        <w:t>Κρατική συνθήκη για τα μέσα μαζικής επικοινωνίας, άρθρο 60 και 2021 Media Pluralism Monitor (Παρατηρητήριο για την πολυφωνία στα μέσα μαζικής επικοινωνίας 2021), σ. 12.</w:t>
      </w:r>
    </w:p>
  </w:footnote>
  <w:footnote w:id="103">
    <w:p>
      <w:pPr>
        <w:pStyle w:val="FootnoteText"/>
      </w:pPr>
      <w:r>
        <w:rPr>
          <w:rStyle w:val="FootnoteReference"/>
        </w:rPr>
        <w:footnoteRef/>
      </w:r>
      <w:r>
        <w:t xml:space="preserve"> </w:t>
      </w:r>
      <w:r>
        <w:tab/>
        <w:t>Δημοσιογράφοι Χωρίς Σύνορα, Γερμανία και πληροφορίες που ελήφθησαν στο πλαίσιο της επίσκεψης στη Γερμανία.</w:t>
      </w:r>
    </w:p>
  </w:footnote>
  <w:footnote w:id="104">
    <w:p>
      <w:pPr>
        <w:pStyle w:val="FootnoteText"/>
      </w:pPr>
      <w:r>
        <w:rPr>
          <w:rStyle w:val="FootnoteReference"/>
        </w:rPr>
        <w:footnoteRef/>
      </w:r>
      <w:r>
        <w:t xml:space="preserve"> </w:t>
      </w:r>
      <w:r>
        <w:tab/>
        <w:t xml:space="preserve">Αναπληρώτρια υπουργός για πολιτιστικά θέματα και τα μέσα ενημέρωσης (2020), «Neustart Kultur»: Ιδιωτικοί ραδιοτηλεοπτικοί σταθμοί. </w:t>
      </w:r>
    </w:p>
  </w:footnote>
  <w:footnote w:id="105">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12-13 και 20-22.</w:t>
      </w:r>
    </w:p>
  </w:footnote>
  <w:footnote w:id="106">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Γερμανία, σ. 12.</w:t>
      </w:r>
    </w:p>
  </w:footnote>
  <w:footnote w:id="107">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14.</w:t>
      </w:r>
    </w:p>
  </w:footnote>
  <w:footnote w:id="108">
    <w:p>
      <w:pPr>
        <w:pStyle w:val="FootnoteText"/>
      </w:pPr>
      <w:r>
        <w:rPr>
          <w:rStyle w:val="FootnoteReference"/>
        </w:rPr>
        <w:footnoteRef/>
      </w:r>
      <w:r>
        <w:t xml:space="preserve"> </w:t>
      </w:r>
      <w:r>
        <w:tab/>
        <w:t>Η κρατική συνθήκη για τα μέσα μαζικής επικοινωνίας ορίζει τα τηλεμέσα που είναι ανάλογα με τις υπηρεσίες ραδιοτηλεοπτικής μετάδοσης ως «τηλεμέσα με περιεχόμενο παρόμοιο με το ραδιόφωνο ή την τηλεόραση όσον αφορά τη μορφή και τον σχεδιασμό και τα οποία διατίθενται από κατάλογο που καθορίζεται από τον πάροχο για ατομική παραγγελία σε χρονική στιγμή που επιλέγει ο χρήστης (υπηρεσίες ακουστικών και οπτικοακουστικών μέσων κατά παραγγελία)· το περιεχόμενο περιλαμβάνει, ειδικότερα, ραδιοφωνικά θεατρικά έργα, ταινίες μεγάλου μήκους, σειρές, ρεπορτάζ, ντοκιμαντέρ, ψυχαγωγικά προγράμματα, ενημερωτικά προγράμματα και παιδικά προγράμματα» (Κρατική συνθήκη για τα μέσα μαζικής επικοινωνίας, άρθρο 2).</w:t>
      </w:r>
    </w:p>
  </w:footnote>
  <w:footnote w:id="109">
    <w:p>
      <w:pPr>
        <w:pStyle w:val="FootnoteText"/>
      </w:pPr>
      <w:r>
        <w:rPr>
          <w:rStyle w:val="FootnoteReference"/>
        </w:rPr>
        <w:footnoteRef/>
      </w:r>
      <w:r>
        <w:t xml:space="preserve"> </w:t>
      </w:r>
      <w:r>
        <w:tab/>
        <w:t>Πληροφορίες που έδωσε η Γερμανία για την κατάρτιση της έκθεσης του 2021 για το κράτος δικαίου, σ. 31-32.</w:t>
      </w:r>
    </w:p>
  </w:footnote>
  <w:footnote w:id="110">
    <w:p>
      <w:pPr>
        <w:pStyle w:val="FootnoteText"/>
      </w:pPr>
      <w:r>
        <w:rPr>
          <w:rStyle w:val="FootnoteReference"/>
        </w:rPr>
        <w:footnoteRef/>
      </w:r>
      <w:r>
        <w:t xml:space="preserve"> </w:t>
      </w:r>
      <w:r>
        <w:tab/>
        <w:t>Κρατική συνθήκη για τα μέσα μαζικής επικοινωνίας, άρθρο 22.</w:t>
      </w:r>
    </w:p>
  </w:footnote>
  <w:footnote w:id="111">
    <w:p>
      <w:pPr>
        <w:pStyle w:val="FootnoteText"/>
      </w:pPr>
      <w:r>
        <w:rPr>
          <w:rStyle w:val="FootnoteReference"/>
        </w:rPr>
        <w:footnoteRef/>
      </w:r>
      <w:r>
        <w:t xml:space="preserve"> </w:t>
      </w:r>
      <w:r>
        <w:tab/>
        <w:t>Θεμελιώδης Νόμος, άρθρο 5 παράγραφος 1.</w:t>
      </w:r>
    </w:p>
  </w:footnote>
  <w:footnote w:id="112">
    <w:p>
      <w:pPr>
        <w:pStyle w:val="FootnoteText"/>
        <w:rPr>
          <w:color w:val="FF0000"/>
        </w:rPr>
      </w:pPr>
      <w:r>
        <w:rPr>
          <w:rStyle w:val="FootnoteReference"/>
        </w:rPr>
        <w:footnoteRef/>
      </w:r>
      <w:r>
        <w:t xml:space="preserve"> </w:t>
      </w:r>
      <w:r>
        <w:tab/>
        <w:t xml:space="preserve">Δημοσιογράφοι Χωρίς Σύνορα, Γερμανία. </w:t>
      </w:r>
    </w:p>
  </w:footnote>
  <w:footnote w:id="113">
    <w:p>
      <w:pPr>
        <w:pStyle w:val="FootnoteText"/>
      </w:pPr>
      <w:r>
        <w:rPr>
          <w:rStyle w:val="FootnoteReference"/>
        </w:rPr>
        <w:footnoteRef/>
      </w:r>
      <w:r>
        <w:t xml:space="preserve"> </w:t>
      </w:r>
      <w:r>
        <w:tab/>
        <w:t xml:space="preserve">GRECO (Ομάδα χωρών κατά της διαφθοράς) (2020), Fifth evaluation round, Evaluation Report Germany (Πέμπτος γύρος αξιολογήσεων, Έκθεση αξιολόγησης της Γερμανίας), σ. 23. </w:t>
      </w:r>
    </w:p>
  </w:footnote>
  <w:footnote w:id="114">
    <w:p>
      <w:pPr>
        <w:pStyle w:val="FootnoteText"/>
      </w:pPr>
      <w:r>
        <w:rPr>
          <w:rStyle w:val="FootnoteReference"/>
        </w:rPr>
        <w:footnoteRef/>
      </w:r>
      <w:r>
        <w:t xml:space="preserve"> </w:t>
      </w:r>
      <w:r>
        <w:tab/>
        <w:t>Παρατηρήσεις του ZDF για την κατάρτιση της έκθεσης του 2021 για το κράτος δικαίου, σ. 5·</w:t>
      </w:r>
      <w:r>
        <w:rPr>
          <w:color w:val="FF0000"/>
        </w:rPr>
        <w:t xml:space="preserve"> </w:t>
      </w:r>
      <w:r>
        <w:t>παρατηρήσεις του Ευρωπαϊκού Κέντρου Ελευθερίας του Τύπου και των Μέσων Ενημέρωσης για την κατάρτιση της έκθεσης του 2021 για το κράτος δικαίου, σ. 3-4· Συμβούλιο της Ευρώπης, Platform to promote the protection of journalism and safety of journalists (Πλατφόρμα για την προώθηση της προστασίας της δημοσιογραφίας και της ασφάλειας των δημοσιογράφων)· Ευρωπαϊκό Κέντρο Ελευθερίας του Τύπου και των Μέσων Ενημέρωσης, Platform on mapping media freedom (Πλατφόρμα για τη χαρτογράφηση της ελευθερίας των μέσων μαζικής επικοινωνίας).</w:t>
      </w:r>
    </w:p>
  </w:footnote>
  <w:footnote w:id="115">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12-13. </w:t>
      </w:r>
    </w:p>
  </w:footnote>
  <w:footnote w:id="116">
    <w:p>
      <w:pPr>
        <w:pStyle w:val="FootnoteText"/>
      </w:pPr>
      <w:r>
        <w:rPr>
          <w:rStyle w:val="FootnoteReference"/>
        </w:rPr>
        <w:footnoteRef/>
      </w:r>
      <w:r>
        <w:t xml:space="preserve"> </w:t>
      </w:r>
      <w:r>
        <w:tab/>
        <w:t>Παρατηρήσεις των RSF για την κατάρτιση της έκθεσης του 2021 για το κράτος δικαίου, σ. 29· Πληροφορίες που ελήφθησαν στο πλαίσιο της επίσκεψης στη Γερμανία.</w:t>
      </w:r>
    </w:p>
  </w:footnote>
  <w:footnote w:id="117">
    <w:p>
      <w:pPr>
        <w:pStyle w:val="FootnoteText"/>
      </w:pPr>
      <w:r>
        <w:rPr>
          <w:rStyle w:val="FootnoteReference"/>
        </w:rPr>
        <w:footnoteRef/>
      </w:r>
      <w:r>
        <w:t xml:space="preserve"> </w:t>
      </w:r>
      <w:r>
        <w:tab/>
        <w:t xml:space="preserve">Γερμανική Ομοσπονδία Δημοσιογράφων (03.08.2020), Βελτίωση της ασφάλειας. </w:t>
      </w:r>
    </w:p>
  </w:footnote>
  <w:footnote w:id="118">
    <w:p>
      <w:pPr>
        <w:pStyle w:val="FootnoteText"/>
      </w:pPr>
      <w:r>
        <w:rPr>
          <w:rStyle w:val="FootnoteReference"/>
        </w:rPr>
        <w:footnoteRef/>
      </w:r>
      <w:r>
        <w:t xml:space="preserve"> </w:t>
      </w:r>
      <w:r>
        <w:tab/>
        <w:t>Γερμανική Ομοσπονδιακή Βουλή (Bundestag), Απάντηση της Ομοσπονδιακής Κυβέρνησης, Drucksache 19/25940, σ. 5. Τα στατιστικά στοιχεία της αστυνομίας για τα ποινικά αδικήματα δεν υπολογίζουν χωριστά τις επιθέσεις κατά δημοσιογράφων, αλλά αναφέρουν τα ποινικά αδικήματα κατά των μέσων μαζικής επικοινωνίας εν γένει.</w:t>
      </w:r>
    </w:p>
  </w:footnote>
  <w:footnote w:id="119">
    <w:p>
      <w:pPr>
        <w:pStyle w:val="FootnoteText"/>
      </w:pPr>
      <w:r>
        <w:rPr>
          <w:rStyle w:val="FootnoteReference"/>
        </w:rPr>
        <w:footnoteRef/>
      </w:r>
      <w:r>
        <w:t xml:space="preserve"> </w:t>
      </w:r>
      <w:r>
        <w:tab/>
        <w:t>Ευρωπαϊκή Ομοσπονδία Δημοσιογράφων (21.01.2021), Germany: 252 attacks against media workers in 2020 (Γερμανία: 252 επιθέσεις κατά εργαζομένων στα μέσα μαζικής επικοινωνίας το 2020).</w:t>
      </w:r>
    </w:p>
  </w:footnote>
  <w:footnote w:id="120">
    <w:p>
      <w:pPr>
        <w:pStyle w:val="FootnoteText"/>
      </w:pPr>
      <w:r>
        <w:rPr>
          <w:rStyle w:val="FootnoteReference"/>
        </w:rPr>
        <w:footnoteRef/>
      </w:r>
      <w:r>
        <w:t xml:space="preserve"> </w:t>
      </w:r>
      <w:r>
        <w:tab/>
        <w:t>Γερμανική Ομοσπονδιακή Βουλή (Bundestag), Απάντηση της Ομοσπονδιακής Κυβέρνησης, Drucksache 19/25940, σ. 5.</w:t>
      </w:r>
    </w:p>
  </w:footnote>
  <w:footnote w:id="121">
    <w:p>
      <w:pPr>
        <w:pStyle w:val="FootnoteText"/>
      </w:pPr>
      <w:r>
        <w:rPr>
          <w:rStyle w:val="FootnoteReference"/>
        </w:rPr>
        <w:footnoteRef/>
      </w:r>
      <w:r>
        <w:t xml:space="preserve"> </w:t>
      </w:r>
      <w:r>
        <w:tab/>
        <w:t>Συμβούλιο της Ευρώπης, Platform to promote the protection of journalism and safety of journalists (Πλατφόρμα για την προώθηση της προστασίας της δημοσιογραφίας και της ασφάλειας των δημοσιογράφων). Κατά τον χρόνο σύνταξης του παρόντος εγγράφου, οι γερμανικές αρχές δεν είχαν ακόμη παράσχει απάντηση για την υπόθεση αυτή, η οποία καταχωρίστηκε τον Μάιο του 2021 στην κατηγορία «Επιθέσεις κατά της σωματικής ασφάλειας και ακεραιότητας δημοσιογράφων».</w:t>
      </w:r>
    </w:p>
  </w:footnote>
  <w:footnote w:id="122">
    <w:p>
      <w:pPr>
        <w:pStyle w:val="FootnoteText"/>
      </w:pPr>
      <w:r>
        <w:rPr>
          <w:rStyle w:val="FootnoteReference"/>
        </w:rPr>
        <w:footnoteRef/>
      </w:r>
      <w:r>
        <w:t xml:space="preserve"> </w:t>
      </w:r>
      <w:r>
        <w:tab/>
        <w:t xml:space="preserve">Π.χ. Γερμανική Ένωση Δημοσιογράφων (08.11.2020), Η dju στη ver.di καταδικάζει τις επιθέσεις κατά εργαζομένων στα μέσα μαζικής επικοινωνίας στη διαδήλωση «Querdenken» στη Λειψία)· πληροφορίες που ελήφθησαν στο πλαίσιο της επίσκεψης στη Γερμανία. </w:t>
      </w:r>
    </w:p>
  </w:footnote>
  <w:footnote w:id="123">
    <w:p>
      <w:pPr>
        <w:pStyle w:val="FootnoteText"/>
      </w:pPr>
      <w:r>
        <w:rPr>
          <w:rStyle w:val="FootnoteReference"/>
        </w:rPr>
        <w:footnoteRef/>
      </w:r>
      <w:r>
        <w:t xml:space="preserve"> </w:t>
      </w:r>
      <w:r>
        <w:tab/>
        <w:t>Γερμανικό Συμβούλιο Τύπου (2020), Αρχές δεοντολογίας για τα μέσα μαζικής ενημέρωσης και την αστυνομία με στόχο την πρόληψη των εμποδίων κατά την εκτέλεση των αστυνομικών καθηκόντων και την ελεύθερη άσκηση της δημοσιογραφίας· πληροφορίες που ελήφθησαν στο πλαίσιο της επίσκεψης στη Γερμανία.</w:t>
      </w:r>
    </w:p>
  </w:footnote>
  <w:footnote w:id="124">
    <w:p>
      <w:pPr>
        <w:pStyle w:val="FootnoteText"/>
      </w:pPr>
      <w:r>
        <w:rPr>
          <w:rStyle w:val="FootnoteReference"/>
        </w:rPr>
        <w:footnoteRef/>
      </w:r>
      <w:r>
        <w:t xml:space="preserve"> </w:t>
      </w:r>
      <w:r>
        <w:tab/>
        <w:t>Π.χ. Κώδικας Τύπου της Αστυνομίας της Βάδης-Βιρτεμβέργης (Υπουργείο Εσωτερικών, Ψηφιοποίησης και Δήμων, 21.04.2021), Κρατικά πρότυπα για τις σχέσεις με τον Τύπο· πληροφορίες που ελήφθησαν στο πλαίσιο της επίσκεψης στη Γερμανία.</w:t>
      </w:r>
    </w:p>
  </w:footnote>
  <w:footnote w:id="125">
    <w:p>
      <w:pPr>
        <w:pStyle w:val="FootnoteText"/>
      </w:pPr>
      <w:r>
        <w:rPr>
          <w:rStyle w:val="FootnoteReference"/>
        </w:rPr>
        <w:footnoteRef/>
      </w:r>
      <w:r>
        <w:t xml:space="preserve"> </w:t>
      </w:r>
      <w:r>
        <w:tab/>
        <w:t>Γερμανική Ομοσπονδία Δημοσιογράφων (2021), Κώδικας δεοντολογίας για τις επιχειρήσεις μέσων μαζικής επικοινωνίας.</w:t>
      </w:r>
    </w:p>
  </w:footnote>
  <w:footnote w:id="126">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10.</w:t>
      </w:r>
    </w:p>
  </w:footnote>
  <w:footnote w:id="127">
    <w:p>
      <w:pPr>
        <w:pStyle w:val="FootnoteText"/>
      </w:pPr>
      <w:r>
        <w:rPr>
          <w:rStyle w:val="FootnoteReference"/>
        </w:rPr>
        <w:footnoteRef/>
      </w:r>
      <w:r>
        <w:t xml:space="preserve"> </w:t>
      </w:r>
      <w:r>
        <w:tab/>
        <w:t xml:space="preserve">Παρατηρήσεις των RSF για την κατάρτιση της έκθεσης του 2021 για το κράτος δικαίου, σ. 29· Πληροφορίες που ελήφθησαν στο πλαίσιο της επίσκεψης στη Γερμανία. Στις 24 Ιουνίου 2021 η γερμανική Βουλή ψήφισε νόμο σύμφωνα με τον οποίο τιμωρείται η διανομή των λεγόμενων «καταλόγων εχθρών», ωστόσο με τον τρόπο αυτόν δεν αντιμετωπίζεται το ζήτημα της διαθεσιμότητας των δεδομένων προσωπικού χαρακτήρα των δημοσιογράφων κατά τη διάρκεια δικαστικών διαδικασιών. </w:t>
      </w:r>
    </w:p>
  </w:footnote>
  <w:footnote w:id="128">
    <w:p>
      <w:pPr>
        <w:pStyle w:val="FootnoteText"/>
      </w:pPr>
      <w:r>
        <w:rPr>
          <w:rStyle w:val="FootnoteReference"/>
        </w:rPr>
        <w:footnoteRef/>
      </w:r>
      <w:r>
        <w:t xml:space="preserve"> </w:t>
      </w:r>
      <w:r>
        <w:tab/>
        <w:t>Παρατηρήσεις της GFF για την κατάρτιση της έκθεσης του 2021 για το κράτος δικαίου, σ. 4· Δημοσιογράφοι Χωρίς Σύνορα (26.03.2021), Χαμένη ευκαιρία για την ελευθερία του Τύπου· Γερμανική Ομοσπονδία Δημοσιογράφων (19.02.2021), Νόμος για την Ομοσπονδιακή Υπηρεσία Πληροφοριών (BND): Καλύτερη προστασία των πληροφοριοδοτών. Η αναθεώρηση του νόμου για την Ομοσπονδιακή Υπηρεσία Πληροφοριών το 2021 ακολούθησε απόφαση του Ομοσπονδιακού Συνταγματικού Δικαστηρίου της 19ης Μαΐου 2020, σύμφωνα με την οποία οι εξουσίες της BND να διενεργεί παρακολούθηση τηλεπικοινωνιών στο εξωτερικό παραβιάζουν θεμελιώδη δικαιώματα που κατοχυρώνονται στον Θεμελιώδη Νόμο της Γερμανίας [Ομοσπονδιακό Συνταγματικό Δικαστήριο (19.05.2020), Δελτίο Τύπου αριθ. 37/2020].</w:t>
      </w:r>
    </w:p>
  </w:footnote>
  <w:footnote w:id="129">
    <w:p>
      <w:pPr>
        <w:pStyle w:val="FootnoteText"/>
      </w:pPr>
      <w:r>
        <w:rPr>
          <w:rStyle w:val="FootnoteReference"/>
        </w:rPr>
        <w:footnoteRef/>
      </w:r>
      <w:r>
        <w:t xml:space="preserve"> </w:t>
      </w:r>
      <w:r>
        <w:tab/>
        <w:t xml:space="preserve">Παρατηρήσεις του Ευρωπαϊκού Κέντρου Ελευθερίας του Τύπου και των Μέσων Ενημέρωσης για την κατάρτιση της έκθεσης του 2021 για το κράτος δικαίου, σ. 5. </w:t>
      </w:r>
    </w:p>
  </w:footnote>
  <w:footnote w:id="130">
    <w:p>
      <w:pPr>
        <w:pStyle w:val="FootnoteText"/>
      </w:pPr>
      <w:r>
        <w:rPr>
          <w:rStyle w:val="FootnoteReference"/>
        </w:rPr>
        <w:footnoteRef/>
      </w:r>
      <w:r>
        <w:t xml:space="preserve"> </w:t>
      </w:r>
      <w:r>
        <w:tab/>
        <w:t>Παρατηρήσεις του Ευρωπαϊκού Κέντρου Ελευθερίας του Τύπου και των Μέσων Ενημέρωσης για την κατάρτιση της έκθεσης του 2021 για το κράτος δικαίου, σ. 5· παρατηρήσεις των RSF για την κατάρτιση της έκθεσης για το κράτος δικαίου του 2021, σ. 33-34· Gostomzyk T. και Moßbrucker D. (2019), «Αν το γράψεις, θα σου κάνω μήνυση!» Μελέτη σχετικά με τις προληπτικές στρατηγικές των δικηγόρων έναντι των μέσων μαζικής επικοινωνίας, Otto Brenner Foundation Workbook 99.</w:t>
      </w:r>
    </w:p>
  </w:footnote>
  <w:footnote w:id="131">
    <w:p>
      <w:pPr>
        <w:pStyle w:val="FootnoteText"/>
      </w:pPr>
      <w:r>
        <w:rPr>
          <w:rStyle w:val="FootnoteReference"/>
        </w:rPr>
        <w:footnoteRef/>
      </w:r>
      <w:r>
        <w:t xml:space="preserve"> </w:t>
      </w:r>
      <w:r>
        <w:tab/>
        <w:t xml:space="preserve">Άρθρο 20 του Θεμελιώδους Νόμου. </w:t>
      </w:r>
    </w:p>
  </w:footnote>
  <w:footnote w:id="132">
    <w:p>
      <w:pPr>
        <w:pStyle w:val="FootnoteText"/>
      </w:pPr>
      <w:r>
        <w:rPr>
          <w:rStyle w:val="FootnoteReference"/>
        </w:rPr>
        <w:footnoteRef/>
      </w:r>
      <w:r>
        <w:t xml:space="preserve"> </w:t>
      </w:r>
      <w:r>
        <w:tab/>
        <w:t xml:space="preserve">Άρθρα 70 και επ. του Θεμελιώδους Νόμου. </w:t>
      </w:r>
    </w:p>
  </w:footnote>
  <w:footnote w:id="133">
    <w:p>
      <w:pPr>
        <w:pStyle w:val="FootnoteText"/>
      </w:pPr>
      <w:r>
        <w:rPr>
          <w:rStyle w:val="FootnoteReference"/>
        </w:rPr>
        <w:footnoteRef/>
      </w:r>
      <w:r>
        <w:t xml:space="preserve"> </w:t>
      </w:r>
      <w:r>
        <w:tab/>
        <w:t xml:space="preserve">Προτάσεις του </w:t>
      </w:r>
      <w:r>
        <w:rPr>
          <w:i/>
          <w:iCs/>
        </w:rPr>
        <w:t xml:space="preserve">Bundestag </w:t>
      </w:r>
      <w:r>
        <w:t xml:space="preserve">μπορούν να υποβληθούν από (τουλάχιστον) το 5 % των μελών του. Στην πράξη, οι περισσότερες προτάσεις προέρχονται από την κυβέρνηση. </w:t>
      </w:r>
    </w:p>
  </w:footnote>
  <w:footnote w:id="134">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13. </w:t>
      </w:r>
    </w:p>
  </w:footnote>
  <w:footnote w:id="135">
    <w:p>
      <w:pPr>
        <w:pStyle w:val="FootnoteText"/>
      </w:pPr>
      <w:r>
        <w:rPr>
          <w:rStyle w:val="FootnoteReference"/>
        </w:rPr>
        <w:footnoteRef/>
      </w:r>
      <w:r>
        <w:t xml:space="preserve"> </w:t>
      </w:r>
      <w:r>
        <w:tab/>
        <w:t>Ιστότοπος «Συμμετοχή σε ομοσπονδιακό επίπεδο» (</w:t>
      </w:r>
      <w:r>
        <w:rPr>
          <w:i/>
        </w:rPr>
        <w:t>Beteiligung auf Bundesebene</w:t>
      </w:r>
      <w:r>
        <w:t xml:space="preserve">): https://www.bundesregierung.de/breg-de/service/gesetzgebungsverfahren-beteiligung. Η εν λόγω πλατφόρμα συνδέεται επίσης με τις επίσημες διαδικασίες διαβούλευσης διαφόρων υπουργείων. </w:t>
      </w:r>
    </w:p>
  </w:footnote>
  <w:footnote w:id="136">
    <w:p>
      <w:pPr>
        <w:pStyle w:val="FootnoteText"/>
      </w:pPr>
      <w:r>
        <w:rPr>
          <w:rStyle w:val="FootnoteReference"/>
        </w:rPr>
        <w:footnoteRef/>
      </w:r>
      <w:r>
        <w:t xml:space="preserve"> </w:t>
      </w:r>
      <w:r>
        <w:tab/>
        <w:t xml:space="preserve">Διάσκεψη των Υπουργών Δικαιοσύνης (2020), </w:t>
      </w:r>
      <w:r>
        <w:rPr>
          <w:rStyle w:val="jlqj4b"/>
        </w:rPr>
        <w:t>Ενίσχυση του ομοσπονδιακού συστήματος στην πράξη — Η συμμετοχή των χωρών σε ομοσπονδιακές νομοθετικές προτάσεις και η αντιμετώπιση των νομοθετικών πρωτοβουλιών του Ομοσπονδιακού Συμβουλίου από την Ομοσπονδιακή Κυβέρνηση</w:t>
      </w:r>
      <w:r>
        <w:t xml:space="preserve"> </w:t>
      </w:r>
    </w:p>
  </w:footnote>
  <w:footnote w:id="137">
    <w:p>
      <w:pPr>
        <w:pStyle w:val="FootnoteText"/>
      </w:pPr>
      <w:r>
        <w:rPr>
          <w:rStyle w:val="FootnoteReference"/>
        </w:rPr>
        <w:footnoteRef/>
      </w:r>
      <w:r>
        <w:t xml:space="preserve"> </w:t>
      </w:r>
      <w:r>
        <w:tab/>
        <w:t xml:space="preserve">Παρατηρήσεις του ENNHRI για την κατάρτιση της έκθεσης του 2021 για το κράτος δικαίου, σ. 153· βλ. επίσης παρατηρήσεις του γερμανικού Δικηγορικού Συλλόγου και του γερμανικού Ομοσπονδιακού Δικηγορικού Συλλόγου για την κατάρτιση της έκθεσης του 2021 για το κράτος δικαίου. </w:t>
      </w:r>
    </w:p>
  </w:footnote>
  <w:footnote w:id="138">
    <w:p>
      <w:pPr>
        <w:pStyle w:val="FootnoteText"/>
      </w:pPr>
      <w:r>
        <w:rPr>
          <w:rStyle w:val="FootnoteReference"/>
        </w:rPr>
        <w:footnoteRef/>
      </w:r>
      <w:r>
        <w:t xml:space="preserve"> </w:t>
      </w:r>
      <w:r>
        <w:tab/>
        <w:t xml:space="preserve">GRECO (Ομάδα χωρών κατά της διαφθοράς) (2020), Fifth evaluation round – evaluation report Germany (Πέμπτος γύρος αξιολογήσεων — Έκθεση αξιολόγησης της Γερμανίας), σύσταση iv. </w:t>
      </w:r>
    </w:p>
  </w:footnote>
  <w:footnote w:id="139">
    <w:p>
      <w:pPr>
        <w:pStyle w:val="FootnoteText"/>
      </w:pPr>
      <w:r>
        <w:rPr>
          <w:rStyle w:val="FootnoteReference"/>
        </w:rPr>
        <w:footnoteRef/>
      </w:r>
      <w:r>
        <w:t xml:space="preserve"> </w:t>
      </w:r>
      <w:r>
        <w:tab/>
        <w:t xml:space="preserve">Παρατηρήσεις του γερμανικού Δικηγορικού Συλλόγου για την κατάρτιση της έκθεσης του 2021 για το κράτος δικαίου και πληροφορίες που ελήφθησαν στο πλαίσιο της επίσκεψης στη Γερμανία. </w:t>
      </w:r>
    </w:p>
  </w:footnote>
  <w:footnote w:id="140">
    <w:p>
      <w:pPr>
        <w:pStyle w:val="FootnoteText"/>
      </w:pPr>
      <w:r>
        <w:rPr>
          <w:rStyle w:val="FootnoteReference"/>
        </w:rPr>
        <w:footnoteRef/>
      </w:r>
      <w:r>
        <w:t xml:space="preserve"> </w:t>
      </w:r>
      <w:r>
        <w:tab/>
        <w:t xml:space="preserve">Πρώτος νόμος για την προστασία του πληθυσμού σε περιπτώσεις επιδημικών καταστάσεων εθνικού ενδιαφέροντος. </w:t>
      </w:r>
    </w:p>
  </w:footnote>
  <w:footnote w:id="141">
    <w:p>
      <w:pPr>
        <w:pStyle w:val="FootnoteText"/>
      </w:pPr>
      <w:r>
        <w:rPr>
          <w:rStyle w:val="FootnoteReference"/>
        </w:rPr>
        <w:footnoteRef/>
      </w:r>
      <w:r>
        <w:t xml:space="preserve"> </w:t>
      </w:r>
      <w:r>
        <w:tab/>
        <w:t xml:space="preserve">Αρχικά, οι αλλαγές είχαν περιοριστεί χρονικά έως τις 31 Μαρτίου 2021. Βλ. άρθρο 5 παράγραφος 1 του IfSG. </w:t>
      </w:r>
    </w:p>
  </w:footnote>
  <w:footnote w:id="142">
    <w:p>
      <w:pPr>
        <w:pStyle w:val="FootnoteText"/>
      </w:pPr>
      <w:r>
        <w:rPr>
          <w:rStyle w:val="FootnoteReference"/>
        </w:rPr>
        <w:footnoteRef/>
      </w:r>
      <w:r>
        <w:t xml:space="preserve"> </w:t>
      </w:r>
      <w:r>
        <w:tab/>
        <w:t xml:space="preserve">Σημειωτέον ότι, στο πλαίσιο αυτό, ο έλεγχος ασκείται επίσης από τα κοινοβούλια των ομόσπονδων κρατών, τα οποία σε ορισμένες περιπτώσεις έχουν θεσπίσει νόμους που απαιτούν τη συμμετοχή των κοινοβουλίων τους στα μέτρα που σχετίζονται με τη νόσο COVID-19. </w:t>
      </w:r>
    </w:p>
  </w:footnote>
  <w:footnote w:id="143">
    <w:p>
      <w:pPr>
        <w:pStyle w:val="FootnoteText"/>
      </w:pPr>
      <w:r>
        <w:rPr>
          <w:rStyle w:val="FootnoteReference"/>
        </w:rPr>
        <w:footnoteRef/>
      </w:r>
      <w:r>
        <w:t xml:space="preserve"> </w:t>
      </w:r>
      <w:r>
        <w:tab/>
        <w:t xml:space="preserve">Βλ. νέο άρθρο 28a του IfSG. Τρίτος νόμος για την προστασία του πληθυσμού σε περιπτώσεις επιδημικών καταστάσεων εθνικού ενδιαφέροντος, ο οποίος εκδόθηκε στις 18 Νοεμβρίου 2020. </w:t>
      </w:r>
    </w:p>
  </w:footnote>
  <w:footnote w:id="144">
    <w:p>
      <w:pPr>
        <w:pStyle w:val="FootnoteText"/>
      </w:pPr>
      <w:r>
        <w:rPr>
          <w:rStyle w:val="FootnoteReference"/>
        </w:rPr>
        <w:footnoteRef/>
      </w:r>
      <w:r>
        <w:t xml:space="preserve"> </w:t>
      </w:r>
      <w:r>
        <w:tab/>
        <w:t>Βλ. νέο άρθρο 28b του IfSG. Τέταρτος νόμος για την προστασία του πληθυσμού σε περιπτώσεις επιδημικών καταστάσεων εθνικού ενδιαφέροντος, ο οποίος εκδόθηκε στις 21 Απριλίου 2021.</w:t>
      </w:r>
    </w:p>
  </w:footnote>
  <w:footnote w:id="145">
    <w:p>
      <w:pPr>
        <w:pStyle w:val="FootnoteText"/>
      </w:pPr>
      <w:r>
        <w:rPr>
          <w:rStyle w:val="FootnoteReference"/>
        </w:rPr>
        <w:footnoteRef/>
      </w:r>
      <w:r>
        <w:t xml:space="preserve"> </w:t>
      </w:r>
      <w:r>
        <w:tab/>
        <w:t xml:space="preserve">Τα αυτόματα μέτρα που προβλέπονταν στην «πέδη έκτακτης ανάγκης» ήταν ήδη περιορισμένα σε σύγκριση με την αρχική πρόταση της κυβέρνησης μετά τις εν λόγω αντιδράσεις. Έχουν ήδη υποβληθεί ορισμένες προσφυγές στο Ομοσπονδιακό Συνταγματικό Δικαστήριο, ειδικά όσον αφορά την αρμοδιότητα της Ομοσπονδιακής Κυβέρνησης και τους αυτόματους κανόνες απαγόρευσης της κυκλοφορίας σε συγκεκριμένες ώρες. </w:t>
      </w:r>
    </w:p>
  </w:footnote>
  <w:footnote w:id="146">
    <w:p>
      <w:pPr>
        <w:pStyle w:val="FootnoteText"/>
      </w:pPr>
      <w:r>
        <w:rPr>
          <w:rStyle w:val="FootnoteReference"/>
        </w:rPr>
        <w:footnoteRef/>
      </w:r>
      <w:r>
        <w:t xml:space="preserve"> </w:t>
      </w:r>
      <w:r>
        <w:tab/>
        <w:t xml:space="preserve">Οι αλλαγές αυτές περιορίζονται επί του παρόντος έως τον Ιούνιο του 2021, βλ. άρθρο 126a του Κανονισμού της Βουλής. </w:t>
      </w:r>
    </w:p>
  </w:footnote>
  <w:footnote w:id="147">
    <w:p>
      <w:pPr>
        <w:pStyle w:val="FootnoteText"/>
      </w:pPr>
      <w:r>
        <w:rPr>
          <w:rStyle w:val="FootnoteReference"/>
        </w:rPr>
        <w:footnoteRef/>
      </w:r>
      <w:r>
        <w:t xml:space="preserve"> </w:t>
      </w:r>
      <w:r>
        <w:tab/>
        <w:t xml:space="preserve">Deutsche Richterzeitung (2020), Corona-Krise sorgt für tausende Verfahren. </w:t>
      </w:r>
    </w:p>
  </w:footnote>
  <w:footnote w:id="148">
    <w:p>
      <w:pPr>
        <w:pStyle w:val="FootnoteText"/>
      </w:pPr>
      <w:r>
        <w:rPr>
          <w:rStyle w:val="FootnoteReference"/>
        </w:rPr>
        <w:footnoteRef/>
      </w:r>
      <w:r>
        <w:t xml:space="preserve"> </w:t>
      </w:r>
      <w:r>
        <w:tab/>
        <w:t xml:space="preserve">Όλες οι περατωθείσες υποθέσεις απορρίφθηκαν ή περατώθηκαν με άλλον τρόπο· 48 υποθέσεις παραμένουν σε εκκρεμότητα. Βλ. επίσης έκθεση του 2020 για το κράτος δικαίου, κεφάλαιο για την κατάσταση του κράτους δικαίου στη Γερμανία, σ. 15 για περισσότερες λεπτομέρειες. </w:t>
      </w:r>
    </w:p>
  </w:footnote>
  <w:footnote w:id="149">
    <w:p>
      <w:pPr>
        <w:pStyle w:val="FootnoteText"/>
      </w:pPr>
      <w:r>
        <w:rPr>
          <w:rStyle w:val="FootnoteReference"/>
        </w:rPr>
        <w:footnoteRef/>
      </w:r>
      <w:r>
        <w:t xml:space="preserve"> </w:t>
      </w:r>
      <w:r>
        <w:tab/>
        <w:t xml:space="preserve">Ευρωπαϊκή Επιτροπή (9 Ιουνίου 2021), Δέσμη παραβάσεων Ιουνίου — κυριότερες αποφάσεις. </w:t>
      </w:r>
    </w:p>
  </w:footnote>
  <w:footnote w:id="150">
    <w:p>
      <w:pPr>
        <w:pStyle w:val="FootnoteText"/>
        <w:rPr>
          <w:rFonts w:cs="Times New Roman"/>
        </w:rPr>
      </w:pPr>
      <w:r>
        <w:rPr>
          <w:rStyle w:val="FootnoteReference"/>
          <w:rFonts w:cs="Times New Roman"/>
        </w:rPr>
        <w:footnoteRef/>
      </w:r>
      <w:r>
        <w:t xml:space="preserve"> </w:t>
      </w:r>
      <w:r>
        <w:tab/>
        <w:t xml:space="preserve">Απόφαση του Ομοσπονδιακού Συνταγματικού Δικαστηρίου της 5ης Μαΐου 2020, 2 BvR 859/15. </w:t>
      </w:r>
    </w:p>
  </w:footnote>
  <w:footnote w:id="151">
    <w:p>
      <w:pPr>
        <w:pStyle w:val="FootnoteText"/>
        <w:rPr>
          <w:rFonts w:cs="Times New Roman"/>
        </w:rPr>
      </w:pPr>
      <w:r>
        <w:rPr>
          <w:rStyle w:val="FootnoteReference"/>
          <w:rFonts w:cs="Times New Roman"/>
        </w:rPr>
        <w:footnoteRef/>
      </w:r>
      <w:r>
        <w:t xml:space="preserve"> </w:t>
      </w:r>
      <w:r>
        <w:tab/>
        <w:t xml:space="preserve">Όσον αφορά τις ανησυχίες που εκφράστηκαν με αφορμή την απόφαση, βλ.: Δικαστήριο της Ευρωπαϊκής Ένωσης, Ανακοινωθέν Τύπου αριθ. 58/20 της 8ης Μαΐου 2020· Δήλωση της προέδρου von der Leyen, Δήλωση/20/846 της 10ης Μαΐου 2020. Βλ. επίσης έκθεση του 2020 για το κράτος δικαίου, κεφάλαιο για την κατάσταση του κράτους δικαίου στη Γερμανία, σ. 15. </w:t>
      </w:r>
    </w:p>
  </w:footnote>
  <w:footnote w:id="152">
    <w:p>
      <w:pPr>
        <w:pStyle w:val="FootnoteText"/>
        <w:rPr>
          <w:rFonts w:cs="Times New Roman"/>
        </w:rPr>
      </w:pPr>
      <w:r>
        <w:rPr>
          <w:rStyle w:val="FootnoteReference"/>
          <w:rFonts w:cs="Times New Roman"/>
        </w:rPr>
        <w:footnoteRef/>
      </w:r>
      <w:r>
        <w:t xml:space="preserve"> </w:t>
      </w:r>
      <w:r>
        <w:tab/>
        <w:t xml:space="preserve">Διάταξη του Ομοσπονδιακού Συνταγματικού Δικαστηρίου της 29ης Απριλίου 2021, 2 BvR 1651/15, 2 BvR 2006/15. Στην απόφασή του, το Συνταγματικό Δικαστήριο έκρινε, μεταξύ άλλων, ότι η αίτηση είναι επίσης αβάσιμη, δεδομένου ότι η Ομοσπονδιακή Κυβέρνηση και το </w:t>
      </w:r>
      <w:r>
        <w:rPr>
          <w:i/>
          <w:iCs/>
        </w:rPr>
        <w:t>Bundestag</w:t>
      </w:r>
      <w:r>
        <w:t xml:space="preserve"> εξέτασαν ουσιαστικά και εκτίμησαν τις αποφάσεις νομισματικής πολιτικής που έλαβε το Διοικητικό Συμβούλιο της ΕΚΤ μετά την απόφαση της 5ης Μαΐου 2020, συμπεριλαμβανομένης της αξιολόγησης της αναλογικότητας που διενεργήθηκε και τεκμηριώθηκε από την ΕΚΤ στις σχετικές αποφάσεις της, της 3ης και 4ης Ιουνίου 2020. </w:t>
      </w:r>
    </w:p>
  </w:footnote>
  <w:footnote w:id="153">
    <w:p>
      <w:pPr>
        <w:pStyle w:val="FootnoteText"/>
      </w:pPr>
      <w:r>
        <w:rPr>
          <w:rStyle w:val="FootnoteReference"/>
        </w:rPr>
        <w:footnoteRef/>
      </w:r>
      <w:r>
        <w:t xml:space="preserve"> </w:t>
      </w:r>
      <w:r>
        <w:tab/>
        <w:t xml:space="preserve">Άρθρο 26 του γενικού νόμου περί ίσης μεταχείρισης. </w:t>
      </w:r>
    </w:p>
  </w:footnote>
  <w:footnote w:id="154">
    <w:p>
      <w:pPr>
        <w:pStyle w:val="FootnoteText"/>
      </w:pPr>
      <w:r>
        <w:rPr>
          <w:rStyle w:val="FootnoteReference"/>
        </w:rPr>
        <w:footnoteRef/>
      </w:r>
      <w:r>
        <w:t xml:space="preserve"> </w:t>
      </w:r>
      <w:r>
        <w:tab/>
        <w:t xml:space="preserve">Απόφαση του Διοικητικού Δικαστηρίου του Βερολίνου της 8ης Φεβρουαρίου 2019, 7 L 218.18. </w:t>
      </w:r>
    </w:p>
  </w:footnote>
  <w:footnote w:id="155">
    <w:p>
      <w:pPr>
        <w:pStyle w:val="FootnoteText"/>
      </w:pPr>
      <w:r>
        <w:rPr>
          <w:rStyle w:val="FootnoteReference"/>
        </w:rPr>
        <w:footnoteRef/>
      </w:r>
      <w:r>
        <w:t xml:space="preserve"> Γραπτές παρατηρήσεις που ελήφθησαν από το Υπουργείο Οικογένειας, Τρίτης Ηλικίας, Γυναικών και Νεολαίας στο πλαίσιο της επίσκεψης στη χώρα. </w:t>
      </w:r>
    </w:p>
  </w:footnote>
  <w:footnote w:id="156">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Γερμανία, σ. 15.</w:t>
      </w:r>
    </w:p>
  </w:footnote>
  <w:footnote w:id="157">
    <w:p>
      <w:pPr>
        <w:pStyle w:val="FootnoteText"/>
      </w:pPr>
      <w:r>
        <w:rPr>
          <w:rStyle w:val="FootnoteReference"/>
        </w:rPr>
        <w:footnoteRef/>
      </w:r>
      <w:r>
        <w:t xml:space="preserve"> </w:t>
      </w:r>
      <w:r>
        <w:tab/>
        <w:t xml:space="preserve">Αξιολόγηση από τη CIVICUS. Οι βαθμολογίες δίνονται σε κλίμακα πέντε κατηγοριών, οι οποίες ορίζονται ως: ανοιχτός, περιορισμένος, εμποδισμένος, κατεσταλμένος και κλειστός. </w:t>
      </w:r>
    </w:p>
  </w:footnote>
  <w:footnote w:id="158">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Γερμανία, σ. 15. </w:t>
      </w:r>
    </w:p>
  </w:footnote>
  <w:footnote w:id="159">
    <w:p>
      <w:pPr>
        <w:pStyle w:val="FootnoteText"/>
      </w:pPr>
      <w:r>
        <w:rPr>
          <w:rStyle w:val="FootnoteReference"/>
        </w:rPr>
        <w:footnoteRef/>
      </w:r>
      <w:r>
        <w:t xml:space="preserve"> </w:t>
      </w:r>
      <w:r>
        <w:tab/>
        <w:t>Π.χ. προστασία του κλίματος και προστασία των ευάλωτων ομάδων. Ετήσιος φορολογικός νόμος του 2020 (</w:t>
      </w:r>
      <w:r>
        <w:rPr>
          <w:i/>
        </w:rPr>
        <w:t>Jahressteuergesetz</w:t>
      </w:r>
      <w:r>
        <w:t>).</w:t>
      </w:r>
    </w:p>
  </w:footnote>
  <w:footnote w:id="160">
    <w:p>
      <w:pPr>
        <w:pStyle w:val="FootnoteText"/>
      </w:pPr>
      <w:r>
        <w:rPr>
          <w:rStyle w:val="FootnoteReference"/>
        </w:rPr>
        <w:footnoteRef/>
      </w:r>
      <w:r>
        <w:t xml:space="preserve"> </w:t>
      </w:r>
      <w:r>
        <w:tab/>
        <w:t xml:space="preserve">Απόφαση του Ομοσπονδιακού Φορολογικού Δικαστηρίου της 10ης Ιανουαρίου 2019, V R 60/17. </w:t>
      </w:r>
    </w:p>
  </w:footnote>
  <w:footnote w:id="161">
    <w:p>
      <w:pPr>
        <w:pStyle w:val="FootnoteText"/>
      </w:pPr>
      <w:r>
        <w:rPr>
          <w:rStyle w:val="FootnoteReference"/>
        </w:rPr>
        <w:footnoteRef/>
      </w:r>
      <w:r>
        <w:t xml:space="preserve"> </w:t>
      </w:r>
      <w:r>
        <w:tab/>
        <w:t xml:space="preserve">Απόφαση του Ομοσπονδιακού Φορολογικού Δικαστηρίου της 10ης Δεκεμβρίου 2020, V R 14/20. </w:t>
      </w:r>
    </w:p>
  </w:footnote>
  <w:footnote w:id="162">
    <w:p>
      <w:pPr>
        <w:pStyle w:val="FootnoteText"/>
      </w:pPr>
      <w:r>
        <w:rPr>
          <w:rStyle w:val="FootnoteReference"/>
        </w:rPr>
        <w:footnoteRef/>
      </w:r>
      <w:r>
        <w:t xml:space="preserve"> </w:t>
      </w:r>
      <w:r>
        <w:tab/>
        <w:t xml:space="preserve">Παρατηρήσεις του ENNHRI και της Gesellschaft für Freiheitsrechte για την κατάρτιση της έκθεσης του 2021 για το κράτος δικαίου. </w:t>
      </w:r>
    </w:p>
  </w:footnote>
  <w:footnote w:id="163">
    <w:p>
      <w:pPr>
        <w:pStyle w:val="FootnoteText"/>
      </w:pPr>
      <w:r>
        <w:rPr>
          <w:rStyle w:val="FootnoteReference"/>
        </w:rPr>
        <w:footnoteRef/>
      </w:r>
      <w:r>
        <w:t xml:space="preserve"> </w:t>
      </w:r>
      <w:r>
        <w:tab/>
        <w:t xml:space="preserve">Παρατηρήσεις της Gesellschaft für Freiheitsrechte για την κατάρτιση της έκθεσης του 2021 για το κράτος δικαίου, σ. 5. Στις παρατηρήσεις επισημαίνονται αρκετές περιπτώσεις στις οποίες ζητήθηκε από δεξιό πολιτικό κόμμα να καταργηθεί το καθεστώς φοροαπαλλαγής και/ή η δημόσια χρηματοδότηση για τις οργανώσεις της κοινωνίας των πολιτών που δραστηριοποιούνται στον τομέα της καταπολέμησης των διακρίσεων, καθώς το εν λόγω κόμμα θεωρούσε ότι το έργο τους έχει πολιτικό χαρακτήρα. Για περαιτέρω παράδειγμα, βλ. Gesellschaft für Freiheitsrechte και Open Society Foundations (2020), Shrinking spaces in Germany; shrinking spaces in Europe (Συρρίκνωση των χώρων στη Γερμανία· συρρίκνωση των χώρων στην Ευρώπη). </w:t>
      </w:r>
    </w:p>
  </w:footnote>
  <w:footnote w:id="164">
    <w:p>
      <w:pPr>
        <w:pStyle w:val="FootnoteText"/>
      </w:pPr>
      <w:r>
        <w:rPr>
          <w:rStyle w:val="FootnoteReference"/>
        </w:rPr>
        <w:footnoteRef/>
      </w:r>
      <w:r>
        <w:t xml:space="preserve"> Ομοσπονδιακό Γερμανικό Ίδρυμα για τη Συμμετοχή των Πολιτών και τον Εθελοντισμό, Förderprogramm 2020: Gemeinsam wirken in Zeiten von Corona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0?\u959?\u965? \u963?\u965?\u957?\u959?\u948?\u949?\u973?\u949?\u953? \u964?\u959? \u941?\u947?\u947?\u961?\u945?\u966?\u959?"/>
    <w:docVar w:name="LW_CORRIGENDUM" w:val="&lt;UNUSED&gt;"/>
    <w:docVar w:name="LW_COVERPAGE_EXISTS" w:val="True"/>
    <w:docVar w:name="LW_COVERPAGE_GUID" w:val="BA8EFD03-901F-49F4-AE88-D9C335A025D7"/>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Βρυξέλλες, "/>
    <w:docVar w:name="LW_EMISSION_SUFFIX" w:val=" "/>
    <w:docVar w:name="LW_ID_DOCTYPE_NONLW" w:val="CP-025"/>
    <w:docVar w:name="LW_LANGUE" w:val="EL"/>
    <w:docVar w:name="LW_LEVEL_OF_SENSITIVITY" w:val="Standard treatment"/>
    <w:docVar w:name="LW_NOM.INST" w:val="\u917?\u933?\u929?\u937?\u928?\u913?\u938?\u922?\u919? \u917?\u928?\u921?\u932?\u929?\u927?\u928?\u919?"/>
    <w:docVar w:name="LW_NOM.INST_JOINTDOC" w:val="&lt;EMPTY&gt;"/>
    <w:docVar w:name="LW_OBJETACTEPRINCIPAL.CP" w:val="&lt;FMT:Font=Microsoft Sans Serif Greek&gt;\u904?\u954?\u952?\u949?\u963?\u951? \u964?\u959?\u965? 2021 \u947?\u953?\u945? \u964?\u959? \u954?\u961?\u940?\u964?\u959?\u962? \u948?\u953?\u954?\u945?\u943?\u959?\u965?     &lt;/FMT&gt;_x000d__x000d__x000b_&lt;FMT:Font=Microsoft Sans Serif Greek&gt;\u919? \u954?\u945?\u964?\u940?\u963?\u964?\u945?\u963?\u951? \u964?\u959?\u965? \u954?\u961?\u940?\u964?\u959?\u965?\u962? \u948?\u953?\u954?\u945?\u943?\u959?\u965? \u963?\u964?\u951?\u957? \u917?\u965?\u961?\u969?\u960?\u945?\u970?\u954?\u942? \u904?\u957?\u969?\u963?\u951?&lt;/FMT&gt;"/>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Microsoft Sans Serif Greek&gt;\u904?\u954?\u952?\u949?\u963?\u951? \u964?\u959?\u965? 2021 \u947?\u953?\u945? \u964?\u959? \u954?\u961?\u940?\u964?\u959?\u962? \u948?\u953?\u954?\u945?\u943?\u959?\u965?     &lt;/FMT&gt;_x000d__x000d__x000d__x000b_&lt;FMT:Font=Microsoft Sans Serif Greek&gt;\u922?\u949?\u966?\u940?\u955?\u945?\u953?\u959? \u947?\u953?\u945? \u964?\u951?\u957? \u954?\u945?\u964?\u940?\u963?\u964?\u945?\u963?\u951? \u964?\u959?\u965? \u954?\u961?\u940?\u964?\u959?\u965?\u962? \u948?\u953?\u954?\u945?\u943?\u959?\u965? \u963?\u964?\u951? \u915?\u949?\u961?\u956?\u945?\u957?\u943?\u945?&lt;/FMT&gt;"/>
    <w:docVar w:name="LW_TYPE.DOC.CP" w:val="\u917?\u915?\u915?\u929?\u913?\u934?\u927? \u917?\u929?\u915?\u913?\u931?\u921?\u913?\u931? \u932?\u937?\u925? \u933?\u928?\u919?\u929?\u917?\u931?\u921?\u937?\u925? \u932?\u919?\u931? \u917?\u928?\u921?\u932?\u929?\u927?\u928?\u919?\u931?"/>
    <w:docVar w:name="LW_TYPEACTEPRINCIPAL.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media-freedom/germany" TargetMode="External"/><Relationship Id="rId39" Type="http://schemas.openxmlformats.org/officeDocument/2006/relationships/hyperlink" Target="https://www.presserat.de/jahresberichte-statistiken.html" TargetMode="External"/><Relationship Id="rId21"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34" Type="http://schemas.openxmlformats.org/officeDocument/2006/relationships/hyperlink" Target="https://www.djv.de/startseite/profil/der-djv/pressebereich-download/pressemitteilungen/detail/news-sicherheit-verbessern" TargetMode="External"/><Relationship Id="rId42" Type="http://schemas.openxmlformats.org/officeDocument/2006/relationships/hyperlink" Target="https://www.kek-online.de/medienkonzentration" TargetMode="External"/><Relationship Id="rId47" Type="http://schemas.openxmlformats.org/officeDocument/2006/relationships/hyperlink" Target="https://rsf.org/en/germany" TargetMode="External"/><Relationship Id="rId50" Type="http://schemas.openxmlformats.org/officeDocument/2006/relationships/hyperlink" Target="https://www.swr.de/swraktuell/baden-wuerttemberg/karlsruhe/bettina-limperg-praesidentin-des-bghs-100.html"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ndesregierung.de/breg-de/service/gesetzgebungsverfahren-beteiligung" TargetMode="External"/><Relationship Id="rId29" Type="http://schemas.openxmlformats.org/officeDocument/2006/relationships/hyperlink" Target="https://www.ecpmf.eu/monitor/mapping-media-freedom/" TargetMode="External"/><Relationship Id="rId41" Type="http://schemas.openxmlformats.org/officeDocument/2006/relationships/hyperlink" Target="https://www.bundesverfassungsgericht.de/SharedDocs/Pressemitteilungen/EN/2020/bvg20-037.html" TargetMode="External"/><Relationship Id="rId54" Type="http://schemas.openxmlformats.org/officeDocument/2006/relationships/hyperlink" Target="https://www.unodc.org/documents/treaties/UNCAC/WorkingGroups/ImplementationReviewGroup/ExecutiveSummaries2/V2000216e.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justiz.nrw.de/JM/jumiko/beschluesse/2020/Herbstkonferenz_2020/Top-I-8-Foerderalismus-in-der-Praxis-staerken---Die-Beteiligung-der-Laender-an-Gesetzgebungsvorhaben.pdf" TargetMode="External"/><Relationship Id="rId32" Type="http://schemas.openxmlformats.org/officeDocument/2006/relationships/hyperlink" Target="https://www.deutsche-stiftung-engagement-und-ehrenamt.de/foerderung/" TargetMode="External"/><Relationship Id="rId37" Type="http://schemas.openxmlformats.org/officeDocument/2006/relationships/hyperlink" Target="https://dju.verdi.de/presse/pressemitteilungen/++co++79521560-21a6-11eb-bdd1-001a4a16012a" TargetMode="External"/><Relationship Id="rId40"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45" Type="http://schemas.openxmlformats.org/officeDocument/2006/relationships/hyperlink" Target="https://www.oecd.org/corruption/germany-oecdanti-briberyconvention.htm" TargetMode="External"/><Relationship Id="rId53"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28" Type="http://schemas.openxmlformats.org/officeDocument/2006/relationships/hyperlink" Target="https://www.drb.de/newsroom/presse-mediencenter/nachrichten-auf-einen-blick/nachricht/news/grosse-besoldungsunterschiede-zwischen-den-bundeslaendern" TargetMode="External"/><Relationship Id="rId36" Type="http://schemas.openxmlformats.org/officeDocument/2006/relationships/hyperlink" Target="https://www.djv.de/startseite/info/themen-wissen/schutzkodex-journalistinnen-vor-gewalt-und-bedrohungen-schuetzen" TargetMode="External"/><Relationship Id="rId49" Type="http://schemas.openxmlformats.org/officeDocument/2006/relationships/hyperlink" Target="https://www.hamburg.de/bjv/unsere-themen/14908648/positionspapier-zum-pakt-fuer-den-rechtsstaat/"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europeanjournalists.org/blog/2021/01/21/germany-252-attacks-against-media-workers-in-2020/" TargetMode="External"/><Relationship Id="rId44" Type="http://schemas.openxmlformats.org/officeDocument/2006/relationships/hyperlink" Target="https://www.bundesregierung.de/breg-de/bundesregierung/staatsministerin-fuer-kultur-und-medien/private-rundfunkveranstalter-1777032" TargetMode="External"/><Relationship Id="rId52" Type="http://schemas.openxmlformats.org/officeDocument/2006/relationships/hyperlink" Target="https://www.transparency.de/fileadmin/Redaktion/Aktuelles/Stellungnahmen/2018/18-09-10_Comments_and_Recommendations_UNCAC_Second_Review_Cycle.pdf"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country/germany/" TargetMode="External"/><Relationship Id="rId27" Type="http://schemas.openxmlformats.org/officeDocument/2006/relationships/hyperlink" Target="https://www.verwaltungsvorschriften-im-internet.de/bsvwvbund_30072004_O4634140151.htm" TargetMode="External"/><Relationship Id="rId30" Type="http://schemas.openxmlformats.org/officeDocument/2006/relationships/hyperlink" Target="https://ec.europa.eu/commission/presscorner/detail/el/inf_21_2743" TargetMode="External"/><Relationship Id="rId35" Type="http://schemas.openxmlformats.org/officeDocument/2006/relationships/hyperlink" Target="https://www.djv.de/suche/meldungen/news-informanten-besser-schuetzen" TargetMode="External"/><Relationship Id="rId43" Type="http://schemas.openxmlformats.org/officeDocument/2006/relationships/hyperlink" Target="https://www.lto.de/recht/justiz/j/vg-muenchen-eilantraege-neubesetzung-praesident-bmjv-bundesgerichte-richter-auswahl-erfahrung-politische-einflussnahme-bundes-finanzhof/" TargetMode="External"/><Relationship Id="rId48" Type="http://schemas.openxmlformats.org/officeDocument/2006/relationships/hyperlink" Target="https://www.reporter-ohne-grenzen.de/pressemitteilungen/meldung/verpasste-chance-fuer-die-pressefreiheit"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transparency.de/fileadmin/Redaktion/Aktuelles/Stellungnahmen/2020/Stellungnahme_Transparency_Deutschland_Lobbyregister_20-09-29.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justiz.nrw.de/JM/jumiko/beschluesse/2021/Fruehjahrskonferenz_2021/TOP-I_-1-u-I_-20---Pakt-fuer-den-Rechtsstaat.pdf" TargetMode="External"/><Relationship Id="rId33" Type="http://schemas.openxmlformats.org/officeDocument/2006/relationships/hyperlink" Target="https://dip21.bundestag.de/dip21/btd/19/259/1925940.pdf" TargetMode="External"/><Relationship Id="rId38" Type="http://schemas.openxmlformats.org/officeDocument/2006/relationships/hyperlink" Target="https://www.presserat.de/files/presserat/dokumente/download/Verhaltensgrunds&#228;tze_MedienPolizei_Entwurf_24_11_2020.pdf" TargetMode="External"/><Relationship Id="rId46" Type="http://schemas.openxmlformats.org/officeDocument/2006/relationships/hyperlink" Target="https://im.baden-wuerttemberg.de/de/service/presse-und-oeffentlichkeitsarbeit/pressemitteilung/pid/landesweite-standards-fuer-die-pressearbeit/"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050EC-3608-4113-97A0-9934F59AD345}">
  <ds:schemaRefs>
    <ds:schemaRef ds:uri="http://purl.org/dc/terms/"/>
    <ds:schemaRef ds:uri="88bf217f-49c9-4146-840d-3aa20c401dac"/>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e4fcb0-26a9-4b4f-826e-3f76808092f6"/>
    <ds:schemaRef ds:uri="http://www.w3.org/XML/1998/namespace"/>
  </ds:schemaRefs>
</ds:datastoreItem>
</file>

<file path=customXml/itemProps3.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4.xml><?xml version="1.0" encoding="utf-8"?>
<ds:datastoreItem xmlns:ds="http://schemas.openxmlformats.org/officeDocument/2006/customXml" ds:itemID="{290EF3D3-00D1-4045-97AE-4ED3FB43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9567</Words>
  <Characters>64489</Characters>
  <Application>Microsoft Office Word</Application>
  <DocSecurity>0</DocSecurity>
  <Lines>992</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69</cp:revision>
  <cp:lastPrinted>2021-07-19T20:51:00Z</cp:lastPrinted>
  <dcterms:created xsi:type="dcterms:W3CDTF">2021-07-14T18:03:00Z</dcterms:created>
  <dcterms:modified xsi:type="dcterms:W3CDTF">2021-09-14T09:46:00Z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ContentTypeId">
    <vt:lpwstr>0x0101004F8954455CC87A47ADC9993F8A21564F</vt:lpwstr>
  </property>
</Properties>
</file>