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75DB6689-577F-4C3C-BFE2-E5DE6E03BA96" style="width:450.75pt;height:334.5pt">
            <v:imagedata r:id="rId12" o:title=""/>
          </v:shape>
        </w:pict>
      </w:r>
    </w:p>
    <w:bookmarkEnd w:id="0"/>
    <w:p>
      <w:pPr>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eastAsiaTheme="minorHAnsi" w:hAnsi="Times New Roman" w:cs="Times New Roman"/>
          <w:noProof/>
          <w:color w:val="auto"/>
          <w:sz w:val="24"/>
          <w:szCs w:val="24"/>
          <w:lang w:val="en-GB"/>
        </w:rPr>
        <w:id w:val="-60795830"/>
        <w:docPartObj>
          <w:docPartGallery w:val="Table of Contents"/>
          <w:docPartUnique/>
        </w:docPartObj>
      </w:sdtPr>
      <w:sdtEndPr>
        <w:rPr>
          <w:b/>
          <w:bCs/>
        </w:rPr>
      </w:sdtEndPr>
      <w:sdtContent>
        <w:p>
          <w:pPr>
            <w:pStyle w:val="TOCHeading"/>
            <w:spacing w:before="0" w:after="240"/>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Contents</w:t>
          </w:r>
        </w:p>
        <w:p>
          <w:pPr>
            <w:pStyle w:val="TOC1"/>
            <w:tabs>
              <w:tab w:val="left" w:pos="440"/>
            </w:tabs>
            <w:rPr>
              <w:rFonts w:cstheme="minorBidi"/>
              <w:noProof/>
              <w:lang w:val="fr-BE" w:eastAsia="fr-BE"/>
            </w:rPr>
          </w:pPr>
          <w:r>
            <w:rPr>
              <w:rFonts w:ascii="Times New Roman" w:hAnsi="Times New Roman"/>
              <w:noProof/>
              <w:sz w:val="24"/>
              <w:szCs w:val="24"/>
              <w:lang w:val="en-GB"/>
            </w:rPr>
            <w:fldChar w:fldCharType="begin"/>
          </w:r>
          <w:r>
            <w:rPr>
              <w:rFonts w:ascii="Times New Roman" w:hAnsi="Times New Roman"/>
              <w:noProof/>
              <w:sz w:val="24"/>
              <w:szCs w:val="24"/>
              <w:lang w:val="en-GB"/>
            </w:rPr>
            <w:instrText xml:space="preserve"> TOC \o "1-3" \h \z \u </w:instrText>
          </w:r>
          <w:r>
            <w:rPr>
              <w:rFonts w:ascii="Times New Roman" w:hAnsi="Times New Roman"/>
              <w:noProof/>
              <w:sz w:val="24"/>
              <w:szCs w:val="24"/>
              <w:lang w:val="en-GB"/>
            </w:rPr>
            <w:fldChar w:fldCharType="separate"/>
          </w:r>
          <w:hyperlink w:anchor="_Toc58506565" w:history="1">
            <w:r>
              <w:rPr>
                <w:rStyle w:val="Hyperlink"/>
                <w:rFonts w:ascii="Times New Roman" w:hAnsi="Times New Roman"/>
                <w:b/>
                <w:smallCaps/>
                <w:noProof/>
              </w:rPr>
              <w:t xml:space="preserve">1. </w:t>
            </w:r>
            <w:r>
              <w:rPr>
                <w:rFonts w:cstheme="minorBidi"/>
                <w:noProof/>
                <w:lang w:val="fr-BE" w:eastAsia="fr-BE"/>
              </w:rPr>
              <w:tab/>
            </w:r>
            <w:r>
              <w:rPr>
                <w:rStyle w:val="Hyperlink"/>
                <w:rFonts w:ascii="Times New Roman" w:hAnsi="Times New Roman"/>
                <w:b/>
                <w:smallCaps/>
                <w:noProof/>
              </w:rPr>
              <w:t>Introduction</w:t>
            </w:r>
            <w:r>
              <w:rPr>
                <w:noProof/>
                <w:webHidden/>
              </w:rPr>
              <w:tab/>
            </w:r>
            <w:r>
              <w:rPr>
                <w:noProof/>
                <w:webHidden/>
              </w:rPr>
              <w:fldChar w:fldCharType="begin"/>
            </w:r>
            <w:r>
              <w:rPr>
                <w:noProof/>
                <w:webHidden/>
              </w:rPr>
              <w:instrText xml:space="preserve"> PAGEREF _Toc58506565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s>
            <w:rPr>
              <w:rFonts w:asciiTheme="minorHAnsi" w:hAnsiTheme="minorHAnsi" w:cstheme="minorBidi"/>
              <w:noProof/>
              <w:lang w:val="fr-BE" w:eastAsia="fr-BE"/>
            </w:rPr>
          </w:pPr>
          <w:hyperlink w:anchor="_Toc58506566" w:history="1">
            <w:r>
              <w:rPr>
                <w:rStyle w:val="Hyperlink"/>
                <w:rFonts w:eastAsia="Times New Roman"/>
                <w:b/>
                <w:noProof/>
              </w:rPr>
              <w:t xml:space="preserve">1.1. </w:t>
            </w:r>
            <w:r>
              <w:rPr>
                <w:rFonts w:asciiTheme="minorHAnsi" w:hAnsiTheme="minorHAnsi" w:cstheme="minorBidi"/>
                <w:noProof/>
                <w:lang w:val="fr-BE" w:eastAsia="fr-BE"/>
              </w:rPr>
              <w:tab/>
            </w:r>
            <w:r>
              <w:rPr>
                <w:rStyle w:val="Hyperlink"/>
                <w:rFonts w:eastAsia="Times New Roman"/>
                <w:b/>
                <w:noProof/>
              </w:rPr>
              <w:t>Context</w:t>
            </w:r>
            <w:r>
              <w:rPr>
                <w:noProof/>
                <w:webHidden/>
              </w:rPr>
              <w:tab/>
            </w:r>
            <w:r>
              <w:rPr>
                <w:noProof/>
                <w:webHidden/>
              </w:rPr>
              <w:fldChar w:fldCharType="begin"/>
            </w:r>
            <w:r>
              <w:rPr>
                <w:noProof/>
                <w:webHidden/>
              </w:rPr>
              <w:instrText xml:space="preserve"> PAGEREF _Toc58506566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s>
            <w:rPr>
              <w:rFonts w:asciiTheme="minorHAnsi" w:hAnsiTheme="minorHAnsi" w:cstheme="minorBidi"/>
              <w:noProof/>
              <w:lang w:val="fr-BE" w:eastAsia="fr-BE"/>
            </w:rPr>
          </w:pPr>
          <w:hyperlink w:anchor="_Toc58506567" w:history="1">
            <w:r>
              <w:rPr>
                <w:rStyle w:val="Hyperlink"/>
                <w:rFonts w:eastAsia="Times New Roman"/>
                <w:b/>
                <w:noProof/>
              </w:rPr>
              <w:t xml:space="preserve">1.2. </w:t>
            </w:r>
            <w:r>
              <w:rPr>
                <w:rFonts w:asciiTheme="minorHAnsi" w:hAnsiTheme="minorHAnsi" w:cstheme="minorBidi"/>
                <w:noProof/>
                <w:lang w:val="fr-BE" w:eastAsia="fr-BE"/>
              </w:rPr>
              <w:tab/>
            </w:r>
            <w:r>
              <w:rPr>
                <w:rStyle w:val="Hyperlink"/>
                <w:rFonts w:eastAsia="Times New Roman"/>
                <w:b/>
                <w:noProof/>
              </w:rPr>
              <w:t>The 2014 policy reform</w:t>
            </w:r>
            <w:r>
              <w:rPr>
                <w:noProof/>
                <w:webHidden/>
              </w:rPr>
              <w:tab/>
            </w:r>
            <w:r>
              <w:rPr>
                <w:noProof/>
                <w:webHidden/>
              </w:rPr>
              <w:fldChar w:fldCharType="begin"/>
            </w:r>
            <w:r>
              <w:rPr>
                <w:noProof/>
                <w:webHidden/>
              </w:rPr>
              <w:instrText xml:space="preserve"> PAGEREF _Toc58506567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s>
            <w:rPr>
              <w:rFonts w:asciiTheme="minorHAnsi" w:hAnsiTheme="minorHAnsi" w:cstheme="minorBidi"/>
              <w:noProof/>
              <w:lang w:val="fr-BE" w:eastAsia="fr-BE"/>
            </w:rPr>
          </w:pPr>
          <w:hyperlink w:anchor="_Toc58506568" w:history="1">
            <w:r>
              <w:rPr>
                <w:rStyle w:val="Hyperlink"/>
                <w:rFonts w:eastAsia="Times New Roman"/>
                <w:b/>
                <w:noProof/>
              </w:rPr>
              <w:t xml:space="preserve">1.3. </w:t>
            </w:r>
            <w:r>
              <w:rPr>
                <w:rFonts w:asciiTheme="minorHAnsi" w:hAnsiTheme="minorHAnsi" w:cstheme="minorBidi"/>
                <w:noProof/>
                <w:lang w:val="fr-BE" w:eastAsia="fr-BE"/>
              </w:rPr>
              <w:tab/>
            </w:r>
            <w:r>
              <w:rPr>
                <w:rStyle w:val="Hyperlink"/>
                <w:rFonts w:eastAsia="Times New Roman"/>
                <w:b/>
                <w:noProof/>
              </w:rPr>
              <w:t>Enhancing the contribution of promotion policy to the EU’s overarching objectives</w:t>
            </w:r>
            <w:r>
              <w:rPr>
                <w:noProof/>
                <w:webHidden/>
              </w:rPr>
              <w:tab/>
            </w:r>
            <w:r>
              <w:rPr>
                <w:noProof/>
                <w:webHidden/>
              </w:rPr>
              <w:fldChar w:fldCharType="begin"/>
            </w:r>
            <w:r>
              <w:rPr>
                <w:noProof/>
                <w:webHidden/>
              </w:rPr>
              <w:instrText xml:space="preserve"> PAGEREF _Toc58506568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s>
            <w:rPr>
              <w:rFonts w:cstheme="minorBidi"/>
              <w:noProof/>
              <w:lang w:val="fr-BE" w:eastAsia="fr-BE"/>
            </w:rPr>
          </w:pPr>
          <w:hyperlink w:anchor="_Toc58506569" w:history="1">
            <w:r>
              <w:rPr>
                <w:rStyle w:val="Hyperlink"/>
                <w:rFonts w:ascii="Times New Roman" w:hAnsi="Times New Roman"/>
                <w:b/>
                <w:smallCaps/>
                <w:noProof/>
              </w:rPr>
              <w:t xml:space="preserve">2. </w:t>
            </w:r>
            <w:r>
              <w:rPr>
                <w:rFonts w:cstheme="minorBidi"/>
                <w:noProof/>
                <w:lang w:val="fr-BE" w:eastAsia="fr-BE"/>
              </w:rPr>
              <w:tab/>
            </w:r>
            <w:r>
              <w:rPr>
                <w:rStyle w:val="Hyperlink"/>
                <w:rFonts w:ascii="Times New Roman" w:hAnsi="Times New Roman"/>
                <w:b/>
                <w:smallCaps/>
                <w:noProof/>
              </w:rPr>
              <w:t>Implementation of promotion policy in 2016-2019</w:t>
            </w:r>
            <w:r>
              <w:rPr>
                <w:noProof/>
                <w:webHidden/>
              </w:rPr>
              <w:tab/>
            </w:r>
            <w:r>
              <w:rPr>
                <w:noProof/>
                <w:webHidden/>
              </w:rPr>
              <w:fldChar w:fldCharType="begin"/>
            </w:r>
            <w:r>
              <w:rPr>
                <w:noProof/>
                <w:webHidden/>
              </w:rPr>
              <w:instrText xml:space="preserve"> PAGEREF _Toc58506569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s>
            <w:rPr>
              <w:rFonts w:asciiTheme="minorHAnsi" w:hAnsiTheme="minorHAnsi" w:cstheme="minorBidi"/>
              <w:noProof/>
              <w:lang w:val="fr-BE" w:eastAsia="fr-BE"/>
            </w:rPr>
          </w:pPr>
          <w:hyperlink w:anchor="_Toc58506570" w:history="1">
            <w:r>
              <w:rPr>
                <w:rStyle w:val="Hyperlink"/>
                <w:rFonts w:eastAsia="Times New Roman"/>
                <w:b/>
                <w:noProof/>
              </w:rPr>
              <w:t xml:space="preserve">2.1. </w:t>
            </w:r>
            <w:r>
              <w:rPr>
                <w:rFonts w:asciiTheme="minorHAnsi" w:hAnsiTheme="minorHAnsi" w:cstheme="minorBidi"/>
                <w:noProof/>
                <w:lang w:val="fr-BE" w:eastAsia="fr-BE"/>
              </w:rPr>
              <w:tab/>
            </w:r>
            <w:r>
              <w:rPr>
                <w:rStyle w:val="Hyperlink"/>
                <w:rFonts w:eastAsia="Times New Roman"/>
                <w:b/>
                <w:noProof/>
              </w:rPr>
              <w:t>Annual work programmes</w:t>
            </w:r>
            <w:r>
              <w:rPr>
                <w:noProof/>
                <w:webHidden/>
              </w:rPr>
              <w:tab/>
            </w:r>
            <w:r>
              <w:rPr>
                <w:noProof/>
                <w:webHidden/>
              </w:rPr>
              <w:fldChar w:fldCharType="begin"/>
            </w:r>
            <w:r>
              <w:rPr>
                <w:noProof/>
                <w:webHidden/>
              </w:rPr>
              <w:instrText xml:space="preserve"> PAGEREF _Toc58506570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s>
            <w:rPr>
              <w:rFonts w:asciiTheme="minorHAnsi" w:hAnsiTheme="minorHAnsi" w:cstheme="minorBidi"/>
              <w:noProof/>
              <w:lang w:val="fr-BE" w:eastAsia="fr-BE"/>
            </w:rPr>
          </w:pPr>
          <w:hyperlink w:anchor="_Toc58506571" w:history="1">
            <w:r>
              <w:rPr>
                <w:rStyle w:val="Hyperlink"/>
                <w:rFonts w:eastAsia="Times New Roman"/>
                <w:b/>
                <w:noProof/>
              </w:rPr>
              <w:t xml:space="preserve">2.2. </w:t>
            </w:r>
            <w:r>
              <w:rPr>
                <w:rFonts w:asciiTheme="minorHAnsi" w:hAnsiTheme="minorHAnsi" w:cstheme="minorBidi"/>
                <w:noProof/>
                <w:lang w:val="fr-BE" w:eastAsia="fr-BE"/>
              </w:rPr>
              <w:tab/>
            </w:r>
            <w:r>
              <w:rPr>
                <w:rStyle w:val="Hyperlink"/>
                <w:rFonts w:eastAsia="Times New Roman"/>
                <w:b/>
                <w:noProof/>
              </w:rPr>
              <w:t>Types of programme</w:t>
            </w:r>
            <w:r>
              <w:rPr>
                <w:noProof/>
                <w:webHidden/>
              </w:rPr>
              <w:tab/>
            </w:r>
            <w:r>
              <w:rPr>
                <w:noProof/>
                <w:webHidden/>
              </w:rPr>
              <w:fldChar w:fldCharType="begin"/>
            </w:r>
            <w:r>
              <w:rPr>
                <w:noProof/>
                <w:webHidden/>
              </w:rPr>
              <w:instrText xml:space="preserve"> PAGEREF _Toc58506571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s>
            <w:rPr>
              <w:rFonts w:asciiTheme="minorHAnsi" w:hAnsiTheme="minorHAnsi" w:cstheme="minorBidi"/>
              <w:noProof/>
              <w:lang w:val="fr-BE" w:eastAsia="fr-BE"/>
            </w:rPr>
          </w:pPr>
          <w:hyperlink w:anchor="_Toc58506572" w:history="1">
            <w:r>
              <w:rPr>
                <w:rStyle w:val="Hyperlink"/>
                <w:rFonts w:eastAsia="Times New Roman"/>
                <w:b/>
                <w:noProof/>
              </w:rPr>
              <w:t>2.3.</w:t>
            </w:r>
            <w:r>
              <w:rPr>
                <w:rFonts w:asciiTheme="minorHAnsi" w:hAnsiTheme="minorHAnsi" w:cstheme="minorBidi"/>
                <w:noProof/>
                <w:lang w:val="fr-BE" w:eastAsia="fr-BE"/>
              </w:rPr>
              <w:tab/>
            </w:r>
            <w:r>
              <w:rPr>
                <w:rStyle w:val="Hyperlink"/>
                <w:rFonts w:eastAsia="Times New Roman"/>
                <w:b/>
                <w:noProof/>
              </w:rPr>
              <w:t>Programme submission and selection – statistical breakdown</w:t>
            </w:r>
            <w:r>
              <w:rPr>
                <w:noProof/>
                <w:webHidden/>
              </w:rPr>
              <w:tab/>
            </w:r>
            <w:r>
              <w:rPr>
                <w:noProof/>
                <w:webHidden/>
              </w:rPr>
              <w:fldChar w:fldCharType="begin"/>
            </w:r>
            <w:r>
              <w:rPr>
                <w:noProof/>
                <w:webHidden/>
              </w:rPr>
              <w:instrText xml:space="preserve"> PAGEREF _Toc58506572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s>
            <w:rPr>
              <w:rFonts w:asciiTheme="minorHAnsi" w:hAnsiTheme="minorHAnsi" w:cstheme="minorBidi"/>
              <w:noProof/>
              <w:lang w:val="fr-BE" w:eastAsia="fr-BE"/>
            </w:rPr>
          </w:pPr>
          <w:hyperlink w:anchor="_Toc58506573" w:history="1">
            <w:r>
              <w:rPr>
                <w:rStyle w:val="Hyperlink"/>
                <w:rFonts w:eastAsia="Times New Roman"/>
                <w:b/>
                <w:noProof/>
              </w:rPr>
              <w:t xml:space="preserve">2.4. </w:t>
            </w:r>
            <w:r>
              <w:rPr>
                <w:rFonts w:asciiTheme="minorHAnsi" w:hAnsiTheme="minorHAnsi" w:cstheme="minorBidi"/>
                <w:noProof/>
                <w:lang w:val="fr-BE" w:eastAsia="fr-BE"/>
              </w:rPr>
              <w:tab/>
            </w:r>
            <w:r>
              <w:rPr>
                <w:rStyle w:val="Hyperlink"/>
                <w:rFonts w:eastAsia="Times New Roman"/>
                <w:b/>
                <w:noProof/>
              </w:rPr>
              <w:t>Commission own</w:t>
            </w:r>
            <w:r>
              <w:rPr>
                <w:rStyle w:val="Hyperlink"/>
                <w:rFonts w:eastAsia="Times New Roman"/>
                <w:b/>
                <w:noProof/>
              </w:rPr>
              <w:noBreakHyphen/>
              <w:t>initiative measures</w:t>
            </w:r>
            <w:r>
              <w:rPr>
                <w:noProof/>
                <w:webHidden/>
              </w:rPr>
              <w:tab/>
            </w:r>
            <w:r>
              <w:rPr>
                <w:noProof/>
                <w:webHidden/>
              </w:rPr>
              <w:fldChar w:fldCharType="begin"/>
            </w:r>
            <w:r>
              <w:rPr>
                <w:noProof/>
                <w:webHidden/>
              </w:rPr>
              <w:instrText xml:space="preserve"> PAGEREF _Toc58506573 \h </w:instrText>
            </w:r>
            <w:r>
              <w:rPr>
                <w:noProof/>
                <w:webHidden/>
              </w:rPr>
            </w:r>
            <w:r>
              <w:rPr>
                <w:noProof/>
                <w:webHidden/>
              </w:rPr>
              <w:fldChar w:fldCharType="separate"/>
            </w:r>
            <w:r>
              <w:rPr>
                <w:noProof/>
                <w:webHidden/>
              </w:rPr>
              <w:t>9</w:t>
            </w:r>
            <w:r>
              <w:rPr>
                <w:noProof/>
                <w:webHidden/>
              </w:rPr>
              <w:fldChar w:fldCharType="end"/>
            </w:r>
          </w:hyperlink>
        </w:p>
        <w:p>
          <w:pPr>
            <w:pStyle w:val="TOC1"/>
            <w:tabs>
              <w:tab w:val="left" w:pos="440"/>
            </w:tabs>
            <w:rPr>
              <w:rFonts w:cstheme="minorBidi"/>
              <w:noProof/>
              <w:lang w:val="fr-BE" w:eastAsia="fr-BE"/>
            </w:rPr>
          </w:pPr>
          <w:hyperlink w:anchor="_Toc58506574" w:history="1">
            <w:r>
              <w:rPr>
                <w:rStyle w:val="Hyperlink"/>
                <w:rFonts w:ascii="Times New Roman" w:eastAsia="Times New Roman" w:hAnsi="Times New Roman"/>
                <w:b/>
                <w:smallCaps/>
                <w:noProof/>
              </w:rPr>
              <w:t xml:space="preserve">3. </w:t>
            </w:r>
            <w:r>
              <w:rPr>
                <w:rFonts w:cstheme="minorBidi"/>
                <w:noProof/>
                <w:lang w:val="fr-BE" w:eastAsia="fr-BE"/>
              </w:rPr>
              <w:tab/>
            </w:r>
            <w:r>
              <w:rPr>
                <w:rStyle w:val="Hyperlink"/>
                <w:rFonts w:ascii="Times New Roman" w:eastAsia="Times New Roman" w:hAnsi="Times New Roman"/>
                <w:b/>
                <w:smallCaps/>
                <w:noProof/>
              </w:rPr>
              <w:t>Recommendations</w:t>
            </w:r>
            <w:r>
              <w:rPr>
                <w:noProof/>
                <w:webHidden/>
              </w:rPr>
              <w:tab/>
            </w:r>
            <w:r>
              <w:rPr>
                <w:noProof/>
                <w:webHidden/>
              </w:rPr>
              <w:fldChar w:fldCharType="begin"/>
            </w:r>
            <w:r>
              <w:rPr>
                <w:noProof/>
                <w:webHidden/>
              </w:rPr>
              <w:instrText xml:space="preserve"> PAGEREF _Toc58506574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s>
            <w:rPr>
              <w:rFonts w:asciiTheme="minorHAnsi" w:hAnsiTheme="minorHAnsi" w:cstheme="minorBidi"/>
              <w:noProof/>
              <w:lang w:val="fr-BE" w:eastAsia="fr-BE"/>
            </w:rPr>
          </w:pPr>
          <w:hyperlink w:anchor="_Toc58506575" w:history="1">
            <w:r>
              <w:rPr>
                <w:rStyle w:val="Hyperlink"/>
                <w:rFonts w:eastAsia="Times New Roman"/>
                <w:b/>
                <w:noProof/>
              </w:rPr>
              <w:t xml:space="preserve">3.1. </w:t>
            </w:r>
            <w:r>
              <w:rPr>
                <w:rFonts w:asciiTheme="minorHAnsi" w:hAnsiTheme="minorHAnsi" w:cstheme="minorBidi"/>
                <w:noProof/>
                <w:lang w:val="fr-BE" w:eastAsia="fr-BE"/>
              </w:rPr>
              <w:tab/>
            </w:r>
            <w:r>
              <w:rPr>
                <w:rStyle w:val="Hyperlink"/>
                <w:rFonts w:eastAsia="Times New Roman"/>
                <w:b/>
                <w:noProof/>
              </w:rPr>
              <w:t>Effectiveness</w:t>
            </w:r>
            <w:r>
              <w:rPr>
                <w:noProof/>
                <w:webHidden/>
              </w:rPr>
              <w:tab/>
            </w:r>
            <w:r>
              <w:rPr>
                <w:noProof/>
                <w:webHidden/>
              </w:rPr>
              <w:fldChar w:fldCharType="begin"/>
            </w:r>
            <w:r>
              <w:rPr>
                <w:noProof/>
                <w:webHidden/>
              </w:rPr>
              <w:instrText xml:space="preserve"> PAGEREF _Toc58506575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s>
            <w:rPr>
              <w:rFonts w:asciiTheme="minorHAnsi" w:hAnsiTheme="minorHAnsi" w:cstheme="minorBidi"/>
              <w:noProof/>
              <w:lang w:val="fr-BE" w:eastAsia="fr-BE"/>
            </w:rPr>
          </w:pPr>
          <w:hyperlink w:anchor="_Toc58506576" w:history="1">
            <w:r>
              <w:rPr>
                <w:rStyle w:val="Hyperlink"/>
                <w:rFonts w:eastAsia="Times New Roman"/>
                <w:b/>
                <w:noProof/>
              </w:rPr>
              <w:t xml:space="preserve">3.2. </w:t>
            </w:r>
            <w:r>
              <w:rPr>
                <w:rFonts w:asciiTheme="minorHAnsi" w:hAnsiTheme="minorHAnsi" w:cstheme="minorBidi"/>
                <w:noProof/>
                <w:lang w:val="fr-BE" w:eastAsia="fr-BE"/>
              </w:rPr>
              <w:tab/>
            </w:r>
            <w:r>
              <w:rPr>
                <w:rStyle w:val="Hyperlink"/>
                <w:rFonts w:eastAsia="Times New Roman"/>
                <w:b/>
                <w:noProof/>
              </w:rPr>
              <w:t>Efficiency</w:t>
            </w:r>
            <w:r>
              <w:rPr>
                <w:noProof/>
                <w:webHidden/>
              </w:rPr>
              <w:tab/>
            </w:r>
            <w:r>
              <w:rPr>
                <w:noProof/>
                <w:webHidden/>
              </w:rPr>
              <w:fldChar w:fldCharType="begin"/>
            </w:r>
            <w:r>
              <w:rPr>
                <w:noProof/>
                <w:webHidden/>
              </w:rPr>
              <w:instrText xml:space="preserve"> PAGEREF _Toc58506576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s>
            <w:rPr>
              <w:rFonts w:asciiTheme="minorHAnsi" w:hAnsiTheme="minorHAnsi" w:cstheme="minorBidi"/>
              <w:noProof/>
              <w:lang w:val="fr-BE" w:eastAsia="fr-BE"/>
            </w:rPr>
          </w:pPr>
          <w:hyperlink w:anchor="_Toc58506577" w:history="1">
            <w:r>
              <w:rPr>
                <w:rStyle w:val="Hyperlink"/>
                <w:rFonts w:eastAsia="Times New Roman"/>
                <w:b/>
                <w:noProof/>
              </w:rPr>
              <w:t xml:space="preserve">3.3. </w:t>
            </w:r>
            <w:r>
              <w:rPr>
                <w:rFonts w:asciiTheme="minorHAnsi" w:hAnsiTheme="minorHAnsi" w:cstheme="minorBidi"/>
                <w:noProof/>
                <w:lang w:val="fr-BE" w:eastAsia="fr-BE"/>
              </w:rPr>
              <w:tab/>
            </w:r>
            <w:r>
              <w:rPr>
                <w:rStyle w:val="Hyperlink"/>
                <w:rFonts w:eastAsia="Times New Roman"/>
                <w:b/>
                <w:noProof/>
              </w:rPr>
              <w:t>Relevance</w:t>
            </w:r>
            <w:r>
              <w:rPr>
                <w:noProof/>
                <w:webHidden/>
              </w:rPr>
              <w:tab/>
            </w:r>
            <w:r>
              <w:rPr>
                <w:noProof/>
                <w:webHidden/>
              </w:rPr>
              <w:fldChar w:fldCharType="begin"/>
            </w:r>
            <w:r>
              <w:rPr>
                <w:noProof/>
                <w:webHidden/>
              </w:rPr>
              <w:instrText xml:space="preserve"> PAGEREF _Toc58506577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s>
            <w:rPr>
              <w:rFonts w:asciiTheme="minorHAnsi" w:hAnsiTheme="minorHAnsi" w:cstheme="minorBidi"/>
              <w:noProof/>
              <w:lang w:val="fr-BE" w:eastAsia="fr-BE"/>
            </w:rPr>
          </w:pPr>
          <w:hyperlink w:anchor="_Toc58506578" w:history="1">
            <w:r>
              <w:rPr>
                <w:rStyle w:val="Hyperlink"/>
                <w:rFonts w:eastAsia="Times New Roman"/>
                <w:b/>
                <w:noProof/>
              </w:rPr>
              <w:t xml:space="preserve">3.4. </w:t>
            </w:r>
            <w:r>
              <w:rPr>
                <w:rFonts w:asciiTheme="minorHAnsi" w:hAnsiTheme="minorHAnsi" w:cstheme="minorBidi"/>
                <w:noProof/>
                <w:lang w:val="fr-BE" w:eastAsia="fr-BE"/>
              </w:rPr>
              <w:tab/>
            </w:r>
            <w:r>
              <w:rPr>
                <w:rStyle w:val="Hyperlink"/>
                <w:rFonts w:eastAsia="Times New Roman"/>
                <w:b/>
                <w:noProof/>
              </w:rPr>
              <w:t>Coherence</w:t>
            </w:r>
            <w:r>
              <w:rPr>
                <w:noProof/>
                <w:webHidden/>
              </w:rPr>
              <w:tab/>
            </w:r>
            <w:r>
              <w:rPr>
                <w:noProof/>
                <w:webHidden/>
              </w:rPr>
              <w:fldChar w:fldCharType="begin"/>
            </w:r>
            <w:r>
              <w:rPr>
                <w:noProof/>
                <w:webHidden/>
              </w:rPr>
              <w:instrText xml:space="preserve"> PAGEREF _Toc58506578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s>
            <w:rPr>
              <w:rFonts w:asciiTheme="minorHAnsi" w:hAnsiTheme="minorHAnsi" w:cstheme="minorBidi"/>
              <w:noProof/>
              <w:lang w:val="fr-BE" w:eastAsia="fr-BE"/>
            </w:rPr>
          </w:pPr>
          <w:hyperlink w:anchor="_Toc58506579" w:history="1">
            <w:r>
              <w:rPr>
                <w:rStyle w:val="Hyperlink"/>
                <w:rFonts w:eastAsia="Times New Roman"/>
                <w:b/>
                <w:noProof/>
              </w:rPr>
              <w:t xml:space="preserve">3.5. </w:t>
            </w:r>
            <w:r>
              <w:rPr>
                <w:rFonts w:asciiTheme="minorHAnsi" w:hAnsiTheme="minorHAnsi" w:cstheme="minorBidi"/>
                <w:noProof/>
                <w:lang w:val="fr-BE" w:eastAsia="fr-BE"/>
              </w:rPr>
              <w:tab/>
            </w:r>
            <w:r>
              <w:rPr>
                <w:rStyle w:val="Hyperlink"/>
                <w:rFonts w:eastAsia="Times New Roman"/>
                <w:b/>
                <w:noProof/>
              </w:rPr>
              <w:t>EU added value</w:t>
            </w:r>
            <w:r>
              <w:rPr>
                <w:noProof/>
                <w:webHidden/>
              </w:rPr>
              <w:tab/>
            </w:r>
            <w:r>
              <w:rPr>
                <w:noProof/>
                <w:webHidden/>
              </w:rPr>
              <w:fldChar w:fldCharType="begin"/>
            </w:r>
            <w:r>
              <w:rPr>
                <w:noProof/>
                <w:webHidden/>
              </w:rPr>
              <w:instrText xml:space="preserve"> PAGEREF _Toc58506579 \h </w:instrText>
            </w:r>
            <w:r>
              <w:rPr>
                <w:noProof/>
                <w:webHidden/>
              </w:rPr>
            </w:r>
            <w:r>
              <w:rPr>
                <w:noProof/>
                <w:webHidden/>
              </w:rPr>
              <w:fldChar w:fldCharType="separate"/>
            </w:r>
            <w:r>
              <w:rPr>
                <w:noProof/>
                <w:webHidden/>
              </w:rPr>
              <w:t>12</w:t>
            </w:r>
            <w:r>
              <w:rPr>
                <w:noProof/>
                <w:webHidden/>
              </w:rPr>
              <w:fldChar w:fldCharType="end"/>
            </w:r>
          </w:hyperlink>
        </w:p>
        <w:p>
          <w:pPr>
            <w:rPr>
              <w:rFonts w:ascii="Times New Roman" w:hAnsi="Times New Roman" w:cs="Times New Roman"/>
              <w:b/>
              <w:bCs/>
              <w:noProof/>
              <w:sz w:val="24"/>
              <w:szCs w:val="24"/>
            </w:rPr>
          </w:pPr>
          <w:r>
            <w:rPr>
              <w:rFonts w:ascii="Times New Roman" w:hAnsi="Times New Roman" w:cs="Times New Roman"/>
              <w:b/>
              <w:bCs/>
              <w:noProof/>
              <w:sz w:val="24"/>
              <w:szCs w:val="24"/>
            </w:rPr>
            <w:fldChar w:fldCharType="end"/>
          </w:r>
        </w:p>
      </w:sdtContent>
    </w:sdt>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spacing w:after="240"/>
        <w:ind w:left="567" w:hanging="567"/>
        <w:outlineLvl w:val="0"/>
        <w:rPr>
          <w:rFonts w:ascii="Times New Roman" w:hAnsi="Times New Roman" w:cs="Times New Roman"/>
          <w:b/>
          <w:smallCaps/>
          <w:noProof/>
          <w:sz w:val="24"/>
          <w:szCs w:val="24"/>
        </w:rPr>
      </w:pPr>
      <w:bookmarkStart w:id="2" w:name="_Toc58506565"/>
      <w:r>
        <w:rPr>
          <w:rFonts w:ascii="Times New Roman" w:hAnsi="Times New Roman" w:cs="Times New Roman"/>
          <w:b/>
          <w:smallCaps/>
          <w:noProof/>
          <w:sz w:val="24"/>
          <w:szCs w:val="24"/>
        </w:rPr>
        <w:lastRenderedPageBreak/>
        <w:t xml:space="preserve">1. </w:t>
      </w:r>
      <w:r>
        <w:rPr>
          <w:rFonts w:ascii="Times New Roman" w:hAnsi="Times New Roman" w:cs="Times New Roman"/>
          <w:b/>
          <w:smallCaps/>
          <w:noProof/>
          <w:sz w:val="24"/>
          <w:szCs w:val="24"/>
        </w:rPr>
        <w:tab/>
        <w:t>Introduction</w:t>
      </w:r>
      <w:bookmarkEnd w:id="2"/>
    </w:p>
    <w:p>
      <w:pPr>
        <w:pStyle w:val="Heading2"/>
        <w:spacing w:before="0" w:after="240"/>
        <w:ind w:left="567" w:hanging="567"/>
        <w:rPr>
          <w:rFonts w:ascii="Times New Roman" w:eastAsia="Times New Roman" w:hAnsi="Times New Roman" w:cs="Times New Roman"/>
          <w:b/>
          <w:noProof/>
          <w:color w:val="000000" w:themeColor="text1"/>
          <w:sz w:val="24"/>
          <w:szCs w:val="24"/>
        </w:rPr>
      </w:pPr>
      <w:bookmarkStart w:id="3" w:name="_Toc58506566"/>
      <w:r>
        <w:rPr>
          <w:rFonts w:ascii="Times New Roman" w:eastAsia="Times New Roman" w:hAnsi="Times New Roman" w:cs="Times New Roman"/>
          <w:b/>
          <w:noProof/>
          <w:color w:val="000000" w:themeColor="text1"/>
          <w:sz w:val="24"/>
          <w:szCs w:val="24"/>
        </w:rPr>
        <w:t xml:space="preserve">1.1. </w:t>
      </w:r>
      <w:r>
        <w:rPr>
          <w:rFonts w:ascii="Times New Roman" w:eastAsia="Times New Roman" w:hAnsi="Times New Roman" w:cs="Times New Roman"/>
          <w:b/>
          <w:noProof/>
          <w:color w:val="000000" w:themeColor="text1"/>
          <w:sz w:val="24"/>
          <w:szCs w:val="24"/>
        </w:rPr>
        <w:tab/>
        <w:t>Context</w:t>
      </w:r>
      <w:bookmarkEnd w:id="3"/>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report concerns the implementation of measures under Regulation (EU) No 1144/2014</w:t>
      </w:r>
      <w:r>
        <w:rPr>
          <w:rStyle w:val="FootnoteReference"/>
          <w:rFonts w:ascii="Times New Roman" w:eastAsia="Times New Roman" w:hAnsi="Times New Roman" w:cs="Times New Roman"/>
          <w:noProof/>
          <w:sz w:val="24"/>
          <w:szCs w:val="24"/>
        </w:rPr>
        <w:footnoteReference w:id="2"/>
      </w:r>
      <w:r>
        <w:rPr>
          <w:rFonts w:ascii="Times New Roman" w:eastAsia="Times New Roman" w:hAnsi="Times New Roman" w:cs="Times New Roman"/>
          <w:noProof/>
          <w:sz w:val="24"/>
          <w:szCs w:val="24"/>
        </w:rPr>
        <w:t xml:space="preserve"> to provide information on and promote EU agricultural products. Article 26(2) of the Regulation requires the Commission to submit a report on its application, together with any follow</w:t>
      </w:r>
      <w:r>
        <w:rPr>
          <w:rFonts w:ascii="Times New Roman" w:eastAsia="Times New Roman" w:hAnsi="Times New Roman" w:cs="Times New Roman"/>
          <w:noProof/>
          <w:sz w:val="24"/>
          <w:szCs w:val="24"/>
        </w:rPr>
        <w:noBreakHyphen/>
        <w:t>up proposals, to the European Parliament and the Council by 31 December 2020.</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report follows an evaluation</w:t>
      </w:r>
      <w:r>
        <w:rPr>
          <w:rStyle w:val="FootnoteReference"/>
          <w:noProof/>
        </w:rPr>
        <w:footnoteReference w:id="3"/>
      </w:r>
      <w:r>
        <w:rPr>
          <w:rFonts w:ascii="Times New Roman" w:eastAsia="Times New Roman" w:hAnsi="Times New Roman" w:cs="Times New Roman"/>
          <w:noProof/>
          <w:sz w:val="24"/>
          <w:szCs w:val="24"/>
        </w:rPr>
        <w:t xml:space="preserve"> of </w:t>
      </w:r>
      <w:r>
        <w:rPr>
          <w:rFonts w:ascii="Times New Roman" w:hAnsi="Times New Roman" w:cs="Times New Roman"/>
          <w:noProof/>
          <w:sz w:val="24"/>
          <w:szCs w:val="24"/>
          <w:lang w:eastAsia="en-GB"/>
        </w:rPr>
        <w:t>the implementation of EU agricultural promotion policy between 2016 and early 2020</w:t>
      </w:r>
      <w:r>
        <w:rPr>
          <w:rFonts w:ascii="Times New Roman" w:eastAsia="Times New Roman" w:hAnsi="Times New Roman" w:cs="Times New Roman"/>
          <w:noProof/>
          <w:sz w:val="24"/>
          <w:szCs w:val="24"/>
        </w:rPr>
        <w:t xml:space="preserve">, with respect to its effectiveness, efficiency, relevance, coherence and EU added value. The report draws on the findings of the Special Eurobarometer on </w:t>
      </w:r>
      <w:r>
        <w:rPr>
          <w:rFonts w:ascii="Times New Roman" w:eastAsia="Times New Roman" w:hAnsi="Times New Roman" w:cs="Times New Roman"/>
          <w:i/>
          <w:noProof/>
          <w:sz w:val="24"/>
          <w:szCs w:val="24"/>
        </w:rPr>
        <w:t>Europeans, agriculture and the CAP</w:t>
      </w:r>
      <w:r>
        <w:rPr>
          <w:rStyle w:val="FootnoteReference"/>
          <w:rFonts w:ascii="Times New Roman" w:hAnsi="Times New Roman" w:cs="Times New Roman"/>
          <w:noProof/>
          <w:sz w:val="24"/>
          <w:szCs w:val="24"/>
        </w:rPr>
        <w:footnoteReference w:id="4"/>
      </w:r>
      <w:r>
        <w:rPr>
          <w:rFonts w:ascii="Times New Roman" w:eastAsia="Times New Roman" w:hAnsi="Times New Roman" w:cs="Times New Roman"/>
          <w:noProof/>
          <w:sz w:val="24"/>
          <w:szCs w:val="24"/>
        </w:rPr>
        <w:t xml:space="preserve"> (based on a representative survey of 27</w:t>
      </w:r>
      <w:r>
        <w:rPr>
          <w:rFonts w:ascii="Times New Roman" w:eastAsia="Times New Roman" w:hAnsi="Times New Roman" w:cs="Times New Roman"/>
          <w:noProof/>
          <w:w w:val="50"/>
          <w:sz w:val="24"/>
          <w:szCs w:val="24"/>
        </w:rPr>
        <w:t> </w:t>
      </w:r>
      <w:r>
        <w:rPr>
          <w:rFonts w:ascii="Times New Roman" w:eastAsia="Times New Roman" w:hAnsi="Times New Roman" w:cs="Times New Roman"/>
          <w:noProof/>
          <w:sz w:val="24"/>
          <w:szCs w:val="24"/>
        </w:rPr>
        <w:t>000 people in August and September 2020). Together with the evaluation, it will inform a review of the promotion policy scheduled for 2021. That review will be preceded by a comprehensive impact assessment of policy options to ensure that future EU promotion policy remains relevant, effective, efficient, with clear EU added value and coherent with all relevant EU policies including trade, development, fishery, health, environment and climate.</w:t>
      </w:r>
    </w:p>
    <w:p>
      <w:pPr>
        <w:pStyle w:val="Heading2"/>
        <w:spacing w:before="0" w:after="240"/>
        <w:ind w:left="567" w:hanging="567"/>
        <w:rPr>
          <w:rFonts w:ascii="Times New Roman" w:eastAsia="Times New Roman" w:hAnsi="Times New Roman" w:cs="Times New Roman"/>
          <w:b/>
          <w:noProof/>
          <w:color w:val="000000" w:themeColor="text1"/>
          <w:sz w:val="24"/>
          <w:szCs w:val="24"/>
        </w:rPr>
      </w:pPr>
      <w:bookmarkStart w:id="4" w:name="_Toc58506567"/>
      <w:r>
        <w:rPr>
          <w:rFonts w:ascii="Times New Roman" w:eastAsia="Times New Roman" w:hAnsi="Times New Roman" w:cs="Times New Roman"/>
          <w:b/>
          <w:noProof/>
          <w:color w:val="000000" w:themeColor="text1"/>
          <w:sz w:val="24"/>
          <w:szCs w:val="24"/>
        </w:rPr>
        <w:t xml:space="preserve">1.2. </w:t>
      </w:r>
      <w:r>
        <w:rPr>
          <w:rFonts w:ascii="Times New Roman" w:eastAsia="Times New Roman" w:hAnsi="Times New Roman" w:cs="Times New Roman"/>
          <w:b/>
          <w:noProof/>
          <w:color w:val="000000" w:themeColor="text1"/>
          <w:sz w:val="24"/>
          <w:szCs w:val="24"/>
        </w:rPr>
        <w:tab/>
        <w:t>The 2014 policy reform</w:t>
      </w:r>
      <w:bookmarkEnd w:id="4"/>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Regulation constituted a major reform of EU agricultural promotion policy. The new regulatory framework, which became applicable on 1 December 2015, benefited from a more substantial budget and focused more comprehensively on supporting the competitiveness of the agri-food sector. With the signature ‘Enjoy! it’s from Europe!’, the policy aimed to help EU operators break into international markets and raise awareness among consumers, in EU and in non-EU countries, of European farmers’ efforts to provide quality products, based on a strategy established at EU level.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Among the main features of the reform were:</w:t>
      </w:r>
    </w:p>
    <w:p>
      <w:pPr>
        <w:pStyle w:val="ListParagraph"/>
        <w:numPr>
          <w:ilvl w:val="0"/>
          <w:numId w:val="27"/>
        </w:numPr>
        <w:spacing w:after="120" w:line="240" w:lineRule="auto"/>
        <w:ind w:left="681" w:hanging="39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 </w:t>
      </w:r>
      <w:r>
        <w:rPr>
          <w:rFonts w:ascii="Times New Roman" w:eastAsia="Times New Roman" w:hAnsi="Times New Roman" w:cs="Times New Roman"/>
          <w:noProof/>
          <w:sz w:val="24"/>
          <w:szCs w:val="24"/>
          <w:u w:val="single"/>
        </w:rPr>
        <w:t>budget increase</w:t>
      </w:r>
      <w:r>
        <w:rPr>
          <w:rFonts w:ascii="Times New Roman" w:eastAsia="Times New Roman" w:hAnsi="Times New Roman" w:cs="Times New Roman"/>
          <w:noProof/>
          <w:sz w:val="24"/>
          <w:szCs w:val="24"/>
        </w:rPr>
        <w:t xml:space="preserve"> allowing a higher EU co-financing rate (up from 50% to 70</w:t>
      </w:r>
      <w:r>
        <w:rPr>
          <w:rFonts w:ascii="Times New Roman" w:eastAsia="Times New Roman" w:hAnsi="Times New Roman" w:cs="Times New Roman"/>
          <w:noProof/>
          <w:sz w:val="24"/>
          <w:szCs w:val="24"/>
        </w:rPr>
        <w:noBreakHyphen/>
        <w:t>80%);</w:t>
      </w:r>
    </w:p>
    <w:p>
      <w:pPr>
        <w:pStyle w:val="ListParagraph"/>
        <w:numPr>
          <w:ilvl w:val="0"/>
          <w:numId w:val="27"/>
        </w:numPr>
        <w:spacing w:after="120" w:line="240" w:lineRule="auto"/>
        <w:ind w:left="681" w:hanging="39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 </w:t>
      </w:r>
      <w:r>
        <w:rPr>
          <w:rFonts w:ascii="Times New Roman" w:eastAsia="Times New Roman" w:hAnsi="Times New Roman" w:cs="Times New Roman"/>
          <w:noProof/>
          <w:sz w:val="24"/>
          <w:szCs w:val="24"/>
          <w:u w:val="single"/>
        </w:rPr>
        <w:t>European promotion strategy</w:t>
      </w:r>
      <w:r>
        <w:rPr>
          <w:rFonts w:ascii="Times New Roman" w:eastAsia="Times New Roman" w:hAnsi="Times New Roman" w:cs="Times New Roman"/>
          <w:noProof/>
          <w:sz w:val="24"/>
          <w:szCs w:val="24"/>
        </w:rPr>
        <w:t xml:space="preserve"> implemented through annual work programmes and aimed at improving the targeting of promotion measures; and</w:t>
      </w:r>
    </w:p>
    <w:p>
      <w:pPr>
        <w:pStyle w:val="ListParagraph"/>
        <w:numPr>
          <w:ilvl w:val="0"/>
          <w:numId w:val="27"/>
        </w:numPr>
        <w:spacing w:after="240" w:line="240" w:lineRule="auto"/>
        <w:ind w:left="681" w:hanging="39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u w:val="single"/>
        </w:rPr>
        <w:t>simplifying procedures</w:t>
      </w:r>
      <w:r>
        <w:rPr>
          <w:rFonts w:ascii="Times New Roman" w:eastAsia="Times New Roman" w:hAnsi="Times New Roman" w:cs="Times New Roman"/>
          <w:noProof/>
          <w:sz w:val="24"/>
          <w:szCs w:val="24"/>
        </w:rPr>
        <w:t xml:space="preserve"> by transferring some implementation tasks from the Commission to the Consumers, Health, Agriculture and Food Executive Agency (CHAFEA) – this generated tangible efficiencies, helping to streamline the submission of proposals and their evaluation by CHAFEA (with contributions from independent external expert evaluators).</w:t>
      </w:r>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5" w:name="_Toc58506568"/>
      <w:r>
        <w:rPr>
          <w:rFonts w:ascii="Times New Roman" w:eastAsia="Times New Roman" w:hAnsi="Times New Roman" w:cs="Times New Roman"/>
          <w:b/>
          <w:noProof/>
          <w:color w:val="000000" w:themeColor="text1"/>
          <w:sz w:val="24"/>
          <w:szCs w:val="24"/>
        </w:rPr>
        <w:t xml:space="preserve">1.3. </w:t>
      </w:r>
      <w:r>
        <w:rPr>
          <w:rFonts w:ascii="Times New Roman" w:eastAsia="Times New Roman" w:hAnsi="Times New Roman" w:cs="Times New Roman"/>
          <w:b/>
          <w:noProof/>
          <w:color w:val="000000" w:themeColor="text1"/>
          <w:sz w:val="24"/>
          <w:szCs w:val="24"/>
        </w:rPr>
        <w:tab/>
        <w:t>Enhancing the contribution of promotion policy to the EU’s overarching objectives</w:t>
      </w:r>
      <w:bookmarkEnd w:id="5"/>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2021, the Commission will undertake a review of the promotion policy to strengthen its contribution to the European Green Deal</w:t>
      </w:r>
      <w:r>
        <w:rPr>
          <w:rStyle w:val="FootnoteReference"/>
          <w:noProof/>
        </w:rPr>
        <w:footnoteReference w:id="5"/>
      </w:r>
      <w:r>
        <w:rPr>
          <w:rFonts w:ascii="Times New Roman" w:eastAsia="Times New Roman" w:hAnsi="Times New Roman" w:cs="Times New Roman"/>
          <w:noProof/>
          <w:sz w:val="24"/>
          <w:szCs w:val="24"/>
        </w:rPr>
        <w:t xml:space="preserve"> and the ‘farm to fork’ strategy</w:t>
      </w:r>
      <w:r>
        <w:rPr>
          <w:rStyle w:val="FootnoteReference"/>
          <w:noProof/>
        </w:rPr>
        <w:footnoteReference w:id="6"/>
      </w:r>
      <w:r>
        <w:rPr>
          <w:rFonts w:ascii="Times New Roman" w:eastAsia="Times New Roman" w:hAnsi="Times New Roman" w:cs="Times New Roman"/>
          <w:noProof/>
          <w:sz w:val="24"/>
          <w:szCs w:val="24"/>
        </w:rPr>
        <w:t xml:space="preserve"> as well as to the upcoming Europe’s Beating Cancer Plan</w:t>
      </w:r>
      <w:r>
        <w:rPr>
          <w:rStyle w:val="FootnoteReference"/>
          <w:rFonts w:ascii="Times New Roman" w:eastAsia="Times New Roman" w:hAnsi="Times New Roman" w:cs="Times New Roman"/>
          <w:noProof/>
          <w:sz w:val="24"/>
          <w:szCs w:val="24"/>
        </w:rPr>
        <w:footnoteReference w:id="7"/>
      </w:r>
      <w:r>
        <w:rPr>
          <w:rFonts w:ascii="Times New Roman" w:eastAsia="Times New Roman" w:hAnsi="Times New Roman" w:cs="Times New Roman"/>
          <w:noProof/>
          <w:sz w:val="24"/>
          <w:szCs w:val="24"/>
        </w:rPr>
        <w:t>, taking account of its important role in supporting the sustainable recovery of the EU agri-food sector in a challenging economic context.</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upcoming review of the promotion policy offers the opportunity to redefine its objectives and rules to better support overarching EU policy objectives. Promotion policy can play a central role in incentivising the transition to a greener, more sustainable agricultural sector, by highlighting the economic, environmental and social sustainability aspects of EU products and production processes both in the EU and non-EU countries. Internationally, it can support efforts to position the EU food system as a global reference for sustainability. In this regard, measures on the initiative of the Commission can in particular contribute to bolster EU outreach efforts, including </w:t>
      </w:r>
      <w:r>
        <w:rPr>
          <w:rFonts w:ascii="Times New Roman" w:eastAsia="Times New Roman" w:hAnsi="Times New Roman" w:cs="Times New Roman"/>
          <w:noProof/>
          <w:sz w:val="24"/>
          <w:szCs w:val="24"/>
          <w:lang w:val="en-IE"/>
        </w:rPr>
        <w:t xml:space="preserve">building “Green Alliances”. </w:t>
      </w:r>
      <w:r>
        <w:rPr>
          <w:rFonts w:ascii="Times New Roman" w:eastAsia="Times New Roman" w:hAnsi="Times New Roman" w:cs="Times New Roman"/>
          <w:noProof/>
          <w:sz w:val="24"/>
          <w:szCs w:val="24"/>
        </w:rPr>
        <w:t xml:space="preserve">It can also play a pivotal role in promoting, in addition to quality schemes such as organic farming and geographical indications, </w:t>
      </w:r>
      <w:r>
        <w:rPr>
          <w:rFonts w:ascii="Times New Roman" w:eastAsia="Times New Roman" w:hAnsi="Times New Roman" w:cs="Times New Roman"/>
          <w:noProof/>
          <w:sz w:val="24"/>
          <w:szCs w:val="24"/>
          <w:u w:val="single"/>
        </w:rPr>
        <w:t>future schemes</w:t>
      </w:r>
      <w:r>
        <w:rPr>
          <w:rFonts w:ascii="Times New Roman" w:eastAsia="Times New Roman" w:hAnsi="Times New Roman" w:cs="Times New Roman"/>
          <w:noProof/>
          <w:sz w:val="24"/>
          <w:szCs w:val="24"/>
        </w:rPr>
        <w:t xml:space="preserve"> seeking to raise consumer awareness about EU sustainable food labelling, animal welfare, healthy dietary patterns and the EU Carbon Farming Initiative. It can support the future Europe’s Beating Cancer Plan in different ways, e.g. by expanding on its current promotion of fruit and vegetable consumption in the context of balanced, healthy diets as well as other healthy food products and categories that are currently under-consumed in the EU with a negative impact on public health.</w:t>
      </w:r>
    </w:p>
    <w:p>
      <w:pPr>
        <w:spacing w:after="240"/>
        <w:ind w:left="567" w:hanging="567"/>
        <w:jc w:val="both"/>
        <w:outlineLvl w:val="0"/>
        <w:rPr>
          <w:rFonts w:ascii="Times New Roman" w:hAnsi="Times New Roman" w:cs="Times New Roman"/>
          <w:b/>
          <w:smallCaps/>
          <w:noProof/>
          <w:sz w:val="24"/>
          <w:szCs w:val="24"/>
        </w:rPr>
      </w:pPr>
      <w:bookmarkStart w:id="6" w:name="_Toc58506569"/>
      <w:r>
        <w:rPr>
          <w:rFonts w:ascii="Times New Roman" w:hAnsi="Times New Roman" w:cs="Times New Roman"/>
          <w:b/>
          <w:smallCaps/>
          <w:noProof/>
          <w:sz w:val="24"/>
          <w:szCs w:val="24"/>
        </w:rPr>
        <w:t xml:space="preserve">2. </w:t>
      </w:r>
      <w:r>
        <w:rPr>
          <w:rFonts w:ascii="Times New Roman" w:hAnsi="Times New Roman" w:cs="Times New Roman"/>
          <w:b/>
          <w:smallCaps/>
          <w:noProof/>
          <w:sz w:val="24"/>
          <w:szCs w:val="24"/>
        </w:rPr>
        <w:tab/>
        <w:t>Implementation of promotion policy in 2016-2019</w:t>
      </w:r>
      <w:bookmarkEnd w:id="6"/>
    </w:p>
    <w:p>
      <w:pPr>
        <w:pStyle w:val="Heading2"/>
        <w:spacing w:before="0" w:after="240"/>
        <w:ind w:left="567" w:hanging="567"/>
        <w:rPr>
          <w:rFonts w:ascii="Times New Roman" w:eastAsia="Times New Roman" w:hAnsi="Times New Roman" w:cs="Times New Roman"/>
          <w:b/>
          <w:noProof/>
          <w:color w:val="000000" w:themeColor="text1"/>
          <w:sz w:val="24"/>
          <w:szCs w:val="24"/>
        </w:rPr>
      </w:pPr>
      <w:bookmarkStart w:id="7" w:name="_Toc58506570"/>
      <w:r>
        <w:rPr>
          <w:rFonts w:ascii="Times New Roman" w:eastAsia="Times New Roman" w:hAnsi="Times New Roman" w:cs="Times New Roman"/>
          <w:b/>
          <w:noProof/>
          <w:color w:val="000000" w:themeColor="text1"/>
          <w:sz w:val="24"/>
          <w:szCs w:val="24"/>
        </w:rPr>
        <w:t xml:space="preserve">2.1. </w:t>
      </w:r>
      <w:r>
        <w:rPr>
          <w:rFonts w:ascii="Times New Roman" w:eastAsia="Times New Roman" w:hAnsi="Times New Roman" w:cs="Times New Roman"/>
          <w:b/>
          <w:noProof/>
          <w:color w:val="000000" w:themeColor="text1"/>
          <w:sz w:val="24"/>
          <w:szCs w:val="24"/>
        </w:rPr>
        <w:tab/>
        <w:t>Annual work programmes</w:t>
      </w:r>
      <w:bookmarkEnd w:id="7"/>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Regulation introduced annual work programmes (adopted through Commission implementing decisions</w:t>
      </w:r>
      <w:r>
        <w:rPr>
          <w:rStyle w:val="FootnoteReference"/>
          <w:noProof/>
        </w:rPr>
        <w:footnoteReference w:id="8"/>
      </w:r>
      <w:r>
        <w:rPr>
          <w:rFonts w:ascii="Times New Roman" w:eastAsia="Times New Roman" w:hAnsi="Times New Roman" w:cs="Times New Roman"/>
          <w:noProof/>
          <w:sz w:val="24"/>
          <w:szCs w:val="24"/>
        </w:rPr>
        <w:t>) that set the budget and strategic priorities for promotion measures in the coming 12 months.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When formulating the work programme, the Commission takes account of:</w:t>
      </w:r>
    </w:p>
    <w:p>
      <w:pPr>
        <w:pStyle w:val="ListParagraph"/>
        <w:numPr>
          <w:ilvl w:val="0"/>
          <w:numId w:val="28"/>
        </w:numPr>
        <w:spacing w:after="120" w:line="240" w:lineRule="auto"/>
        <w:ind w:left="681" w:hanging="39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objectives of the Regulation;</w:t>
      </w:r>
    </w:p>
    <w:p>
      <w:pPr>
        <w:pStyle w:val="ListParagraph"/>
        <w:numPr>
          <w:ilvl w:val="0"/>
          <w:numId w:val="28"/>
        </w:numPr>
        <w:spacing w:after="120" w:line="240" w:lineRule="auto"/>
        <w:ind w:left="681" w:hanging="39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macro-economic analysis of projected increases in exports to existing or emerging markets;</w:t>
      </w:r>
    </w:p>
    <w:p>
      <w:pPr>
        <w:pStyle w:val="ListParagraph"/>
        <w:numPr>
          <w:ilvl w:val="0"/>
          <w:numId w:val="28"/>
        </w:numPr>
        <w:spacing w:after="120" w:line="240" w:lineRule="auto"/>
        <w:ind w:left="681" w:hanging="39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 policy evaluation on free trade agreements and expectations as regards the lifting of sanitary and phyto-sanitary barriers; and </w:t>
      </w:r>
    </w:p>
    <w:p>
      <w:pPr>
        <w:pStyle w:val="ListParagraph"/>
        <w:numPr>
          <w:ilvl w:val="0"/>
          <w:numId w:val="28"/>
        </w:numPr>
        <w:spacing w:after="240" w:line="240" w:lineRule="auto"/>
        <w:ind w:left="681" w:hanging="39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results of previous calls for proposals (e.g. uptake, continuity).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addition, the Commission takes account of contributions from the Member States and stakeholders consulted through civil dialogue groups</w:t>
      </w:r>
      <w:r>
        <w:rPr>
          <w:rStyle w:val="FootnoteReference"/>
          <w:noProof/>
        </w:rPr>
        <w:footnoteReference w:id="9"/>
      </w:r>
      <w:r>
        <w:rPr>
          <w:rFonts w:ascii="Times New Roman" w:eastAsia="Times New Roman" w:hAnsi="Times New Roman" w:cs="Times New Roman"/>
          <w:noProof/>
          <w:sz w:val="24"/>
          <w:szCs w:val="24"/>
        </w:rPr>
        <w:t>.</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 xml:space="preserve">The evaluation showed that the annual work programme is considered </w:t>
      </w:r>
      <w:r>
        <w:rPr>
          <w:rFonts w:ascii="Times New Roman" w:hAnsi="Times New Roman" w:cs="Times New Roman"/>
          <w:noProof/>
          <w:sz w:val="24"/>
          <w:szCs w:val="24"/>
        </w:rPr>
        <w:t>a relevant tool for ensuring a dynamic and targeted promotion policy. E</w:t>
      </w:r>
      <w:r>
        <w:rPr>
          <w:rFonts w:ascii="Times New Roman" w:eastAsia="Times New Roman" w:hAnsi="Times New Roman" w:cs="Times New Roman"/>
          <w:noProof/>
          <w:sz w:val="24"/>
          <w:szCs w:val="24"/>
        </w:rPr>
        <w:t>ach year, i</w:t>
      </w:r>
      <w:r>
        <w:rPr>
          <w:rFonts w:ascii="Times New Roman" w:hAnsi="Times New Roman" w:cs="Times New Roman"/>
          <w:noProof/>
          <w:sz w:val="24"/>
          <w:szCs w:val="24"/>
        </w:rPr>
        <w:t>t evolves</w:t>
      </w:r>
      <w:r>
        <w:rPr>
          <w:rFonts w:ascii="Times New Roman" w:eastAsia="Times New Roman" w:hAnsi="Times New Roman" w:cs="Times New Roman"/>
          <w:noProof/>
          <w:sz w:val="24"/>
          <w:szCs w:val="24"/>
        </w:rPr>
        <w:t xml:space="preserve">, adjusting to some extent to the evolving priorities of the sectors concerned. </w:t>
      </w:r>
      <w:r>
        <w:rPr>
          <w:rFonts w:ascii="Times New Roman" w:eastAsia="Times New Roman" w:hAnsi="Times New Roman" w:cs="Times New Roman"/>
          <w:noProof/>
          <w:sz w:val="24"/>
          <w:szCs w:val="24"/>
          <w:lang w:eastAsia="en-GB"/>
        </w:rPr>
        <w:t xml:space="preserve">In addition, the promotion policy has proven responsive by allocating dedicated </w:t>
      </w:r>
      <w:r>
        <w:rPr>
          <w:rFonts w:ascii="Times New Roman" w:eastAsia="Times New Roman" w:hAnsi="Times New Roman" w:cs="Times New Roman"/>
          <w:i/>
          <w:noProof/>
          <w:sz w:val="24"/>
          <w:szCs w:val="24"/>
          <w:lang w:eastAsia="en-GB"/>
        </w:rPr>
        <w:t>ad hoc</w:t>
      </w:r>
      <w:r>
        <w:rPr>
          <w:rFonts w:ascii="Times New Roman" w:eastAsia="Times New Roman" w:hAnsi="Times New Roman" w:cs="Times New Roman"/>
          <w:noProof/>
          <w:sz w:val="24"/>
          <w:szCs w:val="24"/>
          <w:lang w:eastAsia="en-GB"/>
        </w:rPr>
        <w:t xml:space="preserve"> funding for programmes supporting sectors in difficulty, e.g. in 2019, table olives and sustainable rice production.</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Annual work programmes have also consistently earmarked budgets to co-finance programmes encouraging fruit and vegetable consumption in the context of a balanced diet, in line with the Commission’s strategy on nutrition. Such measures were included in annual work programmes for promotion on the internal market since 2018.</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promotion policy demonstrated its capacity to align with new political priorities through the 2021 annual work programme, which dedicated 50% of its budget to topics contributing to the objectives of the farm to fork strategy. By earmarking </w:t>
      </w:r>
      <w:r>
        <w:rPr>
          <w:rFonts w:ascii="Times New Roman" w:hAnsi="Times New Roman"/>
          <w:noProof/>
          <w:sz w:val="24"/>
          <w:szCs w:val="24"/>
        </w:rPr>
        <w:t>€</w:t>
      </w:r>
      <w:r>
        <w:rPr>
          <w:rFonts w:ascii="Times New Roman" w:eastAsia="Times New Roman" w:hAnsi="Times New Roman" w:cs="Times New Roman"/>
          <w:noProof/>
          <w:sz w:val="24"/>
          <w:szCs w:val="24"/>
          <w:lang w:eastAsia="en-GB"/>
        </w:rPr>
        <w:t xml:space="preserve">49 million for promotion of organic products, </w:t>
      </w:r>
      <w:r>
        <w:rPr>
          <w:rFonts w:ascii="Times New Roman" w:hAnsi="Times New Roman"/>
          <w:noProof/>
          <w:sz w:val="24"/>
          <w:szCs w:val="24"/>
        </w:rPr>
        <w:t>€</w:t>
      </w:r>
      <w:r>
        <w:rPr>
          <w:rFonts w:ascii="Times New Roman" w:eastAsia="Times New Roman" w:hAnsi="Times New Roman" w:cs="Times New Roman"/>
          <w:noProof/>
          <w:sz w:val="24"/>
          <w:szCs w:val="24"/>
          <w:lang w:eastAsia="en-GB"/>
        </w:rPr>
        <w:t>19.1 million for promotion of fruit &amp; vegetables consumption in the context of balanced and proper diets and</w:t>
      </w:r>
      <w:r>
        <w:rPr>
          <w:rFonts w:ascii="Times New Roman" w:hAnsi="Times New Roman"/>
          <w:noProof/>
          <w:sz w:val="24"/>
          <w:szCs w:val="24"/>
        </w:rPr>
        <w:t>€</w:t>
      </w:r>
      <w:r>
        <w:rPr>
          <w:rFonts w:ascii="Times New Roman" w:eastAsia="Times New Roman" w:hAnsi="Times New Roman" w:cs="Times New Roman"/>
          <w:noProof/>
          <w:sz w:val="24"/>
          <w:szCs w:val="24"/>
          <w:lang w:eastAsia="en-GB"/>
        </w:rPr>
        <w:t>18 million to raise awareness of sustainable agriculture, the promotion policy provides tangible support to the strategy on the basis of the current legal act.</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Finally, the work programmes have also included budgets for action in response to unexpected serious market disturbances, loss of consumer confidence or other specific problems (if complementary to exceptional measures under Part V, Chapter 1 of Regulation (EU) No 1308/2013</w:t>
      </w:r>
      <w:r>
        <w:rPr>
          <w:rStyle w:val="FootnoteReference"/>
          <w:noProof/>
        </w:rPr>
        <w:footnoteReference w:id="10"/>
      </w:r>
      <w:r>
        <w:rPr>
          <w:rFonts w:ascii="Times New Roman" w:eastAsia="Times New Roman" w:hAnsi="Times New Roman" w:cs="Times New Roman"/>
          <w:noProof/>
          <w:sz w:val="24"/>
          <w:szCs w:val="24"/>
          <w:lang w:eastAsia="en-GB"/>
        </w:rPr>
        <w:t>). In the context of the Covid-19 pandemic, additional calls for proposals</w:t>
      </w:r>
      <w:r>
        <w:rPr>
          <w:rStyle w:val="FootnoteReference"/>
          <w:noProof/>
        </w:rPr>
        <w:footnoteReference w:id="11"/>
      </w:r>
      <w:r>
        <w:rPr>
          <w:rFonts w:ascii="Times New Roman" w:eastAsia="Times New Roman" w:hAnsi="Times New Roman" w:cs="Times New Roman"/>
          <w:noProof/>
          <w:sz w:val="24"/>
          <w:szCs w:val="24"/>
          <w:lang w:eastAsia="en-GB"/>
        </w:rPr>
        <w:t xml:space="preserve"> were launched for the first time to fund actions that are complementary to the crisis package adopted on 30</w:t>
      </w:r>
      <w:r>
        <w:rPr>
          <w:rFonts w:ascii="Times New Roman" w:eastAsia="Times New Roman" w:hAnsi="Times New Roman" w:cs="Times New Roman"/>
          <w:noProof/>
          <w:sz w:val="24"/>
          <w:szCs w:val="24"/>
          <w:vertAlign w:val="superscript"/>
          <w:lang w:eastAsia="en-GB"/>
        </w:rPr>
        <w:t xml:space="preserve"> </w:t>
      </w:r>
      <w:r>
        <w:rPr>
          <w:rFonts w:ascii="Times New Roman" w:eastAsia="Times New Roman" w:hAnsi="Times New Roman" w:cs="Times New Roman"/>
          <w:noProof/>
          <w:sz w:val="24"/>
          <w:szCs w:val="24"/>
          <w:lang w:eastAsia="en-GB"/>
        </w:rPr>
        <w:t>April 2020.</w:t>
      </w:r>
    </w:p>
    <w:p>
      <w:pPr>
        <w:pStyle w:val="Body"/>
        <w:rPr>
          <w:rFonts w:ascii="Times New Roman" w:hAnsi="Times New Roman"/>
          <w:noProof/>
          <w:sz w:val="24"/>
          <w:szCs w:val="24"/>
          <w:lang w:eastAsia="en-GB"/>
        </w:rPr>
      </w:pPr>
      <w:r>
        <w:rPr>
          <w:rFonts w:ascii="Times New Roman" w:hAnsi="Times New Roman"/>
          <w:noProof/>
          <w:sz w:val="24"/>
          <w:szCs w:val="24"/>
        </w:rPr>
        <w:t>The annual budget for information provision and promotion measures rose from €113 million in 2016 to €200 million in 2020. While this is a significant increase, it remains modest alongside the trade promotion budgets of other major players in the global agri-food market. The US Department of Agriculture, for instance, allocated $300 million (around €253 million) in 2019 alone through its ‘agricultural trade promotion program’</w:t>
      </w:r>
      <w:r>
        <w:rPr>
          <w:rStyle w:val="FootnoteReference"/>
          <w:noProof/>
        </w:rPr>
        <w:footnoteReference w:id="12"/>
      </w:r>
      <w:r>
        <w:rPr>
          <w:rFonts w:ascii="Times New Roman" w:hAnsi="Times New Roman"/>
          <w:noProof/>
          <w:sz w:val="24"/>
          <w:szCs w:val="24"/>
        </w:rPr>
        <w:t xml:space="preserve"> to help US farmers identify and access new export markets.</w:t>
      </w:r>
    </w:p>
    <w:p>
      <w:pPr>
        <w:pStyle w:val="Heading2"/>
        <w:spacing w:before="0" w:after="240"/>
        <w:ind w:left="567" w:hanging="567"/>
        <w:rPr>
          <w:rFonts w:ascii="Times New Roman" w:eastAsia="Times New Roman" w:hAnsi="Times New Roman" w:cs="Times New Roman"/>
          <w:b/>
          <w:noProof/>
          <w:color w:val="000000" w:themeColor="text1"/>
          <w:sz w:val="24"/>
          <w:szCs w:val="24"/>
        </w:rPr>
      </w:pPr>
      <w:bookmarkStart w:id="8" w:name="_Toc58506571"/>
      <w:r>
        <w:rPr>
          <w:rFonts w:ascii="Times New Roman" w:eastAsia="Times New Roman" w:hAnsi="Times New Roman" w:cs="Times New Roman"/>
          <w:b/>
          <w:noProof/>
          <w:color w:val="000000" w:themeColor="text1"/>
          <w:sz w:val="24"/>
          <w:szCs w:val="24"/>
        </w:rPr>
        <w:t xml:space="preserve">2.2. </w:t>
      </w:r>
      <w:r>
        <w:rPr>
          <w:rFonts w:ascii="Times New Roman" w:eastAsia="Times New Roman" w:hAnsi="Times New Roman" w:cs="Times New Roman"/>
          <w:b/>
          <w:noProof/>
          <w:color w:val="000000" w:themeColor="text1"/>
          <w:sz w:val="24"/>
          <w:szCs w:val="24"/>
        </w:rPr>
        <w:tab/>
        <w:t>Types of programme</w:t>
      </w:r>
      <w:bookmarkEnd w:id="8"/>
    </w:p>
    <w:p>
      <w:pPr>
        <w:pStyle w:val="Body"/>
        <w:spacing w:after="120"/>
        <w:rPr>
          <w:rFonts w:ascii="Times New Roman" w:hAnsi="Times New Roman"/>
          <w:noProof/>
          <w:sz w:val="24"/>
          <w:szCs w:val="24"/>
          <w:lang w:eastAsia="en-GB"/>
        </w:rPr>
      </w:pPr>
      <w:r>
        <w:rPr>
          <w:rFonts w:ascii="Times New Roman" w:hAnsi="Times New Roman"/>
          <w:noProof/>
          <w:sz w:val="24"/>
          <w:szCs w:val="24"/>
          <w:lang w:eastAsia="en-GB"/>
        </w:rPr>
        <w:t>A promotion and information programme is a coherent set of operations that can include:</w:t>
      </w:r>
    </w:p>
    <w:p>
      <w:pPr>
        <w:pStyle w:val="ListParagraph"/>
        <w:numPr>
          <w:ilvl w:val="0"/>
          <w:numId w:val="28"/>
        </w:numPr>
        <w:spacing w:after="120" w:line="240" w:lineRule="auto"/>
        <w:ind w:left="681" w:hanging="397"/>
        <w:contextualSpacing w:val="0"/>
        <w:jc w:val="both"/>
        <w:rPr>
          <w:rFonts w:ascii="Times New Roman" w:hAnsi="Times New Roman"/>
          <w:b/>
          <w:noProof/>
          <w:sz w:val="24"/>
          <w:szCs w:val="24"/>
        </w:rPr>
      </w:pPr>
      <w:r>
        <w:rPr>
          <w:rFonts w:ascii="Times New Roman" w:hAnsi="Times New Roman" w:cs="Times New Roman"/>
          <w:noProof/>
          <w:sz w:val="24"/>
          <w:szCs w:val="24"/>
          <w:lang w:eastAsia="en-GB"/>
        </w:rPr>
        <w:t>press, TV/radio or online advertis</w:t>
      </w:r>
      <w:r>
        <w:rPr>
          <w:rFonts w:ascii="Times New Roman" w:hAnsi="Times New Roman" w:cs="Times New Roman"/>
          <w:noProof/>
          <w:sz w:val="24"/>
          <w:szCs w:val="24"/>
        </w:rPr>
        <w:t>i</w:t>
      </w:r>
      <w:r>
        <w:rPr>
          <w:rFonts w:ascii="Times New Roman" w:hAnsi="Times New Roman" w:cs="Times New Roman"/>
          <w:noProof/>
          <w:sz w:val="24"/>
          <w:szCs w:val="24"/>
          <w:lang w:eastAsia="en-GB"/>
        </w:rPr>
        <w:t xml:space="preserve">ng campaigns; </w:t>
      </w:r>
    </w:p>
    <w:p>
      <w:pPr>
        <w:pStyle w:val="ListParagraph"/>
        <w:numPr>
          <w:ilvl w:val="0"/>
          <w:numId w:val="28"/>
        </w:numPr>
        <w:spacing w:after="120" w:line="240" w:lineRule="auto"/>
        <w:ind w:left="681" w:hanging="397"/>
        <w:contextualSpacing w:val="0"/>
        <w:jc w:val="both"/>
        <w:rPr>
          <w:rFonts w:ascii="Times New Roman" w:hAnsi="Times New Roman"/>
          <w:b/>
          <w:noProof/>
          <w:sz w:val="24"/>
          <w:szCs w:val="24"/>
        </w:rPr>
      </w:pPr>
      <w:r>
        <w:rPr>
          <w:rFonts w:ascii="Times New Roman" w:hAnsi="Times New Roman" w:cs="Times New Roman"/>
          <w:noProof/>
          <w:sz w:val="24"/>
          <w:szCs w:val="24"/>
          <w:lang w:eastAsia="en-GB"/>
        </w:rPr>
        <w:t xml:space="preserve">point-of-sale promotions; </w:t>
      </w:r>
    </w:p>
    <w:p>
      <w:pPr>
        <w:pStyle w:val="ListParagraph"/>
        <w:numPr>
          <w:ilvl w:val="0"/>
          <w:numId w:val="28"/>
        </w:numPr>
        <w:spacing w:after="120" w:line="240" w:lineRule="auto"/>
        <w:ind w:left="681" w:hanging="397"/>
        <w:contextualSpacing w:val="0"/>
        <w:jc w:val="both"/>
        <w:rPr>
          <w:rFonts w:ascii="Times New Roman" w:hAnsi="Times New Roman"/>
          <w:b/>
          <w:noProof/>
          <w:sz w:val="24"/>
          <w:szCs w:val="24"/>
        </w:rPr>
      </w:pPr>
      <w:r>
        <w:rPr>
          <w:rFonts w:ascii="Times New Roman" w:hAnsi="Times New Roman" w:cs="Times New Roman"/>
          <w:noProof/>
          <w:sz w:val="24"/>
          <w:szCs w:val="24"/>
          <w:lang w:eastAsia="en-GB"/>
        </w:rPr>
        <w:t xml:space="preserve">public relations campaigns; </w:t>
      </w:r>
    </w:p>
    <w:p>
      <w:pPr>
        <w:pStyle w:val="ListParagraph"/>
        <w:numPr>
          <w:ilvl w:val="0"/>
          <w:numId w:val="28"/>
        </w:numPr>
        <w:spacing w:after="240" w:line="240" w:lineRule="auto"/>
        <w:ind w:left="681" w:hanging="397"/>
        <w:contextualSpacing w:val="0"/>
        <w:jc w:val="both"/>
        <w:rPr>
          <w:rFonts w:ascii="Times New Roman" w:hAnsi="Times New Roman"/>
          <w:b/>
          <w:noProof/>
          <w:sz w:val="24"/>
          <w:szCs w:val="24"/>
        </w:rPr>
      </w:pPr>
      <w:r>
        <w:rPr>
          <w:rFonts w:ascii="Times New Roman" w:hAnsi="Times New Roman" w:cs="Times New Roman"/>
          <w:noProof/>
          <w:sz w:val="24"/>
          <w:szCs w:val="24"/>
          <w:lang w:eastAsia="en-GB"/>
        </w:rPr>
        <w:t xml:space="preserve">participation in exhibitions and fairs. </w:t>
      </w:r>
    </w:p>
    <w:p>
      <w:pPr>
        <w:pStyle w:val="Body"/>
        <w:spacing w:after="120"/>
        <w:rPr>
          <w:rFonts w:ascii="Times New Roman" w:hAnsi="Times New Roman"/>
          <w:b/>
          <w:noProof/>
          <w:sz w:val="24"/>
          <w:szCs w:val="24"/>
        </w:rPr>
      </w:pPr>
      <w:r>
        <w:rPr>
          <w:rFonts w:ascii="Times New Roman" w:hAnsi="Times New Roman"/>
          <w:noProof/>
          <w:sz w:val="24"/>
          <w:szCs w:val="24"/>
          <w:lang w:eastAsia="en-GB"/>
        </w:rPr>
        <w:t xml:space="preserve">Promotion </w:t>
      </w:r>
      <w:r>
        <w:rPr>
          <w:rFonts w:ascii="Times New Roman" w:hAnsi="Times New Roman"/>
          <w:noProof/>
          <w:sz w:val="24"/>
          <w:szCs w:val="24"/>
        </w:rPr>
        <w:t xml:space="preserve">programmes, which </w:t>
      </w:r>
      <w:r>
        <w:rPr>
          <w:rFonts w:ascii="Times New Roman" w:hAnsi="Times New Roman"/>
          <w:noProof/>
          <w:sz w:val="24"/>
          <w:szCs w:val="24"/>
          <w:lang w:eastAsia="en-GB"/>
        </w:rPr>
        <w:t>are implemented by beneficiaries over a period of 1</w:t>
      </w:r>
      <w:r>
        <w:rPr>
          <w:rFonts w:ascii="Times New Roman" w:hAnsi="Times New Roman"/>
          <w:noProof/>
          <w:sz w:val="24"/>
          <w:szCs w:val="24"/>
          <w:lang w:eastAsia="en-GB"/>
        </w:rPr>
        <w:noBreakHyphen/>
        <w:t>3 years, can take the form of:</w:t>
      </w:r>
    </w:p>
    <w:p>
      <w:pPr>
        <w:pStyle w:val="Body"/>
        <w:numPr>
          <w:ilvl w:val="0"/>
          <w:numId w:val="29"/>
        </w:numPr>
        <w:spacing w:after="120"/>
        <w:ind w:left="681" w:hanging="397"/>
        <w:rPr>
          <w:rFonts w:ascii="Times New Roman" w:hAnsi="Times New Roman"/>
          <w:noProof/>
          <w:sz w:val="24"/>
          <w:szCs w:val="24"/>
        </w:rPr>
      </w:pPr>
      <w:r>
        <w:rPr>
          <w:rFonts w:ascii="Times New Roman" w:hAnsi="Times New Roman"/>
          <w:b/>
          <w:noProof/>
          <w:sz w:val="24"/>
          <w:szCs w:val="24"/>
        </w:rPr>
        <w:t>‘simple’ programmes</w:t>
      </w:r>
      <w:r>
        <w:rPr>
          <w:rFonts w:ascii="Times New Roman" w:hAnsi="Times New Roman"/>
          <w:noProof/>
          <w:sz w:val="24"/>
          <w:szCs w:val="24"/>
        </w:rPr>
        <w:t xml:space="preserve"> submitted by one or more proposing organisations from the same Member State – over half the budget allocated for such programmes in 2016</w:t>
      </w:r>
      <w:r>
        <w:rPr>
          <w:rFonts w:ascii="Times New Roman" w:hAnsi="Times New Roman"/>
          <w:noProof/>
          <w:sz w:val="24"/>
          <w:szCs w:val="24"/>
        </w:rPr>
        <w:noBreakHyphen/>
        <w:t>2020 targeted non</w:t>
      </w:r>
      <w:r>
        <w:rPr>
          <w:rFonts w:ascii="Times New Roman" w:hAnsi="Times New Roman"/>
          <w:noProof/>
          <w:sz w:val="24"/>
          <w:szCs w:val="24"/>
        </w:rPr>
        <w:noBreakHyphen/>
        <w:t>EU markets; or</w:t>
      </w:r>
    </w:p>
    <w:p>
      <w:pPr>
        <w:pStyle w:val="Body"/>
        <w:numPr>
          <w:ilvl w:val="0"/>
          <w:numId w:val="29"/>
        </w:numPr>
        <w:ind w:left="681" w:hanging="397"/>
        <w:rPr>
          <w:rFonts w:ascii="Times New Roman" w:hAnsi="Times New Roman"/>
          <w:noProof/>
          <w:sz w:val="24"/>
          <w:szCs w:val="24"/>
        </w:rPr>
      </w:pPr>
      <w:r>
        <w:rPr>
          <w:rFonts w:ascii="Times New Roman" w:hAnsi="Times New Roman"/>
          <w:b/>
          <w:noProof/>
          <w:sz w:val="24"/>
          <w:szCs w:val="24"/>
        </w:rPr>
        <w:t>‘multi’ programmes</w:t>
      </w:r>
      <w:r>
        <w:rPr>
          <w:rFonts w:ascii="Times New Roman" w:hAnsi="Times New Roman"/>
          <w:noProof/>
          <w:sz w:val="24"/>
          <w:szCs w:val="24"/>
        </w:rPr>
        <w:t xml:space="preserve"> submitted by two or more proposing organisations from at least two Member States or one or more pan-European organisation(s) – although the proportion of such programmes targeting non</w:t>
      </w:r>
      <w:r>
        <w:rPr>
          <w:rFonts w:ascii="Times New Roman" w:hAnsi="Times New Roman"/>
          <w:noProof/>
          <w:sz w:val="24"/>
          <w:szCs w:val="24"/>
        </w:rPr>
        <w:noBreakHyphen/>
        <w:t>EU markets has been rising, in 2016</w:t>
      </w:r>
      <w:r>
        <w:rPr>
          <w:rFonts w:ascii="Times New Roman" w:hAnsi="Times New Roman"/>
          <w:noProof/>
          <w:sz w:val="24"/>
          <w:szCs w:val="24"/>
        </w:rPr>
        <w:noBreakHyphen/>
        <w:t>2019 they were mainly used to fund internal market promotion activities.</w:t>
      </w:r>
    </w:p>
    <w:p>
      <w:pPr>
        <w:pStyle w:val="Body"/>
        <w:rPr>
          <w:rFonts w:ascii="Times New Roman" w:hAnsi="Times New Roman"/>
          <w:noProof/>
          <w:sz w:val="24"/>
          <w:szCs w:val="24"/>
        </w:rPr>
      </w:pPr>
      <w:r>
        <w:rPr>
          <w:rFonts w:ascii="Times New Roman" w:hAnsi="Times New Roman"/>
          <w:noProof/>
          <w:sz w:val="24"/>
          <w:szCs w:val="24"/>
        </w:rPr>
        <w:t>The 2014 reform aimed to ensure that more programmes targeted non</w:t>
      </w:r>
      <w:r>
        <w:rPr>
          <w:rFonts w:ascii="Times New Roman" w:hAnsi="Times New Roman"/>
          <w:noProof/>
          <w:sz w:val="24"/>
          <w:szCs w:val="24"/>
        </w:rPr>
        <w:noBreakHyphen/>
        <w:t>EU countries. The respective allocations for EU and non</w:t>
      </w:r>
      <w:r>
        <w:rPr>
          <w:rFonts w:ascii="Times New Roman" w:hAnsi="Times New Roman"/>
          <w:noProof/>
          <w:sz w:val="24"/>
          <w:szCs w:val="24"/>
        </w:rPr>
        <w:noBreakHyphen/>
        <w:t>EU promotion remain an area of contention among stakeholders, who expressed different views in the consultation on the evaluation</w:t>
      </w:r>
      <w:r>
        <w:rPr>
          <w:rStyle w:val="FootnoteReference"/>
          <w:noProof/>
        </w:rPr>
        <w:footnoteReference w:id="13"/>
      </w:r>
      <w:r>
        <w:rPr>
          <w:rFonts w:ascii="Times New Roman" w:hAnsi="Times New Roman"/>
          <w:noProof/>
          <w:sz w:val="24"/>
          <w:szCs w:val="24"/>
        </w:rPr>
        <w:t xml:space="preserve">. </w:t>
      </w:r>
    </w:p>
    <w:p>
      <w:pPr>
        <w:pStyle w:val="Body"/>
        <w:rPr>
          <w:rFonts w:ascii="Times New Roman" w:hAnsi="Times New Roman"/>
          <w:noProof/>
          <w:sz w:val="24"/>
          <w:szCs w:val="24"/>
        </w:rPr>
      </w:pPr>
      <w:r>
        <w:rPr>
          <w:rFonts w:ascii="Times New Roman" w:hAnsi="Times New Roman"/>
          <w:noProof/>
          <w:sz w:val="24"/>
          <w:szCs w:val="24"/>
        </w:rPr>
        <w:t>The evaluation found overall recognition among beneficiaries and national authorities that the 2014 reform has simplified/streamlined calls for proposals and selection and evaluation procedures, and that the direct management approach to programme implementation is more efficient.</w:t>
      </w:r>
    </w:p>
    <w:p>
      <w:pPr>
        <w:pStyle w:val="Body"/>
        <w:rPr>
          <w:rFonts w:ascii="Times New Roman" w:hAnsi="Times New Roman"/>
          <w:noProof/>
          <w:sz w:val="24"/>
          <w:szCs w:val="24"/>
        </w:rPr>
      </w:pPr>
      <w:r>
        <w:rPr>
          <w:rFonts w:ascii="Times New Roman" w:hAnsi="Times New Roman"/>
          <w:noProof/>
          <w:sz w:val="24"/>
          <w:szCs w:val="24"/>
          <w:lang w:eastAsia="en-GB"/>
        </w:rPr>
        <w:t>It also concluded</w:t>
      </w:r>
      <w:r>
        <w:rPr>
          <w:rFonts w:ascii="Times New Roman" w:hAnsi="Times New Roman"/>
          <w:noProof/>
          <w:sz w:val="24"/>
          <w:szCs w:val="24"/>
        </w:rPr>
        <w:t xml:space="preserve"> that implementation differences between direct management and shared management programmes should be examined further. This can be done as part of the 2021 review, which should enable the Commission to identify common approaches leading to more flexible, harmonised and simplified implementation arrangements.</w:t>
      </w:r>
    </w:p>
    <w:p>
      <w:pPr>
        <w:pStyle w:val="Heading2"/>
        <w:spacing w:before="0" w:after="240"/>
        <w:ind w:left="567" w:hanging="567"/>
        <w:rPr>
          <w:rFonts w:ascii="Times New Roman" w:eastAsia="Times New Roman" w:hAnsi="Times New Roman" w:cs="Times New Roman"/>
          <w:b/>
          <w:noProof/>
          <w:color w:val="000000" w:themeColor="text1"/>
          <w:sz w:val="24"/>
          <w:szCs w:val="24"/>
        </w:rPr>
      </w:pPr>
      <w:bookmarkStart w:id="9" w:name="_Toc58506572"/>
      <w:r>
        <w:rPr>
          <w:rFonts w:ascii="Times New Roman" w:eastAsia="Times New Roman" w:hAnsi="Times New Roman" w:cs="Times New Roman"/>
          <w:b/>
          <w:noProof/>
          <w:color w:val="000000" w:themeColor="text1"/>
          <w:sz w:val="24"/>
          <w:szCs w:val="24"/>
        </w:rPr>
        <w:t>2.3.</w:t>
      </w:r>
      <w:r>
        <w:rPr>
          <w:rFonts w:ascii="Times New Roman" w:eastAsia="Times New Roman" w:hAnsi="Times New Roman" w:cs="Times New Roman"/>
          <w:b/>
          <w:noProof/>
          <w:color w:val="000000" w:themeColor="text1"/>
          <w:sz w:val="24"/>
          <w:szCs w:val="24"/>
        </w:rPr>
        <w:tab/>
        <w:t>Programme submission and selection – statistical breakdown</w:t>
      </w:r>
      <w:r>
        <w:rPr>
          <w:rFonts w:ascii="Times New Roman" w:eastAsia="Times New Roman" w:hAnsi="Times New Roman" w:cs="Times New Roman"/>
          <w:b/>
          <w:noProof/>
          <w:color w:val="000000" w:themeColor="text1"/>
          <w:sz w:val="24"/>
          <w:szCs w:val="24"/>
          <w:vertAlign w:val="superscript"/>
        </w:rPr>
        <w:footnoteReference w:id="14"/>
      </w:r>
      <w:bookmarkEnd w:id="9"/>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budget for information and promotion initiatives to strengthen the competitiveness of EU agriculture increased significantly between 2016 and 2019. Under the 2014 reform, the co</w:t>
      </w:r>
      <w:r>
        <w:rPr>
          <w:rFonts w:ascii="Times New Roman" w:hAnsi="Times New Roman" w:cs="Times New Roman"/>
          <w:noProof/>
          <w:sz w:val="24"/>
          <w:szCs w:val="24"/>
        </w:rPr>
        <w:noBreakHyphen/>
        <w:t>financing rates rose from 50% (under the 2008 Regulation) to:</w:t>
      </w:r>
    </w:p>
    <w:p>
      <w:pPr>
        <w:pStyle w:val="ListParagraph"/>
        <w:numPr>
          <w:ilvl w:val="0"/>
          <w:numId w:val="28"/>
        </w:numPr>
        <w:spacing w:after="120" w:line="240" w:lineRule="auto"/>
        <w:ind w:left="68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80% for ‘</w:t>
      </w:r>
      <w:r>
        <w:rPr>
          <w:rFonts w:ascii="Times New Roman" w:hAnsi="Times New Roman" w:cs="Times New Roman"/>
          <w:noProof/>
          <w:sz w:val="24"/>
          <w:szCs w:val="24"/>
          <w:lang w:eastAsia="en-GB"/>
        </w:rPr>
        <w:t>simple’</w:t>
      </w:r>
      <w:r>
        <w:rPr>
          <w:rFonts w:ascii="Times New Roman" w:hAnsi="Times New Roman" w:cs="Times New Roman"/>
          <w:noProof/>
          <w:sz w:val="24"/>
          <w:szCs w:val="24"/>
        </w:rPr>
        <w:t xml:space="preserve"> programmes targeting non</w:t>
      </w:r>
      <w:r>
        <w:rPr>
          <w:rFonts w:ascii="Times New Roman" w:hAnsi="Times New Roman" w:cs="Times New Roman"/>
          <w:noProof/>
          <w:sz w:val="24"/>
          <w:szCs w:val="24"/>
        </w:rPr>
        <w:noBreakHyphen/>
        <w:t xml:space="preserve">EU countries and for ‘multi’ programmes; and </w:t>
      </w:r>
    </w:p>
    <w:p>
      <w:pPr>
        <w:pStyle w:val="ListParagraph"/>
        <w:numPr>
          <w:ilvl w:val="0"/>
          <w:numId w:val="28"/>
        </w:numPr>
        <w:spacing w:after="240" w:line="240" w:lineRule="auto"/>
        <w:ind w:left="68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70% for ‘simple’ programmes targeting the EU market.</w:t>
      </w:r>
    </w:p>
    <w:p>
      <w:pPr>
        <w:pStyle w:val="Body"/>
        <w:spacing w:after="120"/>
        <w:ind w:left="964" w:hanging="964"/>
        <w:rPr>
          <w:rFonts w:ascii="Times New Roman" w:hAnsi="Times New Roman"/>
          <w:b/>
          <w:noProof/>
          <w:sz w:val="24"/>
          <w:szCs w:val="24"/>
        </w:rPr>
      </w:pPr>
      <w:r>
        <w:rPr>
          <w:rFonts w:ascii="Times New Roman" w:hAnsi="Times New Roman"/>
          <w:b/>
          <w:i/>
          <w:noProof/>
          <w:sz w:val="24"/>
          <w:szCs w:val="24"/>
        </w:rPr>
        <w:t xml:space="preserve">Table 1: </w:t>
      </w:r>
      <w:r>
        <w:rPr>
          <w:rFonts w:ascii="Times New Roman" w:hAnsi="Times New Roman"/>
          <w:b/>
          <w:i/>
          <w:noProof/>
          <w:sz w:val="24"/>
          <w:szCs w:val="24"/>
        </w:rPr>
        <w:tab/>
        <w:t>Total budget (‘simple’ programmes, ‘multi’ programmes and Commission own initiatives), 2016</w:t>
      </w:r>
      <w:r>
        <w:rPr>
          <w:rFonts w:ascii="Times New Roman" w:hAnsi="Times New Roman"/>
          <w:b/>
          <w:i/>
          <w:noProof/>
          <w:sz w:val="24"/>
          <w:szCs w:val="24"/>
        </w:rPr>
        <w:noBreakHyphen/>
        <w:t>2019</w:t>
      </w:r>
    </w:p>
    <w:tbl>
      <w:tblPr>
        <w:tblW w:w="9072" w:type="dxa"/>
        <w:tblInd w:w="108" w:type="dxa"/>
        <w:tblLayout w:type="fixed"/>
        <w:tblLook w:val="04A0" w:firstRow="1" w:lastRow="0" w:firstColumn="1" w:lastColumn="0" w:noHBand="0" w:noVBand="1"/>
      </w:tblPr>
      <w:tblGrid>
        <w:gridCol w:w="2127"/>
        <w:gridCol w:w="1736"/>
        <w:gridCol w:w="1736"/>
        <w:gridCol w:w="1736"/>
        <w:gridCol w:w="1737"/>
      </w:tblGrid>
      <w:tr>
        <w:trPr>
          <w:trHeight w:val="29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2016</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2017</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2018</w:t>
            </w:r>
          </w:p>
        </w:tc>
        <w:tc>
          <w:tcPr>
            <w:tcW w:w="173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2019</w:t>
            </w:r>
          </w:p>
        </w:tc>
      </w:tr>
      <w:tr>
        <w:trPr>
          <w:trHeight w:val="29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Total budget (€)</w:t>
            </w:r>
          </w:p>
        </w:tc>
        <w:tc>
          <w:tcPr>
            <w:tcW w:w="173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113 000 000</w:t>
            </w:r>
          </w:p>
        </w:tc>
        <w:tc>
          <w:tcPr>
            <w:tcW w:w="173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142 500 000</w:t>
            </w:r>
          </w:p>
        </w:tc>
        <w:tc>
          <w:tcPr>
            <w:tcW w:w="173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188 600 000</w:t>
            </w:r>
          </w:p>
        </w:tc>
        <w:tc>
          <w:tcPr>
            <w:tcW w:w="1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201 100 000</w:t>
            </w:r>
          </w:p>
        </w:tc>
      </w:tr>
    </w:tbl>
    <w:p>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number of proposals submitted throughout the implementation period was testament to operators’ consistent interest in the scheme. The amounts requested, for both ‘simple’ and ‘multi’ programmes, always exceeded the available budget, resulting in stiff competition between proposals. The year</w:t>
      </w:r>
      <w:r>
        <w:rPr>
          <w:rFonts w:ascii="Times New Roman" w:hAnsi="Times New Roman" w:cs="Times New Roman"/>
          <w:noProof/>
          <w:sz w:val="24"/>
          <w:szCs w:val="24"/>
        </w:rPr>
        <w:noBreakHyphen/>
        <w:t>on</w:t>
      </w:r>
      <w:r>
        <w:rPr>
          <w:rFonts w:ascii="Times New Roman" w:hAnsi="Times New Roman" w:cs="Times New Roman"/>
          <w:noProof/>
          <w:sz w:val="24"/>
          <w:szCs w:val="24"/>
        </w:rPr>
        <w:noBreakHyphen/>
        <w:t>year budget increases partly explain a slight drop over the period in the ratio between amounts requested and available funds.</w:t>
      </w:r>
    </w:p>
    <w:p>
      <w:pPr>
        <w:pStyle w:val="Body"/>
        <w:spacing w:after="120"/>
        <w:rPr>
          <w:rFonts w:ascii="Times New Roman" w:hAnsi="Times New Roman"/>
          <w:b/>
          <w:i/>
          <w:noProof/>
          <w:sz w:val="24"/>
          <w:szCs w:val="24"/>
        </w:rPr>
      </w:pPr>
      <w:r>
        <w:rPr>
          <w:rFonts w:ascii="Times New Roman" w:hAnsi="Times New Roman"/>
          <w:b/>
          <w:i/>
          <w:noProof/>
          <w:sz w:val="24"/>
          <w:szCs w:val="24"/>
        </w:rPr>
        <w:t xml:space="preserve">Table 2: </w:t>
      </w:r>
      <w:r>
        <w:rPr>
          <w:rFonts w:ascii="Times New Roman" w:hAnsi="Times New Roman"/>
          <w:b/>
          <w:i/>
          <w:noProof/>
          <w:sz w:val="24"/>
          <w:szCs w:val="24"/>
        </w:rPr>
        <w:tab/>
        <w:t>Budget allocated to ‘simple’ and ‘multi’ programmes, 2016</w:t>
      </w:r>
      <w:r>
        <w:rPr>
          <w:rFonts w:ascii="Times New Roman" w:hAnsi="Times New Roman"/>
          <w:b/>
          <w:i/>
          <w:noProof/>
          <w:sz w:val="24"/>
          <w:szCs w:val="24"/>
        </w:rPr>
        <w:noBreakHyphen/>
        <w:t>2019</w:t>
      </w:r>
    </w:p>
    <w:tbl>
      <w:tblPr>
        <w:tblStyle w:val="TableGrid"/>
        <w:tblW w:w="5000" w:type="pct"/>
        <w:tblLook w:val="04A0" w:firstRow="1" w:lastRow="0" w:firstColumn="1" w:lastColumn="0" w:noHBand="0" w:noVBand="1"/>
      </w:tblPr>
      <w:tblGrid>
        <w:gridCol w:w="1150"/>
        <w:gridCol w:w="1856"/>
        <w:gridCol w:w="2270"/>
        <w:gridCol w:w="2082"/>
        <w:gridCol w:w="1930"/>
      </w:tblGrid>
      <w:tr>
        <w:tc>
          <w:tcPr>
            <w:tcW w:w="619" w:type="pct"/>
            <w:shd w:val="clear" w:color="auto" w:fill="auto"/>
            <w:hideMark/>
          </w:tcPr>
          <w:p>
            <w:pPr>
              <w:keepNext/>
              <w:keepLines/>
              <w:spacing w:before="60" w:after="60"/>
              <w:jc w:val="center"/>
              <w:rPr>
                <w:rFonts w:ascii="Times New Roman" w:hAnsi="Times New Roman" w:cs="Times New Roman"/>
                <w:b/>
                <w:noProof/>
                <w:sz w:val="24"/>
                <w:szCs w:val="24"/>
              </w:rPr>
            </w:pPr>
            <w:r>
              <w:rPr>
                <w:rFonts w:ascii="Times New Roman" w:hAnsi="Times New Roman" w:cs="Times New Roman"/>
                <w:b/>
                <w:noProof/>
                <w:sz w:val="24"/>
                <w:szCs w:val="24"/>
              </w:rPr>
              <w:t>Year</w:t>
            </w:r>
          </w:p>
        </w:tc>
        <w:tc>
          <w:tcPr>
            <w:tcW w:w="999" w:type="pct"/>
            <w:shd w:val="clear" w:color="auto" w:fill="auto"/>
            <w:hideMark/>
          </w:tcPr>
          <w:p>
            <w:pPr>
              <w:keepNext/>
              <w:keepLines/>
              <w:spacing w:before="60" w:after="60"/>
              <w:jc w:val="center"/>
              <w:rPr>
                <w:rFonts w:ascii="Times New Roman" w:hAnsi="Times New Roman" w:cs="Times New Roman"/>
                <w:b/>
                <w:noProof/>
                <w:sz w:val="24"/>
                <w:szCs w:val="24"/>
              </w:rPr>
            </w:pPr>
            <w:r>
              <w:rPr>
                <w:rFonts w:ascii="Times New Roman" w:hAnsi="Times New Roman" w:cs="Times New Roman"/>
                <w:b/>
                <w:noProof/>
                <w:sz w:val="24"/>
                <w:szCs w:val="24"/>
              </w:rPr>
              <w:t>No. of proposals</w:t>
            </w:r>
          </w:p>
        </w:tc>
        <w:tc>
          <w:tcPr>
            <w:tcW w:w="1222" w:type="pct"/>
            <w:shd w:val="clear" w:color="auto" w:fill="auto"/>
            <w:hideMark/>
          </w:tcPr>
          <w:p>
            <w:pPr>
              <w:pStyle w:val="ListParagraph"/>
              <w:keepNext/>
              <w:keepLines/>
              <w:numPr>
                <w:ilvl w:val="0"/>
                <w:numId w:val="32"/>
              </w:numPr>
              <w:spacing w:before="60" w:after="60"/>
              <w:ind w:left="360"/>
              <w:jc w:val="both"/>
              <w:rPr>
                <w:rFonts w:ascii="Times New Roman" w:hAnsi="Times New Roman" w:cs="Times New Roman"/>
                <w:b/>
                <w:noProof/>
                <w:sz w:val="24"/>
                <w:szCs w:val="24"/>
              </w:rPr>
            </w:pPr>
            <w:r>
              <w:rPr>
                <w:rFonts w:ascii="Times New Roman" w:hAnsi="Times New Roman" w:cs="Times New Roman"/>
                <w:b/>
                <w:noProof/>
                <w:sz w:val="24"/>
                <w:szCs w:val="24"/>
              </w:rPr>
              <w:t>requested amounts (€)</w:t>
            </w:r>
          </w:p>
        </w:tc>
        <w:tc>
          <w:tcPr>
            <w:tcW w:w="1121" w:type="pct"/>
            <w:shd w:val="clear" w:color="auto" w:fill="auto"/>
            <w:hideMark/>
          </w:tcPr>
          <w:p>
            <w:pPr>
              <w:pStyle w:val="ListParagraph"/>
              <w:keepNext/>
              <w:keepLines/>
              <w:numPr>
                <w:ilvl w:val="0"/>
                <w:numId w:val="32"/>
              </w:numPr>
              <w:spacing w:before="60" w:after="60"/>
              <w:ind w:left="357"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available funds (€)</w:t>
            </w:r>
          </w:p>
        </w:tc>
        <w:tc>
          <w:tcPr>
            <w:tcW w:w="1039" w:type="pct"/>
            <w:shd w:val="clear" w:color="auto" w:fill="auto"/>
            <w:hideMark/>
          </w:tcPr>
          <w:p>
            <w:pPr>
              <w:keepNext/>
              <w:keepLines/>
              <w:spacing w:before="60" w:after="60"/>
              <w:jc w:val="center"/>
              <w:rPr>
                <w:rFonts w:ascii="Times New Roman" w:hAnsi="Times New Roman" w:cs="Times New Roman"/>
                <w:b/>
                <w:noProof/>
                <w:sz w:val="24"/>
                <w:szCs w:val="24"/>
              </w:rPr>
            </w:pPr>
            <w:r>
              <w:rPr>
                <w:rFonts w:ascii="Times New Roman" w:hAnsi="Times New Roman" w:cs="Times New Roman"/>
                <w:b/>
                <w:noProof/>
                <w:sz w:val="24"/>
                <w:szCs w:val="24"/>
              </w:rPr>
              <w:t xml:space="preserve">(1) vs (2) </w:t>
            </w:r>
            <w:r>
              <w:rPr>
                <w:rFonts w:ascii="Times New Roman" w:hAnsi="Times New Roman" w:cs="Times New Roman"/>
                <w:b/>
                <w:noProof/>
                <w:sz w:val="24"/>
                <w:szCs w:val="24"/>
              </w:rPr>
              <w:br/>
              <w:t>(%)</w:t>
            </w:r>
          </w:p>
        </w:tc>
      </w:tr>
      <w:tr>
        <w:tc>
          <w:tcPr>
            <w:tcW w:w="5000" w:type="pct"/>
            <w:gridSpan w:val="5"/>
            <w:shd w:val="clear" w:color="auto" w:fill="auto"/>
            <w:hideMark/>
          </w:tcPr>
          <w:p>
            <w:pPr>
              <w:keepNext/>
              <w:keepLines/>
              <w:spacing w:before="60" w:after="60"/>
              <w:rPr>
                <w:rFonts w:ascii="Times New Roman" w:hAnsi="Times New Roman" w:cs="Times New Roman"/>
                <w:b/>
                <w:noProof/>
                <w:sz w:val="24"/>
                <w:szCs w:val="24"/>
              </w:rPr>
            </w:pPr>
            <w:r>
              <w:rPr>
                <w:rFonts w:ascii="Times New Roman" w:hAnsi="Times New Roman" w:cs="Times New Roman"/>
                <w:b/>
                <w:noProof/>
                <w:sz w:val="24"/>
                <w:szCs w:val="24"/>
              </w:rPr>
              <w:t>‘Simple’ programmes</w:t>
            </w:r>
          </w:p>
        </w:tc>
      </w:tr>
      <w:tr>
        <w:tc>
          <w:tcPr>
            <w:tcW w:w="619" w:type="pct"/>
            <w:shd w:val="clear" w:color="auto" w:fill="auto"/>
            <w:hideMark/>
          </w:tcPr>
          <w:p>
            <w:pPr>
              <w:keepNext/>
              <w:keepLines/>
              <w:spacing w:before="60" w:after="60"/>
              <w:jc w:val="center"/>
              <w:rPr>
                <w:rFonts w:ascii="Times New Roman" w:hAnsi="Times New Roman" w:cs="Times New Roman"/>
                <w:noProof/>
                <w:sz w:val="24"/>
                <w:szCs w:val="24"/>
              </w:rPr>
            </w:pPr>
            <w:r>
              <w:rPr>
                <w:rFonts w:ascii="Times New Roman" w:hAnsi="Times New Roman" w:cs="Times New Roman"/>
                <w:noProof/>
                <w:sz w:val="24"/>
                <w:szCs w:val="24"/>
              </w:rPr>
              <w:t>2016</w:t>
            </w:r>
          </w:p>
        </w:tc>
        <w:tc>
          <w:tcPr>
            <w:tcW w:w="999"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199</w:t>
            </w:r>
          </w:p>
        </w:tc>
        <w:tc>
          <w:tcPr>
            <w:tcW w:w="1222"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310 470 913</w:t>
            </w:r>
          </w:p>
        </w:tc>
        <w:tc>
          <w:tcPr>
            <w:tcW w:w="1121"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97 000 000</w:t>
            </w:r>
          </w:p>
        </w:tc>
        <w:tc>
          <w:tcPr>
            <w:tcW w:w="1039" w:type="pct"/>
            <w:shd w:val="clear" w:color="auto" w:fill="auto"/>
            <w:hideMark/>
          </w:tcPr>
          <w:p>
            <w:pPr>
              <w:keepNext/>
              <w:keepLines/>
              <w:spacing w:before="60" w:after="60"/>
              <w:jc w:val="center"/>
              <w:rPr>
                <w:rFonts w:ascii="Times New Roman" w:hAnsi="Times New Roman" w:cs="Times New Roman"/>
                <w:bCs/>
                <w:noProof/>
                <w:sz w:val="24"/>
                <w:szCs w:val="24"/>
              </w:rPr>
            </w:pPr>
            <w:r>
              <w:rPr>
                <w:rFonts w:ascii="Times New Roman" w:hAnsi="Times New Roman" w:cs="Times New Roman"/>
                <w:bCs/>
                <w:noProof/>
                <w:sz w:val="24"/>
                <w:szCs w:val="24"/>
              </w:rPr>
              <w:t>320%</w:t>
            </w:r>
          </w:p>
        </w:tc>
      </w:tr>
      <w:tr>
        <w:tc>
          <w:tcPr>
            <w:tcW w:w="619" w:type="pct"/>
            <w:shd w:val="clear" w:color="auto" w:fill="auto"/>
            <w:hideMark/>
          </w:tcPr>
          <w:p>
            <w:pPr>
              <w:keepNext/>
              <w:keepLines/>
              <w:spacing w:before="60" w:after="60"/>
              <w:jc w:val="center"/>
              <w:rPr>
                <w:rFonts w:ascii="Times New Roman" w:hAnsi="Times New Roman" w:cs="Times New Roman"/>
                <w:noProof/>
                <w:sz w:val="24"/>
                <w:szCs w:val="24"/>
              </w:rPr>
            </w:pPr>
            <w:r>
              <w:rPr>
                <w:rFonts w:ascii="Times New Roman" w:hAnsi="Times New Roman" w:cs="Times New Roman"/>
                <w:noProof/>
                <w:sz w:val="24"/>
                <w:szCs w:val="24"/>
              </w:rPr>
              <w:t>2017</w:t>
            </w:r>
          </w:p>
        </w:tc>
        <w:tc>
          <w:tcPr>
            <w:tcW w:w="999"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189</w:t>
            </w:r>
          </w:p>
        </w:tc>
        <w:tc>
          <w:tcPr>
            <w:tcW w:w="1222"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306 434 124</w:t>
            </w:r>
          </w:p>
        </w:tc>
        <w:tc>
          <w:tcPr>
            <w:tcW w:w="1121"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90 000 000</w:t>
            </w:r>
          </w:p>
        </w:tc>
        <w:tc>
          <w:tcPr>
            <w:tcW w:w="1039" w:type="pct"/>
            <w:shd w:val="clear" w:color="auto" w:fill="auto"/>
            <w:hideMark/>
          </w:tcPr>
          <w:p>
            <w:pPr>
              <w:keepNext/>
              <w:keepLines/>
              <w:spacing w:before="60" w:after="60"/>
              <w:jc w:val="center"/>
              <w:rPr>
                <w:rFonts w:ascii="Times New Roman" w:hAnsi="Times New Roman" w:cs="Times New Roman"/>
                <w:bCs/>
                <w:noProof/>
                <w:sz w:val="24"/>
                <w:szCs w:val="24"/>
              </w:rPr>
            </w:pPr>
            <w:r>
              <w:rPr>
                <w:rFonts w:ascii="Times New Roman" w:hAnsi="Times New Roman" w:cs="Times New Roman"/>
                <w:bCs/>
                <w:noProof/>
                <w:sz w:val="24"/>
                <w:szCs w:val="24"/>
              </w:rPr>
              <w:t>358%</w:t>
            </w:r>
          </w:p>
        </w:tc>
      </w:tr>
      <w:tr>
        <w:tc>
          <w:tcPr>
            <w:tcW w:w="619" w:type="pct"/>
            <w:shd w:val="clear" w:color="auto" w:fill="auto"/>
            <w:hideMark/>
          </w:tcPr>
          <w:p>
            <w:pPr>
              <w:keepNext/>
              <w:keepLines/>
              <w:spacing w:before="60" w:after="60"/>
              <w:jc w:val="center"/>
              <w:rPr>
                <w:rFonts w:ascii="Times New Roman" w:hAnsi="Times New Roman" w:cs="Times New Roman"/>
                <w:noProof/>
                <w:sz w:val="24"/>
                <w:szCs w:val="24"/>
              </w:rPr>
            </w:pPr>
            <w:r>
              <w:rPr>
                <w:rFonts w:ascii="Times New Roman" w:hAnsi="Times New Roman" w:cs="Times New Roman"/>
                <w:noProof/>
                <w:sz w:val="24"/>
                <w:szCs w:val="24"/>
              </w:rPr>
              <w:t>2018</w:t>
            </w:r>
          </w:p>
        </w:tc>
        <w:tc>
          <w:tcPr>
            <w:tcW w:w="999"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146</w:t>
            </w:r>
          </w:p>
        </w:tc>
        <w:tc>
          <w:tcPr>
            <w:tcW w:w="1222"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215 527 021</w:t>
            </w:r>
          </w:p>
        </w:tc>
        <w:tc>
          <w:tcPr>
            <w:tcW w:w="1121"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95 000 000</w:t>
            </w:r>
          </w:p>
        </w:tc>
        <w:tc>
          <w:tcPr>
            <w:tcW w:w="1039" w:type="pct"/>
            <w:shd w:val="clear" w:color="auto" w:fill="auto"/>
            <w:hideMark/>
          </w:tcPr>
          <w:p>
            <w:pPr>
              <w:keepNext/>
              <w:keepLines/>
              <w:spacing w:before="60" w:after="60"/>
              <w:jc w:val="center"/>
              <w:rPr>
                <w:rFonts w:ascii="Times New Roman" w:hAnsi="Times New Roman" w:cs="Times New Roman"/>
                <w:bCs/>
                <w:noProof/>
                <w:sz w:val="24"/>
                <w:szCs w:val="24"/>
              </w:rPr>
            </w:pPr>
            <w:r>
              <w:rPr>
                <w:rFonts w:ascii="Times New Roman" w:hAnsi="Times New Roman" w:cs="Times New Roman"/>
                <w:bCs/>
                <w:noProof/>
                <w:sz w:val="24"/>
                <w:szCs w:val="24"/>
              </w:rPr>
              <w:t>227%</w:t>
            </w:r>
          </w:p>
        </w:tc>
      </w:tr>
      <w:tr>
        <w:tc>
          <w:tcPr>
            <w:tcW w:w="619" w:type="pct"/>
            <w:shd w:val="clear" w:color="auto" w:fill="auto"/>
            <w:hideMark/>
          </w:tcPr>
          <w:p>
            <w:pPr>
              <w:keepNext/>
              <w:keepLines/>
              <w:spacing w:before="60" w:after="60"/>
              <w:jc w:val="center"/>
              <w:rPr>
                <w:rFonts w:ascii="Times New Roman" w:hAnsi="Times New Roman" w:cs="Times New Roman"/>
                <w:noProof/>
                <w:sz w:val="24"/>
                <w:szCs w:val="24"/>
              </w:rPr>
            </w:pPr>
            <w:r>
              <w:rPr>
                <w:rFonts w:ascii="Times New Roman" w:hAnsi="Times New Roman" w:cs="Times New Roman"/>
                <w:noProof/>
                <w:sz w:val="24"/>
                <w:szCs w:val="24"/>
              </w:rPr>
              <w:t>2019</w:t>
            </w:r>
          </w:p>
        </w:tc>
        <w:tc>
          <w:tcPr>
            <w:tcW w:w="999"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109</w:t>
            </w:r>
          </w:p>
        </w:tc>
        <w:tc>
          <w:tcPr>
            <w:tcW w:w="1222"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165 693 403</w:t>
            </w:r>
          </w:p>
        </w:tc>
        <w:tc>
          <w:tcPr>
            <w:tcW w:w="1121"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100 000 000</w:t>
            </w:r>
          </w:p>
        </w:tc>
        <w:tc>
          <w:tcPr>
            <w:tcW w:w="1039" w:type="pct"/>
            <w:shd w:val="clear" w:color="auto" w:fill="auto"/>
            <w:hideMark/>
          </w:tcPr>
          <w:p>
            <w:pPr>
              <w:keepNext/>
              <w:keepLines/>
              <w:spacing w:before="60" w:after="60"/>
              <w:jc w:val="center"/>
              <w:rPr>
                <w:rFonts w:ascii="Times New Roman" w:hAnsi="Times New Roman" w:cs="Times New Roman"/>
                <w:bCs/>
                <w:noProof/>
                <w:sz w:val="24"/>
                <w:szCs w:val="24"/>
              </w:rPr>
            </w:pPr>
            <w:r>
              <w:rPr>
                <w:rFonts w:ascii="Times New Roman" w:hAnsi="Times New Roman" w:cs="Times New Roman"/>
                <w:bCs/>
                <w:noProof/>
                <w:sz w:val="24"/>
                <w:szCs w:val="24"/>
              </w:rPr>
              <w:t>174%</w:t>
            </w:r>
          </w:p>
        </w:tc>
      </w:tr>
      <w:tr>
        <w:tc>
          <w:tcPr>
            <w:tcW w:w="5000" w:type="pct"/>
            <w:gridSpan w:val="5"/>
            <w:shd w:val="clear" w:color="auto" w:fill="auto"/>
            <w:hideMark/>
          </w:tcPr>
          <w:p>
            <w:pPr>
              <w:keepNext/>
              <w:keepLines/>
              <w:spacing w:before="60" w:after="60"/>
              <w:rPr>
                <w:rFonts w:ascii="Times New Roman" w:hAnsi="Times New Roman" w:cs="Times New Roman"/>
                <w:b/>
                <w:noProof/>
                <w:sz w:val="24"/>
                <w:szCs w:val="24"/>
              </w:rPr>
            </w:pPr>
            <w:r>
              <w:rPr>
                <w:rFonts w:ascii="Times New Roman" w:hAnsi="Times New Roman" w:cs="Times New Roman"/>
                <w:b/>
                <w:noProof/>
                <w:sz w:val="24"/>
                <w:szCs w:val="24"/>
              </w:rPr>
              <w:t>‘Multi’ programmes</w:t>
            </w:r>
          </w:p>
        </w:tc>
      </w:tr>
      <w:tr>
        <w:tc>
          <w:tcPr>
            <w:tcW w:w="619" w:type="pct"/>
            <w:shd w:val="clear" w:color="auto" w:fill="auto"/>
            <w:hideMark/>
          </w:tcPr>
          <w:p>
            <w:pPr>
              <w:keepNext/>
              <w:keepLines/>
              <w:spacing w:before="60" w:after="60"/>
              <w:jc w:val="center"/>
              <w:rPr>
                <w:rFonts w:ascii="Times New Roman" w:hAnsi="Times New Roman" w:cs="Times New Roman"/>
                <w:noProof/>
                <w:sz w:val="24"/>
                <w:szCs w:val="24"/>
              </w:rPr>
            </w:pPr>
            <w:r>
              <w:rPr>
                <w:rFonts w:ascii="Times New Roman" w:hAnsi="Times New Roman" w:cs="Times New Roman"/>
                <w:noProof/>
                <w:sz w:val="24"/>
                <w:szCs w:val="24"/>
              </w:rPr>
              <w:t>2016</w:t>
            </w:r>
          </w:p>
        </w:tc>
        <w:tc>
          <w:tcPr>
            <w:tcW w:w="999"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27</w:t>
            </w:r>
          </w:p>
        </w:tc>
        <w:tc>
          <w:tcPr>
            <w:tcW w:w="1222"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116 102 232</w:t>
            </w:r>
          </w:p>
        </w:tc>
        <w:tc>
          <w:tcPr>
            <w:tcW w:w="1121"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14 300 000</w:t>
            </w:r>
          </w:p>
        </w:tc>
        <w:tc>
          <w:tcPr>
            <w:tcW w:w="1039" w:type="pct"/>
            <w:shd w:val="clear" w:color="auto" w:fill="auto"/>
            <w:hideMark/>
          </w:tcPr>
          <w:p>
            <w:pPr>
              <w:keepNext/>
              <w:keepLines/>
              <w:spacing w:before="60" w:after="60"/>
              <w:jc w:val="center"/>
              <w:rPr>
                <w:rFonts w:ascii="Times New Roman" w:hAnsi="Times New Roman" w:cs="Times New Roman"/>
                <w:bCs/>
                <w:noProof/>
                <w:sz w:val="24"/>
                <w:szCs w:val="24"/>
              </w:rPr>
            </w:pPr>
            <w:r>
              <w:rPr>
                <w:rFonts w:ascii="Times New Roman" w:hAnsi="Times New Roman" w:cs="Times New Roman"/>
                <w:bCs/>
                <w:noProof/>
                <w:sz w:val="24"/>
                <w:szCs w:val="24"/>
              </w:rPr>
              <w:t>812%</w:t>
            </w:r>
          </w:p>
        </w:tc>
      </w:tr>
      <w:tr>
        <w:tc>
          <w:tcPr>
            <w:tcW w:w="619" w:type="pct"/>
            <w:hideMark/>
          </w:tcPr>
          <w:p>
            <w:pPr>
              <w:keepNext/>
              <w:keepLines/>
              <w:spacing w:before="60" w:after="60"/>
              <w:jc w:val="center"/>
              <w:rPr>
                <w:rFonts w:ascii="Times New Roman" w:hAnsi="Times New Roman" w:cs="Times New Roman"/>
                <w:noProof/>
                <w:sz w:val="24"/>
                <w:szCs w:val="24"/>
              </w:rPr>
            </w:pPr>
            <w:r>
              <w:rPr>
                <w:rFonts w:ascii="Times New Roman" w:hAnsi="Times New Roman" w:cs="Times New Roman"/>
                <w:noProof/>
                <w:sz w:val="24"/>
                <w:szCs w:val="24"/>
              </w:rPr>
              <w:t>2017</w:t>
            </w:r>
          </w:p>
        </w:tc>
        <w:tc>
          <w:tcPr>
            <w:tcW w:w="999"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35</w:t>
            </w:r>
          </w:p>
        </w:tc>
        <w:tc>
          <w:tcPr>
            <w:tcW w:w="1222"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132 149 762</w:t>
            </w:r>
          </w:p>
        </w:tc>
        <w:tc>
          <w:tcPr>
            <w:tcW w:w="1121"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43 000 000</w:t>
            </w:r>
          </w:p>
        </w:tc>
        <w:tc>
          <w:tcPr>
            <w:tcW w:w="1039" w:type="pct"/>
            <w:hideMark/>
          </w:tcPr>
          <w:p>
            <w:pPr>
              <w:keepNext/>
              <w:keepLines/>
              <w:spacing w:before="60" w:after="60"/>
              <w:jc w:val="center"/>
              <w:rPr>
                <w:rFonts w:ascii="Times New Roman" w:hAnsi="Times New Roman" w:cs="Times New Roman"/>
                <w:bCs/>
                <w:noProof/>
                <w:sz w:val="24"/>
                <w:szCs w:val="24"/>
              </w:rPr>
            </w:pPr>
            <w:r>
              <w:rPr>
                <w:rFonts w:ascii="Times New Roman" w:hAnsi="Times New Roman" w:cs="Times New Roman"/>
                <w:bCs/>
                <w:noProof/>
                <w:sz w:val="24"/>
                <w:szCs w:val="24"/>
              </w:rPr>
              <w:t>307%</w:t>
            </w:r>
          </w:p>
        </w:tc>
      </w:tr>
      <w:tr>
        <w:tc>
          <w:tcPr>
            <w:tcW w:w="619" w:type="pct"/>
            <w:hideMark/>
          </w:tcPr>
          <w:p>
            <w:pPr>
              <w:keepNext/>
              <w:keepLines/>
              <w:spacing w:before="60" w:after="60"/>
              <w:jc w:val="center"/>
              <w:rPr>
                <w:rFonts w:ascii="Times New Roman" w:hAnsi="Times New Roman" w:cs="Times New Roman"/>
                <w:noProof/>
                <w:sz w:val="24"/>
                <w:szCs w:val="24"/>
              </w:rPr>
            </w:pPr>
            <w:r>
              <w:rPr>
                <w:rFonts w:ascii="Times New Roman" w:hAnsi="Times New Roman" w:cs="Times New Roman"/>
                <w:noProof/>
                <w:sz w:val="24"/>
                <w:szCs w:val="24"/>
              </w:rPr>
              <w:t>2018</w:t>
            </w:r>
          </w:p>
        </w:tc>
        <w:tc>
          <w:tcPr>
            <w:tcW w:w="999"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36</w:t>
            </w:r>
          </w:p>
        </w:tc>
        <w:tc>
          <w:tcPr>
            <w:tcW w:w="1222"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110 035 312</w:t>
            </w:r>
          </w:p>
        </w:tc>
        <w:tc>
          <w:tcPr>
            <w:tcW w:w="1121"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79 100 000</w:t>
            </w:r>
          </w:p>
        </w:tc>
        <w:tc>
          <w:tcPr>
            <w:tcW w:w="1039" w:type="pct"/>
            <w:hideMark/>
          </w:tcPr>
          <w:p>
            <w:pPr>
              <w:keepNext/>
              <w:keepLines/>
              <w:spacing w:before="60" w:after="60"/>
              <w:jc w:val="center"/>
              <w:rPr>
                <w:rFonts w:ascii="Times New Roman" w:hAnsi="Times New Roman" w:cs="Times New Roman"/>
                <w:bCs/>
                <w:noProof/>
                <w:sz w:val="24"/>
                <w:szCs w:val="24"/>
              </w:rPr>
            </w:pPr>
            <w:r>
              <w:rPr>
                <w:rFonts w:ascii="Times New Roman" w:hAnsi="Times New Roman" w:cs="Times New Roman"/>
                <w:bCs/>
                <w:noProof/>
                <w:sz w:val="24"/>
                <w:szCs w:val="24"/>
              </w:rPr>
              <w:t>139%</w:t>
            </w:r>
          </w:p>
        </w:tc>
      </w:tr>
      <w:tr>
        <w:tc>
          <w:tcPr>
            <w:tcW w:w="619" w:type="pct"/>
            <w:hideMark/>
          </w:tcPr>
          <w:p>
            <w:pPr>
              <w:keepNext/>
              <w:keepLines/>
              <w:spacing w:before="60" w:after="60"/>
              <w:jc w:val="center"/>
              <w:rPr>
                <w:rFonts w:ascii="Times New Roman" w:hAnsi="Times New Roman" w:cs="Times New Roman"/>
                <w:noProof/>
                <w:sz w:val="24"/>
                <w:szCs w:val="24"/>
              </w:rPr>
            </w:pPr>
            <w:r>
              <w:rPr>
                <w:rFonts w:ascii="Times New Roman" w:hAnsi="Times New Roman" w:cs="Times New Roman"/>
                <w:noProof/>
                <w:sz w:val="24"/>
                <w:szCs w:val="24"/>
              </w:rPr>
              <w:t>2019</w:t>
            </w:r>
          </w:p>
        </w:tc>
        <w:tc>
          <w:tcPr>
            <w:tcW w:w="999"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35</w:t>
            </w:r>
          </w:p>
        </w:tc>
        <w:tc>
          <w:tcPr>
            <w:tcW w:w="1222"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129 777 114</w:t>
            </w:r>
          </w:p>
        </w:tc>
        <w:tc>
          <w:tcPr>
            <w:tcW w:w="1121"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cs="Times New Roman"/>
                <w:bCs/>
                <w:noProof/>
                <w:sz w:val="24"/>
                <w:szCs w:val="24"/>
              </w:rPr>
              <w:t>91 600 000</w:t>
            </w:r>
          </w:p>
        </w:tc>
        <w:tc>
          <w:tcPr>
            <w:tcW w:w="1039" w:type="pct"/>
            <w:hideMark/>
          </w:tcPr>
          <w:p>
            <w:pPr>
              <w:keepNext/>
              <w:keepLines/>
              <w:spacing w:before="60" w:after="60"/>
              <w:jc w:val="center"/>
              <w:rPr>
                <w:rFonts w:ascii="Times New Roman" w:hAnsi="Times New Roman" w:cs="Times New Roman"/>
                <w:bCs/>
                <w:noProof/>
                <w:sz w:val="24"/>
                <w:szCs w:val="24"/>
              </w:rPr>
            </w:pPr>
            <w:r>
              <w:rPr>
                <w:rFonts w:ascii="Times New Roman" w:hAnsi="Times New Roman" w:cs="Times New Roman"/>
                <w:bCs/>
                <w:noProof/>
                <w:sz w:val="24"/>
                <w:szCs w:val="24"/>
              </w:rPr>
              <w:t>150%</w:t>
            </w:r>
          </w:p>
        </w:tc>
      </w:tr>
    </w:tbl>
    <w:p>
      <w:pPr>
        <w:pStyle w:val="Body"/>
        <w:spacing w:before="240"/>
        <w:rPr>
          <w:rFonts w:ascii="Times New Roman" w:hAnsi="Times New Roman"/>
          <w:noProof/>
          <w:sz w:val="24"/>
          <w:szCs w:val="24"/>
        </w:rPr>
      </w:pPr>
      <w:r>
        <w:rPr>
          <w:rFonts w:ascii="Times New Roman" w:hAnsi="Times New Roman"/>
          <w:b/>
          <w:noProof/>
          <w:sz w:val="24"/>
          <w:szCs w:val="24"/>
        </w:rPr>
        <w:t xml:space="preserve">Proposals submitted per type of programme: </w:t>
      </w:r>
      <w:r>
        <w:rPr>
          <w:rFonts w:ascii="Times New Roman" w:hAnsi="Times New Roman"/>
          <w:noProof/>
          <w:sz w:val="24"/>
          <w:szCs w:val="24"/>
        </w:rPr>
        <w:t>Submission statistics show that interest in ‘multi’ programmes grew once potential applicants became more familiar with the requirements of ‘multi’ calls, developed partnerships with organisations in other Member States or built capacity within their association to take part in applications for funding.</w:t>
      </w:r>
    </w:p>
    <w:p>
      <w:pPr>
        <w:pStyle w:val="Body"/>
        <w:spacing w:after="120"/>
        <w:ind w:left="964" w:hanging="964"/>
        <w:rPr>
          <w:rFonts w:ascii="Times New Roman" w:hAnsi="Times New Roman"/>
          <w:b/>
          <w:i/>
          <w:noProof/>
          <w:sz w:val="24"/>
          <w:szCs w:val="24"/>
        </w:rPr>
      </w:pPr>
      <w:r>
        <w:rPr>
          <w:rFonts w:ascii="Times New Roman" w:hAnsi="Times New Roman"/>
          <w:b/>
          <w:i/>
          <w:noProof/>
          <w:sz w:val="24"/>
          <w:szCs w:val="24"/>
        </w:rPr>
        <w:t xml:space="preserve">Table 3: </w:t>
      </w:r>
      <w:r>
        <w:rPr>
          <w:rFonts w:ascii="Times New Roman" w:hAnsi="Times New Roman"/>
          <w:b/>
          <w:i/>
          <w:noProof/>
          <w:sz w:val="24"/>
          <w:szCs w:val="24"/>
        </w:rPr>
        <w:tab/>
        <w:t>Number of proposals submitted, 2016</w:t>
      </w:r>
      <w:r>
        <w:rPr>
          <w:rFonts w:ascii="Times New Roman" w:hAnsi="Times New Roman"/>
          <w:b/>
          <w:i/>
          <w:noProof/>
          <w:sz w:val="24"/>
          <w:szCs w:val="24"/>
        </w:rPr>
        <w:noBreakHyphen/>
        <w:t>2019</w:t>
      </w:r>
    </w:p>
    <w:tbl>
      <w:tblPr>
        <w:tblStyle w:val="TableGrid"/>
        <w:tblW w:w="9322" w:type="dxa"/>
        <w:tblLook w:val="04A0" w:firstRow="1" w:lastRow="0" w:firstColumn="1" w:lastColumn="0" w:noHBand="0" w:noVBand="1"/>
      </w:tblPr>
      <w:tblGrid>
        <w:gridCol w:w="1222"/>
        <w:gridCol w:w="2700"/>
        <w:gridCol w:w="2700"/>
        <w:gridCol w:w="2700"/>
      </w:tblGrid>
      <w:tr>
        <w:tc>
          <w:tcPr>
            <w:tcW w:w="1222" w:type="dxa"/>
            <w:tcBorders>
              <w:top w:val="single" w:sz="4" w:space="0" w:color="auto"/>
              <w:left w:val="single" w:sz="4" w:space="0" w:color="auto"/>
              <w:bottom w:val="single" w:sz="4" w:space="0" w:color="auto"/>
              <w:right w:val="single" w:sz="4" w:space="0" w:color="auto"/>
            </w:tcBorders>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 xml:space="preserve">Year </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‘Simple’</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‘Multi’</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TOTAL</w:t>
            </w:r>
          </w:p>
        </w:tc>
      </w:tr>
      <w:tr>
        <w:tc>
          <w:tcPr>
            <w:tcW w:w="1222"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2016</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199</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27</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b/>
                <w:noProof/>
                <w:sz w:val="24"/>
                <w:szCs w:val="24"/>
              </w:rPr>
            </w:pPr>
            <w:r>
              <w:rPr>
                <w:rFonts w:ascii="Times New Roman" w:hAnsi="Times New Roman"/>
                <w:b/>
                <w:noProof/>
                <w:sz w:val="24"/>
                <w:szCs w:val="24"/>
              </w:rPr>
              <w:t>226</w:t>
            </w:r>
          </w:p>
        </w:tc>
      </w:tr>
      <w:tr>
        <w:tc>
          <w:tcPr>
            <w:tcW w:w="1222"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2017</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189</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35</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b/>
                <w:noProof/>
                <w:sz w:val="24"/>
                <w:szCs w:val="24"/>
              </w:rPr>
            </w:pPr>
            <w:r>
              <w:rPr>
                <w:rFonts w:ascii="Times New Roman" w:hAnsi="Times New Roman"/>
                <w:b/>
                <w:noProof/>
                <w:sz w:val="24"/>
                <w:szCs w:val="24"/>
              </w:rPr>
              <w:t>224</w:t>
            </w:r>
          </w:p>
        </w:tc>
      </w:tr>
      <w:tr>
        <w:tc>
          <w:tcPr>
            <w:tcW w:w="1222"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2018</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146</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36</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b/>
                <w:noProof/>
                <w:sz w:val="24"/>
                <w:szCs w:val="24"/>
              </w:rPr>
            </w:pPr>
            <w:r>
              <w:rPr>
                <w:rFonts w:ascii="Times New Roman" w:hAnsi="Times New Roman"/>
                <w:b/>
                <w:noProof/>
                <w:sz w:val="24"/>
                <w:szCs w:val="24"/>
              </w:rPr>
              <w:t>182</w:t>
            </w:r>
          </w:p>
        </w:tc>
      </w:tr>
      <w:tr>
        <w:tc>
          <w:tcPr>
            <w:tcW w:w="1222"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2019</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109</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35</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b/>
                <w:noProof/>
                <w:sz w:val="24"/>
                <w:szCs w:val="24"/>
              </w:rPr>
            </w:pPr>
            <w:r>
              <w:rPr>
                <w:rFonts w:ascii="Times New Roman" w:hAnsi="Times New Roman"/>
                <w:b/>
                <w:noProof/>
                <w:sz w:val="24"/>
                <w:szCs w:val="24"/>
              </w:rPr>
              <w:t>144</w:t>
            </w:r>
          </w:p>
        </w:tc>
      </w:tr>
    </w:tbl>
    <w:p>
      <w:pPr>
        <w:pStyle w:val="Body"/>
        <w:spacing w:before="240"/>
        <w:rPr>
          <w:rFonts w:ascii="Times New Roman" w:hAnsi="Times New Roman"/>
          <w:noProof/>
          <w:sz w:val="24"/>
          <w:szCs w:val="24"/>
        </w:rPr>
      </w:pPr>
      <w:r>
        <w:rPr>
          <w:rFonts w:ascii="Times New Roman" w:hAnsi="Times New Roman"/>
          <w:b/>
          <w:noProof/>
          <w:sz w:val="24"/>
          <w:szCs w:val="24"/>
        </w:rPr>
        <w:t>Proposals awarded funding per type of programme:</w:t>
      </w:r>
      <w:r>
        <w:rPr>
          <w:rFonts w:ascii="Times New Roman" w:hAnsi="Times New Roman"/>
          <w:noProof/>
          <w:sz w:val="24"/>
          <w:szCs w:val="24"/>
        </w:rPr>
        <w:t xml:space="preserve"> Table 4 shows the number of ‘simple’ and ‘multi’ programmes selected from the start of the implementation period, the product/product category that absorbed the biggest proportion of the budget and the number of Member States in which beneficiaries were located (Member State coverage).</w:t>
      </w:r>
    </w:p>
    <w:p>
      <w:pPr>
        <w:pStyle w:val="Body"/>
        <w:rPr>
          <w:rFonts w:ascii="Times New Roman" w:hAnsi="Times New Roman"/>
          <w:noProof/>
          <w:sz w:val="24"/>
          <w:szCs w:val="24"/>
        </w:rPr>
      </w:pPr>
      <w:r>
        <w:rPr>
          <w:rFonts w:ascii="Times New Roman" w:hAnsi="Times New Roman"/>
          <w:noProof/>
          <w:sz w:val="24"/>
          <w:szCs w:val="24"/>
        </w:rPr>
        <w:t>The statistics show a steady rise in the number of ‘multi’ programmes selected and a stable number of ‘simple’ programmes. For ‘simple’ programmes, fruit &amp; vegetables were the top product category. For ‘multi’ programmes, the organic sector absorbed half of the budget in 2016, fruit &amp; vegetables were the top category in 2017, wine, cider &amp; vinegar in 2018 and baskets of different products in 2019.</w:t>
      </w:r>
    </w:p>
    <w:p>
      <w:pPr>
        <w:pStyle w:val="Body"/>
        <w:spacing w:after="120"/>
        <w:ind w:left="964" w:hanging="964"/>
        <w:rPr>
          <w:rFonts w:ascii="Times New Roman" w:hAnsi="Times New Roman"/>
          <w:b/>
          <w:i/>
          <w:noProof/>
          <w:sz w:val="24"/>
          <w:szCs w:val="24"/>
        </w:rPr>
      </w:pPr>
      <w:r>
        <w:rPr>
          <w:rFonts w:ascii="Times New Roman" w:hAnsi="Times New Roman"/>
          <w:b/>
          <w:i/>
          <w:noProof/>
          <w:sz w:val="24"/>
          <w:szCs w:val="24"/>
        </w:rPr>
        <w:t xml:space="preserve">Table 4: </w:t>
      </w:r>
      <w:r>
        <w:rPr>
          <w:rFonts w:ascii="Times New Roman" w:hAnsi="Times New Roman"/>
          <w:b/>
          <w:i/>
          <w:noProof/>
          <w:sz w:val="24"/>
          <w:szCs w:val="24"/>
        </w:rPr>
        <w:tab/>
        <w:t>Number of proposals selected for funding, 2016</w:t>
      </w:r>
      <w:r>
        <w:rPr>
          <w:rFonts w:ascii="Times New Roman" w:hAnsi="Times New Roman"/>
          <w:b/>
          <w:i/>
          <w:noProof/>
          <w:sz w:val="24"/>
          <w:szCs w:val="24"/>
        </w:rPr>
        <w:noBreakHyphen/>
        <w:t>2019</w:t>
      </w:r>
    </w:p>
    <w:tbl>
      <w:tblPr>
        <w:tblStyle w:val="TableGrid"/>
        <w:tblW w:w="9322" w:type="dxa"/>
        <w:tblLayout w:type="fixed"/>
        <w:tblLook w:val="04A0" w:firstRow="1" w:lastRow="0" w:firstColumn="1" w:lastColumn="0" w:noHBand="0" w:noVBand="1"/>
      </w:tblPr>
      <w:tblGrid>
        <w:gridCol w:w="1242"/>
        <w:gridCol w:w="1134"/>
        <w:gridCol w:w="1134"/>
        <w:gridCol w:w="1134"/>
        <w:gridCol w:w="2410"/>
        <w:gridCol w:w="1134"/>
        <w:gridCol w:w="1134"/>
      </w:tblGrid>
      <w:tr>
        <w:tc>
          <w:tcPr>
            <w:tcW w:w="1242" w:type="dxa"/>
            <w:tcBorders>
              <w:top w:val="single" w:sz="4" w:space="0" w:color="auto"/>
              <w:left w:val="single" w:sz="4" w:space="0" w:color="auto"/>
              <w:bottom w:val="single" w:sz="4" w:space="0" w:color="auto"/>
              <w:right w:val="single" w:sz="4" w:space="0" w:color="auto"/>
            </w:tcBorders>
          </w:tcPr>
          <w:p>
            <w:pPr>
              <w:spacing w:before="60" w:after="60"/>
              <w:jc w:val="center"/>
              <w:rPr>
                <w:rFonts w:ascii="Times New Roman" w:hAnsi="Times New Roman" w:cs="Times New Roman"/>
                <w:b/>
                <w:noProof/>
                <w:sz w:val="24"/>
                <w:szCs w:val="24"/>
              </w:rPr>
            </w:pPr>
            <w:r>
              <w:rPr>
                <w:rFonts w:ascii="Times New Roman" w:hAnsi="Times New Roman" w:cs="Times New Roman"/>
                <w:b/>
                <w:noProof/>
                <w:sz w:val="24"/>
                <w:szCs w:val="24"/>
              </w:rPr>
              <w:t>Year</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cs="Times New Roman"/>
                <w:b/>
                <w:noProof/>
                <w:sz w:val="24"/>
                <w:szCs w:val="24"/>
              </w:rPr>
              <w:t>‘Simple’</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cs="Times New Roman"/>
                <w:b/>
                <w:noProof/>
                <w:sz w:val="24"/>
                <w:szCs w:val="24"/>
              </w:rPr>
              <w:t>‘Multi’</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cs="Times New Roman"/>
                <w:b/>
                <w:noProof/>
                <w:sz w:val="24"/>
                <w:szCs w:val="24"/>
              </w:rPr>
              <w:t>TOTAL</w:t>
            </w: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cs="Times New Roman"/>
                <w:b/>
                <w:noProof/>
                <w:sz w:val="24"/>
                <w:szCs w:val="24"/>
              </w:rPr>
              <w:t>Top product category</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cs="Times New Roman"/>
                <w:b/>
                <w:noProof/>
                <w:sz w:val="24"/>
                <w:szCs w:val="24"/>
              </w:rPr>
              <w:t>Budget share (%)</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cs="Times New Roman"/>
                <w:b/>
                <w:noProof/>
                <w:sz w:val="24"/>
                <w:szCs w:val="24"/>
              </w:rPr>
              <w:t xml:space="preserve">Member State coverage </w:t>
            </w:r>
          </w:p>
        </w:tc>
      </w:tr>
      <w:tr>
        <w:tc>
          <w:tcPr>
            <w:tcW w:w="1242" w:type="dxa"/>
            <w:vMerge w:val="restart"/>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cs="Times New Roman"/>
                <w:b/>
                <w:noProof/>
                <w:sz w:val="24"/>
                <w:szCs w:val="24"/>
              </w:rPr>
              <w:t>2016</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cs="Times New Roman"/>
                <w:noProof/>
                <w:sz w:val="24"/>
                <w:szCs w:val="24"/>
              </w:rPr>
              <w:t>60</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cs="Times New Roman"/>
                <w:noProof/>
                <w:sz w:val="24"/>
                <w:szCs w:val="24"/>
              </w:rPr>
              <w:t>6</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cs="Times New Roman"/>
                <w:noProof/>
                <w:sz w:val="24"/>
                <w:szCs w:val="24"/>
              </w:rPr>
              <w:t>66</w:t>
            </w: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cs="Times New Roman"/>
                <w:noProof/>
                <w:sz w:val="24"/>
                <w:szCs w:val="24"/>
              </w:rPr>
              <w:t>‘Simple’ – fruit &amp; veg.</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rPr>
              <w:t>30%</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rPr>
              <w:t>16 MS</w:t>
            </w:r>
          </w:p>
        </w:tc>
      </w:tr>
      <w:tr>
        <w:tc>
          <w:tcPr>
            <w:tcW w:w="1242"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b/>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cs="Times New Roman"/>
                <w:noProof/>
                <w:sz w:val="24"/>
                <w:szCs w:val="24"/>
              </w:rPr>
              <w:t>‘Multi’ – organic</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rPr>
              <w:t>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noProof/>
                <w:sz w:val="24"/>
                <w:szCs w:val="24"/>
              </w:rPr>
            </w:pPr>
          </w:p>
        </w:tc>
      </w:tr>
      <w:tr>
        <w:tc>
          <w:tcPr>
            <w:tcW w:w="1242" w:type="dxa"/>
            <w:vMerge w:val="restart"/>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cs="Times New Roman"/>
                <w:b/>
                <w:noProof/>
                <w:sz w:val="24"/>
                <w:szCs w:val="24"/>
              </w:rPr>
              <w:t>2017</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cs="Times New Roman"/>
                <w:noProof/>
                <w:sz w:val="24"/>
                <w:szCs w:val="24"/>
              </w:rPr>
              <w:t>53</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cs="Times New Roman"/>
                <w:noProof/>
                <w:sz w:val="24"/>
                <w:szCs w:val="24"/>
              </w:rPr>
              <w:t>10</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cs="Times New Roman"/>
                <w:noProof/>
                <w:sz w:val="24"/>
                <w:szCs w:val="24"/>
              </w:rPr>
              <w:t>63</w:t>
            </w: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cs="Times New Roman"/>
                <w:noProof/>
                <w:sz w:val="24"/>
                <w:szCs w:val="24"/>
              </w:rPr>
              <w:t xml:space="preserve">‘Simple’— basket of products </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rPr>
              <w:t>23%</w:t>
            </w:r>
          </w:p>
        </w:tc>
        <w:tc>
          <w:tcPr>
            <w:tcW w:w="1134" w:type="dxa"/>
            <w:vMerge w:val="restart"/>
            <w:tcBorders>
              <w:top w:val="single" w:sz="4" w:space="0" w:color="auto"/>
              <w:left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rPr>
              <w:t>18 MS</w:t>
            </w:r>
          </w:p>
        </w:tc>
      </w:tr>
      <w:tr>
        <w:tc>
          <w:tcPr>
            <w:tcW w:w="1242"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b/>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cs="Times New Roman"/>
                <w:noProof/>
                <w:sz w:val="24"/>
                <w:szCs w:val="24"/>
              </w:rPr>
              <w:t>‘Multi’ – fruit &amp; veg.</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rPr>
              <w:t>19%</w:t>
            </w:r>
          </w:p>
        </w:tc>
        <w:tc>
          <w:tcPr>
            <w:tcW w:w="1134" w:type="dxa"/>
            <w:vMerge/>
            <w:tcBorders>
              <w:left w:val="single" w:sz="4" w:space="0" w:color="auto"/>
              <w:bottom w:val="single" w:sz="4" w:space="0" w:color="auto"/>
              <w:right w:val="single" w:sz="4" w:space="0" w:color="auto"/>
            </w:tcBorders>
          </w:tcPr>
          <w:p>
            <w:pPr>
              <w:spacing w:before="60" w:after="60"/>
              <w:jc w:val="center"/>
              <w:rPr>
                <w:rFonts w:ascii="Times New Roman" w:hAnsi="Times New Roman" w:cs="Times New Roman"/>
                <w:noProof/>
                <w:sz w:val="24"/>
                <w:szCs w:val="24"/>
              </w:rPr>
            </w:pPr>
          </w:p>
        </w:tc>
      </w:tr>
      <w:tr>
        <w:tc>
          <w:tcPr>
            <w:tcW w:w="1242" w:type="dxa"/>
            <w:vMerge w:val="restart"/>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cs="Times New Roman"/>
                <w:b/>
                <w:noProof/>
                <w:sz w:val="24"/>
                <w:szCs w:val="24"/>
              </w:rPr>
              <w:t>2018</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cs="Times New Roman"/>
                <w:noProof/>
                <w:sz w:val="24"/>
                <w:szCs w:val="24"/>
              </w:rPr>
              <w:t>58</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cs="Times New Roman"/>
                <w:noProof/>
                <w:sz w:val="24"/>
                <w:szCs w:val="24"/>
              </w:rPr>
              <w:t>21</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cs="Times New Roman"/>
                <w:noProof/>
                <w:sz w:val="24"/>
                <w:szCs w:val="24"/>
              </w:rPr>
              <w:t>79</w:t>
            </w: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cs="Times New Roman"/>
                <w:noProof/>
                <w:sz w:val="24"/>
                <w:szCs w:val="24"/>
              </w:rPr>
              <w:t>‘Simple’ – fruit &amp; veg.</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rPr>
              <w:t>31%</w:t>
            </w:r>
          </w:p>
        </w:tc>
        <w:tc>
          <w:tcPr>
            <w:tcW w:w="1134" w:type="dxa"/>
            <w:vMerge w:val="restart"/>
            <w:tcBorders>
              <w:top w:val="single" w:sz="4" w:space="0" w:color="auto"/>
              <w:left w:val="single" w:sz="4" w:space="0" w:color="auto"/>
              <w:bottom w:val="single" w:sz="4" w:space="0" w:color="auto"/>
              <w:right w:val="single" w:sz="4" w:space="0" w:color="auto"/>
            </w:tcBorders>
          </w:tcPr>
          <w:p>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rPr>
              <w:t>18 MS</w:t>
            </w:r>
          </w:p>
        </w:tc>
      </w:tr>
      <w:tr>
        <w:tc>
          <w:tcPr>
            <w:tcW w:w="1242"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b/>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cs="Times New Roman"/>
                <w:noProof/>
                <w:sz w:val="24"/>
                <w:szCs w:val="24"/>
              </w:rPr>
              <w:t xml:space="preserve">‘Multi’ – wine, cider &amp; vinegar </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rPr>
              <w:t>26%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noProof/>
                <w:sz w:val="24"/>
                <w:szCs w:val="24"/>
              </w:rPr>
            </w:pPr>
          </w:p>
        </w:tc>
      </w:tr>
      <w:tr>
        <w:tc>
          <w:tcPr>
            <w:tcW w:w="1242"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cs="Times New Roman"/>
                <w:b/>
                <w:noProo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cs="Times New Roman"/>
                <w:noProof/>
                <w:sz w:val="24"/>
                <w:szCs w:val="24"/>
              </w:rPr>
              <w:t>56</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cs="Times New Roman"/>
                <w:noProof/>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cs="Times New Roman"/>
                <w:noProof/>
                <w:sz w:val="24"/>
                <w:szCs w:val="24"/>
              </w:rPr>
              <w:t xml:space="preserve">81 </w:t>
            </w: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cs="Times New Roman"/>
                <w:noProof/>
                <w:sz w:val="24"/>
                <w:szCs w:val="24"/>
              </w:rPr>
              <w:t>‘Simple’ – fruit &amp; veg.</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rPr>
              <w:t>14 MS</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b/>
                <w:noProof/>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cs="Times New Roman"/>
                <w:noProof/>
                <w:sz w:val="24"/>
                <w:szCs w:val="24"/>
              </w:rPr>
              <w:t xml:space="preserve">‘Multi’ – basket of products </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noProof/>
                <w:sz w:val="24"/>
                <w:szCs w:val="24"/>
              </w:rPr>
            </w:pPr>
          </w:p>
        </w:tc>
      </w:tr>
    </w:tbl>
    <w:p>
      <w:pPr>
        <w:pStyle w:val="Body"/>
        <w:spacing w:before="240"/>
        <w:rPr>
          <w:rFonts w:ascii="Times New Roman" w:hAnsi="Times New Roman"/>
          <w:noProof/>
          <w:sz w:val="24"/>
          <w:szCs w:val="24"/>
        </w:rPr>
      </w:pPr>
      <w:r>
        <w:rPr>
          <w:rFonts w:ascii="Times New Roman" w:hAnsi="Times New Roman"/>
          <w:b/>
          <w:noProof/>
          <w:sz w:val="24"/>
          <w:szCs w:val="24"/>
        </w:rPr>
        <w:t>Programmes implemented, by target market (EU or non</w:t>
      </w:r>
      <w:r>
        <w:rPr>
          <w:rFonts w:ascii="Times New Roman" w:hAnsi="Times New Roman"/>
          <w:b/>
          <w:noProof/>
          <w:sz w:val="24"/>
          <w:szCs w:val="24"/>
        </w:rPr>
        <w:noBreakHyphen/>
        <w:t xml:space="preserve">EU): </w:t>
      </w:r>
      <w:r>
        <w:rPr>
          <w:rFonts w:ascii="Times New Roman" w:hAnsi="Times New Roman"/>
          <w:noProof/>
          <w:sz w:val="24"/>
          <w:szCs w:val="24"/>
        </w:rPr>
        <w:t>An increase in the number of programmes targeting non</w:t>
      </w:r>
      <w:r>
        <w:rPr>
          <w:rFonts w:ascii="Times New Roman" w:hAnsi="Times New Roman"/>
          <w:noProof/>
          <w:sz w:val="24"/>
          <w:szCs w:val="24"/>
        </w:rPr>
        <w:noBreakHyphen/>
        <w:t>EU countries and ‘multi’ programmes were specific objectives of the 2014 reform (see Section 1.2).</w:t>
      </w:r>
    </w:p>
    <w:p>
      <w:pPr>
        <w:pStyle w:val="Body"/>
        <w:rPr>
          <w:rFonts w:ascii="Times New Roman" w:hAnsi="Times New Roman"/>
          <w:noProof/>
          <w:sz w:val="24"/>
          <w:szCs w:val="24"/>
        </w:rPr>
      </w:pPr>
      <w:r>
        <w:rPr>
          <w:rFonts w:ascii="Times New Roman" w:hAnsi="Times New Roman"/>
          <w:noProof/>
          <w:sz w:val="24"/>
          <w:szCs w:val="24"/>
        </w:rPr>
        <w:t>The increase in the proportion of programmes targeting non</w:t>
      </w:r>
      <w:r>
        <w:rPr>
          <w:rFonts w:ascii="Times New Roman" w:hAnsi="Times New Roman"/>
          <w:noProof/>
          <w:sz w:val="24"/>
          <w:szCs w:val="24"/>
        </w:rPr>
        <w:noBreakHyphen/>
        <w:t>EU countries is therefore in line with the objectives of the Regulation, which aims to increase the market share of EU agricultural products on non</w:t>
      </w:r>
      <w:r>
        <w:rPr>
          <w:rFonts w:ascii="Times New Roman" w:hAnsi="Times New Roman"/>
          <w:noProof/>
          <w:sz w:val="24"/>
          <w:szCs w:val="24"/>
        </w:rPr>
        <w:noBreakHyphen/>
        <w:t>EU markets with the highest growth potential.</w:t>
      </w:r>
    </w:p>
    <w:p>
      <w:pPr>
        <w:pStyle w:val="Body"/>
        <w:rPr>
          <w:rFonts w:ascii="Times New Roman" w:hAnsi="Times New Roman"/>
          <w:noProof/>
          <w:sz w:val="24"/>
          <w:szCs w:val="24"/>
        </w:rPr>
      </w:pPr>
      <w:r>
        <w:rPr>
          <w:rFonts w:ascii="Times New Roman" w:hAnsi="Times New Roman"/>
          <w:noProof/>
          <w:sz w:val="24"/>
          <w:szCs w:val="24"/>
        </w:rPr>
        <w:t>Of the ‘multi’ programmes, almost twice as many targeted the EU market as non</w:t>
      </w:r>
      <w:r>
        <w:rPr>
          <w:rFonts w:ascii="Times New Roman" w:hAnsi="Times New Roman"/>
          <w:noProof/>
          <w:sz w:val="24"/>
          <w:szCs w:val="24"/>
        </w:rPr>
        <w:noBreakHyphen/>
        <w:t>EU markets (39 vs 20). With ‘simple’ programmes, the balance was the other way round (147 targeting non</w:t>
      </w:r>
      <w:r>
        <w:rPr>
          <w:rFonts w:ascii="Times New Roman" w:hAnsi="Times New Roman"/>
          <w:noProof/>
          <w:sz w:val="24"/>
          <w:szCs w:val="24"/>
        </w:rPr>
        <w:noBreakHyphen/>
        <w:t>EU markets against 73 targeting the EU market).</w:t>
      </w:r>
    </w:p>
    <w:p>
      <w:pPr>
        <w:pStyle w:val="Body"/>
        <w:spacing w:after="120"/>
        <w:ind w:left="964" w:hanging="964"/>
        <w:rPr>
          <w:rFonts w:ascii="Times New Roman" w:hAnsi="Times New Roman"/>
          <w:b/>
          <w:i/>
          <w:noProof/>
          <w:sz w:val="24"/>
          <w:szCs w:val="24"/>
        </w:rPr>
      </w:pPr>
      <w:r>
        <w:rPr>
          <w:rFonts w:ascii="Times New Roman" w:hAnsi="Times New Roman"/>
          <w:b/>
          <w:i/>
          <w:noProof/>
          <w:sz w:val="24"/>
          <w:szCs w:val="24"/>
        </w:rPr>
        <w:t xml:space="preserve">Table 5: </w:t>
      </w:r>
      <w:r>
        <w:rPr>
          <w:rFonts w:ascii="Times New Roman" w:hAnsi="Times New Roman"/>
          <w:b/>
          <w:i/>
          <w:noProof/>
          <w:sz w:val="24"/>
          <w:szCs w:val="24"/>
        </w:rPr>
        <w:tab/>
        <w:t>Number of proposals selected for funding, by target markets, 2016</w:t>
      </w:r>
      <w:r>
        <w:rPr>
          <w:rFonts w:ascii="Times New Roman" w:hAnsi="Times New Roman"/>
          <w:b/>
          <w:i/>
          <w:noProof/>
          <w:sz w:val="24"/>
          <w:szCs w:val="24"/>
        </w:rPr>
        <w:noBreakHyphen/>
        <w:t>2019</w:t>
      </w:r>
    </w:p>
    <w:tbl>
      <w:tblPr>
        <w:tblW w:w="9072" w:type="dxa"/>
        <w:tblInd w:w="108" w:type="dxa"/>
        <w:tblLayout w:type="fixed"/>
        <w:tblLook w:val="04A0" w:firstRow="1" w:lastRow="0" w:firstColumn="1" w:lastColumn="0" w:noHBand="0" w:noVBand="1"/>
      </w:tblPr>
      <w:tblGrid>
        <w:gridCol w:w="1523"/>
        <w:gridCol w:w="754"/>
        <w:gridCol w:w="755"/>
        <w:gridCol w:w="755"/>
        <w:gridCol w:w="755"/>
        <w:gridCol w:w="755"/>
        <w:gridCol w:w="755"/>
        <w:gridCol w:w="755"/>
        <w:gridCol w:w="755"/>
        <w:gridCol w:w="755"/>
        <w:gridCol w:w="755"/>
      </w:tblGrid>
      <w:tr>
        <w:trPr>
          <w:trHeight w:val="290"/>
        </w:trPr>
        <w:tc>
          <w:tcPr>
            <w:tcW w:w="1523"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sz w:val="24"/>
                <w:szCs w:val="24"/>
                <w:lang w:eastAsia="en-GB"/>
              </w:rPr>
            </w:pPr>
          </w:p>
        </w:tc>
        <w:tc>
          <w:tcPr>
            <w:tcW w:w="15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2016</w:t>
            </w:r>
          </w:p>
        </w:tc>
        <w:tc>
          <w:tcPr>
            <w:tcW w:w="151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2017</w:t>
            </w:r>
          </w:p>
        </w:tc>
        <w:tc>
          <w:tcPr>
            <w:tcW w:w="151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2018</w:t>
            </w:r>
          </w:p>
        </w:tc>
        <w:tc>
          <w:tcPr>
            <w:tcW w:w="151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2019</w:t>
            </w:r>
          </w:p>
        </w:tc>
        <w:tc>
          <w:tcPr>
            <w:tcW w:w="151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TOTAL</w:t>
            </w:r>
          </w:p>
        </w:tc>
      </w:tr>
      <w:tr>
        <w:trPr>
          <w:trHeight w:val="300"/>
        </w:trPr>
        <w:tc>
          <w:tcPr>
            <w:tcW w:w="1523" w:type="dxa"/>
            <w:tcBorders>
              <w:top w:val="nil"/>
              <w:left w:val="nil"/>
              <w:bottom w:val="single" w:sz="8" w:space="0" w:color="auto"/>
              <w:right w:val="nil"/>
            </w:tcBorders>
            <w:shd w:val="clear" w:color="auto" w:fill="auto"/>
            <w:noWrap/>
            <w:vAlign w:val="center"/>
            <w:hideMark/>
          </w:tcPr>
          <w:p>
            <w:pPr>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w:t>
            </w:r>
          </w:p>
        </w:tc>
        <w:tc>
          <w:tcPr>
            <w:tcW w:w="754"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EU</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non-EU</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EU</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non-EU</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EU</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non-EU</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EU</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non-EU</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EU</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non-EU</w:t>
            </w:r>
          </w:p>
        </w:tc>
      </w:tr>
      <w:tr>
        <w:trPr>
          <w:trHeight w:val="300"/>
        </w:trPr>
        <w:tc>
          <w:tcPr>
            <w:tcW w:w="1523" w:type="dxa"/>
            <w:tcBorders>
              <w:top w:val="nil"/>
              <w:left w:val="single" w:sz="8" w:space="0" w:color="auto"/>
              <w:bottom w:val="single" w:sz="8" w:space="0" w:color="auto"/>
              <w:right w:val="nil"/>
            </w:tcBorders>
            <w:shd w:val="clear" w:color="auto" w:fill="auto"/>
            <w:noWrap/>
            <w:vAlign w:val="center"/>
            <w:hideMark/>
          </w:tcPr>
          <w:p>
            <w:pPr>
              <w:spacing w:after="0" w:line="240" w:lineRule="auto"/>
              <w:jc w:val="both"/>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‘Simple’ programmes</w:t>
            </w:r>
          </w:p>
        </w:tc>
        <w:tc>
          <w:tcPr>
            <w:tcW w:w="754"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23</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35</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21</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31</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16</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38</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13</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43</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73</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147</w:t>
            </w:r>
          </w:p>
        </w:tc>
      </w:tr>
      <w:tr>
        <w:trPr>
          <w:trHeight w:val="300"/>
        </w:trPr>
        <w:tc>
          <w:tcPr>
            <w:tcW w:w="1523" w:type="dxa"/>
            <w:tcBorders>
              <w:top w:val="nil"/>
              <w:left w:val="single" w:sz="8" w:space="0" w:color="auto"/>
              <w:bottom w:val="single" w:sz="8" w:space="0" w:color="auto"/>
              <w:right w:val="nil"/>
            </w:tcBorders>
            <w:shd w:val="clear" w:color="auto" w:fill="auto"/>
            <w:noWrap/>
            <w:vAlign w:val="center"/>
            <w:hideMark/>
          </w:tcPr>
          <w:p>
            <w:pPr>
              <w:spacing w:after="0" w:line="240" w:lineRule="auto"/>
              <w:jc w:val="both"/>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‘Multi’ programmes</w:t>
            </w:r>
          </w:p>
        </w:tc>
        <w:tc>
          <w:tcPr>
            <w:tcW w:w="754"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9</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15</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5</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13</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12</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39</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20</w:t>
            </w:r>
          </w:p>
        </w:tc>
      </w:tr>
      <w:tr>
        <w:trPr>
          <w:trHeight w:val="300"/>
        </w:trPr>
        <w:tc>
          <w:tcPr>
            <w:tcW w:w="1523" w:type="dxa"/>
            <w:tcBorders>
              <w:top w:val="nil"/>
              <w:left w:val="single" w:sz="8" w:space="0" w:color="auto"/>
              <w:bottom w:val="nil"/>
              <w:right w:val="nil"/>
            </w:tcBorders>
            <w:shd w:val="clear" w:color="auto" w:fill="auto"/>
            <w:noWrap/>
            <w:vAlign w:val="center"/>
            <w:hideMark/>
          </w:tcPr>
          <w:p>
            <w:pPr>
              <w:spacing w:after="0" w:line="240" w:lineRule="auto"/>
              <w:jc w:val="both"/>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TOTAL by target</w:t>
            </w:r>
          </w:p>
        </w:tc>
        <w:tc>
          <w:tcPr>
            <w:tcW w:w="754" w:type="dxa"/>
            <w:tcBorders>
              <w:top w:val="nil"/>
              <w:left w:val="single" w:sz="4" w:space="0" w:color="auto"/>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27</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37</w:t>
            </w:r>
          </w:p>
        </w:tc>
        <w:tc>
          <w:tcPr>
            <w:tcW w:w="755" w:type="dxa"/>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30</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32</w:t>
            </w:r>
          </w:p>
        </w:tc>
        <w:tc>
          <w:tcPr>
            <w:tcW w:w="755" w:type="dxa"/>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31</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43</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26</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55</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112</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167</w:t>
            </w:r>
          </w:p>
        </w:tc>
      </w:tr>
      <w:tr>
        <w:trPr>
          <w:trHeight w:val="300"/>
        </w:trPr>
        <w:tc>
          <w:tcPr>
            <w:tcW w:w="1523" w:type="dxa"/>
            <w:tcBorders>
              <w:top w:val="nil"/>
              <w:left w:val="single" w:sz="8" w:space="0" w:color="auto"/>
              <w:bottom w:val="single" w:sz="8" w:space="0" w:color="auto"/>
              <w:right w:val="nil"/>
            </w:tcBorders>
            <w:shd w:val="clear" w:color="auto" w:fill="auto"/>
            <w:noWrap/>
            <w:vAlign w:val="center"/>
          </w:tcPr>
          <w:p>
            <w:pPr>
              <w:spacing w:after="0" w:line="240" w:lineRule="auto"/>
              <w:jc w:val="both"/>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TOTAL</w:t>
            </w:r>
          </w:p>
        </w:tc>
        <w:tc>
          <w:tcPr>
            <w:tcW w:w="754" w:type="dxa"/>
            <w:tcBorders>
              <w:top w:val="nil"/>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1510" w:type="dxa"/>
            <w:gridSpan w:val="2"/>
            <w:tcBorders>
              <w:top w:val="nil"/>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279</w:t>
            </w:r>
          </w:p>
        </w:tc>
      </w:tr>
    </w:tbl>
    <w:p>
      <w:pPr>
        <w:pStyle w:val="Heading2"/>
        <w:spacing w:before="240" w:after="240"/>
        <w:ind w:left="567" w:hanging="567"/>
        <w:rPr>
          <w:rFonts w:ascii="Times New Roman" w:eastAsia="Times New Roman" w:hAnsi="Times New Roman" w:cs="Times New Roman"/>
          <w:b/>
          <w:noProof/>
          <w:color w:val="000000" w:themeColor="text1"/>
          <w:sz w:val="24"/>
          <w:szCs w:val="24"/>
        </w:rPr>
      </w:pPr>
      <w:bookmarkStart w:id="10" w:name="_Toc58506573"/>
      <w:r>
        <w:rPr>
          <w:rFonts w:ascii="Times New Roman" w:eastAsia="Times New Roman" w:hAnsi="Times New Roman" w:cs="Times New Roman"/>
          <w:b/>
          <w:noProof/>
          <w:color w:val="000000" w:themeColor="text1"/>
          <w:sz w:val="24"/>
          <w:szCs w:val="24"/>
        </w:rPr>
        <w:t xml:space="preserve">2.4. </w:t>
      </w:r>
      <w:r>
        <w:rPr>
          <w:rFonts w:ascii="Times New Roman" w:eastAsia="Times New Roman" w:hAnsi="Times New Roman" w:cs="Times New Roman"/>
          <w:b/>
          <w:noProof/>
          <w:color w:val="000000" w:themeColor="text1"/>
          <w:sz w:val="24"/>
          <w:szCs w:val="24"/>
        </w:rPr>
        <w:tab/>
        <w:t>Commission own</w:t>
      </w:r>
      <w:r>
        <w:rPr>
          <w:rFonts w:ascii="Times New Roman" w:eastAsia="Times New Roman" w:hAnsi="Times New Roman" w:cs="Times New Roman"/>
          <w:b/>
          <w:noProof/>
          <w:color w:val="000000" w:themeColor="text1"/>
          <w:sz w:val="24"/>
          <w:szCs w:val="24"/>
        </w:rPr>
        <w:noBreakHyphen/>
        <w:t>initiative measures</w:t>
      </w:r>
      <w:bookmarkEnd w:id="10"/>
      <w:r>
        <w:rPr>
          <w:rFonts w:ascii="Times New Roman" w:eastAsia="Times New Roman" w:hAnsi="Times New Roman" w:cs="Times New Roman"/>
          <w:b/>
          <w:noProof/>
          <w:color w:val="000000" w:themeColor="text1"/>
          <w:sz w:val="24"/>
          <w:szCs w:val="24"/>
        </w:rPr>
        <w:t xml:space="preserve"> </w:t>
      </w:r>
    </w:p>
    <w:p>
      <w:pPr>
        <w:pStyle w:val="Body"/>
        <w:spacing w:after="120"/>
        <w:rPr>
          <w:rFonts w:ascii="Times New Roman" w:hAnsi="Times New Roman"/>
          <w:noProof/>
          <w:sz w:val="24"/>
          <w:szCs w:val="24"/>
        </w:rPr>
      </w:pPr>
      <w:r>
        <w:rPr>
          <w:rFonts w:ascii="Times New Roman" w:hAnsi="Times New Roman"/>
          <w:noProof/>
          <w:sz w:val="24"/>
          <w:szCs w:val="24"/>
        </w:rPr>
        <w:t>The Commission took own</w:t>
      </w:r>
      <w:r>
        <w:rPr>
          <w:rFonts w:ascii="Times New Roman" w:hAnsi="Times New Roman"/>
          <w:noProof/>
          <w:sz w:val="24"/>
          <w:szCs w:val="24"/>
        </w:rPr>
        <w:noBreakHyphen/>
        <w:t>initiative measures to help open up new markets and respond promptly and effectively to serious market disturbances or loss of consumer confidence. The measures included:</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high-level missions;</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seminars in other countries to explain the high standards of EU agricultural exports;</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operating stands at trade fairs and exhibitions of international importance;</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 xml:space="preserve">promoting the image of Union products (e.g. communication campaigns); and </w:t>
      </w:r>
    </w:p>
    <w:p>
      <w:pPr>
        <w:pStyle w:val="Body"/>
        <w:numPr>
          <w:ilvl w:val="0"/>
          <w:numId w:val="30"/>
        </w:numPr>
        <w:ind w:left="681" w:hanging="397"/>
        <w:rPr>
          <w:rFonts w:ascii="Times New Roman" w:hAnsi="Times New Roman"/>
          <w:noProof/>
          <w:sz w:val="24"/>
          <w:szCs w:val="24"/>
        </w:rPr>
      </w:pPr>
      <w:r>
        <w:rPr>
          <w:rFonts w:ascii="Times New Roman" w:hAnsi="Times New Roman"/>
          <w:noProof/>
          <w:sz w:val="24"/>
          <w:szCs w:val="24"/>
        </w:rPr>
        <w:t>technical support services, including market handbooks.</w:t>
      </w:r>
    </w:p>
    <w:p>
      <w:pPr>
        <w:pStyle w:val="Body"/>
        <w:rPr>
          <w:rFonts w:ascii="Times New Roman" w:hAnsi="Times New Roman"/>
          <w:noProof/>
          <w:sz w:val="24"/>
          <w:szCs w:val="24"/>
        </w:rPr>
      </w:pPr>
      <w:r>
        <w:rPr>
          <w:rFonts w:ascii="Times New Roman" w:hAnsi="Times New Roman"/>
          <w:noProof/>
          <w:sz w:val="24"/>
          <w:szCs w:val="24"/>
        </w:rPr>
        <w:t>The evaluation found that the Commission own initiatives seem to have been effective in paving the way for entry to or further penetration of non</w:t>
      </w:r>
      <w:r>
        <w:rPr>
          <w:rFonts w:ascii="Times New Roman" w:hAnsi="Times New Roman"/>
          <w:noProof/>
          <w:sz w:val="24"/>
          <w:szCs w:val="24"/>
        </w:rPr>
        <w:noBreakHyphen/>
        <w:t>EU markets. It considered that they made a major contribution to generating tangible EU added value. Since 2017, the budget allocated to the initiatives has remained stable at €9.5 million a year.</w:t>
      </w:r>
    </w:p>
    <w:p>
      <w:pPr>
        <w:pStyle w:val="LegalNumPar"/>
        <w:numPr>
          <w:ilvl w:val="0"/>
          <w:numId w:val="0"/>
        </w:numPr>
        <w:spacing w:after="240"/>
        <w:ind w:left="567" w:hanging="567"/>
        <w:outlineLvl w:val="0"/>
        <w:rPr>
          <w:rFonts w:ascii="Times New Roman" w:eastAsia="Times New Roman" w:hAnsi="Times New Roman" w:cs="Times New Roman"/>
          <w:b/>
          <w:smallCaps/>
          <w:noProof/>
          <w:szCs w:val="24"/>
        </w:rPr>
      </w:pPr>
      <w:bookmarkStart w:id="11" w:name="_Toc58506574"/>
      <w:r>
        <w:rPr>
          <w:rFonts w:ascii="Times New Roman" w:eastAsia="Times New Roman" w:hAnsi="Times New Roman" w:cs="Times New Roman"/>
          <w:b/>
          <w:smallCaps/>
          <w:noProof/>
          <w:szCs w:val="24"/>
        </w:rPr>
        <w:t xml:space="preserve">3. </w:t>
      </w:r>
      <w:r>
        <w:rPr>
          <w:rFonts w:ascii="Times New Roman" w:eastAsia="Times New Roman" w:hAnsi="Times New Roman" w:cs="Times New Roman"/>
          <w:b/>
          <w:smallCaps/>
          <w:noProof/>
          <w:szCs w:val="24"/>
        </w:rPr>
        <w:tab/>
        <w:t>Recommendations</w:t>
      </w:r>
      <w:bookmarkEnd w:id="11"/>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12" w:name="_Toc58506575"/>
      <w:r>
        <w:rPr>
          <w:rFonts w:ascii="Times New Roman" w:eastAsia="Times New Roman" w:hAnsi="Times New Roman" w:cs="Times New Roman"/>
          <w:b/>
          <w:noProof/>
          <w:color w:val="000000" w:themeColor="text1"/>
          <w:sz w:val="24"/>
          <w:szCs w:val="24"/>
        </w:rPr>
        <w:t xml:space="preserve">3.1. </w:t>
      </w:r>
      <w:r>
        <w:rPr>
          <w:rFonts w:ascii="Times New Roman" w:eastAsia="Times New Roman" w:hAnsi="Times New Roman" w:cs="Times New Roman"/>
          <w:b/>
          <w:noProof/>
          <w:color w:val="000000" w:themeColor="text1"/>
          <w:sz w:val="24"/>
          <w:szCs w:val="24"/>
        </w:rPr>
        <w:tab/>
        <w:t>Effectiveness</w:t>
      </w:r>
      <w:bookmarkEnd w:id="12"/>
    </w:p>
    <w:p>
      <w:pPr>
        <w:pStyle w:val="Body"/>
        <w:rPr>
          <w:rFonts w:ascii="Times New Roman" w:hAnsi="Times New Roman"/>
          <w:noProof/>
          <w:sz w:val="24"/>
          <w:szCs w:val="24"/>
          <w:lang w:eastAsia="en-GB"/>
        </w:rPr>
      </w:pPr>
      <w:r>
        <w:rPr>
          <w:rFonts w:ascii="Times New Roman" w:hAnsi="Times New Roman"/>
          <w:noProof/>
          <w:sz w:val="24"/>
          <w:szCs w:val="24"/>
          <w:lang w:eastAsia="en-GB"/>
        </w:rPr>
        <w:t>The evaluation found that the promotion policy helped to raise awareness of the merits of EU farm products, the high standards that apply to EU production methods, and EU quality schemes.</w:t>
      </w:r>
    </w:p>
    <w:p>
      <w:pPr>
        <w:pStyle w:val="Body"/>
        <w:rPr>
          <w:rFonts w:ascii="Times New Roman" w:hAnsi="Times New Roman"/>
          <w:noProof/>
          <w:sz w:val="24"/>
          <w:szCs w:val="24"/>
          <w:lang w:eastAsia="en-GB"/>
        </w:rPr>
      </w:pPr>
      <w:r>
        <w:rPr>
          <w:rFonts w:ascii="Times New Roman" w:hAnsi="Times New Roman"/>
          <w:noProof/>
          <w:sz w:val="24"/>
          <w:szCs w:val="24"/>
          <w:lang w:eastAsia="en-GB"/>
        </w:rPr>
        <w:t>The effects of the policy on competitiveness, consumption and</w:t>
      </w:r>
      <w:r>
        <w:rPr>
          <w:rFonts w:ascii="Times New Roman" w:hAnsi="Times New Roman"/>
          <w:noProof/>
          <w:sz w:val="24"/>
          <w:szCs w:val="24"/>
        </w:rPr>
        <w:t xml:space="preserve"> </w:t>
      </w:r>
      <w:r>
        <w:rPr>
          <w:rFonts w:ascii="Times New Roman" w:hAnsi="Times New Roman"/>
          <w:noProof/>
          <w:sz w:val="24"/>
          <w:szCs w:val="24"/>
          <w:lang w:eastAsia="en-GB"/>
        </w:rPr>
        <w:t>market share were more difficult to quantify, because external market and societal factors also influence these impacts. However, in a survey conducted in the context of the evaluation, 97% of respondents considered that the policy makes a strong contribution to enhancing the competitiveness of EU agricultural products and 89% considered that it increases their market share in other countries</w:t>
      </w:r>
      <w:r>
        <w:rPr>
          <w:rStyle w:val="FootnoteReference"/>
          <w:noProof/>
        </w:rPr>
        <w:footnoteReference w:id="15"/>
      </w:r>
      <w:r>
        <w:rPr>
          <w:rFonts w:ascii="Times New Roman" w:hAnsi="Times New Roman"/>
          <w:noProof/>
          <w:sz w:val="24"/>
          <w:szCs w:val="24"/>
          <w:lang w:eastAsia="en-GB"/>
        </w:rPr>
        <w:t>.</w:t>
      </w:r>
    </w:p>
    <w:p>
      <w:pPr>
        <w:pStyle w:val="Body"/>
        <w:spacing w:after="120"/>
        <w:rPr>
          <w:rFonts w:ascii="Times New Roman" w:hAnsi="Times New Roman"/>
          <w:noProof/>
          <w:sz w:val="24"/>
          <w:szCs w:val="24"/>
          <w:lang w:eastAsia="en-GB"/>
        </w:rPr>
      </w:pPr>
      <w:r>
        <w:rPr>
          <w:rFonts w:ascii="Times New Roman" w:hAnsi="Times New Roman"/>
          <w:noProof/>
          <w:sz w:val="24"/>
          <w:szCs w:val="24"/>
          <w:lang w:eastAsia="en-GB"/>
        </w:rPr>
        <w:t>It was easier to reach target audiences in the EU than in non</w:t>
      </w:r>
      <w:r>
        <w:rPr>
          <w:rFonts w:ascii="Times New Roman" w:hAnsi="Times New Roman"/>
          <w:noProof/>
          <w:sz w:val="24"/>
          <w:szCs w:val="24"/>
          <w:lang w:eastAsia="en-GB"/>
        </w:rPr>
        <w:noBreakHyphen/>
        <w:t>EU markets. The promotion and information activities that proved most effective were:</w:t>
      </w:r>
    </w:p>
    <w:p>
      <w:pPr>
        <w:pStyle w:val="Body"/>
        <w:numPr>
          <w:ilvl w:val="0"/>
          <w:numId w:val="30"/>
        </w:numPr>
        <w:spacing w:after="120"/>
        <w:ind w:left="681" w:hanging="397"/>
        <w:rPr>
          <w:rFonts w:ascii="Times New Roman" w:hAnsi="Times New Roman"/>
          <w:noProof/>
          <w:sz w:val="24"/>
          <w:szCs w:val="24"/>
          <w:lang w:eastAsia="en-GB"/>
        </w:rPr>
      </w:pPr>
      <w:r>
        <w:rPr>
          <w:rFonts w:ascii="Times New Roman" w:hAnsi="Times New Roman"/>
          <w:noProof/>
          <w:sz w:val="24"/>
          <w:szCs w:val="24"/>
          <w:lang w:eastAsia="en-GB"/>
        </w:rPr>
        <w:t>those involving direct contact with consumers;</w:t>
      </w:r>
    </w:p>
    <w:p>
      <w:pPr>
        <w:pStyle w:val="Body"/>
        <w:numPr>
          <w:ilvl w:val="0"/>
          <w:numId w:val="30"/>
        </w:numPr>
        <w:spacing w:after="120"/>
        <w:ind w:left="681" w:hanging="397"/>
        <w:rPr>
          <w:rFonts w:ascii="Times New Roman" w:hAnsi="Times New Roman"/>
          <w:noProof/>
          <w:sz w:val="24"/>
          <w:szCs w:val="24"/>
          <w:lang w:eastAsia="en-GB"/>
        </w:rPr>
      </w:pPr>
      <w:r>
        <w:rPr>
          <w:rFonts w:ascii="Times New Roman" w:hAnsi="Times New Roman"/>
          <w:noProof/>
          <w:sz w:val="24"/>
          <w:szCs w:val="24"/>
          <w:lang w:eastAsia="en-GB"/>
        </w:rPr>
        <w:t xml:space="preserve">networking at trade fairs and events; and </w:t>
      </w:r>
    </w:p>
    <w:p>
      <w:pPr>
        <w:pStyle w:val="Body"/>
        <w:numPr>
          <w:ilvl w:val="0"/>
          <w:numId w:val="30"/>
        </w:numPr>
        <w:ind w:left="681" w:hanging="397"/>
        <w:rPr>
          <w:rFonts w:ascii="Times New Roman" w:hAnsi="Times New Roman"/>
          <w:noProof/>
          <w:sz w:val="24"/>
          <w:szCs w:val="24"/>
          <w:lang w:eastAsia="en-GB"/>
        </w:rPr>
      </w:pPr>
      <w:r>
        <w:rPr>
          <w:rFonts w:ascii="Times New Roman" w:hAnsi="Times New Roman"/>
          <w:noProof/>
          <w:sz w:val="24"/>
          <w:szCs w:val="24"/>
          <w:lang w:eastAsia="en-GB"/>
        </w:rPr>
        <w:t xml:space="preserve">product promotion by social media influencers. </w:t>
      </w:r>
    </w:p>
    <w:p>
      <w:pPr>
        <w:pStyle w:val="Body"/>
        <w:rPr>
          <w:rFonts w:ascii="Times New Roman" w:hAnsi="Times New Roman"/>
          <w:noProof/>
          <w:sz w:val="24"/>
          <w:szCs w:val="24"/>
          <w:lang w:eastAsia="en-GB"/>
        </w:rPr>
      </w:pPr>
      <w:r>
        <w:rPr>
          <w:rFonts w:ascii="Times New Roman" w:hAnsi="Times New Roman"/>
          <w:noProof/>
          <w:sz w:val="24"/>
          <w:szCs w:val="24"/>
          <w:lang w:eastAsia="en-GB"/>
        </w:rPr>
        <w:t>The Commission’s own initiatives were found to be highly effective at paving the way for entry to or further penetration of non</w:t>
      </w:r>
      <w:r>
        <w:rPr>
          <w:rFonts w:ascii="Times New Roman" w:hAnsi="Times New Roman"/>
          <w:noProof/>
          <w:sz w:val="24"/>
          <w:szCs w:val="24"/>
          <w:lang w:eastAsia="en-GB"/>
        </w:rPr>
        <w:noBreakHyphen/>
        <w:t>EU markets, and particularly relevant when carried out in connection with the implementation of EU free trade agreements.</w:t>
      </w:r>
    </w:p>
    <w:p>
      <w:pPr>
        <w:pStyle w:val="Body"/>
        <w:spacing w:after="120"/>
        <w:rPr>
          <w:rFonts w:ascii="Times New Roman" w:hAnsi="Times New Roman"/>
          <w:noProof/>
          <w:sz w:val="24"/>
          <w:szCs w:val="24"/>
          <w:lang w:eastAsia="en-GB"/>
        </w:rPr>
      </w:pPr>
      <w:r>
        <w:rPr>
          <w:rFonts w:ascii="Times New Roman" w:hAnsi="Times New Roman"/>
          <w:noProof/>
          <w:sz w:val="24"/>
          <w:szCs w:val="24"/>
          <w:lang w:eastAsia="en-GB"/>
        </w:rPr>
        <w:t>Nevertheless, the evaluation found that arrangements for the monitoring and evaluation of promotion programmes are not fit for purpose in their current form. Accordingly, the Commission recommends that:</w:t>
      </w:r>
    </w:p>
    <w:p>
      <w:pPr>
        <w:pStyle w:val="Body"/>
        <w:numPr>
          <w:ilvl w:val="0"/>
          <w:numId w:val="34"/>
        </w:numPr>
        <w:ind w:left="681" w:hanging="397"/>
        <w:rPr>
          <w:rFonts w:ascii="Times New Roman" w:hAnsi="Times New Roman"/>
          <w:noProof/>
          <w:sz w:val="24"/>
          <w:szCs w:val="24"/>
          <w:lang w:eastAsia="en-GB"/>
        </w:rPr>
      </w:pPr>
      <w:r>
        <w:rPr>
          <w:rFonts w:ascii="Times New Roman" w:hAnsi="Times New Roman"/>
          <w:noProof/>
          <w:sz w:val="24"/>
          <w:szCs w:val="24"/>
        </w:rPr>
        <w:t xml:space="preserve">the monitoring and evaluation arrangements </w:t>
      </w:r>
      <w:r>
        <w:rPr>
          <w:rFonts w:ascii="Times New Roman" w:hAnsi="Times New Roman"/>
          <w:noProof/>
          <w:sz w:val="24"/>
          <w:szCs w:val="24"/>
          <w:lang w:eastAsia="en-GB"/>
        </w:rPr>
        <w:t>should be improved as part of the upcoming policy review, so that impact indicators are linked more closely to results and taken into account in the annual work programme priorities and the long-term development of the policy.</w:t>
      </w:r>
    </w:p>
    <w:p>
      <w:pPr>
        <w:pStyle w:val="Body"/>
        <w:spacing w:after="120"/>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In view of the overall low public recognition of geographical indications (as established by the Special Eurobarometer: 20% for protected geographical designations, 14% for protected designation of origin and traditional specialities guaranteed), the </w:t>
      </w:r>
      <w:r>
        <w:rPr>
          <w:rFonts w:ascii="Times New Roman" w:hAnsi="Times New Roman"/>
          <w:noProof/>
          <w:sz w:val="24"/>
          <w:szCs w:val="24"/>
          <w:lang w:eastAsia="en-GB"/>
        </w:rPr>
        <w:t>Commission</w:t>
      </w:r>
      <w:r>
        <w:rPr>
          <w:rFonts w:ascii="Times New Roman" w:hAnsi="Times New Roman"/>
          <w:noProof/>
          <w:color w:val="000000" w:themeColor="text1"/>
          <w:sz w:val="24"/>
          <w:szCs w:val="24"/>
        </w:rPr>
        <w:t xml:space="preserve"> also recommends:</w:t>
      </w:r>
    </w:p>
    <w:p>
      <w:pPr>
        <w:pStyle w:val="Body"/>
        <w:numPr>
          <w:ilvl w:val="0"/>
          <w:numId w:val="34"/>
        </w:numPr>
        <w:ind w:left="681" w:hanging="397"/>
        <w:rPr>
          <w:rFonts w:ascii="Times New Roman" w:hAnsi="Times New Roman"/>
          <w:noProof/>
          <w:sz w:val="24"/>
          <w:szCs w:val="24"/>
          <w:lang w:eastAsia="en-GB"/>
        </w:rPr>
      </w:pPr>
      <w:r>
        <w:rPr>
          <w:rFonts w:ascii="Times New Roman" w:hAnsi="Times New Roman"/>
          <w:noProof/>
          <w:color w:val="000000" w:themeColor="text1"/>
          <w:sz w:val="24"/>
          <w:szCs w:val="24"/>
        </w:rPr>
        <w:t>a review of how to raise awareness of quality schemes more effectively.</w:t>
      </w:r>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13" w:name="_Toc58506576"/>
      <w:r>
        <w:rPr>
          <w:rFonts w:ascii="Times New Roman" w:eastAsia="Times New Roman" w:hAnsi="Times New Roman" w:cs="Times New Roman"/>
          <w:b/>
          <w:noProof/>
          <w:color w:val="000000" w:themeColor="text1"/>
          <w:sz w:val="24"/>
          <w:szCs w:val="24"/>
        </w:rPr>
        <w:t xml:space="preserve">3.2. </w:t>
      </w:r>
      <w:r>
        <w:rPr>
          <w:rFonts w:ascii="Times New Roman" w:eastAsia="Times New Roman" w:hAnsi="Times New Roman" w:cs="Times New Roman"/>
          <w:b/>
          <w:noProof/>
          <w:color w:val="000000" w:themeColor="text1"/>
          <w:sz w:val="24"/>
          <w:szCs w:val="24"/>
        </w:rPr>
        <w:tab/>
        <w:t>Efficiency</w:t>
      </w:r>
      <w:bookmarkEnd w:id="13"/>
    </w:p>
    <w:p>
      <w:pPr>
        <w:pStyle w:val="Body"/>
        <w:spacing w:after="120"/>
        <w:rPr>
          <w:rFonts w:ascii="Times New Roman" w:hAnsi="Times New Roman"/>
          <w:noProof/>
          <w:sz w:val="24"/>
          <w:szCs w:val="24"/>
          <w:lang w:eastAsia="en-GB"/>
        </w:rPr>
      </w:pPr>
      <w:r>
        <w:rPr>
          <w:rFonts w:ascii="Times New Roman" w:hAnsi="Times New Roman"/>
          <w:noProof/>
          <w:sz w:val="24"/>
          <w:szCs w:val="24"/>
          <w:lang w:eastAsia="en-GB"/>
        </w:rPr>
        <w:t>The evaluation found that the policy was implemented efficiently overall, but noted variations according to programme management modes:</w:t>
      </w:r>
    </w:p>
    <w:p>
      <w:pPr>
        <w:pStyle w:val="Body"/>
        <w:numPr>
          <w:ilvl w:val="0"/>
          <w:numId w:val="30"/>
        </w:numPr>
        <w:spacing w:after="120"/>
        <w:ind w:left="681" w:hanging="397"/>
        <w:rPr>
          <w:rFonts w:ascii="Times New Roman" w:hAnsi="Times New Roman"/>
          <w:noProof/>
          <w:sz w:val="24"/>
          <w:szCs w:val="24"/>
          <w:lang w:eastAsia="en-GB"/>
        </w:rPr>
      </w:pPr>
      <w:r>
        <w:rPr>
          <w:rFonts w:ascii="Times New Roman" w:hAnsi="Times New Roman"/>
          <w:noProof/>
          <w:sz w:val="24"/>
          <w:szCs w:val="24"/>
          <w:lang w:eastAsia="en-GB"/>
        </w:rPr>
        <w:t>participants in ‘multi’ programmes (</w:t>
      </w:r>
      <w:r>
        <w:rPr>
          <w:rFonts w:ascii="Times New Roman" w:hAnsi="Times New Roman"/>
          <w:noProof/>
          <w:sz w:val="24"/>
          <w:szCs w:val="24"/>
          <w:u w:val="single"/>
          <w:lang w:eastAsia="en-GB"/>
        </w:rPr>
        <w:t>managed directly</w:t>
      </w:r>
      <w:r>
        <w:rPr>
          <w:rFonts w:ascii="Times New Roman" w:hAnsi="Times New Roman"/>
          <w:noProof/>
          <w:sz w:val="24"/>
          <w:szCs w:val="24"/>
          <w:lang w:eastAsia="en-GB"/>
        </w:rPr>
        <w:t xml:space="preserve"> by CHAFEA) received clearer guidance on the grant management and reporting rules, and made more systematic use of online tools. CHAFEA was generally able to provide more constructive, direct support in response to coordinators’/beneficiaries’ questions, since each programme has a dedicated project officer; and</w:t>
      </w:r>
    </w:p>
    <w:p>
      <w:pPr>
        <w:pStyle w:val="Body"/>
        <w:numPr>
          <w:ilvl w:val="0"/>
          <w:numId w:val="30"/>
        </w:numPr>
        <w:ind w:left="681" w:hanging="397"/>
        <w:rPr>
          <w:rFonts w:ascii="Times New Roman" w:hAnsi="Times New Roman"/>
          <w:noProof/>
          <w:sz w:val="24"/>
          <w:szCs w:val="24"/>
          <w:lang w:eastAsia="en-GB"/>
        </w:rPr>
      </w:pPr>
      <w:r>
        <w:rPr>
          <w:rFonts w:ascii="Times New Roman" w:hAnsi="Times New Roman"/>
          <w:noProof/>
          <w:sz w:val="24"/>
          <w:szCs w:val="24"/>
          <w:lang w:eastAsia="en-GB"/>
        </w:rPr>
        <w:t>beneficiaries of ‘simple’ programmes (</w:t>
      </w:r>
      <w:r>
        <w:rPr>
          <w:rFonts w:ascii="Times New Roman" w:hAnsi="Times New Roman"/>
          <w:noProof/>
          <w:sz w:val="24"/>
          <w:szCs w:val="24"/>
          <w:u w:val="single"/>
          <w:lang w:eastAsia="en-GB"/>
        </w:rPr>
        <w:t>management shared</w:t>
      </w:r>
      <w:r>
        <w:rPr>
          <w:rFonts w:ascii="Times New Roman" w:hAnsi="Times New Roman"/>
          <w:noProof/>
          <w:sz w:val="24"/>
          <w:szCs w:val="24"/>
          <w:lang w:eastAsia="en-GB"/>
        </w:rPr>
        <w:t xml:space="preserve"> between Member States and the Commission) occasionally had to wait longer for clarification of the rules. At times, this resulted in a longer lead</w:t>
      </w:r>
      <w:r>
        <w:rPr>
          <w:rFonts w:ascii="Times New Roman" w:hAnsi="Times New Roman"/>
          <w:noProof/>
          <w:sz w:val="24"/>
          <w:szCs w:val="24"/>
          <w:lang w:eastAsia="en-GB"/>
        </w:rPr>
        <w:noBreakHyphen/>
        <w:t>time for response, and in some cases beneficiaries perceived the national authorities’ application of the rules as less flexible. Also, it was not always possible to make adjustments or take mitigation action in response to sudden changes in market conditions that affected programme implementation.</w:t>
      </w:r>
    </w:p>
    <w:p>
      <w:pPr>
        <w:pStyle w:val="Body"/>
        <w:spacing w:after="120"/>
        <w:rPr>
          <w:rFonts w:ascii="Times New Roman" w:hAnsi="Times New Roman"/>
          <w:noProof/>
          <w:sz w:val="24"/>
          <w:szCs w:val="24"/>
          <w:lang w:eastAsia="en-GB"/>
        </w:rPr>
      </w:pPr>
      <w:r>
        <w:rPr>
          <w:rFonts w:ascii="Times New Roman" w:hAnsi="Times New Roman"/>
          <w:noProof/>
          <w:sz w:val="24"/>
          <w:szCs w:val="24"/>
          <w:lang w:eastAsia="en-GB"/>
        </w:rPr>
        <w:t>The Commission recommends:</w:t>
      </w:r>
    </w:p>
    <w:p>
      <w:pPr>
        <w:pStyle w:val="Body"/>
        <w:numPr>
          <w:ilvl w:val="0"/>
          <w:numId w:val="34"/>
        </w:numPr>
        <w:spacing w:after="120"/>
        <w:ind w:left="681" w:hanging="397"/>
        <w:rPr>
          <w:rFonts w:ascii="Times New Roman" w:hAnsi="Times New Roman"/>
          <w:noProof/>
          <w:sz w:val="24"/>
          <w:szCs w:val="24"/>
          <w:lang w:eastAsia="en-GB"/>
        </w:rPr>
      </w:pPr>
      <w:r>
        <w:rPr>
          <w:rFonts w:ascii="Times New Roman" w:hAnsi="Times New Roman"/>
          <w:noProof/>
          <w:sz w:val="24"/>
          <w:szCs w:val="24"/>
          <w:lang w:eastAsia="en-GB"/>
        </w:rPr>
        <w:t xml:space="preserve">examining, in the upcoming </w:t>
      </w:r>
      <w:r>
        <w:rPr>
          <w:rFonts w:ascii="Times New Roman" w:hAnsi="Times New Roman"/>
          <w:noProof/>
          <w:color w:val="000000" w:themeColor="text1"/>
          <w:sz w:val="24"/>
          <w:szCs w:val="24"/>
        </w:rPr>
        <w:t>policy</w:t>
      </w:r>
      <w:r>
        <w:rPr>
          <w:rFonts w:ascii="Times New Roman" w:hAnsi="Times New Roman"/>
          <w:noProof/>
          <w:sz w:val="24"/>
          <w:szCs w:val="24"/>
          <w:lang w:eastAsia="en-GB"/>
        </w:rPr>
        <w:t xml:space="preserve"> review, how efficiency of implementation could benefit from more harmonised procedures across shared and direct management;</w:t>
      </w:r>
    </w:p>
    <w:p>
      <w:pPr>
        <w:pStyle w:val="Body"/>
        <w:numPr>
          <w:ilvl w:val="0"/>
          <w:numId w:val="34"/>
        </w:numPr>
        <w:spacing w:after="120"/>
        <w:ind w:left="681" w:hanging="397"/>
        <w:rPr>
          <w:rFonts w:ascii="Times New Roman" w:hAnsi="Times New Roman"/>
          <w:noProof/>
          <w:sz w:val="24"/>
          <w:szCs w:val="24"/>
          <w:lang w:eastAsia="en-GB"/>
        </w:rPr>
      </w:pPr>
      <w:r>
        <w:rPr>
          <w:rFonts w:ascii="Times New Roman" w:hAnsi="Times New Roman"/>
          <w:noProof/>
          <w:sz w:val="24"/>
          <w:szCs w:val="24"/>
          <w:lang w:eastAsia="en-GB"/>
        </w:rPr>
        <w:t xml:space="preserve">investigating </w:t>
      </w:r>
      <w:r>
        <w:rPr>
          <w:rFonts w:ascii="Times New Roman" w:hAnsi="Times New Roman"/>
          <w:noProof/>
          <w:color w:val="000000" w:themeColor="text1"/>
          <w:sz w:val="24"/>
          <w:szCs w:val="24"/>
        </w:rPr>
        <w:t>further</w:t>
      </w:r>
      <w:r>
        <w:rPr>
          <w:rFonts w:ascii="Times New Roman" w:hAnsi="Times New Roman"/>
          <w:noProof/>
          <w:sz w:val="24"/>
          <w:szCs w:val="24"/>
          <w:lang w:eastAsia="en-GB"/>
        </w:rPr>
        <w:t xml:space="preserve"> whether a common management mode for ‘simple’ and ‘multi’ programmes could result in faster responses to beneficiaries’ and national authorities’ questions and greater clarity around the grant management and reporting rules; and</w:t>
      </w:r>
    </w:p>
    <w:p>
      <w:pPr>
        <w:pStyle w:val="Body"/>
        <w:numPr>
          <w:ilvl w:val="0"/>
          <w:numId w:val="34"/>
        </w:numPr>
        <w:ind w:left="681" w:hanging="397"/>
        <w:rPr>
          <w:rFonts w:ascii="Times New Roman" w:hAnsi="Times New Roman"/>
          <w:noProof/>
          <w:sz w:val="24"/>
          <w:szCs w:val="24"/>
          <w:lang w:eastAsia="en-GB"/>
        </w:rPr>
      </w:pPr>
      <w:r>
        <w:rPr>
          <w:rFonts w:ascii="Times New Roman" w:hAnsi="Times New Roman"/>
          <w:noProof/>
          <w:sz w:val="24"/>
          <w:szCs w:val="24"/>
          <w:lang w:eastAsia="en-GB"/>
        </w:rPr>
        <w:t>using standardised indicators for assessing the efficiency of Commission own initiatives, with clear guidelines on how these should be quantified and reported.</w:t>
      </w:r>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14" w:name="_Toc58506577"/>
      <w:r>
        <w:rPr>
          <w:rFonts w:ascii="Times New Roman" w:eastAsia="Times New Roman" w:hAnsi="Times New Roman" w:cs="Times New Roman"/>
          <w:b/>
          <w:noProof/>
          <w:color w:val="000000" w:themeColor="text1"/>
          <w:sz w:val="24"/>
          <w:szCs w:val="24"/>
        </w:rPr>
        <w:t xml:space="preserve">3.3. </w:t>
      </w:r>
      <w:r>
        <w:rPr>
          <w:rFonts w:ascii="Times New Roman" w:eastAsia="Times New Roman" w:hAnsi="Times New Roman" w:cs="Times New Roman"/>
          <w:b/>
          <w:noProof/>
          <w:color w:val="000000" w:themeColor="text1"/>
          <w:sz w:val="24"/>
          <w:szCs w:val="24"/>
        </w:rPr>
        <w:tab/>
        <w:t>Relevance</w:t>
      </w:r>
      <w:bookmarkEnd w:id="14"/>
    </w:p>
    <w:p>
      <w:pPr>
        <w:pStyle w:val="Body"/>
        <w:rPr>
          <w:rFonts w:ascii="Times New Roman" w:hAnsi="Times New Roman"/>
          <w:noProof/>
          <w:sz w:val="24"/>
          <w:szCs w:val="24"/>
          <w:lang w:eastAsia="en-GB"/>
        </w:rPr>
      </w:pPr>
      <w:r>
        <w:rPr>
          <w:rFonts w:ascii="Times New Roman" w:hAnsi="Times New Roman"/>
          <w:noProof/>
          <w:sz w:val="24"/>
          <w:szCs w:val="24"/>
          <w:lang w:eastAsia="en-GB"/>
        </w:rPr>
        <w:t>The evaluation found that the policy objectives (increasing competitiveness, market share and consumer awareness of the high quality and standards of EU agricultural products and of quality schemes) reflected stakeholders’ needs and market developments. The promotion policy, its general and specific objectives, and associated activities proved to be very relevant overall.</w:t>
      </w:r>
    </w:p>
    <w:p>
      <w:pPr>
        <w:pStyle w:val="Body"/>
        <w:rPr>
          <w:rFonts w:ascii="Times New Roman" w:hAnsi="Times New Roman"/>
          <w:noProof/>
          <w:sz w:val="24"/>
          <w:szCs w:val="24"/>
          <w:lang w:eastAsia="en-GB"/>
        </w:rPr>
      </w:pPr>
      <w:r>
        <w:rPr>
          <w:rFonts w:ascii="Times New Roman" w:hAnsi="Times New Roman"/>
          <w:noProof/>
          <w:sz w:val="24"/>
          <w:szCs w:val="24"/>
          <w:lang w:eastAsia="en-GB"/>
        </w:rPr>
        <w:t>The policy was found to have been particularly relevant in non</w:t>
      </w:r>
      <w:r>
        <w:rPr>
          <w:rFonts w:ascii="Times New Roman" w:hAnsi="Times New Roman"/>
          <w:noProof/>
          <w:sz w:val="24"/>
          <w:szCs w:val="24"/>
          <w:lang w:eastAsia="en-GB"/>
        </w:rPr>
        <w:noBreakHyphen/>
        <w:t>EU countries, as it helped address gaps in consumer awareness and perceptions of the quality of EU agricultural products. In the internal market, consumers were more interested in other product characteristics, such as nutritional value and country of origin. Stakeholders liked the ‘Enjoy! it’s from Europe’ signature, but the evaluation found that it was more relevant in non</w:t>
      </w:r>
      <w:r>
        <w:rPr>
          <w:rFonts w:ascii="Times New Roman" w:hAnsi="Times New Roman"/>
          <w:noProof/>
          <w:sz w:val="24"/>
          <w:szCs w:val="24"/>
          <w:lang w:eastAsia="en-GB"/>
        </w:rPr>
        <w:noBreakHyphen/>
        <w:t>EU countries than in the EU.</w:t>
      </w:r>
    </w:p>
    <w:p>
      <w:pPr>
        <w:pStyle w:val="Body"/>
        <w:rPr>
          <w:rFonts w:ascii="Times New Roman" w:hAnsi="Times New Roman"/>
          <w:noProof/>
          <w:sz w:val="24"/>
          <w:szCs w:val="24"/>
          <w:lang w:eastAsia="en-GB"/>
        </w:rPr>
      </w:pPr>
      <w:r>
        <w:rPr>
          <w:rFonts w:ascii="Times New Roman" w:hAnsi="Times New Roman"/>
          <w:noProof/>
          <w:sz w:val="24"/>
          <w:szCs w:val="24"/>
          <w:lang w:eastAsia="en-GB"/>
        </w:rPr>
        <w:t>The setting of strategic priorities in the annual work programmes was considered relevant and the work programmes were considered to have provided clear strategic guidance. The Commission own initiatives addressed professional bodies’ needs for information, networking and technical support, and helped open up opportunities in new and existing non</w:t>
      </w:r>
      <w:r>
        <w:rPr>
          <w:rFonts w:ascii="Times New Roman" w:hAnsi="Times New Roman"/>
          <w:noProof/>
          <w:sz w:val="24"/>
          <w:szCs w:val="24"/>
          <w:lang w:eastAsia="en-GB"/>
        </w:rPr>
        <w:noBreakHyphen/>
        <w:t>EU markets.</w:t>
      </w:r>
    </w:p>
    <w:p>
      <w:pPr>
        <w:pStyle w:val="Body"/>
        <w:spacing w:after="120"/>
        <w:rPr>
          <w:rFonts w:ascii="Times New Roman" w:hAnsi="Times New Roman"/>
          <w:noProof/>
          <w:sz w:val="24"/>
          <w:szCs w:val="24"/>
          <w:lang w:eastAsia="en-GB"/>
        </w:rPr>
      </w:pPr>
      <w:r>
        <w:rPr>
          <w:rFonts w:ascii="Times New Roman" w:hAnsi="Times New Roman"/>
          <w:noProof/>
          <w:sz w:val="24"/>
          <w:szCs w:val="24"/>
          <w:lang w:eastAsia="en-GB"/>
        </w:rPr>
        <w:t>The Commission considers that the promotion policy can increase its relevance by:</w:t>
      </w:r>
    </w:p>
    <w:p>
      <w:pPr>
        <w:pStyle w:val="Body"/>
        <w:numPr>
          <w:ilvl w:val="0"/>
          <w:numId w:val="35"/>
        </w:numPr>
        <w:spacing w:after="120"/>
        <w:ind w:left="681" w:hanging="397"/>
        <w:rPr>
          <w:rFonts w:ascii="Times New Roman" w:hAnsi="Times New Roman"/>
          <w:noProof/>
          <w:sz w:val="24"/>
          <w:szCs w:val="24"/>
          <w:lang w:eastAsia="en-GB"/>
        </w:rPr>
      </w:pPr>
      <w:r>
        <w:rPr>
          <w:rFonts w:ascii="Times New Roman" w:hAnsi="Times New Roman"/>
          <w:noProof/>
          <w:sz w:val="24"/>
          <w:szCs w:val="24"/>
          <w:lang w:eastAsia="en-GB"/>
        </w:rPr>
        <w:t>becoming a central tool for delivering the objectives of the ‘farm to fork’ strategy and the upcoming Europe’s Beating Cancer Plan;</w:t>
      </w:r>
    </w:p>
    <w:p>
      <w:pPr>
        <w:pStyle w:val="Body"/>
        <w:numPr>
          <w:ilvl w:val="0"/>
          <w:numId w:val="35"/>
        </w:numPr>
        <w:spacing w:after="120"/>
        <w:ind w:left="681" w:hanging="397"/>
        <w:rPr>
          <w:rFonts w:ascii="Times New Roman" w:hAnsi="Times New Roman"/>
          <w:noProof/>
          <w:sz w:val="24"/>
          <w:szCs w:val="24"/>
          <w:lang w:eastAsia="en-GB"/>
        </w:rPr>
      </w:pPr>
      <w:r>
        <w:rPr>
          <w:rFonts w:ascii="Times New Roman" w:hAnsi="Times New Roman"/>
          <w:noProof/>
          <w:sz w:val="24"/>
          <w:szCs w:val="24"/>
          <w:lang w:eastAsia="en-GB"/>
        </w:rPr>
        <w:t>providing incentives for the transition to a green, more sustainable agricultural sector, e.g. by highlighting sustainable EU agricultural products and production processes both in the EU and on export markets;</w:t>
      </w:r>
    </w:p>
    <w:p>
      <w:pPr>
        <w:pStyle w:val="Body"/>
        <w:numPr>
          <w:ilvl w:val="0"/>
          <w:numId w:val="35"/>
        </w:numPr>
        <w:spacing w:after="120"/>
        <w:ind w:left="681" w:hanging="397"/>
        <w:rPr>
          <w:rFonts w:ascii="Times New Roman" w:hAnsi="Times New Roman"/>
          <w:noProof/>
          <w:sz w:val="24"/>
          <w:szCs w:val="24"/>
          <w:lang w:eastAsia="en-GB"/>
        </w:rPr>
      </w:pPr>
      <w:r>
        <w:rPr>
          <w:rFonts w:ascii="Times New Roman" w:hAnsi="Times New Roman"/>
          <w:noProof/>
          <w:sz w:val="24"/>
          <w:szCs w:val="24"/>
          <w:lang w:eastAsia="en-GB"/>
        </w:rPr>
        <w:t xml:space="preserve">supporting efforts to position the EU food system as a global reference for sustainability In this regard, measures on the initiative of the Commission can in particular contribute to bolster EU outreach efforts and </w:t>
      </w:r>
      <w:r>
        <w:rPr>
          <w:rFonts w:ascii="Times New Roman" w:hAnsi="Times New Roman"/>
          <w:noProof/>
          <w:sz w:val="24"/>
          <w:szCs w:val="24"/>
          <w:lang w:val="en-IE" w:eastAsia="en-GB"/>
        </w:rPr>
        <w:t>build “Green Alliances”</w:t>
      </w:r>
      <w:r>
        <w:rPr>
          <w:rFonts w:ascii="Times New Roman" w:hAnsi="Times New Roman"/>
          <w:noProof/>
          <w:sz w:val="24"/>
          <w:szCs w:val="24"/>
          <w:lang w:eastAsia="en-GB"/>
        </w:rPr>
        <w:t>;</w:t>
      </w:r>
    </w:p>
    <w:p>
      <w:pPr>
        <w:pStyle w:val="Body"/>
        <w:numPr>
          <w:ilvl w:val="0"/>
          <w:numId w:val="35"/>
        </w:numPr>
        <w:spacing w:after="120"/>
        <w:ind w:left="681" w:hanging="397"/>
        <w:rPr>
          <w:rFonts w:ascii="Times New Roman" w:hAnsi="Times New Roman"/>
          <w:noProof/>
          <w:sz w:val="24"/>
          <w:szCs w:val="24"/>
          <w:lang w:eastAsia="en-GB"/>
        </w:rPr>
      </w:pPr>
      <w:r>
        <w:rPr>
          <w:rFonts w:ascii="Times New Roman" w:hAnsi="Times New Roman"/>
          <w:noProof/>
          <w:sz w:val="24"/>
          <w:szCs w:val="24"/>
          <w:lang w:eastAsia="en-GB"/>
        </w:rPr>
        <w:t>promoting future schemes to inform consumers on EU sustainable food labelling, animal welfare and healthy dietary patterns and on the EU carbon farming initiative (in addition to quality schemes such as organic farming and geographical indications);</w:t>
      </w:r>
    </w:p>
    <w:p>
      <w:pPr>
        <w:pStyle w:val="Body"/>
        <w:numPr>
          <w:ilvl w:val="0"/>
          <w:numId w:val="35"/>
        </w:numPr>
        <w:spacing w:after="120"/>
        <w:ind w:left="681" w:hanging="397"/>
        <w:rPr>
          <w:rFonts w:ascii="Times New Roman" w:hAnsi="Times New Roman"/>
          <w:noProof/>
          <w:sz w:val="24"/>
          <w:szCs w:val="24"/>
          <w:lang w:eastAsia="en-GB"/>
        </w:rPr>
      </w:pPr>
      <w:r>
        <w:rPr>
          <w:rFonts w:ascii="Times New Roman" w:hAnsi="Times New Roman"/>
          <w:noProof/>
          <w:sz w:val="24"/>
          <w:szCs w:val="24"/>
          <w:lang w:eastAsia="en-GB"/>
        </w:rPr>
        <w:t>expanding on its current promotion of balanced, healthy diets in support of the ‘Europe’s beating cancer’ plan.</w:t>
      </w:r>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15" w:name="_Toc58506578"/>
      <w:r>
        <w:rPr>
          <w:rFonts w:ascii="Times New Roman" w:eastAsia="Times New Roman" w:hAnsi="Times New Roman" w:cs="Times New Roman"/>
          <w:b/>
          <w:noProof/>
          <w:color w:val="000000" w:themeColor="text1"/>
          <w:sz w:val="24"/>
          <w:szCs w:val="24"/>
        </w:rPr>
        <w:t xml:space="preserve">3.4. </w:t>
      </w:r>
      <w:r>
        <w:rPr>
          <w:rFonts w:ascii="Times New Roman" w:eastAsia="Times New Roman" w:hAnsi="Times New Roman" w:cs="Times New Roman"/>
          <w:b/>
          <w:noProof/>
          <w:color w:val="000000" w:themeColor="text1"/>
          <w:sz w:val="24"/>
          <w:szCs w:val="24"/>
        </w:rPr>
        <w:tab/>
        <w:t>Coherence</w:t>
      </w:r>
      <w:bookmarkEnd w:id="15"/>
    </w:p>
    <w:p>
      <w:pPr>
        <w:pStyle w:val="Body"/>
        <w:rPr>
          <w:rFonts w:ascii="Times New Roman" w:hAnsi="Times New Roman"/>
          <w:noProof/>
          <w:sz w:val="24"/>
          <w:szCs w:val="24"/>
          <w:lang w:eastAsia="en-GB"/>
        </w:rPr>
      </w:pPr>
      <w:r>
        <w:rPr>
          <w:rFonts w:ascii="Times New Roman" w:hAnsi="Times New Roman"/>
          <w:noProof/>
          <w:sz w:val="24"/>
          <w:szCs w:val="24"/>
          <w:lang w:eastAsia="en-GB"/>
        </w:rPr>
        <w:t>The evaluation found that the measures pursued under the promotion policy are mutually coherent. The Commission own initiatives address challenges that ‘simple’ and ‘multi’ promotion programmes cannot address alone and there is potential for positive spill-over effects between programmes. Based on the evidence available, the policy creates synergies with and complements national initiatives.</w:t>
      </w:r>
    </w:p>
    <w:p>
      <w:pPr>
        <w:pStyle w:val="Body"/>
        <w:rPr>
          <w:rFonts w:ascii="Times New Roman" w:hAnsi="Times New Roman"/>
          <w:noProof/>
          <w:sz w:val="24"/>
          <w:szCs w:val="24"/>
          <w:lang w:eastAsia="en-GB"/>
        </w:rPr>
      </w:pPr>
      <w:r>
        <w:rPr>
          <w:rFonts w:ascii="Times New Roman" w:hAnsi="Times New Roman"/>
          <w:noProof/>
          <w:sz w:val="24"/>
          <w:szCs w:val="24"/>
          <w:lang w:eastAsia="en-GB"/>
        </w:rPr>
        <w:t>The policy is coherent with broader agricultural policies aimed at increasing consumption of EU agri-food products. It is also coherent with EU maritime, fisheries and trade policies.</w:t>
      </w:r>
    </w:p>
    <w:p>
      <w:pPr>
        <w:pStyle w:val="Body"/>
        <w:rPr>
          <w:rFonts w:ascii="Times New Roman" w:hAnsi="Times New Roman"/>
          <w:noProof/>
          <w:sz w:val="24"/>
          <w:szCs w:val="24"/>
          <w:lang w:eastAsia="en-GB"/>
        </w:rPr>
      </w:pPr>
      <w:r>
        <w:rPr>
          <w:rFonts w:ascii="Times New Roman" w:hAnsi="Times New Roman"/>
          <w:noProof/>
          <w:sz w:val="24"/>
          <w:szCs w:val="24"/>
          <w:lang w:eastAsia="en-GB"/>
        </w:rPr>
        <w:t>Coherence of promotion policy with other EU policies differs depending on the products promoted. Promotion of some products (e.g. those whose excess consumption is contrary to balanced, healthy diets), production methods (e.g. those that may have a negative environmental and climate impact) and in certain markets (e.g. least developed countries) will need careful attention in light of policy developments, such as the European Green Deal and Europe’s Beating Cancer Plan among others.</w:t>
      </w:r>
    </w:p>
    <w:p>
      <w:pPr>
        <w:pStyle w:val="Body"/>
        <w:spacing w:after="120"/>
        <w:rPr>
          <w:rFonts w:ascii="Times New Roman" w:hAnsi="Times New Roman"/>
          <w:noProof/>
          <w:sz w:val="24"/>
          <w:szCs w:val="24"/>
          <w:lang w:eastAsia="en-GB"/>
        </w:rPr>
      </w:pPr>
      <w:r>
        <w:rPr>
          <w:rFonts w:ascii="Times New Roman" w:hAnsi="Times New Roman"/>
          <w:noProof/>
          <w:sz w:val="24"/>
          <w:szCs w:val="24"/>
          <w:lang w:eastAsia="en-GB"/>
        </w:rPr>
        <w:t>There may be some tension between the promotion policy and EU aid and development policies. A very small share (0,1%) of promotion programmes target developing markets (four programmes between 2016 and 2020), but it was not possible to rule out adverse impacts on local production ecosystems. However:</w:t>
      </w:r>
    </w:p>
    <w:p>
      <w:pPr>
        <w:pStyle w:val="ListParagraph"/>
        <w:numPr>
          <w:ilvl w:val="0"/>
          <w:numId w:val="36"/>
        </w:numPr>
        <w:spacing w:after="240" w:line="240" w:lineRule="auto"/>
        <w:ind w:left="681" w:hanging="397"/>
        <w:contextualSpacing w:val="0"/>
        <w:jc w:val="both"/>
        <w:rPr>
          <w:rFonts w:ascii="Times New Roman" w:hAnsi="Times New Roman"/>
          <w:noProof/>
          <w:sz w:val="24"/>
          <w:szCs w:val="24"/>
          <w:lang w:eastAsia="en-GB"/>
        </w:rPr>
      </w:pPr>
      <w:r>
        <w:rPr>
          <w:rFonts w:ascii="Times New Roman" w:hAnsi="Times New Roman"/>
          <w:noProof/>
          <w:sz w:val="24"/>
          <w:szCs w:val="24"/>
          <w:lang w:eastAsia="en-GB"/>
        </w:rPr>
        <w:t xml:space="preserve">new measures </w:t>
      </w:r>
      <w:r>
        <w:rPr>
          <w:rFonts w:ascii="Times New Roman" w:hAnsi="Times New Roman" w:cs="Times New Roman"/>
          <w:noProof/>
          <w:sz w:val="24"/>
          <w:szCs w:val="24"/>
        </w:rPr>
        <w:t>could</w:t>
      </w:r>
      <w:r>
        <w:rPr>
          <w:rFonts w:ascii="Times New Roman" w:hAnsi="Times New Roman"/>
          <w:noProof/>
          <w:sz w:val="24"/>
          <w:szCs w:val="24"/>
          <w:lang w:eastAsia="en-GB"/>
        </w:rPr>
        <w:t xml:space="preserve"> be envisaged to ensure that applicants consider the potential for direct adverse impacts on local production and take this into account when developing their proposals.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level of coherence between the promotion policy and EU climate and environmental policies differs and depends on product types, production methods and markets.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recommends that</w:t>
      </w:r>
      <w:r>
        <w:rPr>
          <w:rFonts w:ascii="Times New Roman" w:hAnsi="Times New Roman"/>
          <w:noProof/>
          <w:sz w:val="24"/>
          <w:szCs w:val="24"/>
          <w:lang w:eastAsia="en-GB"/>
        </w:rPr>
        <w:t xml:space="preserve"> the forthcoming policy review examine</w:t>
      </w:r>
      <w:r>
        <w:rPr>
          <w:rFonts w:ascii="Times New Roman" w:hAnsi="Times New Roman" w:cs="Times New Roman"/>
          <w:noProof/>
          <w:sz w:val="24"/>
          <w:szCs w:val="24"/>
        </w:rPr>
        <w:t xml:space="preserve"> how promotion policy can:</w:t>
      </w:r>
    </w:p>
    <w:p>
      <w:pPr>
        <w:pStyle w:val="ListParagraph"/>
        <w:numPr>
          <w:ilvl w:val="0"/>
          <w:numId w:val="36"/>
        </w:numPr>
        <w:spacing w:after="120" w:line="240" w:lineRule="auto"/>
        <w:ind w:left="681" w:hanging="397"/>
        <w:contextualSpacing w:val="0"/>
        <w:jc w:val="both"/>
        <w:rPr>
          <w:rFonts w:ascii="Times New Roman" w:hAnsi="Times New Roman"/>
          <w:noProof/>
          <w:sz w:val="24"/>
          <w:szCs w:val="24"/>
          <w:lang w:eastAsia="en-GB"/>
        </w:rPr>
      </w:pPr>
      <w:r>
        <w:rPr>
          <w:rFonts w:ascii="Times New Roman" w:hAnsi="Times New Roman"/>
          <w:noProof/>
          <w:sz w:val="24"/>
          <w:szCs w:val="24"/>
          <w:lang w:eastAsia="en-GB"/>
        </w:rPr>
        <w:t>translate its potential as an enabler of the transition to more sustainable agriculture (as referred to in the ‘farm to fork’ strategy);</w:t>
      </w:r>
    </w:p>
    <w:p>
      <w:pPr>
        <w:pStyle w:val="ListParagraph"/>
        <w:numPr>
          <w:ilvl w:val="0"/>
          <w:numId w:val="36"/>
        </w:numPr>
        <w:spacing w:after="240" w:line="240" w:lineRule="auto"/>
        <w:ind w:left="68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align its strategic priorities more closely with climate, sustainability, health and development policy objectives as highlighted under the Green Deal and related policy initiatives.</w:t>
      </w:r>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16" w:name="_Toc58506579"/>
      <w:r>
        <w:rPr>
          <w:rFonts w:ascii="Times New Roman" w:eastAsia="Times New Roman" w:hAnsi="Times New Roman" w:cs="Times New Roman"/>
          <w:b/>
          <w:noProof/>
          <w:color w:val="000000" w:themeColor="text1"/>
          <w:sz w:val="24"/>
          <w:szCs w:val="24"/>
        </w:rPr>
        <w:t xml:space="preserve">3.5. </w:t>
      </w:r>
      <w:r>
        <w:rPr>
          <w:rFonts w:ascii="Times New Roman" w:eastAsia="Times New Roman" w:hAnsi="Times New Roman" w:cs="Times New Roman"/>
          <w:b/>
          <w:noProof/>
          <w:color w:val="000000" w:themeColor="text1"/>
          <w:sz w:val="24"/>
          <w:szCs w:val="24"/>
        </w:rPr>
        <w:tab/>
        <w:t>EU added value</w:t>
      </w:r>
      <w:bookmarkEnd w:id="16"/>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w:t>
      </w:r>
      <w:r>
        <w:rPr>
          <w:rFonts w:ascii="Times New Roman" w:hAnsi="Times New Roman" w:cs="Times New Roman"/>
          <w:noProof/>
          <w:sz w:val="24"/>
          <w:szCs w:val="24"/>
          <w:lang w:eastAsia="en-GB"/>
        </w:rPr>
        <w:t>evaluation found that</w:t>
      </w:r>
      <w:r>
        <w:rPr>
          <w:rFonts w:ascii="Times New Roman" w:hAnsi="Times New Roman" w:cs="Times New Roman"/>
          <w:noProof/>
          <w:color w:val="000000" w:themeColor="text1"/>
          <w:sz w:val="24"/>
          <w:szCs w:val="24"/>
        </w:rPr>
        <w:t xml:space="preserve"> the policy produced specific EU added value. The EU dimension of promotion programmes is particularly evident and successful in the cooperation between beneficiaries in ‘multi’ and ‘simple’ programmes. The EU added value stemmed from this enhanced cooperation and peer learning between trade operators, which is not available from other funding / promotional activities.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Promotion and information programmes achieved better results on non</w:t>
      </w:r>
      <w:r>
        <w:rPr>
          <w:rFonts w:ascii="Times New Roman" w:hAnsi="Times New Roman" w:cs="Times New Roman"/>
          <w:noProof/>
          <w:color w:val="000000" w:themeColor="text1"/>
          <w:sz w:val="24"/>
          <w:szCs w:val="24"/>
        </w:rPr>
        <w:noBreakHyphen/>
        <w:t>EU markets than national promotion measures and were found to be more visible (partly thanks to the signature ‘Enjoy!  it’s from Europe!’).</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evaluation also found that the policy provided some organisations with their only opportunity to engage in promotion activities with a high level of exposure.</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Commission’s own initiatives also brought tangible added value, since they sought to facilitate market access for EU producers and benefit organisations across Member States and product sectors in a way that would not be possible without EU support.</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In the light of these findings, the Commission recommends:</w:t>
      </w:r>
    </w:p>
    <w:p>
      <w:pPr>
        <w:pStyle w:val="ListParagraph"/>
        <w:numPr>
          <w:ilvl w:val="0"/>
          <w:numId w:val="36"/>
        </w:numPr>
        <w:spacing w:after="240" w:line="240" w:lineRule="auto"/>
        <w:ind w:left="681" w:hanging="397"/>
        <w:contextualSpacing w:val="0"/>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 xml:space="preserve">continuing </w:t>
      </w:r>
      <w:r>
        <w:rPr>
          <w:rFonts w:ascii="Times New Roman" w:hAnsi="Times New Roman" w:cs="Times New Roman"/>
          <w:noProof/>
          <w:sz w:val="24"/>
          <w:szCs w:val="24"/>
        </w:rPr>
        <w:t>to</w:t>
      </w:r>
      <w:r>
        <w:rPr>
          <w:rFonts w:ascii="Times New Roman" w:hAnsi="Times New Roman" w:cs="Times New Roman"/>
          <w:noProof/>
          <w:color w:val="000000" w:themeColor="text1"/>
          <w:sz w:val="24"/>
          <w:szCs w:val="24"/>
        </w:rPr>
        <w:t xml:space="preserve"> support ‘multi’ programmes and Commission own initiatives in third countries. On the internal market, strengthen the policy’s capacity to raise consumers’ awareness of current and future EU labelling schemes to increase the policy’s EU added value.</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spacing w:after="0"/>
        <w:ind w:left="284" w:hanging="284"/>
        <w:jc w:val="both"/>
        <w:rPr>
          <w:rFonts w:ascii="Times New Roman" w:hAnsi="Times New Roman" w:cs="Times New Roman"/>
        </w:rPr>
      </w:pPr>
      <w:r>
        <w:rPr>
          <w:rFonts w:ascii="Times New Roman" w:hAnsi="Times New Roman" w:cs="Times New Roman"/>
        </w:rPr>
        <w:footnoteRef/>
      </w:r>
      <w:r>
        <w:rPr>
          <w:rFonts w:ascii="Times New Roman" w:hAnsi="Times New Roman" w:cs="Times New Roman"/>
          <w:sz w:val="20"/>
          <w:szCs w:val="20"/>
        </w:rPr>
        <w:t xml:space="preserve"> </w:t>
      </w:r>
      <w:r>
        <w:rPr>
          <w:rFonts w:ascii="Times New Roman" w:hAnsi="Times New Roman" w:cs="Times New Roman"/>
          <w:sz w:val="20"/>
          <w:szCs w:val="20"/>
        </w:rPr>
        <w:tab/>
        <w:t>Regulation (EU) No 1144/2014 of the European Parliament and of the Council of 22 October 2014 on information provision and promotion measures concerning agricultural products implemented in the internal market and in third countries and repealing Council Regulation (EC) No 3/2008 (OJ L 317, 4.11.2014, p. 56).</w:t>
      </w:r>
    </w:p>
  </w:footnote>
  <w:footnote w:id="3">
    <w:p>
      <w:pPr>
        <w:spacing w:after="0"/>
        <w:ind w:left="284" w:hanging="284"/>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i/>
          <w:sz w:val="20"/>
          <w:szCs w:val="20"/>
        </w:rPr>
        <w:t xml:space="preserve">Evaluation of the </w:t>
      </w:r>
      <w:r>
        <w:rPr>
          <w:rFonts w:ascii="Times New Roman" w:hAnsi="Times New Roman" w:cs="Times New Roman"/>
          <w:bCs/>
          <w:i/>
          <w:color w:val="000000"/>
          <w:sz w:val="20"/>
          <w:szCs w:val="20"/>
        </w:rPr>
        <w:t>impact of the EU agricultural promotion policy — internal and third country markets</w:t>
      </w:r>
      <w:r>
        <w:rPr>
          <w:rFonts w:ascii="Times New Roman" w:hAnsi="Times New Roman" w:cs="Times New Roman"/>
          <w:bCs/>
          <w:color w:val="000000"/>
          <w:sz w:val="20"/>
          <w:szCs w:val="20"/>
        </w:rPr>
        <w:t xml:space="preserve"> (SWD(2020) 399 final). </w:t>
      </w:r>
    </w:p>
  </w:footnote>
  <w:footnote w:id="4">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 xml:space="preserve">Special Eurobarometer 504, </w:t>
      </w:r>
      <w:r>
        <w:rPr>
          <w:rFonts w:ascii="Times New Roman" w:hAnsi="Times New Roman" w:cs="Times New Roman"/>
          <w:i/>
        </w:rPr>
        <w:t>Europeans, agriculture and the CAP</w:t>
      </w:r>
      <w:r>
        <w:rPr>
          <w:rFonts w:ascii="Times New Roman" w:hAnsi="Times New Roman" w:cs="Times New Roman"/>
        </w:rPr>
        <w:t>;</w:t>
      </w:r>
      <w:r>
        <w:rPr>
          <w:rFonts w:ascii="Times New Roman" w:hAnsi="Times New Roman" w:cs="Times New Roman"/>
        </w:rPr>
        <w:tab/>
      </w:r>
      <w:r>
        <w:rPr>
          <w:rFonts w:ascii="Times New Roman" w:hAnsi="Times New Roman" w:cs="Times New Roman"/>
        </w:rPr>
        <w:br/>
      </w:r>
      <w:hyperlink r:id="rId1" w:history="1">
        <w:r>
          <w:rPr>
            <w:rFonts w:ascii="Times New Roman" w:hAnsi="Times New Roman" w:cs="Times New Roman"/>
          </w:rPr>
          <w:t>https://ec.europa.eu/commfrontoffice/publicopinion/index.cfm/survey/getsurveydetail/instruments/special/surveyky/2229</w:t>
        </w:r>
      </w:hyperlink>
    </w:p>
  </w:footnote>
  <w:footnote w:id="5">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 xml:space="preserve">Commission Communication to the European Parliament, the Council, the European Economic and Social Committee and the Committee of Regions, </w:t>
      </w:r>
      <w:r>
        <w:rPr>
          <w:rFonts w:ascii="Times New Roman" w:hAnsi="Times New Roman" w:cs="Times New Roman"/>
          <w:i/>
        </w:rPr>
        <w:t>The European Green Deal</w:t>
      </w:r>
      <w:r>
        <w:rPr>
          <w:rFonts w:ascii="Times New Roman" w:hAnsi="Times New Roman" w:cs="Times New Roman"/>
        </w:rPr>
        <w:t xml:space="preserve"> (COM(2019) 640 final).</w:t>
      </w:r>
    </w:p>
  </w:footnote>
  <w:footnote w:id="6">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 xml:space="preserve">Commission Communication to the European Parliament, the Council, the European Economic and Social Committee and the Committee of Regions, </w:t>
      </w:r>
      <w:r>
        <w:rPr>
          <w:rFonts w:ascii="Times New Roman" w:hAnsi="Times New Roman" w:cs="Times New Roman"/>
          <w:i/>
        </w:rPr>
        <w:t>A Farm to Fork Strategy for a fair, healthy and environmentally</w:t>
      </w:r>
      <w:r>
        <w:rPr>
          <w:rFonts w:ascii="Times New Roman" w:hAnsi="Times New Roman" w:cs="Times New Roman"/>
          <w:i/>
        </w:rPr>
        <w:noBreakHyphen/>
        <w:t>friendly food system</w:t>
      </w:r>
      <w:r>
        <w:rPr>
          <w:rFonts w:ascii="Times New Roman" w:hAnsi="Times New Roman" w:cs="Times New Roman"/>
        </w:rPr>
        <w:t xml:space="preserve"> (COM(2020) 381final).</w:t>
      </w:r>
    </w:p>
  </w:footnote>
  <w:footnote w:id="7">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initiative launched on 4/2/2020: </w:t>
      </w:r>
      <w:hyperlink r:id="rId2" w:history="1">
        <w:r>
          <w:rPr>
            <w:rStyle w:val="Hyperlink"/>
            <w:rFonts w:ascii="Times New Roman" w:hAnsi="Times New Roman" w:cs="Times New Roman"/>
          </w:rPr>
          <w:t>https://ec.europa.eu/info/law/better-regulation/have-your-say/initiatives/12154-Europe-s-Beating-Cancer-Plan</w:t>
        </w:r>
      </w:hyperlink>
    </w:p>
  </w:footnote>
  <w:footnote w:id="8">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r>
      <w:hyperlink r:id="rId3" w:anchor="annualworkprogramme" w:history="1">
        <w:r>
          <w:rPr>
            <w:rStyle w:val="Hyperlink"/>
            <w:rFonts w:ascii="Times New Roman" w:hAnsi="Times New Roman" w:cs="Times New Roman"/>
          </w:rPr>
          <w:t>https://ec.europa.eu/info/promotion-eu-farm-products_en#annualworkprogramme</w:t>
        </w:r>
      </w:hyperlink>
      <w:r>
        <w:rPr>
          <w:rFonts w:ascii="Times New Roman" w:hAnsi="Times New Roman" w:cs="Times New Roman"/>
        </w:rPr>
        <w:t xml:space="preserve"> </w:t>
      </w:r>
    </w:p>
  </w:footnote>
  <w:footnote w:id="9">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r>
      <w:hyperlink r:id="rId4" w:history="1">
        <w:r>
          <w:rPr>
            <w:rStyle w:val="Hyperlink"/>
            <w:rFonts w:ascii="Times New Roman" w:hAnsi="Times New Roman" w:cs="Times New Roman"/>
          </w:rPr>
          <w:t>https://ec.europa.eu/info/food-farming-fisheries/key-policies/committees-and-advisory-councils/civil-dialogue-groups_en</w:t>
        </w:r>
      </w:hyperlink>
    </w:p>
  </w:footnote>
  <w:footnote w:id="10">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footnote>
  <w:footnote w:id="11">
    <w:p>
      <w:pPr>
        <w:pStyle w:val="NormalWeb"/>
        <w:spacing w:before="0" w:beforeAutospacing="0" w:after="0" w:afterAutospacing="0"/>
        <w:ind w:left="284" w:hanging="284"/>
        <w:jc w:val="both"/>
        <w:rPr>
          <w:rFonts w:eastAsiaTheme="minorHAnsi"/>
          <w:sz w:val="20"/>
          <w:szCs w:val="20"/>
          <w:lang w:val="en-GB" w:eastAsia="en-US"/>
        </w:rPr>
      </w:pPr>
      <w:r>
        <w:rPr>
          <w:sz w:val="20"/>
          <w:szCs w:val="20"/>
          <w:vertAlign w:val="superscript"/>
          <w:lang w:val="en-GB"/>
        </w:rPr>
        <w:footnoteRef/>
      </w:r>
      <w:r>
        <w:rPr>
          <w:sz w:val="20"/>
          <w:szCs w:val="20"/>
          <w:lang w:val="en-GB"/>
        </w:rPr>
        <w:t xml:space="preserve"> </w:t>
      </w:r>
      <w:r>
        <w:rPr>
          <w:sz w:val="20"/>
          <w:szCs w:val="20"/>
          <w:lang w:val="en-GB"/>
        </w:rPr>
        <w:tab/>
      </w:r>
      <w:r>
        <w:rPr>
          <w:rFonts w:eastAsiaTheme="minorHAnsi"/>
          <w:sz w:val="20"/>
          <w:szCs w:val="20"/>
          <w:lang w:val="en-GB" w:eastAsia="en-US"/>
        </w:rPr>
        <w:t>Call for proposals for grants to simple promotion programmes concerning agricultural products implemented in the internal market and in third countries to restore market situation in accordance with Regulation (EU) No 1144/2014 (2020/C 216/11) (OJ C 216, 30.6.2020, p. 19);</w:t>
      </w:r>
    </w:p>
    <w:p>
      <w:pPr>
        <w:pStyle w:val="NormalWeb"/>
        <w:spacing w:before="0" w:beforeAutospacing="0" w:after="0" w:afterAutospacing="0"/>
        <w:ind w:left="284"/>
        <w:jc w:val="both"/>
        <w:rPr>
          <w:sz w:val="20"/>
          <w:szCs w:val="20"/>
          <w:lang w:val="en-GB"/>
        </w:rPr>
      </w:pPr>
      <w:r>
        <w:rPr>
          <w:rFonts w:eastAsiaTheme="minorHAnsi"/>
          <w:sz w:val="20"/>
          <w:szCs w:val="20"/>
          <w:lang w:val="en-GB" w:eastAsia="en-US"/>
        </w:rPr>
        <w:t>Call for proposals for grants to multi promotion programmes concerning agricultural products implemented in the internal market and in third countries to restore market situation in accordance with Regulation (EU) No 1144/2014 (2020/C 216/12) (OJ C 216, 30.6.2020, p. 20)</w:t>
      </w:r>
      <w:r>
        <w:rPr>
          <w:sz w:val="20"/>
          <w:szCs w:val="20"/>
          <w:lang w:val="en-GB"/>
        </w:rPr>
        <w:t>.</w:t>
      </w:r>
    </w:p>
  </w:footnote>
  <w:footnote w:id="12">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r>
      <w:hyperlink r:id="rId5" w:history="1">
        <w:r>
          <w:rPr>
            <w:rStyle w:val="Hyperlink"/>
            <w:rFonts w:ascii="Times New Roman" w:hAnsi="Times New Roman" w:cs="Times New Roman"/>
          </w:rPr>
          <w:t>https://www.fas.usda.gov/newsroom/usda-awards-agricultural-trade-promotion-program-funding-0</w:t>
        </w:r>
      </w:hyperlink>
      <w:r>
        <w:rPr>
          <w:rFonts w:ascii="Times New Roman" w:hAnsi="Times New Roman" w:cs="Times New Roman"/>
        </w:rPr>
        <w:t xml:space="preserve"> </w:t>
      </w:r>
    </w:p>
  </w:footnote>
  <w:footnote w:id="13">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r>
      <w:hyperlink r:id="rId6" w:history="1">
        <w:r>
          <w:rPr>
            <w:rStyle w:val="Hyperlink"/>
            <w:rFonts w:ascii="Times New Roman" w:hAnsi="Times New Roman" w:cs="Times New Roman"/>
          </w:rPr>
          <w:t>https://ec.europa.eu/info/law/better-regulation/have-your-say/initiatives/1859-Evaluation-of-the-EU-agricultural-promotion-policy/public-consultation</w:t>
        </w:r>
      </w:hyperlink>
      <w:r>
        <w:rPr>
          <w:rFonts w:ascii="Times New Roman" w:hAnsi="Times New Roman" w:cs="Times New Roman"/>
        </w:rPr>
        <w:t xml:space="preserve"> </w:t>
      </w:r>
    </w:p>
  </w:footnote>
  <w:footnote w:id="14">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More detailed statistics are available in the staff working document (Annex 4).</w:t>
      </w:r>
    </w:p>
  </w:footnote>
  <w:footnote w:id="15">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r>
      <w:hyperlink r:id="rId7" w:history="1">
        <w:r>
          <w:rPr>
            <w:rStyle w:val="Hyperlink"/>
            <w:rFonts w:ascii="Times New Roman" w:hAnsi="Times New Roman" w:cs="Times New Roman"/>
          </w:rPr>
          <w:t>https://ec.europa.eu/info/food-farming-fisheries/key-policies/common-agricultural-policy/cmef/regulation-and-simplification/evaluation-support-study-eu-agricultural-promotion-policy-internal-and-third-country-markets_en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4EF"/>
    <w:multiLevelType w:val="hybridMultilevel"/>
    <w:tmpl w:val="57163D36"/>
    <w:lvl w:ilvl="0" w:tplc="01EC0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EF07D4"/>
    <w:multiLevelType w:val="hybridMultilevel"/>
    <w:tmpl w:val="24285478"/>
    <w:lvl w:ilvl="0" w:tplc="893E87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662FD4"/>
    <w:multiLevelType w:val="hybridMultilevel"/>
    <w:tmpl w:val="43A6C674"/>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
    <w:nsid w:val="09CC18E9"/>
    <w:multiLevelType w:val="hybridMultilevel"/>
    <w:tmpl w:val="D1541DD0"/>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E9C198F"/>
    <w:multiLevelType w:val="hybridMultilevel"/>
    <w:tmpl w:val="8D740F4C"/>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5">
    <w:nsid w:val="13B42123"/>
    <w:multiLevelType w:val="hybridMultilevel"/>
    <w:tmpl w:val="C35061DA"/>
    <w:lvl w:ilvl="0" w:tplc="0809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15B03C58"/>
    <w:multiLevelType w:val="hybridMultilevel"/>
    <w:tmpl w:val="78D86F94"/>
    <w:lvl w:ilvl="0" w:tplc="31B8D4BA">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C829F9"/>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9C3488"/>
    <w:multiLevelType w:val="hybridMultilevel"/>
    <w:tmpl w:val="EC507356"/>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F1A2A7F"/>
    <w:multiLevelType w:val="hybridMultilevel"/>
    <w:tmpl w:val="25742834"/>
    <w:lvl w:ilvl="0" w:tplc="0809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F2B4AC8"/>
    <w:multiLevelType w:val="hybridMultilevel"/>
    <w:tmpl w:val="356E4258"/>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00E38E5"/>
    <w:multiLevelType w:val="hybridMultilevel"/>
    <w:tmpl w:val="E438BF0A"/>
    <w:lvl w:ilvl="0" w:tplc="0809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301250E9"/>
    <w:multiLevelType w:val="multilevel"/>
    <w:tmpl w:val="A28C5A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020532"/>
    <w:multiLevelType w:val="hybridMultilevel"/>
    <w:tmpl w:val="F46C9B8C"/>
    <w:lvl w:ilvl="0" w:tplc="08090017">
      <w:start w:val="1"/>
      <w:numFmt w:val="lowerLetter"/>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5">
    <w:nsid w:val="34FE2D61"/>
    <w:multiLevelType w:val="hybridMultilevel"/>
    <w:tmpl w:val="5E00AE0E"/>
    <w:lvl w:ilvl="0" w:tplc="08090017">
      <w:start w:val="1"/>
      <w:numFmt w:val="lowerLetter"/>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nsid w:val="35A712DC"/>
    <w:multiLevelType w:val="hybridMultilevel"/>
    <w:tmpl w:val="8FF055BC"/>
    <w:lvl w:ilvl="0" w:tplc="079E7276">
      <w:start w:val="20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362609AC"/>
    <w:multiLevelType w:val="hybridMultilevel"/>
    <w:tmpl w:val="3BB2A590"/>
    <w:lvl w:ilvl="0" w:tplc="0809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3E48190E"/>
    <w:multiLevelType w:val="hybridMultilevel"/>
    <w:tmpl w:val="CE981720"/>
    <w:lvl w:ilvl="0" w:tplc="0809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41B158D9"/>
    <w:multiLevelType w:val="hybridMultilevel"/>
    <w:tmpl w:val="945ADA6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0">
    <w:nsid w:val="4F0C4575"/>
    <w:multiLevelType w:val="hybridMultilevel"/>
    <w:tmpl w:val="A5CC1B58"/>
    <w:lvl w:ilvl="0" w:tplc="0809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5148705D"/>
    <w:multiLevelType w:val="hybridMultilevel"/>
    <w:tmpl w:val="B82E6FC0"/>
    <w:lvl w:ilvl="0" w:tplc="48681E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5604BE"/>
    <w:multiLevelType w:val="hybridMultilevel"/>
    <w:tmpl w:val="18CA4A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A901F38"/>
    <w:multiLevelType w:val="hybridMultilevel"/>
    <w:tmpl w:val="582C15BC"/>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4">
    <w:nsid w:val="5B1F0DED"/>
    <w:multiLevelType w:val="hybridMultilevel"/>
    <w:tmpl w:val="9CF62D6C"/>
    <w:lvl w:ilvl="0" w:tplc="B7888884">
      <w:start w:val="1"/>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E65AEA"/>
    <w:multiLevelType w:val="hybridMultilevel"/>
    <w:tmpl w:val="251A99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F46CB1"/>
    <w:multiLevelType w:val="multilevel"/>
    <w:tmpl w:val="2774EC9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FE80AC6"/>
    <w:multiLevelType w:val="hybridMultilevel"/>
    <w:tmpl w:val="B98CCB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60666EC8"/>
    <w:multiLevelType w:val="hybridMultilevel"/>
    <w:tmpl w:val="65D2ACE2"/>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9">
    <w:nsid w:val="61AE1F08"/>
    <w:multiLevelType w:val="multilevel"/>
    <w:tmpl w:val="6F92A3A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6D5F2509"/>
    <w:multiLevelType w:val="hybridMultilevel"/>
    <w:tmpl w:val="36BE9CCC"/>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6DE25912"/>
    <w:multiLevelType w:val="hybridMultilevel"/>
    <w:tmpl w:val="628AA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E2E1A45"/>
    <w:multiLevelType w:val="hybridMultilevel"/>
    <w:tmpl w:val="73B8CC72"/>
    <w:lvl w:ilvl="0" w:tplc="594E59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F106CBA"/>
    <w:multiLevelType w:val="hybridMultilevel"/>
    <w:tmpl w:val="8876B1E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26"/>
    <w:lvlOverride w:ilvl="0">
      <w:startOverride w:val="1"/>
    </w:lvlOverride>
    <w:lvlOverride w:ilvl="1"/>
    <w:lvlOverride w:ilvl="2"/>
    <w:lvlOverride w:ilvl="3"/>
    <w:lvlOverride w:ilvl="4"/>
    <w:lvlOverride w:ilvl="5"/>
    <w:lvlOverride w:ilvl="6"/>
    <w:lvlOverride w:ilvl="7"/>
    <w:lvlOverride w:ilvl="8"/>
  </w:num>
  <w:num w:numId="3">
    <w:abstractNumId w:val="25"/>
  </w:num>
  <w:num w:numId="4">
    <w:abstractNumId w:val="7"/>
  </w:num>
  <w:num w:numId="5">
    <w:abstractNumId w:val="29"/>
  </w:num>
  <w:num w:numId="6">
    <w:abstractNumId w:val="13"/>
  </w:num>
  <w:num w:numId="7">
    <w:abstractNumId w:val="9"/>
  </w:num>
  <w:num w:numId="8">
    <w:abstractNumId w:val="9"/>
  </w:num>
  <w:num w:numId="9">
    <w:abstractNumId w:val="9"/>
  </w:num>
  <w:num w:numId="10">
    <w:abstractNumId w:val="24"/>
  </w:num>
  <w:num w:numId="11">
    <w:abstractNumId w:val="1"/>
  </w:num>
  <w:num w:numId="12">
    <w:abstractNumId w:val="5"/>
  </w:num>
  <w:num w:numId="13">
    <w:abstractNumId w:val="12"/>
  </w:num>
  <w:num w:numId="14">
    <w:abstractNumId w:val="20"/>
  </w:num>
  <w:num w:numId="15">
    <w:abstractNumId w:val="17"/>
  </w:num>
  <w:num w:numId="16">
    <w:abstractNumId w:val="10"/>
  </w:num>
  <w:num w:numId="17">
    <w:abstractNumId w:val="15"/>
  </w:num>
  <w:num w:numId="18">
    <w:abstractNumId w:val="3"/>
  </w:num>
  <w:num w:numId="19">
    <w:abstractNumId w:val="30"/>
  </w:num>
  <w:num w:numId="20">
    <w:abstractNumId w:val="14"/>
  </w:num>
  <w:num w:numId="21">
    <w:abstractNumId w:val="18"/>
  </w:num>
  <w:num w:numId="22">
    <w:abstractNumId w:val="27"/>
  </w:num>
  <w:num w:numId="23">
    <w:abstractNumId w:val="16"/>
  </w:num>
  <w:num w:numId="24">
    <w:abstractNumId w:val="33"/>
  </w:num>
  <w:num w:numId="25">
    <w:abstractNumId w:val="11"/>
  </w:num>
  <w:num w:numId="26">
    <w:abstractNumId w:val="31"/>
  </w:num>
  <w:num w:numId="27">
    <w:abstractNumId w:val="22"/>
  </w:num>
  <w:num w:numId="28">
    <w:abstractNumId w:val="19"/>
  </w:num>
  <w:num w:numId="29">
    <w:abstractNumId w:val="0"/>
  </w:num>
  <w:num w:numId="30">
    <w:abstractNumId w:val="23"/>
  </w:num>
  <w:num w:numId="31">
    <w:abstractNumId w:val="8"/>
  </w:num>
  <w:num w:numId="32">
    <w:abstractNumId w:val="32"/>
  </w:num>
  <w:num w:numId="33">
    <w:abstractNumId w:val="21"/>
  </w:num>
  <w:num w:numId="34">
    <w:abstractNumId w:val="4"/>
  </w:num>
  <w:num w:numId="35">
    <w:abstractNumId w:val="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75DB6689-577F-4C3C-BFE2-E5DE6E03BA96"/>
    <w:docVar w:name="LW_COVERPAGE_TYPE" w:val="1"/>
    <w:docVar w:name="LW_CROSSREFERENCE" w:val="&lt;UNUSED&gt;"/>
    <w:docVar w:name="LW_DATE.ADOPT.CP_ISODATE" w:val="&lt;EMPTY&gt;"/>
    <w:docVar w:name="LW_DocType" w:val="NORMAL"/>
    <w:docVar w:name="LW_EMISSION" w:val="11.2.2021"/>
    <w:docVar w:name="LW_EMISSION_ISODATE" w:val="2021-02-11"/>
    <w:docVar w:name="LW_EMISSION_LOCATION" w:val="BRX"/>
    <w:docVar w:name="LW_EMISSION_PREFIX" w:val="Brussels, "/>
    <w:docVar w:name="LW_EMISSION_SUFFIX" w:val=" "/>
    <w:docVar w:name="LW_ID_DOCTYPE_NONLW" w:val="CP-006"/>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application of Regulation (EU) No 1144/2014 of the European Parliament and of the Council on information provision and promotion measures concerning agricultural products implemented in the internal market and in third countries"/>
    <w:docVar w:name="LW_TYPE.DOC.CP" w:val="REPORT FROM THE COMMISSION TO THE EUROPEAN PARLIAMENT AND THE COUNCIL"/>
    <w:docVar w:name="LW_TYPEACTEPRINCIPAL.CP" w:val="&lt;UNUSED&gt;"/>
    <w:docVar w:name="Stamp" w:val="\\dossiers.dgt.cec.eu.int\dossiers\AGRI\AGRI-2020-62170\AGRI-2020-62170-00-00-EN-EDT-00.202011191203453506516.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link w:val="TOCHeadingChar"/>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tabs>
        <w:tab w:val="right" w:leader="dot" w:pos="9062"/>
      </w:tabs>
      <w:spacing w:after="100" w:line="259" w:lineRule="auto"/>
      <w:ind w:left="220"/>
    </w:pPr>
    <w:rPr>
      <w:rFonts w:ascii="Times New Roman" w:eastAsiaTheme="minorEastAsia" w:hAnsi="Times New Roman" w:cs="Times New Roman"/>
      <w:lang w:val="en-US"/>
    </w:rPr>
  </w:style>
  <w:style w:type="paragraph" w:styleId="TOC1">
    <w:name w:val="toc 1"/>
    <w:basedOn w:val="Normal"/>
    <w:next w:val="Normal"/>
    <w:autoRedefine/>
    <w:uiPriority w:val="39"/>
    <w:unhideWhenUsed/>
    <w:pPr>
      <w:tabs>
        <w:tab w:val="right" w:leader="dot" w:pos="9062"/>
      </w:tabs>
      <w:spacing w:after="100" w:line="259" w:lineRule="auto"/>
    </w:pPr>
    <w:rPr>
      <w:rFonts w:eastAsiaTheme="minorEastAsia" w:cs="Times New Roman"/>
      <w:lang w:val="en-US"/>
    </w:rPr>
  </w:style>
  <w:style w:type="paragraph" w:styleId="TOC3">
    <w:name w:val="toc 3"/>
    <w:basedOn w:val="Normal"/>
    <w:next w:val="Normal"/>
    <w:autoRedefine/>
    <w:uiPriority w:val="39"/>
    <w:unhideWhenUsed/>
    <w:pPr>
      <w:spacing w:after="100" w:line="259" w:lineRule="auto"/>
      <w:ind w:left="440"/>
    </w:pPr>
    <w:rPr>
      <w:rFonts w:eastAsiaTheme="minorEastAsia" w:cs="Times New Roman"/>
      <w:lang w:val="en-US"/>
    </w:rPr>
  </w:style>
  <w:style w:type="paragraph" w:customStyle="1" w:styleId="LegalNumPar">
    <w:name w:val="LegalNumPar"/>
    <w:basedOn w:val="Normal"/>
    <w:pPr>
      <w:numPr>
        <w:numId w:val="9"/>
      </w:numPr>
      <w:spacing w:line="360" w:lineRule="auto"/>
    </w:pPr>
    <w:rPr>
      <w:sz w:val="24"/>
    </w:rPr>
  </w:style>
  <w:style w:type="paragraph" w:customStyle="1" w:styleId="LegalNumPar2">
    <w:name w:val="LegalNumPar2"/>
    <w:basedOn w:val="Normal"/>
    <w:pPr>
      <w:numPr>
        <w:ilvl w:val="1"/>
        <w:numId w:val="9"/>
      </w:numPr>
      <w:spacing w:line="360" w:lineRule="auto"/>
    </w:pPr>
    <w:rPr>
      <w:sz w:val="24"/>
    </w:rPr>
  </w:style>
  <w:style w:type="paragraph" w:customStyle="1" w:styleId="LegalNumPar3">
    <w:name w:val="LegalNumPar3"/>
    <w:basedOn w:val="Normal"/>
    <w:pPr>
      <w:numPr>
        <w:ilvl w:val="2"/>
        <w:numId w:val="9"/>
      </w:numPr>
      <w:spacing w:line="360" w:lineRule="auto"/>
    </w:pPr>
    <w:rPr>
      <w:sz w:val="24"/>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References">
    <w:name w:val="References"/>
    <w:basedOn w:val="Normal"/>
    <w:next w:val="Normal"/>
    <w:pPr>
      <w:spacing w:after="240" w:line="240" w:lineRule="auto"/>
      <w:ind w:left="5103"/>
    </w:pPr>
    <w:rPr>
      <w:rFonts w:ascii="Times New Roman" w:eastAsia="Times New Roman" w:hAnsi="Times New Roman" w:cs="Times New Roman"/>
      <w:sz w:val="20"/>
      <w:szCs w:val="20"/>
      <w:lang w:val="fr-FR"/>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4F81BD" w:themeColor="accent1"/>
    </w:rPr>
  </w:style>
  <w:style w:type="table" w:styleId="TableGrid">
    <w:name w:val="Table Grid"/>
    <w:aliases w:val="Document Table,Deloitte,Table Grid IDEA"/>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fr-BE" w:eastAsia="en-GB"/>
    </w:rPr>
  </w:style>
  <w:style w:type="table" w:customStyle="1" w:styleId="TableGridIDEA5">
    <w:name w:val="Table Grid IDEA5"/>
    <w:basedOn w:val="TableNormal"/>
    <w:uiPriority w:val="39"/>
    <w:qFormat/>
    <w:pPr>
      <w:spacing w:after="0" w:line="240" w:lineRule="auto"/>
    </w:pPr>
    <w:rPr>
      <w:rFonts w:eastAsia="Times New Roman"/>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color w:val="365F91" w:themeColor="accent1" w:themeShade="BF"/>
      <w:sz w:val="32"/>
      <w:szCs w:val="32"/>
      <w:lang w:val="en-US"/>
    </w:rPr>
  </w:style>
  <w:style w:type="character" w:customStyle="1" w:styleId="FooterCoverPageChar">
    <w:name w:val="Footer Cover Page Char"/>
    <w:basedOn w:val="TOCHeadingChar"/>
    <w:link w:val="FooterCoverPage"/>
    <w:rPr>
      <w:rFonts w:ascii="Times New Roman" w:eastAsiaTheme="majorEastAsia" w:hAnsi="Times New Roman" w:cs="Times New Roman"/>
      <w:color w:val="365F91" w:themeColor="accent1" w:themeShade="BF"/>
      <w:sz w:val="24"/>
      <w:szCs w:val="32"/>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heme="majorEastAsia" w:hAnsi="Times New Roman" w:cs="Times New Roman"/>
      <w:b/>
      <w:color w:val="365F91" w:themeColor="accent1" w:themeShade="BF"/>
      <w:sz w:val="32"/>
      <w:szCs w:val="32"/>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ajorEastAsia" w:hAnsi="Times New Roman" w:cs="Times New Roman"/>
      <w:color w:val="365F91" w:themeColor="accent1" w:themeShade="BF"/>
      <w:sz w:val="24"/>
      <w:szCs w:val="32"/>
      <w:lang w:val="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heme="majorEastAsia" w:hAnsi="Times New Roman" w:cs="Times New Roman"/>
      <w:b/>
      <w:color w:val="365F91" w:themeColor="accent1" w:themeShade="BF"/>
      <w:sz w:val="32"/>
      <w:szCs w:val="32"/>
      <w:lang w:val="en-US"/>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OCHeadingChar"/>
    <w:link w:val="HeaderSensitivityRight"/>
    <w:rPr>
      <w:rFonts w:ascii="Times New Roman" w:eastAsiaTheme="majorEastAsia" w:hAnsi="Times New Roman" w:cs="Times New Roman"/>
      <w:color w:val="365F91" w:themeColor="accent1" w:themeShade="BF"/>
      <w:sz w:val="28"/>
      <w:szCs w:val="32"/>
      <w:lang w:val="en-US"/>
    </w:rPr>
  </w:style>
  <w:style w:type="character" w:styleId="FootnoteReference">
    <w:name w:val="footnote reference"/>
    <w:basedOn w:val="DefaultParagraphFont"/>
    <w:uiPriority w:val="99"/>
    <w:unhideWhenUsed/>
    <w:qFormat/>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link w:val="TOCHeadingChar"/>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tabs>
        <w:tab w:val="right" w:leader="dot" w:pos="9062"/>
      </w:tabs>
      <w:spacing w:after="100" w:line="259" w:lineRule="auto"/>
      <w:ind w:left="220"/>
    </w:pPr>
    <w:rPr>
      <w:rFonts w:ascii="Times New Roman" w:eastAsiaTheme="minorEastAsia" w:hAnsi="Times New Roman" w:cs="Times New Roman"/>
      <w:lang w:val="en-US"/>
    </w:rPr>
  </w:style>
  <w:style w:type="paragraph" w:styleId="TOC1">
    <w:name w:val="toc 1"/>
    <w:basedOn w:val="Normal"/>
    <w:next w:val="Normal"/>
    <w:autoRedefine/>
    <w:uiPriority w:val="39"/>
    <w:unhideWhenUsed/>
    <w:pPr>
      <w:tabs>
        <w:tab w:val="right" w:leader="dot" w:pos="9062"/>
      </w:tabs>
      <w:spacing w:after="100" w:line="259" w:lineRule="auto"/>
    </w:pPr>
    <w:rPr>
      <w:rFonts w:eastAsiaTheme="minorEastAsia" w:cs="Times New Roman"/>
      <w:lang w:val="en-US"/>
    </w:rPr>
  </w:style>
  <w:style w:type="paragraph" w:styleId="TOC3">
    <w:name w:val="toc 3"/>
    <w:basedOn w:val="Normal"/>
    <w:next w:val="Normal"/>
    <w:autoRedefine/>
    <w:uiPriority w:val="39"/>
    <w:unhideWhenUsed/>
    <w:pPr>
      <w:spacing w:after="100" w:line="259" w:lineRule="auto"/>
      <w:ind w:left="440"/>
    </w:pPr>
    <w:rPr>
      <w:rFonts w:eastAsiaTheme="minorEastAsia" w:cs="Times New Roman"/>
      <w:lang w:val="en-US"/>
    </w:rPr>
  </w:style>
  <w:style w:type="paragraph" w:customStyle="1" w:styleId="LegalNumPar">
    <w:name w:val="LegalNumPar"/>
    <w:basedOn w:val="Normal"/>
    <w:pPr>
      <w:numPr>
        <w:numId w:val="9"/>
      </w:numPr>
      <w:spacing w:line="360" w:lineRule="auto"/>
    </w:pPr>
    <w:rPr>
      <w:sz w:val="24"/>
    </w:rPr>
  </w:style>
  <w:style w:type="paragraph" w:customStyle="1" w:styleId="LegalNumPar2">
    <w:name w:val="LegalNumPar2"/>
    <w:basedOn w:val="Normal"/>
    <w:pPr>
      <w:numPr>
        <w:ilvl w:val="1"/>
        <w:numId w:val="9"/>
      </w:numPr>
      <w:spacing w:line="360" w:lineRule="auto"/>
    </w:pPr>
    <w:rPr>
      <w:sz w:val="24"/>
    </w:rPr>
  </w:style>
  <w:style w:type="paragraph" w:customStyle="1" w:styleId="LegalNumPar3">
    <w:name w:val="LegalNumPar3"/>
    <w:basedOn w:val="Normal"/>
    <w:pPr>
      <w:numPr>
        <w:ilvl w:val="2"/>
        <w:numId w:val="9"/>
      </w:numPr>
      <w:spacing w:line="360" w:lineRule="auto"/>
    </w:pPr>
    <w:rPr>
      <w:sz w:val="24"/>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References">
    <w:name w:val="References"/>
    <w:basedOn w:val="Normal"/>
    <w:next w:val="Normal"/>
    <w:pPr>
      <w:spacing w:after="240" w:line="240" w:lineRule="auto"/>
      <w:ind w:left="5103"/>
    </w:pPr>
    <w:rPr>
      <w:rFonts w:ascii="Times New Roman" w:eastAsia="Times New Roman" w:hAnsi="Times New Roman" w:cs="Times New Roman"/>
      <w:sz w:val="20"/>
      <w:szCs w:val="20"/>
      <w:lang w:val="fr-FR"/>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4F81BD" w:themeColor="accent1"/>
    </w:rPr>
  </w:style>
  <w:style w:type="table" w:styleId="TableGrid">
    <w:name w:val="Table Grid"/>
    <w:aliases w:val="Document Table,Deloitte,Table Grid IDEA"/>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fr-BE" w:eastAsia="en-GB"/>
    </w:rPr>
  </w:style>
  <w:style w:type="table" w:customStyle="1" w:styleId="TableGridIDEA5">
    <w:name w:val="Table Grid IDEA5"/>
    <w:basedOn w:val="TableNormal"/>
    <w:uiPriority w:val="39"/>
    <w:qFormat/>
    <w:pPr>
      <w:spacing w:after="0" w:line="240" w:lineRule="auto"/>
    </w:pPr>
    <w:rPr>
      <w:rFonts w:eastAsia="Times New Roman"/>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color w:val="365F91" w:themeColor="accent1" w:themeShade="BF"/>
      <w:sz w:val="32"/>
      <w:szCs w:val="32"/>
      <w:lang w:val="en-US"/>
    </w:rPr>
  </w:style>
  <w:style w:type="character" w:customStyle="1" w:styleId="FooterCoverPageChar">
    <w:name w:val="Footer Cover Page Char"/>
    <w:basedOn w:val="TOCHeadingChar"/>
    <w:link w:val="FooterCoverPage"/>
    <w:rPr>
      <w:rFonts w:ascii="Times New Roman" w:eastAsiaTheme="majorEastAsia" w:hAnsi="Times New Roman" w:cs="Times New Roman"/>
      <w:color w:val="365F91" w:themeColor="accent1" w:themeShade="BF"/>
      <w:sz w:val="24"/>
      <w:szCs w:val="32"/>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heme="majorEastAsia" w:hAnsi="Times New Roman" w:cs="Times New Roman"/>
      <w:b/>
      <w:color w:val="365F91" w:themeColor="accent1" w:themeShade="BF"/>
      <w:sz w:val="32"/>
      <w:szCs w:val="32"/>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ajorEastAsia" w:hAnsi="Times New Roman" w:cs="Times New Roman"/>
      <w:color w:val="365F91" w:themeColor="accent1" w:themeShade="BF"/>
      <w:sz w:val="24"/>
      <w:szCs w:val="32"/>
      <w:lang w:val="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heme="majorEastAsia" w:hAnsi="Times New Roman" w:cs="Times New Roman"/>
      <w:b/>
      <w:color w:val="365F91" w:themeColor="accent1" w:themeShade="BF"/>
      <w:sz w:val="32"/>
      <w:szCs w:val="32"/>
      <w:lang w:val="en-US"/>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OCHeadingChar"/>
    <w:link w:val="HeaderSensitivityRight"/>
    <w:rPr>
      <w:rFonts w:ascii="Times New Roman" w:eastAsiaTheme="majorEastAsia" w:hAnsi="Times New Roman" w:cs="Times New Roman"/>
      <w:color w:val="365F91" w:themeColor="accent1" w:themeShade="BF"/>
      <w:sz w:val="28"/>
      <w:szCs w:val="32"/>
      <w:lang w:val="en-US"/>
    </w:rPr>
  </w:style>
  <w:style w:type="character" w:styleId="FootnoteReference">
    <w:name w:val="footnote reference"/>
    <w:basedOn w:val="DefaultParagraphFont"/>
    <w:uiPriority w:val="99"/>
    <w:unhideWhenUsed/>
    <w:qFormat/>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9876">
      <w:bodyDiv w:val="1"/>
      <w:marLeft w:val="0"/>
      <w:marRight w:val="0"/>
      <w:marTop w:val="0"/>
      <w:marBottom w:val="0"/>
      <w:divBdr>
        <w:top w:val="none" w:sz="0" w:space="0" w:color="auto"/>
        <w:left w:val="none" w:sz="0" w:space="0" w:color="auto"/>
        <w:bottom w:val="none" w:sz="0" w:space="0" w:color="auto"/>
        <w:right w:val="none" w:sz="0" w:space="0" w:color="auto"/>
      </w:divBdr>
    </w:div>
    <w:div w:id="294918925">
      <w:bodyDiv w:val="1"/>
      <w:marLeft w:val="0"/>
      <w:marRight w:val="0"/>
      <w:marTop w:val="0"/>
      <w:marBottom w:val="0"/>
      <w:divBdr>
        <w:top w:val="none" w:sz="0" w:space="0" w:color="auto"/>
        <w:left w:val="none" w:sz="0" w:space="0" w:color="auto"/>
        <w:bottom w:val="none" w:sz="0" w:space="0" w:color="auto"/>
        <w:right w:val="none" w:sz="0" w:space="0" w:color="auto"/>
      </w:divBdr>
    </w:div>
    <w:div w:id="486285909">
      <w:bodyDiv w:val="1"/>
      <w:marLeft w:val="0"/>
      <w:marRight w:val="0"/>
      <w:marTop w:val="0"/>
      <w:marBottom w:val="0"/>
      <w:divBdr>
        <w:top w:val="none" w:sz="0" w:space="0" w:color="auto"/>
        <w:left w:val="none" w:sz="0" w:space="0" w:color="auto"/>
        <w:bottom w:val="none" w:sz="0" w:space="0" w:color="auto"/>
        <w:right w:val="none" w:sz="0" w:space="0" w:color="auto"/>
      </w:divBdr>
    </w:div>
    <w:div w:id="522985350">
      <w:bodyDiv w:val="1"/>
      <w:marLeft w:val="0"/>
      <w:marRight w:val="0"/>
      <w:marTop w:val="0"/>
      <w:marBottom w:val="0"/>
      <w:divBdr>
        <w:top w:val="none" w:sz="0" w:space="0" w:color="auto"/>
        <w:left w:val="none" w:sz="0" w:space="0" w:color="auto"/>
        <w:bottom w:val="none" w:sz="0" w:space="0" w:color="auto"/>
        <w:right w:val="none" w:sz="0" w:space="0" w:color="auto"/>
      </w:divBdr>
    </w:div>
    <w:div w:id="607390114">
      <w:bodyDiv w:val="1"/>
      <w:marLeft w:val="0"/>
      <w:marRight w:val="0"/>
      <w:marTop w:val="0"/>
      <w:marBottom w:val="0"/>
      <w:divBdr>
        <w:top w:val="none" w:sz="0" w:space="0" w:color="auto"/>
        <w:left w:val="none" w:sz="0" w:space="0" w:color="auto"/>
        <w:bottom w:val="none" w:sz="0" w:space="0" w:color="auto"/>
        <w:right w:val="none" w:sz="0" w:space="0" w:color="auto"/>
      </w:divBdr>
    </w:div>
    <w:div w:id="729496186">
      <w:bodyDiv w:val="1"/>
      <w:marLeft w:val="0"/>
      <w:marRight w:val="0"/>
      <w:marTop w:val="0"/>
      <w:marBottom w:val="0"/>
      <w:divBdr>
        <w:top w:val="none" w:sz="0" w:space="0" w:color="auto"/>
        <w:left w:val="none" w:sz="0" w:space="0" w:color="auto"/>
        <w:bottom w:val="none" w:sz="0" w:space="0" w:color="auto"/>
        <w:right w:val="none" w:sz="0" w:space="0" w:color="auto"/>
      </w:divBdr>
    </w:div>
    <w:div w:id="799029956">
      <w:bodyDiv w:val="1"/>
      <w:marLeft w:val="0"/>
      <w:marRight w:val="0"/>
      <w:marTop w:val="0"/>
      <w:marBottom w:val="0"/>
      <w:divBdr>
        <w:top w:val="none" w:sz="0" w:space="0" w:color="auto"/>
        <w:left w:val="none" w:sz="0" w:space="0" w:color="auto"/>
        <w:bottom w:val="none" w:sz="0" w:space="0" w:color="auto"/>
        <w:right w:val="none" w:sz="0" w:space="0" w:color="auto"/>
      </w:divBdr>
    </w:div>
    <w:div w:id="874462982">
      <w:bodyDiv w:val="1"/>
      <w:marLeft w:val="0"/>
      <w:marRight w:val="0"/>
      <w:marTop w:val="0"/>
      <w:marBottom w:val="0"/>
      <w:divBdr>
        <w:top w:val="none" w:sz="0" w:space="0" w:color="auto"/>
        <w:left w:val="none" w:sz="0" w:space="0" w:color="auto"/>
        <w:bottom w:val="none" w:sz="0" w:space="0" w:color="auto"/>
        <w:right w:val="none" w:sz="0" w:space="0" w:color="auto"/>
      </w:divBdr>
    </w:div>
    <w:div w:id="1005326053">
      <w:bodyDiv w:val="1"/>
      <w:marLeft w:val="0"/>
      <w:marRight w:val="0"/>
      <w:marTop w:val="0"/>
      <w:marBottom w:val="0"/>
      <w:divBdr>
        <w:top w:val="none" w:sz="0" w:space="0" w:color="auto"/>
        <w:left w:val="none" w:sz="0" w:space="0" w:color="auto"/>
        <w:bottom w:val="none" w:sz="0" w:space="0" w:color="auto"/>
        <w:right w:val="none" w:sz="0" w:space="0" w:color="auto"/>
      </w:divBdr>
    </w:div>
    <w:div w:id="1109665936">
      <w:bodyDiv w:val="1"/>
      <w:marLeft w:val="0"/>
      <w:marRight w:val="0"/>
      <w:marTop w:val="0"/>
      <w:marBottom w:val="0"/>
      <w:divBdr>
        <w:top w:val="none" w:sz="0" w:space="0" w:color="auto"/>
        <w:left w:val="none" w:sz="0" w:space="0" w:color="auto"/>
        <w:bottom w:val="none" w:sz="0" w:space="0" w:color="auto"/>
        <w:right w:val="none" w:sz="0" w:space="0" w:color="auto"/>
      </w:divBdr>
    </w:div>
    <w:div w:id="1485508928">
      <w:bodyDiv w:val="1"/>
      <w:marLeft w:val="0"/>
      <w:marRight w:val="0"/>
      <w:marTop w:val="0"/>
      <w:marBottom w:val="0"/>
      <w:divBdr>
        <w:top w:val="none" w:sz="0" w:space="0" w:color="auto"/>
        <w:left w:val="none" w:sz="0" w:space="0" w:color="auto"/>
        <w:bottom w:val="none" w:sz="0" w:space="0" w:color="auto"/>
        <w:right w:val="none" w:sz="0" w:space="0" w:color="auto"/>
      </w:divBdr>
    </w:div>
    <w:div w:id="1541430341">
      <w:bodyDiv w:val="1"/>
      <w:marLeft w:val="0"/>
      <w:marRight w:val="0"/>
      <w:marTop w:val="0"/>
      <w:marBottom w:val="0"/>
      <w:divBdr>
        <w:top w:val="none" w:sz="0" w:space="0" w:color="auto"/>
        <w:left w:val="none" w:sz="0" w:space="0" w:color="auto"/>
        <w:bottom w:val="none" w:sz="0" w:space="0" w:color="auto"/>
        <w:right w:val="none" w:sz="0" w:space="0" w:color="auto"/>
      </w:divBdr>
    </w:div>
    <w:div w:id="1724596741">
      <w:bodyDiv w:val="1"/>
      <w:marLeft w:val="0"/>
      <w:marRight w:val="0"/>
      <w:marTop w:val="0"/>
      <w:marBottom w:val="0"/>
      <w:divBdr>
        <w:top w:val="none" w:sz="0" w:space="0" w:color="auto"/>
        <w:left w:val="none" w:sz="0" w:space="0" w:color="auto"/>
        <w:bottom w:val="none" w:sz="0" w:space="0" w:color="auto"/>
        <w:right w:val="none" w:sz="0" w:space="0" w:color="auto"/>
      </w:divBdr>
    </w:div>
    <w:div w:id="2012759017">
      <w:bodyDiv w:val="1"/>
      <w:marLeft w:val="0"/>
      <w:marRight w:val="0"/>
      <w:marTop w:val="0"/>
      <w:marBottom w:val="0"/>
      <w:divBdr>
        <w:top w:val="none" w:sz="0" w:space="0" w:color="auto"/>
        <w:left w:val="none" w:sz="0" w:space="0" w:color="auto"/>
        <w:bottom w:val="none" w:sz="0" w:space="0" w:color="auto"/>
        <w:right w:val="none" w:sz="0" w:space="0" w:color="auto"/>
      </w:divBdr>
    </w:div>
    <w:div w:id="208005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promotion-eu-farm-products_en" TargetMode="External"/><Relationship Id="rId7" Type="http://schemas.openxmlformats.org/officeDocument/2006/relationships/hyperlink" Target="https://ec.europa.eu/info/food-farming-fisheries/key-policies/common-agricultural-policy/cmef/regulation-and-simplification/evaluation-support-study-eu-agricultural-promotion-policy-internal-and-third-country-markets_en" TargetMode="External"/><Relationship Id="rId2" Type="http://schemas.openxmlformats.org/officeDocument/2006/relationships/hyperlink" Target="https://ec.europa.eu/info/law/better-regulation/have-your-say/initiatives/12154-Europe-s-Beating-Cancer-Plan" TargetMode="External"/><Relationship Id="rId1" Type="http://schemas.openxmlformats.org/officeDocument/2006/relationships/hyperlink" Target="https://ec.europa.eu/commfrontoffice/publicopinion/index.cfm/survey/getsurveydetail/instruments/special/surveyky/2229" TargetMode="External"/><Relationship Id="rId6" Type="http://schemas.openxmlformats.org/officeDocument/2006/relationships/hyperlink" Target="https://ec.europa.eu/info/law/better-regulation/have-your-say/initiatives/1859-Evaluation-of-the-EU-agricultural-promotion-policy/public-consultation" TargetMode="External"/><Relationship Id="rId5" Type="http://schemas.openxmlformats.org/officeDocument/2006/relationships/hyperlink" Target="https://www.fas.usda.gov/newsroom/usda-awards-agricultural-trade-promotion-program-funding-0" TargetMode="External"/><Relationship Id="rId4" Type="http://schemas.openxmlformats.org/officeDocument/2006/relationships/hyperlink" Target="https://ec.europa.eu/info/food-farming-fisheries/key-policies/committees-and-advisory-councils/civil-dialogue-group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7309A7BB5362489FBE8BE53FE06AC4" ma:contentTypeVersion="0" ma:contentTypeDescription="Create a new document." ma:contentTypeScope="" ma:versionID="f3bfb5d065d2621fe05f971476f42e8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41230-1BBA-407A-8731-DB58E8F7EF5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DC29E80-43FD-4712-903D-D0879DFEF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BEE69D9-B109-4AD0-AD70-5B711A44DDDE}">
  <ds:schemaRefs>
    <ds:schemaRef ds:uri="http://schemas.microsoft.com/sharepoint/v3/contenttype/forms"/>
  </ds:schemaRefs>
</ds:datastoreItem>
</file>

<file path=customXml/itemProps4.xml><?xml version="1.0" encoding="utf-8"?>
<ds:datastoreItem xmlns:ds="http://schemas.openxmlformats.org/officeDocument/2006/customXml" ds:itemID="{1D078911-906E-40E3-A883-9BE7A271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3740</Words>
  <Characters>21394</Characters>
  <Application>Microsoft Office Word</Application>
  <DocSecurity>0</DocSecurity>
  <Lines>578</Lines>
  <Paragraphs>359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2021-02-02T18:45:00Z</dcterms:created>
  <dcterms:modified xsi:type="dcterms:W3CDTF">2021-02-04T13:10:00Z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ContentTypeId">
    <vt:lpwstr>0x010100327309A7BB5362489FBE8BE53FE06AC4</vt:lpwstr>
  </property>
</Properties>
</file>