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C5" w:rsidRDefault="00402083" w:rsidP="00402083">
      <w:pPr>
        <w:pStyle w:val="Pagedecouverture"/>
        <w:rPr>
          <w:noProof/>
          <w:lang w:val="en-IE" w:eastAsia="en-GB"/>
        </w:rPr>
      </w:pPr>
      <w:bookmarkStart w:id="0" w:name="LW_BM_COVERPAGE"/>
      <w:bookmarkStart w:id="1" w:name="_GoBack"/>
      <w:bookmarkEnd w:id="1"/>
      <w:r>
        <w:rPr>
          <w:noProof/>
          <w:lang w:val="en-IE"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33DDC64-C075-4DBF-AAEF-9754972225BF" style="width:450.6pt;height:553.5pt">
            <v:imagedata r:id="rId8" o:title=""/>
          </v:shape>
        </w:pict>
      </w:r>
    </w:p>
    <w:bookmarkEnd w:id="0"/>
    <w:p w:rsidR="008A17C5" w:rsidRDefault="008A17C5">
      <w:pPr>
        <w:rPr>
          <w:noProof/>
          <w:lang w:val="en-IE" w:eastAsia="en-GB"/>
        </w:rPr>
        <w:sectPr w:rsidR="008A17C5" w:rsidSect="0040208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8A17C5" w:rsidRDefault="00402083">
      <w:pPr>
        <w:pBdr>
          <w:top w:val="single" w:sz="4" w:space="1" w:color="auto"/>
          <w:left w:val="single" w:sz="4" w:space="4" w:color="auto"/>
          <w:bottom w:val="single" w:sz="4" w:space="17" w:color="auto"/>
          <w:right w:val="single" w:sz="4" w:space="4" w:color="auto"/>
        </w:pBdr>
        <w:spacing w:after="140"/>
        <w:rPr>
          <w:rFonts w:eastAsia="Times New Roman" w:cs="Times New Roman"/>
          <w:b/>
          <w:smallCaps/>
          <w:noProof/>
          <w:szCs w:val="24"/>
          <w:u w:val="single"/>
          <w:lang w:val="en-IE" w:eastAsia="en-GB"/>
        </w:rPr>
      </w:pPr>
      <w:r>
        <w:rPr>
          <w:rFonts w:eastAsia="Times New Roman" w:cs="Times New Roman"/>
          <w:b/>
          <w:smallCaps/>
          <w:noProof/>
          <w:szCs w:val="24"/>
          <w:u w:val="single"/>
          <w:lang w:val="en-IE" w:eastAsia="en-GB"/>
        </w:rPr>
        <w:lastRenderedPageBreak/>
        <w:t>Abstract</w:t>
      </w:r>
    </w:p>
    <w:p w:rsidR="008A17C5" w:rsidRDefault="00402083">
      <w:pPr>
        <w:pBdr>
          <w:top w:val="single" w:sz="4" w:space="1" w:color="auto"/>
          <w:left w:val="single" w:sz="4" w:space="4" w:color="auto"/>
          <w:bottom w:val="single" w:sz="4" w:space="17" w:color="auto"/>
          <w:right w:val="single" w:sz="4" w:space="4" w:color="auto"/>
        </w:pBdr>
        <w:spacing w:after="60"/>
        <w:rPr>
          <w:rFonts w:eastAsia="Times New Roman" w:cs="Times New Roman"/>
          <w:noProof/>
          <w:lang w:val="en-IE" w:eastAsia="en-GB"/>
        </w:rPr>
      </w:pPr>
      <w:r>
        <w:rPr>
          <w:rFonts w:eastAsia="Times New Roman" w:cs="Times New Roman"/>
          <w:noProof/>
          <w:lang w:val="en-IE" w:eastAsia="en-GB"/>
        </w:rPr>
        <w:t>The Croatian justice system has seen improvements in reducing length of proceedings and backlogs, but further improvements are still needed</w:t>
      </w:r>
      <w:r>
        <w:rPr>
          <w:rFonts w:eastAsia="Times New Roman" w:cs="Times New Roman"/>
          <w:noProof/>
          <w:lang w:val="en-IE" w:eastAsia="en-GB"/>
        </w:rPr>
        <w:t xml:space="preserve"> to address serious efficiency and quality challenges. The continued extension of the new electronic communication tools in courts has led to a gradual increase in their use. The ongoing process for appointing the new Supreme Court President has given rise</w:t>
      </w:r>
      <w:r>
        <w:rPr>
          <w:rFonts w:eastAsia="Times New Roman" w:cs="Times New Roman"/>
          <w:noProof/>
          <w:lang w:val="en-IE" w:eastAsia="en-GB"/>
        </w:rPr>
        <w:t xml:space="preserve"> to controversy and to repeated disparaging public statements against judges. In the context of diverging views on the next Supreme Court President, the Constitutional Court stressed the importance of cooperation between state authorities. The State Judici</w:t>
      </w:r>
      <w:r>
        <w:rPr>
          <w:rFonts w:eastAsia="Times New Roman" w:cs="Times New Roman"/>
          <w:noProof/>
          <w:lang w:val="en-IE" w:eastAsia="en-GB"/>
        </w:rPr>
        <w:t>al Council made proposals to strengthen its role in selecting judges – an issue already raised in the 2020 Rule of law Report. A series of alleged ethical breaches and disciplinary violations by judges led to proceedings before the State Judicial Council a</w:t>
      </w:r>
      <w:r>
        <w:rPr>
          <w:rFonts w:eastAsia="Times New Roman" w:cs="Times New Roman"/>
          <w:noProof/>
          <w:lang w:val="en-IE" w:eastAsia="en-GB"/>
        </w:rPr>
        <w:t>nd Judges’ Councils, as well as to a criminal investigation. The level of perceived judicial independence remains very low. Shortages in human resources of the State Judicial Council and the State Attorney’s Councils remain, even if some limited reinforcem</w:t>
      </w:r>
      <w:r>
        <w:rPr>
          <w:rFonts w:eastAsia="Times New Roman" w:cs="Times New Roman"/>
          <w:noProof/>
          <w:lang w:val="en-IE" w:eastAsia="en-GB"/>
        </w:rPr>
        <w:t>ents have been allocated to verify the newly published asset declarations of judges and state attorneys.</w:t>
      </w:r>
    </w:p>
    <w:p w:rsidR="008A17C5" w:rsidRDefault="00402083">
      <w:pPr>
        <w:pBdr>
          <w:top w:val="single" w:sz="4" w:space="1" w:color="auto"/>
          <w:left w:val="single" w:sz="4" w:space="4" w:color="auto"/>
          <w:bottom w:val="single" w:sz="4" w:space="17" w:color="auto"/>
          <w:right w:val="single" w:sz="4" w:space="4" w:color="auto"/>
        </w:pBdr>
        <w:spacing w:after="60"/>
        <w:rPr>
          <w:rFonts w:eastAsia="Times New Roman" w:cs="Times New Roman"/>
          <w:noProof/>
          <w:lang w:val="en-IE" w:eastAsia="en-GB"/>
        </w:rPr>
      </w:pPr>
      <w:r>
        <w:rPr>
          <w:rFonts w:eastAsia="Times New Roman" w:cs="Times New Roman"/>
          <w:noProof/>
          <w:lang w:val="en-IE" w:eastAsia="en-GB"/>
        </w:rPr>
        <w:t>A new Strategy on the Prevention of Corruption for 2021-2030 is in the public consultation process. As the previous Strategy, the draft proposal of the</w:t>
      </w:r>
      <w:r>
        <w:rPr>
          <w:rFonts w:eastAsia="Times New Roman" w:cs="Times New Roman"/>
          <w:noProof/>
          <w:lang w:val="en-IE" w:eastAsia="en-GB"/>
        </w:rPr>
        <w:t xml:space="preserve"> Strategy also envisages the strengthening the legal framework on prevention of conflict of interest, which is currently being drafted. Codes of Ethics for members of the Government and for members of Parliament are still missing, while “revolving doors” a</w:t>
      </w:r>
      <w:r>
        <w:rPr>
          <w:rFonts w:eastAsia="Times New Roman" w:cs="Times New Roman"/>
          <w:noProof/>
          <w:lang w:val="en-IE" w:eastAsia="en-GB"/>
        </w:rPr>
        <w:t>re only partially regulated. Detailed rules on lobbying activities remain to be introduced. While changes to the framework of political immunity of the members of Government were announced, the legislative action has yet to follow. Public procurement proce</w:t>
      </w:r>
      <w:r>
        <w:rPr>
          <w:rFonts w:eastAsia="Times New Roman" w:cs="Times New Roman"/>
          <w:noProof/>
          <w:lang w:val="en-IE" w:eastAsia="en-GB"/>
        </w:rPr>
        <w:t>dures remain a high-risk area for corruption, and several cases have been discovered due to reporting by whistleblowers. The prosecution and investigation of high-level corruption continues, but due to protracted proceedings convictions are often delayed.</w:t>
      </w:r>
    </w:p>
    <w:p w:rsidR="008A17C5" w:rsidRDefault="00402083">
      <w:pPr>
        <w:pBdr>
          <w:top w:val="single" w:sz="4" w:space="1" w:color="auto"/>
          <w:left w:val="single" w:sz="4" w:space="4" w:color="auto"/>
          <w:bottom w:val="single" w:sz="4" w:space="17" w:color="auto"/>
          <w:right w:val="single" w:sz="4" w:space="4" w:color="auto"/>
        </w:pBdr>
        <w:spacing w:after="60"/>
        <w:rPr>
          <w:rFonts w:eastAsia="Times New Roman" w:cs="Times New Roman"/>
          <w:noProof/>
          <w:szCs w:val="20"/>
          <w:lang w:val="en-IE" w:eastAsia="en-GB"/>
        </w:rPr>
      </w:pPr>
      <w:r>
        <w:rPr>
          <w:rFonts w:eastAsia="Times New Roman" w:cs="Times New Roman"/>
          <w:noProof/>
          <w:color w:val="000000" w:themeColor="text1"/>
          <w:szCs w:val="20"/>
          <w:lang w:val="en-IE" w:eastAsia="en-GB"/>
        </w:rPr>
        <w:t>Croatia is updating its media legislation to transpose the Audiovisual Media Services Directive, with the revision of the Electronic Media Act to be adopted still in 2021. Concerns about the political independence of the Agency for Electronic Media persist</w:t>
      </w:r>
      <w:r>
        <w:rPr>
          <w:rFonts w:eastAsia="Times New Roman" w:cs="Times New Roman"/>
          <w:noProof/>
          <w:color w:val="000000" w:themeColor="text1"/>
          <w:szCs w:val="20"/>
          <w:lang w:val="en-IE" w:eastAsia="en-GB"/>
        </w:rPr>
        <w:t>, and new qualification requirements are envisaged for potential members of its governing body in the context of the revision of this law. Croatia</w:t>
      </w:r>
      <w:r>
        <w:rPr>
          <w:rFonts w:eastAsia="Times New Roman" w:cs="Times New Roman"/>
          <w:noProof/>
          <w:color w:val="000000" w:themeColor="text1"/>
          <w:szCs w:val="20"/>
          <w:lang w:eastAsia="en-GB"/>
        </w:rPr>
        <w:t xml:space="preserve"> has a solid framework on transparency of media ownership information</w:t>
      </w:r>
      <w:r>
        <w:rPr>
          <w:noProof/>
        </w:rPr>
        <w:t xml:space="preserve"> </w:t>
      </w:r>
      <w:r>
        <w:rPr>
          <w:rFonts w:eastAsia="Times New Roman" w:cs="Times New Roman"/>
          <w:noProof/>
          <w:color w:val="000000" w:themeColor="text1"/>
          <w:szCs w:val="20"/>
          <w:lang w:eastAsia="en-GB"/>
        </w:rPr>
        <w:t>and envisages further improvements. Whil</w:t>
      </w:r>
      <w:r>
        <w:rPr>
          <w:rFonts w:eastAsia="Times New Roman" w:cs="Times New Roman"/>
          <w:noProof/>
          <w:color w:val="000000" w:themeColor="text1"/>
          <w:szCs w:val="20"/>
          <w:lang w:eastAsia="en-GB"/>
        </w:rPr>
        <w:t xml:space="preserve">e state advertising is partly regulated by the </w:t>
      </w:r>
      <w:r>
        <w:rPr>
          <w:rFonts w:eastAsia="Times New Roman" w:cs="Times New Roman"/>
          <w:noProof/>
          <w:color w:val="000000" w:themeColor="text1"/>
          <w:szCs w:val="20"/>
          <w:lang w:val="en-IE" w:eastAsia="en-GB"/>
        </w:rPr>
        <w:t>Electronic Media Act</w:t>
      </w:r>
      <w:r>
        <w:rPr>
          <w:rFonts w:eastAsia="Times New Roman" w:cs="Times New Roman"/>
          <w:noProof/>
          <w:color w:val="000000" w:themeColor="text1"/>
          <w:szCs w:val="20"/>
          <w:lang w:eastAsia="en-GB"/>
        </w:rPr>
        <w:t>, stakeholders report it often undermines the political independence of media outlets which are economically dependent on such funding, notably at local level. A legal framework for the pro</w:t>
      </w:r>
      <w:r>
        <w:rPr>
          <w:rFonts w:eastAsia="Times New Roman" w:cs="Times New Roman"/>
          <w:noProof/>
          <w:color w:val="000000" w:themeColor="text1"/>
          <w:szCs w:val="20"/>
          <w:lang w:eastAsia="en-GB"/>
        </w:rPr>
        <w:t>tection of journalists is in place, but they continue to face threats. In particular, the high number of strategic lawsuits against public participation (SLAPPs) targeting journalists continues to be a serious concern. Access to information is ensured by l</w:t>
      </w:r>
      <w:r>
        <w:rPr>
          <w:rFonts w:eastAsia="Times New Roman" w:cs="Times New Roman"/>
          <w:noProof/>
          <w:color w:val="000000" w:themeColor="text1"/>
          <w:szCs w:val="20"/>
          <w:lang w:eastAsia="en-GB"/>
        </w:rPr>
        <w:t>aw, but delays in the processing of requests from journalists persist.</w:t>
      </w:r>
    </w:p>
    <w:p w:rsidR="008A17C5" w:rsidRDefault="00402083">
      <w:pPr>
        <w:pBdr>
          <w:top w:val="single" w:sz="4" w:space="1" w:color="auto"/>
          <w:left w:val="single" w:sz="4" w:space="4" w:color="auto"/>
          <w:bottom w:val="single" w:sz="4" w:space="17" w:color="auto"/>
          <w:right w:val="single" w:sz="4" w:space="4" w:color="auto"/>
        </w:pBdr>
        <w:spacing w:after="60"/>
        <w:rPr>
          <w:rFonts w:eastAsia="Times New Roman" w:cs="Times New Roman"/>
          <w:noProof/>
          <w:lang w:val="en-IE" w:eastAsia="en-GB"/>
        </w:rPr>
      </w:pPr>
      <w:r>
        <w:rPr>
          <w:rFonts w:eastAsia="Times New Roman" w:cs="Times New Roman"/>
          <w:noProof/>
          <w:lang w:val="en-IE" w:eastAsia="en-GB"/>
        </w:rPr>
        <w:t>As regards checks and balances, while public consultations are embedded in legislative procedures, stakeholders perceive citizen participation to be rather formalistic than substantive.</w:t>
      </w:r>
      <w:r>
        <w:rPr>
          <w:rFonts w:eastAsia="Times New Roman" w:cs="Times New Roman"/>
          <w:noProof/>
          <w:lang w:val="en-IE" w:eastAsia="en-GB"/>
        </w:rPr>
        <w:t xml:space="preserve"> Croatia did not declare a state of emergency, and COVID-19 pandemic measures were based on the twice-amended law regarding infectious diseases. The Constitutional Court has reviewed these measures, finding that they were compatible with the Constitution a</w:t>
      </w:r>
      <w:r>
        <w:rPr>
          <w:rFonts w:eastAsia="Times New Roman" w:cs="Times New Roman"/>
          <w:noProof/>
          <w:lang w:val="en-IE" w:eastAsia="en-GB"/>
        </w:rPr>
        <w:t>nd also ruled that Parliament should find ways to guarantee its functions during the pandemic. The People’s Ombudsperson’s access to the information required to undertake investigations needs further improvement. The National Plan for Creating and Enabling</w:t>
      </w:r>
      <w:r>
        <w:rPr>
          <w:rFonts w:eastAsia="Times New Roman" w:cs="Times New Roman"/>
          <w:noProof/>
          <w:lang w:val="en-IE" w:eastAsia="en-GB"/>
        </w:rPr>
        <w:t xml:space="preserve"> Environment for the Civil Society Development 2021-2027 remains in drafting phase since 2016 – an issue raised in the 2020 Rule of law Report.</w:t>
      </w:r>
    </w:p>
    <w:p w:rsidR="008A17C5" w:rsidRDefault="00402083">
      <w:pPr>
        <w:pStyle w:val="Heading1"/>
        <w:rPr>
          <w:noProof/>
          <w:lang w:val="en-IE"/>
        </w:rPr>
      </w:pPr>
      <w:r>
        <w:rPr>
          <w:noProof/>
          <w:lang w:val="en-IE"/>
        </w:rPr>
        <w:lastRenderedPageBreak/>
        <w:t>Justice System</w:t>
      </w:r>
    </w:p>
    <w:p w:rsidR="008A17C5" w:rsidRDefault="00402083">
      <w:pPr>
        <w:rPr>
          <w:rFonts w:eastAsia="Times New Roman" w:cs="Times New Roman"/>
          <w:noProof/>
          <w:szCs w:val="20"/>
          <w:lang w:val="en-IE" w:eastAsia="fr-FR"/>
        </w:rPr>
      </w:pPr>
      <w:r>
        <w:rPr>
          <w:rFonts w:eastAsia="Calibri"/>
          <w:noProof/>
          <w:szCs w:val="24"/>
          <w:lang w:val="en-IE"/>
        </w:rPr>
        <w:t xml:space="preserve">Croatia has a three-tiered justice system, with courts of general and specialised jurisdiction. </w:t>
      </w:r>
      <w:r>
        <w:rPr>
          <w:rFonts w:eastAsia="Calibri"/>
          <w:noProof/>
          <w:szCs w:val="24"/>
          <w:lang w:val="en-IE"/>
        </w:rPr>
        <w:t>The first instance courts of general jurisdiction, dealing with civil and criminal cases, are composed of Municipal courts (34), while the County courts (15) are the second instance courts of general jurisdiction with some competences as first instance cou</w:t>
      </w:r>
      <w:r>
        <w:rPr>
          <w:rFonts w:eastAsia="Calibri"/>
          <w:noProof/>
          <w:szCs w:val="24"/>
          <w:lang w:val="en-IE"/>
        </w:rPr>
        <w:t>rts. The courts of specialised jurisdiction comprise nine Commercial and four Administrative courts at first instance, and the High Criminal Court, the High Misdemeanour Court, the High Commercial Court and the High Administrative Court at second instance.</w:t>
      </w:r>
      <w:r>
        <w:rPr>
          <w:rFonts w:eastAsia="Calibri"/>
          <w:noProof/>
          <w:szCs w:val="24"/>
          <w:lang w:val="en-IE"/>
        </w:rPr>
        <w:t xml:space="preserve"> The Supreme Court deals with all types of cases. The Constitutional Court conducts constitutional review. An independent State Judicial Council ensures the autonomy and independence of the judiciary</w:t>
      </w:r>
      <w:r>
        <w:rPr>
          <w:rFonts w:eastAsia="Calibri" w:cs="Times New Roman"/>
          <w:noProof/>
          <w:szCs w:val="24"/>
          <w:vertAlign w:val="superscript"/>
          <w:lang w:val="en-IE"/>
        </w:rPr>
        <w:footnoteReference w:id="2"/>
      </w:r>
      <w:r>
        <w:rPr>
          <w:rFonts w:eastAsia="Calibri"/>
          <w:noProof/>
          <w:szCs w:val="24"/>
          <w:lang w:val="en-IE"/>
        </w:rPr>
        <w:t xml:space="preserve">. The State Attorney’s Office </w:t>
      </w:r>
      <w:r>
        <w:rPr>
          <w:noProof/>
          <w:szCs w:val="24"/>
        </w:rPr>
        <w:t xml:space="preserve">(DO) </w:t>
      </w:r>
      <w:r>
        <w:rPr>
          <w:rFonts w:eastAsia="Calibri"/>
          <w:noProof/>
          <w:szCs w:val="24"/>
          <w:lang w:val="en-IE"/>
        </w:rPr>
        <w:t>is an autonomous, ind</w:t>
      </w:r>
      <w:r>
        <w:rPr>
          <w:rFonts w:eastAsia="Calibri"/>
          <w:noProof/>
          <w:szCs w:val="24"/>
          <w:lang w:val="en-IE"/>
        </w:rPr>
        <w:t xml:space="preserve">ependent judicial body, acting as the prosecution service, and undertaking legal actions for protection of state property and applying legal remedies for protection of the Constitution and laws. </w:t>
      </w:r>
      <w:r>
        <w:rPr>
          <w:noProof/>
        </w:rPr>
        <w:t xml:space="preserve">Each State Attorney’s Office is headed by a State Attorney. </w:t>
      </w:r>
      <w:r>
        <w:rPr>
          <w:rFonts w:eastAsia="Calibri"/>
          <w:noProof/>
          <w:szCs w:val="24"/>
          <w:lang w:val="en-IE"/>
        </w:rPr>
        <w:t>T</w:t>
      </w:r>
      <w:r>
        <w:rPr>
          <w:rFonts w:eastAsia="Calibri"/>
          <w:noProof/>
          <w:szCs w:val="24"/>
          <w:lang w:val="en-IE"/>
        </w:rPr>
        <w:t xml:space="preserve">he State Attorney General </w:t>
      </w:r>
      <w:r>
        <w:rPr>
          <w:noProof/>
          <w:szCs w:val="24"/>
        </w:rPr>
        <w:t>is the head of the State Attorney Office of the Republic of Croatia (DORH), as the highest state attorney office</w:t>
      </w:r>
      <w:r>
        <w:rPr>
          <w:rFonts w:eastAsia="Calibri"/>
          <w:noProof/>
          <w:szCs w:val="24"/>
          <w:lang w:val="en-IE"/>
        </w:rPr>
        <w:t xml:space="preserve">. The powers over appointment and career of state attorneys and deputy state attorneys rest with the State Attorney’s </w:t>
      </w:r>
      <w:r>
        <w:rPr>
          <w:rFonts w:eastAsia="Calibri"/>
          <w:noProof/>
          <w:szCs w:val="24"/>
          <w:lang w:val="en-IE"/>
        </w:rPr>
        <w:t>Council, while the powers over representation and management rest with the State Attorney General</w:t>
      </w:r>
      <w:r>
        <w:rPr>
          <w:rFonts w:eastAsia="Calibri"/>
          <w:noProof/>
          <w:szCs w:val="24"/>
          <w:vertAlign w:val="superscript"/>
          <w:lang w:val="en-IE"/>
        </w:rPr>
        <w:footnoteReference w:id="3"/>
      </w:r>
      <w:r>
        <w:rPr>
          <w:rFonts w:eastAsia="Calibri"/>
          <w:noProof/>
          <w:szCs w:val="24"/>
          <w:lang w:val="en-IE"/>
        </w:rPr>
        <w:t>. The State Attorney’s Council is an independent self-governance body tasked with ensuring the autonomy and independence of the State Attorney’s Office</w:t>
      </w:r>
      <w:r>
        <w:rPr>
          <w:rFonts w:eastAsia="Calibri" w:cs="Times New Roman"/>
          <w:noProof/>
          <w:szCs w:val="24"/>
          <w:vertAlign w:val="superscript"/>
          <w:lang w:val="en-IE"/>
        </w:rPr>
        <w:footnoteReference w:id="4"/>
      </w:r>
      <w:r>
        <w:rPr>
          <w:rFonts w:eastAsia="Calibri"/>
          <w:noProof/>
          <w:szCs w:val="24"/>
          <w:lang w:val="en-IE"/>
        </w:rPr>
        <w:t>. Croa</w:t>
      </w:r>
      <w:r>
        <w:rPr>
          <w:rFonts w:eastAsia="Calibri"/>
          <w:noProof/>
          <w:szCs w:val="24"/>
          <w:lang w:val="en-IE"/>
        </w:rPr>
        <w:t>tia participates in the European Public Prosecutor’s Office (EPPO). The Croatian Bar Association is an independent, self-governing professional organisation, which is in charge of disciplinary proceedings regarding lawyers</w:t>
      </w:r>
      <w:r>
        <w:rPr>
          <w:rStyle w:val="FootnoteReference"/>
          <w:rFonts w:eastAsia="Calibri"/>
          <w:noProof/>
          <w:szCs w:val="24"/>
          <w:lang w:val="en-IE"/>
        </w:rPr>
        <w:footnoteReference w:id="5"/>
      </w:r>
      <w:r>
        <w:rPr>
          <w:rFonts w:eastAsia="Calibri"/>
          <w:noProof/>
          <w:szCs w:val="24"/>
          <w:lang w:val="en-IE"/>
        </w:rPr>
        <w:t>.</w:t>
      </w:r>
    </w:p>
    <w:p w:rsidR="008A17C5" w:rsidRDefault="00402083">
      <w:pPr>
        <w:pStyle w:val="Heading2"/>
        <w:rPr>
          <w:noProof/>
          <w:lang w:val="en-IE"/>
        </w:rPr>
      </w:pPr>
      <w:r>
        <w:rPr>
          <w:noProof/>
          <w:lang w:val="en-IE"/>
        </w:rPr>
        <w:t xml:space="preserve">Independence </w:t>
      </w:r>
    </w:p>
    <w:p w:rsidR="008A17C5" w:rsidRDefault="00402083">
      <w:pPr>
        <w:rPr>
          <w:rFonts w:eastAsia="Calibri" w:cs="Times New Roman"/>
          <w:noProof/>
          <w:szCs w:val="24"/>
          <w:lang w:val="en-IE"/>
        </w:rPr>
      </w:pPr>
      <w:r>
        <w:rPr>
          <w:rFonts w:eastAsia="Calibri" w:cs="Times New Roman"/>
          <w:b/>
          <w:noProof/>
          <w:szCs w:val="24"/>
          <w:lang w:val="en-IE"/>
        </w:rPr>
        <w:t>The level of perc</w:t>
      </w:r>
      <w:r>
        <w:rPr>
          <w:rFonts w:eastAsia="Calibri" w:cs="Times New Roman"/>
          <w:b/>
          <w:noProof/>
          <w:szCs w:val="24"/>
          <w:lang w:val="en-IE"/>
        </w:rPr>
        <w:t>eived judicial independence has been on a downward trend.</w:t>
      </w:r>
      <w:r>
        <w:rPr>
          <w:rFonts w:eastAsia="Calibri" w:cs="Times New Roman"/>
          <w:noProof/>
          <w:szCs w:val="24"/>
          <w:lang w:val="en-IE"/>
        </w:rPr>
        <w:t xml:space="preserve"> The level of perceived judicial independence among the general public has deteriorated in 2021 and remains the lowest in the EU (the share perceiving judicial independence to be fairly or very good </w:t>
      </w:r>
      <w:r>
        <w:rPr>
          <w:rFonts w:eastAsia="Calibri" w:cs="Times New Roman"/>
          <w:noProof/>
          <w:szCs w:val="24"/>
          <w:lang w:val="en-IE"/>
        </w:rPr>
        <w:t>decreased from 24% to 17%)</w:t>
      </w:r>
      <w:r>
        <w:rPr>
          <w:rFonts w:eastAsia="Calibri" w:cs="Times New Roman"/>
          <w:noProof/>
          <w:szCs w:val="24"/>
          <w:vertAlign w:val="superscript"/>
          <w:lang w:val="en-IE"/>
        </w:rPr>
        <w:footnoteReference w:id="6"/>
      </w:r>
      <w:r>
        <w:rPr>
          <w:rFonts w:eastAsia="Calibri" w:cs="Times New Roman"/>
          <w:noProof/>
          <w:szCs w:val="24"/>
          <w:lang w:val="en-IE"/>
        </w:rPr>
        <w:t>. Among the companies, the level of perceived independence is also very low and dropped to the lowest in the EU (the share perceiving judicial independence to be fairly or very good remained at 16%, with the share of companies wh</w:t>
      </w:r>
      <w:r>
        <w:rPr>
          <w:rFonts w:eastAsia="Calibri" w:cs="Times New Roman"/>
          <w:noProof/>
          <w:szCs w:val="24"/>
          <w:lang w:val="en-IE"/>
        </w:rPr>
        <w:t>ich perceived the independence to be very bad increasing from 36% to 43%)</w:t>
      </w:r>
      <w:r>
        <w:rPr>
          <w:rFonts w:eastAsia="Calibri" w:cs="Times New Roman"/>
          <w:noProof/>
          <w:szCs w:val="24"/>
          <w:vertAlign w:val="superscript"/>
          <w:lang w:val="en-IE"/>
        </w:rPr>
        <w:footnoteReference w:id="7"/>
      </w:r>
      <w:r>
        <w:rPr>
          <w:rFonts w:eastAsia="Calibri" w:cs="Times New Roman"/>
          <w:noProof/>
          <w:szCs w:val="24"/>
          <w:lang w:val="en-IE"/>
        </w:rPr>
        <w:t>. The 2021 EU Justice Scoreboard shows a continued downward trend since 2016. The main perceived reason cited by the general public for the perceived lack of independence of courts a</w:t>
      </w:r>
      <w:r>
        <w:rPr>
          <w:rFonts w:eastAsia="Calibri" w:cs="Times New Roman"/>
          <w:noProof/>
          <w:szCs w:val="24"/>
          <w:lang w:val="en-IE"/>
        </w:rPr>
        <w:t>nd judges is the perception of interference or pressure from the Government and politicians</w:t>
      </w:r>
      <w:r>
        <w:rPr>
          <w:rFonts w:eastAsia="Calibri" w:cs="Times New Roman"/>
          <w:noProof/>
          <w:szCs w:val="24"/>
          <w:vertAlign w:val="superscript"/>
          <w:lang w:val="en-IE"/>
        </w:rPr>
        <w:footnoteReference w:id="8"/>
      </w:r>
      <w:r>
        <w:rPr>
          <w:rFonts w:eastAsia="Calibri" w:cs="Times New Roman"/>
          <w:noProof/>
          <w:szCs w:val="24"/>
          <w:lang w:val="en-IE"/>
        </w:rPr>
        <w:t xml:space="preserve">. </w:t>
      </w:r>
      <w:r>
        <w:rPr>
          <w:noProof/>
          <w:lang w:val="en-IE"/>
        </w:rPr>
        <w:t xml:space="preserve">More detailed surveys could help to address these issues by examining </w:t>
      </w:r>
      <w:r>
        <w:rPr>
          <w:rFonts w:eastAsia="Calibri" w:cs="Times New Roman"/>
          <w:noProof/>
          <w:szCs w:val="24"/>
          <w:lang w:val="en-IE"/>
        </w:rPr>
        <w:t>the specific reasons among the different stakeholders in the justice system behind the conti</w:t>
      </w:r>
      <w:r>
        <w:rPr>
          <w:rFonts w:eastAsia="Calibri" w:cs="Times New Roman"/>
          <w:noProof/>
          <w:szCs w:val="24"/>
          <w:lang w:val="en-IE"/>
        </w:rPr>
        <w:t>nuously low level of perceived judicial independence</w:t>
      </w:r>
      <w:r>
        <w:rPr>
          <w:rFonts w:eastAsia="Calibri" w:cs="Times New Roman"/>
          <w:noProof/>
          <w:szCs w:val="24"/>
          <w:vertAlign w:val="superscript"/>
          <w:lang w:val="en-IE"/>
        </w:rPr>
        <w:footnoteReference w:id="9"/>
      </w:r>
      <w:r>
        <w:rPr>
          <w:rFonts w:eastAsia="Calibri" w:cs="Times New Roman"/>
          <w:noProof/>
          <w:szCs w:val="24"/>
          <w:lang w:val="en-IE"/>
        </w:rPr>
        <w:t>.</w:t>
      </w:r>
    </w:p>
    <w:p w:rsidR="008A17C5" w:rsidRDefault="00402083">
      <w:pPr>
        <w:rPr>
          <w:rFonts w:eastAsia="Times New Roman" w:cs="Times New Roman"/>
          <w:b/>
          <w:noProof/>
          <w:lang w:val="en-IE" w:eastAsia="fr-FR"/>
        </w:rPr>
      </w:pPr>
      <w:r>
        <w:rPr>
          <w:rFonts w:eastAsia="Times New Roman" w:cs="Times New Roman"/>
          <w:b/>
          <w:noProof/>
          <w:lang w:val="en-IE" w:eastAsia="fr-FR"/>
        </w:rPr>
        <w:t xml:space="preserve">The on-going process for appointing the new Supreme Court President has given rise to controversy, and the Constitutional Court stressed the importance of cooperation between state authorities. </w:t>
      </w:r>
      <w:r>
        <w:rPr>
          <w:rFonts w:eastAsia="Times New Roman" w:cs="Times New Roman"/>
          <w:noProof/>
          <w:lang w:val="en-IE" w:eastAsia="fr-FR"/>
        </w:rPr>
        <w:t>On 15 J</w:t>
      </w:r>
      <w:r>
        <w:rPr>
          <w:rFonts w:eastAsia="Times New Roman" w:cs="Times New Roman"/>
          <w:noProof/>
          <w:lang w:val="en-IE" w:eastAsia="fr-FR"/>
        </w:rPr>
        <w:t>uly 2021, the four-year mandate of the previous Supreme Court President came to an end. The process for appointing the new President has led to an intense exchange between highest representatives of state authorities, which included repeated negative state</w:t>
      </w:r>
      <w:r>
        <w:rPr>
          <w:rFonts w:eastAsia="Times New Roman" w:cs="Times New Roman"/>
          <w:noProof/>
          <w:lang w:val="en-IE" w:eastAsia="fr-FR"/>
        </w:rPr>
        <w:t>ments about Supreme Court and other judges</w:t>
      </w:r>
      <w:r>
        <w:rPr>
          <w:rStyle w:val="FootnoteReference"/>
          <w:rFonts w:eastAsia="Times New Roman" w:cs="Times New Roman"/>
          <w:noProof/>
          <w:lang w:val="en-IE" w:eastAsia="fr-FR"/>
        </w:rPr>
        <w:footnoteReference w:id="10"/>
      </w:r>
      <w:r>
        <w:rPr>
          <w:rFonts w:eastAsia="Times New Roman" w:cs="Times New Roman"/>
          <w:noProof/>
          <w:lang w:val="en-IE" w:eastAsia="fr-FR"/>
        </w:rPr>
        <w:t>. According to the Constitution, the President of the Supreme Court is appointed by the Parliament on the proposal from the President of the Republic</w:t>
      </w:r>
      <w:r>
        <w:rPr>
          <w:rStyle w:val="FootnoteReference"/>
          <w:rFonts w:eastAsia="Times New Roman" w:cs="Times New Roman"/>
          <w:noProof/>
          <w:lang w:val="en-IE" w:eastAsia="fr-FR"/>
        </w:rPr>
        <w:footnoteReference w:id="11"/>
      </w:r>
      <w:r>
        <w:rPr>
          <w:rFonts w:eastAsia="Times New Roman" w:cs="Times New Roman"/>
          <w:noProof/>
          <w:lang w:val="en-IE" w:eastAsia="fr-FR"/>
        </w:rPr>
        <w:t xml:space="preserve">. The General Assembly of the Supreme Court and the competent </w:t>
      </w:r>
      <w:r>
        <w:rPr>
          <w:rFonts w:eastAsia="Times New Roman" w:cs="Times New Roman"/>
          <w:noProof/>
          <w:lang w:val="en-IE" w:eastAsia="fr-FR"/>
        </w:rPr>
        <w:t>parliamentary committee give their opinions on the candidates</w:t>
      </w:r>
      <w:r>
        <w:rPr>
          <w:rStyle w:val="FootnoteReference"/>
          <w:rFonts w:eastAsia="Times New Roman" w:cs="Times New Roman"/>
          <w:noProof/>
          <w:lang w:val="en-IE" w:eastAsia="fr-FR"/>
        </w:rPr>
        <w:footnoteReference w:id="12"/>
      </w:r>
      <w:r>
        <w:rPr>
          <w:rFonts w:eastAsia="Times New Roman" w:cs="Times New Roman"/>
          <w:noProof/>
          <w:lang w:val="en-IE" w:eastAsia="fr-FR"/>
        </w:rPr>
        <w:t>. As clarified by the Constitutional Court, these opinions, which have to be given regarding all candidates, are not binding on the President of the Republic</w:t>
      </w:r>
      <w:r>
        <w:rPr>
          <w:rStyle w:val="FootnoteReference"/>
          <w:rFonts w:eastAsia="Times New Roman" w:cs="Times New Roman"/>
          <w:noProof/>
          <w:lang w:val="en-IE" w:eastAsia="fr-FR"/>
        </w:rPr>
        <w:footnoteReference w:id="13"/>
      </w:r>
      <w:r>
        <w:rPr>
          <w:rFonts w:eastAsia="Times New Roman" w:cs="Times New Roman"/>
          <w:noProof/>
          <w:lang w:val="en-IE" w:eastAsia="fr-FR"/>
        </w:rPr>
        <w:t>. In line with amendments adopted in</w:t>
      </w:r>
      <w:r>
        <w:rPr>
          <w:rFonts w:eastAsia="Times New Roman" w:cs="Times New Roman"/>
          <w:noProof/>
          <w:lang w:val="en-IE" w:eastAsia="fr-FR"/>
        </w:rPr>
        <w:t xml:space="preserve"> 2018</w:t>
      </w:r>
      <w:r>
        <w:rPr>
          <w:rStyle w:val="FootnoteReference"/>
          <w:rFonts w:eastAsia="Times New Roman" w:cs="Times New Roman"/>
          <w:noProof/>
          <w:lang w:val="en-IE" w:eastAsia="fr-FR"/>
        </w:rPr>
        <w:footnoteReference w:id="14"/>
      </w:r>
      <w:r>
        <w:rPr>
          <w:rFonts w:eastAsia="Times New Roman" w:cs="Times New Roman"/>
          <w:noProof/>
          <w:lang w:val="en-IE" w:eastAsia="fr-FR"/>
        </w:rPr>
        <w:t>, in February 2021 the State Judicial Council transmitted to the Office of the President of the Republic the applications of the three candidates (including the incumbent Supreme Court President). The President of the Republic proposed to the Parliam</w:t>
      </w:r>
      <w:r>
        <w:rPr>
          <w:rFonts w:eastAsia="Times New Roman" w:cs="Times New Roman"/>
          <w:noProof/>
          <w:lang w:val="en-IE" w:eastAsia="fr-FR"/>
        </w:rPr>
        <w:t>ent a candidate who had not applied to the vacancy, claiming that the 2018 amendments to the Law on Courts prescribing the vacancy procedure are “unconstitutional”</w:t>
      </w:r>
      <w:r>
        <w:rPr>
          <w:rStyle w:val="FootnoteReference"/>
          <w:rFonts w:eastAsia="Times New Roman" w:cs="Times New Roman"/>
          <w:noProof/>
          <w:lang w:val="en-IE" w:eastAsia="fr-FR"/>
        </w:rPr>
        <w:footnoteReference w:id="15"/>
      </w:r>
      <w:r>
        <w:rPr>
          <w:rFonts w:eastAsia="Times New Roman" w:cs="Times New Roman"/>
          <w:noProof/>
          <w:lang w:val="en-IE" w:eastAsia="fr-FR"/>
        </w:rPr>
        <w:t>. The Constitutional Court later found the 2018 amendments to be in compliance with the Cons</w:t>
      </w:r>
      <w:r>
        <w:rPr>
          <w:rFonts w:eastAsia="Times New Roman" w:cs="Times New Roman"/>
          <w:noProof/>
          <w:lang w:val="en-IE" w:eastAsia="fr-FR"/>
        </w:rPr>
        <w:t>titution</w:t>
      </w:r>
      <w:r>
        <w:rPr>
          <w:rStyle w:val="FootnoteReference"/>
          <w:rFonts w:eastAsia="Times New Roman" w:cs="Times New Roman"/>
          <w:noProof/>
          <w:lang w:val="en-IE" w:eastAsia="fr-FR"/>
        </w:rPr>
        <w:footnoteReference w:id="16"/>
      </w:r>
      <w:r>
        <w:rPr>
          <w:rFonts w:eastAsia="Times New Roman" w:cs="Times New Roman"/>
          <w:noProof/>
          <w:lang w:val="en-IE" w:eastAsia="fr-FR"/>
        </w:rPr>
        <w:t>. The Court clarified that the President of the Republic can only choose from among the candidates who have applied to the vacancy; however, the President can also decide not to propose any of the candidates who applied and inform the Parliament</w:t>
      </w:r>
      <w:r>
        <w:rPr>
          <w:rStyle w:val="FootnoteReference"/>
          <w:rFonts w:eastAsia="Times New Roman" w:cs="Times New Roman"/>
          <w:noProof/>
          <w:lang w:val="en-IE" w:eastAsia="fr-FR"/>
        </w:rPr>
        <w:footnoteReference w:id="17"/>
      </w:r>
      <w:r>
        <w:rPr>
          <w:rFonts w:eastAsia="Times New Roman" w:cs="Times New Roman"/>
          <w:noProof/>
          <w:lang w:val="en-IE" w:eastAsia="fr-FR"/>
        </w:rPr>
        <w:t>.</w:t>
      </w:r>
      <w:r>
        <w:rPr>
          <w:rFonts w:eastAsia="Times New Roman" w:cs="Times New Roman"/>
          <w:noProof/>
          <w:lang w:val="en-IE" w:eastAsia="fr-FR"/>
        </w:rPr>
        <w:t xml:space="preserve"> An unsuccessful candidate can request review of the Parliament’s decision before the Constitutional Court</w:t>
      </w:r>
      <w:r>
        <w:rPr>
          <w:rStyle w:val="FootnoteReference"/>
          <w:rFonts w:eastAsia="Times New Roman" w:cs="Times New Roman"/>
          <w:noProof/>
          <w:lang w:val="en-IE" w:eastAsia="fr-FR"/>
        </w:rPr>
        <w:footnoteReference w:id="18"/>
      </w:r>
      <w:r>
        <w:rPr>
          <w:rFonts w:eastAsia="Times New Roman" w:cs="Times New Roman"/>
          <w:noProof/>
          <w:lang w:val="en-IE" w:eastAsia="fr-FR"/>
        </w:rPr>
        <w:t>. The Court also stressed the constitutional requirement of cooperation between state authorities in finding joint solutions in compliance with the r</w:t>
      </w:r>
      <w:r>
        <w:rPr>
          <w:rFonts w:eastAsia="Times New Roman" w:cs="Times New Roman"/>
          <w:noProof/>
          <w:lang w:val="en-IE" w:eastAsia="fr-FR"/>
        </w:rPr>
        <w:t>ule of law and avoiding destabilising situations, which would hamper the functioning of the Supreme Court</w:t>
      </w:r>
      <w:r>
        <w:rPr>
          <w:rStyle w:val="FootnoteReference"/>
          <w:rFonts w:eastAsia="Times New Roman" w:cs="Times New Roman"/>
          <w:noProof/>
          <w:lang w:val="en-IE" w:eastAsia="fr-FR"/>
        </w:rPr>
        <w:footnoteReference w:id="19"/>
      </w:r>
      <w:r>
        <w:rPr>
          <w:rFonts w:eastAsia="Times New Roman" w:cs="Times New Roman"/>
          <w:noProof/>
          <w:lang w:val="en-IE" w:eastAsia="fr-FR"/>
        </w:rPr>
        <w:t>. After the Constitutional Court judgment, the President of the Republic requested for the vacancy to be re-published</w:t>
      </w:r>
      <w:r>
        <w:rPr>
          <w:rStyle w:val="FootnoteReference"/>
          <w:rFonts w:eastAsia="Times New Roman" w:cs="Times New Roman"/>
          <w:noProof/>
          <w:lang w:val="en-IE" w:eastAsia="fr-FR"/>
        </w:rPr>
        <w:footnoteReference w:id="20"/>
      </w:r>
      <w:r>
        <w:rPr>
          <w:rFonts w:eastAsia="Times New Roman" w:cs="Times New Roman"/>
          <w:noProof/>
          <w:lang w:val="en-IE" w:eastAsia="fr-FR"/>
        </w:rPr>
        <w:t xml:space="preserve">. Following a new announcement, </w:t>
      </w:r>
      <w:r>
        <w:rPr>
          <w:rFonts w:eastAsia="Times New Roman" w:cs="Times New Roman"/>
          <w:noProof/>
          <w:lang w:val="en-IE" w:eastAsia="fr-FR"/>
        </w:rPr>
        <w:t>the President of the Republic in June 2021 proposed to the Parliament one of the five candidates who applied (no current Supreme Court judge applied), but the Parliament did not appoint the candidate</w:t>
      </w:r>
      <w:r>
        <w:rPr>
          <w:rStyle w:val="FootnoteReference"/>
          <w:rFonts w:eastAsia="Times New Roman" w:cs="Times New Roman"/>
          <w:noProof/>
          <w:lang w:val="en-IE" w:eastAsia="fr-FR"/>
        </w:rPr>
        <w:footnoteReference w:id="21"/>
      </w:r>
      <w:r>
        <w:rPr>
          <w:rFonts w:eastAsia="Times New Roman" w:cs="Times New Roman"/>
          <w:noProof/>
          <w:lang w:val="en-IE" w:eastAsia="fr-FR"/>
        </w:rPr>
        <w:t>. On 7 July 2021, the State Judicial Council published t</w:t>
      </w:r>
      <w:r>
        <w:rPr>
          <w:rFonts w:eastAsia="Times New Roman" w:cs="Times New Roman"/>
          <w:noProof/>
          <w:lang w:val="en-IE" w:eastAsia="fr-FR"/>
        </w:rPr>
        <w:t>he third public call. As the new Supreme Court President has not been appointed before the term of the previous President expired, this role will be performed, potentially for a prolonged time, by the deputy Supreme Court President</w:t>
      </w:r>
      <w:r>
        <w:rPr>
          <w:rStyle w:val="FootnoteReference"/>
          <w:rFonts w:eastAsia="Times New Roman" w:cs="Times New Roman"/>
          <w:noProof/>
          <w:lang w:val="en-IE" w:eastAsia="fr-FR"/>
        </w:rPr>
        <w:footnoteReference w:id="22"/>
      </w:r>
      <w:r>
        <w:rPr>
          <w:rFonts w:eastAsia="Times New Roman" w:cs="Times New Roman"/>
          <w:noProof/>
          <w:lang w:val="en-IE" w:eastAsia="fr-FR"/>
        </w:rPr>
        <w:t>. Considering that the c</w:t>
      </w:r>
      <w:r>
        <w:rPr>
          <w:rFonts w:eastAsia="Times New Roman" w:cs="Times New Roman"/>
          <w:noProof/>
          <w:lang w:val="en-IE" w:eastAsia="fr-FR"/>
        </w:rPr>
        <w:t>andidate for the President of the Supreme Court could be at the same time also appointed as a new judge (if the person was not a judge already), it is worth noting that under Council of Europe recommendations on the process for the selection of judges, whe</w:t>
      </w:r>
      <w:r>
        <w:rPr>
          <w:rFonts w:eastAsia="Times New Roman" w:cs="Times New Roman"/>
          <w:noProof/>
          <w:lang w:val="en-IE" w:eastAsia="fr-FR"/>
        </w:rPr>
        <w:t>re the constitutional or other legal provisions prescribe that the head of state, the government or the legislative power take the decisions, the opinion of an independent and competent authority drawn in substantial part from the judiciary (in this case t</w:t>
      </w:r>
      <w:r>
        <w:rPr>
          <w:rFonts w:eastAsia="Times New Roman" w:cs="Times New Roman"/>
          <w:noProof/>
          <w:lang w:val="en-IE" w:eastAsia="fr-FR"/>
        </w:rPr>
        <w:t>he General Assembly of the Supreme Court) should be followed by the relevant appointing authority in practice</w:t>
      </w:r>
      <w:r>
        <w:rPr>
          <w:rStyle w:val="FootnoteReference"/>
          <w:rFonts w:eastAsia="Times New Roman" w:cs="Times New Roman"/>
          <w:noProof/>
          <w:lang w:val="en-IE" w:eastAsia="fr-FR"/>
        </w:rPr>
        <w:footnoteReference w:id="23"/>
      </w:r>
      <w:r>
        <w:rPr>
          <w:rFonts w:eastAsia="Times New Roman" w:cs="Times New Roman"/>
          <w:noProof/>
          <w:lang w:val="en-IE" w:eastAsia="fr-FR"/>
        </w:rPr>
        <w:t>.</w:t>
      </w:r>
    </w:p>
    <w:p w:rsidR="008A17C5" w:rsidRDefault="00402083">
      <w:pPr>
        <w:rPr>
          <w:rFonts w:eastAsia="Times New Roman" w:cs="Times New Roman"/>
          <w:noProof/>
          <w:lang w:val="en-IE" w:eastAsia="fr-FR"/>
        </w:rPr>
      </w:pPr>
      <w:r>
        <w:rPr>
          <w:rFonts w:eastAsia="Times New Roman" w:cs="Times New Roman"/>
          <w:b/>
          <w:noProof/>
          <w:lang w:val="en-IE" w:eastAsia="fr-FR"/>
        </w:rPr>
        <w:t xml:space="preserve">The State Judicial Council made proposals to strengthen its role in selecting judges. </w:t>
      </w:r>
      <w:r>
        <w:rPr>
          <w:rFonts w:eastAsia="Times New Roman" w:cs="Times New Roman"/>
          <w:noProof/>
          <w:lang w:val="en-IE" w:eastAsia="fr-FR"/>
        </w:rPr>
        <w:t xml:space="preserve">The 2020 Rule of Law Report found that the State Judicial </w:t>
      </w:r>
      <w:r>
        <w:rPr>
          <w:rFonts w:eastAsia="Times New Roman" w:cs="Times New Roman"/>
          <w:noProof/>
          <w:lang w:val="en-IE" w:eastAsia="fr-FR"/>
        </w:rPr>
        <w:t>Council and the State Attorney’s Council are facing challenges following amendments that reduced their role in selecting judges and state attorneys</w:t>
      </w:r>
      <w:r>
        <w:rPr>
          <w:rStyle w:val="FootnoteReference"/>
          <w:rFonts w:eastAsia="Times New Roman" w:cs="Times New Roman"/>
          <w:noProof/>
          <w:lang w:val="en-IE" w:eastAsia="fr-FR"/>
        </w:rPr>
        <w:footnoteReference w:id="24"/>
      </w:r>
      <w:r>
        <w:rPr>
          <w:rFonts w:eastAsia="Times New Roman" w:cs="Times New Roman"/>
          <w:noProof/>
          <w:lang w:val="en-IE" w:eastAsia="fr-FR"/>
        </w:rPr>
        <w:t xml:space="preserve">. As regards judges, the 2018 amendments </w:t>
      </w:r>
      <w:r>
        <w:rPr>
          <w:rFonts w:eastAsia="Calibri" w:cs="Times New Roman"/>
          <w:noProof/>
          <w:lang w:val="en-IE"/>
        </w:rPr>
        <w:t xml:space="preserve">decreased the number of points that the State Judicial Council can </w:t>
      </w:r>
      <w:r>
        <w:rPr>
          <w:rFonts w:eastAsia="Calibri" w:cs="Times New Roman"/>
          <w:noProof/>
          <w:lang w:val="en-IE"/>
        </w:rPr>
        <w:t>award to candidates based on the interview, which reduced the possibility of the Council to distinguish amongst candidates</w:t>
      </w:r>
      <w:r>
        <w:rPr>
          <w:rStyle w:val="FootnoteReference"/>
          <w:rFonts w:eastAsia="Calibri" w:cs="Times New Roman"/>
          <w:noProof/>
          <w:lang w:val="en-IE"/>
        </w:rPr>
        <w:footnoteReference w:id="25"/>
      </w:r>
      <w:r>
        <w:rPr>
          <w:rFonts w:eastAsia="Calibri" w:cs="Times New Roman"/>
          <w:noProof/>
          <w:lang w:val="en-IE"/>
        </w:rPr>
        <w:t xml:space="preserve">. In March 2021, the State Judicial Council </w:t>
      </w:r>
      <w:r>
        <w:rPr>
          <w:rFonts w:eastAsia="Times New Roman" w:cs="Times New Roman"/>
          <w:noProof/>
          <w:lang w:val="en-IE" w:eastAsia="fr-FR"/>
        </w:rPr>
        <w:t>prepared an analysis of provisions of the law on the selection of judges and proposed cha</w:t>
      </w:r>
      <w:r>
        <w:rPr>
          <w:rFonts w:eastAsia="Times New Roman" w:cs="Times New Roman"/>
          <w:noProof/>
          <w:lang w:val="en-IE" w:eastAsia="fr-FR"/>
        </w:rPr>
        <w:t>nges</w:t>
      </w:r>
      <w:r>
        <w:rPr>
          <w:rStyle w:val="FootnoteReference"/>
          <w:rFonts w:eastAsia="Times New Roman" w:cs="Times New Roman"/>
          <w:noProof/>
          <w:lang w:val="en-IE" w:eastAsia="fr-FR"/>
        </w:rPr>
        <w:footnoteReference w:id="26"/>
      </w:r>
      <w:r>
        <w:rPr>
          <w:rFonts w:eastAsia="Times New Roman" w:cs="Times New Roman"/>
          <w:noProof/>
          <w:lang w:val="en-IE" w:eastAsia="fr-FR"/>
        </w:rPr>
        <w:t>. The Council stressed that current provisions on awarding of points to candidates in the selection procedure compromised its ability to act as an independent and autonomous body tasked with ensuring the independence of judiciary. According to the Cou</w:t>
      </w:r>
      <w:r>
        <w:rPr>
          <w:rFonts w:eastAsia="Times New Roman" w:cs="Times New Roman"/>
          <w:noProof/>
          <w:lang w:val="en-IE" w:eastAsia="fr-FR"/>
        </w:rPr>
        <w:t>ncil, the current system, where the points achieved in the State school for judicial officials have the decisive role in the selection of judges, leaves the Council without significant role or influence in the selection of judges. The new proposals reflect</w:t>
      </w:r>
      <w:r>
        <w:rPr>
          <w:rFonts w:eastAsia="Times New Roman" w:cs="Times New Roman"/>
          <w:noProof/>
          <w:lang w:val="en-IE" w:eastAsia="fr-FR"/>
        </w:rPr>
        <w:t xml:space="preserve"> on how to improve the Council’s role in the selection process. The Council also proposed improvements to the framework on disciplinary proceedings regarding judges, particularly regarding deadlines. In this respect, the resources available to the State Ju</w:t>
      </w:r>
      <w:r>
        <w:rPr>
          <w:rFonts w:eastAsia="Times New Roman" w:cs="Times New Roman"/>
          <w:noProof/>
          <w:lang w:val="en-IE" w:eastAsia="fr-FR"/>
        </w:rPr>
        <w:t>dicial Council and to the State Attorney’s Council are important elements for improving the quality of work of both Councils.</w:t>
      </w:r>
    </w:p>
    <w:p w:rsidR="008A17C5" w:rsidRDefault="00402083">
      <w:pPr>
        <w:rPr>
          <w:rFonts w:eastAsia="Times New Roman" w:cs="Times New Roman"/>
          <w:bCs/>
          <w:noProof/>
          <w:szCs w:val="24"/>
          <w:lang w:eastAsia="hr-HR"/>
        </w:rPr>
      </w:pPr>
      <w:r>
        <w:rPr>
          <w:rFonts w:eastAsia="Times New Roman" w:cs="Times New Roman"/>
          <w:b/>
          <w:noProof/>
          <w:szCs w:val="20"/>
          <w:lang w:val="en-IE" w:eastAsia="fr-FR"/>
        </w:rPr>
        <w:t>The State Judicial Council and the State Attorney’s Council received additional resources to verify the newly published asset decl</w:t>
      </w:r>
      <w:r>
        <w:rPr>
          <w:rFonts w:eastAsia="Times New Roman" w:cs="Times New Roman"/>
          <w:b/>
          <w:noProof/>
          <w:szCs w:val="20"/>
          <w:lang w:val="en-IE" w:eastAsia="fr-FR"/>
        </w:rPr>
        <w:t xml:space="preserve">arations of judges and state attorneys. </w:t>
      </w:r>
      <w:r>
        <w:rPr>
          <w:rFonts w:eastAsia="Times New Roman" w:cs="Times New Roman"/>
          <w:noProof/>
          <w:szCs w:val="20"/>
          <w:lang w:val="en-IE" w:eastAsia="fr-FR"/>
        </w:rPr>
        <w:t>In January 2021, the asset declarations of judges and state attorneys were published online and became publicly available</w:t>
      </w:r>
      <w:r>
        <w:rPr>
          <w:rStyle w:val="FootnoteReference"/>
          <w:rFonts w:eastAsia="Times New Roman" w:cs="Times New Roman"/>
          <w:noProof/>
          <w:szCs w:val="20"/>
          <w:lang w:val="en-IE" w:eastAsia="fr-FR"/>
        </w:rPr>
        <w:footnoteReference w:id="27"/>
      </w:r>
      <w:r>
        <w:rPr>
          <w:rFonts w:eastAsia="Times New Roman" w:cs="Times New Roman"/>
          <w:noProof/>
          <w:szCs w:val="20"/>
          <w:lang w:val="en-IE" w:eastAsia="fr-FR"/>
        </w:rPr>
        <w:t>. The 2020 Rule of Law Report</w:t>
      </w:r>
      <w:r>
        <w:rPr>
          <w:rFonts w:eastAsia="Calibri"/>
          <w:noProof/>
          <w:szCs w:val="24"/>
          <w:lang w:val="en-IE"/>
        </w:rPr>
        <w:t xml:space="preserve"> found that support with electronic tools and adequate human reso</w:t>
      </w:r>
      <w:r>
        <w:rPr>
          <w:rFonts w:eastAsia="Calibri"/>
          <w:noProof/>
          <w:szCs w:val="24"/>
          <w:lang w:val="en-IE"/>
        </w:rPr>
        <w:t>urces would be needed to ensure that the State Judicial Council and the State Attorney’s Council can effectively and quickly verify the declarations, if possible already prior to their publication online</w:t>
      </w:r>
      <w:r>
        <w:rPr>
          <w:rFonts w:eastAsia="Times New Roman" w:cs="Times New Roman"/>
          <w:noProof/>
          <w:szCs w:val="20"/>
          <w:lang w:val="en-IE" w:eastAsia="fr-FR"/>
        </w:rPr>
        <w:t xml:space="preserve">. </w:t>
      </w:r>
      <w:r>
        <w:rPr>
          <w:rFonts w:eastAsia="Calibri"/>
          <w:noProof/>
          <w:szCs w:val="24"/>
          <w:lang w:val="en-IE"/>
        </w:rPr>
        <w:t>Both Councils have started</w:t>
      </w:r>
      <w:r>
        <w:rPr>
          <w:rFonts w:eastAsia="Times New Roman" w:cs="Times New Roman"/>
          <w:noProof/>
          <w:lang w:val="en-IE" w:eastAsia="fr-FR"/>
        </w:rPr>
        <w:t xml:space="preserve"> taking steps to enable the connection of their ICT systems with databases of the competent authorities</w:t>
      </w:r>
      <w:r>
        <w:rPr>
          <w:rStyle w:val="FootnoteReference"/>
          <w:rFonts w:eastAsia="Times New Roman" w:cs="Times New Roman"/>
          <w:noProof/>
          <w:lang w:val="en-IE" w:eastAsia="fr-FR"/>
        </w:rPr>
        <w:footnoteReference w:id="28"/>
      </w:r>
      <w:r>
        <w:rPr>
          <w:rFonts w:eastAsia="Times New Roman" w:cs="Times New Roman"/>
          <w:noProof/>
          <w:lang w:val="en-IE" w:eastAsia="fr-FR"/>
        </w:rPr>
        <w:t>. However, connection of the Councils to these databases, once achieved, would allow more efficient verification of assets</w:t>
      </w:r>
      <w:r>
        <w:rPr>
          <w:rStyle w:val="FootnoteReference"/>
          <w:rFonts w:eastAsia="Times New Roman" w:cs="Times New Roman"/>
          <w:noProof/>
          <w:lang w:val="en-IE" w:eastAsia="fr-FR"/>
        </w:rPr>
        <w:footnoteReference w:id="29"/>
      </w:r>
      <w:r>
        <w:rPr>
          <w:rFonts w:eastAsia="Times New Roman" w:cs="Times New Roman"/>
          <w:noProof/>
          <w:lang w:val="en-IE" w:eastAsia="fr-FR"/>
        </w:rPr>
        <w:t xml:space="preserve">. As stated in the 2020 Rule </w:t>
      </w:r>
      <w:r>
        <w:rPr>
          <w:rFonts w:eastAsia="Times New Roman" w:cs="Times New Roman"/>
          <w:noProof/>
          <w:lang w:val="en-IE" w:eastAsia="fr-FR"/>
        </w:rPr>
        <w:t>of Law Report, these ICT systems do not</w:t>
      </w:r>
      <w:r>
        <w:rPr>
          <w:rFonts w:eastAsia="Calibri"/>
          <w:noProof/>
          <w:szCs w:val="24"/>
          <w:lang w:val="en-IE"/>
        </w:rPr>
        <w:t xml:space="preserve"> automatically detect inconsistencies between the declared and real assets of judges and state attorneys. In April 2021, the Councils received three officials (one civil servant was transferred to State Attorney’s Cou</w:t>
      </w:r>
      <w:r>
        <w:rPr>
          <w:rFonts w:eastAsia="Calibri"/>
          <w:noProof/>
          <w:szCs w:val="24"/>
          <w:lang w:val="en-IE"/>
        </w:rPr>
        <w:t>ncil and two were transferred to State Judicial Council), transferred temporarily from the Ministry of Justice and Public Administration, in order to help with manual verification of asset declarations</w:t>
      </w:r>
      <w:r>
        <w:rPr>
          <w:rStyle w:val="FootnoteReference"/>
          <w:rFonts w:eastAsia="Times New Roman" w:cs="Times New Roman"/>
          <w:bCs/>
          <w:noProof/>
          <w:szCs w:val="24"/>
          <w:lang w:eastAsia="hr-HR"/>
        </w:rPr>
        <w:footnoteReference w:id="30"/>
      </w:r>
      <w:r>
        <w:rPr>
          <w:rFonts w:eastAsia="Times New Roman" w:cs="Times New Roman"/>
          <w:bCs/>
          <w:noProof/>
          <w:szCs w:val="24"/>
          <w:lang w:eastAsia="hr-HR"/>
        </w:rPr>
        <w:t>. The implementation of an automatised software soluti</w:t>
      </w:r>
      <w:r>
        <w:rPr>
          <w:rFonts w:eastAsia="Times New Roman" w:cs="Times New Roman"/>
          <w:bCs/>
          <w:noProof/>
          <w:szCs w:val="24"/>
          <w:lang w:eastAsia="hr-HR"/>
        </w:rPr>
        <w:t>on for both Councils, aiming at automatised comparison of data, is envisaged to be introduced by end 2021. Further improvements of the software solution for both Councils as well as for the Commission for the Resolution of Conflict of Interest (which has b</w:t>
      </w:r>
      <w:r>
        <w:rPr>
          <w:rFonts w:eastAsia="Times New Roman" w:cs="Times New Roman"/>
          <w:bCs/>
          <w:noProof/>
          <w:szCs w:val="24"/>
          <w:lang w:eastAsia="hr-HR"/>
        </w:rPr>
        <w:t>een using a software solution since 2018), is envisaged only for 2024</w:t>
      </w:r>
      <w:r>
        <w:rPr>
          <w:rStyle w:val="FootnoteReference"/>
          <w:rFonts w:eastAsia="Times New Roman" w:cs="Times New Roman"/>
          <w:bCs/>
          <w:noProof/>
          <w:szCs w:val="24"/>
          <w:lang w:eastAsia="hr-HR"/>
        </w:rPr>
        <w:footnoteReference w:id="31"/>
      </w:r>
      <w:r>
        <w:rPr>
          <w:rFonts w:eastAsia="Times New Roman" w:cs="Times New Roman"/>
          <w:bCs/>
          <w:noProof/>
          <w:szCs w:val="24"/>
          <w:lang w:eastAsia="hr-HR"/>
        </w:rPr>
        <w:t>, in line with the National Recovery and Resilience Plan.</w:t>
      </w:r>
    </w:p>
    <w:p w:rsidR="008A17C5" w:rsidRDefault="00402083">
      <w:pPr>
        <w:rPr>
          <w:rFonts w:eastAsia="Times New Roman" w:cs="Times New Roman"/>
          <w:noProof/>
          <w:lang w:val="en-IE" w:eastAsia="fr-FR"/>
        </w:rPr>
      </w:pPr>
      <w:r>
        <w:rPr>
          <w:rFonts w:eastAsia="Times New Roman" w:cs="Times New Roman"/>
          <w:b/>
          <w:noProof/>
          <w:lang w:val="en-IE" w:eastAsia="fr-FR"/>
        </w:rPr>
        <w:t>The State Judicial Council, Judges’ Councils, and investigative authorities are reacting to a series of alleged ethical breaches</w:t>
      </w:r>
      <w:r>
        <w:rPr>
          <w:rFonts w:eastAsia="Times New Roman" w:cs="Times New Roman"/>
          <w:b/>
          <w:noProof/>
          <w:lang w:val="en-IE" w:eastAsia="fr-FR"/>
        </w:rPr>
        <w:t xml:space="preserve"> and disciplinary violations by judges.</w:t>
      </w:r>
      <w:r>
        <w:rPr>
          <w:rFonts w:eastAsia="Times New Roman" w:cs="Times New Roman"/>
          <w:noProof/>
          <w:lang w:val="en-IE" w:eastAsia="fr-FR"/>
        </w:rPr>
        <w:t xml:space="preserve"> In the beginning of 2021, several events involving judges have been extensively reported in the press and discussed in the public that allegedly took place in 2020 and 2021. One situation involved five judges who all</w:t>
      </w:r>
      <w:r>
        <w:rPr>
          <w:rFonts w:eastAsia="Times New Roman" w:cs="Times New Roman"/>
          <w:noProof/>
          <w:lang w:val="en-IE" w:eastAsia="fr-FR"/>
        </w:rPr>
        <w:t>egedly violated the COVID-19 pandemic restrictions. Proceedings were initialised by the President of the Supreme Court for a breach of the Code of Judicial Ethics</w:t>
      </w:r>
      <w:r>
        <w:rPr>
          <w:rStyle w:val="FootnoteReference"/>
          <w:rFonts w:eastAsia="Times New Roman" w:cs="Times New Roman"/>
          <w:noProof/>
          <w:lang w:val="en-IE" w:eastAsia="fr-FR"/>
        </w:rPr>
        <w:footnoteReference w:id="32"/>
      </w:r>
      <w:r>
        <w:rPr>
          <w:rFonts w:eastAsia="Times New Roman" w:cs="Times New Roman"/>
          <w:noProof/>
          <w:lang w:val="en-IE" w:eastAsia="fr-FR"/>
        </w:rPr>
        <w:t>. In March, one Judges’ Council found a breach concerning one judge, while another Judges’ Co</w:t>
      </w:r>
      <w:r>
        <w:rPr>
          <w:rFonts w:eastAsia="Times New Roman" w:cs="Times New Roman"/>
          <w:noProof/>
          <w:lang w:val="en-IE" w:eastAsia="fr-FR"/>
        </w:rPr>
        <w:t>uncil found no breach regarding remaining four judges. In an appeal against all five decisions, the Ethical Council on 13 May 2021 decided that all five judges violated the Code of Judicial Ethics due to breaching COVID-19 pandemic restrictions</w:t>
      </w:r>
      <w:r>
        <w:rPr>
          <w:rStyle w:val="FootnoteReference"/>
          <w:noProof/>
          <w:lang w:val="en-IE"/>
        </w:rPr>
        <w:footnoteReference w:id="33"/>
      </w:r>
      <w:r>
        <w:rPr>
          <w:rFonts w:eastAsia="Times New Roman" w:cs="Times New Roman"/>
          <w:noProof/>
          <w:lang w:val="en-IE" w:eastAsia="fr-FR"/>
        </w:rPr>
        <w:t>. The secon</w:t>
      </w:r>
      <w:r>
        <w:rPr>
          <w:rFonts w:eastAsia="Times New Roman" w:cs="Times New Roman"/>
          <w:noProof/>
          <w:lang w:val="en-IE" w:eastAsia="fr-FR"/>
        </w:rPr>
        <w:t>d situation involved allegations of violations of impartiality and improper gifts to deciding judges from the suspect in a criminal case (a prominent public figure), where the President of the relevant Court initiated disciplinary proceedings before the St</w:t>
      </w:r>
      <w:r>
        <w:rPr>
          <w:rFonts w:eastAsia="Times New Roman" w:cs="Times New Roman"/>
          <w:noProof/>
          <w:lang w:val="en-IE" w:eastAsia="fr-FR"/>
        </w:rPr>
        <w:t>ate Judicial Council. The proceedings regarding judges, including criminal proceedings, are still on-going</w:t>
      </w:r>
      <w:r>
        <w:rPr>
          <w:rStyle w:val="FootnoteReference"/>
          <w:rFonts w:eastAsia="Times New Roman" w:cs="Times New Roman"/>
          <w:noProof/>
          <w:lang w:val="en-IE" w:eastAsia="fr-FR"/>
        </w:rPr>
        <w:footnoteReference w:id="34"/>
      </w:r>
      <w:r>
        <w:rPr>
          <w:rFonts w:eastAsia="Times New Roman" w:cs="Times New Roman"/>
          <w:noProof/>
          <w:lang w:val="en-IE" w:eastAsia="fr-FR"/>
        </w:rPr>
        <w:t>. The Judges’ Councils at courts decide on breaches of the Code of Judicial Ethics regarding the judges in those courts</w:t>
      </w:r>
      <w:r>
        <w:rPr>
          <w:rStyle w:val="FootnoteReference"/>
          <w:rFonts w:eastAsia="Times New Roman" w:cs="Times New Roman"/>
          <w:noProof/>
          <w:lang w:val="en-IE" w:eastAsia="fr-FR"/>
        </w:rPr>
        <w:footnoteReference w:id="35"/>
      </w:r>
      <w:r>
        <w:rPr>
          <w:rFonts w:eastAsia="Times New Roman" w:cs="Times New Roman"/>
          <w:noProof/>
          <w:lang w:val="en-IE" w:eastAsia="fr-FR"/>
        </w:rPr>
        <w:t>. The decision can be appeale</w:t>
      </w:r>
      <w:r>
        <w:rPr>
          <w:rFonts w:eastAsia="Times New Roman" w:cs="Times New Roman"/>
          <w:noProof/>
          <w:lang w:val="en-IE" w:eastAsia="fr-FR"/>
        </w:rPr>
        <w:t>d before the Ethical Council, a panel of judges selected by the presidents of all Judges’ Councils</w:t>
      </w:r>
      <w:r>
        <w:rPr>
          <w:rStyle w:val="FootnoteReference"/>
          <w:rFonts w:eastAsia="Times New Roman" w:cs="Times New Roman"/>
          <w:noProof/>
          <w:lang w:val="en-IE" w:eastAsia="fr-FR"/>
        </w:rPr>
        <w:footnoteReference w:id="36"/>
      </w:r>
      <w:r>
        <w:rPr>
          <w:rFonts w:eastAsia="Times New Roman" w:cs="Times New Roman"/>
          <w:noProof/>
          <w:lang w:val="en-IE" w:eastAsia="fr-FR"/>
        </w:rPr>
        <w:t>. Decisions on disciplinary sanctions regarding judges are made by the State Judicial Council, and can be appealed before the Constitutional Court</w:t>
      </w:r>
      <w:r>
        <w:rPr>
          <w:rStyle w:val="FootnoteReference"/>
          <w:rFonts w:eastAsia="Times New Roman" w:cs="Times New Roman"/>
          <w:noProof/>
          <w:lang w:val="en-IE" w:eastAsia="fr-FR"/>
        </w:rPr>
        <w:footnoteReference w:id="37"/>
      </w:r>
      <w:r>
        <w:rPr>
          <w:rFonts w:eastAsia="Times New Roman" w:cs="Times New Roman"/>
          <w:noProof/>
          <w:lang w:val="en-IE" w:eastAsia="fr-FR"/>
        </w:rPr>
        <w:t>.</w:t>
      </w:r>
    </w:p>
    <w:p w:rsidR="008A17C5" w:rsidRDefault="00402083">
      <w:pPr>
        <w:pStyle w:val="Heading2"/>
        <w:rPr>
          <w:noProof/>
          <w:lang w:val="en-IE"/>
        </w:rPr>
      </w:pPr>
      <w:r>
        <w:rPr>
          <w:noProof/>
          <w:lang w:val="en-IE"/>
        </w:rPr>
        <w:t xml:space="preserve">Quality </w:t>
      </w:r>
    </w:p>
    <w:p w:rsidR="008A17C5" w:rsidRDefault="00402083">
      <w:pPr>
        <w:rPr>
          <w:rFonts w:eastAsia="Calibri" w:cs="Times New Roman"/>
          <w:noProof/>
          <w:szCs w:val="24"/>
        </w:rPr>
      </w:pPr>
      <w:r>
        <w:rPr>
          <w:rFonts w:eastAsia="Times New Roman" w:cs="Times New Roman"/>
          <w:b/>
          <w:noProof/>
          <w:szCs w:val="20"/>
          <w:lang w:val="en-IE" w:eastAsia="fr-FR"/>
        </w:rPr>
        <w:t>The use of electronic communication tools in courts is gradually increasing</w:t>
      </w:r>
      <w:r>
        <w:rPr>
          <w:rStyle w:val="FootnoteReference"/>
          <w:rFonts w:eastAsia="Times New Roman" w:cs="Times New Roman"/>
          <w:b/>
          <w:noProof/>
          <w:szCs w:val="20"/>
          <w:lang w:val="en-IE" w:eastAsia="fr-FR"/>
        </w:rPr>
        <w:footnoteReference w:id="38"/>
      </w:r>
      <w:r>
        <w:rPr>
          <w:rFonts w:eastAsia="Times New Roman" w:cs="Times New Roman"/>
          <w:b/>
          <w:noProof/>
          <w:szCs w:val="20"/>
          <w:lang w:val="en-IE" w:eastAsia="fr-FR"/>
        </w:rPr>
        <w:t xml:space="preserve">. </w:t>
      </w:r>
      <w:r>
        <w:rPr>
          <w:rFonts w:eastAsia="Times New Roman" w:cs="Times New Roman"/>
          <w:noProof/>
          <w:szCs w:val="20"/>
          <w:lang w:val="en-IE" w:eastAsia="fr-FR"/>
        </w:rPr>
        <w:t xml:space="preserve">According to the 2021 EU Justice Scoreboard, the </w:t>
      </w:r>
      <w:r>
        <w:rPr>
          <w:rFonts w:eastAsia="Calibri" w:cs="Times New Roman"/>
          <w:noProof/>
          <w:szCs w:val="24"/>
          <w:lang w:val="en-IE"/>
        </w:rPr>
        <w:t>Information and Communication Technologies (ICT) for case management and the electronic communication between courts and parties</w:t>
      </w:r>
      <w:r>
        <w:rPr>
          <w:rFonts w:eastAsia="Calibri" w:cs="Times New Roman"/>
          <w:noProof/>
          <w:szCs w:val="24"/>
          <w:lang w:val="en-IE"/>
        </w:rPr>
        <w:t xml:space="preserve"> remain among the least developed in the EU</w:t>
      </w:r>
      <w:r>
        <w:rPr>
          <w:rStyle w:val="FootnoteReference"/>
          <w:rFonts w:eastAsia="Calibri" w:cs="Times New Roman"/>
          <w:noProof/>
          <w:szCs w:val="24"/>
          <w:lang w:val="en-IE"/>
        </w:rPr>
        <w:footnoteReference w:id="39"/>
      </w:r>
      <w:r>
        <w:rPr>
          <w:rFonts w:eastAsia="Calibri" w:cs="Times New Roman"/>
          <w:noProof/>
          <w:szCs w:val="24"/>
          <w:lang w:val="en-IE"/>
        </w:rPr>
        <w:t>. As regards the use of ICT in case management, the introduction of the “e-File” system for the last remaining courts is underway, to be operational by the end of 2021</w:t>
      </w:r>
      <w:r>
        <w:rPr>
          <w:rStyle w:val="FootnoteReference"/>
          <w:rFonts w:eastAsia="Calibri" w:cs="Times New Roman"/>
          <w:noProof/>
          <w:szCs w:val="24"/>
          <w:lang w:val="en-IE"/>
        </w:rPr>
        <w:footnoteReference w:id="40"/>
      </w:r>
      <w:r>
        <w:rPr>
          <w:rFonts w:eastAsia="Calibri" w:cs="Times New Roman"/>
          <w:noProof/>
          <w:szCs w:val="24"/>
          <w:lang w:val="en-IE"/>
        </w:rPr>
        <w:t>. As regards the electronic communication to</w:t>
      </w:r>
      <w:r>
        <w:rPr>
          <w:rFonts w:eastAsia="Calibri" w:cs="Times New Roman"/>
          <w:noProof/>
          <w:szCs w:val="24"/>
          <w:lang w:val="en-IE"/>
        </w:rPr>
        <w:t xml:space="preserve">ols, </w:t>
      </w:r>
      <w:r>
        <w:rPr>
          <w:rFonts w:eastAsia="Calibri" w:cs="Times New Roman"/>
          <w:noProof/>
          <w:szCs w:val="24"/>
        </w:rPr>
        <w:t>the “e-Communication” system, which allows exchanging documents with court electronically, it has been introduced to Commercial, County and Municipal courts, the High Commercial Court and the Supreme Court (only for civil cases). Currently, the main u</w:t>
      </w:r>
      <w:r>
        <w:rPr>
          <w:rFonts w:eastAsia="Calibri" w:cs="Times New Roman"/>
          <w:noProof/>
          <w:szCs w:val="24"/>
        </w:rPr>
        <w:t>sers of this system are lawyers, public notaries, court experts, appraisers and interpreters, and insolvency practitioners</w:t>
      </w:r>
      <w:r>
        <w:rPr>
          <w:rStyle w:val="FootnoteReference"/>
          <w:rFonts w:eastAsia="Calibri" w:cs="Times New Roman"/>
          <w:noProof/>
          <w:szCs w:val="24"/>
          <w:lang w:val="en-IE"/>
        </w:rPr>
        <w:footnoteReference w:id="41"/>
      </w:r>
      <w:r>
        <w:rPr>
          <w:rFonts w:eastAsia="Calibri" w:cs="Times New Roman"/>
          <w:noProof/>
          <w:szCs w:val="24"/>
        </w:rPr>
        <w:t>. The use of the e-Communication system increased during 2020, after the law prescribed electronic communication as mandatory for leg</w:t>
      </w:r>
      <w:r>
        <w:rPr>
          <w:rFonts w:eastAsia="Calibri" w:cs="Times New Roman"/>
          <w:noProof/>
          <w:szCs w:val="24"/>
        </w:rPr>
        <w:t>al persons (citizens still have a choice to use paper)</w:t>
      </w:r>
      <w:r>
        <w:rPr>
          <w:rStyle w:val="FootnoteReference"/>
          <w:rFonts w:eastAsia="Calibri" w:cs="Times New Roman"/>
          <w:noProof/>
          <w:szCs w:val="24"/>
        </w:rPr>
        <w:footnoteReference w:id="42"/>
      </w:r>
      <w:r>
        <w:rPr>
          <w:rFonts w:eastAsia="Calibri" w:cs="Times New Roman"/>
          <w:noProof/>
          <w:szCs w:val="24"/>
        </w:rPr>
        <w:t>. However, room for improvement remains, particularly in criminal cases: while technical conditions for electronic communication between the state attorneys and courts exist, amendments to the Criminal</w:t>
      </w:r>
      <w:r>
        <w:rPr>
          <w:rFonts w:eastAsia="Calibri" w:cs="Times New Roman"/>
          <w:noProof/>
          <w:szCs w:val="24"/>
        </w:rPr>
        <w:t xml:space="preserve"> Procedure Code, envisaged for 2022, will be necessary</w:t>
      </w:r>
      <w:r>
        <w:rPr>
          <w:rStyle w:val="FootnoteReference"/>
          <w:rFonts w:eastAsia="Calibri" w:cs="Times New Roman"/>
          <w:noProof/>
          <w:szCs w:val="24"/>
        </w:rPr>
        <w:footnoteReference w:id="43"/>
      </w:r>
      <w:r>
        <w:rPr>
          <w:rFonts w:eastAsia="Calibri" w:cs="Times New Roman"/>
          <w:noProof/>
          <w:szCs w:val="24"/>
        </w:rPr>
        <w:t>. As regards the electronic communication between the state attorneys and the police, a test trial has been done. The police is sending indictments in misdemeanour cases to the courts, but for courts t</w:t>
      </w:r>
      <w:r>
        <w:rPr>
          <w:rFonts w:eastAsia="Calibri" w:cs="Times New Roman"/>
          <w:noProof/>
          <w:szCs w:val="24"/>
        </w:rPr>
        <w:t>o communicate electronically with the police, legislative amendments are needed. The publication of first and second instance court judgments remains very limited</w:t>
      </w:r>
      <w:r>
        <w:rPr>
          <w:rStyle w:val="FootnoteReference"/>
          <w:rFonts w:eastAsia="Calibri" w:cs="Times New Roman"/>
          <w:noProof/>
          <w:szCs w:val="24"/>
        </w:rPr>
        <w:footnoteReference w:id="44"/>
      </w:r>
      <w:r>
        <w:rPr>
          <w:rFonts w:eastAsia="Calibri" w:cs="Times New Roman"/>
          <w:noProof/>
          <w:szCs w:val="24"/>
        </w:rPr>
        <w:t>. The e-File system is envisaged to be upgraded by 2023</w:t>
      </w:r>
      <w:r>
        <w:rPr>
          <w:rStyle w:val="FootnoteReference"/>
          <w:rFonts w:eastAsia="Calibri" w:cs="Times New Roman"/>
          <w:noProof/>
          <w:szCs w:val="24"/>
        </w:rPr>
        <w:footnoteReference w:id="45"/>
      </w:r>
      <w:r>
        <w:rPr>
          <w:rFonts w:eastAsia="Calibri" w:cs="Times New Roman"/>
          <w:noProof/>
          <w:szCs w:val="24"/>
        </w:rPr>
        <w:t xml:space="preserve"> with a special anonymisation module,</w:t>
      </w:r>
      <w:r>
        <w:rPr>
          <w:rFonts w:eastAsia="Calibri" w:cs="Times New Roman"/>
          <w:noProof/>
          <w:szCs w:val="24"/>
        </w:rPr>
        <w:t xml:space="preserve"> allowing for the publication of judgments on a publicly accessible and searchable portal</w:t>
      </w:r>
      <w:r>
        <w:rPr>
          <w:rStyle w:val="FootnoteReference"/>
          <w:rFonts w:eastAsia="Calibri" w:cs="Times New Roman"/>
          <w:noProof/>
          <w:szCs w:val="24"/>
        </w:rPr>
        <w:footnoteReference w:id="46"/>
      </w:r>
      <w:r>
        <w:rPr>
          <w:rFonts w:eastAsia="Calibri" w:cs="Times New Roman"/>
          <w:noProof/>
          <w:szCs w:val="24"/>
        </w:rPr>
        <w:t>.</w:t>
      </w:r>
    </w:p>
    <w:p w:rsidR="008A17C5" w:rsidRDefault="00402083">
      <w:pPr>
        <w:rPr>
          <w:rFonts w:eastAsia="Times New Roman" w:cs="Times New Roman"/>
          <w:noProof/>
          <w:lang w:eastAsia="fr-FR"/>
        </w:rPr>
      </w:pPr>
      <w:r>
        <w:rPr>
          <w:rFonts w:eastAsia="Calibri" w:cs="Times New Roman"/>
          <w:b/>
          <w:noProof/>
        </w:rPr>
        <w:t xml:space="preserve">The State Judicial Council and the State Attorney’s Councils have received some temporary reinforcements, but a shortage in human resources remains. </w:t>
      </w:r>
      <w:r>
        <w:rPr>
          <w:rFonts w:eastAsia="Calibri" w:cs="Times New Roman"/>
          <w:noProof/>
        </w:rPr>
        <w:t>As stated in th</w:t>
      </w:r>
      <w:r>
        <w:rPr>
          <w:rFonts w:eastAsia="Calibri" w:cs="Times New Roman"/>
          <w:noProof/>
        </w:rPr>
        <w:t xml:space="preserve">e 2020 Rule of Law Report, the </w:t>
      </w:r>
      <w:r>
        <w:rPr>
          <w:rFonts w:eastAsia="Calibri" w:cs="Times New Roman"/>
          <w:noProof/>
          <w:lang w:val="en-IE"/>
        </w:rPr>
        <w:t>State Judicial Council and the State Attorney’s Council have considerable powers</w:t>
      </w:r>
      <w:r>
        <w:rPr>
          <w:rFonts w:eastAsia="Calibri" w:cs="Times New Roman"/>
          <w:noProof/>
          <w:vertAlign w:val="superscript"/>
          <w:lang w:val="en-IE"/>
        </w:rPr>
        <w:footnoteReference w:id="47"/>
      </w:r>
      <w:r>
        <w:rPr>
          <w:rFonts w:eastAsia="Calibri" w:cs="Times New Roman"/>
          <w:noProof/>
          <w:lang w:val="en-IE"/>
        </w:rPr>
        <w:t>, but their administrative capacity remains very limited</w:t>
      </w:r>
      <w:r>
        <w:rPr>
          <w:rStyle w:val="FootnoteReference"/>
          <w:rFonts w:eastAsia="Calibri" w:cs="Times New Roman"/>
          <w:noProof/>
          <w:lang w:val="en-IE"/>
        </w:rPr>
        <w:footnoteReference w:id="48"/>
      </w:r>
      <w:r>
        <w:rPr>
          <w:rFonts w:eastAsia="Calibri" w:cs="Times New Roman"/>
          <w:noProof/>
          <w:lang w:val="en-IE"/>
        </w:rPr>
        <w:t xml:space="preserve"> and the situation has not significantly improved. While in 2020 both Councils have for</w:t>
      </w:r>
      <w:r>
        <w:rPr>
          <w:rFonts w:eastAsia="Calibri" w:cs="Times New Roman"/>
          <w:noProof/>
          <w:lang w:val="en-IE"/>
        </w:rPr>
        <w:t>mally received more financial resources (25% more for the State Judicial Council and 40% more for the State Attorney’s Council, compared to 2019), the COVID-19 pandemic related restrictions postponed using these resources for hiring of new staff. So far, t</w:t>
      </w:r>
      <w:r>
        <w:rPr>
          <w:rFonts w:eastAsia="Calibri" w:cs="Times New Roman"/>
          <w:noProof/>
          <w:lang w:val="en-IE"/>
        </w:rPr>
        <w:t>he Councils only received some temporary reinforcements for dealing with verification of asset declarations of judges and state attorneys</w:t>
      </w:r>
      <w:r>
        <w:rPr>
          <w:rStyle w:val="FootnoteReference"/>
          <w:rFonts w:eastAsia="Calibri" w:cs="Times New Roman"/>
          <w:noProof/>
          <w:lang w:val="en-IE"/>
        </w:rPr>
        <w:footnoteReference w:id="49"/>
      </w:r>
      <w:r>
        <w:rPr>
          <w:rFonts w:eastAsia="Calibri" w:cs="Times New Roman"/>
          <w:noProof/>
          <w:lang w:val="en-IE"/>
        </w:rPr>
        <w:t>.</w:t>
      </w:r>
    </w:p>
    <w:p w:rsidR="008A17C5" w:rsidRDefault="00402083">
      <w:pPr>
        <w:spacing w:after="100" w:afterAutospacing="1"/>
        <w:rPr>
          <w:rFonts w:eastAsia="Times New Roman" w:cs="Times New Roman"/>
          <w:noProof/>
          <w:lang w:val="en-IE" w:eastAsia="fr-FR"/>
        </w:rPr>
      </w:pPr>
      <w:r>
        <w:rPr>
          <w:rFonts w:eastAsia="Times New Roman" w:cs="Times New Roman"/>
          <w:b/>
          <w:noProof/>
          <w:lang w:val="en-IE" w:eastAsia="fr-FR"/>
        </w:rPr>
        <w:t xml:space="preserve">A new High Criminal Court began its work as a specialised appeal court in criminal cases. </w:t>
      </w:r>
      <w:r>
        <w:rPr>
          <w:rFonts w:eastAsia="Times New Roman" w:cs="Times New Roman"/>
          <w:noProof/>
          <w:lang w:val="en-IE" w:eastAsia="fr-FR"/>
        </w:rPr>
        <w:t xml:space="preserve">In January 2021, the High </w:t>
      </w:r>
      <w:r>
        <w:rPr>
          <w:rFonts w:eastAsia="Times New Roman" w:cs="Times New Roman"/>
          <w:noProof/>
          <w:lang w:val="en-IE" w:eastAsia="fr-FR"/>
        </w:rPr>
        <w:t>Criminal Court began its work as a specialised court with jurisdiction to decide on appeals against decisions made by County Courts (either acting as first instance or second instance criminal courts)</w:t>
      </w:r>
      <w:r>
        <w:rPr>
          <w:rFonts w:eastAsia="Times New Roman" w:cs="Times New Roman"/>
          <w:noProof/>
          <w:vertAlign w:val="superscript"/>
          <w:lang w:val="en-IE" w:eastAsia="fr-FR"/>
        </w:rPr>
        <w:footnoteReference w:id="50"/>
      </w:r>
      <w:r>
        <w:rPr>
          <w:rFonts w:eastAsia="Times New Roman" w:cs="Times New Roman"/>
          <w:noProof/>
          <w:lang w:val="en-IE" w:eastAsia="fr-FR"/>
        </w:rPr>
        <w:t xml:space="preserve">. The court started its work following the </w:t>
      </w:r>
      <w:r>
        <w:rPr>
          <w:rFonts w:eastAsia="Times New Roman" w:cs="Times New Roman"/>
          <w:noProof/>
          <w:lang w:val="en-IE" w:eastAsia="fr-FR"/>
        </w:rPr>
        <w:t>Constitutional Court judgment which held that the High Criminal Court does not put under question the constitutional position of the Supreme Court</w:t>
      </w:r>
      <w:r>
        <w:rPr>
          <w:rStyle w:val="FootnoteReference"/>
          <w:rFonts w:eastAsia="Times New Roman" w:cs="Times New Roman"/>
          <w:noProof/>
          <w:lang w:val="en-IE" w:eastAsia="fr-FR"/>
        </w:rPr>
        <w:footnoteReference w:id="51"/>
      </w:r>
      <w:r>
        <w:rPr>
          <w:rFonts w:eastAsia="Times New Roman" w:cs="Times New Roman"/>
          <w:noProof/>
          <w:lang w:val="en-IE" w:eastAsia="fr-FR"/>
        </w:rPr>
        <w:t>. The necessary professional and administrative staff and properly equipped court space has been provided. Th</w:t>
      </w:r>
      <w:r>
        <w:rPr>
          <w:rFonts w:eastAsia="Times New Roman" w:cs="Times New Roman"/>
          <w:noProof/>
          <w:lang w:val="en-IE" w:eastAsia="fr-FR"/>
        </w:rPr>
        <w:t>e State Judicial Council appointed 11 out of the total of 15 judges, as determined by the decision of the Minister of Justice and Public Administration for this court, as well as the new President of the court</w:t>
      </w:r>
      <w:r>
        <w:rPr>
          <w:rStyle w:val="FootnoteReference"/>
          <w:rFonts w:eastAsia="Times New Roman" w:cs="Times New Roman"/>
          <w:noProof/>
          <w:lang w:val="en-IE" w:eastAsia="fr-FR"/>
        </w:rPr>
        <w:footnoteReference w:id="52"/>
      </w:r>
      <w:r>
        <w:rPr>
          <w:rFonts w:eastAsia="Times New Roman" w:cs="Times New Roman"/>
          <w:noProof/>
          <w:lang w:val="en-IE" w:eastAsia="fr-FR"/>
        </w:rPr>
        <w:t>. The new court, as envisaged, should alleviat</w:t>
      </w:r>
      <w:r>
        <w:rPr>
          <w:rFonts w:eastAsia="Times New Roman" w:cs="Times New Roman"/>
          <w:noProof/>
          <w:lang w:val="en-IE" w:eastAsia="fr-FR"/>
        </w:rPr>
        <w:t xml:space="preserve">e the work of the Supreme Court as a second instance court. The Supreme Court would be able to focus on the legal issues in criminal cases, acting as a third instance court. </w:t>
      </w:r>
    </w:p>
    <w:p w:rsidR="008A17C5" w:rsidRDefault="00402083">
      <w:pPr>
        <w:pStyle w:val="Heading2"/>
        <w:rPr>
          <w:noProof/>
          <w:lang w:val="en-IE"/>
        </w:rPr>
      </w:pPr>
      <w:r>
        <w:rPr>
          <w:noProof/>
          <w:lang w:val="en-IE"/>
        </w:rPr>
        <w:t>Efficiency</w:t>
      </w:r>
    </w:p>
    <w:p w:rsidR="008A17C5" w:rsidRDefault="00402083">
      <w:pPr>
        <w:rPr>
          <w:rFonts w:eastAsia="Calibri" w:cs="Times New Roman"/>
          <w:noProof/>
          <w:szCs w:val="24"/>
        </w:rPr>
      </w:pPr>
      <w:r>
        <w:rPr>
          <w:rFonts w:eastAsia="Calibri" w:cs="Times New Roman"/>
          <w:b/>
          <w:noProof/>
          <w:szCs w:val="24"/>
          <w:lang w:val="en-IE"/>
        </w:rPr>
        <w:t>The backlogs and length of proceedings decreased at second instance co</w:t>
      </w:r>
      <w:r>
        <w:rPr>
          <w:rFonts w:eastAsia="Calibri" w:cs="Times New Roman"/>
          <w:b/>
          <w:noProof/>
          <w:szCs w:val="24"/>
          <w:lang w:val="en-IE"/>
        </w:rPr>
        <w:t>urts and mostly increased at first instance courts, and remain among the most considerable in the EU</w:t>
      </w:r>
      <w:r>
        <w:rPr>
          <w:rFonts w:eastAsia="Calibri" w:cs="Times New Roman"/>
          <w:noProof/>
          <w:color w:val="000000"/>
          <w:szCs w:val="24"/>
          <w:vertAlign w:val="superscript"/>
          <w:lang w:val="en-IE"/>
        </w:rPr>
        <w:footnoteReference w:id="53"/>
      </w:r>
      <w:r>
        <w:rPr>
          <w:rFonts w:eastAsia="Calibri" w:cs="Times New Roman"/>
          <w:noProof/>
          <w:szCs w:val="24"/>
          <w:lang w:val="en-IE"/>
        </w:rPr>
        <w:t>. The COVID-19 pandemic</w:t>
      </w:r>
      <w:r>
        <w:rPr>
          <w:noProof/>
        </w:rPr>
        <w:t xml:space="preserve"> </w:t>
      </w:r>
      <w:r>
        <w:rPr>
          <w:rFonts w:eastAsia="Calibri" w:cs="Times New Roman"/>
          <w:noProof/>
          <w:szCs w:val="24"/>
          <w:lang w:val="en-IE"/>
        </w:rPr>
        <w:t>as well as the massive earthquakes in Zagreb and Petrinja adversely impacted on the efficiency of first instance courts in particul</w:t>
      </w:r>
      <w:r>
        <w:rPr>
          <w:rFonts w:eastAsia="Calibri" w:cs="Times New Roman"/>
          <w:noProof/>
          <w:szCs w:val="24"/>
          <w:lang w:val="en-IE"/>
        </w:rPr>
        <w:t>ar, mostly due to delayed hearings, while the second instance and Supreme Court, which mostly operate on the basis of written court files, continued working with improved efficiency</w:t>
      </w:r>
      <w:r>
        <w:rPr>
          <w:rStyle w:val="FootnoteReference"/>
          <w:rFonts w:eastAsia="Calibri" w:cs="Times New Roman"/>
          <w:noProof/>
          <w:szCs w:val="24"/>
          <w:lang w:val="en-IE"/>
        </w:rPr>
        <w:footnoteReference w:id="54"/>
      </w:r>
      <w:r>
        <w:rPr>
          <w:rFonts w:eastAsia="Calibri" w:cs="Times New Roman"/>
          <w:noProof/>
          <w:szCs w:val="24"/>
          <w:lang w:val="en-IE"/>
        </w:rPr>
        <w:t xml:space="preserve">. In 2020, the average length of proceedings in the first instance courts </w:t>
      </w:r>
      <w:r>
        <w:rPr>
          <w:rFonts w:eastAsia="Calibri" w:cs="Times New Roman"/>
          <w:noProof/>
          <w:szCs w:val="24"/>
          <w:lang w:val="en-IE"/>
        </w:rPr>
        <w:t>remained among the longest in the EU and mostly increased, with 1000 days in litigious commercial cases (735 in 2019), and 705 days in criminal cases at Municipal courts (691 in 2019), while decreasing in litigious civil cases to 826 days (854 in 2019)</w:t>
      </w:r>
      <w:r>
        <w:rPr>
          <w:rFonts w:eastAsia="Calibri" w:cs="Times New Roman"/>
          <w:noProof/>
          <w:szCs w:val="24"/>
          <w:vertAlign w:val="superscript"/>
          <w:lang w:val="en-IE"/>
        </w:rPr>
        <w:footnoteReference w:id="55"/>
      </w:r>
      <w:r>
        <w:rPr>
          <w:rFonts w:eastAsia="Calibri" w:cs="Times New Roman"/>
          <w:noProof/>
          <w:szCs w:val="24"/>
          <w:lang w:val="en-IE"/>
        </w:rPr>
        <w:t xml:space="preserve">. </w:t>
      </w:r>
      <w:r>
        <w:rPr>
          <w:rFonts w:eastAsia="Calibri"/>
          <w:noProof/>
          <w:szCs w:val="24"/>
          <w:lang w:val="en-IE"/>
        </w:rPr>
        <w:t>T</w:t>
      </w:r>
      <w:r>
        <w:rPr>
          <w:rFonts w:eastAsia="Calibri"/>
          <w:noProof/>
          <w:szCs w:val="24"/>
          <w:lang w:val="en-IE"/>
        </w:rPr>
        <w:t>he average length of proceedings mostly decreased before the County courts, where litigious civil cases at second instance took only 233 days (258 in 2019), and criminal cases took 804 days (</w:t>
      </w:r>
      <w:r>
        <w:rPr>
          <w:rFonts w:eastAsia="Calibri" w:cs="Times New Roman"/>
          <w:noProof/>
          <w:szCs w:val="24"/>
        </w:rPr>
        <w:t>930 in 2019). At first instance courts, backlogs decreased by 13%</w:t>
      </w:r>
      <w:r>
        <w:rPr>
          <w:rFonts w:eastAsia="Calibri" w:cs="Times New Roman"/>
          <w:noProof/>
          <w:szCs w:val="24"/>
        </w:rPr>
        <w:t xml:space="preserve"> in commercial cases (compared to 2019), but increased by 15% in 2020 in litigious civil cases, 12% in administrative and by 9% in criminal cases. Before second instance County courts, backlogs decreased in litigious civil cases by 22%, and by 9% in crimin</w:t>
      </w:r>
      <w:r>
        <w:rPr>
          <w:rFonts w:eastAsia="Calibri" w:cs="Times New Roman"/>
          <w:noProof/>
          <w:szCs w:val="24"/>
        </w:rPr>
        <w:t>al cases. Both High Commercial Court and Supreme Court further decreased the length of proceedings and backlogs in commercial and civil cases, respectively. In early 2021, the Ministry of Justice and Public Administration began drafting action plans to imp</w:t>
      </w:r>
      <w:r>
        <w:rPr>
          <w:rFonts w:eastAsia="Calibri" w:cs="Times New Roman"/>
          <w:noProof/>
          <w:szCs w:val="24"/>
        </w:rPr>
        <w:t>rove the efficiency of the work of courts, envisaging that for each judicial area and specialised courts a tailored plan would be developed</w:t>
      </w:r>
      <w:r>
        <w:rPr>
          <w:rStyle w:val="FootnoteReference"/>
          <w:rFonts w:eastAsia="Calibri" w:cs="Times New Roman"/>
          <w:noProof/>
          <w:szCs w:val="24"/>
        </w:rPr>
        <w:footnoteReference w:id="56"/>
      </w:r>
      <w:r>
        <w:rPr>
          <w:rFonts w:eastAsia="Calibri" w:cs="Times New Roman"/>
          <w:noProof/>
          <w:szCs w:val="24"/>
        </w:rPr>
        <w:t xml:space="preserve">. </w:t>
      </w:r>
    </w:p>
    <w:p w:rsidR="008A17C5" w:rsidRDefault="00402083">
      <w:pPr>
        <w:pStyle w:val="Heading1"/>
        <w:rPr>
          <w:noProof/>
          <w:lang w:val="en-IE"/>
        </w:rPr>
      </w:pPr>
      <w:r>
        <w:rPr>
          <w:noProof/>
          <w:lang w:val="en-IE"/>
        </w:rPr>
        <w:t xml:space="preserve">Anti-Corruption Framework </w:t>
      </w:r>
    </w:p>
    <w:p w:rsidR="008A17C5" w:rsidRDefault="00402083">
      <w:pPr>
        <w:rPr>
          <w:rFonts w:cs="Times New Roman"/>
          <w:noProof/>
        </w:rPr>
      </w:pPr>
      <w:r>
        <w:rPr>
          <w:rFonts w:cs="Times New Roman"/>
          <w:noProof/>
        </w:rPr>
        <w:t>The Ministry of Justice and Public Administration is the central corruption prevention</w:t>
      </w:r>
      <w:r>
        <w:rPr>
          <w:rFonts w:cs="Times New Roman"/>
          <w:noProof/>
        </w:rPr>
        <w:t xml:space="preserve"> body, with a dedicated unit for coordinating the implementation of anti-corruption strategies and related action plans. It also acts as a central body for exchanging data on the suppression of corruption. The Council for the Prevention of Corruption (a go</w:t>
      </w:r>
      <w:r>
        <w:rPr>
          <w:rFonts w:cs="Times New Roman"/>
          <w:noProof/>
        </w:rPr>
        <w:t>vernment advisory body composed of representatives of public institutions and non-governmental organisations) and the National Council for Monitoring the Implementation of the Strategy for Combating Corruption, report to the Parliament twice a year. The Of</w:t>
      </w:r>
      <w:r>
        <w:rPr>
          <w:rFonts w:cs="Times New Roman"/>
          <w:noProof/>
        </w:rPr>
        <w:t>fice for the Suppression of Corruption and Organised Crime (USKOK) is the specialized prosecutor’s office in charge of corruption offences, and the National Police Office for the Suppression of Corruption and Organised Crime (PNUSKOK) is the specialised po</w:t>
      </w:r>
      <w:r>
        <w:rPr>
          <w:rFonts w:cs="Times New Roman"/>
          <w:noProof/>
        </w:rPr>
        <w:t>lice department in charge of preventing, detecting, and investigating complex corruption-related crimes. The new High Criminal Court began its operation in 2021 as a second instance court in corruption cases prosecuted by the USKOK</w:t>
      </w:r>
      <w:r>
        <w:rPr>
          <w:rStyle w:val="FootnoteReference"/>
          <w:rFonts w:cs="Times New Roman"/>
          <w:noProof/>
          <w:szCs w:val="24"/>
        </w:rPr>
        <w:footnoteReference w:id="57"/>
      </w:r>
      <w:r>
        <w:rPr>
          <w:rFonts w:cs="Times New Roman"/>
          <w:noProof/>
        </w:rPr>
        <w:t xml:space="preserve">. The Ombudsperson’s </w:t>
      </w:r>
      <w:r>
        <w:rPr>
          <w:rFonts w:cs="Times New Roman"/>
          <w:noProof/>
        </w:rPr>
        <w:t>office is developing its new task on the management of reports made by whistleblowers.</w:t>
      </w:r>
    </w:p>
    <w:p w:rsidR="008A17C5" w:rsidRDefault="00402083">
      <w:pPr>
        <w:rPr>
          <w:rFonts w:cstheme="minorHAnsi"/>
          <w:noProof/>
        </w:rPr>
      </w:pPr>
      <w:r>
        <w:rPr>
          <w:b/>
          <w:noProof/>
        </w:rPr>
        <w:t xml:space="preserve">The perception among experts and business executives is that the level of corruption in the public sector remains high. </w:t>
      </w:r>
      <w:r>
        <w:rPr>
          <w:bCs/>
          <w:noProof/>
        </w:rPr>
        <w:t>In the 2020 Corruption Perceptions Index by Trans</w:t>
      </w:r>
      <w:r>
        <w:rPr>
          <w:bCs/>
          <w:noProof/>
        </w:rPr>
        <w:t>parency International, Croatia scores 47/100 and ranks 18</w:t>
      </w:r>
      <w:r>
        <w:rPr>
          <w:bCs/>
          <w:noProof/>
          <w:vertAlign w:val="superscript"/>
        </w:rPr>
        <w:t>th</w:t>
      </w:r>
      <w:r>
        <w:rPr>
          <w:bCs/>
          <w:noProof/>
        </w:rPr>
        <w:t xml:space="preserve"> in the European Union and 63</w:t>
      </w:r>
      <w:r>
        <w:rPr>
          <w:bCs/>
          <w:noProof/>
          <w:vertAlign w:val="superscript"/>
        </w:rPr>
        <w:t>th</w:t>
      </w:r>
      <w:r>
        <w:rPr>
          <w:bCs/>
          <w:noProof/>
        </w:rPr>
        <w:t xml:space="preserve"> globally</w:t>
      </w:r>
      <w:r>
        <w:rPr>
          <w:rStyle w:val="FootnoteReference"/>
          <w:bCs/>
          <w:noProof/>
        </w:rPr>
        <w:footnoteReference w:id="58"/>
      </w:r>
      <w:r>
        <w:rPr>
          <w:noProof/>
        </w:rPr>
        <w:t>. This perception has deteriorated</w:t>
      </w:r>
      <w:r>
        <w:rPr>
          <w:noProof/>
          <w:vertAlign w:val="superscript"/>
        </w:rPr>
        <w:footnoteReference w:id="59"/>
      </w:r>
      <w:r>
        <w:rPr>
          <w:noProof/>
        </w:rPr>
        <w:t xml:space="preserve"> over the past five years</w:t>
      </w:r>
      <w:r>
        <w:rPr>
          <w:rStyle w:val="FootnoteReference"/>
          <w:noProof/>
        </w:rPr>
        <w:footnoteReference w:id="60"/>
      </w:r>
      <w:r>
        <w:rPr>
          <w:noProof/>
        </w:rPr>
        <w:t xml:space="preserve">.  </w:t>
      </w:r>
    </w:p>
    <w:p w:rsidR="008A17C5" w:rsidRDefault="00402083">
      <w:pPr>
        <w:rPr>
          <w:rFonts w:cs="Times New Roman"/>
          <w:b/>
          <w:noProof/>
          <w:szCs w:val="24"/>
        </w:rPr>
      </w:pPr>
      <w:r>
        <w:rPr>
          <w:rFonts w:cs="Times New Roman"/>
          <w:b/>
          <w:noProof/>
          <w:szCs w:val="24"/>
        </w:rPr>
        <w:t>A new Anti-Corruption Strategy 2021-2030 is in public consultation, while the previous Stra</w:t>
      </w:r>
      <w:r>
        <w:rPr>
          <w:rFonts w:cs="Times New Roman"/>
          <w:b/>
          <w:noProof/>
          <w:szCs w:val="24"/>
        </w:rPr>
        <w:t>tegy has expired.</w:t>
      </w:r>
      <w:r>
        <w:rPr>
          <w:rFonts w:cs="Times New Roman"/>
          <w:noProof/>
          <w:szCs w:val="24"/>
        </w:rPr>
        <w:t xml:space="preserve"> The decision to initiate the process of drafting the new strategy was adopted on 19 November 2020</w:t>
      </w:r>
      <w:r>
        <w:rPr>
          <w:rStyle w:val="FootnoteReference"/>
          <w:rFonts w:cs="Times New Roman"/>
          <w:noProof/>
          <w:szCs w:val="24"/>
        </w:rPr>
        <w:footnoteReference w:id="61"/>
      </w:r>
      <w:r>
        <w:rPr>
          <w:rFonts w:cs="Times New Roman"/>
          <w:noProof/>
          <w:szCs w:val="24"/>
        </w:rPr>
        <w:t>. After internal consultation, the draft proposal of the strategy is now published for public consultation</w:t>
      </w:r>
      <w:r>
        <w:rPr>
          <w:rStyle w:val="FootnoteReference"/>
          <w:rFonts w:cs="Times New Roman"/>
          <w:noProof/>
          <w:szCs w:val="24"/>
        </w:rPr>
        <w:footnoteReference w:id="62"/>
      </w:r>
      <w:r>
        <w:rPr>
          <w:rFonts w:cs="Times New Roman"/>
          <w:noProof/>
          <w:szCs w:val="24"/>
        </w:rPr>
        <w:t>. The new strategy will be comple</w:t>
      </w:r>
      <w:r>
        <w:rPr>
          <w:rFonts w:cs="Times New Roman"/>
          <w:noProof/>
          <w:szCs w:val="24"/>
        </w:rPr>
        <w:t>mented by three-year implementation plans. The first implementation plan is foreseen to cover 2022-2024 and the drafting will only start after the adoption of the strategy</w:t>
      </w:r>
      <w:r>
        <w:rPr>
          <w:rStyle w:val="FootnoteReference"/>
          <w:rFonts w:cs="Times New Roman"/>
          <w:noProof/>
          <w:szCs w:val="24"/>
        </w:rPr>
        <w:footnoteReference w:id="63"/>
      </w:r>
      <w:r>
        <w:rPr>
          <w:rFonts w:cs="Times New Roman"/>
          <w:noProof/>
          <w:szCs w:val="24"/>
        </w:rPr>
        <w:t>. According to the authorities, the comprehensive Anti-Corruption Strategy 2021-2030</w:t>
      </w:r>
      <w:r>
        <w:rPr>
          <w:rFonts w:cs="Times New Roman"/>
          <w:noProof/>
          <w:szCs w:val="24"/>
        </w:rPr>
        <w:t xml:space="preserve"> will aim at addressing a wide range of open issues by identifying the specific corruption areas that need to be strengthen as also underlined by international recommendations</w:t>
      </w:r>
      <w:r>
        <w:rPr>
          <w:rStyle w:val="FootnoteReference"/>
          <w:rFonts w:cs="Times New Roman"/>
          <w:noProof/>
          <w:szCs w:val="24"/>
        </w:rPr>
        <w:footnoteReference w:id="64"/>
      </w:r>
      <w:r>
        <w:rPr>
          <w:rFonts w:cs="Times New Roman"/>
          <w:noProof/>
          <w:szCs w:val="24"/>
        </w:rPr>
        <w:t>. The main focus areas of the strategy will be on prevention</w:t>
      </w:r>
      <w:r>
        <w:rPr>
          <w:rStyle w:val="FootnoteReference"/>
          <w:rFonts w:cs="Times New Roman"/>
          <w:noProof/>
          <w:szCs w:val="24"/>
        </w:rPr>
        <w:footnoteReference w:id="65"/>
      </w:r>
      <w:r>
        <w:rPr>
          <w:rFonts w:cs="Times New Roman"/>
          <w:noProof/>
          <w:szCs w:val="24"/>
        </w:rPr>
        <w:t>, strengthening the</w:t>
      </w:r>
      <w:r>
        <w:rPr>
          <w:rFonts w:cs="Times New Roman"/>
          <w:noProof/>
          <w:szCs w:val="24"/>
        </w:rPr>
        <w:t xml:space="preserve"> institutional and legal framework for fighting corruption, raising awareness on the harmfulness of corruption in the general public, increasing transparency of the work of public bodies and improving integrity systems in numerous priority areas</w:t>
      </w:r>
      <w:r>
        <w:rPr>
          <w:rStyle w:val="FootnoteReference"/>
          <w:rFonts w:cs="Times New Roman"/>
          <w:noProof/>
          <w:szCs w:val="24"/>
        </w:rPr>
        <w:footnoteReference w:id="66"/>
      </w:r>
      <w:r>
        <w:rPr>
          <w:rFonts w:cs="Times New Roman"/>
          <w:noProof/>
          <w:szCs w:val="24"/>
        </w:rPr>
        <w:t xml:space="preserve">. </w:t>
      </w:r>
    </w:p>
    <w:p w:rsidR="008A17C5" w:rsidRDefault="00402083">
      <w:pPr>
        <w:rPr>
          <w:rFonts w:cs="Times New Roman"/>
          <w:noProof/>
          <w:szCs w:val="24"/>
        </w:rPr>
      </w:pPr>
      <w:r>
        <w:rPr>
          <w:rFonts w:cs="Times New Roman"/>
          <w:b/>
          <w:noProof/>
          <w:szCs w:val="24"/>
        </w:rPr>
        <w:t>The ins</w:t>
      </w:r>
      <w:r>
        <w:rPr>
          <w:rFonts w:cs="Times New Roman"/>
          <w:b/>
          <w:noProof/>
          <w:szCs w:val="24"/>
        </w:rPr>
        <w:t xml:space="preserve">titutional framework to fight corruption has undergone some institutional reorganization to increase efficiency. </w:t>
      </w:r>
      <w:r>
        <w:rPr>
          <w:rFonts w:cs="Times New Roman"/>
          <w:noProof/>
          <w:szCs w:val="24"/>
        </w:rPr>
        <w:t>On 22 July 2020, the Ministry of Justice and the Ministry of Public Administration were merged into the Ministry of Justice and Public Administ</w:t>
      </w:r>
      <w:r>
        <w:rPr>
          <w:rFonts w:cs="Times New Roman"/>
          <w:noProof/>
          <w:szCs w:val="24"/>
        </w:rPr>
        <w:t>ration</w:t>
      </w:r>
      <w:r>
        <w:rPr>
          <w:rStyle w:val="FootnoteReference"/>
          <w:rFonts w:cs="Times New Roman"/>
          <w:noProof/>
          <w:szCs w:val="24"/>
        </w:rPr>
        <w:footnoteReference w:id="67"/>
      </w:r>
      <w:r>
        <w:rPr>
          <w:rFonts w:cs="Times New Roman"/>
          <w:noProof/>
          <w:szCs w:val="24"/>
        </w:rPr>
        <w:t>. This new structure aims to improve the work of the Sector for the Prevention of Corruption, which now includes two new organizational units</w:t>
      </w:r>
      <w:r>
        <w:rPr>
          <w:rStyle w:val="FootnoteReference"/>
          <w:rFonts w:cs="Times New Roman"/>
          <w:noProof/>
          <w:szCs w:val="24"/>
        </w:rPr>
        <w:footnoteReference w:id="68"/>
      </w:r>
      <w:r>
        <w:rPr>
          <w:rFonts w:cs="Times New Roman"/>
          <w:noProof/>
          <w:szCs w:val="24"/>
        </w:rPr>
        <w:t>. Furthermore, the Council for the Prevention of Corruption now includes representatives from the State Ele</w:t>
      </w:r>
      <w:r>
        <w:rPr>
          <w:rFonts w:cs="Times New Roman"/>
          <w:noProof/>
          <w:szCs w:val="24"/>
        </w:rPr>
        <w:t>ction Commission, the Ombudsperson and the Central State Office for the Development of the Digital Society. Human and financial resources have recently slightly increased</w:t>
      </w:r>
      <w:r>
        <w:rPr>
          <w:rStyle w:val="FootnoteReference"/>
          <w:rFonts w:cs="Times New Roman"/>
          <w:noProof/>
          <w:szCs w:val="24"/>
        </w:rPr>
        <w:footnoteReference w:id="69"/>
      </w:r>
      <w:r>
        <w:rPr>
          <w:rFonts w:cs="Times New Roman"/>
          <w:noProof/>
          <w:szCs w:val="24"/>
        </w:rPr>
        <w:t>. However, the Commission for the Resolution of Conflict of Interest has a limited nu</w:t>
      </w:r>
      <w:r>
        <w:rPr>
          <w:rFonts w:cs="Times New Roman"/>
          <w:noProof/>
          <w:szCs w:val="24"/>
        </w:rPr>
        <w:t>mber of staff</w:t>
      </w:r>
      <w:r>
        <w:rPr>
          <w:rStyle w:val="FootnoteReference"/>
          <w:rFonts w:cs="Times New Roman"/>
          <w:noProof/>
          <w:szCs w:val="24"/>
        </w:rPr>
        <w:footnoteReference w:id="70"/>
      </w:r>
      <w:r>
        <w:rPr>
          <w:rFonts w:cs="Times New Roman"/>
          <w:noProof/>
          <w:szCs w:val="24"/>
        </w:rPr>
        <w:t>.</w:t>
      </w:r>
    </w:p>
    <w:p w:rsidR="008A17C5" w:rsidRDefault="00402083">
      <w:pPr>
        <w:rPr>
          <w:rFonts w:cs="Times New Roman"/>
          <w:noProof/>
          <w:szCs w:val="24"/>
        </w:rPr>
      </w:pPr>
      <w:r>
        <w:rPr>
          <w:rFonts w:cs="Times New Roman"/>
          <w:b/>
          <w:noProof/>
          <w:szCs w:val="24"/>
        </w:rPr>
        <w:t>The legislative framework to fight corruption remains to be reformed.</w:t>
      </w:r>
      <w:r>
        <w:rPr>
          <w:rFonts w:cs="Times New Roman"/>
          <w:noProof/>
          <w:szCs w:val="24"/>
        </w:rPr>
        <w:t xml:space="preserve"> The abolishment of political immunities of Government members was announced in the Government’s Program 2020-2024</w:t>
      </w:r>
      <w:r>
        <w:rPr>
          <w:rStyle w:val="FootnoteReference"/>
          <w:rFonts w:cs="Times New Roman"/>
          <w:noProof/>
          <w:szCs w:val="24"/>
        </w:rPr>
        <w:footnoteReference w:id="71"/>
      </w:r>
      <w:r>
        <w:rPr>
          <w:rFonts w:cs="Times New Roman"/>
          <w:noProof/>
          <w:szCs w:val="24"/>
        </w:rPr>
        <w:t xml:space="preserve"> but so far the rules remain as indicated in Art. 34 of </w:t>
      </w:r>
      <w:r>
        <w:rPr>
          <w:rFonts w:cs="Times New Roman"/>
          <w:noProof/>
          <w:szCs w:val="24"/>
        </w:rPr>
        <w:t>the Law on the Government, which foresees the immunity for all crimes punishable with up to five year imprisonment. Bribery is sanctioned in the criminal code with penalties up to ten years imprisonment and the same provisions are also applicable to foreig</w:t>
      </w:r>
      <w:r>
        <w:rPr>
          <w:rFonts w:cs="Times New Roman"/>
          <w:noProof/>
          <w:szCs w:val="24"/>
        </w:rPr>
        <w:t>n officials</w:t>
      </w:r>
      <w:r>
        <w:rPr>
          <w:rStyle w:val="FootnoteReference"/>
          <w:rFonts w:cs="Times New Roman"/>
          <w:noProof/>
          <w:szCs w:val="24"/>
        </w:rPr>
        <w:footnoteReference w:id="72"/>
      </w:r>
      <w:r>
        <w:rPr>
          <w:rFonts w:cs="Times New Roman"/>
          <w:noProof/>
          <w:szCs w:val="24"/>
        </w:rPr>
        <w:t>. The current draft proposal of the Anti-Corruption Strategy 2021-2030, which is in public consultation, foresees a specific milestone to improve the framework for fighting bribery in international business transactions</w:t>
      </w:r>
      <w:r>
        <w:rPr>
          <w:rStyle w:val="FootnoteReference"/>
          <w:rFonts w:cs="Times New Roman"/>
          <w:noProof/>
          <w:szCs w:val="24"/>
        </w:rPr>
        <w:footnoteReference w:id="73"/>
      </w:r>
      <w:r>
        <w:rPr>
          <w:rFonts w:cs="Times New Roman"/>
          <w:noProof/>
          <w:szCs w:val="24"/>
        </w:rPr>
        <w:t>. In this context, the d</w:t>
      </w:r>
      <w:r>
        <w:rPr>
          <w:rFonts w:cs="Times New Roman"/>
          <w:noProof/>
          <w:szCs w:val="24"/>
        </w:rPr>
        <w:t>raft strategy proposes that the legislative framework on immunity for members of the Government is to be strengthened by excluding immunity for corruption offences, as also recommended by GRECO</w:t>
      </w:r>
      <w:r>
        <w:rPr>
          <w:rStyle w:val="FootnoteReference"/>
          <w:rFonts w:cs="Times New Roman"/>
          <w:noProof/>
          <w:szCs w:val="24"/>
        </w:rPr>
        <w:footnoteReference w:id="74"/>
      </w:r>
      <w:r>
        <w:rPr>
          <w:rFonts w:cs="Times New Roman"/>
          <w:noProof/>
          <w:szCs w:val="24"/>
        </w:rPr>
        <w:t>.</w:t>
      </w:r>
    </w:p>
    <w:p w:rsidR="008A17C5" w:rsidRDefault="00402083">
      <w:pPr>
        <w:rPr>
          <w:rFonts w:cs="Times New Roman"/>
          <w:noProof/>
          <w:szCs w:val="24"/>
        </w:rPr>
      </w:pPr>
      <w:r>
        <w:rPr>
          <w:rFonts w:cs="Times New Roman"/>
          <w:b/>
          <w:noProof/>
          <w:szCs w:val="24"/>
        </w:rPr>
        <w:t>The prosecution and investigation of high-level corruption c</w:t>
      </w:r>
      <w:r>
        <w:rPr>
          <w:rFonts w:cs="Times New Roman"/>
          <w:b/>
          <w:noProof/>
          <w:szCs w:val="24"/>
        </w:rPr>
        <w:t xml:space="preserve">ases continue, but due to protracted proceedings convictions are often delayed. </w:t>
      </w:r>
      <w:r>
        <w:rPr>
          <w:rFonts w:cs="Times New Roman"/>
          <w:noProof/>
          <w:szCs w:val="24"/>
        </w:rPr>
        <w:t>The positive trend on corruption investigations and prosecutions continued, including at local level</w:t>
      </w:r>
      <w:r>
        <w:rPr>
          <w:rStyle w:val="FootnoteReference"/>
          <w:rFonts w:cs="Times New Roman"/>
          <w:noProof/>
          <w:szCs w:val="24"/>
        </w:rPr>
        <w:footnoteReference w:id="75"/>
      </w:r>
      <w:r>
        <w:rPr>
          <w:rFonts w:cs="Times New Roman"/>
          <w:noProof/>
          <w:szCs w:val="24"/>
        </w:rPr>
        <w:t xml:space="preserve">. </w:t>
      </w:r>
      <w:r>
        <w:rPr>
          <w:noProof/>
        </w:rPr>
        <w:t>In 2020, the State Attorney’s Office initiated indictments against 84 per</w:t>
      </w:r>
      <w:r>
        <w:rPr>
          <w:noProof/>
        </w:rPr>
        <w:t>sons (109 persons in 2019). In the same period, the Courts delivered judgments regarding 92 persons out of which 78 were convicted (85%). As regards the sanctions for corruption offences, 31 persons received jail sentences (for 12 persons jail sentence was</w:t>
      </w:r>
      <w:r>
        <w:rPr>
          <w:noProof/>
        </w:rPr>
        <w:t xml:space="preserve"> changed into work for the public good) and 47 conditional sentences. In 2020, the length of investigations led by the state attorneys in the </w:t>
      </w:r>
      <w:r>
        <w:rPr>
          <w:rFonts w:cs="Times New Roman"/>
          <w:noProof/>
          <w:szCs w:val="24"/>
        </w:rPr>
        <w:t>Office for the Suppression of Corruption and Organised Crime (</w:t>
      </w:r>
      <w:r>
        <w:rPr>
          <w:noProof/>
        </w:rPr>
        <w:t>USKOK) increased (due to complexity of cases and COV</w:t>
      </w:r>
      <w:r>
        <w:rPr>
          <w:noProof/>
        </w:rPr>
        <w:t xml:space="preserve">ID-19 pandemic). In only about 28% of USKOK cases, the investigation was finished within six months (90% in 2019). In about 35% of cases, the investigation lasted up to one year, while in the remaining 35% of cases, the investigation lasted up to 18 month </w:t>
      </w:r>
      <w:r>
        <w:rPr>
          <w:noProof/>
        </w:rPr>
        <w:t xml:space="preserve">or above. Once the cases reach the Courts, </w:t>
      </w:r>
      <w:r>
        <w:rPr>
          <w:rFonts w:cs="Times New Roman"/>
          <w:noProof/>
          <w:szCs w:val="24"/>
        </w:rPr>
        <w:t>several high level corruption cases face lengthy procedure that delays Court rulings</w:t>
      </w:r>
      <w:r>
        <w:rPr>
          <w:rStyle w:val="FootnoteReference"/>
          <w:rFonts w:cs="Times New Roman"/>
          <w:noProof/>
          <w:szCs w:val="24"/>
        </w:rPr>
        <w:footnoteReference w:id="76"/>
      </w:r>
      <w:r>
        <w:rPr>
          <w:rFonts w:cs="Times New Roman"/>
          <w:noProof/>
          <w:szCs w:val="24"/>
        </w:rPr>
        <w:t>. No clear steps have been taken to address the inefficiencies of the justice system reported in the 2020 Rule of Law Report. In</w:t>
      </w:r>
      <w:r>
        <w:rPr>
          <w:rFonts w:cs="Times New Roman"/>
          <w:noProof/>
          <w:szCs w:val="24"/>
        </w:rPr>
        <w:t xml:space="preserve"> order to address this issue, the draft Strategy sets the objective of improving the legal framework for the prosecution of corruption offences with the aim of speeding up judicial proceedings</w:t>
      </w:r>
      <w:r>
        <w:rPr>
          <w:rStyle w:val="FootnoteReference"/>
          <w:rFonts w:cs="Times New Roman"/>
          <w:noProof/>
          <w:szCs w:val="24"/>
        </w:rPr>
        <w:footnoteReference w:id="77"/>
      </w:r>
      <w:r>
        <w:rPr>
          <w:rFonts w:cs="Times New Roman"/>
          <w:noProof/>
          <w:szCs w:val="24"/>
        </w:rPr>
        <w:t>. As for present resources available, USKOK reported the diffic</w:t>
      </w:r>
      <w:r>
        <w:rPr>
          <w:rFonts w:cs="Times New Roman"/>
          <w:noProof/>
          <w:szCs w:val="24"/>
        </w:rPr>
        <w:t>ulties in recruiting new state attorneys with applicants not matching expertise requirements</w:t>
      </w:r>
      <w:r>
        <w:rPr>
          <w:rStyle w:val="FootnoteReference"/>
          <w:rFonts w:cs="Times New Roman"/>
          <w:noProof/>
          <w:szCs w:val="24"/>
        </w:rPr>
        <w:footnoteReference w:id="78"/>
      </w:r>
      <w:r>
        <w:rPr>
          <w:rFonts w:cs="Times New Roman"/>
          <w:noProof/>
          <w:szCs w:val="24"/>
        </w:rPr>
        <w:t xml:space="preserve">. Both the USKOK and the National Police Office for the Suppression of Corruption and Organised Crime (PNUSKOK) reported that the cooperation in investigating and </w:t>
      </w:r>
      <w:r>
        <w:rPr>
          <w:rFonts w:cs="Times New Roman"/>
          <w:noProof/>
          <w:szCs w:val="24"/>
        </w:rPr>
        <w:t xml:space="preserve">prosecuting corruption offences is working well. National authorities reported that available resources are considered sufficient and specialized anti-corruption trainings are available online. Shortcomings have been identified as regards the availability </w:t>
      </w:r>
      <w:r>
        <w:rPr>
          <w:rFonts w:cs="Times New Roman"/>
          <w:noProof/>
          <w:szCs w:val="24"/>
        </w:rPr>
        <w:t>of equipment to carry out complex investigative activities</w:t>
      </w:r>
      <w:r>
        <w:rPr>
          <w:rStyle w:val="FootnoteReference"/>
          <w:rFonts w:cs="Times New Roman"/>
          <w:noProof/>
          <w:szCs w:val="24"/>
        </w:rPr>
        <w:footnoteReference w:id="79"/>
      </w:r>
      <w:r>
        <w:rPr>
          <w:rFonts w:cs="Times New Roman"/>
          <w:noProof/>
          <w:szCs w:val="24"/>
        </w:rPr>
        <w:t>. According to the draft Strategy, PNUSKOK will benefit from digitalisation and renovation both at national and a local level</w:t>
      </w:r>
      <w:r>
        <w:rPr>
          <w:rStyle w:val="FootnoteReference"/>
          <w:rFonts w:cs="Times New Roman"/>
          <w:noProof/>
          <w:szCs w:val="24"/>
        </w:rPr>
        <w:footnoteReference w:id="80"/>
      </w:r>
      <w:r>
        <w:rPr>
          <w:rFonts w:cs="Times New Roman"/>
          <w:noProof/>
          <w:szCs w:val="24"/>
        </w:rPr>
        <w:t xml:space="preserve">.  </w:t>
      </w:r>
    </w:p>
    <w:p w:rsidR="008A17C5" w:rsidRDefault="00402083">
      <w:pPr>
        <w:rPr>
          <w:rFonts w:cs="Times New Roman"/>
          <w:noProof/>
        </w:rPr>
      </w:pPr>
      <w:r>
        <w:rPr>
          <w:rFonts w:cs="Times New Roman"/>
          <w:b/>
          <w:noProof/>
        </w:rPr>
        <w:t xml:space="preserve">Limited progress has been made on the strengthening of the legal </w:t>
      </w:r>
      <w:r>
        <w:rPr>
          <w:rFonts w:cs="Times New Roman"/>
          <w:b/>
          <w:noProof/>
        </w:rPr>
        <w:t>framework on prevention of conflict of interest since the 2020 Rule of Law Report</w:t>
      </w:r>
      <w:r>
        <w:rPr>
          <w:rStyle w:val="FootnoteReference"/>
          <w:rFonts w:cs="Times New Roman"/>
          <w:b/>
          <w:noProof/>
          <w:szCs w:val="24"/>
        </w:rPr>
        <w:footnoteReference w:id="81"/>
      </w:r>
      <w:r>
        <w:rPr>
          <w:rFonts w:cs="Times New Roman"/>
          <w:b/>
          <w:noProof/>
        </w:rPr>
        <w:t xml:space="preserve">. </w:t>
      </w:r>
      <w:r>
        <w:rPr>
          <w:rFonts w:cs="Times New Roman"/>
          <w:noProof/>
        </w:rPr>
        <w:t>The 2020 Rule of Law Report found that the legal framework on conflict of interest needs improvement as regards its implementation and in order to ensure that the Commissio</w:t>
      </w:r>
      <w:r>
        <w:rPr>
          <w:rFonts w:cs="Times New Roman"/>
          <w:noProof/>
        </w:rPr>
        <w:t>n for the Resolution of Conflicts of Interest has sufficient powers to impose deterrent sanctions and perform its essential preventive role</w:t>
      </w:r>
      <w:r>
        <w:rPr>
          <w:rStyle w:val="FootnoteReference"/>
          <w:rFonts w:cs="Times New Roman"/>
          <w:noProof/>
          <w:szCs w:val="24"/>
        </w:rPr>
        <w:footnoteReference w:id="82"/>
      </w:r>
      <w:r>
        <w:rPr>
          <w:rFonts w:cs="Times New Roman"/>
          <w:noProof/>
        </w:rPr>
        <w:t xml:space="preserve">. While the legal framework on conflict of interest did not change, </w:t>
      </w:r>
      <w:r>
        <w:rPr>
          <w:noProof/>
        </w:rPr>
        <w:t>the draft proposal of the Anti-Corruption Strate</w:t>
      </w:r>
      <w:r>
        <w:rPr>
          <w:noProof/>
        </w:rPr>
        <w:t>gy 2021-2030 commits to improving it, providing some details on what this would include</w:t>
      </w:r>
      <w:r>
        <w:rPr>
          <w:rStyle w:val="FootnoteReference"/>
          <w:rFonts w:cs="Times New Roman"/>
          <w:noProof/>
          <w:szCs w:val="24"/>
        </w:rPr>
        <w:footnoteReference w:id="83"/>
      </w:r>
      <w:r>
        <w:rPr>
          <w:noProof/>
        </w:rPr>
        <w:t>. The decisions of the Commission for the Resolution of Conflicts of Interest have been subject to a number of judgments of the administrative courts and the Constituti</w:t>
      </w:r>
      <w:r>
        <w:rPr>
          <w:noProof/>
        </w:rPr>
        <w:t>onal Court</w:t>
      </w:r>
      <w:r>
        <w:rPr>
          <w:rStyle w:val="FootnoteReference"/>
          <w:noProof/>
        </w:rPr>
        <w:footnoteReference w:id="84"/>
      </w:r>
      <w:r>
        <w:rPr>
          <w:noProof/>
        </w:rPr>
        <w:t>.</w:t>
      </w:r>
      <w:r>
        <w:rPr>
          <w:rFonts w:cs="Times New Roman"/>
          <w:noProof/>
        </w:rPr>
        <w:t xml:space="preserve"> For example, on 12 September 2019, the High Administrative Court, with regard to powers of the Commission under article 5 of the Law on the Prevention of Conflict of Interests, confirmed the practice of the Commission and the sanctions it had </w:t>
      </w:r>
      <w:r>
        <w:rPr>
          <w:rFonts w:cs="Times New Roman"/>
          <w:noProof/>
        </w:rPr>
        <w:t>delivered. On 10 December 2020, the High Administrative Court delivered its judgment on an appeal and, by reference to the provisions in Article 5 of the Law on the Prevention of Conflict of Interests, ruled that the Conflict of Interest Commission does no</w:t>
      </w:r>
      <w:r>
        <w:rPr>
          <w:rFonts w:cs="Times New Roman"/>
          <w:noProof/>
        </w:rPr>
        <w:t>t have the powers to sanction only a violation of principles of conduct of public officials</w:t>
      </w:r>
      <w:r>
        <w:rPr>
          <w:rFonts w:cs="Times New Roman"/>
          <w:noProof/>
          <w:szCs w:val="24"/>
          <w:vertAlign w:val="superscript"/>
        </w:rPr>
        <w:footnoteReference w:id="85"/>
      </w:r>
      <w:r>
        <w:rPr>
          <w:rFonts w:cs="Times New Roman"/>
          <w:noProof/>
        </w:rPr>
        <w:t>. The issue concerns the interpretation of Article 5</w:t>
      </w:r>
      <w:r>
        <w:rPr>
          <w:rFonts w:cs="Times New Roman"/>
          <w:noProof/>
          <w:szCs w:val="24"/>
          <w:vertAlign w:val="superscript"/>
        </w:rPr>
        <w:footnoteReference w:id="86"/>
      </w:r>
      <w:r>
        <w:rPr>
          <w:rFonts w:cs="Times New Roman"/>
          <w:noProof/>
        </w:rPr>
        <w:t xml:space="preserve"> and the possibility for the Commission to impose sanctions on public officials solely on the basis of this pro</w:t>
      </w:r>
      <w:r>
        <w:rPr>
          <w:rFonts w:cs="Times New Roman"/>
          <w:noProof/>
        </w:rPr>
        <w:t>vision</w:t>
      </w:r>
      <w:r>
        <w:rPr>
          <w:rFonts w:cs="Times New Roman"/>
          <w:noProof/>
          <w:szCs w:val="24"/>
          <w:vertAlign w:val="superscript"/>
        </w:rPr>
        <w:footnoteReference w:id="87"/>
      </w:r>
      <w:r>
        <w:rPr>
          <w:rFonts w:cs="Times New Roman"/>
          <w:noProof/>
        </w:rPr>
        <w:t>. The implications of this judgment are important as it rules on the sanctioning powers of the Commission for the Resolution of Conflicts of Interest</w:t>
      </w:r>
      <w:r>
        <w:rPr>
          <w:rFonts w:cs="Times New Roman"/>
          <w:noProof/>
          <w:szCs w:val="24"/>
          <w:vertAlign w:val="superscript"/>
        </w:rPr>
        <w:footnoteReference w:id="88"/>
      </w:r>
      <w:r>
        <w:rPr>
          <w:rFonts w:cs="Times New Roman"/>
          <w:noProof/>
        </w:rPr>
        <w:t>. The Group of States against Corruption of the Council of Europe (GRECO) examined the powers of th</w:t>
      </w:r>
      <w:r>
        <w:rPr>
          <w:rFonts w:cs="Times New Roman"/>
          <w:noProof/>
        </w:rPr>
        <w:t>e Commission for the Resolution of Conflicts of Interest and highlighted that the Commission can only establish whether there is a violation but cannot impose sanctions when it comes to Articles 2 and 5 of the Law</w:t>
      </w:r>
      <w:r>
        <w:rPr>
          <w:rFonts w:cs="Times New Roman"/>
          <w:noProof/>
          <w:szCs w:val="24"/>
          <w:vertAlign w:val="superscript"/>
        </w:rPr>
        <w:footnoteReference w:id="89"/>
      </w:r>
      <w:r>
        <w:rPr>
          <w:rFonts w:cs="Times New Roman"/>
          <w:noProof/>
        </w:rPr>
        <w:t>. In this regard, GRECO recommended to rev</w:t>
      </w:r>
      <w:r>
        <w:rPr>
          <w:rFonts w:cs="Times New Roman"/>
          <w:noProof/>
        </w:rPr>
        <w:t>iew the available sanctions for violations of the Law on the Prevention of Conflicts of Interest in order to ensure that all violations have proper consequences. Civil society expressed concerns on the possible diminishing of the Commission’s sanctioning p</w:t>
      </w:r>
      <w:r>
        <w:rPr>
          <w:rFonts w:cs="Times New Roman"/>
          <w:noProof/>
        </w:rPr>
        <w:t>owers following the ruling of the High Administrative Court</w:t>
      </w:r>
      <w:r>
        <w:rPr>
          <w:rFonts w:cs="Times New Roman"/>
          <w:noProof/>
          <w:szCs w:val="24"/>
          <w:vertAlign w:val="superscript"/>
        </w:rPr>
        <w:footnoteReference w:id="90"/>
      </w:r>
      <w:r>
        <w:rPr>
          <w:rFonts w:cs="Times New Roman"/>
          <w:noProof/>
        </w:rPr>
        <w:t>. The Commission for the Resolution of Conflicts of Interest has raised concerns about inconsistent case law and has proposed to the State Attorney’s Office to initiate before the Supreme Court th</w:t>
      </w:r>
      <w:r>
        <w:rPr>
          <w:rFonts w:cs="Times New Roman"/>
          <w:noProof/>
        </w:rPr>
        <w:t>e extraordinary review of the High Administrative Court’s judgment in view of quashing this judgment, which was rejected on 14 May</w:t>
      </w:r>
      <w:r>
        <w:rPr>
          <w:rStyle w:val="FootnoteReference"/>
          <w:rFonts w:cs="Times New Roman"/>
          <w:noProof/>
        </w:rPr>
        <w:footnoteReference w:id="91"/>
      </w:r>
      <w:r>
        <w:rPr>
          <w:rFonts w:cs="Times New Roman"/>
          <w:noProof/>
        </w:rPr>
        <w:t>. On 27 May 2021, the High Administrative Court delivered an additional judgment in relation to Article 5 of the Law confirmi</w:t>
      </w:r>
      <w:r>
        <w:rPr>
          <w:rFonts w:cs="Times New Roman"/>
          <w:noProof/>
        </w:rPr>
        <w:t>ng the judgment of the Administrative Court delivered on 19 December 2020</w:t>
      </w:r>
      <w:r>
        <w:rPr>
          <w:rStyle w:val="FootnoteReference"/>
          <w:rFonts w:cs="Times New Roman"/>
          <w:noProof/>
        </w:rPr>
        <w:footnoteReference w:id="92"/>
      </w:r>
      <w:r>
        <w:rPr>
          <w:rFonts w:cs="Times New Roman"/>
          <w:noProof/>
        </w:rPr>
        <w:t>.</w:t>
      </w:r>
    </w:p>
    <w:p w:rsidR="008A17C5" w:rsidRDefault="00402083">
      <w:pPr>
        <w:rPr>
          <w:rFonts w:cs="Times New Roman"/>
          <w:noProof/>
          <w:szCs w:val="24"/>
        </w:rPr>
      </w:pPr>
      <w:r>
        <w:rPr>
          <w:rFonts w:cs="Times New Roman"/>
          <w:b/>
          <w:noProof/>
          <w:szCs w:val="24"/>
        </w:rPr>
        <w:t>Ethics rules for members of the Government and for members of the Parliament are missing and “revolving doors” remain only partially regulated as reported in the 2020 Rule of Law R</w:t>
      </w:r>
      <w:r>
        <w:rPr>
          <w:rFonts w:cs="Times New Roman"/>
          <w:b/>
          <w:noProof/>
          <w:szCs w:val="24"/>
        </w:rPr>
        <w:t>eport</w:t>
      </w:r>
      <w:r>
        <w:rPr>
          <w:rStyle w:val="FootnoteReference"/>
          <w:rFonts w:cs="Times New Roman"/>
          <w:b/>
          <w:noProof/>
          <w:szCs w:val="24"/>
        </w:rPr>
        <w:footnoteReference w:id="93"/>
      </w:r>
      <w:r>
        <w:rPr>
          <w:rFonts w:cs="Times New Roman"/>
          <w:b/>
          <w:noProof/>
          <w:szCs w:val="24"/>
        </w:rPr>
        <w:t xml:space="preserve">. </w:t>
      </w:r>
      <w:r>
        <w:rPr>
          <w:rFonts w:cs="Times New Roman"/>
          <w:noProof/>
          <w:szCs w:val="24"/>
        </w:rPr>
        <w:t>The absence of a Code of Ethics for the Members of the Government</w:t>
      </w:r>
      <w:r>
        <w:rPr>
          <w:rStyle w:val="FootnoteReference"/>
          <w:rFonts w:cs="Times New Roman"/>
          <w:noProof/>
          <w:szCs w:val="24"/>
        </w:rPr>
        <w:footnoteReference w:id="94"/>
      </w:r>
      <w:r>
        <w:rPr>
          <w:rFonts w:cs="Times New Roman"/>
          <w:noProof/>
          <w:szCs w:val="24"/>
        </w:rPr>
        <w:t xml:space="preserve"> and Members of the Parliament</w:t>
      </w:r>
      <w:r>
        <w:rPr>
          <w:rStyle w:val="FootnoteReference"/>
          <w:rFonts w:cs="Times New Roman"/>
          <w:noProof/>
          <w:szCs w:val="24"/>
        </w:rPr>
        <w:footnoteReference w:id="95"/>
      </w:r>
      <w:r>
        <w:rPr>
          <w:rFonts w:cs="Times New Roman"/>
          <w:noProof/>
          <w:szCs w:val="24"/>
        </w:rPr>
        <w:t xml:space="preserve"> was noted by GRECO</w:t>
      </w:r>
      <w:r>
        <w:rPr>
          <w:rStyle w:val="FootnoteReference"/>
          <w:rFonts w:cs="Times New Roman"/>
          <w:noProof/>
          <w:szCs w:val="24"/>
        </w:rPr>
        <w:footnoteReference w:id="96"/>
      </w:r>
      <w:r>
        <w:rPr>
          <w:rFonts w:cs="Times New Roman"/>
          <w:noProof/>
          <w:szCs w:val="24"/>
        </w:rPr>
        <w:t xml:space="preserve"> and some steps have been taken in order to address these recommendations</w:t>
      </w:r>
      <w:r>
        <w:rPr>
          <w:rStyle w:val="FootnoteReference"/>
          <w:rFonts w:cs="Times New Roman"/>
          <w:noProof/>
          <w:szCs w:val="24"/>
        </w:rPr>
        <w:footnoteReference w:id="97"/>
      </w:r>
      <w:r>
        <w:rPr>
          <w:rFonts w:cs="Times New Roman"/>
          <w:noProof/>
          <w:szCs w:val="24"/>
        </w:rPr>
        <w:t>. Revolving doors rules have not been strengthened and re</w:t>
      </w:r>
      <w:r>
        <w:rPr>
          <w:rFonts w:cs="Times New Roman"/>
          <w:noProof/>
          <w:szCs w:val="24"/>
        </w:rPr>
        <w:t>main narrow in scope</w:t>
      </w:r>
      <w:r>
        <w:rPr>
          <w:rStyle w:val="FootnoteReference"/>
          <w:rFonts w:cs="Times New Roman"/>
          <w:noProof/>
          <w:szCs w:val="24"/>
        </w:rPr>
        <w:footnoteReference w:id="98"/>
      </w:r>
      <w:r>
        <w:rPr>
          <w:rFonts w:cs="Times New Roman"/>
          <w:noProof/>
          <w:szCs w:val="24"/>
        </w:rPr>
        <w:t>. The provision forbidding officials to accept employment in the private sector for a period of 12 months after the end of the public service</w:t>
      </w:r>
      <w:r>
        <w:rPr>
          <w:rStyle w:val="FootnoteReference"/>
          <w:rFonts w:cs="Times New Roman"/>
          <w:noProof/>
          <w:szCs w:val="24"/>
        </w:rPr>
        <w:footnoteReference w:id="99"/>
      </w:r>
      <w:r>
        <w:rPr>
          <w:rFonts w:cs="Times New Roman"/>
          <w:noProof/>
          <w:szCs w:val="24"/>
        </w:rPr>
        <w:t xml:space="preserve"> has been considered too short by GRECO, which also recommended giving the Commission for the</w:t>
      </w:r>
      <w:r>
        <w:rPr>
          <w:rFonts w:cs="Times New Roman"/>
          <w:noProof/>
          <w:szCs w:val="24"/>
        </w:rPr>
        <w:t xml:space="preserve"> Prevention of Conflicts of Interests a mediating role in this area. </w:t>
      </w:r>
    </w:p>
    <w:p w:rsidR="008A17C5" w:rsidRDefault="00402083">
      <w:pPr>
        <w:rPr>
          <w:rFonts w:cs="Times New Roman"/>
          <w:noProof/>
          <w:szCs w:val="24"/>
        </w:rPr>
      </w:pPr>
      <w:r>
        <w:rPr>
          <w:rFonts w:cs="Times New Roman"/>
          <w:b/>
          <w:noProof/>
          <w:szCs w:val="24"/>
        </w:rPr>
        <w:t>Code of Ethics for state level civil servants is in place, however ethics codes at the local and regional level are largely lacking.</w:t>
      </w:r>
      <w:r>
        <w:rPr>
          <w:rFonts w:cs="Times New Roman"/>
          <w:noProof/>
          <w:szCs w:val="24"/>
        </w:rPr>
        <w:t xml:space="preserve"> Code of Ethics for state level civil servants is in p</w:t>
      </w:r>
      <w:r>
        <w:rPr>
          <w:rFonts w:cs="Times New Roman"/>
          <w:noProof/>
          <w:szCs w:val="24"/>
        </w:rPr>
        <w:t>lace since 2011</w:t>
      </w:r>
      <w:r>
        <w:rPr>
          <w:rStyle w:val="FootnoteReference"/>
          <w:rFonts w:cs="Times New Roman"/>
          <w:noProof/>
          <w:szCs w:val="24"/>
        </w:rPr>
        <w:footnoteReference w:id="100"/>
      </w:r>
      <w:r>
        <w:rPr>
          <w:rFonts w:cs="Times New Roman"/>
          <w:noProof/>
          <w:szCs w:val="24"/>
        </w:rPr>
        <w:t>. However, at local level, civil servants have their own Code of Ethics only if the local/regional government has adopted one</w:t>
      </w:r>
      <w:r>
        <w:rPr>
          <w:rStyle w:val="FootnoteReference"/>
          <w:rFonts w:cs="Times New Roman"/>
          <w:noProof/>
          <w:szCs w:val="24"/>
        </w:rPr>
        <w:footnoteReference w:id="101"/>
      </w:r>
      <w:r>
        <w:rPr>
          <w:rFonts w:cs="Times New Roman"/>
          <w:noProof/>
          <w:szCs w:val="24"/>
        </w:rPr>
        <w:t xml:space="preserve">. According to the draft proposal of the Anti-Corruption Strategy 2021-2030 there are 142 Code of Ethics in force </w:t>
      </w:r>
      <w:r>
        <w:rPr>
          <w:rFonts w:cs="Times New Roman"/>
          <w:noProof/>
          <w:szCs w:val="24"/>
        </w:rPr>
        <w:t>at local and regional government level. The Strategy envisages to increase this number to 576 in 2030.</w:t>
      </w:r>
    </w:p>
    <w:p w:rsidR="008A17C5" w:rsidRDefault="00402083">
      <w:pPr>
        <w:rPr>
          <w:rFonts w:cs="Times New Roman"/>
          <w:noProof/>
          <w:szCs w:val="24"/>
        </w:rPr>
      </w:pPr>
      <w:r>
        <w:rPr>
          <w:rFonts w:cs="Times New Roman"/>
          <w:b/>
          <w:noProof/>
          <w:szCs w:val="24"/>
        </w:rPr>
        <w:t>Some progress has been made since the 2020 Rule of Law Report in the area of lobbying activities where a comprehensive legislation remains to be introduc</w:t>
      </w:r>
      <w:r>
        <w:rPr>
          <w:rFonts w:cs="Times New Roman"/>
          <w:b/>
          <w:noProof/>
          <w:szCs w:val="24"/>
        </w:rPr>
        <w:t>ed</w:t>
      </w:r>
      <w:r>
        <w:rPr>
          <w:rStyle w:val="FootnoteReference"/>
          <w:rFonts w:cs="Times New Roman"/>
          <w:b/>
          <w:noProof/>
          <w:szCs w:val="24"/>
        </w:rPr>
        <w:footnoteReference w:id="102"/>
      </w:r>
      <w:r>
        <w:rPr>
          <w:rFonts w:cs="Times New Roman"/>
          <w:b/>
          <w:noProof/>
          <w:szCs w:val="24"/>
        </w:rPr>
        <w:t xml:space="preserve">. </w:t>
      </w:r>
      <w:r>
        <w:rPr>
          <w:rFonts w:cs="Times New Roman"/>
          <w:noProof/>
          <w:szCs w:val="24"/>
        </w:rPr>
        <w:t>The Government programme for 2020-2024 and the draft proposal of the Anti-Corruption Strategy 2021-2030 envisage the adoption of a comprehensive regulation. A working group has been established by the Ministry of Justice for that purpose</w:t>
      </w:r>
      <w:r>
        <w:rPr>
          <w:rFonts w:cs="Times New Roman"/>
          <w:noProof/>
          <w:szCs w:val="24"/>
          <w:vertAlign w:val="superscript"/>
        </w:rPr>
        <w:footnoteReference w:id="103"/>
      </w:r>
      <w:r>
        <w:rPr>
          <w:rFonts w:cs="Times New Roman"/>
          <w:noProof/>
          <w:szCs w:val="24"/>
        </w:rPr>
        <w:t>. The need to</w:t>
      </w:r>
      <w:r>
        <w:rPr>
          <w:rFonts w:cs="Times New Roman"/>
          <w:noProof/>
          <w:szCs w:val="24"/>
        </w:rPr>
        <w:t xml:space="preserve"> regulate lobbying activities was also highlighted by GRECO, as its recommendations in this area are still not implemented</w:t>
      </w:r>
      <w:r>
        <w:rPr>
          <w:rFonts w:cs="Times New Roman"/>
          <w:noProof/>
          <w:szCs w:val="24"/>
          <w:vertAlign w:val="superscript"/>
        </w:rPr>
        <w:footnoteReference w:id="104"/>
      </w:r>
      <w:r>
        <w:rPr>
          <w:rFonts w:cs="Times New Roman"/>
          <w:noProof/>
          <w:szCs w:val="24"/>
        </w:rPr>
        <w:t xml:space="preserve">. </w:t>
      </w:r>
    </w:p>
    <w:p w:rsidR="008A17C5" w:rsidRDefault="00402083">
      <w:pPr>
        <w:rPr>
          <w:rFonts w:cs="Times New Roman"/>
          <w:noProof/>
        </w:rPr>
      </w:pPr>
      <w:r>
        <w:rPr>
          <w:rFonts w:cs="Times New Roman"/>
          <w:b/>
          <w:noProof/>
        </w:rPr>
        <w:t>A high number of appeals have been filed in public procurement procedures, which remain a high-risk area for corruption.</w:t>
      </w:r>
      <w:r>
        <w:rPr>
          <w:rFonts w:cs="Times New Roman"/>
          <w:noProof/>
        </w:rPr>
        <w:t xml:space="preserve"> The draft</w:t>
      </w:r>
      <w:r>
        <w:rPr>
          <w:rFonts w:cs="Times New Roman"/>
          <w:noProof/>
        </w:rPr>
        <w:t xml:space="preserve"> proposal of the Anti-Corruption Strategy 2021-2030 identifies public procurement as a vulnerable area for corruption risks</w:t>
      </w:r>
      <w:r>
        <w:rPr>
          <w:rStyle w:val="FootnoteReference"/>
          <w:rFonts w:cs="Times New Roman"/>
          <w:noProof/>
          <w:szCs w:val="24"/>
        </w:rPr>
        <w:footnoteReference w:id="105"/>
      </w:r>
      <w:r>
        <w:rPr>
          <w:rFonts w:cs="Times New Roman"/>
          <w:noProof/>
        </w:rPr>
        <w:t>. The State Commission for Supervision of Public Procurement Procedures is an independent decision-making body (tribunal) responsibl</w:t>
      </w:r>
      <w:r>
        <w:rPr>
          <w:rFonts w:cs="Times New Roman"/>
          <w:noProof/>
        </w:rPr>
        <w:t>e for reviewing appeals regarding public procurements</w:t>
      </w:r>
      <w:r>
        <w:rPr>
          <w:rStyle w:val="FootnoteReference"/>
          <w:rFonts w:cs="Times New Roman"/>
          <w:noProof/>
        </w:rPr>
        <w:footnoteReference w:id="106"/>
      </w:r>
      <w:r>
        <w:rPr>
          <w:rFonts w:cs="Times New Roman"/>
          <w:noProof/>
        </w:rPr>
        <w:t>. Its workload has increased over the years: in 2020, 66% of public procurements were under appeal procedure before the State Commission for Supervision of Public Procurement Procedure</w:t>
      </w:r>
      <w:r>
        <w:rPr>
          <w:rStyle w:val="FootnoteReference"/>
          <w:rFonts w:cs="Times New Roman"/>
          <w:noProof/>
        </w:rPr>
        <w:footnoteReference w:id="107"/>
      </w:r>
      <w:r>
        <w:rPr>
          <w:rFonts w:cs="Times New Roman"/>
          <w:noProof/>
        </w:rPr>
        <w:t>. The crucial rol</w:t>
      </w:r>
      <w:r>
        <w:rPr>
          <w:rFonts w:cs="Times New Roman"/>
          <w:noProof/>
        </w:rPr>
        <w:t>e of the State Commission for Supervision of Public Procurement Procedures is also recognised in the draft Anti-Corruption Strategy which envisages a further strengthening of its legal framework</w:t>
      </w:r>
      <w:r>
        <w:rPr>
          <w:rStyle w:val="FootnoteReference"/>
          <w:rFonts w:cs="Times New Roman"/>
          <w:noProof/>
          <w:szCs w:val="24"/>
        </w:rPr>
        <w:footnoteReference w:id="108"/>
      </w:r>
      <w:r>
        <w:rPr>
          <w:rFonts w:cs="Times New Roman"/>
          <w:noProof/>
        </w:rPr>
        <w:t>. It is important that the reform of the State Commission saf</w:t>
      </w:r>
      <w:r>
        <w:rPr>
          <w:rFonts w:cs="Times New Roman"/>
          <w:noProof/>
        </w:rPr>
        <w:t>eguards its independence, particularly regarding the appointment and discipline of the members of the State Commission, in line with EU law and taking into account Council of Europe recommendations</w:t>
      </w:r>
      <w:r>
        <w:rPr>
          <w:rStyle w:val="FootnoteReference"/>
          <w:rFonts w:cs="Times New Roman"/>
          <w:noProof/>
        </w:rPr>
        <w:footnoteReference w:id="109"/>
      </w:r>
      <w:r>
        <w:rPr>
          <w:rFonts w:cs="Times New Roman"/>
          <w:noProof/>
        </w:rPr>
        <w:t>. According to the draft proposal of the Anti-Corruption S</w:t>
      </w:r>
      <w:r>
        <w:rPr>
          <w:rFonts w:cs="Times New Roman"/>
          <w:noProof/>
        </w:rPr>
        <w:t>trategy 2021-2030, the public procurement legislative framework will also be improved by strengthening the oversight mechanism and the transparency of the procedures</w:t>
      </w:r>
      <w:r>
        <w:rPr>
          <w:rStyle w:val="FootnoteReference"/>
          <w:rFonts w:cs="Times New Roman"/>
          <w:noProof/>
          <w:szCs w:val="24"/>
        </w:rPr>
        <w:footnoteReference w:id="110"/>
      </w:r>
      <w:r>
        <w:rPr>
          <w:rFonts w:cs="Times New Roman"/>
          <w:noProof/>
        </w:rPr>
        <w:t xml:space="preserve">. </w:t>
      </w:r>
    </w:p>
    <w:p w:rsidR="008A17C5" w:rsidRDefault="00402083">
      <w:pPr>
        <w:rPr>
          <w:rFonts w:cs="Times New Roman"/>
          <w:noProof/>
          <w:szCs w:val="24"/>
        </w:rPr>
      </w:pPr>
      <w:r>
        <w:rPr>
          <w:rFonts w:cs="Times New Roman"/>
          <w:b/>
          <w:noProof/>
          <w:szCs w:val="24"/>
        </w:rPr>
        <w:t xml:space="preserve">The Ombudsperson’s Office has started receiving external reports from whistleblowers. </w:t>
      </w:r>
      <w:r>
        <w:rPr>
          <w:rFonts w:cs="Times New Roman"/>
          <w:noProof/>
          <w:szCs w:val="24"/>
        </w:rPr>
        <w:t>F</w:t>
      </w:r>
      <w:r>
        <w:rPr>
          <w:rFonts w:cs="Times New Roman"/>
          <w:noProof/>
          <w:szCs w:val="24"/>
        </w:rPr>
        <w:t>ollowing the approval of the Protection of Reporters of Irregularities Act</w:t>
      </w:r>
      <w:r>
        <w:rPr>
          <w:rStyle w:val="FootnoteReference"/>
          <w:rFonts w:cs="Times New Roman"/>
          <w:noProof/>
          <w:szCs w:val="24"/>
        </w:rPr>
        <w:footnoteReference w:id="111"/>
      </w:r>
      <w:r>
        <w:rPr>
          <w:rFonts w:cs="Times New Roman"/>
          <w:noProof/>
          <w:szCs w:val="24"/>
        </w:rPr>
        <w:t>, since 2019 the Ombudsperson’s Office can receive reports on possible misconducts or wrongdoings. As reported by the Ombudsperson’s Office, 45 complaints were treated in 2020</w:t>
      </w:r>
      <w:r>
        <w:rPr>
          <w:rStyle w:val="FootnoteReference"/>
          <w:rFonts w:cs="Times New Roman"/>
          <w:noProof/>
          <w:szCs w:val="24"/>
        </w:rPr>
        <w:footnoteReference w:id="112"/>
      </w:r>
      <w:r>
        <w:rPr>
          <w:rFonts w:cs="Times New Roman"/>
          <w:noProof/>
          <w:szCs w:val="24"/>
        </w:rPr>
        <w:t xml:space="preserve">. In </w:t>
      </w:r>
      <w:r>
        <w:rPr>
          <w:rFonts w:cs="Times New Roman"/>
          <w:noProof/>
          <w:szCs w:val="24"/>
        </w:rPr>
        <w:t>the same period several high profile cases on corruption were discovered after reports made by whistleblowers</w:t>
      </w:r>
      <w:r>
        <w:rPr>
          <w:rStyle w:val="FootnoteReference"/>
          <w:rFonts w:cs="Times New Roman"/>
          <w:noProof/>
          <w:szCs w:val="24"/>
        </w:rPr>
        <w:footnoteReference w:id="113"/>
      </w:r>
      <w:r>
        <w:rPr>
          <w:rFonts w:cs="Times New Roman"/>
          <w:noProof/>
          <w:szCs w:val="24"/>
        </w:rPr>
        <w:t>.</w:t>
      </w:r>
    </w:p>
    <w:p w:rsidR="008A17C5" w:rsidRDefault="00402083">
      <w:pPr>
        <w:rPr>
          <w:rFonts w:eastAsia="Times New Roman" w:cs="Times New Roman"/>
          <w:noProof/>
          <w:szCs w:val="20"/>
          <w:lang w:eastAsia="fr-FR"/>
        </w:rPr>
      </w:pPr>
      <w:r>
        <w:rPr>
          <w:rFonts w:cs="Times New Roman"/>
          <w:b/>
          <w:noProof/>
          <w:szCs w:val="24"/>
        </w:rPr>
        <w:t>In order to mitigate corruption risk in the procurement area during the COVID-19 pandemic new specific trainings for officials have been deliver</w:t>
      </w:r>
      <w:r>
        <w:rPr>
          <w:rFonts w:cs="Times New Roman"/>
          <w:b/>
          <w:noProof/>
          <w:szCs w:val="24"/>
        </w:rPr>
        <w:t>ed</w:t>
      </w:r>
      <w:r>
        <w:rPr>
          <w:rFonts w:cs="Times New Roman"/>
          <w:b/>
          <w:noProof/>
          <w:szCs w:val="24"/>
          <w:vertAlign w:val="superscript"/>
        </w:rPr>
        <w:footnoteReference w:id="114"/>
      </w:r>
      <w:r>
        <w:rPr>
          <w:rFonts w:cs="Times New Roman"/>
          <w:b/>
          <w:noProof/>
          <w:szCs w:val="24"/>
        </w:rPr>
        <w:t xml:space="preserve">. </w:t>
      </w:r>
      <w:r>
        <w:rPr>
          <w:rFonts w:cs="Times New Roman"/>
          <w:noProof/>
          <w:szCs w:val="24"/>
        </w:rPr>
        <w:t>As regards the prosecution</w:t>
      </w:r>
      <w:r>
        <w:rPr>
          <w:rFonts w:cs="Times New Roman"/>
          <w:b/>
          <w:noProof/>
          <w:szCs w:val="24"/>
        </w:rPr>
        <w:t xml:space="preserve"> </w:t>
      </w:r>
      <w:r>
        <w:rPr>
          <w:rFonts w:cs="Times New Roman"/>
          <w:noProof/>
          <w:szCs w:val="24"/>
        </w:rPr>
        <w:t>only a few activities of the State Attorney’s Office were delayed due to the pandemic, and the law enforcement authorities worked in two shifts to minimize the risk of contacts</w:t>
      </w:r>
      <w:r>
        <w:rPr>
          <w:rStyle w:val="FootnoteReference"/>
          <w:rFonts w:cs="Times New Roman"/>
          <w:noProof/>
          <w:szCs w:val="24"/>
        </w:rPr>
        <w:footnoteReference w:id="115"/>
      </w:r>
      <w:r>
        <w:rPr>
          <w:rFonts w:cs="Times New Roman"/>
          <w:noProof/>
          <w:szCs w:val="24"/>
        </w:rPr>
        <w:t xml:space="preserve">. Furthermore, the Ministry of the Economy and </w:t>
      </w:r>
      <w:r>
        <w:rPr>
          <w:rFonts w:cs="Times New Roman"/>
          <w:noProof/>
          <w:szCs w:val="24"/>
        </w:rPr>
        <w:t>Sustainable Development issued specific recommendations aiming at strengthening the public procurement system in the context of the pandemic</w:t>
      </w:r>
      <w:r>
        <w:rPr>
          <w:rFonts w:cs="Times New Roman"/>
          <w:noProof/>
          <w:szCs w:val="24"/>
          <w:vertAlign w:val="superscript"/>
        </w:rPr>
        <w:footnoteReference w:id="116"/>
      </w:r>
      <w:r>
        <w:rPr>
          <w:rFonts w:cs="Times New Roman"/>
          <w:noProof/>
          <w:szCs w:val="24"/>
        </w:rPr>
        <w:t>.</w:t>
      </w:r>
    </w:p>
    <w:p w:rsidR="008A17C5" w:rsidRDefault="00402083">
      <w:pPr>
        <w:pStyle w:val="Heading1"/>
        <w:rPr>
          <w:noProof/>
          <w:lang w:val="en-IE"/>
        </w:rPr>
      </w:pPr>
      <w:r>
        <w:rPr>
          <w:noProof/>
          <w:lang w:val="en-IE"/>
        </w:rPr>
        <w:t>Media Pluralism And Media Freedom</w:t>
      </w:r>
    </w:p>
    <w:p w:rsidR="008A17C5" w:rsidRDefault="00402083">
      <w:pPr>
        <w:rPr>
          <w:rFonts w:cs="Times New Roman"/>
          <w:noProof/>
        </w:rPr>
      </w:pPr>
      <w:r>
        <w:rPr>
          <w:rFonts w:cs="Times New Roman"/>
          <w:noProof/>
          <w:lang w:val="en-IE"/>
        </w:rPr>
        <w:t xml:space="preserve">Freedom of expression and information are </w:t>
      </w:r>
      <w:r>
        <w:rPr>
          <w:rFonts w:cs="Times New Roman"/>
          <w:noProof/>
          <w:color w:val="000000" w:themeColor="text1"/>
          <w:lang w:val="en-IE"/>
        </w:rPr>
        <w:t>enshrined in the Constitution</w:t>
      </w:r>
      <w:r>
        <w:rPr>
          <w:rStyle w:val="FootnoteReference"/>
          <w:rFonts w:cs="Times New Roman"/>
          <w:noProof/>
          <w:color w:val="000000" w:themeColor="text1"/>
          <w:lang w:val="en-IE"/>
        </w:rPr>
        <w:footnoteReference w:id="117"/>
      </w:r>
      <w:r>
        <w:rPr>
          <w:rFonts w:cs="Times New Roman"/>
          <w:noProof/>
          <w:color w:val="000000" w:themeColor="text1"/>
          <w:lang w:val="en-IE"/>
        </w:rPr>
        <w:t xml:space="preserve">, while media plurality is ensured by various laws, notably the </w:t>
      </w:r>
      <w:r>
        <w:rPr>
          <w:rFonts w:cs="Times New Roman"/>
          <w:noProof/>
          <w:color w:val="000000" w:themeColor="text1"/>
        </w:rPr>
        <w:t>Electronic Media Act and the Media Act</w:t>
      </w:r>
      <w:r>
        <w:rPr>
          <w:rFonts w:cs="Times New Roman"/>
          <w:noProof/>
          <w:color w:val="000000" w:themeColor="text1"/>
          <w:lang w:val="en-IE"/>
        </w:rPr>
        <w:t>. They provide for the independent media regulatory authority, the Agency for Electronic Media (AE</w:t>
      </w:r>
      <w:r>
        <w:rPr>
          <w:rFonts w:cs="Times New Roman"/>
          <w:noProof/>
          <w:lang w:val="en-IE"/>
        </w:rPr>
        <w:t>M), and guarantee that media ownership information is av</w:t>
      </w:r>
      <w:r>
        <w:rPr>
          <w:rFonts w:cs="Times New Roman"/>
          <w:noProof/>
          <w:lang w:val="en-IE"/>
        </w:rPr>
        <w:t>ailable to the public. A framework for the access to information and public documents is generally in place</w:t>
      </w:r>
      <w:r>
        <w:rPr>
          <w:rStyle w:val="FootnoteReference"/>
          <w:rFonts w:cs="Times New Roman"/>
          <w:noProof/>
          <w:lang w:val="en-IE"/>
        </w:rPr>
        <w:footnoteReference w:id="118"/>
      </w:r>
      <w:r>
        <w:rPr>
          <w:rFonts w:cs="Times New Roman"/>
          <w:noProof/>
          <w:lang w:val="en-IE"/>
        </w:rPr>
        <w:t xml:space="preserve">. </w:t>
      </w:r>
      <w:r>
        <w:rPr>
          <w:rFonts w:cs="Times New Roman"/>
          <w:noProof/>
        </w:rPr>
        <w:t xml:space="preserve">The revision of the Electronic Media Act is pending adoption to transpose the </w:t>
      </w:r>
      <w:r>
        <w:rPr>
          <w:rFonts w:cs="Times New Roman"/>
          <w:noProof/>
          <w:lang w:val="en-IE"/>
        </w:rPr>
        <w:t>revised Audiovisual Media Services Directive (AVMSD)</w:t>
      </w:r>
      <w:r>
        <w:rPr>
          <w:rFonts w:cs="Times New Roman"/>
          <w:noProof/>
          <w:vertAlign w:val="superscript"/>
          <w:lang w:val="en-IE"/>
        </w:rPr>
        <w:footnoteReference w:id="119"/>
      </w:r>
      <w:r>
        <w:rPr>
          <w:rFonts w:cs="Times New Roman"/>
          <w:noProof/>
          <w:lang w:val="en-IE"/>
        </w:rPr>
        <w:t>. The Governmen</w:t>
      </w:r>
      <w:r>
        <w:rPr>
          <w:rFonts w:cs="Times New Roman"/>
          <w:noProof/>
          <w:lang w:val="en-IE"/>
        </w:rPr>
        <w:t>t moreover intends to update the second pillar of the Croatian media law framework, t</w:t>
      </w:r>
      <w:r>
        <w:rPr>
          <w:rFonts w:cs="Times New Roman"/>
          <w:noProof/>
        </w:rPr>
        <w:t>he Media Act, with a proposal expected by the end of 2021</w:t>
      </w:r>
      <w:r>
        <w:rPr>
          <w:rStyle w:val="FootnoteReference"/>
          <w:rFonts w:cs="Times New Roman"/>
          <w:noProof/>
          <w:szCs w:val="24"/>
        </w:rPr>
        <w:footnoteReference w:id="120"/>
      </w:r>
      <w:r>
        <w:rPr>
          <w:rFonts w:cs="Times New Roman"/>
          <w:noProof/>
        </w:rPr>
        <w:t>.</w:t>
      </w:r>
    </w:p>
    <w:p w:rsidR="008A17C5" w:rsidRDefault="00402083">
      <w:pPr>
        <w:rPr>
          <w:rFonts w:cs="Times New Roman"/>
          <w:noProof/>
          <w:lang w:val="en-IE"/>
        </w:rPr>
      </w:pPr>
      <w:r>
        <w:rPr>
          <w:rFonts w:cs="Times New Roman"/>
          <w:b/>
          <w:noProof/>
          <w:lang w:val="en-IE"/>
        </w:rPr>
        <w:t xml:space="preserve">New qualification requirements are envisaged for the potential members of the governing body of the Agency for </w:t>
      </w:r>
      <w:r>
        <w:rPr>
          <w:rFonts w:cs="Times New Roman"/>
          <w:b/>
          <w:noProof/>
          <w:lang w:val="en-IE"/>
        </w:rPr>
        <w:t>Electronic Media</w:t>
      </w:r>
      <w:r>
        <w:rPr>
          <w:rFonts w:cs="Times New Roman"/>
          <w:b/>
          <w:noProof/>
          <w:color w:val="000000" w:themeColor="text1"/>
          <w:lang w:val="en-IE"/>
        </w:rPr>
        <w:t>.</w:t>
      </w:r>
      <w:r>
        <w:rPr>
          <w:rFonts w:cs="Times New Roman"/>
          <w:noProof/>
          <w:lang w:val="en-IE"/>
        </w:rPr>
        <w:t xml:space="preserve"> The agency is led by a Director who also heads the Council for Electronic Media, the governing body of the agency. Its financial independence is ensured as it is bound to the income of electronic media services</w:t>
      </w:r>
      <w:r>
        <w:rPr>
          <w:rStyle w:val="FootnoteReference"/>
          <w:rFonts w:cs="Times New Roman"/>
          <w:noProof/>
          <w:lang w:val="en-IE"/>
        </w:rPr>
        <w:footnoteReference w:id="121"/>
      </w:r>
      <w:r>
        <w:rPr>
          <w:rFonts w:cs="Times New Roman"/>
          <w:noProof/>
          <w:lang w:val="en-IE"/>
        </w:rPr>
        <w:t>. The members of the Counci</w:t>
      </w:r>
      <w:r>
        <w:rPr>
          <w:rFonts w:cs="Times New Roman"/>
          <w:noProof/>
          <w:lang w:val="en-IE"/>
        </w:rPr>
        <w:t>l are appointed by the Parliament by simple majority, following a proposal by the Government, based on a public call for nominations</w:t>
      </w:r>
      <w:r>
        <w:rPr>
          <w:rStyle w:val="FootnoteReference"/>
          <w:rFonts w:cs="Times New Roman"/>
          <w:noProof/>
          <w:lang w:val="en-IE"/>
        </w:rPr>
        <w:footnoteReference w:id="122"/>
      </w:r>
      <w:r>
        <w:rPr>
          <w:rFonts w:cs="Times New Roman"/>
          <w:noProof/>
          <w:lang w:val="en-IE"/>
        </w:rPr>
        <w:t>. The fact that members of the Council may be re-appointed for several five-year terms as well as the decisive influence of</w:t>
      </w:r>
      <w:r>
        <w:rPr>
          <w:rFonts w:cs="Times New Roman"/>
          <w:noProof/>
          <w:lang w:val="en-IE"/>
        </w:rPr>
        <w:t xml:space="preserve"> the parliamentary majority in the appointment of the body have been raised as potentially compromising the political independence of the regulator</w:t>
      </w:r>
      <w:r>
        <w:rPr>
          <w:rStyle w:val="FootnoteReference"/>
          <w:rFonts w:cs="Times New Roman"/>
          <w:noProof/>
          <w:lang w:val="en-IE"/>
        </w:rPr>
        <w:footnoteReference w:id="123"/>
      </w:r>
      <w:r>
        <w:rPr>
          <w:rFonts w:cs="Times New Roman"/>
          <w:noProof/>
          <w:lang w:val="en-IE"/>
        </w:rPr>
        <w:t>. With the draft</w:t>
      </w:r>
      <w:r>
        <w:rPr>
          <w:rFonts w:cs="Times New Roman"/>
          <w:noProof/>
        </w:rPr>
        <w:t xml:space="preserve"> Act on Electronic Media, the Government intends to introduce further requirements as regard</w:t>
      </w:r>
      <w:r>
        <w:rPr>
          <w:rFonts w:cs="Times New Roman"/>
          <w:noProof/>
        </w:rPr>
        <w:t>s the education, skills and professional experience of potential members of the Council</w:t>
      </w:r>
      <w:r>
        <w:rPr>
          <w:rStyle w:val="FootnoteReference"/>
          <w:rFonts w:cs="Times New Roman"/>
          <w:noProof/>
        </w:rPr>
        <w:footnoteReference w:id="124"/>
      </w:r>
      <w:r>
        <w:rPr>
          <w:rFonts w:cs="Times New Roman"/>
          <w:noProof/>
        </w:rPr>
        <w:t>.</w:t>
      </w:r>
    </w:p>
    <w:p w:rsidR="008A17C5" w:rsidRDefault="00402083">
      <w:pPr>
        <w:rPr>
          <w:rFonts w:cs="Times New Roman"/>
          <w:noProof/>
        </w:rPr>
      </w:pPr>
      <w:r>
        <w:rPr>
          <w:rFonts w:cs="Times New Roman"/>
          <w:b/>
          <w:noProof/>
        </w:rPr>
        <w:t xml:space="preserve">There is no independent, self-regulatory media council </w:t>
      </w:r>
      <w:r>
        <w:rPr>
          <w:rFonts w:cs="Times New Roman"/>
          <w:b/>
          <w:bCs/>
          <w:noProof/>
        </w:rPr>
        <w:t xml:space="preserve">to </w:t>
      </w:r>
      <w:r>
        <w:rPr>
          <w:rFonts w:cs="Times New Roman"/>
          <w:b/>
          <w:noProof/>
        </w:rPr>
        <w:t xml:space="preserve">represent </w:t>
      </w:r>
      <w:r>
        <w:rPr>
          <w:rFonts w:cs="Times New Roman"/>
          <w:b/>
          <w:bCs/>
          <w:noProof/>
        </w:rPr>
        <w:t xml:space="preserve">both </w:t>
      </w:r>
      <w:r>
        <w:rPr>
          <w:rFonts w:cs="Times New Roman"/>
          <w:b/>
          <w:noProof/>
        </w:rPr>
        <w:t xml:space="preserve">the press and news media sector </w:t>
      </w:r>
      <w:r>
        <w:rPr>
          <w:rFonts w:cs="Times New Roman"/>
          <w:b/>
          <w:bCs/>
          <w:noProof/>
        </w:rPr>
        <w:t>as well as</w:t>
      </w:r>
      <w:r>
        <w:rPr>
          <w:rFonts w:cs="Times New Roman"/>
          <w:b/>
          <w:noProof/>
        </w:rPr>
        <w:t xml:space="preserve"> publishers and journalist associations.</w:t>
      </w:r>
      <w:r>
        <w:rPr>
          <w:rFonts w:cs="Times New Roman"/>
          <w:noProof/>
        </w:rPr>
        <w:t xml:space="preserve"> The self-r</w:t>
      </w:r>
      <w:r>
        <w:rPr>
          <w:rFonts w:cs="Times New Roman"/>
          <w:noProof/>
        </w:rPr>
        <w:t>egulatory Code of Ethics of the Croatian Journalists’ Association is limited in scope to the journalists represented in the association, and does not seem to be sufficiently well recognised to protect journalists in practice</w:t>
      </w:r>
      <w:r>
        <w:rPr>
          <w:rStyle w:val="FootnoteReference"/>
          <w:rFonts w:cs="Times New Roman"/>
          <w:noProof/>
        </w:rPr>
        <w:footnoteReference w:id="125"/>
      </w:r>
      <w:r>
        <w:rPr>
          <w:rFonts w:cs="Times New Roman"/>
          <w:noProof/>
        </w:rPr>
        <w:t xml:space="preserve">. The Ministry for Culture and </w:t>
      </w:r>
      <w:r>
        <w:rPr>
          <w:rFonts w:cs="Times New Roman"/>
          <w:noProof/>
        </w:rPr>
        <w:t>Media is considering to support the constitution of an independent, self-regulatory media council in the context of the proposal for a new Media Act</w:t>
      </w:r>
      <w:r>
        <w:rPr>
          <w:rStyle w:val="FootnoteReference"/>
          <w:rFonts w:cs="Times New Roman"/>
          <w:noProof/>
        </w:rPr>
        <w:footnoteReference w:id="126"/>
      </w:r>
      <w:r>
        <w:rPr>
          <w:rFonts w:cs="Times New Roman"/>
          <w:noProof/>
        </w:rPr>
        <w:t>.</w:t>
      </w:r>
    </w:p>
    <w:p w:rsidR="008A17C5" w:rsidRDefault="00402083">
      <w:pPr>
        <w:rPr>
          <w:rFonts w:cs="Times New Roman"/>
          <w:noProof/>
          <w:lang w:val="en-IE"/>
        </w:rPr>
      </w:pPr>
      <w:r>
        <w:rPr>
          <w:rFonts w:cs="Times New Roman"/>
          <w:b/>
          <w:noProof/>
        </w:rPr>
        <w:t>Further improvements of the framework for the transparency of media ownership information are planned.</w:t>
      </w:r>
      <w:r>
        <w:rPr>
          <w:rFonts w:cs="Times New Roman"/>
          <w:noProof/>
        </w:rPr>
        <w:t xml:space="preserve"> In</w:t>
      </w:r>
      <w:r>
        <w:rPr>
          <w:rFonts w:cs="Times New Roman"/>
          <w:noProof/>
        </w:rPr>
        <w:t xml:space="preserve"> its draft for the revised Electronic Media Act, the Government intends to make the available information more comprehensive by requiring to include an extract from the register of ultimate beneficial ownership and requiring the registration of electronic </w:t>
      </w:r>
      <w:r>
        <w:rPr>
          <w:rFonts w:cs="Times New Roman"/>
          <w:noProof/>
        </w:rPr>
        <w:t>publications</w:t>
      </w:r>
      <w:r>
        <w:rPr>
          <w:rStyle w:val="FootnoteReference"/>
          <w:rFonts w:cs="Times New Roman"/>
          <w:noProof/>
        </w:rPr>
        <w:footnoteReference w:id="127"/>
      </w:r>
      <w:r>
        <w:rPr>
          <w:rFonts w:cs="Times New Roman"/>
          <w:noProof/>
        </w:rPr>
        <w:t>.</w:t>
      </w:r>
      <w:r>
        <w:rPr>
          <w:noProof/>
        </w:rPr>
        <w:t xml:space="preserve"> </w:t>
      </w:r>
      <w:r>
        <w:rPr>
          <w:rFonts w:cs="Times New Roman"/>
          <w:noProof/>
        </w:rPr>
        <w:t xml:space="preserve">Currently, information on media ownership concerning audiovisual and digital media is made available on the website of the Agency for Electronic Media. Information on print media is collected by the Chamber of Commerce and is published in </w:t>
      </w:r>
      <w:r>
        <w:rPr>
          <w:rFonts w:cs="Times New Roman"/>
          <w:noProof/>
        </w:rPr>
        <w:t>the Official Journal</w:t>
      </w:r>
      <w:r>
        <w:rPr>
          <w:rStyle w:val="FootnoteReference"/>
          <w:rFonts w:cs="Times New Roman"/>
          <w:noProof/>
        </w:rPr>
        <w:footnoteReference w:id="128"/>
      </w:r>
      <w:r>
        <w:rPr>
          <w:rFonts w:cs="Times New Roman"/>
          <w:noProof/>
        </w:rPr>
        <w:t>. The 2021 Media Pluralism Monitor indicator on transparency of media ownership shows a medium risk, pointing out that the identity of the ultimate beneficial owner can be concealed under the current framework</w:t>
      </w:r>
      <w:r>
        <w:rPr>
          <w:rStyle w:val="FootnoteReference"/>
          <w:rFonts w:cs="Times New Roman"/>
          <w:noProof/>
        </w:rPr>
        <w:footnoteReference w:id="129"/>
      </w:r>
      <w:r>
        <w:rPr>
          <w:rFonts w:cs="Times New Roman"/>
          <w:noProof/>
        </w:rPr>
        <w:t>. Stakeholders claim that</w:t>
      </w:r>
      <w:r>
        <w:rPr>
          <w:rFonts w:cs="Times New Roman"/>
          <w:noProof/>
        </w:rPr>
        <w:t xml:space="preserve"> the register maintained by the Agency for Electronic Media may have gaps as regards the coverage of electronic publications</w:t>
      </w:r>
      <w:r>
        <w:rPr>
          <w:rStyle w:val="FootnoteReference"/>
          <w:rFonts w:cs="Times New Roman"/>
          <w:noProof/>
        </w:rPr>
        <w:footnoteReference w:id="130"/>
      </w:r>
      <w:r>
        <w:rPr>
          <w:rFonts w:cs="Times New Roman"/>
          <w:noProof/>
        </w:rPr>
        <w:t>. According to the 2021 Media Pluralism Monitor, in Croatia we observe high market shares of leading media outlets in different mar</w:t>
      </w:r>
      <w:r>
        <w:rPr>
          <w:rFonts w:cs="Times New Roman"/>
          <w:noProof/>
        </w:rPr>
        <w:t>ket segments</w:t>
      </w:r>
      <w:r>
        <w:rPr>
          <w:rFonts w:cs="Times New Roman"/>
          <w:noProof/>
          <w:vertAlign w:val="superscript"/>
        </w:rPr>
        <w:footnoteReference w:id="131"/>
      </w:r>
      <w:r>
        <w:rPr>
          <w:rFonts w:cs="Times New Roman"/>
          <w:noProof/>
        </w:rPr>
        <w:t>.</w:t>
      </w:r>
    </w:p>
    <w:p w:rsidR="008A17C5" w:rsidRDefault="00402083">
      <w:pPr>
        <w:rPr>
          <w:rFonts w:cs="Times New Roman"/>
          <w:noProof/>
          <w:szCs w:val="24"/>
        </w:rPr>
      </w:pPr>
      <w:r>
        <w:rPr>
          <w:rFonts w:cs="Times New Roman"/>
          <w:b/>
          <w:noProof/>
          <w:color w:val="000000" w:themeColor="text1"/>
          <w:szCs w:val="24"/>
        </w:rPr>
        <w:t>While there are basic rules in place governing state advertising</w:t>
      </w:r>
      <w:r>
        <w:rPr>
          <w:rStyle w:val="FootnoteReference"/>
          <w:rFonts w:cs="Times New Roman"/>
          <w:b/>
          <w:noProof/>
          <w:color w:val="000000" w:themeColor="text1"/>
          <w:szCs w:val="24"/>
        </w:rPr>
        <w:footnoteReference w:id="132"/>
      </w:r>
      <w:r>
        <w:rPr>
          <w:rFonts w:cs="Times New Roman"/>
          <w:b/>
          <w:noProof/>
          <w:color w:val="000000" w:themeColor="text1"/>
          <w:szCs w:val="24"/>
        </w:rPr>
        <w:t>, stakeholders report that state advertising often undermines the political independence of media outlets, notably at local level</w:t>
      </w:r>
      <w:r>
        <w:rPr>
          <w:rStyle w:val="FootnoteReference"/>
          <w:rFonts w:cs="Times New Roman"/>
          <w:b/>
          <w:noProof/>
          <w:color w:val="000000" w:themeColor="text1"/>
          <w:szCs w:val="24"/>
        </w:rPr>
        <w:footnoteReference w:id="133"/>
      </w:r>
      <w:r>
        <w:rPr>
          <w:rFonts w:cs="Times New Roman"/>
          <w:b/>
          <w:noProof/>
          <w:color w:val="000000" w:themeColor="text1"/>
          <w:szCs w:val="24"/>
        </w:rPr>
        <w:t>.</w:t>
      </w:r>
      <w:r>
        <w:rPr>
          <w:rFonts w:cs="Times New Roman"/>
          <w:noProof/>
          <w:color w:val="000000" w:themeColor="text1"/>
          <w:szCs w:val="24"/>
        </w:rPr>
        <w:t xml:space="preserve"> The Electronic Media Act stipulates that pub</w:t>
      </w:r>
      <w:r>
        <w:rPr>
          <w:rFonts w:cs="Times New Roman"/>
          <w:noProof/>
          <w:color w:val="000000" w:themeColor="text1"/>
          <w:szCs w:val="24"/>
        </w:rPr>
        <w:t>lic institutions and predominately state-owned companies are required to use 15% of their annual funds earmarked for the promotion of their services or activities, for advertising in regional or local television or radio programmes</w:t>
      </w:r>
      <w:r>
        <w:rPr>
          <w:rStyle w:val="FootnoteReference"/>
          <w:rFonts w:cs="Times New Roman"/>
          <w:noProof/>
          <w:color w:val="000000" w:themeColor="text1"/>
          <w:szCs w:val="24"/>
        </w:rPr>
        <w:footnoteReference w:id="134"/>
      </w:r>
      <w:r>
        <w:rPr>
          <w:rFonts w:cs="Times New Roman"/>
          <w:noProof/>
          <w:color w:val="000000" w:themeColor="text1"/>
          <w:szCs w:val="24"/>
        </w:rPr>
        <w:t>. The 2021 Media Plurali</w:t>
      </w:r>
      <w:r>
        <w:rPr>
          <w:rFonts w:cs="Times New Roman"/>
          <w:noProof/>
          <w:color w:val="000000" w:themeColor="text1"/>
          <w:szCs w:val="24"/>
        </w:rPr>
        <w:t>sm Monitor concludes that under the current framework “</w:t>
      </w:r>
      <w:r>
        <w:rPr>
          <w:i/>
          <w:noProof/>
          <w:color w:val="000000" w:themeColor="text1"/>
        </w:rPr>
        <w:t xml:space="preserve">broadcasters [are] often dependent on regional </w:t>
      </w:r>
      <w:r>
        <w:rPr>
          <w:i/>
          <w:noProof/>
        </w:rPr>
        <w:t>and local politics while newspapers often support policies and viewpoints in line with the political leaning of ownership</w:t>
      </w:r>
      <w:r>
        <w:rPr>
          <w:rFonts w:cs="Times New Roman"/>
          <w:noProof/>
          <w:szCs w:val="24"/>
        </w:rPr>
        <w:t>”</w:t>
      </w:r>
      <w:r>
        <w:rPr>
          <w:rStyle w:val="FootnoteReference"/>
          <w:rFonts w:cs="Times New Roman"/>
          <w:noProof/>
          <w:szCs w:val="24"/>
        </w:rPr>
        <w:footnoteReference w:id="135"/>
      </w:r>
      <w:r>
        <w:rPr>
          <w:rFonts w:cs="Times New Roman"/>
          <w:noProof/>
          <w:szCs w:val="24"/>
        </w:rPr>
        <w:t>. In particular, regional and l</w:t>
      </w:r>
      <w:r>
        <w:rPr>
          <w:rFonts w:cs="Times New Roman"/>
          <w:noProof/>
          <w:szCs w:val="24"/>
        </w:rPr>
        <w:t>ocal media outlets are often considered heavily dependent on the advertising from local authorities, creating potential to undermine editorial independence</w:t>
      </w:r>
      <w:r>
        <w:rPr>
          <w:rStyle w:val="FootnoteReference"/>
          <w:rFonts w:cs="Times New Roman"/>
          <w:noProof/>
          <w:szCs w:val="24"/>
        </w:rPr>
        <w:footnoteReference w:id="136"/>
      </w:r>
      <w:r>
        <w:rPr>
          <w:rFonts w:cs="Times New Roman"/>
          <w:noProof/>
          <w:szCs w:val="24"/>
        </w:rPr>
        <w:t>.</w:t>
      </w:r>
    </w:p>
    <w:p w:rsidR="008A17C5" w:rsidRDefault="00402083">
      <w:pPr>
        <w:rPr>
          <w:rFonts w:cs="Times New Roman"/>
          <w:noProof/>
          <w:color w:val="000000" w:themeColor="text1"/>
          <w:szCs w:val="24"/>
        </w:rPr>
      </w:pPr>
      <w:r>
        <w:rPr>
          <w:rFonts w:cs="Times New Roman"/>
          <w:b/>
          <w:noProof/>
          <w:szCs w:val="24"/>
        </w:rPr>
        <w:t>Croatian authorities took some media-specific measures to mitigate the impact of COVID-19 pandemic</w:t>
      </w:r>
      <w:r>
        <w:rPr>
          <w:rFonts w:cs="Times New Roman"/>
          <w:b/>
          <w:noProof/>
          <w:szCs w:val="24"/>
        </w:rPr>
        <w:t>.</w:t>
      </w:r>
      <w:r>
        <w:rPr>
          <w:rFonts w:cs="Times New Roman"/>
          <w:noProof/>
          <w:szCs w:val="24"/>
        </w:rPr>
        <w:t xml:space="preserve"> As a result of the pandemic, newspaper sales and advertising revenues dropped, and many media outlets cut wages and laid off staff</w:t>
      </w:r>
      <w:r>
        <w:rPr>
          <w:rStyle w:val="FootnoteReference"/>
          <w:rFonts w:cs="Times New Roman"/>
          <w:noProof/>
          <w:szCs w:val="24"/>
        </w:rPr>
        <w:footnoteReference w:id="137"/>
      </w:r>
      <w:r>
        <w:rPr>
          <w:rFonts w:cs="Times New Roman"/>
          <w:noProof/>
          <w:szCs w:val="24"/>
        </w:rPr>
        <w:t>. Freelance journalists have been particularly affected</w:t>
      </w:r>
      <w:r>
        <w:rPr>
          <w:rStyle w:val="FootnoteReference"/>
          <w:rFonts w:cs="Times New Roman"/>
          <w:noProof/>
          <w:szCs w:val="24"/>
        </w:rPr>
        <w:footnoteReference w:id="138"/>
      </w:r>
      <w:r>
        <w:rPr>
          <w:rFonts w:cs="Times New Roman"/>
          <w:noProof/>
          <w:szCs w:val="24"/>
        </w:rPr>
        <w:t>. The Trade Union of Croatian Journalists considers that the workin</w:t>
      </w:r>
      <w:r>
        <w:rPr>
          <w:rFonts w:cs="Times New Roman"/>
          <w:noProof/>
          <w:szCs w:val="24"/>
        </w:rPr>
        <w:t>g conditions of journalists have deteriorated considerably during the pandemic</w:t>
      </w:r>
      <w:r>
        <w:rPr>
          <w:rStyle w:val="FootnoteReference"/>
          <w:rFonts w:cs="Times New Roman"/>
          <w:noProof/>
          <w:szCs w:val="24"/>
        </w:rPr>
        <w:footnoteReference w:id="139"/>
      </w:r>
      <w:r>
        <w:rPr>
          <w:rFonts w:cs="Times New Roman"/>
          <w:noProof/>
          <w:szCs w:val="24"/>
        </w:rPr>
        <w:t xml:space="preserve">. </w:t>
      </w:r>
      <w:r>
        <w:rPr>
          <w:rFonts w:cs="Times New Roman"/>
          <w:noProof/>
          <w:szCs w:val="24"/>
          <w:lang w:val="en-IE"/>
        </w:rPr>
        <w:t xml:space="preserve">Media companies were able to benefit from general relief programmes of the Government. </w:t>
      </w:r>
      <w:r>
        <w:rPr>
          <w:rFonts w:cs="Times New Roman"/>
          <w:noProof/>
          <w:color w:val="000000" w:themeColor="text1"/>
          <w:szCs w:val="24"/>
        </w:rPr>
        <w:t>Reacting to the calls for aid from stakeholders, the Government issued a public call via</w:t>
      </w:r>
      <w:r>
        <w:rPr>
          <w:rFonts w:cs="Times New Roman"/>
          <w:noProof/>
          <w:color w:val="000000" w:themeColor="text1"/>
          <w:szCs w:val="24"/>
        </w:rPr>
        <w:t xml:space="preserve"> the Agency for Electronic Media to support freelance journalists and part-time media workers</w:t>
      </w:r>
      <w:r>
        <w:rPr>
          <w:rStyle w:val="FootnoteReference"/>
          <w:rFonts w:cs="Times New Roman"/>
          <w:noProof/>
          <w:color w:val="000000" w:themeColor="text1"/>
          <w:szCs w:val="24"/>
        </w:rPr>
        <w:footnoteReference w:id="140"/>
      </w:r>
      <w:r>
        <w:rPr>
          <w:rFonts w:cs="Times New Roman"/>
          <w:noProof/>
          <w:color w:val="000000" w:themeColor="text1"/>
          <w:szCs w:val="24"/>
        </w:rPr>
        <w:t>.</w:t>
      </w:r>
    </w:p>
    <w:p w:rsidR="008A17C5" w:rsidRDefault="00402083">
      <w:pPr>
        <w:rPr>
          <w:rFonts w:cs="Times New Roman"/>
          <w:noProof/>
        </w:rPr>
      </w:pPr>
      <w:r>
        <w:rPr>
          <w:rFonts w:cs="Times New Roman"/>
          <w:b/>
          <w:noProof/>
        </w:rPr>
        <w:t>Access to information is ensured by law, but considerable delays in the processing of requests from journalists by public authorities persist</w:t>
      </w:r>
      <w:r>
        <w:rPr>
          <w:rStyle w:val="FootnoteReference"/>
          <w:rFonts w:cs="Times New Roman"/>
          <w:noProof/>
        </w:rPr>
        <w:footnoteReference w:id="141"/>
      </w:r>
      <w:r>
        <w:rPr>
          <w:rFonts w:cs="Times New Roman"/>
          <w:noProof/>
        </w:rPr>
        <w:t xml:space="preserve">. </w:t>
      </w:r>
      <w:r>
        <w:rPr>
          <w:rFonts w:cs="Times New Roman"/>
          <w:noProof/>
          <w:color w:val="000000" w:themeColor="text1"/>
        </w:rPr>
        <w:t xml:space="preserve">The </w:t>
      </w:r>
      <w:r>
        <w:rPr>
          <w:rFonts w:cs="Times New Roman"/>
          <w:noProof/>
          <w:color w:val="000000" w:themeColor="text1"/>
        </w:rPr>
        <w:t>implementation of the Right of Access to Information Act</w:t>
      </w:r>
      <w:r>
        <w:rPr>
          <w:rStyle w:val="FootnoteReference"/>
          <w:rFonts w:cs="Times New Roman"/>
          <w:noProof/>
          <w:color w:val="000000" w:themeColor="text1"/>
        </w:rPr>
        <w:footnoteReference w:id="142"/>
      </w:r>
      <w:r>
        <w:rPr>
          <w:rFonts w:cs="Times New Roman"/>
          <w:noProof/>
          <w:color w:val="000000" w:themeColor="text1"/>
        </w:rPr>
        <w:t xml:space="preserve"> is ensured by the Information Commissioner and its office. </w:t>
      </w:r>
      <w:r>
        <w:rPr>
          <w:rFonts w:cs="Times New Roman"/>
          <w:noProof/>
        </w:rPr>
        <w:t>In a significant number of cases, the direct intervention of the Office of the Information Commissioner is required to ensure the follow up</w:t>
      </w:r>
      <w:r>
        <w:rPr>
          <w:rFonts w:cs="Times New Roman"/>
          <w:noProof/>
        </w:rPr>
        <w:t xml:space="preserve"> on access of information requests by journalists</w:t>
      </w:r>
      <w:r>
        <w:rPr>
          <w:rStyle w:val="FootnoteReference"/>
          <w:rFonts w:cs="Times New Roman"/>
          <w:noProof/>
        </w:rPr>
        <w:footnoteReference w:id="143"/>
      </w:r>
      <w:r>
        <w:rPr>
          <w:rFonts w:cs="Times New Roman"/>
          <w:noProof/>
        </w:rPr>
        <w:t>. The 2021 Media Pluralism Monitor indicates a medium risk related to the protection of the right to information</w:t>
      </w:r>
      <w:r>
        <w:rPr>
          <w:rStyle w:val="FootnoteReference"/>
          <w:rFonts w:cs="Times New Roman"/>
          <w:noProof/>
          <w:color w:val="000000" w:themeColor="text1"/>
        </w:rPr>
        <w:footnoteReference w:id="144"/>
      </w:r>
      <w:r>
        <w:rPr>
          <w:rFonts w:cs="Times New Roman"/>
          <w:noProof/>
          <w:color w:val="000000" w:themeColor="text1"/>
        </w:rPr>
        <w:t xml:space="preserve">. GRECO has recommended that </w:t>
      </w:r>
      <w:r>
        <w:rPr>
          <w:rFonts w:cs="Times New Roman"/>
          <w:noProof/>
        </w:rPr>
        <w:t>measures should be taken to strengthen the enforcement of decisi</w:t>
      </w:r>
      <w:r>
        <w:rPr>
          <w:rFonts w:cs="Times New Roman"/>
          <w:noProof/>
        </w:rPr>
        <w:t>ons of the Information Commissioner in line with the Act</w:t>
      </w:r>
      <w:r>
        <w:rPr>
          <w:rStyle w:val="FootnoteReference"/>
          <w:rFonts w:cs="Times New Roman"/>
          <w:noProof/>
        </w:rPr>
        <w:footnoteReference w:id="145"/>
      </w:r>
      <w:r>
        <w:rPr>
          <w:rFonts w:cs="Times New Roman"/>
          <w:noProof/>
        </w:rPr>
        <w:t>.</w:t>
      </w:r>
    </w:p>
    <w:p w:rsidR="008A17C5" w:rsidRDefault="00402083">
      <w:pPr>
        <w:rPr>
          <w:rFonts w:cs="Times New Roman"/>
          <w:noProof/>
          <w:color w:val="000000" w:themeColor="text1"/>
        </w:rPr>
      </w:pPr>
      <w:r>
        <w:rPr>
          <w:rFonts w:cs="Times New Roman"/>
          <w:b/>
          <w:noProof/>
        </w:rPr>
        <w:t>A legal framework for the protection of journalists is in place, but journalists remain a target of hate speech and threats, both online and offline</w:t>
      </w:r>
      <w:r>
        <w:rPr>
          <w:rStyle w:val="FootnoteReference"/>
          <w:rFonts w:cs="Times New Roman"/>
          <w:b/>
          <w:noProof/>
        </w:rPr>
        <w:footnoteReference w:id="146"/>
      </w:r>
      <w:r>
        <w:rPr>
          <w:rFonts w:cs="Times New Roman"/>
          <w:noProof/>
        </w:rPr>
        <w:t xml:space="preserve">. </w:t>
      </w:r>
      <w:r>
        <w:rPr>
          <w:rFonts w:cs="Times New Roman"/>
          <w:noProof/>
          <w:color w:val="000000" w:themeColor="text1"/>
        </w:rPr>
        <w:t>A number of prominent cases have concerned ver</w:t>
      </w:r>
      <w:r>
        <w:rPr>
          <w:rFonts w:cs="Times New Roman"/>
          <w:noProof/>
          <w:color w:val="000000" w:themeColor="text1"/>
        </w:rPr>
        <w:t>bal attacks by politicians against journalists, highlighting tensions in the relationship between some politicians and the media</w:t>
      </w:r>
      <w:r>
        <w:rPr>
          <w:rStyle w:val="FootnoteReference"/>
          <w:rFonts w:cs="Times New Roman"/>
          <w:noProof/>
          <w:color w:val="000000" w:themeColor="text1"/>
        </w:rPr>
        <w:footnoteReference w:id="147"/>
      </w:r>
      <w:r>
        <w:rPr>
          <w:rFonts w:cs="Times New Roman"/>
          <w:noProof/>
          <w:color w:val="000000" w:themeColor="text1"/>
        </w:rPr>
        <w:t>. Furthermore, s</w:t>
      </w:r>
      <w:r>
        <w:rPr>
          <w:rFonts w:cs="Times New Roman"/>
          <w:noProof/>
        </w:rPr>
        <w:t>erious concerns were expressed by stakeholders regarding the alleged dismissal or threats of dismissal by the C</w:t>
      </w:r>
      <w:r>
        <w:rPr>
          <w:rFonts w:cs="Times New Roman"/>
          <w:noProof/>
        </w:rPr>
        <w:t>roatian Radio-Television against the representatives of the Trade Union of Croatian Journalists and the Croatian Journalists' Association</w:t>
      </w:r>
      <w:r>
        <w:rPr>
          <w:rStyle w:val="FootnoteReference"/>
          <w:rFonts w:cs="Times New Roman"/>
          <w:noProof/>
        </w:rPr>
        <w:footnoteReference w:id="148"/>
      </w:r>
      <w:r>
        <w:rPr>
          <w:rFonts w:cs="Times New Roman"/>
          <w:noProof/>
        </w:rPr>
        <w:t>. Since October 2020, the Council of Europe’s Platform to promote the protection of journalism and safety of journalis</w:t>
      </w:r>
      <w:r>
        <w:rPr>
          <w:rFonts w:cs="Times New Roman"/>
          <w:noProof/>
        </w:rPr>
        <w:t>ts has registered five alerts relating to events in Croatia, notably concerning instances of threats or insults against journalists as well as a defamation lawsuit against a media outlet</w:t>
      </w:r>
      <w:r>
        <w:rPr>
          <w:rStyle w:val="FootnoteReference"/>
          <w:rFonts w:cs="Times New Roman"/>
          <w:noProof/>
        </w:rPr>
        <w:footnoteReference w:id="149"/>
      </w:r>
      <w:r>
        <w:rPr>
          <w:rFonts w:cs="Times New Roman"/>
          <w:noProof/>
        </w:rPr>
        <w:t xml:space="preserve">. While there were instances of physical attacks against journalists </w:t>
      </w:r>
      <w:r>
        <w:rPr>
          <w:rFonts w:cs="Times New Roman"/>
          <w:noProof/>
        </w:rPr>
        <w:t>in 2020, this does not seem to be a widespread concern, and police authorities follow-up on such cases</w:t>
      </w:r>
      <w:r>
        <w:rPr>
          <w:rStyle w:val="FootnoteReference"/>
          <w:rFonts w:cs="Times New Roman"/>
          <w:noProof/>
        </w:rPr>
        <w:footnoteReference w:id="150"/>
      </w:r>
      <w:r>
        <w:rPr>
          <w:rFonts w:cs="Times New Roman"/>
          <w:noProof/>
        </w:rPr>
        <w:t>.</w:t>
      </w:r>
    </w:p>
    <w:p w:rsidR="008A17C5" w:rsidRDefault="00402083">
      <w:pPr>
        <w:rPr>
          <w:rFonts w:eastAsia="Times New Roman" w:cs="Times New Roman"/>
          <w:noProof/>
          <w:szCs w:val="20"/>
          <w:lang w:eastAsia="fr-FR"/>
        </w:rPr>
      </w:pPr>
      <w:r>
        <w:rPr>
          <w:rFonts w:cs="Times New Roman"/>
          <w:b/>
          <w:noProof/>
          <w:szCs w:val="24"/>
        </w:rPr>
        <w:t>Strategic lawsuits against public participation (SLAPPs) targeting journalists continue to be a serious concern</w:t>
      </w:r>
      <w:r>
        <w:rPr>
          <w:rStyle w:val="FootnoteReference"/>
          <w:rFonts w:cs="Times New Roman"/>
          <w:noProof/>
          <w:szCs w:val="24"/>
        </w:rPr>
        <w:footnoteReference w:id="151"/>
      </w:r>
      <w:r>
        <w:rPr>
          <w:rFonts w:cs="Times New Roman"/>
          <w:noProof/>
          <w:szCs w:val="24"/>
        </w:rPr>
        <w:t>. A survey by the Croatian Journalists’</w:t>
      </w:r>
      <w:r>
        <w:rPr>
          <w:rFonts w:cs="Times New Roman"/>
          <w:noProof/>
          <w:szCs w:val="24"/>
        </w:rPr>
        <w:t xml:space="preserve"> Association in April 2021, counted 924 active lawsuits against journalists and the media in Croatia</w:t>
      </w:r>
      <w:r>
        <w:rPr>
          <w:rStyle w:val="FootnoteReference"/>
          <w:rFonts w:cs="Times New Roman"/>
          <w:noProof/>
          <w:szCs w:val="24"/>
        </w:rPr>
        <w:footnoteReference w:id="152"/>
      </w:r>
      <w:r>
        <w:rPr>
          <w:rFonts w:cs="Times New Roman"/>
          <w:noProof/>
          <w:szCs w:val="24"/>
        </w:rPr>
        <w:t xml:space="preserve"> (compared to 905 in 2020</w:t>
      </w:r>
      <w:r>
        <w:rPr>
          <w:rStyle w:val="FootnoteReference"/>
          <w:rFonts w:cs="Times New Roman"/>
          <w:noProof/>
          <w:szCs w:val="24"/>
        </w:rPr>
        <w:footnoteReference w:id="153"/>
      </w:r>
      <w:r>
        <w:rPr>
          <w:rFonts w:cs="Times New Roman"/>
          <w:noProof/>
          <w:szCs w:val="24"/>
        </w:rPr>
        <w:t xml:space="preserve">). The association highlights that these lawsuits have a strong impact on the concerned media outlets, threatening in particular </w:t>
      </w:r>
      <w:r>
        <w:rPr>
          <w:rFonts w:cs="Times New Roman"/>
          <w:noProof/>
          <w:szCs w:val="24"/>
        </w:rPr>
        <w:t>the existence of smaller, local media outlets and freelance journalists</w:t>
      </w:r>
      <w:r>
        <w:rPr>
          <w:rStyle w:val="FootnoteReference"/>
          <w:rFonts w:cs="Times New Roman"/>
          <w:noProof/>
          <w:szCs w:val="24"/>
        </w:rPr>
        <w:footnoteReference w:id="154"/>
      </w:r>
      <w:r>
        <w:rPr>
          <w:rFonts w:cs="Times New Roman"/>
          <w:noProof/>
          <w:szCs w:val="24"/>
        </w:rPr>
        <w:t xml:space="preserve">. </w:t>
      </w:r>
      <w:r>
        <w:rPr>
          <w:rFonts w:cs="Times New Roman"/>
          <w:noProof/>
          <w:color w:val="000000" w:themeColor="text1"/>
          <w:szCs w:val="24"/>
        </w:rPr>
        <w:t>Examples of such cases include lawsuits against journalists by prominent politicians or public officials</w:t>
      </w:r>
      <w:r>
        <w:rPr>
          <w:rFonts w:cs="Times New Roman"/>
          <w:noProof/>
          <w:color w:val="000000" w:themeColor="text1"/>
          <w:szCs w:val="24"/>
          <w:vertAlign w:val="superscript"/>
          <w:lang w:val="en-IE"/>
        </w:rPr>
        <w:footnoteReference w:id="155"/>
      </w:r>
      <w:r>
        <w:rPr>
          <w:rFonts w:cs="Times New Roman"/>
          <w:noProof/>
          <w:color w:val="000000" w:themeColor="text1"/>
          <w:szCs w:val="24"/>
        </w:rPr>
        <w:t xml:space="preserve">. </w:t>
      </w:r>
      <w:r>
        <w:rPr>
          <w:rFonts w:cs="Times New Roman"/>
          <w:noProof/>
          <w:szCs w:val="24"/>
        </w:rPr>
        <w:t>While courts often rule in favour of the concerned journalists</w:t>
      </w:r>
      <w:r>
        <w:rPr>
          <w:rStyle w:val="FootnoteReference"/>
          <w:rFonts w:cs="Times New Roman"/>
          <w:noProof/>
          <w:szCs w:val="24"/>
        </w:rPr>
        <w:footnoteReference w:id="156"/>
      </w:r>
      <w:r>
        <w:rPr>
          <w:rFonts w:cs="Times New Roman"/>
          <w:noProof/>
          <w:szCs w:val="24"/>
        </w:rPr>
        <w:t>, SLAPPs pos</w:t>
      </w:r>
      <w:r>
        <w:rPr>
          <w:rFonts w:cs="Times New Roman"/>
          <w:noProof/>
          <w:szCs w:val="24"/>
        </w:rPr>
        <w:t xml:space="preserve">e a significant financial risk to journalists and can have an important intimidating effect. Many of the SLAPP cases against journalist are based on charges </w:t>
      </w:r>
      <w:r>
        <w:rPr>
          <w:rFonts w:cs="Times New Roman"/>
          <w:noProof/>
          <w:color w:val="000000" w:themeColor="text1"/>
          <w:szCs w:val="24"/>
        </w:rPr>
        <w:t>of defamation</w:t>
      </w:r>
      <w:r>
        <w:rPr>
          <w:rStyle w:val="FootnoteReference"/>
          <w:rFonts w:cs="Times New Roman"/>
          <w:noProof/>
          <w:color w:val="000000" w:themeColor="text1"/>
          <w:szCs w:val="24"/>
        </w:rPr>
        <w:footnoteReference w:id="157"/>
      </w:r>
      <w:r>
        <w:rPr>
          <w:rFonts w:cs="Times New Roman"/>
          <w:noProof/>
          <w:color w:val="000000" w:themeColor="text1"/>
          <w:szCs w:val="24"/>
        </w:rPr>
        <w:t xml:space="preserve">. </w:t>
      </w:r>
      <w:r>
        <w:rPr>
          <w:rFonts w:cs="Times New Roman"/>
          <w:noProof/>
          <w:szCs w:val="24"/>
        </w:rPr>
        <w:t xml:space="preserve">Stakeholders have called upon the Government to address this issue, including to </w:t>
      </w:r>
      <w:r>
        <w:rPr>
          <w:rFonts w:cs="Times New Roman"/>
          <w:noProof/>
          <w:szCs w:val="24"/>
        </w:rPr>
        <w:t>decriminalise defamation</w:t>
      </w:r>
      <w:r>
        <w:rPr>
          <w:rStyle w:val="FootnoteReference"/>
          <w:rFonts w:cs="Times New Roman"/>
          <w:noProof/>
          <w:szCs w:val="24"/>
        </w:rPr>
        <w:footnoteReference w:id="158"/>
      </w:r>
      <w:r>
        <w:rPr>
          <w:rFonts w:cs="Times New Roman"/>
          <w:noProof/>
          <w:szCs w:val="24"/>
        </w:rPr>
        <w:t>. Croatian authorities have set up an expert group to advise on policy initiatives to counter SLAPPs.</w:t>
      </w:r>
    </w:p>
    <w:p w:rsidR="008A17C5" w:rsidRDefault="00402083">
      <w:pPr>
        <w:pStyle w:val="Heading1"/>
        <w:rPr>
          <w:noProof/>
          <w:lang w:val="en-IE"/>
        </w:rPr>
      </w:pPr>
      <w:r>
        <w:rPr>
          <w:noProof/>
          <w:lang w:val="en-IE"/>
        </w:rPr>
        <w:t>Other Institutional Issues related to Checks and Balances</w:t>
      </w:r>
    </w:p>
    <w:p w:rsidR="008A17C5" w:rsidRDefault="00402083">
      <w:pPr>
        <w:rPr>
          <w:rFonts w:eastAsia="Calibri"/>
          <w:noProof/>
          <w:szCs w:val="24"/>
          <w:lang w:val="en-IE"/>
        </w:rPr>
      </w:pPr>
      <w:r>
        <w:rPr>
          <w:rFonts w:eastAsia="Calibri"/>
          <w:noProof/>
          <w:szCs w:val="24"/>
          <w:lang w:val="en-IE"/>
        </w:rPr>
        <w:t>Croatia has a unicameral parliamentary system of government, in which t</w:t>
      </w:r>
      <w:r>
        <w:rPr>
          <w:rFonts w:eastAsia="Calibri"/>
          <w:noProof/>
          <w:szCs w:val="24"/>
          <w:lang w:val="en-IE"/>
        </w:rPr>
        <w:t xml:space="preserve">he Constitutional Court can carry out </w:t>
      </w:r>
      <w:r>
        <w:rPr>
          <w:rFonts w:eastAsia="Calibri"/>
          <w:i/>
          <w:noProof/>
          <w:szCs w:val="24"/>
          <w:lang w:val="en-IE"/>
        </w:rPr>
        <w:t>ex-post</w:t>
      </w:r>
      <w:r>
        <w:rPr>
          <w:rFonts w:eastAsia="Calibri"/>
          <w:noProof/>
          <w:szCs w:val="24"/>
          <w:lang w:val="en-IE"/>
        </w:rPr>
        <w:t xml:space="preserve"> constitutional reviews, including in concrete cases based on a constitutional complaint. Draft laws can be tabled by any member of the Parliament or the Government. The People’s Ombudsperson, who is responsible</w:t>
      </w:r>
      <w:r>
        <w:rPr>
          <w:rFonts w:eastAsia="Calibri"/>
          <w:noProof/>
          <w:szCs w:val="24"/>
          <w:lang w:val="en-IE"/>
        </w:rPr>
        <w:t xml:space="preserve"> for the promotion and protection of human rights and freedoms, the Information Commissioner, and the Ombudsperson for Gender Equality</w:t>
      </w:r>
      <w:r>
        <w:rPr>
          <w:rStyle w:val="FootnoteReference"/>
          <w:rFonts w:eastAsia="Calibri"/>
          <w:noProof/>
          <w:szCs w:val="24"/>
          <w:lang w:val="en-IE"/>
        </w:rPr>
        <w:footnoteReference w:id="159"/>
      </w:r>
      <w:r>
        <w:rPr>
          <w:rFonts w:eastAsia="Calibri"/>
          <w:noProof/>
          <w:szCs w:val="24"/>
          <w:lang w:val="en-IE"/>
        </w:rPr>
        <w:t>, which fulfils the role of the equality body, are all independent bodies that play a role in the system of checks and ba</w:t>
      </w:r>
      <w:r>
        <w:rPr>
          <w:rFonts w:eastAsia="Calibri"/>
          <w:noProof/>
          <w:szCs w:val="24"/>
          <w:lang w:val="en-IE"/>
        </w:rPr>
        <w:t xml:space="preserve">lances. </w:t>
      </w:r>
    </w:p>
    <w:p w:rsidR="008A17C5" w:rsidRDefault="00402083">
      <w:pPr>
        <w:rPr>
          <w:rFonts w:eastAsia="Times New Roman" w:cs="Times New Roman"/>
          <w:noProof/>
          <w:lang w:eastAsia="fr-FR"/>
        </w:rPr>
      </w:pPr>
      <w:r>
        <w:rPr>
          <w:rFonts w:eastAsia="Times New Roman" w:cs="Times New Roman"/>
          <w:b/>
          <w:bCs/>
          <w:noProof/>
          <w:lang w:eastAsia="fr-FR"/>
        </w:rPr>
        <w:t xml:space="preserve">While public consultations are embedded in the legislative procedures, citizen participation is perceived by stakeholders to be rather formalistic than substantive. </w:t>
      </w:r>
      <w:r>
        <w:rPr>
          <w:rFonts w:eastAsia="Times New Roman" w:cs="Times New Roman"/>
          <w:noProof/>
          <w:lang w:eastAsia="fr-FR"/>
        </w:rPr>
        <w:t xml:space="preserve">Public consultations are conducted through the central state consultations portal </w:t>
      </w:r>
      <w:r>
        <w:rPr>
          <w:rFonts w:eastAsia="Times New Roman" w:cs="Times New Roman"/>
          <w:noProof/>
          <w:lang w:eastAsia="fr-FR"/>
        </w:rPr>
        <w:t xml:space="preserve">“e-Consultations”. The </w:t>
      </w:r>
      <w:r>
        <w:rPr>
          <w:rFonts w:eastAsia="Calibri"/>
          <w:noProof/>
          <w:lang w:val="en-IE"/>
        </w:rPr>
        <w:t xml:space="preserve">Government Legislation Office </w:t>
      </w:r>
      <w:r>
        <w:rPr>
          <w:rFonts w:eastAsia="Times New Roman" w:cs="Times New Roman"/>
          <w:noProof/>
          <w:lang w:eastAsia="fr-FR"/>
        </w:rPr>
        <w:t>coordinates public consultations and administers the e-Consultations portal. The number of public consultations conducted in a year has been mostly increasing</w:t>
      </w:r>
      <w:r>
        <w:rPr>
          <w:rStyle w:val="FootnoteReference"/>
          <w:rFonts w:eastAsia="Times New Roman" w:cs="Times New Roman"/>
          <w:noProof/>
          <w:lang w:eastAsia="fr-FR"/>
        </w:rPr>
        <w:footnoteReference w:id="160"/>
      </w:r>
      <w:r>
        <w:rPr>
          <w:rFonts w:eastAsia="Times New Roman" w:cs="Times New Roman"/>
          <w:noProof/>
          <w:lang w:eastAsia="fr-FR"/>
        </w:rPr>
        <w:t>. As part of its regular activities, the Off</w:t>
      </w:r>
      <w:r>
        <w:rPr>
          <w:rFonts w:eastAsia="Times New Roman" w:cs="Times New Roman"/>
          <w:noProof/>
          <w:lang w:eastAsia="fr-FR"/>
        </w:rPr>
        <w:t>ice of the Information Commissioner monitored how the consultations were conducted in 2020</w:t>
      </w:r>
      <w:r>
        <w:rPr>
          <w:rFonts w:eastAsia="Times New Roman" w:cs="Times New Roman"/>
          <w:noProof/>
          <w:vertAlign w:val="superscript"/>
          <w:lang w:eastAsia="fr-FR"/>
        </w:rPr>
        <w:footnoteReference w:id="161"/>
      </w:r>
      <w:r>
        <w:rPr>
          <w:rFonts w:eastAsia="Times New Roman" w:cs="Times New Roman"/>
          <w:noProof/>
          <w:lang w:eastAsia="fr-FR"/>
        </w:rPr>
        <w:t>. As in previous years, irregularities were most often related to the duration of the consultation and the lack of justification for shortening the deadline. Moreove</w:t>
      </w:r>
      <w:r>
        <w:rPr>
          <w:rFonts w:eastAsia="Times New Roman" w:cs="Times New Roman"/>
          <w:noProof/>
          <w:lang w:eastAsia="fr-FR"/>
        </w:rPr>
        <w:t>r complaints are also related to the non-publication of the report on the conducted consultation, and to the non-adoption or non-publication of public consultation plans. Furthermore, stakeholders perceive the public consultations, including with civil soc</w:t>
      </w:r>
      <w:r>
        <w:rPr>
          <w:rFonts w:eastAsia="Times New Roman" w:cs="Times New Roman"/>
          <w:noProof/>
          <w:lang w:eastAsia="fr-FR"/>
        </w:rPr>
        <w:t>iety and the non-governmental organisations, to be formalistic, rather than substantive</w:t>
      </w:r>
      <w:r>
        <w:rPr>
          <w:rStyle w:val="FootnoteReference"/>
          <w:rFonts w:eastAsia="Times New Roman" w:cs="Times New Roman"/>
          <w:noProof/>
          <w:lang w:eastAsia="fr-FR"/>
        </w:rPr>
        <w:footnoteReference w:id="162"/>
      </w:r>
      <w:r>
        <w:rPr>
          <w:rFonts w:eastAsia="Times New Roman" w:cs="Times New Roman"/>
          <w:noProof/>
          <w:lang w:eastAsia="fr-FR"/>
        </w:rPr>
        <w:t>. In 2021, improvements to the e-Consultations Portal are planned, aimed mainly at the expanding and upgrading the existing functionalities.</w:t>
      </w:r>
    </w:p>
    <w:p w:rsidR="008A17C5" w:rsidRDefault="00402083">
      <w:pPr>
        <w:rPr>
          <w:rFonts w:cs="Times New Roman"/>
          <w:noProof/>
        </w:rPr>
      </w:pPr>
      <w:r>
        <w:rPr>
          <w:rFonts w:eastAsia="Times New Roman" w:cs="Times New Roman"/>
          <w:b/>
          <w:bCs/>
          <w:noProof/>
        </w:rPr>
        <w:t>Implementation of regulator</w:t>
      </w:r>
      <w:r>
        <w:rPr>
          <w:rFonts w:eastAsia="Times New Roman" w:cs="Times New Roman"/>
          <w:b/>
          <w:bCs/>
          <w:noProof/>
        </w:rPr>
        <w:t>y policy is planned to be improved.</w:t>
      </w:r>
      <w:r>
        <w:rPr>
          <w:rFonts w:eastAsia="Times New Roman" w:cs="Times New Roman"/>
          <w:noProof/>
        </w:rPr>
        <w:t xml:space="preserve"> In March 2021, t</w:t>
      </w:r>
      <w:r>
        <w:rPr>
          <w:rFonts w:cs="Times New Roman"/>
          <w:noProof/>
        </w:rPr>
        <w:t xml:space="preserve">he </w:t>
      </w:r>
      <w:r>
        <w:rPr>
          <w:rFonts w:eastAsia="Calibri"/>
          <w:noProof/>
          <w:lang w:val="en-IE"/>
        </w:rPr>
        <w:t xml:space="preserve">Government Legislation Office </w:t>
      </w:r>
      <w:r>
        <w:rPr>
          <w:rFonts w:cs="Times New Roman"/>
          <w:noProof/>
        </w:rPr>
        <w:t>started a technical support project</w:t>
      </w:r>
      <w:r>
        <w:rPr>
          <w:rStyle w:val="FootnoteReference"/>
          <w:rFonts w:cs="Times New Roman"/>
          <w:noProof/>
        </w:rPr>
        <w:footnoteReference w:id="163"/>
      </w:r>
      <w:r>
        <w:rPr>
          <w:rFonts w:cs="Times New Roman"/>
          <w:noProof/>
        </w:rPr>
        <w:t xml:space="preserve"> to enhance the analytical capacity of applying appropriate methodological tools and processes for the implementation of the </w:t>
      </w:r>
      <w:r>
        <w:rPr>
          <w:rFonts w:cs="Times New Roman"/>
          <w:i/>
          <w:iCs/>
          <w:noProof/>
        </w:rPr>
        <w:t>ex-ante</w:t>
      </w:r>
      <w:r>
        <w:rPr>
          <w:rFonts w:cs="Times New Roman"/>
          <w:noProof/>
        </w:rPr>
        <w:t xml:space="preserve"> and </w:t>
      </w:r>
      <w:r>
        <w:rPr>
          <w:rFonts w:cs="Times New Roman"/>
          <w:i/>
          <w:iCs/>
          <w:noProof/>
        </w:rPr>
        <w:t>ex-post</w:t>
      </w:r>
      <w:r>
        <w:rPr>
          <w:rFonts w:cs="Times New Roman"/>
          <w:noProof/>
        </w:rPr>
        <w:t xml:space="preserve"> regulatory impact assessments (RIA). The project would disseminate the application of related methodologies and processes in the most relevant public bodies, by carrying out trainings among key actors and stakeholders in the regulatory impact </w:t>
      </w:r>
      <w:r>
        <w:rPr>
          <w:rFonts w:cs="Times New Roman"/>
          <w:noProof/>
        </w:rPr>
        <w:t>assessment system, such as line ministries. The aim is to improve the overall capacity and regulatory performance, however issues of non-inclusion of secondary legislation and limited resources at local and regional level may remain persistent</w:t>
      </w:r>
      <w:r>
        <w:rPr>
          <w:rStyle w:val="FootnoteReference"/>
          <w:rFonts w:cs="Times New Roman"/>
          <w:noProof/>
        </w:rPr>
        <w:footnoteReference w:id="164"/>
      </w:r>
      <w:r>
        <w:rPr>
          <w:rFonts w:cs="Times New Roman"/>
          <w:noProof/>
        </w:rPr>
        <w:t>. Shortcomin</w:t>
      </w:r>
      <w:r>
        <w:rPr>
          <w:rFonts w:cs="Times New Roman"/>
          <w:noProof/>
        </w:rPr>
        <w:t xml:space="preserve">gs in the implementation of RIA also remain. RIA are mainly conducted by the Ministries, while the </w:t>
      </w:r>
      <w:r>
        <w:rPr>
          <w:rFonts w:eastAsia="Calibri"/>
          <w:noProof/>
          <w:lang w:val="en-IE"/>
        </w:rPr>
        <w:t xml:space="preserve">Government Legislation Office </w:t>
      </w:r>
      <w:r>
        <w:rPr>
          <w:rFonts w:cs="Times New Roman"/>
          <w:noProof/>
        </w:rPr>
        <w:t xml:space="preserve">provides trainings in methodology and legislative drafting. The </w:t>
      </w:r>
      <w:r>
        <w:rPr>
          <w:rFonts w:eastAsia="Calibri"/>
          <w:noProof/>
          <w:lang w:val="en-IE"/>
        </w:rPr>
        <w:t>Government Legislation Office’s</w:t>
      </w:r>
      <w:r>
        <w:rPr>
          <w:rFonts w:cs="Times New Roman"/>
          <w:noProof/>
        </w:rPr>
        <w:t xml:space="preserve"> mandate is limited to the scrut</w:t>
      </w:r>
      <w:r>
        <w:rPr>
          <w:rFonts w:cs="Times New Roman"/>
          <w:noProof/>
        </w:rPr>
        <w:t>iny of impact assessments for primary legislation. As a result, subordinate regulations go unchecked, except for the SME test</w:t>
      </w:r>
      <w:r>
        <w:rPr>
          <w:rStyle w:val="FootnoteReference"/>
          <w:rFonts w:cs="Times New Roman"/>
          <w:noProof/>
        </w:rPr>
        <w:footnoteReference w:id="165"/>
      </w:r>
      <w:r>
        <w:rPr>
          <w:rFonts w:cs="Times New Roman"/>
          <w:noProof/>
        </w:rPr>
        <w:t>. Moreover, the public authorities, and in particular local and regional authorities, lack the human resources or experience to ef</w:t>
      </w:r>
      <w:r>
        <w:rPr>
          <w:rFonts w:cs="Times New Roman"/>
          <w:noProof/>
        </w:rPr>
        <w:t>fectively implement regulatory policy</w:t>
      </w:r>
      <w:r>
        <w:rPr>
          <w:rStyle w:val="FootnoteReference"/>
          <w:rFonts w:cs="Times New Roman"/>
          <w:noProof/>
        </w:rPr>
        <w:footnoteReference w:id="166"/>
      </w:r>
      <w:r>
        <w:rPr>
          <w:rFonts w:cs="Times New Roman"/>
          <w:noProof/>
        </w:rPr>
        <w:t>.</w:t>
      </w:r>
    </w:p>
    <w:p w:rsidR="008A17C5" w:rsidRDefault="00402083">
      <w:pPr>
        <w:spacing w:after="160"/>
        <w:rPr>
          <w:rFonts w:cs="Times New Roman"/>
          <w:noProof/>
        </w:rPr>
      </w:pPr>
      <w:r>
        <w:rPr>
          <w:rFonts w:cs="Times New Roman"/>
          <w:b/>
          <w:bCs/>
          <w:noProof/>
        </w:rPr>
        <w:t xml:space="preserve">COVID-19 pandemic measures have been adopted on the basis of twice-amended law regarding infectious diseases. </w:t>
      </w:r>
      <w:r>
        <w:rPr>
          <w:rFonts w:cs="Times New Roman"/>
          <w:noProof/>
        </w:rPr>
        <w:t>Croatia did not declare</w:t>
      </w:r>
      <w:r>
        <w:rPr>
          <w:rFonts w:cs="Times New Roman"/>
          <w:b/>
          <w:bCs/>
          <w:noProof/>
        </w:rPr>
        <w:t xml:space="preserve"> </w:t>
      </w:r>
      <w:r>
        <w:rPr>
          <w:rFonts w:cs="Times New Roman"/>
          <w:noProof/>
        </w:rPr>
        <w:t>a state of emergency. Instead, measures to address the COVID-19 pandemic have been</w:t>
      </w:r>
      <w:r>
        <w:rPr>
          <w:rFonts w:cs="Times New Roman"/>
          <w:noProof/>
        </w:rPr>
        <w:t xml:space="preserve"> adopted on the basis of the </w:t>
      </w:r>
      <w:r>
        <w:rPr>
          <w:rStyle w:val="jlqj4b"/>
          <w:noProof/>
          <w:lang w:val="en"/>
        </w:rPr>
        <w:t>Law on Protection of the Population from Infectious Diseases, and on the basis of the Law on the Civil Protection System, both of which have been amended twice since the start of the pandemic</w:t>
      </w:r>
      <w:r>
        <w:rPr>
          <w:rStyle w:val="FootnoteReference"/>
          <w:noProof/>
          <w:lang w:val="en"/>
        </w:rPr>
        <w:footnoteReference w:id="167"/>
      </w:r>
      <w:r>
        <w:rPr>
          <w:rStyle w:val="jlqj4b"/>
          <w:noProof/>
          <w:lang w:val="en"/>
        </w:rPr>
        <w:t xml:space="preserve">. </w:t>
      </w:r>
      <w:r>
        <w:rPr>
          <w:rFonts w:cs="Times New Roman"/>
          <w:noProof/>
        </w:rPr>
        <w:t>The constitutionality and the leg</w:t>
      </w:r>
      <w:r>
        <w:rPr>
          <w:rFonts w:cs="Times New Roman"/>
          <w:noProof/>
        </w:rPr>
        <w:t>ality of both, the amended legal framework and of the specific restrictive measures introduced, have been challenged before the Constitutional</w:t>
      </w:r>
      <w:r>
        <w:rPr>
          <w:rFonts w:eastAsiaTheme="minorEastAsia"/>
          <w:noProof/>
          <w:szCs w:val="24"/>
        </w:rPr>
        <w:t xml:space="preserve"> Court, which has confirmed their compatibility with the Constitution. The Court also dealt with the m</w:t>
      </w:r>
      <w:r>
        <w:rPr>
          <w:rFonts w:cs="Times New Roman"/>
          <w:noProof/>
        </w:rPr>
        <w:t>otions submi</w:t>
      </w:r>
      <w:r>
        <w:rPr>
          <w:rFonts w:cs="Times New Roman"/>
          <w:noProof/>
        </w:rPr>
        <w:t>tted by individuals requesting constitutionality and legality reviews of certain linked decisions adopted by the Civil Protection Authority. The Court confirmed their legality, recognising that they had a legitimate objective, which was to protect lives an</w:t>
      </w:r>
      <w:r>
        <w:rPr>
          <w:rFonts w:cs="Times New Roman"/>
          <w:noProof/>
        </w:rPr>
        <w:t>d health of the citizens, and were necessary to attain that objective. In separate proceedings instigated on its own initiative, it established that one measure adopted by the Civil Protection Authority did not meet the request of proportionality</w:t>
      </w:r>
      <w:r>
        <w:rPr>
          <w:rStyle w:val="FootnoteReference"/>
          <w:rFonts w:cs="Times New Roman"/>
          <w:noProof/>
        </w:rPr>
        <w:footnoteReference w:id="168"/>
      </w:r>
      <w:r>
        <w:rPr>
          <w:rFonts w:cs="Times New Roman"/>
          <w:noProof/>
        </w:rPr>
        <w:t>.</w:t>
      </w:r>
    </w:p>
    <w:p w:rsidR="008A17C5" w:rsidRDefault="00402083">
      <w:pPr>
        <w:spacing w:after="160"/>
        <w:rPr>
          <w:rFonts w:cs="Times New Roman"/>
          <w:noProof/>
        </w:rPr>
      </w:pPr>
      <w:r>
        <w:rPr>
          <w:rFonts w:cs="Times New Roman"/>
          <w:b/>
          <w:bCs/>
          <w:noProof/>
        </w:rPr>
        <w:t>The Con</w:t>
      </w:r>
      <w:r>
        <w:rPr>
          <w:rFonts w:cs="Times New Roman"/>
          <w:b/>
          <w:bCs/>
          <w:noProof/>
        </w:rPr>
        <w:t>stitutional Court ruled that the Parliament should find alternative ways to guarantee the participation of parliamentarians during the COVID-19 pandemic.</w:t>
      </w:r>
      <w:r>
        <w:rPr>
          <w:rFonts w:cs="Times New Roman"/>
          <w:noProof/>
        </w:rPr>
        <w:t xml:space="preserve"> Parliament continued working during the COVID-19 pandemic, as well as in the aftermath of the December</w:t>
      </w:r>
      <w:r>
        <w:rPr>
          <w:rFonts w:cs="Times New Roman"/>
          <w:noProof/>
        </w:rPr>
        <w:t xml:space="preserve"> 2020 earthquake. In April 2020, the Rules of the Procedures were amended, limiting in special situations the number of the members of Parliament who can simultaneously sit in the voting chamber, and further shortening the length of their debates. In Octob</w:t>
      </w:r>
      <w:r>
        <w:rPr>
          <w:rFonts w:cs="Times New Roman"/>
          <w:noProof/>
        </w:rPr>
        <w:t>er 2020, the Constitutional Court declared these amendments as unconstitutional, stating that there are technical possibilities to organise the work of the Parliament so that the participation of the members of Parliament in plenary sessions and other deba</w:t>
      </w:r>
      <w:r>
        <w:rPr>
          <w:rFonts w:cs="Times New Roman"/>
          <w:noProof/>
        </w:rPr>
        <w:t>tes would not be restricted. In November 2020, a new amendment to the Rules of Procedures was adopted to ensure that all members of Parliament will be able to participate in the debates. Plenary sessions are organised in several chambers simultaneously, al</w:t>
      </w:r>
      <w:r>
        <w:rPr>
          <w:rFonts w:cs="Times New Roman"/>
          <w:noProof/>
        </w:rPr>
        <w:t>so by using remote access. However, the IT system does not allow for the recording of the votes cast by individual members of Parliament, and the remote participation is only available for those members who are in self-isolation or isolation. As regards th</w:t>
      </w:r>
      <w:r>
        <w:rPr>
          <w:rFonts w:cs="Times New Roman"/>
          <w:noProof/>
        </w:rPr>
        <w:t>e parliamentary oversight of COVID-19 measures, in December 2020, the Parliament requested the Government to submit to it, three times per year, a report on the effects of the implementation of the Act on the Protection of the Population against Contagious</w:t>
      </w:r>
      <w:r>
        <w:rPr>
          <w:rFonts w:cs="Times New Roman"/>
          <w:noProof/>
        </w:rPr>
        <w:t xml:space="preserve"> Diseases, as long as the decision on the proclamation of the epidemic remains in force</w:t>
      </w:r>
      <w:r>
        <w:rPr>
          <w:rStyle w:val="FootnoteReference"/>
          <w:rFonts w:cs="Times New Roman"/>
          <w:noProof/>
        </w:rPr>
        <w:footnoteReference w:id="169"/>
      </w:r>
      <w:r>
        <w:rPr>
          <w:rFonts w:cs="Times New Roman"/>
          <w:noProof/>
        </w:rPr>
        <w:t>. In January 2021, the Government submitted the first report, covering the period from March 2020 to January 2021, which the Parliament adopted by majority vote. As reg</w:t>
      </w:r>
      <w:r>
        <w:rPr>
          <w:rFonts w:cs="Times New Roman"/>
          <w:noProof/>
        </w:rPr>
        <w:t xml:space="preserve">ards the legislative process, </w:t>
      </w:r>
      <w:r>
        <w:rPr>
          <w:rFonts w:cs="Times New Roman"/>
          <w:noProof/>
          <w:color w:val="000000"/>
          <w:shd w:val="clear" w:color="auto" w:fill="FFFFFF"/>
        </w:rPr>
        <w:t>between January 2020 and March 2021, 51% of the total number of laws were adopted using the urgent procedure, which presents a decrease compared to 2019</w:t>
      </w:r>
      <w:r>
        <w:rPr>
          <w:rStyle w:val="FootnoteReference"/>
          <w:rFonts w:cs="Times New Roman"/>
          <w:noProof/>
          <w:color w:val="000000"/>
          <w:shd w:val="clear" w:color="auto" w:fill="FFFFFF"/>
        </w:rPr>
        <w:footnoteReference w:id="170"/>
      </w:r>
      <w:r>
        <w:rPr>
          <w:rFonts w:cs="Times New Roman"/>
          <w:noProof/>
          <w:color w:val="000000"/>
          <w:shd w:val="clear" w:color="auto" w:fill="FFFFFF"/>
        </w:rPr>
        <w:t xml:space="preserve">. A significant share of these laws related to </w:t>
      </w:r>
      <w:r>
        <w:rPr>
          <w:rFonts w:cs="Times New Roman"/>
          <w:noProof/>
        </w:rPr>
        <w:t xml:space="preserve">the COVID-19 pandemic. </w:t>
      </w:r>
    </w:p>
    <w:p w:rsidR="008A17C5" w:rsidRDefault="00402083">
      <w:pPr>
        <w:spacing w:after="160"/>
        <w:rPr>
          <w:rFonts w:cs="Times New Roman"/>
          <w:noProof/>
        </w:rPr>
      </w:pPr>
      <w:r>
        <w:rPr>
          <w:rFonts w:eastAsia="Calibri"/>
          <w:b/>
          <w:bCs/>
          <w:noProof/>
          <w:lang w:val="en-IE"/>
        </w:rPr>
        <w:t>Th</w:t>
      </w:r>
      <w:r>
        <w:rPr>
          <w:rFonts w:eastAsia="Calibri"/>
          <w:b/>
          <w:bCs/>
          <w:noProof/>
          <w:lang w:val="en-IE"/>
        </w:rPr>
        <w:t xml:space="preserve">e People’s Ombudsperson started exercising its new powers. </w:t>
      </w:r>
      <w:r>
        <w:rPr>
          <w:rFonts w:eastAsia="Calibri"/>
          <w:noProof/>
          <w:lang w:val="en-IE"/>
        </w:rPr>
        <w:t>In 2020, new Rules of Procedures of the Ombudsperson were adopted by the Parliament, which created a new department within the Ombudsperson for the protection of whistleblowers followed by the appo</w:t>
      </w:r>
      <w:r>
        <w:rPr>
          <w:rFonts w:eastAsia="Calibri"/>
          <w:noProof/>
          <w:lang w:val="en-IE"/>
        </w:rPr>
        <w:t>intment of one additional staff member in charge of these tasks</w:t>
      </w:r>
      <w:r>
        <w:rPr>
          <w:rStyle w:val="FootnoteReference"/>
          <w:rFonts w:eastAsia="Calibri"/>
          <w:noProof/>
          <w:lang w:val="en-IE"/>
        </w:rPr>
        <w:footnoteReference w:id="171"/>
      </w:r>
      <w:r>
        <w:rPr>
          <w:rFonts w:eastAsia="Calibri"/>
          <w:noProof/>
          <w:lang w:val="en-IE"/>
        </w:rPr>
        <w:t xml:space="preserve">. </w:t>
      </w:r>
      <w:r>
        <w:rPr>
          <w:rFonts w:cs="Times New Roman"/>
          <w:noProof/>
        </w:rPr>
        <w:t>According to the People’s Ombudsperson, the Ministry of the Interior continues to refuse the Ombudsperson access to information on the treatment of irregular migrants</w:t>
      </w:r>
      <w:r>
        <w:rPr>
          <w:rFonts w:cs="Times New Roman"/>
          <w:noProof/>
          <w:vertAlign w:val="superscript"/>
        </w:rPr>
        <w:footnoteReference w:id="172"/>
      </w:r>
      <w:r>
        <w:rPr>
          <w:rFonts w:cs="Times New Roman"/>
          <w:noProof/>
        </w:rPr>
        <w:t xml:space="preserve">. In this regard, the issue of </w:t>
      </w:r>
      <w:r>
        <w:rPr>
          <w:noProof/>
          <w:szCs w:val="24"/>
        </w:rPr>
        <w:t xml:space="preserve">enabling access to information to the representatives of the Office of the Ombudsperson, based on the interpretation of relevant national law, </w:t>
      </w:r>
      <w:r>
        <w:rPr>
          <w:rFonts w:cs="Times New Roman"/>
          <w:noProof/>
        </w:rPr>
        <w:t>continues to be subject to discussion between the Ombudsperson and the Ministry of</w:t>
      </w:r>
      <w:r>
        <w:rPr>
          <w:rFonts w:cs="Times New Roman"/>
          <w:noProof/>
        </w:rPr>
        <w:t xml:space="preserve"> the Interior. Recommendations of the European Network of National Human Rights Institutions</w:t>
      </w:r>
      <w:r>
        <w:rPr>
          <w:rFonts w:cs="Times New Roman"/>
          <w:noProof/>
          <w:vertAlign w:val="superscript"/>
        </w:rPr>
        <w:footnoteReference w:id="173"/>
      </w:r>
      <w:r>
        <w:rPr>
          <w:rFonts w:cs="Times New Roman"/>
          <w:noProof/>
        </w:rPr>
        <w:t xml:space="preserve"> to ensure that national institutional structures, such as the Ombudsperson, are given access to information in order to ensure independent, proper and expeditious</w:t>
      </w:r>
      <w:r>
        <w:rPr>
          <w:rFonts w:cs="Times New Roman"/>
          <w:noProof/>
        </w:rPr>
        <w:t xml:space="preserve"> investigations, are particularly relevant in the light of the allegations about pushbacks at external borders</w:t>
      </w:r>
      <w:r>
        <w:rPr>
          <w:rFonts w:cs="Times New Roman"/>
          <w:noProof/>
          <w:vertAlign w:val="superscript"/>
        </w:rPr>
        <w:footnoteReference w:id="174"/>
      </w:r>
      <w:r>
        <w:rPr>
          <w:rFonts w:cs="Times New Roman"/>
          <w:noProof/>
        </w:rPr>
        <w:t>, with a view to ensuring that fundamental rights are at all times respected. The Croatian Authorities, in cooperation with the European Commissi</w:t>
      </w:r>
      <w:r>
        <w:rPr>
          <w:rFonts w:cs="Times New Roman"/>
          <w:noProof/>
        </w:rPr>
        <w:t>on, EU agencies and relevant stakeholders including the Ombudsperson, have established an Independent Monitoring Mechanism for border control, which entered into force on 8 June 2021.</w:t>
      </w:r>
    </w:p>
    <w:p w:rsidR="008A17C5" w:rsidRDefault="00402083">
      <w:pPr>
        <w:rPr>
          <w:rFonts w:eastAsia="Times New Roman" w:cs="Times New Roman"/>
          <w:noProof/>
          <w:lang w:val="en-IE" w:eastAsia="fr-FR"/>
        </w:rPr>
      </w:pPr>
      <w:r>
        <w:rPr>
          <w:rFonts w:cs="Times New Roman"/>
          <w:b/>
          <w:bCs/>
          <w:noProof/>
          <w:lang w:val="en-IE" w:eastAsia="fr-FR"/>
        </w:rPr>
        <w:t>The Government is still preparing the National Plan for Creating and Ena</w:t>
      </w:r>
      <w:r>
        <w:rPr>
          <w:rFonts w:cs="Times New Roman"/>
          <w:b/>
          <w:bCs/>
          <w:noProof/>
          <w:lang w:val="en-IE" w:eastAsia="fr-FR"/>
        </w:rPr>
        <w:t>bling Environment for the Civil Society Development 2021-2027</w:t>
      </w:r>
      <w:r>
        <w:rPr>
          <w:rStyle w:val="FootnoteReference"/>
          <w:rFonts w:cs="Times New Roman"/>
          <w:b/>
          <w:bCs/>
          <w:noProof/>
          <w:lang w:val="en-IE" w:eastAsia="fr-FR"/>
        </w:rPr>
        <w:footnoteReference w:id="175"/>
      </w:r>
      <w:r>
        <w:rPr>
          <w:rFonts w:cs="Times New Roman"/>
          <w:b/>
          <w:bCs/>
          <w:noProof/>
          <w:lang w:val="en-IE" w:eastAsia="fr-FR"/>
        </w:rPr>
        <w:t xml:space="preserve">. </w:t>
      </w:r>
      <w:r>
        <w:rPr>
          <w:rFonts w:cs="Times New Roman"/>
          <w:noProof/>
          <w:lang w:val="en-IE" w:eastAsia="fr-FR"/>
        </w:rPr>
        <w:t>As indicated in the 2020 Rule of Law report, the envisaged National Plan intends to further improve the legal, financial and institutional support system for the activities of civil society or</w:t>
      </w:r>
      <w:r>
        <w:rPr>
          <w:rFonts w:cs="Times New Roman"/>
          <w:noProof/>
          <w:lang w:val="en-IE" w:eastAsia="fr-FR"/>
        </w:rPr>
        <w:t xml:space="preserve">ganisations, which are considered important for the socio-economic development of Croatia, and in shaping and implementing relevant EU and international policies. </w:t>
      </w:r>
      <w:r>
        <w:rPr>
          <w:rFonts w:eastAsia="Times New Roman" w:cs="Times New Roman"/>
          <w:noProof/>
          <w:lang w:val="en-IE" w:eastAsia="fr-FR"/>
        </w:rPr>
        <w:t>The Government Office for Cooperation with NGOs plans to involve, through a public call, civi</w:t>
      </w:r>
      <w:r>
        <w:rPr>
          <w:rFonts w:eastAsia="Times New Roman" w:cs="Times New Roman"/>
          <w:noProof/>
          <w:lang w:val="en-IE" w:eastAsia="fr-FR"/>
        </w:rPr>
        <w:t>l society organisations in the expert working group. T</w:t>
      </w:r>
      <w:r>
        <w:rPr>
          <w:rFonts w:cs="Times New Roman"/>
          <w:noProof/>
        </w:rPr>
        <w:t>he Government Office continues to organise the NGO Open Days</w:t>
      </w:r>
      <w:r>
        <w:rPr>
          <w:rStyle w:val="FootnoteReference"/>
          <w:rFonts w:cs="Times New Roman"/>
          <w:noProof/>
        </w:rPr>
        <w:footnoteReference w:id="176"/>
      </w:r>
      <w:r>
        <w:rPr>
          <w:rFonts w:cs="Times New Roman"/>
          <w:noProof/>
        </w:rPr>
        <w:t xml:space="preserve">. </w:t>
      </w:r>
      <w:r>
        <w:rPr>
          <w:rFonts w:eastAsia="Times New Roman" w:cs="Times New Roman"/>
          <w:noProof/>
          <w:lang w:val="en-IE" w:eastAsia="fr-FR"/>
        </w:rPr>
        <w:t>The civic space in Croatia is considered to be narrowed</w:t>
      </w:r>
      <w:r>
        <w:rPr>
          <w:rFonts w:eastAsia="Calibri" w:cs="Times New Roman"/>
          <w:noProof/>
          <w:vertAlign w:val="superscript"/>
        </w:rPr>
        <w:footnoteReference w:id="177"/>
      </w:r>
      <w:r>
        <w:rPr>
          <w:rFonts w:eastAsia="Times New Roman" w:cs="Times New Roman"/>
          <w:noProof/>
          <w:lang w:val="en-IE" w:eastAsia="fr-FR"/>
        </w:rPr>
        <w:t>. During 2020, the Office of the Ombudsperson opened a case in relation to civic sp</w:t>
      </w:r>
      <w:r>
        <w:rPr>
          <w:rFonts w:eastAsia="Times New Roman" w:cs="Times New Roman"/>
          <w:noProof/>
          <w:lang w:val="en-IE" w:eastAsia="fr-FR"/>
        </w:rPr>
        <w:t>ace and human rights defenders in the context of COVID-19 pandemic</w:t>
      </w:r>
      <w:r>
        <w:rPr>
          <w:rStyle w:val="FootnoteReference"/>
          <w:rFonts w:eastAsia="Times New Roman" w:cs="Times New Roman"/>
          <w:noProof/>
          <w:lang w:val="en-IE" w:eastAsia="fr-FR"/>
        </w:rPr>
        <w:footnoteReference w:id="178"/>
      </w:r>
      <w:r>
        <w:rPr>
          <w:rFonts w:eastAsia="Times New Roman" w:cs="Times New Roman"/>
          <w:noProof/>
          <w:lang w:val="en-IE" w:eastAsia="fr-FR"/>
        </w:rPr>
        <w:t>.</w:t>
      </w:r>
    </w:p>
    <w:p w:rsidR="008A17C5" w:rsidRDefault="00402083">
      <w:pPr>
        <w:pageBreakBefore/>
        <w:spacing w:after="120" w:line="264" w:lineRule="auto"/>
        <w:rPr>
          <w:rFonts w:eastAsia="Times New Roman" w:cs="Times New Roman"/>
          <w:b/>
          <w:noProof/>
          <w:lang w:val="en-IE" w:eastAsia="en-GB"/>
        </w:rPr>
      </w:pPr>
      <w:r>
        <w:rPr>
          <w:rFonts w:eastAsia="Times New Roman" w:cs="Times New Roman"/>
          <w:b/>
          <w:noProof/>
          <w:lang w:val="en-IE" w:eastAsia="en-GB"/>
        </w:rPr>
        <w:t>Annex I: List of sources in alphabetical order*</w:t>
      </w:r>
    </w:p>
    <w:p w:rsidR="008A17C5" w:rsidRDefault="00402083">
      <w:pPr>
        <w:spacing w:after="120"/>
        <w:rPr>
          <w:rFonts w:eastAsia="Times New Roman" w:cs="Times New Roman"/>
          <w:i/>
          <w:noProof/>
          <w:sz w:val="22"/>
          <w:lang w:val="en-IE" w:eastAsia="en-GB"/>
        </w:rPr>
      </w:pPr>
      <w:r>
        <w:rPr>
          <w:rFonts w:eastAsia="Times New Roman" w:cs="Times New Roman"/>
          <w:i/>
          <w:noProof/>
          <w:sz w:val="22"/>
          <w:lang w:val="en-IE" w:eastAsia="en-GB"/>
        </w:rPr>
        <w:t xml:space="preserve">* The list of contributions received in the context of the consultation for the 2021 Rule of Law report can be found at </w:t>
      </w:r>
      <w:hyperlink r:id="rId15" w:history="1">
        <w:r>
          <w:rPr>
            <w:rStyle w:val="Hyperlink"/>
            <w:rFonts w:eastAsia="Times New Roman" w:cs="Times New Roman"/>
            <w:i/>
            <w:noProof/>
            <w:sz w:val="22"/>
            <w:lang w:val="en-IE" w:eastAsia="en-GB"/>
          </w:rPr>
          <w:t>https://ec.europa.eu/info/policies/justice-and-fundamental-rights/upholding-rule-law/rule-l</w:t>
        </w:r>
        <w:r>
          <w:rPr>
            <w:rStyle w:val="Hyperlink"/>
            <w:rFonts w:eastAsia="Times New Roman" w:cs="Times New Roman"/>
            <w:i/>
            <w:noProof/>
            <w:sz w:val="22"/>
            <w:lang w:val="en-IE" w:eastAsia="en-GB"/>
          </w:rPr>
          <w:t>aw/rule-law-mechanism/2021-rule-law-report-targeted-stakeholder-consultation</w:t>
        </w:r>
      </w:hyperlink>
      <w:r>
        <w:rPr>
          <w:rFonts w:eastAsia="Times New Roman" w:cs="Times New Roman"/>
          <w:i/>
          <w:noProof/>
          <w:sz w:val="22"/>
          <w:lang w:val="en-IE" w:eastAsia="en-GB"/>
        </w:rPr>
        <w:t>.</w:t>
      </w:r>
    </w:p>
    <w:p w:rsidR="008A17C5" w:rsidRDefault="00402083">
      <w:pPr>
        <w:spacing w:after="120"/>
        <w:rPr>
          <w:noProof/>
          <w:sz w:val="22"/>
        </w:rPr>
      </w:pPr>
      <w:r>
        <w:rPr>
          <w:noProof/>
          <w:sz w:val="22"/>
        </w:rPr>
        <w:t xml:space="preserve">Association of Judges (2021), </w:t>
      </w:r>
      <w:r>
        <w:rPr>
          <w:i/>
          <w:noProof/>
          <w:sz w:val="22"/>
        </w:rPr>
        <w:t>Press release of 29 April 2021</w:t>
      </w:r>
      <w:r>
        <w:rPr>
          <w:noProof/>
          <w:sz w:val="22"/>
        </w:rPr>
        <w:t>, (</w:t>
      </w:r>
      <w:hyperlink r:id="rId16" w:history="1">
        <w:r>
          <w:rPr>
            <w:rStyle w:val="Hyperlink"/>
            <w:noProof/>
            <w:sz w:val="22"/>
          </w:rPr>
          <w:t>http://uhs.hr/archives/1544</w:t>
        </w:r>
      </w:hyperlink>
      <w:r>
        <w:rPr>
          <w:noProof/>
          <w:sz w:val="22"/>
        </w:rPr>
        <w:t>).</w:t>
      </w:r>
    </w:p>
    <w:p w:rsidR="008A17C5" w:rsidRDefault="00402083">
      <w:pPr>
        <w:spacing w:after="120"/>
        <w:ind w:left="284" w:hanging="284"/>
        <w:rPr>
          <w:noProof/>
          <w:sz w:val="22"/>
        </w:rPr>
      </w:pPr>
      <w:r>
        <w:rPr>
          <w:noProof/>
          <w:sz w:val="22"/>
        </w:rPr>
        <w:t xml:space="preserve">Asylum Information Database, </w:t>
      </w:r>
      <w:r>
        <w:rPr>
          <w:i/>
          <w:noProof/>
          <w:sz w:val="22"/>
        </w:rPr>
        <w:t xml:space="preserve">Country </w:t>
      </w:r>
      <w:r>
        <w:rPr>
          <w:i/>
          <w:noProof/>
          <w:sz w:val="22"/>
        </w:rPr>
        <w:t>Report Croatia</w:t>
      </w:r>
      <w:r>
        <w:rPr>
          <w:noProof/>
          <w:sz w:val="22"/>
        </w:rPr>
        <w:t>, 2020 update, (</w:t>
      </w:r>
      <w:hyperlink r:id="rId17" w:history="1">
        <w:r>
          <w:rPr>
            <w:rStyle w:val="Hyperlink"/>
            <w:noProof/>
            <w:sz w:val="22"/>
          </w:rPr>
          <w:t>https://asylumineurope.org/wp-content/uploads/2021/05/AIDA-HR_2020update.pdf</w:t>
        </w:r>
      </w:hyperlink>
      <w:r>
        <w:rPr>
          <w:noProof/>
          <w:sz w:val="22"/>
        </w:rPr>
        <w:t>).</w:t>
      </w:r>
    </w:p>
    <w:p w:rsidR="008A17C5" w:rsidRDefault="00402083">
      <w:pPr>
        <w:spacing w:after="120"/>
        <w:ind w:left="284" w:hanging="284"/>
        <w:rPr>
          <w:rFonts w:eastAsia="Times New Roman" w:cs="Times New Roman"/>
          <w:noProof/>
          <w:sz w:val="22"/>
          <w:lang w:eastAsia="en-GB"/>
        </w:rPr>
      </w:pPr>
      <w:r>
        <w:rPr>
          <w:rFonts w:eastAsia="Times New Roman" w:cs="Times New Roman"/>
          <w:noProof/>
          <w:sz w:val="22"/>
          <w:lang w:eastAsia="en-GB"/>
        </w:rPr>
        <w:t>Centre for Peace Studies and the Croatian Platform for</w:t>
      </w:r>
      <w:r>
        <w:rPr>
          <w:rFonts w:eastAsia="Times New Roman" w:cs="Times New Roman"/>
          <w:noProof/>
          <w:sz w:val="22"/>
          <w:lang w:eastAsia="en-GB"/>
        </w:rPr>
        <w:t xml:space="preserve"> International Citizen Solidarity (2021), </w:t>
      </w:r>
      <w:r>
        <w:rPr>
          <w:rFonts w:eastAsia="Times New Roman" w:cs="Times New Roman"/>
          <w:i/>
          <w:noProof/>
          <w:sz w:val="22"/>
          <w:lang w:eastAsia="en-GB"/>
        </w:rPr>
        <w:t>Contribution for the 2021 Rule of Law Report</w:t>
      </w:r>
      <w:r>
        <w:rPr>
          <w:rFonts w:eastAsia="Times New Roman" w:cs="Times New Roman"/>
          <w:noProof/>
          <w:sz w:val="22"/>
          <w:lang w:eastAsia="en-GB"/>
        </w:rPr>
        <w:t>.</w:t>
      </w:r>
    </w:p>
    <w:p w:rsidR="008A17C5" w:rsidRDefault="00402083">
      <w:pPr>
        <w:spacing w:after="120"/>
        <w:ind w:left="284" w:hanging="284"/>
        <w:rPr>
          <w:noProof/>
          <w:sz w:val="22"/>
          <w:lang w:val="en-IE"/>
        </w:rPr>
      </w:pPr>
      <w:r>
        <w:rPr>
          <w:noProof/>
          <w:sz w:val="22"/>
          <w:lang w:val="en-IE"/>
        </w:rPr>
        <w:t xml:space="preserve">Council of Europe (2021), Platform to promote the protection of journalism and safety of journalists, </w:t>
      </w:r>
      <w:r>
        <w:rPr>
          <w:i/>
          <w:noProof/>
          <w:sz w:val="22"/>
          <w:lang w:val="en-IE"/>
        </w:rPr>
        <w:t>President of Croatian Journalists’ Union Maja Sever Threatened wit</w:t>
      </w:r>
      <w:r>
        <w:rPr>
          <w:i/>
          <w:noProof/>
          <w:sz w:val="22"/>
          <w:lang w:val="en-IE"/>
        </w:rPr>
        <w:t>h Dismissal, no. 40/2021</w:t>
      </w:r>
      <w:r>
        <w:rPr>
          <w:noProof/>
          <w:sz w:val="22"/>
          <w:lang w:val="en-IE"/>
        </w:rPr>
        <w:t>.</w:t>
      </w:r>
    </w:p>
    <w:p w:rsidR="008A17C5" w:rsidRDefault="00402083">
      <w:pPr>
        <w:spacing w:after="120"/>
        <w:ind w:left="284" w:hanging="284"/>
        <w:rPr>
          <w:rFonts w:eastAsia="Times New Roman" w:cs="Times New Roman"/>
          <w:noProof/>
          <w:sz w:val="22"/>
          <w:lang w:val="en-IE" w:eastAsia="en-GB"/>
        </w:rPr>
      </w:pPr>
      <w:r>
        <w:rPr>
          <w:noProof/>
          <w:sz w:val="22"/>
          <w:lang w:val="en-IE"/>
        </w:rPr>
        <w:t xml:space="preserve">Council of Europe, Platform to promote the protection of journalism and safety of journalists (2021), </w:t>
      </w:r>
      <w:r>
        <w:rPr>
          <w:i/>
          <w:noProof/>
          <w:sz w:val="22"/>
          <w:lang w:val="en-IE"/>
        </w:rPr>
        <w:t>Defamation Lawsuit against INDEX d.o.o.</w:t>
      </w:r>
      <w:r>
        <w:rPr>
          <w:noProof/>
          <w:sz w:val="22"/>
          <w:lang w:val="en-IE"/>
        </w:rPr>
        <w:t>,</w:t>
      </w:r>
      <w:r>
        <w:rPr>
          <w:noProof/>
          <w:sz w:val="22"/>
        </w:rPr>
        <w:t xml:space="preserve"> </w:t>
      </w:r>
      <w:r>
        <w:rPr>
          <w:noProof/>
          <w:sz w:val="22"/>
          <w:lang w:val="en-IE"/>
        </w:rPr>
        <w:t>no. 80/2021.</w:t>
      </w:r>
    </w:p>
    <w:p w:rsidR="008A17C5" w:rsidRDefault="00402083">
      <w:pPr>
        <w:spacing w:after="120"/>
        <w:ind w:left="284" w:hanging="284"/>
        <w:rPr>
          <w:noProof/>
          <w:sz w:val="22"/>
        </w:rPr>
      </w:pPr>
      <w:r>
        <w:rPr>
          <w:noProof/>
          <w:sz w:val="22"/>
        </w:rPr>
        <w:t xml:space="preserve">Croatian Journalists' Association (2021), </w:t>
      </w:r>
      <w:r>
        <w:rPr>
          <w:i/>
          <w:noProof/>
          <w:sz w:val="22"/>
        </w:rPr>
        <w:t>Bačić's persecution of the leade</w:t>
      </w:r>
      <w:r>
        <w:rPr>
          <w:i/>
          <w:noProof/>
          <w:sz w:val="22"/>
        </w:rPr>
        <w:t>rs of the CJA and the Journalists' Union is a new blow to media freedom</w:t>
      </w:r>
      <w:r>
        <w:rPr>
          <w:noProof/>
          <w:sz w:val="22"/>
        </w:rPr>
        <w:t>, 13 March 2021, (</w:t>
      </w:r>
      <w:hyperlink r:id="rId18" w:history="1">
        <w:r>
          <w:rPr>
            <w:rStyle w:val="Hyperlink"/>
            <w:noProof/>
            <w:sz w:val="22"/>
          </w:rPr>
          <w:t>https://hnd.hr/eng/bacic-s-pe</w:t>
        </w:r>
        <w:r>
          <w:rPr>
            <w:rStyle w:val="Hyperlink"/>
            <w:noProof/>
            <w:sz w:val="22"/>
          </w:rPr>
          <w:t>rsecution-of-the-leaders-of-the-cja-and-the-journalists-union-is-a-new-blow-to-media-freedom</w:t>
        </w:r>
      </w:hyperlink>
      <w:r>
        <w:rPr>
          <w:noProof/>
          <w:sz w:val="22"/>
        </w:rPr>
        <w:t>).</w:t>
      </w:r>
    </w:p>
    <w:p w:rsidR="008A17C5" w:rsidRDefault="00402083">
      <w:pPr>
        <w:spacing w:after="120"/>
        <w:ind w:left="284" w:hanging="284"/>
        <w:rPr>
          <w:rFonts w:eastAsia="Times New Roman" w:cs="Times New Roman"/>
          <w:noProof/>
          <w:sz w:val="22"/>
          <w:lang w:val="en-IE" w:eastAsia="en-GB"/>
        </w:rPr>
      </w:pPr>
      <w:r>
        <w:rPr>
          <w:rFonts w:eastAsia="Times New Roman" w:cs="Times New Roman"/>
          <w:noProof/>
          <w:sz w:val="22"/>
          <w:lang w:val="en-IE" w:eastAsia="en-GB"/>
        </w:rPr>
        <w:t xml:space="preserve">Croatian Journalists' Association and the Trade Union of Croatian Journalists (2021), </w:t>
      </w:r>
      <w:r>
        <w:rPr>
          <w:rFonts w:eastAsia="Times New Roman" w:cs="Times New Roman"/>
          <w:i/>
          <w:noProof/>
          <w:sz w:val="22"/>
          <w:lang w:val="en-IE" w:eastAsia="en-GB"/>
        </w:rPr>
        <w:t>Contribution for the 2021 Rule of Law Report</w:t>
      </w:r>
      <w:r>
        <w:rPr>
          <w:rFonts w:eastAsia="Times New Roman" w:cs="Times New Roman"/>
          <w:noProof/>
          <w:sz w:val="22"/>
          <w:lang w:val="en-IE" w:eastAsia="en-GB"/>
        </w:rPr>
        <w:t>.</w:t>
      </w:r>
    </w:p>
    <w:p w:rsidR="008A17C5" w:rsidRDefault="00402083">
      <w:pPr>
        <w:spacing w:after="120"/>
        <w:ind w:left="284" w:hanging="284"/>
        <w:rPr>
          <w:rStyle w:val="Hyperlink"/>
          <w:noProof/>
          <w:sz w:val="22"/>
        </w:rPr>
      </w:pPr>
      <w:r>
        <w:rPr>
          <w:noProof/>
          <w:sz w:val="22"/>
        </w:rPr>
        <w:t xml:space="preserve">Croatian Journalists’ Association (2020), </w:t>
      </w:r>
      <w:r>
        <w:rPr>
          <w:i/>
          <w:noProof/>
          <w:sz w:val="22"/>
        </w:rPr>
        <w:t>CJA's poll: over 905 lawsuits against journalists and the media currently active in Croatia</w:t>
      </w:r>
      <w:r>
        <w:rPr>
          <w:noProof/>
          <w:sz w:val="22"/>
        </w:rPr>
        <w:t>, 1 May 2020, (</w:t>
      </w:r>
      <w:hyperlink r:id="rId19" w:history="1">
        <w:r>
          <w:rPr>
            <w:rStyle w:val="Hyperlink"/>
            <w:noProof/>
            <w:sz w:val="22"/>
          </w:rPr>
          <w:t>https://hnd.hr/eng/cja-s-poll-over-905-lawsuits-against-journalists-and-the-media-currently-active-in-croatia</w:t>
        </w:r>
      </w:hyperlink>
      <w:r>
        <w:rPr>
          <w:noProof/>
          <w:sz w:val="22"/>
        </w:rPr>
        <w:t>).</w:t>
      </w:r>
    </w:p>
    <w:p w:rsidR="008A17C5" w:rsidRDefault="00402083">
      <w:pPr>
        <w:spacing w:after="120"/>
        <w:ind w:left="284" w:hanging="284"/>
        <w:rPr>
          <w:noProof/>
          <w:sz w:val="22"/>
        </w:rPr>
      </w:pPr>
      <w:r>
        <w:rPr>
          <w:noProof/>
          <w:sz w:val="22"/>
        </w:rPr>
        <w:t xml:space="preserve">Croatian Journalists’ Association (2021), </w:t>
      </w:r>
      <w:r>
        <w:rPr>
          <w:i/>
          <w:noProof/>
          <w:sz w:val="22"/>
        </w:rPr>
        <w:t>At least 924 lawsuits against journalists and the media currently active in Croatia</w:t>
      </w:r>
      <w:r>
        <w:rPr>
          <w:noProof/>
          <w:sz w:val="22"/>
        </w:rPr>
        <w:t>,</w:t>
      </w:r>
      <w:r>
        <w:rPr>
          <w:noProof/>
          <w:sz w:val="22"/>
        </w:rPr>
        <w:t xml:space="preserve"> 16 April 2021, (</w:t>
      </w:r>
      <w:hyperlink r:id="rId20" w:history="1">
        <w:r>
          <w:rPr>
            <w:rStyle w:val="Hyperlink"/>
            <w:noProof/>
            <w:sz w:val="22"/>
          </w:rPr>
          <w:t>https://hnd.hr/eng/cja-survey-at-least-924-lawsuits-against-journalists-and-the-media-currently-active-in-cro</w:t>
        </w:r>
        <w:r>
          <w:rPr>
            <w:rStyle w:val="Hyperlink"/>
            <w:noProof/>
            <w:sz w:val="22"/>
          </w:rPr>
          <w:t>atia</w:t>
        </w:r>
      </w:hyperlink>
      <w:r>
        <w:rPr>
          <w:noProof/>
          <w:sz w:val="22"/>
        </w:rPr>
        <w:t>).</w:t>
      </w:r>
    </w:p>
    <w:p w:rsidR="008A17C5" w:rsidRDefault="00402083">
      <w:pPr>
        <w:spacing w:after="120"/>
        <w:ind w:left="284" w:hanging="284"/>
        <w:rPr>
          <w:noProof/>
          <w:sz w:val="22"/>
        </w:rPr>
      </w:pPr>
      <w:r>
        <w:rPr>
          <w:noProof/>
          <w:sz w:val="22"/>
        </w:rPr>
        <w:t xml:space="preserve">Croatian Parliament, </w:t>
      </w:r>
      <w:r>
        <w:rPr>
          <w:i/>
          <w:noProof/>
          <w:sz w:val="22"/>
        </w:rPr>
        <w:t>The Anti-Corruption Strategy 2015-2020</w:t>
      </w:r>
      <w:r>
        <w:rPr>
          <w:noProof/>
          <w:sz w:val="22"/>
        </w:rPr>
        <w:t>, 27 February 2015, (</w:t>
      </w:r>
      <w:hyperlink r:id="rId21" w:history="1">
        <w:r>
          <w:rPr>
            <w:rStyle w:val="Hyperlink"/>
            <w:noProof/>
            <w:sz w:val="22"/>
          </w:rPr>
          <w:t>https://narodne-novine.nn.hr/clanci/sluzbeni/2015_03_26_545.html</w:t>
        </w:r>
      </w:hyperlink>
      <w:r>
        <w:rPr>
          <w:noProof/>
          <w:sz w:val="22"/>
        </w:rPr>
        <w:t>).</w:t>
      </w:r>
    </w:p>
    <w:p w:rsidR="008A17C5" w:rsidRDefault="00402083">
      <w:pPr>
        <w:spacing w:after="120"/>
        <w:ind w:left="284" w:hanging="284"/>
        <w:rPr>
          <w:rFonts w:cs="Times New Roman"/>
          <w:noProof/>
          <w:color w:val="000000"/>
          <w:sz w:val="22"/>
        </w:rPr>
      </w:pPr>
      <w:r>
        <w:rPr>
          <w:rFonts w:cs="Times New Roman"/>
          <w:noProof/>
          <w:color w:val="000000"/>
          <w:sz w:val="22"/>
        </w:rPr>
        <w:t>Draft Anti-Corruption</w:t>
      </w:r>
      <w:r>
        <w:rPr>
          <w:rFonts w:cs="Times New Roman"/>
          <w:noProof/>
          <w:color w:val="000000"/>
          <w:sz w:val="22"/>
        </w:rPr>
        <w:t xml:space="preserve"> Strategy 2021-2030 as published for public consultation, 25 June 2021, (</w:t>
      </w:r>
      <w:hyperlink r:id="rId22" w:history="1">
        <w:r>
          <w:rPr>
            <w:rStyle w:val="Hyperlink"/>
            <w:rFonts w:cs="Times New Roman"/>
            <w:noProof/>
            <w:sz w:val="22"/>
          </w:rPr>
          <w:t>https://esavjetovanja.gov.hr/ECon/MainScreen?entityId=16930</w:t>
        </w:r>
      </w:hyperlink>
      <w:r>
        <w:rPr>
          <w:rFonts w:cs="Times New Roman"/>
          <w:noProof/>
          <w:color w:val="000000"/>
          <w:sz w:val="22"/>
        </w:rPr>
        <w:t>).</w:t>
      </w:r>
    </w:p>
    <w:p w:rsidR="008A17C5" w:rsidRDefault="00402083">
      <w:pPr>
        <w:spacing w:after="120"/>
        <w:ind w:left="284" w:hanging="284"/>
        <w:rPr>
          <w:rFonts w:cs="Times New Roman"/>
          <w:noProof/>
          <w:color w:val="000000"/>
          <w:sz w:val="22"/>
        </w:rPr>
      </w:pPr>
      <w:r>
        <w:rPr>
          <w:rFonts w:cs="Times New Roman"/>
          <w:noProof/>
          <w:color w:val="000000"/>
          <w:sz w:val="22"/>
        </w:rPr>
        <w:t xml:space="preserve">Ethical Council of the </w:t>
      </w:r>
      <w:r>
        <w:rPr>
          <w:noProof/>
          <w:sz w:val="22"/>
        </w:rPr>
        <w:t xml:space="preserve">Supreme Court, </w:t>
      </w:r>
      <w:r>
        <w:rPr>
          <w:rStyle w:val="jlqj4b"/>
          <w:i/>
          <w:noProof/>
          <w:sz w:val="22"/>
          <w:lang w:val="en"/>
        </w:rPr>
        <w:t>The Eth</w:t>
      </w:r>
      <w:r>
        <w:rPr>
          <w:rStyle w:val="jlqj4b"/>
          <w:i/>
          <w:noProof/>
          <w:sz w:val="22"/>
          <w:lang w:val="en"/>
        </w:rPr>
        <w:t>ics Council of the Supreme Court of the Republic of Croatia has decided on the complaints of judges in the procedure of assessing the existence of a violation of the Code of Judicial Ethics - Press release of 31 May 2021</w:t>
      </w:r>
      <w:r>
        <w:rPr>
          <w:rStyle w:val="jlqj4b"/>
          <w:noProof/>
          <w:sz w:val="22"/>
          <w:lang w:val="en"/>
        </w:rPr>
        <w:t>, (</w:t>
      </w:r>
      <w:hyperlink r:id="rId23" w:history="1">
        <w:r>
          <w:rPr>
            <w:rStyle w:val="Hyperlink"/>
            <w:noProof/>
            <w:sz w:val="22"/>
            <w:lang w:val="en"/>
          </w:rPr>
          <w:t>http://www.vsrh.hr/EasyWeb.asp?pcpid=560</w:t>
        </w:r>
      </w:hyperlink>
      <w:r>
        <w:rPr>
          <w:rStyle w:val="jlqj4b"/>
          <w:noProof/>
          <w:sz w:val="22"/>
          <w:lang w:val="en"/>
        </w:rPr>
        <w:t xml:space="preserve"> ; </w:t>
      </w:r>
      <w:hyperlink r:id="rId24" w:history="1">
        <w:r>
          <w:rPr>
            <w:rStyle w:val="Hyperlink"/>
            <w:noProof/>
            <w:sz w:val="22"/>
            <w:lang w:val="en"/>
          </w:rPr>
          <w:t>http://www.vsrh.hr/CustomPages/Static/HRV/Files/2021dok/P</w:t>
        </w:r>
        <w:r>
          <w:rPr>
            <w:rStyle w:val="Hyperlink"/>
            <w:noProof/>
            <w:sz w:val="22"/>
            <w:lang w:val="en"/>
          </w:rPr>
          <w:t>riopcenja/Ev%205-2021-3.pdf</w:t>
        </w:r>
      </w:hyperlink>
      <w:r>
        <w:rPr>
          <w:rStyle w:val="jlqj4b"/>
          <w:noProof/>
          <w:sz w:val="22"/>
          <w:lang w:val="en"/>
        </w:rPr>
        <w:t xml:space="preserve"> ; </w:t>
      </w:r>
      <w:hyperlink r:id="rId25" w:history="1">
        <w:r>
          <w:rPr>
            <w:rStyle w:val="Hyperlink"/>
            <w:noProof/>
            <w:sz w:val="22"/>
            <w:lang w:val="en"/>
          </w:rPr>
          <w:t>http://www.vsrh.hr/CustomPages/Static/HRV/Files/2021dok/Priopcenja/Ev%207-2021-4.pdf</w:t>
        </w:r>
      </w:hyperlink>
      <w:r>
        <w:rPr>
          <w:rStyle w:val="jlqj4b"/>
          <w:noProof/>
          <w:sz w:val="22"/>
          <w:lang w:val="en"/>
        </w:rPr>
        <w:t xml:space="preserve"> ; </w:t>
      </w:r>
      <w:hyperlink r:id="rId26" w:history="1">
        <w:r>
          <w:rPr>
            <w:rStyle w:val="Hyperlink"/>
            <w:noProof/>
            <w:sz w:val="22"/>
            <w:lang w:val="en"/>
          </w:rPr>
          <w:t>http://www.vsrh.hr/CustomPages/Static/HRV/Files/2021dok/Priopcenja/Ev%208-2021-3.pdf</w:t>
        </w:r>
      </w:hyperlink>
      <w:r>
        <w:rPr>
          <w:rStyle w:val="jlqj4b"/>
          <w:noProof/>
          <w:sz w:val="22"/>
          <w:lang w:val="en"/>
        </w:rPr>
        <w:t xml:space="preserve"> ; </w:t>
      </w:r>
      <w:hyperlink r:id="rId27" w:history="1">
        <w:r>
          <w:rPr>
            <w:rStyle w:val="Hyperlink"/>
            <w:noProof/>
            <w:sz w:val="22"/>
            <w:lang w:val="en"/>
          </w:rPr>
          <w:t>http:</w:t>
        </w:r>
        <w:r>
          <w:rPr>
            <w:rStyle w:val="Hyperlink"/>
            <w:noProof/>
            <w:sz w:val="22"/>
            <w:lang w:val="en"/>
          </w:rPr>
          <w:t>//www.vsrh.hr/CustomPages/Static/HRV/Files/2021dok/Priopcenja/Ev%208-2021-4.pdf</w:t>
        </w:r>
      </w:hyperlink>
      <w:r>
        <w:rPr>
          <w:rStyle w:val="jlqj4b"/>
          <w:noProof/>
          <w:sz w:val="22"/>
          <w:lang w:val="en"/>
        </w:rPr>
        <w:t>).</w:t>
      </w:r>
    </w:p>
    <w:p w:rsidR="008A17C5" w:rsidRDefault="00402083">
      <w:pPr>
        <w:spacing w:after="120"/>
        <w:ind w:left="284" w:hanging="284"/>
        <w:rPr>
          <w:noProof/>
          <w:sz w:val="22"/>
        </w:rPr>
      </w:pPr>
      <w:r>
        <w:rPr>
          <w:noProof/>
          <w:sz w:val="22"/>
        </w:rPr>
        <w:t xml:space="preserve">European Civic Forum (GONG) (2021), </w:t>
      </w:r>
      <w:r>
        <w:rPr>
          <w:i/>
          <w:noProof/>
          <w:sz w:val="22"/>
        </w:rPr>
        <w:t>Contribution for the 2021 Rule of Law Report</w:t>
      </w:r>
      <w:r>
        <w:rPr>
          <w:noProof/>
          <w:sz w:val="22"/>
        </w:rPr>
        <w:t xml:space="preserve">. </w:t>
      </w:r>
    </w:p>
    <w:p w:rsidR="008A17C5" w:rsidRDefault="00402083">
      <w:pPr>
        <w:spacing w:after="120"/>
        <w:jc w:val="left"/>
        <w:rPr>
          <w:rFonts w:cs="Times New Roman"/>
          <w:noProof/>
          <w:color w:val="000000"/>
          <w:sz w:val="22"/>
        </w:rPr>
      </w:pPr>
      <w:r>
        <w:rPr>
          <w:rFonts w:cs="Times New Roman"/>
          <w:noProof/>
          <w:color w:val="000000"/>
          <w:sz w:val="22"/>
        </w:rPr>
        <w:t xml:space="preserve">European Commission (2019-2021), </w:t>
      </w:r>
      <w:r>
        <w:rPr>
          <w:rFonts w:cs="Times New Roman"/>
          <w:i/>
          <w:noProof/>
          <w:color w:val="000000"/>
          <w:sz w:val="22"/>
        </w:rPr>
        <w:t>EU Justice Scoreboard</w:t>
      </w:r>
      <w:r>
        <w:rPr>
          <w:rFonts w:cs="Times New Roman"/>
          <w:noProof/>
          <w:color w:val="000000"/>
          <w:sz w:val="22"/>
        </w:rPr>
        <w:t>.</w:t>
      </w:r>
    </w:p>
    <w:p w:rsidR="008A17C5" w:rsidRDefault="00402083">
      <w:pPr>
        <w:spacing w:after="120"/>
        <w:ind w:left="284" w:hanging="284"/>
        <w:rPr>
          <w:rFonts w:eastAsia="Times New Roman" w:cs="Times New Roman"/>
          <w:noProof/>
          <w:sz w:val="22"/>
          <w:lang w:eastAsia="en-GB"/>
        </w:rPr>
      </w:pPr>
      <w:r>
        <w:rPr>
          <w:rFonts w:cs="Times New Roman"/>
          <w:noProof/>
          <w:sz w:val="22"/>
        </w:rPr>
        <w:t xml:space="preserve">European Network of National Human </w:t>
      </w:r>
      <w:r>
        <w:rPr>
          <w:rFonts w:cs="Times New Roman"/>
          <w:noProof/>
          <w:sz w:val="22"/>
        </w:rPr>
        <w:t xml:space="preserve">Rights Institutions (2021), </w:t>
      </w:r>
      <w:r>
        <w:rPr>
          <w:rFonts w:cs="Times New Roman"/>
          <w:i/>
          <w:noProof/>
          <w:sz w:val="22"/>
        </w:rPr>
        <w:t>Contribution for the 2021 Rule of Law Report.</w:t>
      </w:r>
    </w:p>
    <w:p w:rsidR="008A17C5" w:rsidRDefault="00402083">
      <w:pPr>
        <w:spacing w:after="120"/>
        <w:ind w:left="284" w:hanging="284"/>
        <w:rPr>
          <w:noProof/>
          <w:sz w:val="22"/>
        </w:rPr>
      </w:pPr>
      <w:r>
        <w:rPr>
          <w:rFonts w:cs="Times New Roman"/>
          <w:noProof/>
          <w:sz w:val="22"/>
        </w:rPr>
        <w:t xml:space="preserve">General Assembly of the Supreme Court (2021), </w:t>
      </w:r>
      <w:r>
        <w:rPr>
          <w:rFonts w:cs="Times New Roman"/>
          <w:i/>
          <w:noProof/>
          <w:sz w:val="22"/>
        </w:rPr>
        <w:t>Press release of 18 May 2021</w:t>
      </w:r>
      <w:r>
        <w:rPr>
          <w:rFonts w:cs="Times New Roman"/>
          <w:noProof/>
          <w:sz w:val="22"/>
        </w:rPr>
        <w:t>, (</w:t>
      </w:r>
      <w:hyperlink r:id="rId28" w:history="1">
        <w:r>
          <w:rPr>
            <w:rStyle w:val="Hyperlink"/>
            <w:rFonts w:cs="Times New Roman"/>
            <w:noProof/>
            <w:sz w:val="22"/>
          </w:rPr>
          <w:t>http://www.vsrh.hr/EasyWeb.asp?pcpid=560</w:t>
        </w:r>
      </w:hyperlink>
      <w:r>
        <w:rPr>
          <w:rFonts w:cs="Times New Roman"/>
          <w:noProof/>
          <w:sz w:val="22"/>
        </w:rPr>
        <w:t>).</w:t>
      </w:r>
    </w:p>
    <w:p w:rsidR="008A17C5" w:rsidRDefault="00402083">
      <w:pPr>
        <w:spacing w:after="120"/>
        <w:ind w:left="284" w:hanging="284"/>
        <w:rPr>
          <w:noProof/>
          <w:sz w:val="22"/>
        </w:rPr>
      </w:pPr>
      <w:r>
        <w:rPr>
          <w:noProof/>
          <w:sz w:val="22"/>
        </w:rPr>
        <w:t>Gener</w:t>
      </w:r>
      <w:r>
        <w:rPr>
          <w:noProof/>
          <w:sz w:val="22"/>
        </w:rPr>
        <w:t xml:space="preserve">al Assembly of the Supreme Court of Croatia (2021), </w:t>
      </w:r>
      <w:r>
        <w:rPr>
          <w:i/>
          <w:noProof/>
          <w:sz w:val="22"/>
        </w:rPr>
        <w:t>Press release of 26 March 2021</w:t>
      </w:r>
      <w:r>
        <w:rPr>
          <w:noProof/>
          <w:sz w:val="22"/>
        </w:rPr>
        <w:t>, (</w:t>
      </w:r>
      <w:hyperlink r:id="rId29" w:history="1">
        <w:r>
          <w:rPr>
            <w:rStyle w:val="Hyperlink"/>
            <w:noProof/>
            <w:sz w:val="22"/>
          </w:rPr>
          <w:t>http://www.vsrh.hr/EasyWeb.asp?pcpid=560</w:t>
        </w:r>
      </w:hyperlink>
      <w:r>
        <w:rPr>
          <w:noProof/>
          <w:sz w:val="22"/>
        </w:rPr>
        <w:t>).</w:t>
      </w:r>
    </w:p>
    <w:p w:rsidR="008A17C5" w:rsidRDefault="00402083">
      <w:pPr>
        <w:spacing w:after="120"/>
        <w:ind w:left="284" w:hanging="284"/>
        <w:rPr>
          <w:rFonts w:cs="Times New Roman"/>
          <w:noProof/>
          <w:sz w:val="22"/>
        </w:rPr>
      </w:pPr>
      <w:r>
        <w:rPr>
          <w:rFonts w:cs="Times New Roman"/>
          <w:noProof/>
          <w:sz w:val="22"/>
        </w:rPr>
        <w:t xml:space="preserve">GONG (2021), </w:t>
      </w:r>
      <w:r>
        <w:rPr>
          <w:rFonts w:cs="Times New Roman"/>
          <w:i/>
          <w:noProof/>
          <w:sz w:val="22"/>
        </w:rPr>
        <w:t>Letter to GRECO: The Commission must not be destroyed</w:t>
      </w:r>
      <w:r>
        <w:rPr>
          <w:rFonts w:cs="Times New Roman"/>
          <w:noProof/>
          <w:sz w:val="22"/>
        </w:rPr>
        <w:t xml:space="preserve">, 4 </w:t>
      </w:r>
      <w:r>
        <w:rPr>
          <w:rFonts w:cs="Times New Roman"/>
          <w:noProof/>
          <w:sz w:val="22"/>
        </w:rPr>
        <w:t>February 2021, (</w:t>
      </w:r>
      <w:hyperlink r:id="rId30" w:history="1">
        <w:r>
          <w:rPr>
            <w:rStyle w:val="Hyperlink"/>
            <w:rFonts w:cs="Times New Roman"/>
            <w:noProof/>
            <w:sz w:val="22"/>
          </w:rPr>
          <w:t>https://www.gong.hr/en/good-governance/anti-corruption-policy/letter-to-greco-plenkovic-undermines-the-fight-a</w:t>
        </w:r>
        <w:r>
          <w:rPr>
            <w:rStyle w:val="Hyperlink"/>
            <w:rFonts w:cs="Times New Roman"/>
            <w:noProof/>
            <w:sz w:val="22"/>
          </w:rPr>
          <w:t>ga/</w:t>
        </w:r>
      </w:hyperlink>
      <w:r>
        <w:rPr>
          <w:rFonts w:cs="Times New Roman"/>
          <w:noProof/>
          <w:sz w:val="22"/>
        </w:rPr>
        <w:t>).</w:t>
      </w:r>
    </w:p>
    <w:p w:rsidR="008A17C5" w:rsidRDefault="00402083">
      <w:pPr>
        <w:spacing w:after="120"/>
        <w:ind w:left="284" w:hanging="284"/>
        <w:rPr>
          <w:noProof/>
          <w:sz w:val="22"/>
        </w:rPr>
      </w:pPr>
      <w:r>
        <w:rPr>
          <w:noProof/>
          <w:sz w:val="22"/>
        </w:rPr>
        <w:t xml:space="preserve">GRECO (2020), </w:t>
      </w:r>
      <w:r>
        <w:rPr>
          <w:i/>
          <w:noProof/>
          <w:sz w:val="22"/>
        </w:rPr>
        <w:t>Fifth evaluation round - Evaluation Report on Croatia on preventing corruption and promoting integrity in central governments (top executive functions) and law enforcement agencies</w:t>
      </w:r>
      <w:r>
        <w:rPr>
          <w:noProof/>
          <w:sz w:val="22"/>
        </w:rPr>
        <w:t>, 24 March 2020, (</w:t>
      </w:r>
      <w:hyperlink r:id="rId31" w:history="1">
        <w:r>
          <w:rPr>
            <w:rStyle w:val="Hyperlink"/>
            <w:noProof/>
            <w:sz w:val="22"/>
          </w:rPr>
          <w:t>https://rm.coe.int/fifth-round-evaluation-report-on-croatia-preventing-corruption-and-pro/16809cff22</w:t>
        </w:r>
      </w:hyperlink>
      <w:r>
        <w:rPr>
          <w:noProof/>
          <w:sz w:val="22"/>
        </w:rPr>
        <w:t>).</w:t>
      </w:r>
    </w:p>
    <w:p w:rsidR="008A17C5" w:rsidRDefault="00402083">
      <w:pPr>
        <w:pStyle w:val="FootnoteText"/>
        <w:spacing w:after="120"/>
        <w:rPr>
          <w:rFonts w:cs="Times New Roman"/>
          <w:noProof/>
          <w:sz w:val="22"/>
          <w:szCs w:val="22"/>
        </w:rPr>
      </w:pPr>
      <w:r>
        <w:rPr>
          <w:rFonts w:cs="Times New Roman"/>
          <w:noProof/>
          <w:sz w:val="22"/>
          <w:szCs w:val="22"/>
        </w:rPr>
        <w:t xml:space="preserve">GRECO (2020), </w:t>
      </w:r>
      <w:r>
        <w:rPr>
          <w:rFonts w:cs="Times New Roman"/>
          <w:i/>
          <w:noProof/>
          <w:sz w:val="22"/>
          <w:szCs w:val="22"/>
        </w:rPr>
        <w:t xml:space="preserve">Fifth Evaluation Round: Preventing corruption and promoting </w:t>
      </w:r>
      <w:r>
        <w:rPr>
          <w:rFonts w:cs="Times New Roman"/>
          <w:i/>
          <w:noProof/>
          <w:sz w:val="22"/>
          <w:szCs w:val="22"/>
        </w:rPr>
        <w:t>integrity in central governments (top executive functions) and law enforcement agencies</w:t>
      </w:r>
      <w:r>
        <w:rPr>
          <w:rFonts w:cs="Times New Roman"/>
          <w:noProof/>
          <w:sz w:val="22"/>
          <w:szCs w:val="22"/>
        </w:rPr>
        <w:t>, 24 March 2020, (</w:t>
      </w:r>
      <w:hyperlink r:id="rId32" w:history="1">
        <w:r>
          <w:rPr>
            <w:rStyle w:val="Hyperlink"/>
            <w:rFonts w:cs="Times New Roman"/>
            <w:noProof/>
            <w:sz w:val="22"/>
            <w:szCs w:val="22"/>
          </w:rPr>
          <w:t>https://rm.coe.int/fifth-round-eva</w:t>
        </w:r>
        <w:r>
          <w:rPr>
            <w:rStyle w:val="Hyperlink"/>
            <w:rFonts w:cs="Times New Roman"/>
            <w:noProof/>
            <w:sz w:val="22"/>
            <w:szCs w:val="22"/>
          </w:rPr>
          <w:t>luation-report-on-croatia-preventing-corruption-and-pro/16809cff22</w:t>
        </w:r>
      </w:hyperlink>
      <w:r>
        <w:rPr>
          <w:rFonts w:cs="Times New Roman"/>
          <w:noProof/>
          <w:sz w:val="22"/>
          <w:szCs w:val="22"/>
        </w:rPr>
        <w:t>).</w:t>
      </w:r>
    </w:p>
    <w:p w:rsidR="008A17C5" w:rsidRDefault="00402083">
      <w:pPr>
        <w:spacing w:after="120"/>
        <w:ind w:left="284" w:hanging="284"/>
        <w:rPr>
          <w:rFonts w:cs="Times New Roman"/>
          <w:noProof/>
          <w:sz w:val="22"/>
        </w:rPr>
      </w:pPr>
      <w:r>
        <w:rPr>
          <w:rFonts w:cs="Times New Roman"/>
          <w:noProof/>
          <w:sz w:val="22"/>
        </w:rPr>
        <w:t xml:space="preserve">GRECO, </w:t>
      </w:r>
      <w:r>
        <w:rPr>
          <w:rFonts w:cs="Times New Roman"/>
          <w:i/>
          <w:noProof/>
          <w:sz w:val="22"/>
        </w:rPr>
        <w:t>Fourth Evaluation Round: Fourth Evaluation Round, Addendum to the Second Compliance Report Croatia, Addendum to the Second Compliance Report Croatia</w:t>
      </w:r>
      <w:r>
        <w:rPr>
          <w:rFonts w:cs="Times New Roman"/>
          <w:noProof/>
          <w:sz w:val="22"/>
        </w:rPr>
        <w:t>, 21 October 2020, (</w:t>
      </w:r>
      <w:hyperlink r:id="rId33" w:history="1">
        <w:r>
          <w:rPr>
            <w:rStyle w:val="Hyperlink"/>
            <w:rFonts w:cs="Times New Roman"/>
            <w:noProof/>
            <w:sz w:val="22"/>
          </w:rPr>
          <w:t>https://rm.coe.int/fourth-evaluation-round-corruption-prevention-in-respect-of-members-of/1680a010c3</w:t>
        </w:r>
      </w:hyperlink>
      <w:r>
        <w:rPr>
          <w:rFonts w:cs="Times New Roman"/>
          <w:noProof/>
          <w:sz w:val="22"/>
        </w:rPr>
        <w:t>).</w:t>
      </w:r>
    </w:p>
    <w:p w:rsidR="008A17C5" w:rsidRDefault="00402083">
      <w:pPr>
        <w:spacing w:after="120"/>
        <w:ind w:left="284" w:hanging="284"/>
        <w:rPr>
          <w:noProof/>
          <w:sz w:val="22"/>
        </w:rPr>
      </w:pPr>
      <w:r>
        <w:rPr>
          <w:noProof/>
          <w:sz w:val="22"/>
        </w:rPr>
        <w:t xml:space="preserve">High Administrative Court, </w:t>
      </w:r>
      <w:r>
        <w:rPr>
          <w:i/>
          <w:noProof/>
          <w:sz w:val="22"/>
        </w:rPr>
        <w:t>Press release of 3 Fe</w:t>
      </w:r>
      <w:r>
        <w:rPr>
          <w:i/>
          <w:noProof/>
          <w:sz w:val="22"/>
        </w:rPr>
        <w:t>bruary 2021</w:t>
      </w:r>
      <w:r>
        <w:rPr>
          <w:noProof/>
          <w:sz w:val="22"/>
        </w:rPr>
        <w:t>, (</w:t>
      </w:r>
      <w:hyperlink r:id="rId34" w:history="1">
        <w:r>
          <w:rPr>
            <w:rStyle w:val="Hyperlink"/>
            <w:noProof/>
            <w:sz w:val="22"/>
          </w:rPr>
          <w:t>https://sudovi.hr/sites/default/files/priopcenja/2021-0</w:t>
        </w:r>
        <w:r>
          <w:rPr>
            <w:rStyle w:val="Hyperlink"/>
            <w:noProof/>
            <w:sz w:val="22"/>
          </w:rPr>
          <w:t>2/Visoki%20upravni%20sud%20Republike%20Hrvatske%20-%20priop%C4%87enje%20za%20javnost%203.%20velja%C4%8De%202021.pdf</w:t>
        </w:r>
      </w:hyperlink>
      <w:r>
        <w:rPr>
          <w:noProof/>
          <w:sz w:val="22"/>
        </w:rPr>
        <w:t>).</w:t>
      </w:r>
    </w:p>
    <w:p w:rsidR="008A17C5" w:rsidRDefault="00402083">
      <w:pPr>
        <w:spacing w:after="120"/>
        <w:ind w:left="284" w:hanging="284"/>
        <w:rPr>
          <w:noProof/>
          <w:sz w:val="22"/>
        </w:rPr>
      </w:pPr>
      <w:r>
        <w:rPr>
          <w:noProof/>
          <w:sz w:val="22"/>
        </w:rPr>
        <w:t xml:space="preserve">Human Rights House Zagreb (2021), </w:t>
      </w:r>
      <w:r>
        <w:rPr>
          <w:i/>
          <w:noProof/>
          <w:sz w:val="22"/>
        </w:rPr>
        <w:t>Contribution for the 2021 Rule of Law Report</w:t>
      </w:r>
      <w:r>
        <w:rPr>
          <w:noProof/>
          <w:sz w:val="22"/>
        </w:rPr>
        <w:t>.</w:t>
      </w:r>
    </w:p>
    <w:p w:rsidR="008A17C5" w:rsidRDefault="00402083">
      <w:pPr>
        <w:spacing w:after="120"/>
        <w:ind w:left="284" w:hanging="284"/>
        <w:rPr>
          <w:noProof/>
          <w:sz w:val="22"/>
        </w:rPr>
      </w:pPr>
      <w:r>
        <w:rPr>
          <w:noProof/>
          <w:sz w:val="22"/>
        </w:rPr>
        <w:t xml:space="preserve">ILGA-Europe (2021), </w:t>
      </w:r>
      <w:r>
        <w:rPr>
          <w:i/>
          <w:noProof/>
          <w:sz w:val="22"/>
        </w:rPr>
        <w:t xml:space="preserve">Contribution for the 2021 Rule of Law </w:t>
      </w:r>
      <w:r>
        <w:rPr>
          <w:i/>
          <w:noProof/>
          <w:sz w:val="22"/>
        </w:rPr>
        <w:t>Report</w:t>
      </w:r>
      <w:r>
        <w:rPr>
          <w:noProof/>
          <w:sz w:val="22"/>
        </w:rPr>
        <w:t xml:space="preserve">. </w:t>
      </w:r>
    </w:p>
    <w:p w:rsidR="008A17C5" w:rsidRDefault="00402083">
      <w:pPr>
        <w:spacing w:after="120"/>
        <w:ind w:left="284" w:hanging="284"/>
        <w:rPr>
          <w:noProof/>
          <w:sz w:val="22"/>
        </w:rPr>
      </w:pPr>
      <w:r>
        <w:rPr>
          <w:noProof/>
          <w:sz w:val="22"/>
        </w:rPr>
        <w:t xml:space="preserve">Judgment of the Constitutional Court of 14 September 2020, </w:t>
      </w:r>
      <w:r>
        <w:rPr>
          <w:i/>
          <w:noProof/>
          <w:sz w:val="22"/>
        </w:rPr>
        <w:t>U-II-2379/2020</w:t>
      </w:r>
      <w:r>
        <w:rPr>
          <w:noProof/>
          <w:sz w:val="22"/>
        </w:rPr>
        <w:t>, (</w:t>
      </w:r>
      <w:hyperlink r:id="rId35" w:history="1">
        <w:r>
          <w:rPr>
            <w:rStyle w:val="Hyperlink"/>
            <w:noProof/>
            <w:sz w:val="22"/>
          </w:rPr>
          <w:t>https://narodne-novine.nn.hr/clanci/sluzbeni/full/2020_09_105_1969.html</w:t>
        </w:r>
      </w:hyperlink>
      <w:r>
        <w:rPr>
          <w:noProof/>
          <w:sz w:val="22"/>
        </w:rPr>
        <w:t>).</w:t>
      </w:r>
    </w:p>
    <w:p w:rsidR="008A17C5" w:rsidRDefault="00402083">
      <w:pPr>
        <w:spacing w:after="120"/>
        <w:ind w:left="284" w:hanging="284"/>
        <w:rPr>
          <w:rFonts w:cs="Times New Roman"/>
          <w:noProof/>
          <w:sz w:val="22"/>
        </w:rPr>
      </w:pPr>
      <w:r>
        <w:rPr>
          <w:rFonts w:cs="Times New Roman"/>
          <w:noProof/>
          <w:sz w:val="22"/>
        </w:rPr>
        <w:t xml:space="preserve">Judgment of the Constitutional Court of 2 July 2019, </w:t>
      </w:r>
      <w:r>
        <w:rPr>
          <w:rFonts w:cs="Times New Roman"/>
          <w:i/>
          <w:noProof/>
          <w:sz w:val="22"/>
        </w:rPr>
        <w:t>U-III-673/2018</w:t>
      </w:r>
      <w:r>
        <w:rPr>
          <w:rFonts w:cs="Times New Roman"/>
          <w:noProof/>
          <w:sz w:val="22"/>
        </w:rPr>
        <w:t>, (</w:t>
      </w:r>
      <w:hyperlink r:id="rId36" w:history="1">
        <w:r>
          <w:rPr>
            <w:rStyle w:val="Hyperlink"/>
            <w:rFonts w:cs="Times New Roman"/>
            <w:noProof/>
            <w:sz w:val="22"/>
          </w:rPr>
          <w:t>https://sljeme.usud.hr/usud/praksaw.nsf/fOdluka.xsp?ac</w:t>
        </w:r>
        <w:r>
          <w:rPr>
            <w:rStyle w:val="Hyperlink"/>
            <w:rFonts w:cs="Times New Roman"/>
            <w:noProof/>
            <w:sz w:val="22"/>
          </w:rPr>
          <w:t>tion=openDocument&amp;documentId=C12570D30061CE54C125842D00218646</w:t>
        </w:r>
      </w:hyperlink>
      <w:r>
        <w:rPr>
          <w:rFonts w:cs="Times New Roman"/>
          <w:noProof/>
          <w:sz w:val="22"/>
        </w:rPr>
        <w:t>).</w:t>
      </w:r>
    </w:p>
    <w:p w:rsidR="008A17C5" w:rsidRDefault="00402083">
      <w:pPr>
        <w:spacing w:after="120"/>
        <w:ind w:left="284" w:hanging="284"/>
        <w:rPr>
          <w:noProof/>
          <w:sz w:val="22"/>
          <w:lang w:val="en-IE"/>
        </w:rPr>
      </w:pPr>
      <w:r>
        <w:rPr>
          <w:noProof/>
          <w:sz w:val="22"/>
          <w:lang w:val="en-IE"/>
        </w:rPr>
        <w:t xml:space="preserve">Judgment of the Constitutional Court of 23 March 2021, </w:t>
      </w:r>
      <w:r>
        <w:rPr>
          <w:i/>
          <w:noProof/>
          <w:sz w:val="22"/>
          <w:lang w:val="en-IE"/>
        </w:rPr>
        <w:t>U-I-1039/2021</w:t>
      </w:r>
      <w:r>
        <w:rPr>
          <w:noProof/>
          <w:sz w:val="22"/>
          <w:lang w:val="en-IE"/>
        </w:rPr>
        <w:t>, (</w:t>
      </w:r>
      <w:hyperlink r:id="rId37" w:history="1">
        <w:r>
          <w:rPr>
            <w:rStyle w:val="Hyperlink"/>
            <w:noProof/>
            <w:sz w:val="22"/>
            <w:lang w:val="en-IE"/>
          </w:rPr>
          <w:t>https://sljeme.usud.hr/Usud/Praksaw.nsf/C12570D30061CE54C12586A200446E08/$FILE/U-I-1039-2021%20i%20dr.pdf</w:t>
        </w:r>
      </w:hyperlink>
      <w:r>
        <w:rPr>
          <w:noProof/>
          <w:sz w:val="22"/>
          <w:lang w:val="en-IE"/>
        </w:rPr>
        <w:t>).</w:t>
      </w:r>
    </w:p>
    <w:p w:rsidR="008A17C5" w:rsidRDefault="00402083">
      <w:pPr>
        <w:spacing w:after="120"/>
        <w:ind w:left="284" w:hanging="284"/>
        <w:rPr>
          <w:rFonts w:eastAsia="Times New Roman" w:cs="Times New Roman"/>
          <w:noProof/>
          <w:sz w:val="22"/>
          <w:lang w:val="en-IE" w:eastAsia="en-GB"/>
        </w:rPr>
      </w:pPr>
      <w:r>
        <w:rPr>
          <w:noProof/>
          <w:sz w:val="22"/>
          <w:lang w:val="en-IE"/>
        </w:rPr>
        <w:t xml:space="preserve">Judgment of the Constitutional Court of 3 November 2020, </w:t>
      </w:r>
      <w:r>
        <w:rPr>
          <w:i/>
          <w:noProof/>
          <w:sz w:val="22"/>
          <w:lang w:val="en-IE"/>
        </w:rPr>
        <w:t>U-I-4658/2019</w:t>
      </w:r>
      <w:r>
        <w:rPr>
          <w:noProof/>
          <w:sz w:val="22"/>
          <w:lang w:val="en-IE"/>
        </w:rPr>
        <w:t>, (</w:t>
      </w:r>
      <w:hyperlink r:id="rId38" w:history="1">
        <w:r>
          <w:rPr>
            <w:rStyle w:val="Hyperlink"/>
            <w:noProof/>
            <w:sz w:val="22"/>
            <w:lang w:val="en-IE"/>
          </w:rPr>
          <w:t>https://sljeme.usud.hr/Usud/Praksaw.nsf/C12570D30061CE54C1258615004B58C4/$FILE/U-I-4658-2019%20i%20dr.pdf</w:t>
        </w:r>
      </w:hyperlink>
      <w:r>
        <w:rPr>
          <w:noProof/>
          <w:sz w:val="22"/>
          <w:lang w:val="en-IE"/>
        </w:rPr>
        <w:t>).</w:t>
      </w:r>
    </w:p>
    <w:p w:rsidR="008A17C5" w:rsidRDefault="00402083">
      <w:pPr>
        <w:spacing w:after="120"/>
        <w:ind w:left="284" w:hanging="284"/>
        <w:rPr>
          <w:rFonts w:cs="Times New Roman"/>
          <w:noProof/>
          <w:sz w:val="22"/>
        </w:rPr>
      </w:pPr>
      <w:r>
        <w:rPr>
          <w:rFonts w:cs="Times New Roman"/>
          <w:noProof/>
          <w:sz w:val="22"/>
        </w:rPr>
        <w:t xml:space="preserve">Judgment of the High Administrative Court of 10 December 2020, </w:t>
      </w:r>
      <w:r>
        <w:rPr>
          <w:rFonts w:cs="Times New Roman"/>
          <w:i/>
          <w:noProof/>
          <w:sz w:val="22"/>
        </w:rPr>
        <w:t>Usž–2745/18-5</w:t>
      </w:r>
      <w:r>
        <w:rPr>
          <w:rFonts w:cs="Times New Roman"/>
          <w:noProof/>
          <w:sz w:val="22"/>
        </w:rPr>
        <w:t>, (</w:t>
      </w:r>
      <w:hyperlink r:id="rId39" w:history="1">
        <w:r>
          <w:rPr>
            <w:rStyle w:val="Hyperlink"/>
            <w:rFonts w:cs="Times New Roman"/>
            <w:noProof/>
            <w:sz w:val="22"/>
          </w:rPr>
          <w:t>https://www.sukobinteresa.hr/sites/default/files/akti/2021/milan_bandic_p-130-14_presuda_visokog_upravnog_suda_republike_hrvats</w:t>
        </w:r>
        <w:r>
          <w:rPr>
            <w:rStyle w:val="Hyperlink"/>
            <w:rFonts w:cs="Times New Roman"/>
            <w:noProof/>
            <w:sz w:val="22"/>
          </w:rPr>
          <w:t>ke.pdf</w:t>
        </w:r>
      </w:hyperlink>
      <w:r>
        <w:rPr>
          <w:rFonts w:cs="Times New Roman"/>
          <w:noProof/>
          <w:sz w:val="22"/>
        </w:rPr>
        <w:t>).</w:t>
      </w:r>
    </w:p>
    <w:p w:rsidR="008A17C5" w:rsidRDefault="00402083">
      <w:pPr>
        <w:spacing w:after="120"/>
        <w:ind w:left="284" w:hanging="284"/>
        <w:rPr>
          <w:rFonts w:cs="Times New Roman"/>
          <w:i/>
          <w:noProof/>
          <w:sz w:val="22"/>
        </w:rPr>
      </w:pPr>
      <w:r>
        <w:rPr>
          <w:noProof/>
          <w:sz w:val="22"/>
        </w:rPr>
        <w:t xml:space="preserve">Judgment of the High Administrative Court of 12 September 2019, </w:t>
      </w:r>
      <w:r>
        <w:rPr>
          <w:rFonts w:cs="Times New Roman"/>
          <w:i/>
          <w:noProof/>
          <w:sz w:val="22"/>
        </w:rPr>
        <w:t>Usž-1948/19-2</w:t>
      </w:r>
      <w:r>
        <w:rPr>
          <w:rFonts w:cs="Times New Roman"/>
          <w:noProof/>
          <w:sz w:val="22"/>
        </w:rPr>
        <w:t>, (</w:t>
      </w:r>
      <w:hyperlink r:id="rId40" w:history="1">
        <w:r>
          <w:rPr>
            <w:rStyle w:val="Hyperlink"/>
            <w:rFonts w:cs="Times New Roman"/>
            <w:noProof/>
            <w:sz w:val="22"/>
          </w:rPr>
          <w:t>https://www.sukobinteresa.hr/sites/default/files/akti/2019/p-73-18-19-27.p</w:t>
        </w:r>
        <w:r>
          <w:rPr>
            <w:rStyle w:val="Hyperlink"/>
            <w:rFonts w:cs="Times New Roman"/>
            <w:noProof/>
            <w:sz w:val="22"/>
          </w:rPr>
          <w:t>df</w:t>
        </w:r>
      </w:hyperlink>
      <w:r>
        <w:rPr>
          <w:rFonts w:cs="Times New Roman"/>
          <w:noProof/>
          <w:sz w:val="22"/>
        </w:rPr>
        <w:t>)</w:t>
      </w:r>
      <w:r>
        <w:rPr>
          <w:rFonts w:cs="Times New Roman"/>
          <w:i/>
          <w:noProof/>
          <w:sz w:val="22"/>
        </w:rPr>
        <w:t>.</w:t>
      </w:r>
    </w:p>
    <w:p w:rsidR="008A17C5" w:rsidRDefault="00402083">
      <w:pPr>
        <w:spacing w:after="120"/>
        <w:ind w:left="284" w:hanging="284"/>
        <w:rPr>
          <w:noProof/>
          <w:sz w:val="20"/>
        </w:rPr>
      </w:pPr>
      <w:r>
        <w:rPr>
          <w:rFonts w:cs="Times New Roman"/>
          <w:noProof/>
          <w:sz w:val="22"/>
        </w:rPr>
        <w:t xml:space="preserve">Judgment of the High Administrative Court of 27 May 2020, </w:t>
      </w:r>
      <w:r>
        <w:rPr>
          <w:rFonts w:cs="Times New Roman"/>
          <w:i/>
          <w:noProof/>
          <w:sz w:val="22"/>
        </w:rPr>
        <w:t>Usž – 2889/20-2</w:t>
      </w:r>
      <w:r>
        <w:rPr>
          <w:rFonts w:cs="Times New Roman"/>
          <w:noProof/>
          <w:sz w:val="22"/>
        </w:rPr>
        <w:t>, (</w:t>
      </w:r>
      <w:hyperlink r:id="rId41" w:history="1">
        <w:r>
          <w:rPr>
            <w:rStyle w:val="Hyperlink"/>
            <w:rFonts w:cs="Times New Roman"/>
            <w:noProof/>
            <w:sz w:val="22"/>
          </w:rPr>
          <w:t>https://www.sukobinteresa.hr/sites/default/files/akti/2021/andrej_plenkovic_p-381-18_presuda_visokog_upravnog_suda_usz-2889-20.pdf</w:t>
        </w:r>
      </w:hyperlink>
      <w:r>
        <w:rPr>
          <w:rFonts w:cs="Times New Roman"/>
          <w:noProof/>
          <w:sz w:val="22"/>
        </w:rPr>
        <w:t>).</w:t>
      </w:r>
    </w:p>
    <w:p w:rsidR="008A17C5" w:rsidRDefault="00402083">
      <w:pPr>
        <w:spacing w:after="120"/>
        <w:ind w:left="284" w:hanging="284"/>
        <w:rPr>
          <w:noProof/>
          <w:sz w:val="22"/>
          <w:lang w:val="en-IE"/>
        </w:rPr>
      </w:pPr>
      <w:r>
        <w:rPr>
          <w:noProof/>
          <w:sz w:val="22"/>
          <w:lang w:val="en-IE"/>
        </w:rPr>
        <w:t xml:space="preserve">Novi list (2021), </w:t>
      </w:r>
      <w:r>
        <w:rPr>
          <w:rStyle w:val="jlqj4b"/>
          <w:i/>
          <w:noProof/>
          <w:sz w:val="22"/>
          <w:lang w:val="en"/>
        </w:rPr>
        <w:t xml:space="preserve">A new vacancy for the President of the Supreme Court has been published, the deadline for candidacies is </w:t>
      </w:r>
      <w:r>
        <w:rPr>
          <w:rStyle w:val="jlqj4b"/>
          <w:i/>
          <w:noProof/>
          <w:sz w:val="22"/>
          <w:lang w:val="en"/>
        </w:rPr>
        <w:t>30 days</w:t>
      </w:r>
      <w:r>
        <w:rPr>
          <w:rStyle w:val="jlqj4b"/>
          <w:noProof/>
          <w:sz w:val="22"/>
          <w:lang w:val="en"/>
        </w:rPr>
        <w:t>, 31 March 2021, (</w:t>
      </w:r>
      <w:hyperlink r:id="rId42" w:history="1">
        <w:r>
          <w:rPr>
            <w:rStyle w:val="Hyperlink"/>
            <w:noProof/>
            <w:sz w:val="22"/>
            <w:lang w:val="en"/>
          </w:rPr>
          <w:t>https://www.novilist.hr/novosti/hrvatska/raspisan-novi-poziv-za-predsjednika-vrhovnog-suda/?meta_refresh=</w:t>
        </w:r>
        <w:r>
          <w:rPr>
            <w:rStyle w:val="Hyperlink"/>
            <w:noProof/>
            <w:sz w:val="22"/>
            <w:lang w:val="en"/>
          </w:rPr>
          <w:t>true</w:t>
        </w:r>
      </w:hyperlink>
      <w:r>
        <w:rPr>
          <w:rStyle w:val="jlqj4b"/>
          <w:noProof/>
          <w:sz w:val="22"/>
          <w:lang w:val="en"/>
        </w:rPr>
        <w:t>).</w:t>
      </w:r>
    </w:p>
    <w:p w:rsidR="008A17C5" w:rsidRDefault="00402083">
      <w:pPr>
        <w:spacing w:after="120"/>
        <w:ind w:left="284" w:hanging="284"/>
        <w:rPr>
          <w:rFonts w:eastAsia="Times New Roman" w:cs="Times New Roman"/>
          <w:noProof/>
          <w:sz w:val="22"/>
          <w:lang w:val="en-IE" w:eastAsia="en-GB"/>
        </w:rPr>
      </w:pPr>
      <w:r>
        <w:rPr>
          <w:noProof/>
          <w:sz w:val="22"/>
          <w:lang w:val="en-IE"/>
        </w:rPr>
        <w:t xml:space="preserve">Office of the President of the Republic (2021), </w:t>
      </w:r>
      <w:r>
        <w:rPr>
          <w:i/>
          <w:noProof/>
          <w:sz w:val="22"/>
          <w:lang w:val="en-IE"/>
        </w:rPr>
        <w:t>Press release of 8 March 2021</w:t>
      </w:r>
      <w:r>
        <w:rPr>
          <w:noProof/>
          <w:sz w:val="22"/>
          <w:lang w:val="en-IE"/>
        </w:rPr>
        <w:t>, (</w:t>
      </w:r>
      <w:hyperlink r:id="rId43" w:history="1">
        <w:r>
          <w:rPr>
            <w:rStyle w:val="Hyperlink"/>
            <w:noProof/>
            <w:sz w:val="22"/>
            <w:lang w:val="en-IE"/>
          </w:rPr>
          <w:t>https://www.predsj</w:t>
        </w:r>
        <w:r>
          <w:rPr>
            <w:rStyle w:val="Hyperlink"/>
            <w:noProof/>
            <w:sz w:val="22"/>
            <w:lang w:val="en-IE"/>
          </w:rPr>
          <w:t>ednik.hr/vijesti/predsjednik-republike-predlozio-je-zlatu-durdevic-za-predsjednicu-vrhovnog-suda-republike-hrvatske/</w:t>
        </w:r>
      </w:hyperlink>
      <w:r>
        <w:rPr>
          <w:noProof/>
          <w:sz w:val="22"/>
          <w:lang w:val="en-IE"/>
        </w:rPr>
        <w:t>).</w:t>
      </w:r>
    </w:p>
    <w:p w:rsidR="008A17C5" w:rsidRDefault="00402083">
      <w:pPr>
        <w:spacing w:after="120"/>
        <w:ind w:left="284" w:hanging="284"/>
        <w:rPr>
          <w:noProof/>
          <w:sz w:val="22"/>
          <w:lang w:val="en-IE"/>
        </w:rPr>
      </w:pPr>
      <w:r>
        <w:rPr>
          <w:noProof/>
          <w:sz w:val="22"/>
          <w:lang w:val="en-IE"/>
        </w:rPr>
        <w:t xml:space="preserve">Office of the President of the Republic (2021), </w:t>
      </w:r>
      <w:r>
        <w:rPr>
          <w:i/>
          <w:noProof/>
          <w:sz w:val="22"/>
          <w:lang w:val="en-IE"/>
        </w:rPr>
        <w:t>Press release of 25 March 2021</w:t>
      </w:r>
      <w:r>
        <w:rPr>
          <w:noProof/>
          <w:sz w:val="22"/>
          <w:lang w:val="en-IE"/>
        </w:rPr>
        <w:t>, (</w:t>
      </w:r>
      <w:hyperlink r:id="rId44" w:history="1">
        <w:r>
          <w:rPr>
            <w:rStyle w:val="Hyperlink"/>
            <w:noProof/>
            <w:sz w:val="22"/>
            <w:lang w:val="en-IE"/>
          </w:rPr>
          <w:t>https://www.predsjednik.hr/vijesti/ured-predsjednika-republike-hrvatske-uputio-dopis-drzavnom-sudbenom-vijecu/</w:t>
        </w:r>
      </w:hyperlink>
      <w:r>
        <w:rPr>
          <w:noProof/>
          <w:sz w:val="22"/>
          <w:lang w:val="en-IE"/>
        </w:rPr>
        <w:t>).</w:t>
      </w:r>
    </w:p>
    <w:p w:rsidR="008A17C5" w:rsidRDefault="00402083">
      <w:pPr>
        <w:spacing w:after="120"/>
        <w:ind w:left="284" w:hanging="284"/>
        <w:rPr>
          <w:noProof/>
          <w:sz w:val="22"/>
        </w:rPr>
      </w:pPr>
      <w:r>
        <w:rPr>
          <w:noProof/>
          <w:sz w:val="22"/>
        </w:rPr>
        <w:t>Osservatorio Balcani Caucaso Transeuropa (2021), Contribution for the 20</w:t>
      </w:r>
      <w:r>
        <w:rPr>
          <w:noProof/>
          <w:sz w:val="22"/>
        </w:rPr>
        <w:t>21 Rule of Law Report.</w:t>
      </w:r>
    </w:p>
    <w:p w:rsidR="008A17C5" w:rsidRDefault="00402083">
      <w:pPr>
        <w:spacing w:after="120"/>
        <w:ind w:left="284" w:hanging="284"/>
        <w:rPr>
          <w:noProof/>
          <w:sz w:val="22"/>
        </w:rPr>
      </w:pPr>
      <w:r>
        <w:rPr>
          <w:noProof/>
          <w:sz w:val="22"/>
        </w:rPr>
        <w:t xml:space="preserve">Supreme Court of Croatia (2021), </w:t>
      </w:r>
      <w:r>
        <w:rPr>
          <w:i/>
          <w:noProof/>
          <w:sz w:val="22"/>
        </w:rPr>
        <w:t>Press release of 18 May 2021</w:t>
      </w:r>
      <w:r>
        <w:rPr>
          <w:noProof/>
          <w:sz w:val="22"/>
        </w:rPr>
        <w:t>, (</w:t>
      </w:r>
      <w:hyperlink r:id="rId45" w:history="1">
        <w:r>
          <w:rPr>
            <w:rStyle w:val="Hyperlink"/>
            <w:noProof/>
            <w:sz w:val="22"/>
          </w:rPr>
          <w:t>http://www.vsrh.hr/EasyWeb.asp?pcpid=560</w:t>
        </w:r>
      </w:hyperlink>
      <w:r>
        <w:rPr>
          <w:noProof/>
          <w:sz w:val="22"/>
        </w:rPr>
        <w:t>).</w:t>
      </w:r>
    </w:p>
    <w:p w:rsidR="008A17C5" w:rsidRDefault="00402083">
      <w:pPr>
        <w:spacing w:after="120"/>
        <w:ind w:left="284" w:hanging="284"/>
        <w:rPr>
          <w:noProof/>
          <w:sz w:val="22"/>
          <w:lang w:val="sl-SI"/>
        </w:rPr>
      </w:pPr>
      <w:r>
        <w:rPr>
          <w:noProof/>
          <w:sz w:val="22"/>
        </w:rPr>
        <w:t>Supreme</w:t>
      </w:r>
      <w:r>
        <w:rPr>
          <w:noProof/>
          <w:sz w:val="22"/>
          <w:lang w:val="sl-SI"/>
        </w:rPr>
        <w:t xml:space="preserve"> Court of Croatia (2021), </w:t>
      </w:r>
      <w:r>
        <w:rPr>
          <w:i/>
          <w:noProof/>
          <w:sz w:val="22"/>
          <w:lang w:val="sl-SI"/>
        </w:rPr>
        <w:t xml:space="preserve">Request from the President of the </w:t>
      </w:r>
      <w:r>
        <w:rPr>
          <w:i/>
          <w:noProof/>
          <w:sz w:val="22"/>
          <w:lang w:val="sl-SI"/>
        </w:rPr>
        <w:t>Supreme Court</w:t>
      </w:r>
      <w:r>
        <w:rPr>
          <w:noProof/>
          <w:sz w:val="22"/>
          <w:lang w:val="sl-SI"/>
        </w:rPr>
        <w:t>, 5 March 2021, (</w:t>
      </w:r>
      <w:hyperlink r:id="rId46" w:history="1">
        <w:r>
          <w:rPr>
            <w:rStyle w:val="Hyperlink"/>
            <w:noProof/>
            <w:sz w:val="22"/>
            <w:lang w:val="sl-SI"/>
          </w:rPr>
          <w:t>http://www.vsrh.hr/CustomPages/Static/HRV/Files/2021dok/Priopcenja/Prituzba-2021.pdf</w:t>
        </w:r>
      </w:hyperlink>
      <w:r>
        <w:rPr>
          <w:noProof/>
          <w:sz w:val="22"/>
          <w:lang w:val="sl-SI"/>
        </w:rPr>
        <w:t>).</w:t>
      </w:r>
    </w:p>
    <w:p w:rsidR="008A17C5" w:rsidRDefault="00402083">
      <w:pPr>
        <w:spacing w:after="120"/>
        <w:ind w:left="284" w:hanging="284"/>
        <w:rPr>
          <w:rFonts w:cs="Times New Roman"/>
          <w:noProof/>
          <w:sz w:val="22"/>
          <w:lang w:val="pl-PL"/>
        </w:rPr>
      </w:pPr>
      <w:r>
        <w:rPr>
          <w:rFonts w:cs="Times New Roman"/>
          <w:noProof/>
          <w:sz w:val="22"/>
          <w:lang w:val="pl-PL"/>
        </w:rPr>
        <w:t xml:space="preserve">Telegram (2021), </w:t>
      </w:r>
      <w:r>
        <w:rPr>
          <w:rFonts w:cs="Times New Roman"/>
          <w:i/>
          <w:noProof/>
          <w:sz w:val="22"/>
          <w:lang w:val="pl-PL"/>
        </w:rPr>
        <w:t>Ovo je bomba. Telegra</w:t>
      </w:r>
      <w:r>
        <w:rPr>
          <w:rFonts w:cs="Times New Roman"/>
          <w:i/>
          <w:noProof/>
          <w:sz w:val="22"/>
          <w:lang w:val="pl-PL"/>
        </w:rPr>
        <w:t>m otkriva tajnu snimku: ovako HDZ-ov gradonačelnik Požege diktira koje firme moraju dobiti poslove</w:t>
      </w:r>
      <w:r>
        <w:rPr>
          <w:rFonts w:cs="Times New Roman"/>
          <w:noProof/>
          <w:sz w:val="22"/>
          <w:lang w:val="pl-PL"/>
        </w:rPr>
        <w:t>, 12 January 2021, (</w:t>
      </w:r>
      <w:hyperlink r:id="rId47" w:history="1">
        <w:r>
          <w:rPr>
            <w:rStyle w:val="Hyperlink"/>
            <w:rFonts w:cs="Times New Roman"/>
            <w:noProof/>
            <w:sz w:val="22"/>
            <w:lang w:val="pl-PL"/>
          </w:rPr>
          <w:t>https://www.telegram.hr/politika-kriminal/ovo-je-bomba-telegram-otkriva-tajnu-snimku-ovako-hdz-ov-gradonacelnik-pozege-diktira-koje-firme-moraju-dobiti-poslove/</w:t>
        </w:r>
      </w:hyperlink>
      <w:r>
        <w:rPr>
          <w:rFonts w:cs="Times New Roman"/>
          <w:noProof/>
          <w:sz w:val="22"/>
          <w:lang w:val="pl-PL"/>
        </w:rPr>
        <w:t>).</w:t>
      </w:r>
    </w:p>
    <w:p w:rsidR="008A17C5" w:rsidRDefault="00402083">
      <w:pPr>
        <w:spacing w:after="120"/>
        <w:ind w:left="284" w:hanging="284"/>
        <w:rPr>
          <w:rFonts w:cs="Times New Roman"/>
          <w:noProof/>
          <w:sz w:val="22"/>
          <w:lang w:val="pl-PL"/>
        </w:rPr>
      </w:pPr>
      <w:r>
        <w:rPr>
          <w:noProof/>
          <w:sz w:val="22"/>
        </w:rPr>
        <w:t>The National reports drafted by the French NHRI (CNCDH</w:t>
      </w:r>
      <w:r>
        <w:rPr>
          <w:noProof/>
          <w:sz w:val="22"/>
        </w:rPr>
        <w:t>), the Croatian, Greek, Serbian and Slovenian National Human Rights Institutions, [date – to be updated], (</w:t>
      </w:r>
      <w:hyperlink r:id="rId48" w:history="1">
        <w:r>
          <w:rPr>
            <w:rStyle w:val="Hyperlink"/>
            <w:noProof/>
            <w:sz w:val="22"/>
          </w:rPr>
          <w:t>http://ennhri.org/rights-at-borders/</w:t>
        </w:r>
      </w:hyperlink>
      <w:r>
        <w:rPr>
          <w:noProof/>
          <w:sz w:val="22"/>
        </w:rPr>
        <w:t xml:space="preserve">). </w:t>
      </w:r>
    </w:p>
    <w:p w:rsidR="008A17C5" w:rsidRDefault="00402083">
      <w:pPr>
        <w:spacing w:after="120"/>
        <w:ind w:left="284" w:hanging="284"/>
        <w:rPr>
          <w:rFonts w:cs="Times New Roman"/>
          <w:noProof/>
          <w:sz w:val="22"/>
          <w:lang w:val="pl-PL"/>
        </w:rPr>
      </w:pPr>
      <w:r>
        <w:rPr>
          <w:rFonts w:cs="Times New Roman"/>
          <w:iCs/>
          <w:noProof/>
          <w:sz w:val="22"/>
          <w:lang w:val="pl-PL"/>
        </w:rPr>
        <w:t>Večernji list (2020)</w:t>
      </w:r>
      <w:r>
        <w:rPr>
          <w:rFonts w:cs="Times New Roman"/>
          <w:noProof/>
          <w:sz w:val="22"/>
          <w:lang w:val="pl-PL"/>
        </w:rPr>
        <w:t xml:space="preserve">, </w:t>
      </w:r>
      <w:r>
        <w:rPr>
          <w:rFonts w:cs="Times New Roman"/>
          <w:i/>
          <w:noProof/>
          <w:sz w:val="22"/>
          <w:lang w:val="pl-PL"/>
        </w:rPr>
        <w:t>Dosje o Bandićevoj poskupjeloj Žič</w:t>
      </w:r>
      <w:r>
        <w:rPr>
          <w:rFonts w:cs="Times New Roman"/>
          <w:i/>
          <w:noProof/>
          <w:sz w:val="22"/>
          <w:lang w:val="pl-PL"/>
        </w:rPr>
        <w:t>ari: Laži, aneksi, tužbe ljubavne afere, osvete...</w:t>
      </w:r>
      <w:r>
        <w:rPr>
          <w:rFonts w:cs="Times New Roman"/>
          <w:noProof/>
          <w:sz w:val="22"/>
          <w:lang w:val="pl-PL"/>
        </w:rPr>
        <w:t>,</w:t>
      </w:r>
      <w:r>
        <w:rPr>
          <w:rFonts w:cs="Times New Roman"/>
          <w:i/>
          <w:iCs/>
          <w:noProof/>
          <w:sz w:val="22"/>
          <w:lang w:val="pl-PL"/>
        </w:rPr>
        <w:t xml:space="preserve"> </w:t>
      </w:r>
      <w:r>
        <w:rPr>
          <w:rFonts w:cs="Times New Roman"/>
          <w:noProof/>
          <w:sz w:val="22"/>
          <w:lang w:val="pl-PL"/>
        </w:rPr>
        <w:t>29 November 2020, (</w:t>
      </w:r>
      <w:hyperlink r:id="rId49" w:history="1">
        <w:r>
          <w:rPr>
            <w:rStyle w:val="Hyperlink"/>
            <w:rFonts w:cs="Times New Roman"/>
            <w:noProof/>
            <w:sz w:val="22"/>
            <w:lang w:val="pl-PL"/>
          </w:rPr>
          <w:t>https://www.vecernji.hr/vijesti/dosje-o-bandicevoj-</w:t>
        </w:r>
        <w:r>
          <w:rPr>
            <w:rStyle w:val="Hyperlink"/>
            <w:rFonts w:cs="Times New Roman"/>
            <w:noProof/>
            <w:sz w:val="22"/>
            <w:lang w:val="pl-PL"/>
          </w:rPr>
          <w:t>poskupjeloj-zicari-lazi-aneksi-tuzbe-ljubavne-afere-osvete-1449799</w:t>
        </w:r>
      </w:hyperlink>
      <w:r>
        <w:rPr>
          <w:rFonts w:cs="Times New Roman"/>
          <w:noProof/>
          <w:sz w:val="22"/>
          <w:lang w:val="pl-PL"/>
        </w:rPr>
        <w:t>).</w:t>
      </w:r>
    </w:p>
    <w:p w:rsidR="008A17C5" w:rsidRDefault="00402083">
      <w:pPr>
        <w:spacing w:after="120"/>
        <w:ind w:left="284" w:hanging="284"/>
        <w:rPr>
          <w:rFonts w:cs="Times New Roman"/>
          <w:noProof/>
          <w:sz w:val="22"/>
          <w:lang w:val="pl-PL"/>
        </w:rPr>
      </w:pPr>
      <w:r>
        <w:rPr>
          <w:rFonts w:cs="Times New Roman"/>
          <w:iCs/>
          <w:noProof/>
          <w:sz w:val="22"/>
          <w:lang w:val="pl-PL"/>
        </w:rPr>
        <w:t>Večernji list (2020)</w:t>
      </w:r>
      <w:r>
        <w:rPr>
          <w:rFonts w:cs="Times New Roman"/>
          <w:noProof/>
          <w:sz w:val="22"/>
          <w:lang w:val="pl-PL"/>
        </w:rPr>
        <w:t xml:space="preserve">, </w:t>
      </w:r>
      <w:r>
        <w:rPr>
          <w:rFonts w:cs="Times New Roman"/>
          <w:i/>
          <w:noProof/>
          <w:sz w:val="22"/>
          <w:lang w:val="pl-PL"/>
        </w:rPr>
        <w:t>USKOK i PNUSKOK provode izvide o sljemenskoj žičari</w:t>
      </w:r>
      <w:r>
        <w:rPr>
          <w:rFonts w:cs="Times New Roman"/>
          <w:i/>
          <w:iCs/>
          <w:noProof/>
          <w:sz w:val="22"/>
          <w:lang w:val="pl-PL"/>
        </w:rPr>
        <w:t xml:space="preserve">, </w:t>
      </w:r>
      <w:r>
        <w:rPr>
          <w:rFonts w:cs="Times New Roman"/>
          <w:noProof/>
          <w:sz w:val="22"/>
          <w:lang w:val="pl-PL"/>
        </w:rPr>
        <w:t>27 November 2020, (</w:t>
      </w:r>
      <w:hyperlink r:id="rId50" w:history="1">
        <w:r>
          <w:rPr>
            <w:rStyle w:val="Hyperlink"/>
            <w:rFonts w:cs="Times New Roman"/>
            <w:noProof/>
            <w:sz w:val="22"/>
            <w:lang w:val="pl-PL"/>
          </w:rPr>
          <w:t>https://www.vecernji.hr/vijesti/uskok-i-pnuskok-provode-izvide-o-sljemenskoj-zicari-1449498</w:t>
        </w:r>
      </w:hyperlink>
      <w:r>
        <w:rPr>
          <w:rFonts w:cs="Times New Roman"/>
          <w:noProof/>
          <w:sz w:val="22"/>
          <w:lang w:val="pl-PL"/>
        </w:rPr>
        <w:t>).</w:t>
      </w:r>
    </w:p>
    <w:p w:rsidR="008A17C5" w:rsidRDefault="00402083">
      <w:pPr>
        <w:pStyle w:val="FootnoteText"/>
        <w:rPr>
          <w:noProof/>
          <w:sz w:val="22"/>
          <w:szCs w:val="22"/>
          <w:lang w:val="pl-PL"/>
        </w:rPr>
      </w:pPr>
      <w:r>
        <w:rPr>
          <w:noProof/>
          <w:sz w:val="22"/>
          <w:szCs w:val="22"/>
          <w:lang w:val="sl-SI"/>
        </w:rPr>
        <w:br w:type="page"/>
      </w:r>
    </w:p>
    <w:p w:rsidR="008A17C5" w:rsidRDefault="00402083">
      <w:pPr>
        <w:pStyle w:val="FootnoteText"/>
        <w:spacing w:after="120"/>
        <w:rPr>
          <w:rFonts w:eastAsia="Times New Roman" w:cs="Times New Roman"/>
          <w:b/>
          <w:noProof/>
          <w:sz w:val="22"/>
          <w:szCs w:val="22"/>
          <w:lang w:val="en-IE" w:eastAsia="en-GB"/>
        </w:rPr>
      </w:pPr>
      <w:r>
        <w:rPr>
          <w:rFonts w:eastAsia="Times New Roman" w:cs="Times New Roman"/>
          <w:b/>
          <w:noProof/>
          <w:sz w:val="22"/>
          <w:szCs w:val="22"/>
          <w:lang w:val="en-IE" w:eastAsia="en-GB"/>
        </w:rPr>
        <w:t>Annex II: Country visit to Croatia</w:t>
      </w:r>
    </w:p>
    <w:p w:rsidR="008A17C5" w:rsidRDefault="00402083">
      <w:pPr>
        <w:spacing w:after="120" w:line="264" w:lineRule="auto"/>
        <w:rPr>
          <w:rFonts w:eastAsia="Times New Roman" w:cs="Times New Roman"/>
          <w:noProof/>
          <w:sz w:val="22"/>
          <w:shd w:val="clear" w:color="auto" w:fill="FFFFFF"/>
          <w:lang w:val="en-IE" w:eastAsia="en-GB"/>
        </w:rPr>
      </w:pPr>
      <w:r>
        <w:rPr>
          <w:rFonts w:eastAsia="Times New Roman" w:cs="Times New Roman"/>
          <w:noProof/>
          <w:sz w:val="22"/>
          <w:lang w:val="en-IE" w:eastAsia="en-GB"/>
        </w:rPr>
        <w:t>The Commission services held virtual meetings in April and May 2021 with:</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 xml:space="preserve">Ministry of Justice and </w:t>
      </w:r>
      <w:r>
        <w:rPr>
          <w:noProof/>
          <w:sz w:val="22"/>
          <w:szCs w:val="22"/>
        </w:rPr>
        <w:t>Administration</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Ministry of Culture and Media</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 xml:space="preserve">Office for Cooperation with NGOs </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Government Legislation Office</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Supreme Court</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State Judicial Council</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State Attorney’s Council</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State Attorney’s Office (including USKOK-specialised anti-corruption prosecution)</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PNUSKOK - specialised anti-corruption police</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State Commission for Supervision of Public Procurement Procedures</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Commission for the Prevention of Conflicts of Interest</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Parliamentary National Council for Monitoring Anti-Corruption Strategy Implementation</w:t>
      </w:r>
    </w:p>
    <w:p w:rsidR="008A17C5" w:rsidRDefault="00402083">
      <w:pPr>
        <w:pStyle w:val="NormalWeb"/>
        <w:numPr>
          <w:ilvl w:val="0"/>
          <w:numId w:val="2"/>
        </w:numPr>
        <w:spacing w:before="0" w:beforeAutospacing="0" w:after="0" w:afterAutospacing="0"/>
        <w:rPr>
          <w:noProof/>
          <w:sz w:val="22"/>
          <w:szCs w:val="22"/>
        </w:rPr>
      </w:pPr>
      <w:r>
        <w:rPr>
          <w:noProof/>
          <w:sz w:val="22"/>
          <w:szCs w:val="22"/>
        </w:rPr>
        <w:t>Gove</w:t>
      </w:r>
      <w:r>
        <w:rPr>
          <w:noProof/>
          <w:sz w:val="22"/>
          <w:szCs w:val="22"/>
        </w:rPr>
        <w:t xml:space="preserve">rnment Council for the Prevention of Corruption </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Secretariat of the Parliament</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 xml:space="preserve">Agency for Electronic Media </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Office of the Information Commissioner</w:t>
      </w:r>
    </w:p>
    <w:p w:rsidR="008A17C5" w:rsidRDefault="00402083">
      <w:pPr>
        <w:pStyle w:val="NormalWeb"/>
        <w:numPr>
          <w:ilvl w:val="0"/>
          <w:numId w:val="2"/>
        </w:numPr>
        <w:jc w:val="both"/>
        <w:rPr>
          <w:noProof/>
          <w:sz w:val="22"/>
          <w:szCs w:val="22"/>
        </w:rPr>
      </w:pPr>
      <w:r>
        <w:rPr>
          <w:noProof/>
          <w:sz w:val="22"/>
          <w:szCs w:val="22"/>
        </w:rPr>
        <w:t>Office of the Public Ombudsperson</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Trade Union of Croatian Journalists</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Croatian Journalists' Association</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Croat</w:t>
      </w:r>
      <w:r>
        <w:rPr>
          <w:noProof/>
          <w:sz w:val="22"/>
          <w:szCs w:val="22"/>
        </w:rPr>
        <w:t>ian Newspaper Publishers' Association</w:t>
      </w:r>
    </w:p>
    <w:p w:rsidR="008A17C5" w:rsidRDefault="00402083">
      <w:pPr>
        <w:pStyle w:val="NormalWeb"/>
        <w:numPr>
          <w:ilvl w:val="0"/>
          <w:numId w:val="2"/>
        </w:numPr>
        <w:jc w:val="both"/>
        <w:rPr>
          <w:noProof/>
          <w:sz w:val="22"/>
          <w:szCs w:val="22"/>
        </w:rPr>
      </w:pPr>
      <w:r>
        <w:rPr>
          <w:noProof/>
          <w:sz w:val="22"/>
          <w:szCs w:val="22"/>
        </w:rPr>
        <w:t>State Audit Office</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Association of Judges (Judge Damir Kontrec)</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Bar Association</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GONG</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Centre for Peace Studies</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Human Rights House</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Crosol</w:t>
      </w:r>
    </w:p>
    <w:p w:rsidR="008A17C5" w:rsidRDefault="00402083">
      <w:pPr>
        <w:pStyle w:val="NormalWeb"/>
        <w:numPr>
          <w:ilvl w:val="0"/>
          <w:numId w:val="2"/>
        </w:numPr>
        <w:spacing w:before="0" w:beforeAutospacing="0" w:after="0" w:afterAutospacing="0"/>
        <w:jc w:val="both"/>
        <w:rPr>
          <w:noProof/>
          <w:sz w:val="22"/>
          <w:szCs w:val="22"/>
        </w:rPr>
      </w:pPr>
      <w:r>
        <w:rPr>
          <w:noProof/>
          <w:sz w:val="22"/>
          <w:szCs w:val="22"/>
        </w:rPr>
        <w:t>Peace Institute.</w:t>
      </w:r>
    </w:p>
    <w:p w:rsidR="008A17C5" w:rsidRDefault="008A17C5">
      <w:pPr>
        <w:pStyle w:val="NormalWeb"/>
        <w:spacing w:before="0" w:beforeAutospacing="0" w:after="0" w:afterAutospacing="0"/>
        <w:ind w:left="360"/>
        <w:jc w:val="both"/>
        <w:rPr>
          <w:noProof/>
          <w:sz w:val="22"/>
          <w:szCs w:val="22"/>
        </w:rPr>
      </w:pPr>
    </w:p>
    <w:p w:rsidR="008A17C5" w:rsidRDefault="00402083">
      <w:pPr>
        <w:rPr>
          <w:rFonts w:cs="Times New Roman"/>
          <w:noProof/>
          <w:sz w:val="22"/>
        </w:rPr>
      </w:pPr>
      <w:r>
        <w:rPr>
          <w:rFonts w:cs="Times New Roman"/>
          <w:noProof/>
          <w:sz w:val="22"/>
        </w:rPr>
        <w:t>* The Commission also met the following organisations in a number</w:t>
      </w:r>
      <w:r>
        <w:rPr>
          <w:rFonts w:cs="Times New Roman"/>
          <w:noProof/>
          <w:sz w:val="22"/>
        </w:rPr>
        <w:t xml:space="preserve"> of horizontal meetings:</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Amnesty International</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Center for Reproductive Rights</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CIVICUS</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Civil Liberties Union for Europe</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Civil Society Europe</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Conference of European Churches</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EuroCommerce</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European Center for Not-for-Profit Law</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 xml:space="preserve">European Centre for Press and </w:t>
      </w:r>
      <w:r>
        <w:rPr>
          <w:rFonts w:ascii="Times New Roman" w:hAnsi="Times New Roman" w:cs="Times New Roman"/>
          <w:noProof/>
        </w:rPr>
        <w:t>Media Freedom</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European Civic Forum</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European Federation of Journalists</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 xml:space="preserve">European Partnership for Democracy </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European Youth Forum</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Front Line Defenders</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 xml:space="preserve">Human Rights House Foundation </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 xml:space="preserve">Human Rights Watch </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ILGA-Europe</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International Commission of Jurists</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Internati</w:t>
      </w:r>
      <w:r>
        <w:rPr>
          <w:rFonts w:ascii="Times New Roman" w:hAnsi="Times New Roman" w:cs="Times New Roman"/>
          <w:noProof/>
        </w:rPr>
        <w:t>onal Federation for Human Rights</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International Planned Parenthood Federation European Network (IPPF EN)</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International Press Institute</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 xml:space="preserve">Netherlands Helsinki Committee </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Open Society European Policy Institute</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Philanthropy Advocacy</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 xml:space="preserve">Protection International </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Rep</w:t>
      </w:r>
      <w:r>
        <w:rPr>
          <w:rFonts w:ascii="Times New Roman" w:hAnsi="Times New Roman" w:cs="Times New Roman"/>
          <w:noProof/>
        </w:rPr>
        <w:t>orters without Borders</w:t>
      </w:r>
    </w:p>
    <w:p w:rsidR="008A17C5" w:rsidRDefault="00402083">
      <w:pPr>
        <w:pStyle w:val="ListParagraph"/>
        <w:numPr>
          <w:ilvl w:val="0"/>
          <w:numId w:val="7"/>
        </w:numPr>
        <w:rPr>
          <w:rFonts w:ascii="Times New Roman" w:hAnsi="Times New Roman" w:cs="Times New Roman"/>
          <w:noProof/>
        </w:rPr>
      </w:pPr>
      <w:r>
        <w:rPr>
          <w:rFonts w:ascii="Times New Roman" w:hAnsi="Times New Roman" w:cs="Times New Roman"/>
          <w:noProof/>
        </w:rPr>
        <w:t>Transparency International EU</w:t>
      </w:r>
    </w:p>
    <w:p w:rsidR="008A17C5" w:rsidRDefault="008A17C5">
      <w:pPr>
        <w:pStyle w:val="NormalWeb"/>
        <w:spacing w:before="0" w:beforeAutospacing="0" w:after="0" w:afterAutospacing="0"/>
        <w:ind w:left="360"/>
        <w:jc w:val="both"/>
        <w:rPr>
          <w:noProof/>
        </w:rPr>
      </w:pPr>
    </w:p>
    <w:sectPr w:rsidR="008A17C5">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7C5" w:rsidRDefault="00402083">
      <w:pPr>
        <w:spacing w:after="0"/>
      </w:pPr>
      <w:r>
        <w:separator/>
      </w:r>
    </w:p>
    <w:p w:rsidR="008A17C5" w:rsidRDefault="008A17C5"/>
    <w:p w:rsidR="008A17C5" w:rsidRDefault="008A17C5"/>
  </w:endnote>
  <w:endnote w:type="continuationSeparator" w:id="0">
    <w:p w:rsidR="008A17C5" w:rsidRDefault="00402083">
      <w:pPr>
        <w:spacing w:after="0"/>
      </w:pPr>
      <w:r>
        <w:continuationSeparator/>
      </w:r>
    </w:p>
    <w:p w:rsidR="008A17C5" w:rsidRDefault="008A17C5"/>
    <w:p w:rsidR="008A17C5" w:rsidRDefault="008A17C5"/>
  </w:endnote>
  <w:endnote w:type="continuationNotice" w:id="1">
    <w:p w:rsidR="008A17C5" w:rsidRDefault="008A17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083" w:rsidRPr="00402083" w:rsidRDefault="00402083" w:rsidP="00402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083" w:rsidRPr="00402083" w:rsidRDefault="00402083" w:rsidP="00402083">
    <w:pPr>
      <w:pStyle w:val="FooterCoverPage"/>
      <w:pBdr>
        <w:top w:val="none" w:sz="0" w:space="0" w:color="auto"/>
        <w:left w:val="none" w:sz="0" w:space="0" w:color="auto"/>
        <w:bottom w:val="none" w:sz="0" w:space="0" w:color="auto"/>
        <w:right w:val="none" w:sz="0" w:space="0" w:color="auto"/>
      </w:pBdr>
      <w:rPr>
        <w:rFonts w:ascii="Arial" w:hAnsi="Arial" w:cs="Arial"/>
        <w:b/>
        <w:sz w:val="48"/>
      </w:rPr>
    </w:pPr>
    <w:r w:rsidRPr="00402083">
      <w:rPr>
        <w:rFonts w:ascii="Arial" w:hAnsi="Arial" w:cs="Arial"/>
        <w:b/>
        <w:sz w:val="48"/>
      </w:rPr>
      <w:t>EN</w:t>
    </w:r>
    <w:r w:rsidRPr="00402083">
      <w:rPr>
        <w:rFonts w:ascii="Arial" w:hAnsi="Arial" w:cs="Arial"/>
        <w:b/>
        <w:sz w:val="48"/>
      </w:rPr>
      <w:tab/>
    </w:r>
    <w:r w:rsidRPr="00402083">
      <w:rPr>
        <w:rFonts w:ascii="Arial" w:hAnsi="Arial" w:cs="Arial"/>
        <w:b/>
        <w:sz w:val="48"/>
      </w:rPr>
      <w:tab/>
    </w:r>
    <w:r w:rsidRPr="00402083">
      <w:tab/>
    </w:r>
    <w:r w:rsidRPr="0040208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083" w:rsidRPr="00402083" w:rsidRDefault="00402083" w:rsidP="0040208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C5" w:rsidRDefault="008A17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C5" w:rsidRDefault="00402083">
    <w:pPr>
      <w:pStyle w:val="Footer"/>
      <w:jc w:val="center"/>
      <w:rPr>
        <w:rFonts w:cs="Times New Roman"/>
        <w:sz w:val="20"/>
      </w:rPr>
    </w:pPr>
    <w:sdt>
      <w:sdtPr>
        <w:rPr>
          <w:sz w:val="20"/>
        </w:rPr>
        <w:id w:val="-1621448351"/>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3</w:t>
        </w:r>
        <w:r>
          <w:rPr>
            <w:rFonts w:cs="Times New Roman"/>
            <w:noProof/>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93750"/>
      <w:docPartObj>
        <w:docPartGallery w:val="Page Numbers (Bottom of Page)"/>
        <w:docPartUnique/>
      </w:docPartObj>
    </w:sdtPr>
    <w:sdtEndPr>
      <w:rPr>
        <w:noProof/>
      </w:rPr>
    </w:sdtEndPr>
    <w:sdtContent>
      <w:p w:rsidR="008A17C5" w:rsidRDefault="008A17C5">
        <w:pPr>
          <w:pStyle w:val="Footer"/>
          <w:jc w:val="center"/>
        </w:pPr>
      </w:p>
      <w:p w:rsidR="008A17C5" w:rsidRDefault="008A17C5">
        <w:pPr>
          <w:pStyle w:val="Footer"/>
          <w:jc w:val="center"/>
        </w:pPr>
      </w:p>
      <w:p w:rsidR="008A17C5" w:rsidRDefault="00402083">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p w:rsidR="008A17C5" w:rsidRDefault="008A17C5"/>
  <w:p w:rsidR="008A17C5" w:rsidRDefault="008A17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7C5" w:rsidRDefault="00402083">
      <w:pPr>
        <w:spacing w:after="0"/>
      </w:pPr>
      <w:r>
        <w:separator/>
      </w:r>
    </w:p>
  </w:footnote>
  <w:footnote w:type="continuationSeparator" w:id="0">
    <w:p w:rsidR="008A17C5" w:rsidRDefault="00402083">
      <w:pPr>
        <w:spacing w:after="0"/>
      </w:pPr>
      <w:r>
        <w:continuationSeparator/>
      </w:r>
    </w:p>
  </w:footnote>
  <w:footnote w:type="continuationNotice" w:id="1">
    <w:p w:rsidR="008A17C5" w:rsidRDefault="008A17C5">
      <w:pPr>
        <w:pStyle w:val="Footer"/>
      </w:pPr>
    </w:p>
  </w:footnote>
  <w:footnote w:id="2">
    <w:p w:rsidR="008A17C5" w:rsidRDefault="00402083">
      <w:pPr>
        <w:pStyle w:val="FootnoteText"/>
        <w:rPr>
          <w:rFonts w:cs="Times New Roman"/>
          <w:lang w:val="en-IE"/>
        </w:rPr>
      </w:pPr>
      <w:r>
        <w:rPr>
          <w:rStyle w:val="FootnoteReference"/>
          <w:rFonts w:cs="Times New Roman"/>
          <w:lang w:val="en-IE"/>
        </w:rPr>
        <w:footnoteRef/>
      </w:r>
      <w:r>
        <w:rPr>
          <w:rFonts w:cs="Times New Roman"/>
          <w:lang w:val="en-IE"/>
        </w:rPr>
        <w:t xml:space="preserve"> </w:t>
      </w:r>
      <w:r>
        <w:rPr>
          <w:rFonts w:cs="Times New Roman"/>
          <w:lang w:val="en-IE"/>
        </w:rPr>
        <w:tab/>
      </w:r>
      <w:r>
        <w:rPr>
          <w:rFonts w:cs="Times New Roman"/>
          <w:u w:color="7030A0"/>
          <w:lang w:val="en-IE"/>
        </w:rPr>
        <w:t xml:space="preserve">The State Judicial Council is a judicial self-governance body with 11 members, consisting of seven judges elected by their peers, two university professors of law and </w:t>
      </w:r>
      <w:r>
        <w:rPr>
          <w:rFonts w:cs="Times New Roman"/>
          <w:lang w:val="en-IE"/>
        </w:rPr>
        <w:t>two</w:t>
      </w:r>
      <w:r>
        <w:rPr>
          <w:rFonts w:cs="Times New Roman"/>
          <w:u w:color="7030A0"/>
          <w:lang w:val="en-IE"/>
        </w:rPr>
        <w:t xml:space="preserve"> members of Parliament, one of whom is from the opposition. The members of the Council</w:t>
      </w:r>
      <w:r>
        <w:rPr>
          <w:rFonts w:cs="Times New Roman"/>
          <w:u w:color="7030A0"/>
          <w:lang w:val="en-IE"/>
        </w:rPr>
        <w:t xml:space="preserve"> are elected for a four-year term, and can be re-elected only once. The Council is responsible for appointing and dismissing judges and court presidents, deciding on the immunity, transfer and external activities of judges, conducting disciplinary proceedi</w:t>
      </w:r>
      <w:r>
        <w:rPr>
          <w:rFonts w:cs="Times New Roman"/>
          <w:u w:color="7030A0"/>
          <w:lang w:val="en-IE"/>
        </w:rPr>
        <w:t>ngs and deciding on disciplinary responsibility of judges, participating in training of judges and court clerks, adopting a methodology for evaluating judges, keeping the personal records and verifying asset declarations of judges.</w:t>
      </w:r>
    </w:p>
  </w:footnote>
  <w:footnote w:id="3">
    <w:p w:rsidR="008A17C5" w:rsidRDefault="00402083">
      <w:pPr>
        <w:pStyle w:val="FootnoteText"/>
        <w:rPr>
          <w:rFonts w:cs="Times New Roman"/>
        </w:rPr>
      </w:pPr>
      <w:r>
        <w:rPr>
          <w:rStyle w:val="FootnoteReference"/>
          <w:rFonts w:cs="Times New Roman"/>
          <w:lang w:val="en-IE"/>
        </w:rPr>
        <w:footnoteRef/>
      </w:r>
      <w:r>
        <w:rPr>
          <w:rFonts w:cs="Times New Roman"/>
        </w:rPr>
        <w:t xml:space="preserve"> </w:t>
      </w:r>
      <w:r>
        <w:rPr>
          <w:rFonts w:cs="Times New Roman"/>
        </w:rPr>
        <w:tab/>
        <w:t>Figures 55-57, 2019 E</w:t>
      </w:r>
      <w:r>
        <w:rPr>
          <w:rFonts w:cs="Times New Roman"/>
        </w:rPr>
        <w:t>U Justice Scoreboard.</w:t>
      </w:r>
    </w:p>
  </w:footnote>
  <w:footnote w:id="4">
    <w:p w:rsidR="008A17C5" w:rsidRDefault="00402083">
      <w:pPr>
        <w:pStyle w:val="FootnoteText"/>
        <w:rPr>
          <w:rFonts w:cs="Times New Roman"/>
          <w:lang w:val="en-IE"/>
        </w:rPr>
      </w:pPr>
      <w:r>
        <w:rPr>
          <w:rStyle w:val="FootnoteReference"/>
          <w:rFonts w:cs="Times New Roman"/>
          <w:lang w:val="en-IE"/>
        </w:rPr>
        <w:footnoteRef/>
      </w:r>
      <w:r>
        <w:rPr>
          <w:rFonts w:cs="Times New Roman"/>
          <w:lang w:val="en-IE"/>
        </w:rPr>
        <w:t xml:space="preserve"> </w:t>
      </w:r>
      <w:r>
        <w:rPr>
          <w:rFonts w:cs="Times New Roman"/>
          <w:lang w:val="en-IE"/>
        </w:rPr>
        <w:tab/>
        <w:t xml:space="preserve">The State Attorney’s Council is a prosecutorial self-governance body with 11 members, consisting of seven deputy state attorneys elected by their peers, two university professors of law and two members of Parliament, </w:t>
      </w:r>
      <w:r>
        <w:rPr>
          <w:rFonts w:cs="Times New Roman"/>
          <w:u w:color="7030A0"/>
          <w:lang w:val="en-IE"/>
        </w:rPr>
        <w:t>one of whom is</w:t>
      </w:r>
      <w:r>
        <w:rPr>
          <w:rFonts w:cs="Times New Roman"/>
          <w:u w:color="7030A0"/>
          <w:lang w:val="en-IE"/>
        </w:rPr>
        <w:t xml:space="preserve"> from the opposition</w:t>
      </w:r>
      <w:r>
        <w:rPr>
          <w:rFonts w:cs="Times New Roman"/>
          <w:lang w:val="en-IE"/>
        </w:rPr>
        <w:t xml:space="preserve">. The members of the Council are elected </w:t>
      </w:r>
      <w:r>
        <w:rPr>
          <w:rFonts w:cs="Times New Roman"/>
          <w:u w:color="7030A0"/>
          <w:lang w:val="en-IE"/>
        </w:rPr>
        <w:t>for a four-year term</w:t>
      </w:r>
      <w:r>
        <w:rPr>
          <w:rFonts w:cs="Times New Roman"/>
          <w:lang w:val="en-IE"/>
        </w:rPr>
        <w:t xml:space="preserve">, </w:t>
      </w:r>
      <w:r>
        <w:rPr>
          <w:rFonts w:cs="Times New Roman"/>
          <w:u w:color="7030A0"/>
          <w:lang w:val="en-IE"/>
        </w:rPr>
        <w:t>and can be re-elected only once</w:t>
      </w:r>
      <w:r>
        <w:rPr>
          <w:rFonts w:cs="Times New Roman"/>
          <w:lang w:val="en-IE"/>
        </w:rPr>
        <w:t>. The Council's mandate includes the appointment and dismissal</w:t>
      </w:r>
      <w:r>
        <w:t>, deciding on external activities, participating in training, deciding on object</w:t>
      </w:r>
      <w:r>
        <w:t>ions on the evaluations, keeping the personal records and verifying the asset declaration of state attorneys and deputy state attorneys, as well as deciding on transfer, conducting disciplinary proceedings and deciding on the disciplinary responsibility of</w:t>
      </w:r>
      <w:r>
        <w:t xml:space="preserve"> deputy</w:t>
      </w:r>
      <w:r>
        <w:rPr>
          <w:rFonts w:cs="Times New Roman"/>
          <w:lang w:val="en-IE"/>
        </w:rPr>
        <w:t xml:space="preserve"> state attorneys.</w:t>
      </w:r>
    </w:p>
  </w:footnote>
  <w:footnote w:id="5">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The Assembly of the Bar elects, in accordance with the Statute of the Croatian Bar Association, the Disciplinary Court (consisting of at least five members and deciding on more serious violations, and on appeals against </w:t>
      </w:r>
      <w:r>
        <w:rPr>
          <w:rFonts w:cs="Times New Roman"/>
        </w:rPr>
        <w:t>Disciplinary Councils’ decisions), and the Higher Disciplinary Court (consisting of at least five members and deciding on appeals against Disciplinary Court’s decisions), while the Executive Board of the Bar elects Disciplinary Councils (consisting of thre</w:t>
      </w:r>
      <w:r>
        <w:rPr>
          <w:rFonts w:cs="Times New Roman"/>
        </w:rPr>
        <w:t>e members and deciding on less serious violations).</w:t>
      </w:r>
    </w:p>
  </w:footnote>
  <w:footnote w:id="6">
    <w:p w:rsidR="008A17C5" w:rsidRDefault="00402083">
      <w:pPr>
        <w:pStyle w:val="FootnoteText"/>
        <w:rPr>
          <w:rFonts w:cs="Times New Roman"/>
        </w:rPr>
      </w:pPr>
      <w:r>
        <w:rPr>
          <w:rStyle w:val="FootnoteReference"/>
          <w:rFonts w:cs="Times New Roman"/>
          <w:lang w:val="en-IE"/>
        </w:rPr>
        <w:footnoteRef/>
      </w:r>
      <w:r>
        <w:rPr>
          <w:rFonts w:cs="Times New Roman"/>
        </w:rPr>
        <w:t xml:space="preserve"> </w:t>
      </w:r>
      <w:r>
        <w:rPr>
          <w:rFonts w:cs="Times New Roman"/>
        </w:rPr>
        <w:tab/>
        <w:t xml:space="preserve">Figure 48, 2021 EU Justice Scoreboard. The level of perceived judicial independence is categorised as follows: very low (below 30% of respondents perceive judicial independence as fairly good and very </w:t>
      </w:r>
      <w:r>
        <w:rPr>
          <w:rFonts w:cs="Times New Roman"/>
        </w:rPr>
        <w:t>good); low (between 30-39%), average (between 40-59%), high (between 60-75%), very high (above 75%).</w:t>
      </w:r>
    </w:p>
  </w:footnote>
  <w:footnote w:id="7">
    <w:p w:rsidR="008A17C5" w:rsidRDefault="00402083">
      <w:pPr>
        <w:pStyle w:val="FootnoteText"/>
        <w:rPr>
          <w:rFonts w:cs="Times New Roman"/>
        </w:rPr>
      </w:pPr>
      <w:r>
        <w:rPr>
          <w:rStyle w:val="FootnoteReference"/>
          <w:rFonts w:cs="Times New Roman"/>
          <w:lang w:val="en-IE"/>
        </w:rPr>
        <w:footnoteRef/>
      </w:r>
      <w:r>
        <w:rPr>
          <w:rFonts w:cs="Times New Roman"/>
        </w:rPr>
        <w:t xml:space="preserve"> </w:t>
      </w:r>
      <w:r>
        <w:rPr>
          <w:rFonts w:cs="Times New Roman"/>
        </w:rPr>
        <w:tab/>
        <w:t>Figure 50, 2021 EU Justice Scoreboard.</w:t>
      </w:r>
    </w:p>
  </w:footnote>
  <w:footnote w:id="8">
    <w:p w:rsidR="008A17C5" w:rsidRDefault="00402083">
      <w:pPr>
        <w:pStyle w:val="FootnoteText"/>
        <w:rPr>
          <w:rFonts w:cs="Times New Roman"/>
          <w:lang w:val="en-IE"/>
        </w:rPr>
      </w:pPr>
      <w:r>
        <w:rPr>
          <w:rStyle w:val="FootnoteReference"/>
          <w:rFonts w:cs="Times New Roman"/>
          <w:lang w:val="en-IE"/>
        </w:rPr>
        <w:footnoteRef/>
      </w:r>
      <w:r>
        <w:rPr>
          <w:rFonts w:cs="Times New Roman"/>
          <w:lang w:val="en-IE"/>
        </w:rPr>
        <w:t xml:space="preserve"> </w:t>
      </w:r>
      <w:r>
        <w:rPr>
          <w:rFonts w:cs="Times New Roman"/>
          <w:lang w:val="en-IE"/>
        </w:rPr>
        <w:tab/>
        <w:t xml:space="preserve">Figure 49, 2021 EU Justice Scoreboard. </w:t>
      </w:r>
      <w:r>
        <w:rPr>
          <w:rFonts w:eastAsia="Calibri" w:cs="Times New Roman"/>
          <w:noProof/>
          <w:lang w:val="en-IE"/>
        </w:rPr>
        <w:t xml:space="preserve">The main perceived reason stated by the companies is the perception of </w:t>
      </w:r>
      <w:r>
        <w:rPr>
          <w:rFonts w:eastAsia="Calibri" w:cs="Times New Roman"/>
          <w:noProof/>
          <w:lang w:val="en-IE"/>
        </w:rPr>
        <w:t>interference or pressure from economic or other specific interests, closely followed by the perception of interference or pressure from the Government and politicians.</w:t>
      </w:r>
      <w:r>
        <w:rPr>
          <w:rFonts w:cs="Times New Roman"/>
          <w:lang w:val="en-IE"/>
        </w:rPr>
        <w:t xml:space="preserve"> Figure 51, 2021 EU Justice Scoreboard. It is to be noted that over the five-year period,</w:t>
      </w:r>
      <w:r>
        <w:rPr>
          <w:rFonts w:cs="Times New Roman"/>
          <w:lang w:val="en-IE"/>
        </w:rPr>
        <w:t xml:space="preserve"> the share of general public and companies that mentioned these reasons has remained the highest in the EU in comparative terms.</w:t>
      </w:r>
    </w:p>
  </w:footnote>
  <w:footnote w:id="9">
    <w:p w:rsidR="008A17C5" w:rsidRDefault="00402083">
      <w:pPr>
        <w:pStyle w:val="FootnoteText"/>
        <w:rPr>
          <w:rFonts w:cs="Times New Roman"/>
          <w:lang w:val="en-IE"/>
        </w:rPr>
      </w:pPr>
      <w:r>
        <w:rPr>
          <w:rStyle w:val="FootnoteReference"/>
          <w:rFonts w:cs="Times New Roman"/>
          <w:lang w:val="en-IE"/>
        </w:rPr>
        <w:footnoteRef/>
      </w:r>
      <w:r>
        <w:rPr>
          <w:rFonts w:cs="Times New Roman"/>
          <w:lang w:val="en-IE"/>
        </w:rPr>
        <w:t xml:space="preserve"> </w:t>
      </w:r>
      <w:r>
        <w:rPr>
          <w:rFonts w:cs="Times New Roman"/>
          <w:lang w:val="en-IE"/>
        </w:rPr>
        <w:tab/>
      </w:r>
      <w:r>
        <w:rPr>
          <w:rFonts w:eastAsia="Calibri" w:cs="Times New Roman"/>
          <w:noProof/>
          <w:lang w:val="en-IE"/>
        </w:rPr>
        <w:t>The last comprehensive survey of court users and professional was conducted in 2015 on</w:t>
      </w:r>
      <w:r>
        <w:rPr>
          <w:rFonts w:cs="Times New Roman"/>
          <w:lang w:val="en-IE"/>
        </w:rPr>
        <w:t xml:space="preserve"> accessibility of the court service, c</w:t>
      </w:r>
      <w:r>
        <w:rPr>
          <w:rFonts w:cs="Times New Roman"/>
          <w:lang w:val="en-IE"/>
        </w:rPr>
        <w:t>ustomer service at the court, the conducting of the hearing, the judgment of the court, and the service provided by the lawyer.</w:t>
      </w:r>
      <w:r>
        <w:rPr>
          <w:rFonts w:eastAsia="Calibri" w:cs="Times New Roman"/>
          <w:noProof/>
          <w:lang w:val="en-IE"/>
        </w:rPr>
        <w:t xml:space="preserve"> </w:t>
      </w:r>
      <w:r>
        <w:rPr>
          <w:rFonts w:cs="Times New Roman"/>
          <w:lang w:val="en-IE"/>
        </w:rPr>
        <w:t>Figure 45, 2017 EU Justice Scoreboard. See also Figure 49, 2018 EU Justice Scoreboard, Figure 42, 2019 EU Justice Scoreboard, Fi</w:t>
      </w:r>
      <w:r>
        <w:rPr>
          <w:rFonts w:cs="Times New Roman"/>
          <w:lang w:val="en-IE"/>
        </w:rPr>
        <w:t>gure 42, 2020 EU Justice Scoreboard, and Figure 37, 2021 EU Justice Scoreboard, showing that in 2016-2019, no surveys were conducted.</w:t>
      </w:r>
    </w:p>
  </w:footnote>
  <w:footnote w:id="1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These statements were made </w:t>
      </w:r>
      <w:r>
        <w:rPr>
          <w:rFonts w:eastAsia="Times New Roman" w:cs="Times New Roman"/>
          <w:lang w:val="en-IE" w:eastAsia="fr-FR"/>
        </w:rPr>
        <w:t xml:space="preserve">by certain representatives of the executive power. In reaction, </w:t>
      </w:r>
      <w:r>
        <w:rPr>
          <w:rFonts w:cs="Times New Roman"/>
        </w:rPr>
        <w:t>the Association of Judges an</w:t>
      </w:r>
      <w:r>
        <w:rPr>
          <w:rFonts w:cs="Times New Roman"/>
        </w:rPr>
        <w:t>d the Supreme Court issued press releases denouncing such statements, e.g. General Assembly of the Supreme Court, Press release of 26 March 2021; Association of Judges, Press release of 29 April 2021; General Assembly of the Supreme Court, Press release of</w:t>
      </w:r>
      <w:r>
        <w:rPr>
          <w:rFonts w:cs="Times New Roman"/>
        </w:rPr>
        <w:t xml:space="preserve"> 18 May 2021.</w:t>
      </w:r>
    </w:p>
  </w:footnote>
  <w:footnote w:id="11">
    <w:p w:rsidR="008A17C5" w:rsidRDefault="00402083">
      <w:pPr>
        <w:pStyle w:val="FootnoteText"/>
        <w:rPr>
          <w:rFonts w:cs="Times New Roman"/>
        </w:rPr>
      </w:pPr>
      <w:r>
        <w:rPr>
          <w:rStyle w:val="FootnoteReference"/>
          <w:rFonts w:cs="Times New Roman"/>
          <w:lang w:val="en-IE"/>
        </w:rPr>
        <w:footnoteRef/>
      </w:r>
      <w:r>
        <w:rPr>
          <w:rFonts w:cs="Times New Roman"/>
        </w:rPr>
        <w:t xml:space="preserve"> </w:t>
      </w:r>
      <w:r>
        <w:rPr>
          <w:rFonts w:cs="Times New Roman"/>
        </w:rPr>
        <w:tab/>
        <w:t>The Constitution of the Republic of Croatia, art. 116(2).</w:t>
      </w:r>
    </w:p>
  </w:footnote>
  <w:footnote w:id="12">
    <w:p w:rsidR="008A17C5" w:rsidRDefault="00402083">
      <w:pPr>
        <w:pStyle w:val="FootnoteText"/>
        <w:rPr>
          <w:rFonts w:cs="Times New Roman"/>
        </w:rPr>
      </w:pPr>
      <w:r>
        <w:rPr>
          <w:rStyle w:val="FootnoteReference"/>
          <w:rFonts w:cs="Times New Roman"/>
          <w:lang w:val="en-IE"/>
        </w:rPr>
        <w:footnoteRef/>
      </w:r>
      <w:r>
        <w:rPr>
          <w:rFonts w:cs="Times New Roman"/>
        </w:rPr>
        <w:t xml:space="preserve"> </w:t>
      </w:r>
      <w:r>
        <w:rPr>
          <w:rFonts w:cs="Times New Roman"/>
        </w:rPr>
        <w:tab/>
        <w:t>The Constitution of the Republic of Croatia, art. 116(2).</w:t>
      </w:r>
    </w:p>
  </w:footnote>
  <w:footnote w:id="1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lang w:val="en-IE"/>
        </w:rPr>
        <w:t>Judgment of the Constitutional Court of 23 March 2021, U-I-1039/2021, para. 18.1.</w:t>
      </w:r>
    </w:p>
  </w:footnote>
  <w:footnote w:id="14">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r>
      <w:r>
        <w:rPr>
          <w:rFonts w:eastAsia="Times New Roman" w:cs="Times New Roman"/>
          <w:lang w:val="en-IE" w:eastAsia="fr-FR"/>
        </w:rPr>
        <w:t xml:space="preserve">The 2018 amendments to the Law on Courts introduced the requirement that a vacancy notice for the position of the Supreme Court President has to be published in the Official Journal, and that the vacancy procedure is managed by the State Judicial Council. </w:t>
      </w:r>
      <w:r>
        <w:rPr>
          <w:rFonts w:cs="Times New Roman"/>
          <w:lang w:val="en-IE"/>
        </w:rPr>
        <w:t xml:space="preserve">Law on Courts, </w:t>
      </w:r>
      <w:r>
        <w:rPr>
          <w:rFonts w:eastAsia="Times New Roman" w:cs="Times New Roman"/>
          <w:lang w:val="en-IE" w:eastAsia="fr-FR"/>
        </w:rPr>
        <w:t xml:space="preserve">amended articles 44, 44.a and 44.b. The State Judicial Council publishes the candidates’ CVs and the Supreme Court work programmes they submitted on its website. The Council then transmits the applications of the candidates to the Office of </w:t>
      </w:r>
      <w:r>
        <w:rPr>
          <w:rFonts w:eastAsia="Times New Roman" w:cs="Times New Roman"/>
          <w:lang w:val="en-IE" w:eastAsia="fr-FR"/>
        </w:rPr>
        <w:t xml:space="preserve">the President of the Republic, which requests opinions on the candidates from the General assembly of Supreme Court judges and the competent parliamentary committee. It should be noted that the State Judicial Council has only an administrative role in the </w:t>
      </w:r>
      <w:r>
        <w:rPr>
          <w:rFonts w:eastAsia="Times New Roman" w:cs="Times New Roman"/>
          <w:lang w:val="en-IE" w:eastAsia="fr-FR"/>
        </w:rPr>
        <w:t xml:space="preserve">vacancy procedure, and does not give its opinion on the candidates or select them. </w:t>
      </w:r>
    </w:p>
  </w:footnote>
  <w:footnote w:id="15">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t>Office of the President of the Republic, Press release of 8 March 2021. In an earlier interview, t</w:t>
      </w:r>
      <w:r>
        <w:rPr>
          <w:rFonts w:eastAsia="Times New Roman" w:cs="Times New Roman"/>
          <w:lang w:val="en-IE" w:eastAsia="fr-FR"/>
        </w:rPr>
        <w:t>he President of the Republic stated that he doesn’t intend to propose a</w:t>
      </w:r>
      <w:r>
        <w:rPr>
          <w:rFonts w:eastAsia="Times New Roman" w:cs="Times New Roman"/>
          <w:lang w:val="en-IE" w:eastAsia="fr-FR"/>
        </w:rPr>
        <w:t>ny of the three candidates, as this would “seriously deviate constitutional customs”. He also declared that “the law that gives a role to State Judicial Council [in the vacancy process] is pointless” and that he will not select a candidate among the Suprem</w:t>
      </w:r>
      <w:r>
        <w:rPr>
          <w:rFonts w:eastAsia="Times New Roman" w:cs="Times New Roman"/>
          <w:lang w:val="en-IE" w:eastAsia="fr-FR"/>
        </w:rPr>
        <w:t>e Court judges.</w:t>
      </w:r>
    </w:p>
  </w:footnote>
  <w:footnote w:id="16">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t>Judgment of the Constitutional Court of 23 March 2021, U-I-1039/2021</w:t>
      </w:r>
      <w:r>
        <w:t>, U-I-1620/21</w:t>
      </w:r>
      <w:r>
        <w:rPr>
          <w:rFonts w:cs="Times New Roman"/>
          <w:lang w:val="en-IE"/>
        </w:rPr>
        <w:t xml:space="preserve">. The initiative for constitutional review was launched by a citizen. </w:t>
      </w:r>
    </w:p>
  </w:footnote>
  <w:footnote w:id="1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lang w:val="en-IE"/>
        </w:rPr>
        <w:t>Judgment of the Constitutional Court of 23 March 2021, U-I-1039/2021</w:t>
      </w:r>
      <w:r>
        <w:t>, U-I-1620/21</w:t>
      </w:r>
      <w:r>
        <w:rPr>
          <w:rFonts w:cs="Times New Roman"/>
          <w:lang w:val="en-IE"/>
        </w:rPr>
        <w:t>,</w:t>
      </w:r>
      <w:r>
        <w:rPr>
          <w:rFonts w:cs="Times New Roman"/>
          <w:lang w:val="en-IE"/>
        </w:rPr>
        <w:t xml:space="preserve"> paras. 18.2., 18.2.1. </w:t>
      </w:r>
      <w:r>
        <w:rPr>
          <w:rFonts w:eastAsia="Times New Roman" w:cs="Times New Roman"/>
          <w:lang w:val="en-IE" w:eastAsia="fr-FR"/>
        </w:rPr>
        <w:t xml:space="preserve">The Court clarified that the State Judicial Council should transmit to the President of the Republic only those applications that were valid and fulfilled the statutory criteria. </w:t>
      </w:r>
      <w:r>
        <w:rPr>
          <w:rFonts w:cs="Times New Roman"/>
          <w:lang w:val="en-IE"/>
        </w:rPr>
        <w:t>(para. 18.1).</w:t>
      </w:r>
      <w:r>
        <w:rPr>
          <w:rFonts w:eastAsia="Times New Roman" w:cs="Times New Roman"/>
          <w:lang w:val="en-IE" w:eastAsia="fr-FR"/>
        </w:rPr>
        <w:t xml:space="preserve"> The Court also stressed that the Council</w:t>
      </w:r>
      <w:r>
        <w:rPr>
          <w:rFonts w:eastAsia="Times New Roman" w:cs="Times New Roman"/>
          <w:lang w:val="en-IE" w:eastAsia="fr-FR"/>
        </w:rPr>
        <w:t xml:space="preserve"> is required, according to the 2018 amendments, to appoint, outside of regular procedures for becoming a judge, the new Supreme Court President as a judge with a permanent tenure, if that person had not been a judge before. </w:t>
      </w:r>
      <w:r>
        <w:rPr>
          <w:rFonts w:cs="Times New Roman"/>
          <w:lang w:val="en-IE"/>
        </w:rPr>
        <w:t xml:space="preserve">(para. 18.2.6). </w:t>
      </w:r>
    </w:p>
  </w:footnote>
  <w:footnote w:id="1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lang w:val="en-IE"/>
        </w:rPr>
        <w:t xml:space="preserve">Judgment of </w:t>
      </w:r>
      <w:r>
        <w:rPr>
          <w:rFonts w:cs="Times New Roman"/>
          <w:lang w:val="en-IE"/>
        </w:rPr>
        <w:t xml:space="preserve">the Constitutional Court of 23 March 2021, U-I-1039/2021, </w:t>
      </w:r>
      <w:r>
        <w:t>U-I-1620/21</w:t>
      </w:r>
      <w:r>
        <w:rPr>
          <w:rFonts w:cs="Times New Roman"/>
          <w:lang w:val="en-IE"/>
        </w:rPr>
        <w:t>, para. 18.2.6.</w:t>
      </w:r>
    </w:p>
  </w:footnote>
  <w:footnote w:id="1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lang w:val="en-IE"/>
        </w:rPr>
        <w:t>Judgment of the Constitutional Court of 23 March 2021, U-I-1039/2021</w:t>
      </w:r>
      <w:r>
        <w:t>, U-I-1620/21</w:t>
      </w:r>
      <w:r>
        <w:rPr>
          <w:rFonts w:cs="Times New Roman"/>
          <w:lang w:val="en-IE"/>
        </w:rPr>
        <w:t>, para. 18.2.1.</w:t>
      </w:r>
    </w:p>
  </w:footnote>
  <w:footnote w:id="20">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r>
      <w:r>
        <w:rPr>
          <w:rFonts w:cs="Times New Roman"/>
          <w:lang w:val="en-IE"/>
        </w:rPr>
        <w:t>Office of the President of the Republic, Press release of 25 March 2</w:t>
      </w:r>
      <w:r>
        <w:rPr>
          <w:rFonts w:cs="Times New Roman"/>
          <w:lang w:val="en-IE"/>
        </w:rPr>
        <w:t xml:space="preserve">021. </w:t>
      </w:r>
    </w:p>
  </w:footnote>
  <w:footnote w:id="2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eastAsia="Times New Roman" w:cs="Times New Roman"/>
          <w:lang w:val="en-IE" w:eastAsia="fr-FR"/>
        </w:rPr>
        <w:t>The General Assembly of the Supreme Court did not issue a positive opinion for any of them.</w:t>
      </w:r>
      <w:r>
        <w:rPr>
          <w:rFonts w:cs="Times New Roman"/>
        </w:rPr>
        <w:t xml:space="preserve"> Supreme Court, Press release of 18 May 2021. On 8 June 2021, after presenting their programmes for the work of the Supreme Court before the parliamentary Committee for the Judiciary, neither of the four remaining candidates (one candidate withdrew his can</w:t>
      </w:r>
      <w:r>
        <w:rPr>
          <w:rFonts w:cs="Times New Roman"/>
        </w:rPr>
        <w:t>didacy) received the majority of votes of the members of the Committee. On 25 June 2021, the proposed candidate did not receive the required majority in the plenum of the Parliament.</w:t>
      </w:r>
    </w:p>
  </w:footnote>
  <w:footnote w:id="22">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t>Law on Courts, art. 44.c. The appointment process is subject to contro</w:t>
      </w:r>
      <w:r>
        <w:rPr>
          <w:rFonts w:cs="Times New Roman"/>
          <w:lang w:val="en-IE"/>
        </w:rPr>
        <w:t>versy and has already led to two successive public calls, and in the absence of agreement in Parliament, this process could be further prolonged.</w:t>
      </w:r>
    </w:p>
  </w:footnote>
  <w:footnote w:id="2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lang w:val="en-IE"/>
        </w:rPr>
        <w:t xml:space="preserve">CM/Rec(2010)12, para. 47. </w:t>
      </w:r>
      <w:r>
        <w:rPr>
          <w:rFonts w:eastAsia="Times New Roman" w:cs="Times New Roman"/>
          <w:lang w:val="en-IE" w:eastAsia="fr-FR"/>
        </w:rPr>
        <w:t xml:space="preserve">Under EU law, the involvement of a body such as the council for the judiciary in </w:t>
      </w:r>
      <w:r>
        <w:rPr>
          <w:rFonts w:eastAsia="Times New Roman" w:cs="Times New Roman"/>
          <w:lang w:val="en-IE" w:eastAsia="fr-FR"/>
        </w:rPr>
        <w:t xml:space="preserve">judicial appointment procedure may contribute to making that process more objective by circumscribing the executive’s discretion as regards such appointments, provided that such council is sufficiently independent. </w:t>
      </w:r>
      <w:r>
        <w:rPr>
          <w:rFonts w:cs="Times New Roman"/>
        </w:rPr>
        <w:t>J</w:t>
      </w:r>
      <w:r>
        <w:rPr>
          <w:rFonts w:eastAsia="Times New Roman" w:cs="Times New Roman"/>
          <w:lang w:val="en-IE" w:eastAsia="fr-FR"/>
        </w:rPr>
        <w:t>udgment of the Court of Justice of the E</w:t>
      </w:r>
      <w:r>
        <w:rPr>
          <w:rFonts w:eastAsia="Times New Roman" w:cs="Times New Roman"/>
          <w:lang w:val="en-IE" w:eastAsia="fr-FR"/>
        </w:rPr>
        <w:t>U, Case C-824/18 AB et al., paras. 124-127 and the case-law cited.</w:t>
      </w:r>
    </w:p>
  </w:footnote>
  <w:footnote w:id="24">
    <w:p w:rsidR="008A17C5" w:rsidRDefault="00402083">
      <w:pPr>
        <w:pStyle w:val="FootnoteText"/>
        <w:rPr>
          <w:rFonts w:eastAsia="Times New Roman" w:cs="Times New Roman"/>
          <w:lang w:val="en-IE" w:eastAsia="fr-FR"/>
        </w:rPr>
      </w:pPr>
      <w:r>
        <w:rPr>
          <w:rStyle w:val="FootnoteReference"/>
          <w:rFonts w:cs="Times New Roman"/>
        </w:rPr>
        <w:footnoteRef/>
      </w:r>
      <w:r>
        <w:rPr>
          <w:rFonts w:cs="Times New Roman"/>
        </w:rPr>
        <w:t xml:space="preserve"> </w:t>
      </w:r>
      <w:r>
        <w:rPr>
          <w:rFonts w:cs="Times New Roman"/>
          <w:lang w:val="en-IE"/>
        </w:rPr>
        <w:tab/>
        <w:t xml:space="preserve">2018 amendments to </w:t>
      </w:r>
      <w:r>
        <w:rPr>
          <w:rFonts w:eastAsia="Times New Roman" w:cs="Times New Roman"/>
          <w:lang w:val="en-IE" w:eastAsia="fr-FR"/>
        </w:rPr>
        <w:t>the Law on State Judicial Council.</w:t>
      </w:r>
    </w:p>
    <w:p w:rsidR="008A17C5" w:rsidRDefault="00402083">
      <w:pPr>
        <w:pStyle w:val="FootnoteText"/>
        <w:ind w:firstLine="0"/>
        <w:rPr>
          <w:rFonts w:cs="Times New Roman"/>
          <w:lang w:val="en-IE"/>
        </w:rPr>
      </w:pPr>
      <w:r>
        <w:rPr>
          <w:rFonts w:eastAsia="Calibri" w:cs="Times New Roman"/>
          <w:noProof/>
          <w:lang w:val="en-IE"/>
        </w:rPr>
        <w:t>Judicial and prosecutorial posts are filled in a merit-based process based on a scoring system, which takes into account two element</w:t>
      </w:r>
      <w:r>
        <w:rPr>
          <w:rFonts w:eastAsia="Calibri" w:cs="Times New Roman"/>
          <w:noProof/>
          <w:lang w:val="en-IE"/>
        </w:rPr>
        <w:t>s. The first one is either the final score of the candidate in the National School for judges or state attorneys or, in case of appointment to another court of an existing judge, the assessment of judicial performance. The second element is the interview b</w:t>
      </w:r>
      <w:r>
        <w:rPr>
          <w:rFonts w:eastAsia="Calibri" w:cs="Times New Roman"/>
          <w:noProof/>
          <w:lang w:val="en-IE"/>
        </w:rPr>
        <w:t xml:space="preserve">efore the respective Council. </w:t>
      </w:r>
      <w:r>
        <w:rPr>
          <w:rFonts w:cs="Times New Roman"/>
        </w:rPr>
        <w:t>2020 Rule of Law Report, Country Chapter on the rule of law situation in Croatia, pp. 3-4.</w:t>
      </w:r>
    </w:p>
  </w:footnote>
  <w:footnote w:id="25">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r>
      <w:r>
        <w:rPr>
          <w:rFonts w:eastAsia="Calibri" w:cs="Times New Roman"/>
          <w:lang w:val="en-IE"/>
        </w:rPr>
        <w:t>The amendments also limited the choice of candidates among which the Council can conduct an interview.</w:t>
      </w:r>
      <w:r>
        <w:rPr>
          <w:rFonts w:eastAsia="Calibri" w:cs="Times New Roman"/>
          <w:noProof/>
          <w:lang w:val="en-IE"/>
        </w:rPr>
        <w:t xml:space="preserve"> The consequences of these ame</w:t>
      </w:r>
      <w:r>
        <w:rPr>
          <w:rFonts w:eastAsia="Calibri" w:cs="Times New Roman"/>
          <w:noProof/>
          <w:lang w:val="en-IE"/>
        </w:rPr>
        <w:t xml:space="preserve">ndments could be seen in some procedures for appointment in 2019 and 2020, where Councils faced challenges in trying to avoid reducing the appointment procedure to a mechanical counting of points. </w:t>
      </w:r>
      <w:r>
        <w:rPr>
          <w:rFonts w:cs="Times New Roman"/>
        </w:rPr>
        <w:t>2020 Rule of Law Report, Country Chapter on the rule of law</w:t>
      </w:r>
      <w:r>
        <w:rPr>
          <w:rFonts w:cs="Times New Roman"/>
        </w:rPr>
        <w:t xml:space="preserve"> situation in Croatia, p. 4.</w:t>
      </w:r>
    </w:p>
  </w:footnote>
  <w:footnote w:id="26">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The State Judicial Council proposed changes to the Law on State Judicial Council, particularly </w:t>
      </w:r>
      <w:r>
        <w:rPr>
          <w:rFonts w:eastAsia="Times New Roman" w:cs="Times New Roman"/>
          <w:lang w:val="en-IE" w:eastAsia="fr-FR"/>
        </w:rPr>
        <w:t>increasing the number of points awarded after the interview with the candidate to the level before the 2018 amendments, and revis</w:t>
      </w:r>
      <w:r>
        <w:rPr>
          <w:rFonts w:eastAsia="Times New Roman" w:cs="Times New Roman"/>
          <w:lang w:val="en-IE" w:eastAsia="fr-FR"/>
        </w:rPr>
        <w:t xml:space="preserve">ing the provisions on which candidates can be invited to an interview. </w:t>
      </w:r>
      <w:r>
        <w:rPr>
          <w:rFonts w:cs="Times New Roman"/>
        </w:rPr>
        <w:t xml:space="preserve">Information received in the context of the country visit to Croatia. </w:t>
      </w:r>
    </w:p>
  </w:footnote>
  <w:footnote w:id="2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t>The amended system of submitting, conducting, controlling and publishing reports on the property of judges, stat</w:t>
      </w:r>
      <w:r>
        <w:t>e attorneys and deputy state attorneys (asset declarations) was introduced in law in 2018.</w:t>
      </w:r>
      <w:r>
        <w:rPr>
          <w:rFonts w:eastAsia="Times New Roman" w:cs="Times New Roman"/>
          <w:lang w:val="en-IE" w:eastAsia="fr-FR"/>
        </w:rPr>
        <w:t xml:space="preserve"> Judges and state attorneys are required to submit their asset declarations in the electronic form and the data on their property are public and published on the Coun</w:t>
      </w:r>
      <w:r>
        <w:rPr>
          <w:rFonts w:eastAsia="Times New Roman" w:cs="Times New Roman"/>
          <w:lang w:val="en-IE" w:eastAsia="fr-FR"/>
        </w:rPr>
        <w:t xml:space="preserve">cils’ websites, while respecting data protection rules. Input from Croatia for the 2021 Rule of Law Report, pp. 3-5, 17-18. </w:t>
      </w:r>
    </w:p>
  </w:footnote>
  <w:footnote w:id="28">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r>
      <w:r>
        <w:rPr>
          <w:rFonts w:eastAsia="Times New Roman" w:cs="Times New Roman"/>
          <w:lang w:val="en-IE" w:eastAsia="fr-FR"/>
        </w:rPr>
        <w:t>Input from Croatia to the 2021 Rule of Law Report, pp. 3, 17. To gain access to the data bases in other institutions (e.g. tax a</w:t>
      </w:r>
      <w:r>
        <w:rPr>
          <w:rFonts w:eastAsia="Times New Roman" w:cs="Times New Roman"/>
          <w:lang w:val="en-IE" w:eastAsia="fr-FR"/>
        </w:rPr>
        <w:t>dministration, financial agency, ministry of transport, ministry of agriculture, land registry, cadastre), both Councils will need to conclude agreements with each institution, which specify what kind of information will be shared and include data protecti</w:t>
      </w:r>
      <w:r>
        <w:rPr>
          <w:rFonts w:eastAsia="Times New Roman" w:cs="Times New Roman"/>
          <w:lang w:val="en-IE" w:eastAsia="fr-FR"/>
        </w:rPr>
        <w:t xml:space="preserve">on provisions. </w:t>
      </w:r>
    </w:p>
  </w:footnote>
  <w:footnote w:id="29">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r>
      <w:r>
        <w:rPr>
          <w:rFonts w:eastAsia="Times New Roman" w:cs="Times New Roman"/>
          <w:lang w:val="en-IE" w:eastAsia="fr-FR"/>
        </w:rPr>
        <w:t>Information received in the context of the country visit to Croatia.</w:t>
      </w:r>
    </w:p>
  </w:footnote>
  <w:footnote w:id="3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eastAsia="Calibri" w:cs="Times New Roman"/>
          <w:noProof/>
          <w:lang w:val="en-IE"/>
        </w:rPr>
        <w:t xml:space="preserve">In February 2021, the </w:t>
      </w:r>
      <w:r>
        <w:rPr>
          <w:rFonts w:eastAsia="Times New Roman" w:cs="Times New Roman"/>
          <w:bCs/>
          <w:lang w:eastAsia="hr-HR"/>
        </w:rPr>
        <w:t>Ministry of Justice and Public Administration held a tripartite meeting with the representatives of the Commission for the Resolution of Confli</w:t>
      </w:r>
      <w:r>
        <w:rPr>
          <w:rFonts w:eastAsia="Times New Roman" w:cs="Times New Roman"/>
          <w:bCs/>
          <w:lang w:eastAsia="hr-HR"/>
        </w:rPr>
        <w:t xml:space="preserve">ct of Interest and the State Judicial Council, with the aim of exchanging experiences in introducing the ICT applications. </w:t>
      </w:r>
      <w:r>
        <w:rPr>
          <w:rFonts w:eastAsia="Times New Roman" w:cs="Times New Roman"/>
          <w:lang w:val="en-IE" w:eastAsia="fr-FR"/>
        </w:rPr>
        <w:t>Input from Croatia for the 2021 Rule of Law Report, p. 18.</w:t>
      </w:r>
    </w:p>
  </w:footnote>
  <w:footnote w:id="3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Announced in the National Recovery and Resilience Plan submitted by the</w:t>
      </w:r>
      <w:r>
        <w:rPr>
          <w:rFonts w:cs="Times New Roman"/>
        </w:rPr>
        <w:t xml:space="preserve"> Croatian Government on 18 May 2021.</w:t>
      </w:r>
    </w:p>
  </w:footnote>
  <w:footnote w:id="32">
    <w:p w:rsidR="008A17C5" w:rsidRDefault="00402083">
      <w:pPr>
        <w:pStyle w:val="FootnoteText"/>
        <w:rPr>
          <w:rFonts w:cs="Times New Roman"/>
          <w:lang w:val="en-IE"/>
        </w:rPr>
      </w:pPr>
      <w:r>
        <w:rPr>
          <w:rStyle w:val="FootnoteReference"/>
          <w:rFonts w:cs="Times New Roman"/>
          <w:lang w:val="en-IE"/>
        </w:rPr>
        <w:footnoteRef/>
      </w:r>
      <w:r>
        <w:rPr>
          <w:rFonts w:cs="Times New Roman"/>
          <w:lang w:val="en-IE"/>
        </w:rPr>
        <w:t xml:space="preserve"> </w:t>
      </w:r>
      <w:r>
        <w:rPr>
          <w:rFonts w:cs="Times New Roman"/>
          <w:lang w:val="en-IE"/>
        </w:rPr>
        <w:tab/>
        <w:t>Supreme Court, Request from the President of the Supreme Court, 5 March 2021.</w:t>
      </w:r>
    </w:p>
  </w:footnote>
  <w:footnote w:id="3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Style w:val="jlqj4b"/>
          <w:rFonts w:cs="Times New Roman"/>
          <w:lang w:val="en"/>
        </w:rPr>
        <w:t>The Ethics Council of the Supreme Court of the Republic of Croatia has decided on the complaints of judges in the procedure of assessin</w:t>
      </w:r>
      <w:r>
        <w:rPr>
          <w:rStyle w:val="jlqj4b"/>
          <w:rFonts w:cs="Times New Roman"/>
          <w:lang w:val="en"/>
        </w:rPr>
        <w:t>g the existence of a violation of the Code of Judicial Ethics, Press release of 31 May 2021.</w:t>
      </w:r>
    </w:p>
  </w:footnote>
  <w:footnote w:id="34">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t xml:space="preserve">On 9 June 2021, three judges were arrested in relation to the alleged corruption offences. </w:t>
      </w:r>
      <w:r>
        <w:rPr>
          <w:rFonts w:eastAsia="Times New Roman" w:cs="Times New Roman"/>
          <w:lang w:val="en-IE" w:eastAsia="fr-FR"/>
        </w:rPr>
        <w:t xml:space="preserve">It is to be noted that the President of the relevant Court also </w:t>
      </w:r>
      <w:r>
        <w:rPr>
          <w:rFonts w:eastAsia="Times New Roman" w:cs="Times New Roman"/>
          <w:lang w:val="en-IE" w:eastAsia="fr-FR"/>
        </w:rPr>
        <w:t>requested a new security check regarding the judges dealing with corruption and organised crime cases at that court.</w:t>
      </w:r>
    </w:p>
  </w:footnote>
  <w:footnote w:id="35">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eastAsia="Times New Roman" w:cs="Times New Roman"/>
          <w:lang w:val="en-IE" w:eastAsia="fr-FR"/>
        </w:rPr>
        <w:t>The decision establishing an ethical breach is inserted into judges’ personal file and transmitted to the relevant court president.</w:t>
      </w:r>
    </w:p>
  </w:footnote>
  <w:footnote w:id="36">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L</w:t>
      </w:r>
      <w:r>
        <w:rPr>
          <w:rFonts w:cs="Times New Roman"/>
        </w:rPr>
        <w:t>aw on Courts, articles 106, 107 and 107.a.</w:t>
      </w:r>
    </w:p>
  </w:footnote>
  <w:footnote w:id="3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Law on State Judicial Council, articles 62-79. For a comparison of authorities involved in disciplinary proceedings regarding judges in all Member States see Figures 52-53, 2020 EU Justice Scoreboard.</w:t>
      </w:r>
    </w:p>
  </w:footnote>
  <w:footnote w:id="38">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r>
      <w:r>
        <w:rPr>
          <w:rFonts w:cs="Times New Roman"/>
        </w:rPr>
        <w:t>2020 R</w:t>
      </w:r>
      <w:r>
        <w:rPr>
          <w:rFonts w:cs="Times New Roman"/>
        </w:rPr>
        <w:t>ule of Law Report, Country Chapter on the rule of law situation in Croatia, p. 4.</w:t>
      </w:r>
    </w:p>
  </w:footnote>
  <w:footnote w:id="3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Figures 40-47, 2021 EU Justice Scoreboard.</w:t>
      </w:r>
    </w:p>
  </w:footnote>
  <w:footnote w:id="4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eastAsia="Calibri" w:cs="Times New Roman"/>
          <w:noProof/>
        </w:rPr>
        <w:t>I</w:t>
      </w:r>
      <w:r>
        <w:rPr>
          <w:rFonts w:eastAsia="Calibri" w:cs="Times New Roman"/>
          <w:noProof/>
          <w:lang w:val="en-IE"/>
        </w:rPr>
        <w:t>n four first-instance Administrative courts, and the High Administrative Court.</w:t>
      </w:r>
      <w:r>
        <w:rPr>
          <w:rFonts w:cs="Times New Roman"/>
        </w:rPr>
        <w:t xml:space="preserve"> Input from Croatia for the </w:t>
      </w:r>
      <w:r>
        <w:rPr>
          <w:rFonts w:eastAsia="Times New Roman" w:cs="Times New Roman"/>
          <w:lang w:val="en-IE" w:eastAsia="fr-FR"/>
        </w:rPr>
        <w:t xml:space="preserve">2021 Rule of Law </w:t>
      </w:r>
      <w:r>
        <w:rPr>
          <w:rFonts w:eastAsia="Times New Roman" w:cs="Times New Roman"/>
          <w:lang w:val="en-IE" w:eastAsia="fr-FR"/>
        </w:rPr>
        <w:t>Report, p. 9.</w:t>
      </w:r>
    </w:p>
  </w:footnote>
  <w:footnote w:id="4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Input from Croatia for the </w:t>
      </w:r>
      <w:r>
        <w:rPr>
          <w:rFonts w:eastAsia="Times New Roman" w:cs="Times New Roman"/>
          <w:lang w:val="en-IE" w:eastAsia="fr-FR"/>
        </w:rPr>
        <w:t>2021 Rule of Law Report, p. 8.</w:t>
      </w:r>
    </w:p>
  </w:footnote>
  <w:footnote w:id="42">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r>
      <w:r>
        <w:rPr>
          <w:rFonts w:eastAsia="Calibri" w:cs="Times New Roman"/>
        </w:rPr>
        <w:t xml:space="preserve">At the end of 2020, about 49% of all documents were sent and received electronically in Commercial courts, and 26% in Municipal courts. </w:t>
      </w:r>
      <w:r>
        <w:rPr>
          <w:rFonts w:eastAsia="Times New Roman" w:cs="Times New Roman"/>
          <w:lang w:val="en-IE" w:eastAsia="fr-FR"/>
        </w:rPr>
        <w:t>Information received in the context of the</w:t>
      </w:r>
      <w:r>
        <w:rPr>
          <w:rFonts w:eastAsia="Times New Roman" w:cs="Times New Roman"/>
          <w:lang w:val="en-IE" w:eastAsia="fr-FR"/>
        </w:rPr>
        <w:t xml:space="preserve"> country visit in Croatia.</w:t>
      </w:r>
    </w:p>
  </w:footnote>
  <w:footnote w:id="43">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r>
      <w:r>
        <w:rPr>
          <w:rFonts w:cs="Times New Roman"/>
        </w:rPr>
        <w:t>Announced in the National Recovery and Resilience Plan submitted by the Croatian Government on 18 May 2021.</w:t>
      </w:r>
    </w:p>
  </w:footnote>
  <w:footnote w:id="44">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Figure 46, 2021 EU Justice Scoreboard. 2020 Rule of Law Report, Country Chapter on the rule of law situation in Cro</w:t>
      </w:r>
      <w:r>
        <w:rPr>
          <w:rFonts w:cs="Times New Roman"/>
        </w:rPr>
        <w:t>atia, pp. 6-7.</w:t>
      </w:r>
    </w:p>
  </w:footnote>
  <w:footnote w:id="45">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Announced in the National Recovery and Resilience Plan submitted by the Croatian Government on 18 May 2021.</w:t>
      </w:r>
    </w:p>
  </w:footnote>
  <w:footnote w:id="46">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r>
      <w:r>
        <w:rPr>
          <w:rFonts w:cs="Times New Roman"/>
        </w:rPr>
        <w:t xml:space="preserve">Input from Croatia for the </w:t>
      </w:r>
      <w:r>
        <w:rPr>
          <w:rFonts w:eastAsia="Times New Roman" w:cs="Times New Roman"/>
          <w:lang w:val="en-IE" w:eastAsia="fr-FR"/>
        </w:rPr>
        <w:t>2021 Rule of Law Report, pp. 8-9.</w:t>
      </w:r>
    </w:p>
  </w:footnote>
  <w:footnote w:id="4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See footnotes 1 and 3 above.</w:t>
      </w:r>
    </w:p>
  </w:footnote>
  <w:footnote w:id="4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2020 Rule of Law Report, Countr</w:t>
      </w:r>
      <w:r>
        <w:rPr>
          <w:rFonts w:cs="Times New Roman"/>
        </w:rPr>
        <w:t>y Chapter on the rule of law situation in Croatia, pp. 4-5.</w:t>
      </w:r>
    </w:p>
  </w:footnote>
  <w:footnote w:id="4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See the Independence section above.</w:t>
      </w:r>
    </w:p>
  </w:footnote>
  <w:footnote w:id="50">
    <w:p w:rsidR="008A17C5" w:rsidRDefault="00402083">
      <w:pPr>
        <w:pStyle w:val="FootnoteText"/>
        <w:rPr>
          <w:rFonts w:cs="Times New Roman"/>
        </w:rPr>
      </w:pPr>
      <w:r>
        <w:rPr>
          <w:rStyle w:val="FootnoteReference"/>
          <w:rFonts w:cs="Times New Roman"/>
          <w:lang w:val="en-IE"/>
        </w:rPr>
        <w:footnoteRef/>
      </w:r>
      <w:r>
        <w:rPr>
          <w:rFonts w:cs="Times New Roman"/>
        </w:rPr>
        <w:t xml:space="preserve"> </w:t>
      </w:r>
      <w:r>
        <w:rPr>
          <w:rFonts w:cs="Times New Roman"/>
        </w:rPr>
        <w:tab/>
        <w:t>Criminal Procedure Code, art. 490: (1) An appeal against a second instance judgment is allowed to a third-instance court only if: 1) the court of second i</w:t>
      </w:r>
      <w:r>
        <w:rPr>
          <w:rFonts w:cs="Times New Roman"/>
        </w:rPr>
        <w:t>nstance has imposed a sentence of long-term imprisonment or has confirmed the first-instance verdict by which such a sentence was imposed; 2) the second-instance court reversed the first-instance verdict acquitting the accused and pronounced the verdict fi</w:t>
      </w:r>
      <w:r>
        <w:rPr>
          <w:rFonts w:cs="Times New Roman"/>
        </w:rPr>
        <w:t xml:space="preserve">nding the accused guilty. </w:t>
      </w:r>
    </w:p>
  </w:footnote>
  <w:footnote w:id="5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The request for review of constitutionality claimed, among others, that the Law on Courts and Criminal Procedure Code unconstitutionally narrowed down the jurisdiction of the Supreme Court to act as a third instance court and </w:t>
      </w:r>
      <w:r>
        <w:rPr>
          <w:rFonts w:cs="Times New Roman"/>
        </w:rPr>
        <w:t>unconstitutionally removes the jurisdiction to act as the second instance court. The Constitutional Court held that the legislative power has the discretion to decide which court will decide on which types of issues. It also stated that the measures used b</w:t>
      </w:r>
      <w:r>
        <w:rPr>
          <w:rFonts w:cs="Times New Roman"/>
        </w:rPr>
        <w:t>y the Supreme Court to ensure the constituency of case law will not be endangered, particularly if the Supreme Court invites to its meetings on consistency of case law (under art. 27 of the Law on Courts) also the president of the High Criminal Court. Judg</w:t>
      </w:r>
      <w:r>
        <w:rPr>
          <w:rFonts w:cs="Times New Roman"/>
        </w:rPr>
        <w:t xml:space="preserve">ment of the Constitutional Court of 3 November 2020, U-I-4658/2019. </w:t>
      </w:r>
    </w:p>
  </w:footnote>
  <w:footnote w:id="52">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ab/>
        <w:t>The remaining four candidates for judges did not receive sufficient votes in the State Judicial Council and the vacancy has not been repeated, also in light of the fact that the number</w:t>
      </w:r>
      <w:r>
        <w:rPr>
          <w:rFonts w:cs="Times New Roman"/>
          <w:lang w:val="en-IE"/>
        </w:rPr>
        <w:t xml:space="preserve"> of cases before the court is currently low.</w:t>
      </w:r>
    </w:p>
  </w:footnote>
  <w:footnote w:id="53">
    <w:p w:rsidR="008A17C5" w:rsidRDefault="00402083">
      <w:pPr>
        <w:pStyle w:val="FootnoteText"/>
        <w:rPr>
          <w:rFonts w:cs="Times New Roman"/>
        </w:rPr>
      </w:pPr>
      <w:r>
        <w:rPr>
          <w:rStyle w:val="FootnoteReference"/>
          <w:rFonts w:cs="Times New Roman"/>
          <w:lang w:val="en-IE"/>
        </w:rPr>
        <w:footnoteRef/>
      </w:r>
      <w:r>
        <w:rPr>
          <w:rFonts w:cs="Times New Roman"/>
        </w:rPr>
        <w:t xml:space="preserve"> </w:t>
      </w:r>
      <w:r>
        <w:rPr>
          <w:rFonts w:cs="Times New Roman"/>
        </w:rPr>
        <w:tab/>
        <w:t>Figures 6-19, 2021 EU Justice Scoreboard.</w:t>
      </w:r>
    </w:p>
  </w:footnote>
  <w:footnote w:id="54">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On 2 November 2020, the Supreme Court President issued an instruction for court presidents to organise the work following two models. According to Model A, the fir</w:t>
      </w:r>
      <w:r>
        <w:rPr>
          <w:rFonts w:cs="Times New Roman"/>
        </w:rPr>
        <w:t>st instance courts act in all types of cases within their jurisdiction, in compliance with the epidemiological measures and with a view to reduce the number of persons in the court buildings, while outside activities are limited to urgent. Use e-Communicat</w:t>
      </w:r>
      <w:r>
        <w:rPr>
          <w:rFonts w:cs="Times New Roman"/>
        </w:rPr>
        <w:t>ion is recommended, as is to hold second instance court hearings using video/audioconferencing tools. According to Model B, used after approval of the Supreme Court President in case of an unfavourable development of the epidemiological situation, the firs</w:t>
      </w:r>
      <w:r>
        <w:rPr>
          <w:rFonts w:cs="Times New Roman"/>
        </w:rPr>
        <w:t>t instance courts act only in urgent cases of urgent, and only judges who are assigned to such cases come to court. Hearings in all other cases are adjourned for 14 days. Activities outside of court building are suspended. In the second instance courts, th</w:t>
      </w:r>
      <w:r>
        <w:rPr>
          <w:rFonts w:cs="Times New Roman"/>
        </w:rPr>
        <w:t>e court president determines the schedule of hearings, with recommended use of video/audioconferencing tools. Input from Croatia for the 2021 Rule of Law Report, p. 14.</w:t>
      </w:r>
    </w:p>
  </w:footnote>
  <w:footnote w:id="55">
    <w:p w:rsidR="008A17C5" w:rsidRDefault="00402083">
      <w:pPr>
        <w:pStyle w:val="FootnoteText"/>
        <w:rPr>
          <w:rFonts w:cs="Times New Roman"/>
          <w:lang w:val="en-IE"/>
        </w:rPr>
      </w:pPr>
      <w:r>
        <w:rPr>
          <w:rStyle w:val="FootnoteReference"/>
          <w:rFonts w:cs="Times New Roman"/>
          <w:lang w:val="en-IE"/>
        </w:rPr>
        <w:footnoteRef/>
      </w:r>
      <w:r>
        <w:rPr>
          <w:rFonts w:cs="Times New Roman"/>
          <w:lang w:val="en-IE"/>
        </w:rPr>
        <w:t xml:space="preserve"> </w:t>
      </w:r>
      <w:r>
        <w:rPr>
          <w:rFonts w:cs="Times New Roman"/>
          <w:lang w:val="en-IE"/>
        </w:rPr>
        <w:tab/>
        <w:t xml:space="preserve">Data for 2020, Ministry of Justice. </w:t>
      </w:r>
    </w:p>
  </w:footnote>
  <w:footnote w:id="56">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Input from Croatia for the </w:t>
      </w:r>
      <w:r>
        <w:rPr>
          <w:rFonts w:eastAsia="Times New Roman" w:cs="Times New Roman"/>
          <w:lang w:val="en-IE" w:eastAsia="fr-FR"/>
        </w:rPr>
        <w:t xml:space="preserve">2021 Rule of Law </w:t>
      </w:r>
      <w:r>
        <w:rPr>
          <w:rFonts w:eastAsia="Times New Roman" w:cs="Times New Roman"/>
          <w:lang w:val="en-IE" w:eastAsia="fr-FR"/>
        </w:rPr>
        <w:t>Report, p. 11.</w:t>
      </w:r>
    </w:p>
  </w:footnote>
  <w:footnote w:id="57">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For more information on the functioning of the High Criminal Court and the judgment of the Constitutional Court of 3 November 2020, U-I-4658/2019, see section on the Quality of justice system above.</w:t>
      </w:r>
    </w:p>
  </w:footnote>
  <w:footnote w:id="58">
    <w:p w:rsidR="008A17C5" w:rsidRDefault="00402083">
      <w:pPr>
        <w:pStyle w:val="FootnoteText"/>
      </w:pPr>
      <w:r>
        <w:rPr>
          <w:rStyle w:val="FootnoteReference"/>
        </w:rPr>
        <w:footnoteRef/>
      </w:r>
      <w:r>
        <w:t xml:space="preserve"> </w:t>
      </w:r>
      <w:r>
        <w:tab/>
        <w:t>Transparency International, Corrupti</w:t>
      </w:r>
      <w:r>
        <w:t>on Perceptions Index 2020 (2021),</w:t>
      </w:r>
      <w:r>
        <w:rPr>
          <w:rFonts w:cstheme="minorHAnsi"/>
        </w:rPr>
        <w:t xml:space="preserve"> pp. 2-3. </w:t>
      </w:r>
      <w:r>
        <w:rPr>
          <w:lang w:val="en-IE"/>
        </w:rPr>
        <w:t>The level of perceived corruption is categorised as follows: low (</w:t>
      </w:r>
      <w:r>
        <w:rPr>
          <w:rFonts w:cstheme="minorHAnsi"/>
        </w:rPr>
        <w:t>the perception among experts and business executives of public sector corruption scores</w:t>
      </w:r>
      <w:r>
        <w:rPr>
          <w:sz w:val="22"/>
          <w:szCs w:val="22"/>
        </w:rPr>
        <w:t xml:space="preserve"> </w:t>
      </w:r>
      <w:r>
        <w:rPr>
          <w:lang w:val="en-IE"/>
        </w:rPr>
        <w:t>above 79); relatively low (scores between 79-60), relativel</w:t>
      </w:r>
      <w:r>
        <w:rPr>
          <w:lang w:val="en-IE"/>
        </w:rPr>
        <w:t>y high (scores between 59-50), high (scores below 50).</w:t>
      </w:r>
    </w:p>
  </w:footnote>
  <w:footnote w:id="59">
    <w:p w:rsidR="008A17C5" w:rsidRDefault="00402083">
      <w:pPr>
        <w:pStyle w:val="FootnoteText"/>
        <w:rPr>
          <w:lang w:val="en-IE"/>
        </w:rPr>
      </w:pPr>
      <w:r>
        <w:rPr>
          <w:rStyle w:val="FootnoteReference"/>
        </w:rPr>
        <w:footnoteRef/>
      </w:r>
      <w:r>
        <w:t xml:space="preserve"> </w:t>
      </w:r>
      <w:r>
        <w:tab/>
      </w:r>
      <w:r>
        <w:rPr>
          <w:lang w:val="en-IE"/>
        </w:rPr>
        <w:t>In 2015, the score was 51, while in 2020, the score is 47. The score significantly increases/decreases when it changes more than five points; improves/deteriorates (changes between 4-5 points); is r</w:t>
      </w:r>
      <w:r>
        <w:rPr>
          <w:lang w:val="en-IE"/>
        </w:rPr>
        <w:t>elatively stable (changes from 1-3 points) in the last five years.</w:t>
      </w:r>
    </w:p>
  </w:footnote>
  <w:footnote w:id="60">
    <w:p w:rsidR="008A17C5" w:rsidRDefault="00402083">
      <w:pPr>
        <w:pStyle w:val="FootnoteText"/>
      </w:pPr>
      <w:r>
        <w:rPr>
          <w:rStyle w:val="FootnoteReference"/>
        </w:rPr>
        <w:footnoteRef/>
      </w:r>
      <w:r>
        <w:t xml:space="preserve"> </w:t>
      </w:r>
      <w:r>
        <w:tab/>
        <w:t>The Eurobarometer data on corruption perception and experience of citizens and businesses as reported last year is updated every second year. The latest data set is the Special Eurobarom</w:t>
      </w:r>
      <w:r>
        <w:t>eter 502 (2020) and the Flash Eurobarometer 482 (2019).</w:t>
      </w:r>
    </w:p>
  </w:footnote>
  <w:footnote w:id="6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The Anti-Corruption Strategy 2015-2020.</w:t>
      </w:r>
    </w:p>
  </w:footnote>
  <w:footnote w:id="62">
    <w:p w:rsidR="008A17C5" w:rsidRDefault="00402083">
      <w:pPr>
        <w:pStyle w:val="FootnoteText"/>
      </w:pPr>
      <w:r>
        <w:rPr>
          <w:rStyle w:val="FootnoteReference"/>
        </w:rPr>
        <w:footnoteRef/>
      </w:r>
      <w:r>
        <w:t xml:space="preserve"> </w:t>
      </w:r>
      <w:r>
        <w:tab/>
        <w:t xml:space="preserve">The draft proposal of the Anti-Corruption Strategy 2021-2030 has been published in the e-consultation portal of the Government. </w:t>
      </w:r>
    </w:p>
  </w:footnote>
  <w:footnote w:id="6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Written contribution f</w:t>
      </w:r>
      <w:r>
        <w:rPr>
          <w:rFonts w:cs="Times New Roman"/>
        </w:rPr>
        <w:t xml:space="preserve">rom Croatian Government for the 2021 Rule of Law Report, p. 12. </w:t>
      </w:r>
    </w:p>
  </w:footnote>
  <w:footnote w:id="64">
    <w:p w:rsidR="008A17C5" w:rsidRDefault="00402083">
      <w:pPr>
        <w:pStyle w:val="FootnoteText"/>
      </w:pPr>
      <w:r>
        <w:rPr>
          <w:rStyle w:val="FootnoteReference"/>
        </w:rPr>
        <w:footnoteRef/>
      </w:r>
      <w:r>
        <w:t xml:space="preserve"> </w:t>
      </w:r>
      <w:r>
        <w:tab/>
        <w:t>List of international recommendations as mentioned in the draft Anti-Corruption Strategy, p. 6.</w:t>
      </w:r>
    </w:p>
  </w:footnote>
  <w:footnote w:id="65">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The Anti-Corruption Strategy 2015-2020 focused on prevention, see 2020 Rule of Law Report</w:t>
      </w:r>
      <w:r>
        <w:rPr>
          <w:rFonts w:cs="Times New Roman"/>
        </w:rPr>
        <w:t>, Country Chapter on the rule of law situation in Croatia, p. 9.</w:t>
      </w:r>
    </w:p>
  </w:footnote>
  <w:footnote w:id="66">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Draft proposal of the Anti-Corruption Strategy 2021-2030 p. 5. </w:t>
      </w:r>
    </w:p>
  </w:footnote>
  <w:footnote w:id="6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w:t>
      </w:r>
      <w:r>
        <w:rPr>
          <w:rFonts w:cs="Times New Roman"/>
          <w:lang w:val="en-IE"/>
        </w:rPr>
        <w:t xml:space="preserve">nput from Croatia for the 2021 Rule of Law Report, p. 15. </w:t>
      </w:r>
    </w:p>
  </w:footnote>
  <w:footnote w:id="6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rPr>
        <w:t>Input from Croatia for the 2021 Rule of Law Report, p. 15. The two new units are: the service for strategic planning, coordination of national documents implementation and raising public awareness; and the service for international cooperation and the deve</w:t>
      </w:r>
      <w:r>
        <w:rPr>
          <w:rFonts w:cs="Times New Roman"/>
        </w:rPr>
        <w:t xml:space="preserve">lopment and improvement of the normative framework. </w:t>
      </w:r>
    </w:p>
  </w:footnote>
  <w:footnote w:id="69">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I</w:t>
      </w:r>
      <w:r>
        <w:rPr>
          <w:rFonts w:cs="Times New Roman"/>
          <w:lang w:val="en-IE"/>
        </w:rPr>
        <w:t xml:space="preserve">nput from Croatia for the 2021 Rule of Law Report, p. 15. </w:t>
      </w:r>
      <w:r>
        <w:rPr>
          <w:rFonts w:cs="Times New Roman"/>
          <w:lang w:val="en-IE"/>
        </w:rPr>
        <w:tab/>
      </w:r>
    </w:p>
  </w:footnote>
  <w:footnote w:id="7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Information reported by the Commission for the Prevention of Conflict of Interest in the context of the country visit to Croatia. </w:t>
      </w:r>
    </w:p>
  </w:footnote>
  <w:footnote w:id="71">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Go</w:t>
      </w:r>
      <w:r>
        <w:rPr>
          <w:rFonts w:cs="Times New Roman"/>
        </w:rPr>
        <w:t xml:space="preserve">vernment of the Republic of Croatia, Programme of the Government 2020-2024, p. 45. </w:t>
      </w:r>
      <w:r>
        <w:t>The Plan of Legislative Activities of the Government for 2021 stipulates, for the 4</w:t>
      </w:r>
      <w:r>
        <w:rPr>
          <w:vertAlign w:val="superscript"/>
        </w:rPr>
        <w:t>th</w:t>
      </w:r>
      <w:r>
        <w:t xml:space="preserve"> quarter, referral to the procedure of working bodies regarding the amendments. This Law would aim at abolishing the immunity of members of the Government for corrupt criminal offenses that are prosecuted </w:t>
      </w:r>
      <w:r>
        <w:rPr>
          <w:i/>
        </w:rPr>
        <w:t>ex officio</w:t>
      </w:r>
      <w:r>
        <w:t>.</w:t>
      </w:r>
    </w:p>
  </w:footnote>
  <w:footnote w:id="72">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Arts. 293-294 criminalise bribery, h</w:t>
      </w:r>
      <w:r>
        <w:rPr>
          <w:rFonts w:cs="Times New Roman"/>
        </w:rPr>
        <w:t>owever, there is no a clear reference to foreign officials. Art. 89(3) of the Criminal Code defines “official person”. OECD, Foreign Bribery Offence and its Enforcement in Eastern Europe and Central Asia, 2016, p. 69.</w:t>
      </w:r>
    </w:p>
  </w:footnote>
  <w:footnote w:id="7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Draft proposal of the Anti-Corrupti</w:t>
      </w:r>
      <w:r>
        <w:rPr>
          <w:rFonts w:cs="Times New Roman"/>
        </w:rPr>
        <w:t xml:space="preserve">on Strategy 2021-2030 p. 30. </w:t>
      </w:r>
    </w:p>
  </w:footnote>
  <w:footnote w:id="74">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GRECO Fifth Evaluation Round, Evaluation Report, 6 December 2019, para. 99.</w:t>
      </w:r>
    </w:p>
  </w:footnote>
  <w:footnote w:id="75">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 2020, the State Attorney’s Office received criminal notifications regarding 1 230 alleged suspects of corruption offences, representing 72% o</w:t>
      </w:r>
      <w:r>
        <w:rPr>
          <w:rFonts w:cs="Times New Roman"/>
        </w:rPr>
        <w:t>f the total criminal notifications received by USKOK (in 2019, there were 1003 suspects representing 73% out of total notifications). This shows about 20% increase in the number of alleged suspects compared to recent years. To be noted that more than 90% o</w:t>
      </w:r>
      <w:r>
        <w:rPr>
          <w:rFonts w:cs="Times New Roman"/>
        </w:rPr>
        <w:t>f these notifications were dismissed and most of them arrived from citizens. State Attorney’s Office, Report for 2020, 29 April 2021, pp. 187-188.</w:t>
      </w:r>
    </w:p>
  </w:footnote>
  <w:footnote w:id="76">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In 2020, the average length of criminal proceedings at first instance was 733 days in Municipal courts and</w:t>
      </w:r>
      <w:r>
        <w:rPr>
          <w:rFonts w:cs="Times New Roman"/>
        </w:rPr>
        <w:t xml:space="preserve"> 804 in County courts (dealing with serious criminal cases). Data from the Ministry of Justice and Public Administration. Regarding corruption cases, one example is the </w:t>
      </w:r>
      <w:r>
        <w:rPr>
          <w:rFonts w:cs="Times New Roman"/>
          <w:lang w:val="en-IE"/>
        </w:rPr>
        <w:t>Fimi-media case running since 11 years.</w:t>
      </w:r>
    </w:p>
  </w:footnote>
  <w:footnote w:id="7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Draft proposal of the Anti-Corruption Strate</w:t>
      </w:r>
      <w:r>
        <w:rPr>
          <w:rFonts w:cs="Times New Roman"/>
        </w:rPr>
        <w:t>gy 2021-2030, p. 32.</w:t>
      </w:r>
    </w:p>
  </w:footnote>
  <w:footnote w:id="7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Information provided by USKOK in the context of the country visit to Croatia. For instance, lack of specialised software, forensic tools to investigate electronic equipment.  </w:t>
      </w:r>
    </w:p>
  </w:footnote>
  <w:footnote w:id="7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Information provided by PNUSKOK in the context of the</w:t>
      </w:r>
      <w:r>
        <w:rPr>
          <w:rFonts w:cs="Times New Roman"/>
        </w:rPr>
        <w:t xml:space="preserve"> country visit to Croatia.  </w:t>
      </w:r>
    </w:p>
  </w:footnote>
  <w:footnote w:id="80">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 xml:space="preserve">Draft proposal of the Anti-Corruption Strategy 2021-2030 p. 36. </w:t>
      </w:r>
    </w:p>
  </w:footnote>
  <w:footnote w:id="81">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r>
      <w:r>
        <w:rPr>
          <w:rFonts w:cs="Times New Roman"/>
          <w:lang w:val="en-IE"/>
        </w:rPr>
        <w:t xml:space="preserve">2020 Rue of Law Report, country chapter for Croatia, p. 10. </w:t>
      </w:r>
    </w:p>
  </w:footnote>
  <w:footnote w:id="82">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r>
      <w:r>
        <w:rPr>
          <w:rFonts w:cs="Times New Roman"/>
          <w:lang w:val="en-IE"/>
        </w:rPr>
        <w:t xml:space="preserve">2020 Rue of Law Report, country chapter for Croatia, p. 10. </w:t>
      </w:r>
    </w:p>
  </w:footnote>
  <w:footnote w:id="8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Draft proposal of the Anti-C</w:t>
      </w:r>
      <w:r>
        <w:rPr>
          <w:rFonts w:cs="Times New Roman"/>
        </w:rPr>
        <w:t xml:space="preserve">orruption Strategy 2021-2030 p. 44-45. </w:t>
      </w:r>
    </w:p>
  </w:footnote>
  <w:footnote w:id="84">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E.g. Judgment of the Constitutional Court of 2 July 2019, U-III-673/2018. This judgment quashed the judgments of the Administrative Court and High Administrative Court with the reasoning, among others, that the co</w:t>
      </w:r>
      <w:r>
        <w:rPr>
          <w:rFonts w:cs="Times New Roman"/>
        </w:rPr>
        <w:t xml:space="preserve">urts did not provide for effective judicial control. </w:t>
      </w:r>
    </w:p>
  </w:footnote>
  <w:footnote w:id="85">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 xml:space="preserve">Judgment of the High Administrative Court of 10 December 2020, Usž – 2745/18-5. </w:t>
      </w:r>
    </w:p>
  </w:footnote>
  <w:footnote w:id="86">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Article 5 of the Law refers to the principles to which public officials must adhere in executing their public dutie</w:t>
      </w:r>
      <w:r>
        <w:rPr>
          <w:rFonts w:cs="Times New Roman"/>
        </w:rPr>
        <w:t>s – acting honestly, conscientiously, responsibly and impartially, preserving their credibility and dignity.</w:t>
      </w:r>
    </w:p>
  </w:footnote>
  <w:footnote w:id="87">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According to the ruling of the High Administrative Court, the Commission for conflict of interest can only impose sanctions according to the lis</w:t>
      </w:r>
      <w:r>
        <w:rPr>
          <w:rFonts w:cs="Times New Roman"/>
        </w:rPr>
        <w:t>t of breaches included in Article 42 of the same law and the provisions of Article 5 are not foreseen in this list. Judgment of the High Administrative Court of 10 December 2020, Usž – 2745/18-5.</w:t>
      </w:r>
    </w:p>
  </w:footnote>
  <w:footnote w:id="88">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r>
      <w:r>
        <w:rPr>
          <w:rFonts w:cs="Times New Roman"/>
          <w:lang w:val="en-IE"/>
        </w:rPr>
        <w:t xml:space="preserve">At the same time, </w:t>
      </w:r>
      <w:r>
        <w:rPr>
          <w:rFonts w:cs="Times New Roman"/>
        </w:rPr>
        <w:t>similar ongoing procedures by the Commi</w:t>
      </w:r>
      <w:r>
        <w:rPr>
          <w:rFonts w:cs="Times New Roman"/>
        </w:rPr>
        <w:t xml:space="preserve">ssion for Prevention of Conflict of Interest might be affected by the High Administrative Court ruling.  </w:t>
      </w:r>
    </w:p>
  </w:footnote>
  <w:footnote w:id="8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GRECO, Fifth Evaluation Round: Preventing corruption and promoting integrity in central governments (top executive functions) and law enforcement a</w:t>
      </w:r>
      <w:r>
        <w:rPr>
          <w:rFonts w:cs="Times New Roman"/>
        </w:rPr>
        <w:t>gencies, 24 March 2020, para. 92.</w:t>
      </w:r>
    </w:p>
  </w:footnote>
  <w:footnote w:id="9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GONG, Letter to GRECO: The Commission must not be destroyed, 4 February 2021.</w:t>
      </w:r>
    </w:p>
  </w:footnote>
  <w:footnote w:id="91">
    <w:p w:rsidR="008A17C5" w:rsidRDefault="00402083">
      <w:pPr>
        <w:pStyle w:val="FootnoteText"/>
      </w:pPr>
      <w:r>
        <w:rPr>
          <w:rStyle w:val="FootnoteReference"/>
        </w:rPr>
        <w:footnoteRef/>
      </w:r>
      <w:r>
        <w:t xml:space="preserve"> </w:t>
      </w:r>
      <w:r>
        <w:tab/>
        <w:t>On 3 February 2021, High Administrative Court issued a press release regarding its case law on conflict of interest stating that administr</w:t>
      </w:r>
      <w:r>
        <w:t>ative courts are competent to assess the legality of decisions of the Commission for the Prevention of Conflicts of Interest and ensure legality, but also to provide judicial protection of the rights and legal interests of natural and legal persons and oth</w:t>
      </w:r>
      <w:r>
        <w:t>er parties violated by individual decisions or actions of public bodies. The Court also pointed out that the fight against corruption does not mean that the courts must uncritically and unconditionally assess as lawful all decisions of the Commission, beca</w:t>
      </w:r>
      <w:r>
        <w:t>use that would make the above-mentioned role of administrative courts in the control of the legality of decisions made by public bodies meaningless. High Administrative Court, Press release of 3 February 2021.</w:t>
      </w:r>
    </w:p>
    <w:p w:rsidR="008A17C5" w:rsidRDefault="00402083">
      <w:pPr>
        <w:pStyle w:val="FootnoteText"/>
        <w:ind w:firstLine="0"/>
      </w:pPr>
      <w:r>
        <w:t>On 14 May 2021, the State Attorney’s Office re</w:t>
      </w:r>
      <w:r>
        <w:t xml:space="preserve">jected the Commission’s initiative regarding the High Administrative Court’s judgment of December 2020 due to the fact that the person in question, the mayor of Zagreb, has since passed away. </w:t>
      </w:r>
    </w:p>
  </w:footnote>
  <w:footnote w:id="92">
    <w:p w:rsidR="008A17C5" w:rsidRDefault="00402083">
      <w:pPr>
        <w:pStyle w:val="FootnoteText"/>
      </w:pPr>
      <w:r>
        <w:rPr>
          <w:rStyle w:val="FootnoteReference"/>
        </w:rPr>
        <w:footnoteRef/>
      </w:r>
      <w:r>
        <w:t xml:space="preserve"> </w:t>
      </w:r>
      <w:r>
        <w:tab/>
      </w:r>
      <w:r>
        <w:rPr>
          <w:rFonts w:cs="Times New Roman"/>
        </w:rPr>
        <w:t>Judgment of the High Administrative Court of 27 May 2020, Us</w:t>
      </w:r>
      <w:r>
        <w:rPr>
          <w:rFonts w:cs="Times New Roman"/>
        </w:rPr>
        <w:t>ž – 2889/20-2.</w:t>
      </w:r>
    </w:p>
  </w:footnote>
  <w:footnote w:id="9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2020 Rule of Law Report, Country Chapter on the rule of law situation in Croatia, p. 11. </w:t>
      </w:r>
    </w:p>
  </w:footnote>
  <w:footnote w:id="94">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GRECO, Fifth Evaluation Round: Preventing corruption and promoting integrity in central governments (top executive functions) and law enforcement</w:t>
      </w:r>
      <w:r>
        <w:rPr>
          <w:rFonts w:cs="Times New Roman"/>
        </w:rPr>
        <w:t xml:space="preserve"> agencies, 24 March 2020, pp. 15-16.</w:t>
      </w:r>
    </w:p>
  </w:footnote>
  <w:footnote w:id="95">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GRECO, Fourth Evaluation Round: Fourth Evaluation Round, Addendum to the Second Compliance Report Croatia, Addendum to the Second Compliance Report Croatia, 21 October 2020, p. 3.</w:t>
      </w:r>
    </w:p>
  </w:footnote>
  <w:footnote w:id="96">
    <w:p w:rsidR="008A17C5" w:rsidRDefault="00402083">
      <w:pPr>
        <w:pStyle w:val="FootnoteText"/>
      </w:pPr>
      <w:r>
        <w:rPr>
          <w:rStyle w:val="FootnoteReference"/>
        </w:rPr>
        <w:footnoteRef/>
      </w:r>
      <w:r>
        <w:t xml:space="preserve"> </w:t>
      </w:r>
      <w:r>
        <w:tab/>
      </w:r>
      <w:r>
        <w:t xml:space="preserve">Preparatory work to establish the Code of Ethics for Members of the Parliament and the Code of Ethics for Members of the Government are ongoing.  </w:t>
      </w:r>
    </w:p>
  </w:footnote>
  <w:footnote w:id="97">
    <w:p w:rsidR="008A17C5" w:rsidRDefault="00402083">
      <w:pPr>
        <w:pStyle w:val="FootnoteText"/>
      </w:pPr>
      <w:r>
        <w:rPr>
          <w:rStyle w:val="FootnoteReference"/>
        </w:rPr>
        <w:footnoteRef/>
      </w:r>
      <w:r>
        <w:t xml:space="preserve"> </w:t>
      </w:r>
      <w:r>
        <w:tab/>
        <w:t>The working group in charge of drafting the Code of Ethics for Members of the Parliament sent the draft to</w:t>
      </w:r>
      <w:r>
        <w:t xml:space="preserve"> the Committee on the Constitution, Rules of Procedure and Political System after discussion at the Presidency session. </w:t>
      </w:r>
    </w:p>
  </w:footnote>
  <w:footnote w:id="98">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GRECO, Fifth Evaluation Round: Preventing corruption and promoting integrity in central governments (top executive functions) and la</w:t>
      </w:r>
      <w:r>
        <w:rPr>
          <w:rFonts w:cs="Times New Roman"/>
        </w:rPr>
        <w:t xml:space="preserve">w enforcement agencies, p. 25. </w:t>
      </w:r>
    </w:p>
  </w:footnote>
  <w:footnote w:id="9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Art. 20 of the Law on the Prevention of Conflict of Interests states that officials cannot accept employment from an entity with which they had direct contact for a period of 12 months after the end of service.</w:t>
      </w:r>
    </w:p>
  </w:footnote>
  <w:footnote w:id="10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Etički </w:t>
      </w:r>
      <w:r>
        <w:rPr>
          <w:rFonts w:cs="Times New Roman"/>
        </w:rPr>
        <w:t xml:space="preserve">kodeks državnih službenika, Official Gazette 40/201. </w:t>
      </w:r>
    </w:p>
  </w:footnote>
  <w:footnote w:id="101">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Draft proposal of the Anti-Corruption Strategy 2021-2030 p 64.</w:t>
      </w:r>
    </w:p>
  </w:footnote>
  <w:footnote w:id="102">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The absence of such detailed rules for members of Parliament and top executive functions was already noted in the 2020 Rule of Law Re</w:t>
      </w:r>
      <w:r>
        <w:rPr>
          <w:rFonts w:cs="Times New Roman"/>
        </w:rPr>
        <w:t>port, Country Chapter on the rule of law situation in Croatia, p. 11.</w:t>
      </w:r>
    </w:p>
  </w:footnote>
  <w:footnote w:id="10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Written contribution by Croatian Government in the context of the country visit to Croatia, Draft proposal of the Anti-Corruption Strategy 2021-2030 p. 46 and the Government of the Re</w:t>
      </w:r>
      <w:r>
        <w:rPr>
          <w:rFonts w:cs="Times New Roman"/>
        </w:rPr>
        <w:t>public of Croatia, Programme of the Government 2020-2024, p. 45. The working group will be composed of representatives of the Government of the Republic of Croatia, State Attorney's Office, Information Commissioner, Commission for Resolution of Conflicts o</w:t>
      </w:r>
      <w:r>
        <w:rPr>
          <w:rFonts w:cs="Times New Roman"/>
        </w:rPr>
        <w:t>f Interest, Agency for Personal Data Protection, Croatian Lobbyists' Association, civil society organizations Transparency International and GONG, academics. The Croatian Employers' Association and trade unions might also be invited to participate in the w</w:t>
      </w:r>
      <w:r>
        <w:rPr>
          <w:rFonts w:cs="Times New Roman"/>
        </w:rPr>
        <w:t>orking group.</w:t>
      </w:r>
    </w:p>
  </w:footnote>
  <w:footnote w:id="104">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GRECO, Fifth Evaluation Round: Preventing corruption and promoting integrity in central governments (top executive functions) and law enforcement agencies, 24 March 2020, p.20.  </w:t>
      </w:r>
    </w:p>
  </w:footnote>
  <w:footnote w:id="105">
    <w:p w:rsidR="008A17C5" w:rsidRDefault="00402083">
      <w:pPr>
        <w:pStyle w:val="FootnoteText"/>
      </w:pPr>
      <w:r>
        <w:rPr>
          <w:rStyle w:val="FootnoteReference"/>
        </w:rPr>
        <w:footnoteRef/>
      </w:r>
      <w:r>
        <w:t xml:space="preserve"> </w:t>
      </w:r>
      <w:r>
        <w:tab/>
        <w:t xml:space="preserve">Draft proposal of the Anti-Corruption Strategy 2021-2030 </w:t>
      </w:r>
      <w:r>
        <w:t xml:space="preserve">p 23. </w:t>
      </w:r>
    </w:p>
  </w:footnote>
  <w:footnote w:id="106">
    <w:p w:rsidR="008A17C5" w:rsidRDefault="00402083">
      <w:pPr>
        <w:pStyle w:val="FootnoteText"/>
      </w:pPr>
      <w:r>
        <w:rPr>
          <w:rStyle w:val="FootnoteReference"/>
        </w:rPr>
        <w:footnoteRef/>
      </w:r>
      <w:r>
        <w:t xml:space="preserve"> According to article 8 of the Law on the State Commission </w:t>
      </w:r>
      <w:r>
        <w:rPr>
          <w:rFonts w:cs="Times New Roman"/>
        </w:rPr>
        <w:t>for Supervision of Public Procurement Procedures, the Government proposes, based on public vacancy, the candidates to Parliament for appointment as members of the State Commission without t</w:t>
      </w:r>
      <w:r>
        <w:rPr>
          <w:rFonts w:cs="Times New Roman"/>
        </w:rPr>
        <w:t xml:space="preserve">he involvement of an independent body. Parliament would also decide on potential disciplinary responsibility of the members. </w:t>
      </w:r>
    </w:p>
  </w:footnote>
  <w:footnote w:id="107">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lang w:val="en-IE"/>
        </w:rPr>
        <w:t>Information reported by t</w:t>
      </w:r>
      <w:r>
        <w:rPr>
          <w:rFonts w:cs="Times New Roman"/>
        </w:rPr>
        <w:t>he State Commission for Supervision of Public Procurement Procedures</w:t>
      </w:r>
      <w:r>
        <w:rPr>
          <w:rFonts w:cs="Times New Roman"/>
          <w:lang w:val="en-IE"/>
        </w:rPr>
        <w:t xml:space="preserve"> in the context of the country visi</w:t>
      </w:r>
      <w:r>
        <w:rPr>
          <w:rFonts w:cs="Times New Roman"/>
          <w:lang w:val="en-IE"/>
        </w:rPr>
        <w:t>t to Croatia. The</w:t>
      </w:r>
      <w:r>
        <w:rPr>
          <w:rFonts w:cs="Times New Roman"/>
          <w:szCs w:val="24"/>
        </w:rPr>
        <w:t xml:space="preserve"> State Commission for Supervision of Public Procurement Procedure</w:t>
      </w:r>
      <w:r>
        <w:rPr>
          <w:rFonts w:cs="Times New Roman"/>
          <w:lang w:val="en-IE"/>
        </w:rPr>
        <w:t xml:space="preserve"> 2020 annual report is not available yet. </w:t>
      </w:r>
    </w:p>
  </w:footnote>
  <w:footnote w:id="108">
    <w:p w:rsidR="008A17C5" w:rsidRDefault="00402083">
      <w:pPr>
        <w:pStyle w:val="FootnoteText"/>
      </w:pPr>
      <w:r>
        <w:rPr>
          <w:rStyle w:val="FootnoteReference"/>
        </w:rPr>
        <w:footnoteRef/>
      </w:r>
      <w:r>
        <w:t xml:space="preserve"> </w:t>
      </w:r>
      <w:r>
        <w:tab/>
        <w:t xml:space="preserve">Draft proposal of the Anti-Corruption Strategy 2021-2030 p. 49. </w:t>
      </w:r>
    </w:p>
  </w:footnote>
  <w:footnote w:id="109">
    <w:p w:rsidR="008A17C5" w:rsidRDefault="00402083">
      <w:pPr>
        <w:pStyle w:val="FootnoteText"/>
      </w:pPr>
      <w:r>
        <w:rPr>
          <w:rStyle w:val="FootnoteReference"/>
        </w:rPr>
        <w:footnoteRef/>
      </w:r>
      <w:r>
        <w:t xml:space="preserve"> </w:t>
      </w:r>
      <w:r>
        <w:tab/>
      </w:r>
      <w:r>
        <w:rPr>
          <w:rFonts w:cs="Times New Roman"/>
          <w:lang w:val="en-IE"/>
        </w:rPr>
        <w:t xml:space="preserve">CM/Rec(2010)12, paras. 66 and 69. </w:t>
      </w:r>
      <w:r>
        <w:rPr>
          <w:rFonts w:eastAsia="Times New Roman" w:cs="Times New Roman"/>
          <w:lang w:val="en-IE" w:eastAsia="fr-FR"/>
        </w:rPr>
        <w:t xml:space="preserve">According to EU law, </w:t>
      </w:r>
      <w:r>
        <w:rPr>
          <w:rFonts w:cs="Times New Roman"/>
          <w:szCs w:val="24"/>
        </w:rPr>
        <w:t>the r</w:t>
      </w:r>
      <w:r>
        <w:rPr>
          <w:rFonts w:cs="Times New Roman"/>
          <w:szCs w:val="24"/>
        </w:rPr>
        <w:t xml:space="preserve">equirement of independence means that the disciplinary regime regarding judges must display the necessary guarantees in order to prevent that the regime is used as a system of political control of the content of judicial decisions. </w:t>
      </w:r>
      <w:r>
        <w:rPr>
          <w:rFonts w:cs="Times New Roman"/>
          <w:lang w:val="en-IE"/>
        </w:rPr>
        <w:t>E.g. Court of Justice of</w:t>
      </w:r>
      <w:r>
        <w:rPr>
          <w:rFonts w:cs="Times New Roman"/>
          <w:lang w:val="en-IE"/>
        </w:rPr>
        <w:t xml:space="preserve"> the European Union, judgment of 24 June 2019, Commission v. Poland, C-619/18, ECLI:EU:C:2019:531, para. 77, judgment of 25 July 2018, LM, C-216/18 PPU, ECLI:EU:C:2018:586, </w:t>
      </w:r>
      <w:r>
        <w:rPr>
          <w:rFonts w:cs="Times New Roman"/>
        </w:rPr>
        <w:t xml:space="preserve">judgment of 5 July 2016, </w:t>
      </w:r>
      <w:r>
        <w:rPr>
          <w:rFonts w:cs="Times New Roman"/>
          <w:i/>
          <w:iCs/>
        </w:rPr>
        <w:t>Ognyanov,</w:t>
      </w:r>
      <w:r>
        <w:rPr>
          <w:rFonts w:cs="Times New Roman"/>
        </w:rPr>
        <w:t xml:space="preserve"> C-614/14, ECLI:EU:C:2016:514, and order of 12 Fe</w:t>
      </w:r>
      <w:r>
        <w:rPr>
          <w:rFonts w:cs="Times New Roman"/>
        </w:rPr>
        <w:t xml:space="preserve">bruary 2019, </w:t>
      </w:r>
      <w:r>
        <w:rPr>
          <w:rFonts w:cs="Times New Roman"/>
          <w:i/>
          <w:iCs/>
        </w:rPr>
        <w:t>RH</w:t>
      </w:r>
      <w:r>
        <w:rPr>
          <w:rFonts w:cs="Times New Roman"/>
        </w:rPr>
        <w:t>, C-8/19, ECLI:EU:C:2019:110.</w:t>
      </w:r>
    </w:p>
  </w:footnote>
  <w:footnote w:id="110">
    <w:p w:rsidR="008A17C5" w:rsidRDefault="00402083">
      <w:pPr>
        <w:pStyle w:val="FootnoteText"/>
      </w:pPr>
      <w:r>
        <w:rPr>
          <w:rStyle w:val="FootnoteReference"/>
        </w:rPr>
        <w:footnoteRef/>
      </w:r>
      <w:r>
        <w:t xml:space="preserve"> </w:t>
      </w:r>
      <w:r>
        <w:tab/>
        <w:t xml:space="preserve">Draft proposal of the Anti-Corruption Strategy 2021-2030 p. 51. </w:t>
      </w:r>
    </w:p>
  </w:footnote>
  <w:footnote w:id="111">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r>
      <w:r>
        <w:rPr>
          <w:rFonts w:cs="Times New Roman"/>
          <w:lang w:val="en-IE"/>
        </w:rPr>
        <w:t>Protection of Reporters of Irregularities Act.</w:t>
      </w:r>
    </w:p>
  </w:footnote>
  <w:footnote w:id="112">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1</w:t>
      </w:r>
      <w:r>
        <w:rPr>
          <w:rFonts w:cs="Times New Roman"/>
          <w:lang w:val="en-IE"/>
        </w:rPr>
        <w:t xml:space="preserve">3 of these were submitted in 2019 but the cases continued in 2020. </w:t>
      </w:r>
    </w:p>
  </w:footnote>
  <w:footnote w:id="113">
    <w:p w:rsidR="008A17C5" w:rsidRDefault="00402083">
      <w:pPr>
        <w:pStyle w:val="FootnoteText"/>
        <w:rPr>
          <w:rFonts w:cs="Times New Roman"/>
          <w:lang w:val="pl-PL"/>
        </w:rPr>
      </w:pPr>
      <w:r>
        <w:rPr>
          <w:rStyle w:val="FootnoteReference"/>
          <w:rFonts w:cs="Times New Roman"/>
        </w:rPr>
        <w:footnoteRef/>
      </w:r>
      <w:r>
        <w:rPr>
          <w:rFonts w:cs="Times New Roman"/>
          <w:lang w:val="pl-PL"/>
        </w:rPr>
        <w:t xml:space="preserve"> </w:t>
      </w:r>
      <w:r>
        <w:rPr>
          <w:rFonts w:cs="Times New Roman"/>
          <w:lang w:val="pl-PL"/>
        </w:rPr>
        <w:tab/>
        <w:t xml:space="preserve">Telegram, </w:t>
      </w:r>
      <w:r>
        <w:rPr>
          <w:rFonts w:cs="Times New Roman"/>
          <w:i/>
          <w:lang w:val="pl-PL"/>
        </w:rPr>
        <w:t>Ovo je b</w:t>
      </w:r>
      <w:r>
        <w:rPr>
          <w:rFonts w:cs="Times New Roman"/>
          <w:i/>
          <w:lang w:val="pl-PL"/>
        </w:rPr>
        <w:t>omba. Telegram otkriva tajnu snimku: ovako HDZ-ov gradonačelnik Požege diktira koje firme moraju dobiti poslove</w:t>
      </w:r>
      <w:r>
        <w:rPr>
          <w:rFonts w:cs="Times New Roman"/>
          <w:i/>
          <w:iCs/>
          <w:lang w:val="pl-PL"/>
        </w:rPr>
        <w:t xml:space="preserve">, </w:t>
      </w:r>
      <w:r>
        <w:rPr>
          <w:rFonts w:cs="Times New Roman"/>
          <w:lang w:val="pl-PL"/>
        </w:rPr>
        <w:t xml:space="preserve">12 January 2021; </w:t>
      </w:r>
      <w:r>
        <w:rPr>
          <w:rFonts w:cs="Times New Roman"/>
          <w:iCs/>
          <w:lang w:val="pl-PL"/>
        </w:rPr>
        <w:t>Večernji list</w:t>
      </w:r>
      <w:r>
        <w:rPr>
          <w:rFonts w:cs="Times New Roman"/>
          <w:lang w:val="pl-PL"/>
        </w:rPr>
        <w:t xml:space="preserve">, </w:t>
      </w:r>
      <w:r>
        <w:rPr>
          <w:rFonts w:cs="Times New Roman"/>
          <w:i/>
          <w:lang w:val="pl-PL"/>
        </w:rPr>
        <w:t>Dosje o Bandićevoj poskupjeloj Žičari: Laži, aneksi, tužbe ljubavne afere, osvete...</w:t>
      </w:r>
      <w:r>
        <w:rPr>
          <w:rFonts w:cs="Times New Roman"/>
          <w:lang w:val="pl-PL"/>
        </w:rPr>
        <w:t>,</w:t>
      </w:r>
      <w:r>
        <w:rPr>
          <w:rFonts w:cs="Times New Roman"/>
          <w:i/>
          <w:iCs/>
          <w:lang w:val="pl-PL"/>
        </w:rPr>
        <w:t xml:space="preserve"> </w:t>
      </w:r>
      <w:r>
        <w:rPr>
          <w:rFonts w:cs="Times New Roman"/>
          <w:lang w:val="pl-PL"/>
        </w:rPr>
        <w:t xml:space="preserve">29 November 2020; </w:t>
      </w:r>
      <w:r>
        <w:rPr>
          <w:rFonts w:cs="Times New Roman"/>
          <w:iCs/>
          <w:lang w:val="pl-PL"/>
        </w:rPr>
        <w:t>Večernji list</w:t>
      </w:r>
      <w:r>
        <w:rPr>
          <w:rFonts w:cs="Times New Roman"/>
          <w:lang w:val="pl-PL"/>
        </w:rPr>
        <w:t>, USKOK i PNUSKOK provode izvide o sljemenskoj žičari</w:t>
      </w:r>
      <w:r>
        <w:rPr>
          <w:rFonts w:cs="Times New Roman"/>
          <w:i/>
          <w:iCs/>
          <w:lang w:val="pl-PL"/>
        </w:rPr>
        <w:t xml:space="preserve">, </w:t>
      </w:r>
      <w:r>
        <w:rPr>
          <w:rFonts w:cs="Times New Roman"/>
          <w:lang w:val="pl-PL"/>
        </w:rPr>
        <w:t>27 November 2020.</w:t>
      </w:r>
    </w:p>
  </w:footnote>
  <w:footnote w:id="114">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Input from Croatia </w:t>
      </w:r>
      <w:r>
        <w:rPr>
          <w:rFonts w:cs="Times New Roman"/>
          <w:lang w:val="en-IE"/>
        </w:rPr>
        <w:t>for the 2021 Rule of Law Report p. 24.</w:t>
      </w:r>
    </w:p>
  </w:footnote>
  <w:footnote w:id="115">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Information reported by PNUSKOK in the context of the country visit to Croatia.</w:t>
      </w:r>
    </w:p>
  </w:footnote>
  <w:footnote w:id="116">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Recommendation from the</w:t>
      </w:r>
      <w:r>
        <w:rPr>
          <w:rFonts w:cs="Times New Roman"/>
        </w:rPr>
        <w:t xml:space="preserve"> Ministry of the Economy, Entrepreneurship and crafts on the issue of prescribing and providing tender guarantees in the new situation caused by the corona virus outbreak, (</w:t>
      </w:r>
      <w:r>
        <w:rPr>
          <w:rFonts w:cs="Times New Roman"/>
          <w:lang w:val="hr-HR"/>
        </w:rPr>
        <w:t>http://www.javnanabava.hr/default.aspx?id=7221</w:t>
      </w:r>
      <w:r>
        <w:rPr>
          <w:rFonts w:cs="Times New Roman"/>
        </w:rPr>
        <w:t>);</w:t>
      </w:r>
      <w:r>
        <w:rPr>
          <w:rFonts w:cs="Times New Roman"/>
          <w:lang w:val="hr-HR"/>
        </w:rPr>
        <w:t xml:space="preserve"> and </w:t>
      </w:r>
      <w:r>
        <w:rPr>
          <w:rFonts w:cs="Times New Roman"/>
        </w:rPr>
        <w:t>Recommendation from the Minist</w:t>
      </w:r>
      <w:r>
        <w:rPr>
          <w:rFonts w:cs="Times New Roman"/>
        </w:rPr>
        <w:t>ry of the Economy, Entrepreneurship and crafts concerning the implementation of a public binding process in the new situation caused by the coronavirus outbreak,</w:t>
      </w:r>
      <w:r>
        <w:rPr>
          <w:rFonts w:cs="Times New Roman"/>
          <w:lang w:val="hr-HR"/>
        </w:rPr>
        <w:t xml:space="preserve"> (http://www.javnanabava.hr/default.aspx?id=7220</w:t>
      </w:r>
      <w:r>
        <w:rPr>
          <w:rFonts w:cs="Times New Roman"/>
        </w:rPr>
        <w:t xml:space="preserve">). </w:t>
      </w:r>
    </w:p>
  </w:footnote>
  <w:footnote w:id="11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Constitution of the Republic of Croatia,</w:t>
      </w:r>
      <w:r>
        <w:rPr>
          <w:rFonts w:cs="Times New Roman"/>
        </w:rPr>
        <w:t xml:space="preserve"> Art. 38. </w:t>
      </w:r>
    </w:p>
  </w:footnote>
  <w:footnote w:id="11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2020 Rule of Law Report, Country Chapter on the rule of law situation in Croatia.</w:t>
      </w:r>
    </w:p>
  </w:footnote>
  <w:footnote w:id="119">
    <w:p w:rsidR="008A17C5" w:rsidRDefault="00402083">
      <w:pPr>
        <w:pStyle w:val="FootnoteText"/>
        <w:rPr>
          <w:rFonts w:cs="Times New Roman"/>
          <w:lang w:val="en-IE"/>
        </w:rPr>
      </w:pPr>
      <w:r>
        <w:rPr>
          <w:rStyle w:val="FootnoteReference"/>
          <w:rFonts w:cs="Times New Roman"/>
          <w:lang w:val="en-IE"/>
        </w:rPr>
        <w:footnoteRef/>
      </w:r>
      <w:r>
        <w:rPr>
          <w:rFonts w:cs="Times New Roman"/>
          <w:lang w:val="en-IE"/>
        </w:rPr>
        <w:t xml:space="preserve"> </w:t>
      </w:r>
      <w:r>
        <w:rPr>
          <w:rFonts w:cs="Times New Roman"/>
          <w:lang w:val="en-IE"/>
        </w:rPr>
        <w:tab/>
        <w:t>Directive (EU) 2018/1808 amending Directive 2010/13/EU on the coordination of certain provisions laid down by law, regulation or administrative action in Mem</w:t>
      </w:r>
      <w:r>
        <w:rPr>
          <w:rFonts w:cs="Times New Roman"/>
          <w:lang w:val="en-IE"/>
        </w:rPr>
        <w:t>ber States concerning the provision of audiovisual media services (Audiovisual Media Services Directive) in view of changing market realities.</w:t>
      </w:r>
    </w:p>
  </w:footnote>
  <w:footnote w:id="12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Input from Croatia for the 2021 Rule of Law report, p. 28. </w:t>
      </w:r>
    </w:p>
    <w:p w:rsidR="008A17C5" w:rsidRDefault="00402083">
      <w:pPr>
        <w:pStyle w:val="FootnoteText"/>
        <w:rPr>
          <w:rFonts w:cs="Times New Roman"/>
        </w:rPr>
      </w:pPr>
      <w:r>
        <w:rPr>
          <w:rFonts w:cs="Times New Roman"/>
        </w:rPr>
        <w:tab/>
        <w:t>In the 2021 World Press Freedom Index, Croatia ra</w:t>
      </w:r>
      <w:r>
        <w:rPr>
          <w:rFonts w:cs="Times New Roman"/>
        </w:rPr>
        <w:t>nks 56th globally and 22nd among EU Member States (Reporters without Borders, Croatia). The 2021 Media Pluralism Monitor indicates medium risks in the area of fundamental protection, social inclusiveness and political independence, with a high risk for the</w:t>
      </w:r>
      <w:r>
        <w:rPr>
          <w:rFonts w:cs="Times New Roman"/>
        </w:rPr>
        <w:t xml:space="preserve"> market plurality indicator (2021 Media Pluralism Monitor, p. 8).</w:t>
      </w:r>
    </w:p>
  </w:footnote>
  <w:footnote w:id="12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2020 Rule of Law Report, Country Chapter on the rule of law situation in Croatia, p. 9. 2021 Media Pluralism Monitor, p. 10.</w:t>
      </w:r>
    </w:p>
  </w:footnote>
  <w:footnote w:id="122">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Input from Croatia for the 2021 Rule of Law report, p. 28.</w:t>
      </w:r>
    </w:p>
  </w:footnote>
  <w:footnote w:id="12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Contribution from the Centre for Peace Studies and the Croatian Platform for International Citizen Solidarity for the 2021 Rule of Law Report, pp. 3-4; 2020 Rule of Law Report, Country Chapter on the rule of law situation in Croatia, p. 13; Contribution</w:t>
      </w:r>
      <w:r>
        <w:rPr>
          <w:rFonts w:cs="Times New Roman"/>
        </w:rPr>
        <w:t xml:space="preserve"> from the Croatian Journalists' Association and the Trade Union of Croatian Journalists for the 2021 Rule of Law Report, pp. 14-15. To be noted that, until now, three members of the Council have been reappointed by different parliamentary majorities.</w:t>
      </w:r>
    </w:p>
  </w:footnote>
  <w:footnote w:id="124">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w:t>
      </w:r>
      <w:r>
        <w:rPr>
          <w:rFonts w:cs="Times New Roman"/>
        </w:rPr>
        <w:t>put from Croatia for the 2021 Rule of Law report, p. 28.</w:t>
      </w:r>
    </w:p>
  </w:footnote>
  <w:footnote w:id="125">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2021 Media Pluralism Monitor, p. 11.</w:t>
      </w:r>
    </w:p>
  </w:footnote>
  <w:footnote w:id="126">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Input from Croatia for the 2021 Rule of Law report, p. 28.</w:t>
      </w:r>
    </w:p>
  </w:footnote>
  <w:footnote w:id="127">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Input from Croatia for the 2021 Rule of Law report, p. 30.</w:t>
      </w:r>
    </w:p>
  </w:footnote>
  <w:footnote w:id="12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Information received in the cont</w:t>
      </w:r>
      <w:r>
        <w:rPr>
          <w:rFonts w:cs="Times New Roman"/>
        </w:rPr>
        <w:t>ext of the country visit to Croatia; Contribution from the Croatian Journalists' Association and the Trade Union of Croatian Journalists for the 2021 Rule of Law Report, p. 17.</w:t>
      </w:r>
    </w:p>
  </w:footnote>
  <w:footnote w:id="12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2021 Media Pluralism Monitor, p. 10. The Media Pluralism monitor shows a hig</w:t>
      </w:r>
      <w:r>
        <w:rPr>
          <w:rFonts w:cs="Times New Roman"/>
        </w:rPr>
        <w:t xml:space="preserve">h risk for the related indicators on news media concentration, online platforms concentration and competition enforcement and media viability. </w:t>
      </w:r>
    </w:p>
  </w:footnote>
  <w:footnote w:id="130">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Contribution from the Centre for Peace Studies and the Croatian Platform for International Citizen Solidarity</w:t>
      </w:r>
      <w:r>
        <w:rPr>
          <w:rFonts w:cs="Times New Roman"/>
        </w:rPr>
        <w:t xml:space="preserve"> for the 2021 Rule of Law Report, p. 5.</w:t>
      </w:r>
    </w:p>
  </w:footnote>
  <w:footnote w:id="131">
    <w:p w:rsidR="008A17C5" w:rsidRDefault="00402083">
      <w:pPr>
        <w:pStyle w:val="FootnoteText"/>
      </w:pPr>
      <w:r>
        <w:rPr>
          <w:rStyle w:val="FootnoteReference"/>
        </w:rPr>
        <w:footnoteRef/>
      </w:r>
      <w:r>
        <w:t xml:space="preserve"> </w:t>
      </w:r>
      <w:r>
        <w:tab/>
        <w:t xml:space="preserve">2021 Media Pluralism Monitor, pp. 10-11. According to the data assessed in the Media Pluralism Monitor, “[t]op 4 audio-visual media owners accounted for 96 percent of the market in 2019. In 2020, the top 4 </w:t>
      </w:r>
      <w:r>
        <w:t xml:space="preserve">audio-visual media owners accounted for 56 percent of the audience share. The Top 4 radio owners held a 70 percent market share in 2019, and 39 percent of the audience share in 2020. The Top 4 newspaper owners held a 71 percent market share in 2019” (2021 </w:t>
      </w:r>
      <w:r>
        <w:t>Media Pluralism Monitor, p. 10).</w:t>
      </w:r>
    </w:p>
  </w:footnote>
  <w:footnote w:id="132">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2020 Rule of Law Report, Country Chapter on the rule of law situation in Croatia, p. 13.</w:t>
      </w:r>
    </w:p>
  </w:footnote>
  <w:footnote w:id="13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Contribution from the Croatian Journalists' Association and the Trade Union of Croatian Journalists for the 2021 Rule of Law Rep</w:t>
      </w:r>
      <w:r>
        <w:rPr>
          <w:rFonts w:cs="Times New Roman"/>
        </w:rPr>
        <w:t>ort, pp. 16-17. Information received in the context of the country visit to Croatia.</w:t>
      </w:r>
    </w:p>
  </w:footnote>
  <w:footnote w:id="134">
    <w:p w:rsidR="008A17C5" w:rsidRDefault="00402083">
      <w:pPr>
        <w:pStyle w:val="FootnoteText"/>
        <w:rPr>
          <w:lang w:val="en-IE"/>
        </w:rPr>
      </w:pPr>
      <w:r>
        <w:rPr>
          <w:rStyle w:val="FootnoteReference"/>
        </w:rPr>
        <w:footnoteRef/>
      </w:r>
      <w:r>
        <w:t xml:space="preserve"> </w:t>
      </w:r>
      <w:r>
        <w:rPr>
          <w:lang w:val="en-IE"/>
        </w:rPr>
        <w:t xml:space="preserve">The draft for a revised Electronic Media Act intends to extend this to electronic publications (with an obligation of disclosing relevant information online). </w:t>
      </w:r>
    </w:p>
  </w:footnote>
  <w:footnote w:id="135">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2021 M</w:t>
      </w:r>
      <w:r>
        <w:rPr>
          <w:rFonts w:cs="Times New Roman"/>
        </w:rPr>
        <w:t>edia Pluralism Monitor, p. 12.</w:t>
      </w:r>
    </w:p>
  </w:footnote>
  <w:footnote w:id="136">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Contribution from the Croatian Journalists' Association and the Trade Union of Croatian Journalists for the 2021 Rule of Law Report, pp. 16-17. Information received in the context of the country visit to Croatia.</w:t>
      </w:r>
    </w:p>
  </w:footnote>
  <w:footnote w:id="13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Inform</w:t>
      </w:r>
      <w:r>
        <w:rPr>
          <w:rFonts w:cs="Times New Roman"/>
        </w:rPr>
        <w:t>ation provided by the Trade Union of Croatian Journalists in the context of the country visit to Croatia.</w:t>
      </w:r>
    </w:p>
  </w:footnote>
  <w:footnote w:id="13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lang w:val="en-IE"/>
        </w:rPr>
        <w:t>Reporters without Borders, Croatia</w:t>
      </w:r>
      <w:r>
        <w:rPr>
          <w:rFonts w:cs="Times New Roman"/>
        </w:rPr>
        <w:t>; Information received in the context of the country visit to Croatia.</w:t>
      </w:r>
    </w:p>
  </w:footnote>
  <w:footnote w:id="13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Information provided by the Trade Union</w:t>
      </w:r>
      <w:r>
        <w:rPr>
          <w:rFonts w:cs="Times New Roman"/>
        </w:rPr>
        <w:t xml:space="preserve"> of Croatian Journalists in the context of the country visit to Croatia.</w:t>
      </w:r>
    </w:p>
  </w:footnote>
  <w:footnote w:id="14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Input from Croatia for the 2021 Rule of Law report, p. 29; Information provided by the Croatian Ministry of Culture and Media in the context of the country visit to Croatia.</w:t>
      </w:r>
    </w:p>
  </w:footnote>
  <w:footnote w:id="14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202</w:t>
      </w:r>
      <w:r>
        <w:rPr>
          <w:rFonts w:cs="Times New Roman"/>
        </w:rPr>
        <w:t>1 Media Pluralism Monitor, p. 9; 2020 Rule of Law Report, Country Chapter on the rule of law situation in Croatia, p.15; Contribution from the Croatian Journalists' Association and the Trade Union of Croatian Journalists for the 2021 Rule of Law Report, p.</w:t>
      </w:r>
      <w:r>
        <w:rPr>
          <w:rFonts w:cs="Times New Roman"/>
        </w:rPr>
        <w:t xml:space="preserve"> 20.</w:t>
      </w:r>
    </w:p>
  </w:footnote>
  <w:footnote w:id="142">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Act on the Right of Access to Information.</w:t>
      </w:r>
    </w:p>
  </w:footnote>
  <w:footnote w:id="143">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Contribution from the Croatian Journalists' Association and the Trade Union of Croatian Journalists for the 2021 Rule of Law Report, p. 20; Information provided by the Office of the Information Commissi</w:t>
      </w:r>
      <w:r>
        <w:rPr>
          <w:rFonts w:cs="Times New Roman"/>
        </w:rPr>
        <w:t>oner in the context of the country visit to Croatia.</w:t>
      </w:r>
    </w:p>
  </w:footnote>
  <w:footnote w:id="144">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2021 Media Pluralism Monitor, p. 9.</w:t>
      </w:r>
    </w:p>
  </w:footnote>
  <w:footnote w:id="145">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GRECO, Fifth evaluation round - Evaluation Report on Croatia on preventing corruption and promoting integrity in central governments (top executive functions) an</w:t>
      </w:r>
      <w:r>
        <w:rPr>
          <w:rFonts w:cs="Times New Roman"/>
        </w:rPr>
        <w:t>d law enforcement agencies, 24 March 2020, p.19.</w:t>
      </w:r>
    </w:p>
  </w:footnote>
  <w:footnote w:id="146">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 xml:space="preserve">2020 Rule of Law Report, Country Chapter on the rule of law situation in Croatia, p. 14; </w:t>
      </w:r>
      <w:r>
        <w:rPr>
          <w:rFonts w:cs="Times New Roman"/>
          <w:lang w:val="en-IE"/>
        </w:rPr>
        <w:t>Reporters without Borders, Croatia; European Centre for Press and Media Freedom, Platform on mapping media freedom;</w:t>
      </w:r>
      <w:r>
        <w:rPr>
          <w:rFonts w:cs="Times New Roman"/>
        </w:rPr>
        <w:t xml:space="preserve"> 2021 Media Pluralism Monitor, p. 15.</w:t>
      </w:r>
    </w:p>
  </w:footnote>
  <w:footnote w:id="147">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 xml:space="preserve">Information received in the context of the country visit to Croatia; </w:t>
      </w:r>
      <w:r>
        <w:rPr>
          <w:rFonts w:cs="Times New Roman"/>
          <w:lang w:val="en-IE"/>
        </w:rPr>
        <w:t>European Centre for Press and Media Freedom, Platform on mapping media freedom; Council of Europe, Platform to promote the protection of journalis</w:t>
      </w:r>
      <w:r>
        <w:rPr>
          <w:rFonts w:cs="Times New Roman"/>
          <w:lang w:val="en-IE"/>
        </w:rPr>
        <w:t>m and safety of journalists (2021), Croatian President Milanovic verbally attacked HRT journalists, no. 89/2021.</w:t>
      </w:r>
    </w:p>
  </w:footnote>
  <w:footnote w:id="14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lang w:val="en-IE"/>
        </w:rPr>
        <w:t>Council of Europe, Platform to promote the protection of journalism and safety of journalists (2021), President of Croatian Journalists’ Uni</w:t>
      </w:r>
      <w:r>
        <w:rPr>
          <w:rFonts w:cs="Times New Roman"/>
          <w:lang w:val="en-IE"/>
        </w:rPr>
        <w:t>on Maja Sever Threatened with Dismissal, no. 40/2021</w:t>
      </w:r>
      <w:r>
        <w:rPr>
          <w:rFonts w:cs="Times New Roman"/>
        </w:rPr>
        <w:t>; Croatian Journalists' Association, Bačić's persecution of the leaders of the CJA and the Journalists' Union is a new blow to media freedom, 13 March 2021.</w:t>
      </w:r>
    </w:p>
  </w:footnote>
  <w:footnote w:id="149">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r>
      <w:r>
        <w:rPr>
          <w:rFonts w:cs="Times New Roman"/>
          <w:lang w:val="en-IE"/>
        </w:rPr>
        <w:t>Council of Europe, Platform to promote the p</w:t>
      </w:r>
      <w:r>
        <w:rPr>
          <w:rFonts w:cs="Times New Roman"/>
          <w:lang w:val="en-IE"/>
        </w:rPr>
        <w:t>rotection of journalism and safety of journalists. At the time of writing, Croatian authorities had provided replies to three out of the five cases (with the latest two cases having been registered respectively in April and May 2021). Four of the cases fel</w:t>
      </w:r>
      <w:r>
        <w:rPr>
          <w:rFonts w:cs="Times New Roman"/>
          <w:lang w:val="en-IE"/>
        </w:rPr>
        <w:t xml:space="preserve">l into the category “Harassment and intimidation of journalists” and one case was categorised under “Other acts having chilling effects on media freedom”. </w:t>
      </w:r>
    </w:p>
  </w:footnote>
  <w:footnote w:id="150">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Contribution from the Osservatorio Balcani Caucaso Transeuropa for the 2021 Rule of Law Report, p</w:t>
      </w:r>
      <w:r>
        <w:rPr>
          <w:rFonts w:cs="Times New Roman"/>
        </w:rPr>
        <w:t>. 9;</w:t>
      </w:r>
      <w:r>
        <w:rPr>
          <w:rFonts w:cs="Times New Roman"/>
          <w:lang w:val="en-IE"/>
        </w:rPr>
        <w:t xml:space="preserve"> </w:t>
      </w:r>
      <w:r>
        <w:rPr>
          <w:rFonts w:cs="Times New Roman"/>
        </w:rPr>
        <w:t>Information received in the context of the country visit to Croatia.</w:t>
      </w:r>
    </w:p>
  </w:footnote>
  <w:footnote w:id="15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Information received in the context of the country visit to Croatia; Contribution from Human Rights House Zagreb for the 2021 Rule of Law Report, p. 8.</w:t>
      </w:r>
    </w:p>
  </w:footnote>
  <w:footnote w:id="152">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r>
      <w:r>
        <w:rPr>
          <w:rFonts w:cs="Times New Roman"/>
        </w:rPr>
        <w:t xml:space="preserve">Croatian Journalists’ Association, At least 924 lawsuits against journalists and the media currently active in Croatia, 16 April 2021. </w:t>
      </w:r>
    </w:p>
  </w:footnote>
  <w:footnote w:id="153">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Croatian Journalists’ Association, CJA's poll: over 905 lawsuits against journalists and the media currently active i</w:t>
      </w:r>
      <w:r>
        <w:rPr>
          <w:rFonts w:cs="Times New Roman"/>
        </w:rPr>
        <w:t>n Croatia, 1 May 2020.</w:t>
      </w:r>
    </w:p>
  </w:footnote>
  <w:footnote w:id="154">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Croatian Journalists’ Association, At least 924 lawsuits against journalists and the media currently active in Croatia, 16 April 2021. </w:t>
      </w:r>
    </w:p>
  </w:footnote>
  <w:footnote w:id="155">
    <w:p w:rsidR="008A17C5" w:rsidRDefault="00402083">
      <w:pPr>
        <w:pStyle w:val="FootnoteText"/>
        <w:rPr>
          <w:rFonts w:cs="Times New Roman"/>
          <w:lang w:val="en-IE"/>
        </w:rPr>
      </w:pPr>
      <w:r>
        <w:rPr>
          <w:rStyle w:val="FootnoteReference"/>
          <w:rFonts w:cs="Times New Roman"/>
          <w:lang w:val="en-IE"/>
        </w:rPr>
        <w:footnoteRef/>
      </w:r>
      <w:r>
        <w:rPr>
          <w:rFonts w:cs="Times New Roman"/>
          <w:lang w:val="en-IE"/>
        </w:rPr>
        <w:t xml:space="preserve"> </w:t>
      </w:r>
      <w:r>
        <w:rPr>
          <w:rFonts w:cs="Times New Roman"/>
          <w:lang w:val="en-IE"/>
        </w:rPr>
        <w:tab/>
        <w:t xml:space="preserve">E.g. Council of Europe, Platform to promote the protection of journalism and safety of </w:t>
      </w:r>
      <w:r>
        <w:rPr>
          <w:rFonts w:cs="Times New Roman"/>
          <w:lang w:val="en-IE"/>
        </w:rPr>
        <w:t>journalists (2021), Defamation Lawsuit against INDEX d.o.o.,</w:t>
      </w:r>
      <w:r>
        <w:rPr>
          <w:rFonts w:cs="Times New Roman"/>
        </w:rPr>
        <w:t xml:space="preserve"> </w:t>
      </w:r>
      <w:r>
        <w:rPr>
          <w:rFonts w:cs="Times New Roman"/>
          <w:lang w:val="en-IE"/>
        </w:rPr>
        <w:t xml:space="preserve">no. 80/2021; European Centre for Press and Media Freedom, Platform on mapping media freedom; </w:t>
      </w:r>
      <w:r>
        <w:rPr>
          <w:rFonts w:cs="Times New Roman"/>
        </w:rPr>
        <w:t>Croatian Journalists’ Association, At least 924 lawsuits against journalists and the media currently a</w:t>
      </w:r>
      <w:r>
        <w:rPr>
          <w:rFonts w:cs="Times New Roman"/>
        </w:rPr>
        <w:t xml:space="preserve">ctive in Croatia, 16 April 2021. </w:t>
      </w:r>
    </w:p>
  </w:footnote>
  <w:footnote w:id="156">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lang w:val="en-IE"/>
        </w:rPr>
        <w:t xml:space="preserve">Reporters without Borders, Croatia. </w:t>
      </w:r>
      <w:r>
        <w:rPr>
          <w:rFonts w:cs="Times New Roman"/>
        </w:rPr>
        <w:t>Information received in the context of the country visit to Croatia.</w:t>
      </w:r>
    </w:p>
  </w:footnote>
  <w:footnote w:id="157">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2021 Media Pluralism Monitor, p. 9; Croatian Journalists’ Association, At least 924 lawsuits against journalist</w:t>
      </w:r>
      <w:r>
        <w:rPr>
          <w:rFonts w:cs="Times New Roman"/>
        </w:rPr>
        <w:t xml:space="preserve">s and the media currently active in Croatia, 16 April 2021; Information received in the context of the country visit to Croatia. </w:t>
      </w:r>
    </w:p>
  </w:footnote>
  <w:footnote w:id="15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Contribution from the Croatian Journalists' Association and the Trade Union of Croatian Journalists for the 2021 Rule of La</w:t>
      </w:r>
      <w:r>
        <w:rPr>
          <w:rFonts w:cs="Times New Roman"/>
        </w:rPr>
        <w:t>w Report, p. 18; Information received in the context of the country visit to Croatia.</w:t>
      </w:r>
    </w:p>
  </w:footnote>
  <w:footnote w:id="15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It should be noted that the mandate of the Ombudsperson for Gender equality can be terminated if his/her annual report is rejected in the Parliament.</w:t>
      </w:r>
    </w:p>
  </w:footnote>
  <w:footnote w:id="16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eastAsia="Times New Roman" w:cs="Times New Roman"/>
          <w:lang w:eastAsia="fr-FR"/>
        </w:rPr>
        <w:t>In 2019, a tot</w:t>
      </w:r>
      <w:r>
        <w:rPr>
          <w:rFonts w:eastAsia="Times New Roman" w:cs="Times New Roman"/>
          <w:lang w:eastAsia="fr-FR"/>
        </w:rPr>
        <w:t>al of 1 031 public consultations were held, a growing number over the years</w:t>
      </w:r>
      <w:r>
        <w:rPr>
          <w:rFonts w:eastAsia="Times New Roman" w:cs="Times New Roman"/>
          <w:color w:val="000000" w:themeColor="text1"/>
          <w:lang w:eastAsia="fr-FR"/>
        </w:rPr>
        <w:t xml:space="preserve"> (i</w:t>
      </w:r>
      <w:r>
        <w:rPr>
          <w:rFonts w:eastAsia="Times New Roman" w:cs="Times New Roman"/>
          <w:lang w:eastAsia="fr-FR"/>
        </w:rPr>
        <w:t>n 2012, there were only 144 consultations). In 2020, a total of</w:t>
      </w:r>
      <w:r>
        <w:rPr>
          <w:rFonts w:eastAsia="Times New Roman" w:cs="Times New Roman"/>
          <w:color w:val="000000" w:themeColor="text1"/>
          <w:lang w:eastAsia="fr-FR"/>
        </w:rPr>
        <w:t xml:space="preserve"> </w:t>
      </w:r>
      <w:r>
        <w:rPr>
          <w:rFonts w:eastAsia="Times New Roman" w:cs="Times New Roman"/>
          <w:lang w:eastAsia="fr-FR"/>
        </w:rPr>
        <w:t>761 consultations were conducted through the portal, in which 7 211 users participated. A total of 21 798 comments</w:t>
      </w:r>
      <w:r>
        <w:rPr>
          <w:rFonts w:eastAsia="Times New Roman" w:cs="Times New Roman"/>
          <w:lang w:eastAsia="fr-FR"/>
        </w:rPr>
        <w:t xml:space="preserve"> were received, of which, until May 2021, 3 321 comments were accepted, 2 057 were partially accepted, 4 902 were not accepted, 10 519 were noted, and 999 remained unanswered. The average length of consultation in 2020 for all types of regulations was 17 d</w:t>
      </w:r>
      <w:r>
        <w:rPr>
          <w:rFonts w:eastAsia="Times New Roman" w:cs="Times New Roman"/>
          <w:lang w:eastAsia="fr-FR"/>
        </w:rPr>
        <w:t xml:space="preserve">ays. Data from the </w:t>
      </w:r>
      <w:r>
        <w:rPr>
          <w:rFonts w:cs="Times New Roman"/>
          <w:color w:val="000000" w:themeColor="text1"/>
        </w:rPr>
        <w:t>Government Office for Legislation</w:t>
      </w:r>
      <w:r>
        <w:rPr>
          <w:rFonts w:eastAsia="Times New Roman" w:cs="Times New Roman"/>
          <w:lang w:eastAsia="fr-FR"/>
        </w:rPr>
        <w:t>.</w:t>
      </w:r>
    </w:p>
  </w:footnote>
  <w:footnote w:id="16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(https://www.pristupinfo.hr/dokumenti-i-publikacije/izvjesca-o-provedbi-zppi/)</w:t>
      </w:r>
    </w:p>
  </w:footnote>
  <w:footnote w:id="162">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Contribution from Centre for Peace Studies (CMS) and Croatian Platform for International Citizen Solidarity (CROSOL) </w:t>
      </w:r>
      <w:r>
        <w:rPr>
          <w:rFonts w:cs="Times New Roman"/>
        </w:rPr>
        <w:t xml:space="preserve">for the 2021 Rule of Law Report, p. 8. Contribution from the European Civic Forum (GONG) for the 2021 Rule of Law Report, p. 19. Contribution from ILGA-Europe for the 2021 Rule of Law Report, p. 18. Contribution from the European Network of National Human </w:t>
      </w:r>
      <w:r>
        <w:rPr>
          <w:rFonts w:cs="Times New Roman"/>
        </w:rPr>
        <w:t>Rights Institutions for the 2021 Rule of Law Report, p. 82.</w:t>
      </w:r>
    </w:p>
  </w:footnote>
  <w:footnote w:id="163">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color w:val="000000"/>
          <w:shd w:val="clear" w:color="auto" w:fill="FFFFFF"/>
        </w:rPr>
        <w:t>Technical Support Instrument 21HR31, Strengthening the implementation of regulatory impact assessment.</w:t>
      </w:r>
    </w:p>
  </w:footnote>
  <w:footnote w:id="164">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t>Regulatory Policy in Croatia: Implementation is Key, OECD Reviews of Regulatory Reforms</w:t>
      </w:r>
      <w:r>
        <w:rPr>
          <w:rFonts w:cs="Times New Roman"/>
        </w:rPr>
        <w:t>, 2019, p. 105.</w:t>
      </w:r>
    </w:p>
  </w:footnote>
  <w:footnote w:id="165">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Regulatory Impact Assessment Act, Regulation of the Regulatory Impact Assessment Implementation, Regulation on the SME Test Implementation, and Strategy on the Regulatory Impact Assessment.</w:t>
      </w:r>
    </w:p>
  </w:footnote>
  <w:footnote w:id="166">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Regulatory Policy in Croatia: Implementation</w:t>
      </w:r>
      <w:r>
        <w:rPr>
          <w:rFonts w:cs="Times New Roman"/>
        </w:rPr>
        <w:t xml:space="preserve"> is Key, OECD Reviews of Regulatory Reforms, 2019, p.105.</w:t>
      </w:r>
    </w:p>
  </w:footnote>
  <w:footnote w:id="16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Parliament adopted the amendments in April and December 2020. </w:t>
      </w:r>
    </w:p>
  </w:footnote>
  <w:footnote w:id="168">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Judgment of the Constitutional Court of 14 September 2020, U-II-2379/2020.</w:t>
      </w:r>
    </w:p>
  </w:footnote>
  <w:footnote w:id="169">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r>
      <w:r>
        <w:rPr>
          <w:rFonts w:cs="Times New Roman"/>
          <w:lang w:val="en-IE"/>
        </w:rPr>
        <w:t>Input from Croatia for the 2021 Rule of Law Report,</w:t>
      </w:r>
      <w:r>
        <w:rPr>
          <w:rFonts w:cs="Times New Roman"/>
          <w:lang w:val="en-IE"/>
        </w:rPr>
        <w:t xml:space="preserve"> p. 36.</w:t>
      </w:r>
    </w:p>
  </w:footnote>
  <w:footnote w:id="170">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While the share of such laws decreased from about 82% in 2014 to 28% in 2016, it increased again to about 56% in 2019.</w:t>
      </w:r>
    </w:p>
  </w:footnote>
  <w:footnote w:id="171">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Contribution from the ENNHRI for the 2021 Rule of Law Report, p. 78.</w:t>
      </w:r>
    </w:p>
  </w:footnote>
  <w:footnote w:id="172">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The Ombudsperson is, in the performance of the Nati</w:t>
      </w:r>
      <w:r>
        <w:rPr>
          <w:rFonts w:cs="Times New Roman"/>
        </w:rPr>
        <w:t>onal Preventive Mechanism mandate, authorized under Articles 4, 19 and 20 of the Optional Protocol to the Convention against Torture and other Cruel, Inhuman or Degrading Treatment or Punishment (OPCAT) and Article 3 and 5 of the Law on National Preventive</w:t>
      </w:r>
      <w:r>
        <w:rPr>
          <w:rFonts w:cs="Times New Roman"/>
        </w:rPr>
        <w:t xml:space="preserve"> Mechanism to visit places where there are or could be detained persons unannounced and freely access information about their treatment. This practice was reported to Parliament on several occasions, and in the 2019 and 2020 Annual Reports the Ombudsperson</w:t>
      </w:r>
      <w:r>
        <w:rPr>
          <w:rFonts w:cs="Times New Roman"/>
        </w:rPr>
        <w:t xml:space="preserve"> issued a recommendation to the Ministry of Interior to ensure unannounced and free access to data on irregular migrants to the staff of the Office of the Ombudsperson and the National Preventive Mechanism in line with provisions of the OPCAT, Law on Natio</w:t>
      </w:r>
      <w:r>
        <w:rPr>
          <w:rFonts w:cs="Times New Roman"/>
        </w:rPr>
        <w:t>nal Preventive Mechanism and the Ombudsperson Act. Contribution from the ENNHRI for the 2021 Rule of Law Report, p. 78-79.</w:t>
      </w:r>
    </w:p>
  </w:footnote>
  <w:footnote w:id="173">
    <w:p w:rsidR="008A17C5" w:rsidRDefault="00402083">
      <w:pPr>
        <w:pStyle w:val="FootnoteText"/>
        <w:rPr>
          <w:rFonts w:cs="Times New Roman"/>
          <w:lang w:val="en-IE"/>
        </w:rPr>
      </w:pPr>
      <w:r>
        <w:rPr>
          <w:rStyle w:val="FootnoteReference"/>
          <w:rFonts w:cs="Times New Roman"/>
        </w:rPr>
        <w:footnoteRef/>
      </w:r>
      <w:r>
        <w:rPr>
          <w:rFonts w:cs="Times New Roman"/>
        </w:rPr>
        <w:t xml:space="preserve"> The National reports drafted by the French NHRI (CNCDH), the Croatian, Greek, Serbian and Slovenian National Human Rights Institutions, [date – to be updated].  </w:t>
      </w:r>
    </w:p>
  </w:footnote>
  <w:footnote w:id="174">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Asylum Information Database, Country Report Croatia, 2020 update.</w:t>
      </w:r>
    </w:p>
  </w:footnote>
  <w:footnote w:id="175">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2020 Rule of Law Repo</w:t>
      </w:r>
      <w:r>
        <w:rPr>
          <w:rFonts w:cs="Times New Roman"/>
        </w:rPr>
        <w:t>rt, country chapter for Croatia, pp. 16-17.</w:t>
      </w:r>
    </w:p>
  </w:footnote>
  <w:footnote w:id="176">
    <w:p w:rsidR="008A17C5" w:rsidRDefault="00402083">
      <w:pPr>
        <w:pStyle w:val="FootnoteText"/>
        <w:rPr>
          <w:rFonts w:cs="Times New Roman"/>
          <w:lang w:val="en-IE"/>
        </w:rPr>
      </w:pPr>
      <w:r>
        <w:rPr>
          <w:rStyle w:val="FootnoteReference"/>
          <w:rFonts w:cs="Times New Roman"/>
        </w:rPr>
        <w:footnoteRef/>
      </w:r>
      <w:r>
        <w:rPr>
          <w:rFonts w:cs="Times New Roman"/>
        </w:rPr>
        <w:t xml:space="preserve"> </w:t>
      </w:r>
      <w:r>
        <w:rPr>
          <w:rFonts w:cs="Times New Roman"/>
        </w:rPr>
        <w:tab/>
      </w:r>
      <w:r>
        <w:rPr>
          <w:rFonts w:cs="Times New Roman"/>
          <w:lang w:val="en-IE"/>
        </w:rPr>
        <w:t>Input from Croatia for the 2021 Rule of Law Report, p. 39-40.</w:t>
      </w:r>
    </w:p>
  </w:footnote>
  <w:footnote w:id="177">
    <w:p w:rsidR="008A17C5" w:rsidRDefault="00402083">
      <w:pPr>
        <w:pStyle w:val="FootnoteText"/>
        <w:rPr>
          <w:rFonts w:cs="Times New Roman"/>
        </w:rPr>
      </w:pPr>
      <w:r>
        <w:rPr>
          <w:rStyle w:val="FootnoteReference"/>
          <w:rFonts w:cs="Times New Roman"/>
        </w:rPr>
        <w:footnoteRef/>
      </w:r>
      <w:r>
        <w:rPr>
          <w:rFonts w:cs="Times New Roman"/>
        </w:rPr>
        <w:t xml:space="preserve"> </w:t>
      </w:r>
      <w:r>
        <w:rPr>
          <w:rFonts w:cs="Times New Roman"/>
        </w:rPr>
        <w:tab/>
        <w:t>Rating by CIVICUS; ratings are on a five-category scale defined as: open, narrowed, obstructed, repressed and closed.</w:t>
      </w:r>
    </w:p>
  </w:footnote>
  <w:footnote w:id="178">
    <w:p w:rsidR="008A17C5" w:rsidRDefault="00402083">
      <w:pPr>
        <w:pStyle w:val="FootnoteText"/>
        <w:rPr>
          <w:rFonts w:cs="Times New Roman"/>
          <w:lang w:val="en-IE"/>
        </w:rPr>
      </w:pPr>
      <w:r>
        <w:rPr>
          <w:rStyle w:val="FootnoteReference"/>
          <w:rFonts w:cs="Times New Roman"/>
        </w:rPr>
        <w:footnoteRef/>
      </w:r>
      <w:r>
        <w:rPr>
          <w:rFonts w:cs="Times New Roman"/>
          <w:lang w:val="en-IE"/>
        </w:rPr>
        <w:t xml:space="preserve"> </w:t>
      </w:r>
      <w:r>
        <w:rPr>
          <w:rFonts w:cs="Times New Roman"/>
          <w:lang w:val="en-IE"/>
        </w:rPr>
        <w:tab/>
      </w:r>
      <w:r>
        <w:rPr>
          <w:rFonts w:cs="Times New Roman"/>
        </w:rPr>
        <w:t>Contribution from the E</w:t>
      </w:r>
      <w:r>
        <w:rPr>
          <w:rFonts w:cs="Times New Roman"/>
        </w:rPr>
        <w:t>NNHRI for the 2021 Rule of Law Report, p. 80</w:t>
      </w:r>
      <w:r>
        <w:rPr>
          <w:rFonts w:cs="Times New Roman"/>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083" w:rsidRPr="00402083" w:rsidRDefault="00402083" w:rsidP="00402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083" w:rsidRPr="00402083" w:rsidRDefault="00402083" w:rsidP="00402083">
    <w:pPr>
      <w:pStyle w:val="HeaderCoverPage"/>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083" w:rsidRPr="00402083" w:rsidRDefault="00402083" w:rsidP="0040208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C5" w:rsidRDefault="008A17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C5" w:rsidRDefault="008A17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C5" w:rsidRDefault="008A1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15:restartNumberingAfterBreak="0">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C33DDC64-C075-4DBF-AAEF-9754972225BF"/>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1 Rule of Law Report_x000d__x000d__x000d__x000b_The rule of law situation in the European Union"/>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Rule of Law Report_x000d__x000d__x000d__x000b_Country Chapter on the rule of law situation in Croatia"/>
    <w:docVar w:name="LW_TYPE.DOC.CP" w:val="COMMISSION STAFF WORKING DOCUMENT"/>
    <w:docVar w:name="LW_TYPEACTEPRINCIPAL.CP" w:val="COMMUNICATION FROM THE COMMISSION TO THE EUROPEAN PARLIAMENT, THE COUNCIL, THE EUROPEAN ECONOMIC AND SOCIAL COMMITTEE AND THE COMMITTEE OF THE REGIONS"/>
    <w:docVar w:name="LwApiVersions" w:val="LW4CoDe 1.23.0.0; LW 8.0, Build 20210114"/>
  </w:docVars>
  <w:rsids>
    <w:rsidRoot w:val="008A17C5"/>
    <w:rsid w:val="00402083"/>
    <w:rsid w:val="008A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rPr>
      <w:rFonts w:ascii="Times New Roman" w:hAnsi="Times New Roman"/>
      <w:sz w:val="24"/>
      <w:lang w:val="en-GB"/>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en-GB"/>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en-GB"/>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lang w:val="en-I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hnd.hr/eng/bacic-s-persecution-of-the-leaders-of-the-cja-and-the-journalists-union-is-a-new-blow-to-media-freedom" TargetMode="External"/><Relationship Id="rId26" Type="http://schemas.openxmlformats.org/officeDocument/2006/relationships/hyperlink" Target="http://www.vsrh.hr/CustomPages/Static/HRV/Files/2021dok/Priopcenja/Ev%208-2021-3.pdf" TargetMode="External"/><Relationship Id="rId39" Type="http://schemas.openxmlformats.org/officeDocument/2006/relationships/hyperlink" Target="https://www.sukobinteresa.hr/sites/default/files/akti/2021/milan_bandic_p-130-14_presuda_visokog_upravnog_suda_republike_hrvatske.pdf" TargetMode="External"/><Relationship Id="rId21" Type="http://schemas.openxmlformats.org/officeDocument/2006/relationships/hyperlink" Target="https://narodne-novine.nn.hr/clanci/sluzbeni/2015_03_26_545.html" TargetMode="External"/><Relationship Id="rId34" Type="http://schemas.openxmlformats.org/officeDocument/2006/relationships/hyperlink" Target="https://sudovi.hr/sites/default/files/priopcenja/2021-02/Visoki%20upravni%20sud%20Republike%20Hrvatske%20-%20priop%C4%87enje%20za%20javnost%203.%20velja%C4%8De%202021.pdf" TargetMode="External"/><Relationship Id="rId42" Type="http://schemas.openxmlformats.org/officeDocument/2006/relationships/hyperlink" Target="https://www.novilist.hr/novosti/hrvatska/raspisan-novi-poziv-za-predsjednika-vrhovnog-suda/?meta_refresh=true" TargetMode="External"/><Relationship Id="rId47" Type="http://schemas.openxmlformats.org/officeDocument/2006/relationships/hyperlink" Target="https://www.telegram.hr/politika-kriminal/ovo-je-bomba-telegram-otkriva-tajnu-snimku-ovako-hdz-ov-gradonacelnik-pozege-diktira-koje-firme-moraju-dobiti-poslove/" TargetMode="External"/><Relationship Id="rId50" Type="http://schemas.openxmlformats.org/officeDocument/2006/relationships/hyperlink" Target="https://www.vecernji.hr/vijesti/uskok-i-pnuskok-provode-izvide-o-sljemenskoj-zicari-1449498" TargetMode="Externa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sylumineurope.org/wp-content/uploads/2021/05/AIDA-HR_2020update.pdf" TargetMode="External"/><Relationship Id="rId25" Type="http://schemas.openxmlformats.org/officeDocument/2006/relationships/hyperlink" Target="http://www.vsrh.hr/CustomPages/Static/HRV/Files/2021dok/Priopcenja/Ev%207-2021-4.pdf" TargetMode="External"/><Relationship Id="rId33" Type="http://schemas.openxmlformats.org/officeDocument/2006/relationships/hyperlink" Target="https://rm.coe.int/fourth-evaluation-round-corruption-prevention-in-respect-of-members-of/1680a010c3" TargetMode="External"/><Relationship Id="rId38" Type="http://schemas.openxmlformats.org/officeDocument/2006/relationships/hyperlink" Target="https://sljeme.usud.hr/Usud/Praksaw.nsf/C12570D30061CE54C1258615004B58C4/$FILE/U-I-4658-2019%20i%20dr.pdf" TargetMode="External"/><Relationship Id="rId46" Type="http://schemas.openxmlformats.org/officeDocument/2006/relationships/hyperlink" Target="http://www.vsrh.hr/CustomPages/Static/HRV/Files/2021dok/Priopcenja/Prituzba-2021.pdf" TargetMode="External"/><Relationship Id="rId2" Type="http://schemas.openxmlformats.org/officeDocument/2006/relationships/numbering" Target="numbering.xml"/><Relationship Id="rId16" Type="http://schemas.openxmlformats.org/officeDocument/2006/relationships/hyperlink" Target="http://uhs.hr/archives/1544" TargetMode="External"/><Relationship Id="rId20" Type="http://schemas.openxmlformats.org/officeDocument/2006/relationships/hyperlink" Target="https://hnd.hr/eng/cja-survey-at-least-924-lawsuits-against-journalists-and-the-media-currently-active-in-croatia" TargetMode="External"/><Relationship Id="rId29" Type="http://schemas.openxmlformats.org/officeDocument/2006/relationships/hyperlink" Target="http://www.vsrh.hr/EasyWeb.asp?pcpid=560" TargetMode="External"/><Relationship Id="rId41" Type="http://schemas.openxmlformats.org/officeDocument/2006/relationships/hyperlink" Target="https://www.sukobinteresa.hr/sites/default/files/akti/2021/andrej_plenkovic_p-381-18_presuda_visokog_upravnog_suda_usz-2889-20.pdf"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srh.hr/CustomPages/Static/HRV/Files/2021dok/Priopcenja/Ev%205-2021-3.pdf" TargetMode="External"/><Relationship Id="rId32" Type="http://schemas.openxmlformats.org/officeDocument/2006/relationships/hyperlink" Target="https://rm.coe.int/fifth-round-evaluation-report-on-croatia-preventing-corruption-and-pro/16809cff22" TargetMode="External"/><Relationship Id="rId37" Type="http://schemas.openxmlformats.org/officeDocument/2006/relationships/hyperlink" Target="https://sljeme.usud.hr/Usud/Praksaw.nsf/C12570D30061CE54C12586A200446E08/$FILE/U-I-1039-2021%20i%20dr.pdf" TargetMode="External"/><Relationship Id="rId40" Type="http://schemas.openxmlformats.org/officeDocument/2006/relationships/hyperlink" Target="https://www.sukobinteresa.hr/sites/default/files/akti/2019/p-73-18-19-27.pdf" TargetMode="External"/><Relationship Id="rId45" Type="http://schemas.openxmlformats.org/officeDocument/2006/relationships/hyperlink" Target="http://www.vsrh.hr/EasyWeb.asp?pcpid=560" TargetMode="Externa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policies/justice-and-fundamental-rights/upholding-rule-law/rule-law/rule-law-mechanism/2021-rule-law-report-targeted-stakeholder-consultation" TargetMode="External"/><Relationship Id="rId23" Type="http://schemas.openxmlformats.org/officeDocument/2006/relationships/hyperlink" Target="http://www.vsrh.hr/EasyWeb.asp?pcpid=560" TargetMode="External"/><Relationship Id="rId28" Type="http://schemas.openxmlformats.org/officeDocument/2006/relationships/hyperlink" Target="http://www.vsrh.hr/EasyWeb.asp?pcpid=560" TargetMode="External"/><Relationship Id="rId36" Type="http://schemas.openxmlformats.org/officeDocument/2006/relationships/hyperlink" Target="https://sljeme.usud.hr/usud/praksaw.nsf/fOdluka.xsp?action=openDocument&amp;documentId=C12570D30061CE54C125842D00218646" TargetMode="External"/><Relationship Id="rId49" Type="http://schemas.openxmlformats.org/officeDocument/2006/relationships/hyperlink" Target="https://www.vecernji.hr/vijesti/dosje-o-bandicevoj-poskupjeloj-zicari-lazi-aneksi-tuzbe-ljubavne-afere-osvete-1449799"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hnd.hr/eng/cja-s-poll-over-905-lawsuits-against-journalists-and-the-media-currently-active-in-croatia" TargetMode="External"/><Relationship Id="rId31" Type="http://schemas.openxmlformats.org/officeDocument/2006/relationships/hyperlink" Target="https://rm.coe.int/fifth-round-evaluation-report-on-croatia-preventing-corruption-and-pro/16809cff22" TargetMode="External"/><Relationship Id="rId44" Type="http://schemas.openxmlformats.org/officeDocument/2006/relationships/hyperlink" Target="https://www.predsjednik.hr/vijesti/ured-predsjednika-republike-hrvatske-uputio-dopis-drzavnom-sudbenom-vijecu/" TargetMode="External"/><Relationship Id="rId52" Type="http://schemas.openxmlformats.org/officeDocument/2006/relationships/header" Target="header5.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savjetovanja.gov.hr/ECon/MainScreen?entityId=16930" TargetMode="External"/><Relationship Id="rId27" Type="http://schemas.openxmlformats.org/officeDocument/2006/relationships/hyperlink" Target="http://www.vsrh.hr/CustomPages/Static/HRV/Files/2021dok/Priopcenja/Ev%208-2021-4.pdf" TargetMode="External"/><Relationship Id="rId30" Type="http://schemas.openxmlformats.org/officeDocument/2006/relationships/hyperlink" Target="https://www.gong.hr/en/good-governance/anti-corruption-policy/letter-to-greco-plenkovic-undermines-the-fight-aga/" TargetMode="External"/><Relationship Id="rId35" Type="http://schemas.openxmlformats.org/officeDocument/2006/relationships/hyperlink" Target="https://narodne-novine.nn.hr/clanci/sluzbeni/full/2020_09_105_1969.html" TargetMode="External"/><Relationship Id="rId43" Type="http://schemas.openxmlformats.org/officeDocument/2006/relationships/hyperlink" Target="https://www.predsjednik.hr/vijesti/predsjednik-republike-predlozio-je-zlatu-durdevic-za-predsjednicu-vrhovnog-suda-republike-hrvatske/" TargetMode="External"/><Relationship Id="rId48" Type="http://schemas.openxmlformats.org/officeDocument/2006/relationships/hyperlink" Target="http://ennhri.org/rights-at-borders/" TargetMode="External"/><Relationship Id="rId56" Type="http://schemas.openxmlformats.org/officeDocument/2006/relationships/footer" Target="footer6.xml"/><Relationship Id="rId8" Type="http://schemas.openxmlformats.org/officeDocument/2006/relationships/image" Target="media/image1.emf"/><Relationship Id="rId51" Type="http://schemas.openxmlformats.org/officeDocument/2006/relationships/header" Target="header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453E-0335-4D95-A10F-9135CACD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9438</Words>
  <Characters>56345</Characters>
  <Application>Microsoft Office Word</Application>
  <DocSecurity>0</DocSecurity>
  <Lines>840</Lines>
  <Paragraphs>187</Paragraphs>
  <ScaleCrop>false</ScaleCrop>
  <Manager/>
  <Company/>
  <LinksUpToDate>false</LinksUpToDate>
  <CharactersWithSpaces>65596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2021-07-18T10:57:00Z</dcterms:created>
  <dcterms:modified xsi:type="dcterms:W3CDTF">2021-07-19T21:03:00Z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