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28" w:rsidRDefault="003A3A10">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08B1F5-BA2A-4177-9DFF-39529977A5D4" style="width:455.4pt;height:558.9pt">
            <v:imagedata r:id="rId11" o:title=""/>
          </v:shape>
        </w:pict>
      </w:r>
    </w:p>
    <w:bookmarkEnd w:id="0"/>
    <w:p w:rsidR="00323528" w:rsidRDefault="00323528">
      <w:pPr>
        <w:rPr>
          <w:noProof/>
          <w:lang w:eastAsia="en-GB"/>
        </w:rPr>
        <w:sectPr w:rsidR="0032352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323528" w:rsidRDefault="003A3A10">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lang w:eastAsia="en-GB"/>
        </w:rPr>
      </w:pPr>
      <w:r>
        <w:rPr>
          <w:rFonts w:eastAsia="Times New Roman" w:cs="Times New Roman"/>
          <w:b/>
          <w:smallCaps/>
          <w:noProof/>
          <w:u w:val="single"/>
          <w:lang w:eastAsia="en-GB"/>
        </w:rPr>
        <w:lastRenderedPageBreak/>
        <w:t>Abstract</w:t>
      </w:r>
    </w:p>
    <w:p w:rsidR="00323528" w:rsidRDefault="003A3A10">
      <w:pPr>
        <w:pBdr>
          <w:top w:val="single" w:sz="4" w:space="1" w:color="auto"/>
          <w:left w:val="single" w:sz="4" w:space="4" w:color="auto"/>
          <w:bottom w:val="single" w:sz="4" w:space="17" w:color="auto"/>
          <w:right w:val="single" w:sz="4" w:space="4" w:color="auto"/>
        </w:pBdr>
        <w:rPr>
          <w:rFonts w:eastAsia="Times New Roman" w:cs="Times New Roman"/>
          <w:noProof/>
          <w:szCs w:val="20"/>
          <w:lang w:eastAsia="en-GB"/>
        </w:rPr>
      </w:pPr>
      <w:r>
        <w:rPr>
          <w:rFonts w:eastAsia="Times New Roman" w:cs="Times New Roman"/>
          <w:noProof/>
          <w:szCs w:val="20"/>
          <w:lang w:eastAsia="en-GB"/>
        </w:rPr>
        <w:t>Important efforts to improve the independence, integrity, quality and efficiency of the Slovak justice system, already noted in the 2020 Rule of Law Report, have continued. In December 2020, the Parliament adopted an extensive reform of the Constitution an</w:t>
      </w:r>
      <w:r>
        <w:rPr>
          <w:rFonts w:eastAsia="Times New Roman" w:cs="Times New Roman"/>
          <w:noProof/>
          <w:szCs w:val="20"/>
          <w:lang w:eastAsia="en-GB"/>
        </w:rPr>
        <w:t>d implementing legislation regarding the justice system, in particular the Constitutional Court and the Judicial Council. Authorities have also stepped-up efforts to address corruption in the judiciary. A reform of the judicial map is under preparation, in</w:t>
      </w:r>
      <w:r>
        <w:rPr>
          <w:rFonts w:eastAsia="Times New Roman" w:cs="Times New Roman"/>
          <w:noProof/>
          <w:szCs w:val="20"/>
          <w:lang w:eastAsia="en-GB"/>
        </w:rPr>
        <w:t xml:space="preserve">volving the Council of Europe, which has generated a number of comments from stakeholders. A Supreme Administrative Court has been established. </w:t>
      </w:r>
      <w:r>
        <w:rPr>
          <w:rFonts w:eastAsia="Times New Roman" w:cs="Times New Roman"/>
          <w:bCs/>
          <w:noProof/>
          <w:szCs w:val="20"/>
          <w:lang w:eastAsia="en-GB"/>
        </w:rPr>
        <w:t xml:space="preserve">A new </w:t>
      </w:r>
      <w:r>
        <w:rPr>
          <w:rFonts w:eastAsia="Times New Roman" w:cs="Times New Roman"/>
          <w:noProof/>
          <w:szCs w:val="20"/>
          <w:lang w:eastAsia="en-GB"/>
        </w:rPr>
        <w:t>Prosecutor General and a Special Prosecutor were elected through a new transparent procedure. These reform</w:t>
      </w:r>
      <w:r>
        <w:rPr>
          <w:rFonts w:eastAsia="Times New Roman" w:cs="Times New Roman"/>
          <w:noProof/>
          <w:szCs w:val="20"/>
          <w:lang w:eastAsia="en-GB"/>
        </w:rPr>
        <w:t>s reflect efforts to improve the justice system and it is important that their implementation takes into acc</w:t>
      </w:r>
      <w:bookmarkStart w:id="1" w:name="_GoBack"/>
      <w:bookmarkEnd w:id="1"/>
      <w:r>
        <w:rPr>
          <w:rFonts w:eastAsia="Times New Roman" w:cs="Times New Roman"/>
          <w:noProof/>
          <w:szCs w:val="20"/>
          <w:lang w:eastAsia="en-GB"/>
        </w:rPr>
        <w:t>ount the relevant European standards to safeguard judicial independence. This is also important considering that the level of perceived independence</w:t>
      </w:r>
      <w:r>
        <w:rPr>
          <w:rFonts w:eastAsia="Times New Roman" w:cs="Times New Roman"/>
          <w:noProof/>
          <w:szCs w:val="20"/>
          <w:lang w:eastAsia="en-GB"/>
        </w:rPr>
        <w:t xml:space="preserve"> of the judiciary, although it has improved among companies, remains very low among the general public.</w:t>
      </w:r>
    </w:p>
    <w:p w:rsidR="00323528" w:rsidRDefault="003A3A10">
      <w:pPr>
        <w:pBdr>
          <w:top w:val="single" w:sz="4" w:space="1" w:color="auto"/>
          <w:left w:val="single" w:sz="4" w:space="4" w:color="auto"/>
          <w:bottom w:val="single" w:sz="4" w:space="17" w:color="auto"/>
          <w:right w:val="single" w:sz="4" w:space="4" w:color="auto"/>
        </w:pBdr>
        <w:rPr>
          <w:rFonts w:eastAsia="Times New Roman" w:cs="Times New Roman"/>
          <w:noProof/>
          <w:szCs w:val="20"/>
          <w:lang w:eastAsia="en-GB"/>
        </w:rPr>
      </w:pPr>
      <w:r>
        <w:rPr>
          <w:rFonts w:eastAsia="Times New Roman" w:cs="Times New Roman"/>
          <w:noProof/>
          <w:szCs w:val="20"/>
          <w:lang w:eastAsia="en-GB"/>
        </w:rPr>
        <w:t>Slovakia’s efforts to repress corruption have significantly increased and show effect with a number of high-level corruption cases being investigated an</w:t>
      </w:r>
      <w:r>
        <w:rPr>
          <w:rFonts w:eastAsia="Times New Roman" w:cs="Times New Roman"/>
          <w:noProof/>
          <w:szCs w:val="20"/>
          <w:lang w:eastAsia="en-GB"/>
        </w:rPr>
        <w:t>d prosecuted. Leading officials were also selected and appointed, including the Head of the new Whistleblower Protection Office, that will take up its functions as of 1 September 2021. The capacity to detect and investigate corruption offences can still be</w:t>
      </w:r>
      <w:r>
        <w:rPr>
          <w:rFonts w:eastAsia="Times New Roman" w:cs="Times New Roman"/>
          <w:noProof/>
          <w:szCs w:val="20"/>
          <w:lang w:eastAsia="en-GB"/>
        </w:rPr>
        <w:t xml:space="preserve"> strengthened by investments in specialisation, dedicated analytical expertise and integrity trainings for the National Crime Agency. There is slow progress in preventing corruption. Several attempts to regulate lobbying have so far failed. However, draft </w:t>
      </w:r>
      <w:r>
        <w:rPr>
          <w:rFonts w:eastAsia="Times New Roman" w:cs="Times New Roman"/>
          <w:noProof/>
          <w:szCs w:val="20"/>
          <w:lang w:eastAsia="en-GB"/>
        </w:rPr>
        <w:t>legislation on lobbying, ’revolving doors’, asset declarations, conflicts of interest of members of Parliament and public procurement are planned or at the initial stage.</w:t>
      </w:r>
    </w:p>
    <w:p w:rsidR="00323528" w:rsidRDefault="003A3A10">
      <w:pPr>
        <w:pBdr>
          <w:top w:val="single" w:sz="4" w:space="1" w:color="auto"/>
          <w:left w:val="single" w:sz="4" w:space="4" w:color="auto"/>
          <w:bottom w:val="single" w:sz="4" w:space="17" w:color="auto"/>
          <w:right w:val="single" w:sz="4" w:space="4" w:color="auto"/>
        </w:pBdr>
        <w:rPr>
          <w:rFonts w:eastAsia="Times New Roman" w:cs="Times New Roman"/>
          <w:noProof/>
          <w:lang w:eastAsia="en-GB"/>
        </w:rPr>
      </w:pPr>
      <w:r>
        <w:rPr>
          <w:rFonts w:eastAsia="Times New Roman" w:cs="Times New Roman"/>
          <w:noProof/>
          <w:lang w:eastAsia="fr-FR"/>
        </w:rPr>
        <w:t>Slovakia’s Constitution and secondary legislation provide the legal framework for the</w:t>
      </w:r>
      <w:r>
        <w:rPr>
          <w:rFonts w:eastAsia="Times New Roman" w:cs="Times New Roman"/>
          <w:noProof/>
          <w:lang w:eastAsia="fr-FR"/>
        </w:rPr>
        <w:t xml:space="preserve"> protection of freedom of expression, the right to access public information, media pluralism and press rights. A draft law under discussion and scheduled for adoption in September 2021 is expected to introduce a framework to ensure media ownership transpa</w:t>
      </w:r>
      <w:r>
        <w:rPr>
          <w:rFonts w:eastAsia="Times New Roman" w:cs="Times New Roman"/>
          <w:noProof/>
          <w:lang w:eastAsia="fr-FR"/>
        </w:rPr>
        <w:t>rency. The government plans to propose legislation aimed at securing a more favorable environment for journalists have been postponed. The distribution of state advertising remains unregulated. A number of convictions were pronounced with regard to individ</w:t>
      </w:r>
      <w:r>
        <w:rPr>
          <w:rFonts w:eastAsia="Times New Roman" w:cs="Times New Roman"/>
          <w:noProof/>
          <w:lang w:eastAsia="fr-FR"/>
        </w:rPr>
        <w:t>uals involved in the assassination of investigative journalist Ján Kuciak and his fiancée in 2018. The  acquittals of the alleged masterminds of the murder were annulled by the Supreme Court, which returned the case to the Specialised Criminal Court. One c</w:t>
      </w:r>
      <w:r>
        <w:rPr>
          <w:rFonts w:eastAsia="Times New Roman" w:cs="Times New Roman"/>
          <w:noProof/>
          <w:lang w:eastAsia="fr-FR"/>
        </w:rPr>
        <w:t>onviction was confirmed. No news media support scheme was introduced to counter the impact of the COVID-19 pandemic.</w:t>
      </w:r>
    </w:p>
    <w:p w:rsidR="00323528" w:rsidRDefault="003A3A10">
      <w:pPr>
        <w:pBdr>
          <w:top w:val="single" w:sz="4" w:space="1" w:color="auto"/>
          <w:left w:val="single" w:sz="4" w:space="4" w:color="auto"/>
          <w:bottom w:val="single" w:sz="4" w:space="17" w:color="auto"/>
          <w:right w:val="single" w:sz="4" w:space="4" w:color="auto"/>
        </w:pBdr>
        <w:rPr>
          <w:rFonts w:eastAsia="Times New Roman" w:cs="Times New Roman"/>
          <w:noProof/>
          <w:szCs w:val="20"/>
          <w:lang w:eastAsia="en-GB"/>
        </w:rPr>
      </w:pPr>
      <w:r>
        <w:rPr>
          <w:rFonts w:eastAsia="Times New Roman" w:cs="Times New Roman"/>
          <w:noProof/>
          <w:szCs w:val="20"/>
          <w:lang w:eastAsia="en-GB"/>
        </w:rPr>
        <w:t>As concerns the system of checks and balances, the need remains to improve the legislative process by strengthening the involvement of stak</w:t>
      </w:r>
      <w:r>
        <w:rPr>
          <w:rFonts w:eastAsia="Times New Roman" w:cs="Times New Roman"/>
          <w:noProof/>
          <w:szCs w:val="20"/>
          <w:lang w:eastAsia="en-GB"/>
        </w:rPr>
        <w:t>eholders and civil society, as already noted in the 2020 Rule of Law Report. The Constitutional reform of December 2020 explicitely excludes the competence for the Constitutional Court to review Constitutional laws, which triggered the review by the Consti</w:t>
      </w:r>
      <w:r>
        <w:rPr>
          <w:rFonts w:eastAsia="Times New Roman" w:cs="Times New Roman"/>
          <w:noProof/>
          <w:szCs w:val="20"/>
          <w:lang w:eastAsia="en-GB"/>
        </w:rPr>
        <w:t>tutional Court of this provision. The state of emergency related to the COVID-19 pandemic lasted for most of 2020 and ended in May 2021, following a change of legislation in December 2020 to allow its extension. The Public Defender of Rights and the Nation</w:t>
      </w:r>
      <w:r>
        <w:rPr>
          <w:rFonts w:eastAsia="Times New Roman" w:cs="Times New Roman"/>
          <w:noProof/>
          <w:szCs w:val="20"/>
          <w:lang w:eastAsia="en-GB"/>
        </w:rPr>
        <w:t>al Centre for Human Rights took an active role in defending fundamental rights during the pandemic. Concerns grow over financing of certain NGOs, in particular limitations for NGOs working in the field of gender-equality.</w:t>
      </w:r>
      <w:r>
        <w:rPr>
          <w:rFonts w:eastAsia="Times New Roman" w:cs="Times New Roman"/>
          <w:noProof/>
          <w:szCs w:val="20"/>
          <w:lang w:eastAsia="en-GB"/>
        </w:rPr>
        <w:br w:type="page"/>
      </w:r>
    </w:p>
    <w:p w:rsidR="00323528" w:rsidRDefault="003A3A10">
      <w:pPr>
        <w:pStyle w:val="Heading1"/>
        <w:rPr>
          <w:noProof/>
        </w:rPr>
      </w:pPr>
      <w:r>
        <w:rPr>
          <w:noProof/>
        </w:rPr>
        <w:lastRenderedPageBreak/>
        <w:t xml:space="preserve">Justice System </w:t>
      </w:r>
    </w:p>
    <w:p w:rsidR="00323528" w:rsidRDefault="003A3A10">
      <w:pPr>
        <w:rPr>
          <w:rFonts w:eastAsia="Times New Roman" w:cs="Times New Roman"/>
          <w:noProof/>
          <w:szCs w:val="20"/>
          <w:lang w:eastAsia="fr-FR"/>
        </w:rPr>
      </w:pPr>
      <w:r>
        <w:rPr>
          <w:rFonts w:eastAsia="Times New Roman" w:cs="Times New Roman"/>
          <w:noProof/>
          <w:lang w:eastAsia="fr-FR"/>
        </w:rPr>
        <w:t xml:space="preserve">The court system </w:t>
      </w:r>
      <w:r>
        <w:rPr>
          <w:rFonts w:eastAsia="Times New Roman" w:cs="Times New Roman"/>
          <w:noProof/>
          <w:lang w:eastAsia="fr-FR"/>
        </w:rPr>
        <w:t>of the Slovak Republic consists of 54 District Courts, 8 Regional Courts, the Specialised Criminal Court, the Supreme Court, the Supreme Administrative Court and the Slovak Constitutional Court</w:t>
      </w:r>
      <w:r>
        <w:rPr>
          <w:rFonts w:eastAsia="Times New Roman" w:cs="Times New Roman"/>
          <w:noProof/>
          <w:vertAlign w:val="superscript"/>
          <w:lang w:eastAsia="fr-FR"/>
        </w:rPr>
        <w:footnoteReference w:id="2"/>
      </w:r>
      <w:r>
        <w:rPr>
          <w:rFonts w:eastAsia="Times New Roman" w:cs="Times New Roman"/>
          <w:noProof/>
          <w:lang w:eastAsia="fr-FR"/>
        </w:rPr>
        <w:t xml:space="preserve">. The Regional Courts function as the courts of appeal in </w:t>
      </w:r>
      <w:r>
        <w:rPr>
          <w:rFonts w:eastAsia="Times New Roman" w:cs="Times New Roman"/>
          <w:noProof/>
          <w:lang w:eastAsia="fr-FR"/>
        </w:rPr>
        <w:t xml:space="preserve">civil, commercial and criminal cases and at the same time function as the courts of first instance in administrative matters. The Specialised Criminal Court is competent to judge serious criminal matters as enumerated in the relevant provision of the Code </w:t>
      </w:r>
      <w:r>
        <w:rPr>
          <w:rFonts w:eastAsia="Times New Roman" w:cs="Times New Roman"/>
          <w:noProof/>
          <w:lang w:eastAsia="fr-FR"/>
        </w:rPr>
        <w:t>of Criminal Procedure</w:t>
      </w:r>
      <w:r>
        <w:rPr>
          <w:rFonts w:eastAsia="Times New Roman" w:cs="Times New Roman"/>
          <w:noProof/>
          <w:vertAlign w:val="superscript"/>
          <w:lang w:eastAsia="fr-FR"/>
        </w:rPr>
        <w:footnoteReference w:id="3"/>
      </w:r>
      <w:r>
        <w:rPr>
          <w:rFonts w:eastAsia="Times New Roman" w:cs="Times New Roman"/>
          <w:noProof/>
          <w:lang w:eastAsia="fr-FR"/>
        </w:rPr>
        <w:t>. The Judicial Council plays a central role in the self-administration of the judiciary and in the appointment, suspension and dismissal of judges, as well as in maintaining judicial ethics. Half of its members (9 out of 18) are judge</w:t>
      </w:r>
      <w:r>
        <w:rPr>
          <w:rFonts w:eastAsia="Times New Roman" w:cs="Times New Roman"/>
          <w:noProof/>
          <w:lang w:eastAsia="fr-FR"/>
        </w:rPr>
        <w:t>s elected by their peers. Other members of the Judicial Council are appointed by the Slovak President, the Parliament and the Government</w:t>
      </w:r>
      <w:r>
        <w:rPr>
          <w:rFonts w:eastAsia="Times New Roman" w:cs="Times New Roman"/>
          <w:noProof/>
          <w:vertAlign w:val="superscript"/>
          <w:lang w:eastAsia="fr-FR"/>
        </w:rPr>
        <w:footnoteReference w:id="4"/>
      </w:r>
      <w:r>
        <w:rPr>
          <w:rFonts w:eastAsia="Times New Roman" w:cs="Times New Roman"/>
          <w:noProof/>
          <w:lang w:eastAsia="fr-FR"/>
        </w:rPr>
        <w:t>. The public prosecution service of Slovakia is an independent state authority headed by the Prosecutor General</w:t>
      </w:r>
      <w:r>
        <w:rPr>
          <w:rFonts w:eastAsia="Times New Roman" w:cs="Times New Roman"/>
          <w:noProof/>
          <w:vertAlign w:val="superscript"/>
          <w:lang w:eastAsia="fr-FR"/>
        </w:rPr>
        <w:footnoteReference w:id="5"/>
      </w:r>
      <w:r>
        <w:rPr>
          <w:rFonts w:eastAsia="Times New Roman" w:cs="Times New Roman"/>
          <w:noProof/>
          <w:lang w:eastAsia="fr-FR"/>
        </w:rPr>
        <w:t>.</w:t>
      </w:r>
      <w:r>
        <w:rPr>
          <w:rFonts w:eastAsia="Times New Roman" w:cs="Times New Roman"/>
          <w:i/>
          <w:iCs/>
          <w:noProof/>
          <w:lang w:eastAsia="fr-FR"/>
        </w:rPr>
        <w:t xml:space="preserve"> </w:t>
      </w:r>
      <w:r>
        <w:rPr>
          <w:noProof/>
        </w:rPr>
        <w:t>Slova</w:t>
      </w:r>
      <w:r>
        <w:rPr>
          <w:noProof/>
        </w:rPr>
        <w:t xml:space="preserve">kia participates in the European Public Prosecutor’s Office. </w:t>
      </w:r>
      <w:r>
        <w:rPr>
          <w:rFonts w:eastAsia="Times New Roman" w:cs="Times New Roman"/>
          <w:noProof/>
          <w:lang w:eastAsia="fr-FR"/>
        </w:rPr>
        <w:t>The Slovak Bar Association is an independent self-administrative professional organisation</w:t>
      </w:r>
      <w:r>
        <w:rPr>
          <w:rFonts w:eastAsia="Times New Roman" w:cs="Times New Roman"/>
          <w:noProof/>
          <w:vertAlign w:val="superscript"/>
          <w:lang w:eastAsia="fr-FR"/>
        </w:rPr>
        <w:footnoteReference w:id="6"/>
      </w:r>
      <w:r>
        <w:rPr>
          <w:rFonts w:eastAsia="Times New Roman" w:cs="Times New Roman"/>
          <w:noProof/>
          <w:lang w:eastAsia="fr-FR"/>
        </w:rPr>
        <w:t>.</w:t>
      </w:r>
    </w:p>
    <w:p w:rsidR="00323528" w:rsidRDefault="003A3A10">
      <w:pPr>
        <w:pStyle w:val="Heading2"/>
        <w:rPr>
          <w:noProof/>
        </w:rPr>
      </w:pPr>
      <w:r>
        <w:rPr>
          <w:noProof/>
        </w:rPr>
        <w:t xml:space="preserve">Independence </w:t>
      </w:r>
    </w:p>
    <w:p w:rsidR="00323528" w:rsidRDefault="003A3A10">
      <w:pPr>
        <w:rPr>
          <w:rFonts w:eastAsia="Times New Roman" w:cs="Times New Roman"/>
          <w:noProof/>
          <w:szCs w:val="20"/>
          <w:lang w:eastAsia="fr-FR"/>
        </w:rPr>
      </w:pPr>
      <w:r>
        <w:rPr>
          <w:rFonts w:eastAsia="Times New Roman" w:cs="Times New Roman"/>
          <w:b/>
          <w:bCs/>
          <w:noProof/>
          <w:lang w:eastAsia="fr-FR"/>
        </w:rPr>
        <w:t xml:space="preserve">The perceived level of independence of the judiciary has improved among companies but remains low, and very low among the general public. </w:t>
      </w:r>
      <w:r>
        <w:rPr>
          <w:rFonts w:eastAsia="Times New Roman" w:cs="Times New Roman"/>
          <w:noProof/>
          <w:lang w:eastAsia="fr-FR"/>
        </w:rPr>
        <w:t>30% of companies perceive the level of judicial independence as ‘fairly or very good’, which is a considerable improve</w:t>
      </w:r>
      <w:r>
        <w:rPr>
          <w:rFonts w:eastAsia="Times New Roman" w:cs="Times New Roman"/>
          <w:noProof/>
          <w:lang w:eastAsia="fr-FR"/>
        </w:rPr>
        <w:t>ment compared to 2020 (15%)</w:t>
      </w:r>
      <w:r>
        <w:rPr>
          <w:rStyle w:val="FootnoteReference"/>
          <w:rFonts w:eastAsia="Times New Roman" w:cs="Times New Roman"/>
          <w:noProof/>
          <w:lang w:eastAsia="fr-FR"/>
        </w:rPr>
        <w:footnoteReference w:id="7"/>
      </w:r>
      <w:r>
        <w:rPr>
          <w:rFonts w:eastAsia="Times New Roman" w:cs="Times New Roman"/>
          <w:noProof/>
          <w:lang w:eastAsia="fr-FR"/>
        </w:rPr>
        <w:t>. Conversely, there has been no such improvement in the perceptions of independence of courts and judges among the general public, with 28% perceiving judicial independence as ‘fairly or very good’ and 65% as ‘fairly or very bad</w:t>
      </w:r>
      <w:r>
        <w:rPr>
          <w:rFonts w:eastAsia="Times New Roman" w:cs="Times New Roman"/>
          <w:noProof/>
          <w:lang w:eastAsia="fr-FR"/>
        </w:rPr>
        <w:t>’</w:t>
      </w:r>
      <w:r>
        <w:rPr>
          <w:rStyle w:val="FootnoteReference"/>
          <w:rFonts w:eastAsia="Times New Roman" w:cs="Times New Roman"/>
          <w:noProof/>
          <w:lang w:eastAsia="fr-FR"/>
        </w:rPr>
        <w:footnoteReference w:id="8"/>
      </w:r>
      <w:r>
        <w:rPr>
          <w:rFonts w:eastAsia="Times New Roman" w:cs="Times New Roman"/>
          <w:noProof/>
          <w:lang w:eastAsia="fr-FR"/>
        </w:rPr>
        <w:t>, in line with the long-term trend, noted already in the 2020 Rule of Law Report</w:t>
      </w:r>
      <w:r>
        <w:rPr>
          <w:rStyle w:val="FootnoteReference"/>
          <w:rFonts w:eastAsia="Times New Roman" w:cs="Times New Roman"/>
          <w:noProof/>
          <w:lang w:eastAsia="fr-FR"/>
        </w:rPr>
        <w:footnoteReference w:id="9"/>
      </w:r>
      <w:r>
        <w:rPr>
          <w:rFonts w:eastAsia="Times New Roman" w:cs="Times New Roman"/>
          <w:noProof/>
          <w:lang w:eastAsia="fr-FR"/>
        </w:rPr>
        <w:t>. The reasons most often invoked for the perceived lack of independence are related almost equally to interference or pressure from the Government and politicians and interf</w:t>
      </w:r>
      <w:r>
        <w:rPr>
          <w:rFonts w:eastAsia="Times New Roman" w:cs="Times New Roman"/>
          <w:noProof/>
          <w:lang w:eastAsia="fr-FR"/>
        </w:rPr>
        <w:t>erence or pressure from economic or other specific interests.</w:t>
      </w:r>
      <w:r>
        <w:rPr>
          <w:rStyle w:val="FootnoteReference"/>
          <w:rFonts w:eastAsia="Times New Roman" w:cs="Times New Roman"/>
          <w:noProof/>
          <w:lang w:eastAsia="fr-FR"/>
        </w:rPr>
        <w:footnoteReference w:id="10"/>
      </w:r>
      <w:r>
        <w:rPr>
          <w:rFonts w:eastAsia="Times New Roman" w:cs="Times New Roman"/>
          <w:noProof/>
          <w:lang w:eastAsia="fr-FR"/>
        </w:rPr>
        <w:t xml:space="preserve"> </w:t>
      </w:r>
    </w:p>
    <w:p w:rsidR="00323528" w:rsidRDefault="003A3A10">
      <w:pPr>
        <w:rPr>
          <w:noProof/>
        </w:rPr>
      </w:pPr>
      <w:r>
        <w:rPr>
          <w:b/>
          <w:noProof/>
        </w:rPr>
        <w:t>Authorities have taken steps to address allegations of corruption and abuse of office in the judiciary.</w:t>
      </w:r>
      <w:r>
        <w:rPr>
          <w:rFonts w:cs="Times New Roman"/>
          <w:b/>
          <w:noProof/>
        </w:rPr>
        <w:t xml:space="preserve"> </w:t>
      </w:r>
      <w:r>
        <w:rPr>
          <w:noProof/>
        </w:rPr>
        <w:t xml:space="preserve">Following </w:t>
      </w:r>
      <w:r>
        <w:rPr>
          <w:rFonts w:cs="Times New Roman"/>
          <w:noProof/>
        </w:rPr>
        <w:t xml:space="preserve">high-profile </w:t>
      </w:r>
      <w:r>
        <w:rPr>
          <w:noProof/>
        </w:rPr>
        <w:t>police operations referred to in the 2020 Rule of Law Report</w:t>
      </w:r>
      <w:r>
        <w:rPr>
          <w:rStyle w:val="FootnoteReference"/>
          <w:noProof/>
        </w:rPr>
        <w:footnoteReference w:id="11"/>
      </w:r>
      <w:r>
        <w:rPr>
          <w:noProof/>
        </w:rPr>
        <w:t>, fu</w:t>
      </w:r>
      <w:r>
        <w:rPr>
          <w:noProof/>
        </w:rPr>
        <w:t>rther operations were launched</w:t>
      </w:r>
      <w:r>
        <w:rPr>
          <w:rFonts w:cs="Times New Roman"/>
          <w:noProof/>
        </w:rPr>
        <w:t>. Currently, 20 judges</w:t>
      </w:r>
      <w:r>
        <w:rPr>
          <w:rStyle w:val="FootnoteReference"/>
          <w:rFonts w:cs="Times New Roman"/>
          <w:noProof/>
        </w:rPr>
        <w:footnoteReference w:id="12"/>
      </w:r>
      <w:r>
        <w:rPr>
          <w:rFonts w:cs="Times New Roman"/>
          <w:noProof/>
        </w:rPr>
        <w:t xml:space="preserve"> and other representatives of justice and law enforcement</w:t>
      </w:r>
      <w:r>
        <w:rPr>
          <w:rStyle w:val="FootnoteReference"/>
          <w:rFonts w:cs="Times New Roman"/>
          <w:noProof/>
        </w:rPr>
        <w:footnoteReference w:id="13"/>
      </w:r>
      <w:r>
        <w:rPr>
          <w:rFonts w:cs="Times New Roman"/>
          <w:noProof/>
        </w:rPr>
        <w:t xml:space="preserve"> are subject to criminal proceedings linked to serious allegations of corruption and abuse of office, in a stepped-up effort by public authoritie</w:t>
      </w:r>
      <w:r>
        <w:rPr>
          <w:rFonts w:cs="Times New Roman"/>
          <w:noProof/>
        </w:rPr>
        <w:t xml:space="preserve">s to reduce corruption in the </w:t>
      </w:r>
      <w:r>
        <w:rPr>
          <w:rFonts w:eastAsia="Times New Roman" w:cs="Times New Roman"/>
          <w:noProof/>
          <w:lang w:eastAsia="fr-FR"/>
        </w:rPr>
        <w:t>justice</w:t>
      </w:r>
      <w:r>
        <w:rPr>
          <w:rFonts w:cs="Times New Roman"/>
          <w:noProof/>
        </w:rPr>
        <w:t xml:space="preserve"> system. One judge has been convicted. As a result of the criminal prosecution, several judges resigned from their office or were temporarily suspended from their function</w:t>
      </w:r>
      <w:r>
        <w:rPr>
          <w:rStyle w:val="FootnoteReference"/>
          <w:rFonts w:cs="Times New Roman"/>
          <w:noProof/>
        </w:rPr>
        <w:footnoteReference w:id="14"/>
      </w:r>
      <w:r>
        <w:rPr>
          <w:rFonts w:cs="Times New Roman"/>
          <w:noProof/>
        </w:rPr>
        <w:t xml:space="preserve">. </w:t>
      </w:r>
      <w:r>
        <w:rPr>
          <w:rFonts w:eastAsia="Times New Roman" w:cs="Times New Roman"/>
          <w:noProof/>
          <w:lang w:eastAsia="fr-FR"/>
        </w:rPr>
        <w:t>The need to</w:t>
      </w:r>
      <w:r>
        <w:rPr>
          <w:rFonts w:eastAsia="Calibri" w:cs="Times New Roman"/>
          <w:noProof/>
        </w:rPr>
        <w:t xml:space="preserve"> continue addressing specific conc</w:t>
      </w:r>
      <w:r>
        <w:rPr>
          <w:rFonts w:eastAsia="Calibri" w:cs="Times New Roman"/>
          <w:noProof/>
        </w:rPr>
        <w:t>erns on the overall integrity of the justice system has also been raised in the</w:t>
      </w:r>
      <w:r>
        <w:rPr>
          <w:rFonts w:eastAsia="Times New Roman" w:cs="Times New Roman"/>
          <w:noProof/>
          <w:lang w:eastAsia="fr-FR"/>
        </w:rPr>
        <w:t xml:space="preserve"> context of the European Semester, and Slovakia has received a country specific recommendation to this end</w:t>
      </w:r>
      <w:r>
        <w:rPr>
          <w:rStyle w:val="FootnoteReference"/>
          <w:rFonts w:eastAsia="Times New Roman" w:cs="Times New Roman"/>
          <w:noProof/>
          <w:szCs w:val="20"/>
          <w:lang w:eastAsia="fr-FR"/>
        </w:rPr>
        <w:footnoteReference w:id="15"/>
      </w:r>
      <w:r>
        <w:rPr>
          <w:rFonts w:eastAsia="Times New Roman" w:cs="Times New Roman"/>
          <w:noProof/>
          <w:lang w:eastAsia="fr-FR"/>
        </w:rPr>
        <w:t>.</w:t>
      </w:r>
    </w:p>
    <w:p w:rsidR="00323528" w:rsidRDefault="003A3A10">
      <w:pPr>
        <w:rPr>
          <w:noProof/>
        </w:rPr>
      </w:pPr>
      <w:r>
        <w:rPr>
          <w:rFonts w:eastAsia="Times New Roman" w:cs="Times New Roman"/>
          <w:b/>
          <w:bCs/>
          <w:noProof/>
          <w:lang w:eastAsia="fr-FR"/>
        </w:rPr>
        <w:t>A comprehensive judicial reform has been adopted, consisting of amen</w:t>
      </w:r>
      <w:r>
        <w:rPr>
          <w:rFonts w:eastAsia="Times New Roman" w:cs="Times New Roman"/>
          <w:b/>
          <w:bCs/>
          <w:noProof/>
          <w:lang w:eastAsia="fr-FR"/>
        </w:rPr>
        <w:t xml:space="preserve">dments to the Constitution and implementing legislation. </w:t>
      </w:r>
      <w:r>
        <w:rPr>
          <w:rFonts w:eastAsia="Times New Roman" w:cs="Times New Roman"/>
          <w:noProof/>
          <w:lang w:eastAsia="fr-FR"/>
        </w:rPr>
        <w:t>This follows the announcement made by the Government to proceed to a reform with the aim to increase public trust in the rule of law</w:t>
      </w:r>
      <w:r>
        <w:rPr>
          <w:rStyle w:val="FootnoteReference"/>
          <w:rFonts w:eastAsia="Times New Roman" w:cs="Times New Roman"/>
          <w:noProof/>
          <w:lang w:eastAsia="fr-FR"/>
        </w:rPr>
        <w:footnoteReference w:id="16"/>
      </w:r>
      <w:r>
        <w:rPr>
          <w:rFonts w:eastAsia="Times New Roman" w:cs="Times New Roman"/>
          <w:noProof/>
          <w:lang w:eastAsia="fr-FR"/>
        </w:rPr>
        <w:t>, as explained in the 2020 Rule of Law Report</w:t>
      </w:r>
      <w:r>
        <w:rPr>
          <w:rStyle w:val="FootnoteReference"/>
          <w:rFonts w:eastAsia="Times New Roman" w:cs="Times New Roman"/>
          <w:noProof/>
          <w:lang w:eastAsia="fr-FR"/>
        </w:rPr>
        <w:footnoteReference w:id="17"/>
      </w:r>
      <w:r>
        <w:rPr>
          <w:rFonts w:eastAsia="Times New Roman" w:cs="Times New Roman"/>
          <w:noProof/>
          <w:lang w:eastAsia="fr-FR"/>
        </w:rPr>
        <w:t xml:space="preserve">. In December 2020, </w:t>
      </w:r>
      <w:r>
        <w:rPr>
          <w:rFonts w:eastAsia="Times New Roman" w:cs="Times New Roman"/>
          <w:noProof/>
          <w:lang w:eastAsia="fr-FR"/>
        </w:rPr>
        <w:t>the amendment of the Constitution and implementing legislation has been adopted, which notably established a Supreme Administrative Court, introduced changes</w:t>
      </w:r>
      <w:r>
        <w:rPr>
          <w:rStyle w:val="FootnoteReference"/>
          <w:rFonts w:eastAsia="Times New Roman" w:cs="Times New Roman"/>
          <w:noProof/>
          <w:lang w:eastAsia="fr-FR"/>
        </w:rPr>
        <w:footnoteReference w:id="18"/>
      </w:r>
      <w:r>
        <w:rPr>
          <w:rFonts w:eastAsia="Times New Roman" w:cs="Times New Roman"/>
          <w:noProof/>
          <w:lang w:eastAsia="fr-FR"/>
        </w:rPr>
        <w:t xml:space="preserve"> to the selection and appointment of judges of the Constitutional Court and amended several provis</w:t>
      </w:r>
      <w:r>
        <w:rPr>
          <w:rFonts w:eastAsia="Times New Roman" w:cs="Times New Roman"/>
          <w:noProof/>
          <w:lang w:eastAsia="fr-FR"/>
        </w:rPr>
        <w:t>ions regarding the Judicial Council. Stakeholders noted that the reform reflects efforts to improve the justice system and strengthen its independence</w:t>
      </w:r>
      <w:r>
        <w:rPr>
          <w:rStyle w:val="FootnoteReference"/>
          <w:rFonts w:eastAsia="Times New Roman" w:cs="Times New Roman"/>
          <w:noProof/>
          <w:lang w:eastAsia="fr-FR"/>
        </w:rPr>
        <w:footnoteReference w:id="19"/>
      </w:r>
      <w:r>
        <w:rPr>
          <w:rFonts w:eastAsia="Times New Roman" w:cs="Times New Roman"/>
          <w:noProof/>
          <w:lang w:eastAsia="fr-FR"/>
        </w:rPr>
        <w:t xml:space="preserve">, although some parts of the reform met with opposition (see below). </w:t>
      </w:r>
    </w:p>
    <w:p w:rsidR="00323528" w:rsidRDefault="003A3A10">
      <w:pPr>
        <w:rPr>
          <w:rFonts w:eastAsia="Times New Roman" w:cs="Times New Roman"/>
          <w:noProof/>
          <w:szCs w:val="20"/>
          <w:lang w:eastAsia="fr-FR"/>
        </w:rPr>
      </w:pPr>
      <w:r>
        <w:rPr>
          <w:rFonts w:eastAsia="Times New Roman" w:cs="Times New Roman"/>
          <w:b/>
          <w:bCs/>
          <w:noProof/>
          <w:lang w:eastAsia="fr-FR"/>
        </w:rPr>
        <w:t>While some features of the reform c</w:t>
      </w:r>
      <w:r>
        <w:rPr>
          <w:rFonts w:eastAsia="Times New Roman" w:cs="Times New Roman"/>
          <w:b/>
          <w:bCs/>
          <w:noProof/>
          <w:lang w:eastAsia="fr-FR"/>
        </w:rPr>
        <w:t>oncerning the Judicial Council were welcomed, concerns have been raised regarding the regime for the dismissal of its members.</w:t>
      </w:r>
      <w:r>
        <w:rPr>
          <w:rFonts w:eastAsia="Times New Roman" w:cs="Times New Roman"/>
          <w:noProof/>
          <w:lang w:eastAsia="fr-FR"/>
        </w:rPr>
        <w:t xml:space="preserve"> The Constitutional reform introduced changes to the method of appointment of the members of the Judicial Council, extended the Co</w:t>
      </w:r>
      <w:r>
        <w:rPr>
          <w:rFonts w:eastAsia="Times New Roman" w:cs="Times New Roman"/>
          <w:noProof/>
          <w:lang w:eastAsia="fr-FR"/>
        </w:rPr>
        <w:t>uncil’s powers and amended the provision regarding the dismissal of its members</w:t>
      </w:r>
      <w:r>
        <w:rPr>
          <w:rStyle w:val="FootnoteReference"/>
          <w:rFonts w:eastAsia="Times New Roman" w:cs="Times New Roman"/>
          <w:noProof/>
          <w:lang w:eastAsia="fr-FR"/>
        </w:rPr>
        <w:footnoteReference w:id="20"/>
      </w:r>
      <w:r>
        <w:rPr>
          <w:rFonts w:eastAsia="Times New Roman" w:cs="Times New Roman"/>
          <w:noProof/>
          <w:lang w:eastAsia="fr-FR"/>
        </w:rPr>
        <w:t>. The reform has introduced a rule according to which judge-members of the Council would be elected in several electoral districts</w:t>
      </w:r>
      <w:r>
        <w:rPr>
          <w:rStyle w:val="FootnoteReference"/>
          <w:rFonts w:eastAsia="Times New Roman" w:cs="Times New Roman"/>
          <w:noProof/>
          <w:lang w:eastAsia="fr-FR"/>
        </w:rPr>
        <w:footnoteReference w:id="21"/>
      </w:r>
      <w:r>
        <w:rPr>
          <w:rFonts w:eastAsia="Times New Roman" w:cs="Times New Roman"/>
          <w:noProof/>
          <w:lang w:eastAsia="fr-FR"/>
        </w:rPr>
        <w:t>. According to the Government, the aim of the</w:t>
      </w:r>
      <w:r>
        <w:rPr>
          <w:rFonts w:eastAsia="Times New Roman" w:cs="Times New Roman"/>
          <w:noProof/>
          <w:lang w:eastAsia="fr-FR"/>
        </w:rPr>
        <w:t xml:space="preserve"> change is to increase the legitimacy of the Council by ensuring a more diverse representation of judges. This objective is consistent with Council of Europe recommendations</w:t>
      </w:r>
      <w:r>
        <w:rPr>
          <w:rStyle w:val="FootnoteReference"/>
          <w:rFonts w:eastAsia="Times New Roman" w:cs="Times New Roman"/>
          <w:noProof/>
          <w:lang w:eastAsia="fr-FR"/>
        </w:rPr>
        <w:footnoteReference w:id="22"/>
      </w:r>
      <w:r>
        <w:rPr>
          <w:rFonts w:eastAsia="Times New Roman" w:cs="Times New Roman"/>
          <w:noProof/>
          <w:lang w:eastAsia="fr-FR"/>
        </w:rPr>
        <w:t>. The reform also extends the powers of the Judicial Council</w:t>
      </w:r>
      <w:r>
        <w:rPr>
          <w:rStyle w:val="FootnoteReference"/>
          <w:rFonts w:eastAsia="Times New Roman" w:cs="Times New Roman"/>
          <w:noProof/>
          <w:lang w:eastAsia="fr-FR"/>
        </w:rPr>
        <w:footnoteReference w:id="23"/>
      </w:r>
      <w:r>
        <w:rPr>
          <w:rFonts w:eastAsia="Times New Roman" w:cs="Times New Roman"/>
          <w:noProof/>
          <w:lang w:eastAsia="fr-FR"/>
        </w:rPr>
        <w:t>. Furthermore, the re</w:t>
      </w:r>
      <w:r>
        <w:rPr>
          <w:rFonts w:eastAsia="Times New Roman" w:cs="Times New Roman"/>
          <w:noProof/>
          <w:lang w:eastAsia="fr-FR"/>
        </w:rPr>
        <w:t>form explicitly provides that members of the Judicial Council, including its President and Vice-President, may be dismissed at any point by the authority which appointed them</w:t>
      </w:r>
      <w:r>
        <w:rPr>
          <w:rStyle w:val="FootnoteReference"/>
          <w:rFonts w:eastAsia="Times New Roman" w:cs="Times New Roman"/>
          <w:noProof/>
          <w:lang w:eastAsia="fr-FR"/>
        </w:rPr>
        <w:footnoteReference w:id="24"/>
      </w:r>
      <w:r>
        <w:rPr>
          <w:rFonts w:eastAsia="Times New Roman" w:cs="Times New Roman"/>
          <w:noProof/>
          <w:lang w:eastAsia="fr-FR"/>
        </w:rPr>
        <w:t>. According to the Explanatory memorandum</w:t>
      </w:r>
      <w:r>
        <w:rPr>
          <w:rStyle w:val="FootnoteReference"/>
          <w:rFonts w:eastAsia="Times New Roman" w:cs="Times New Roman"/>
          <w:noProof/>
          <w:lang w:eastAsia="fr-FR"/>
        </w:rPr>
        <w:footnoteReference w:id="25"/>
      </w:r>
      <w:r>
        <w:rPr>
          <w:rFonts w:eastAsia="Times New Roman" w:cs="Times New Roman"/>
          <w:noProof/>
          <w:lang w:eastAsia="fr-FR"/>
        </w:rPr>
        <w:t>, this implies that such a proposal for</w:t>
      </w:r>
      <w:r>
        <w:rPr>
          <w:rFonts w:eastAsia="Times New Roman" w:cs="Times New Roman"/>
          <w:noProof/>
          <w:lang w:eastAsia="fr-FR"/>
        </w:rPr>
        <w:t xml:space="preserve"> dismissal is not required to be based on any legally prescribed criteria</w:t>
      </w:r>
      <w:r>
        <w:rPr>
          <w:rStyle w:val="FootnoteReference"/>
          <w:rFonts w:eastAsia="Times New Roman" w:cs="Times New Roman"/>
          <w:noProof/>
          <w:lang w:eastAsia="fr-FR"/>
        </w:rPr>
        <w:footnoteReference w:id="26"/>
      </w:r>
      <w:r>
        <w:rPr>
          <w:rFonts w:eastAsia="Times New Roman" w:cs="Times New Roman"/>
          <w:noProof/>
          <w:lang w:eastAsia="fr-FR"/>
        </w:rPr>
        <w:t xml:space="preserve"> and, instead, may be motivated by a lack of trust</w:t>
      </w:r>
      <w:r>
        <w:rPr>
          <w:rStyle w:val="FootnoteReference"/>
          <w:rFonts w:eastAsia="Times New Roman" w:cs="Times New Roman"/>
          <w:noProof/>
          <w:lang w:eastAsia="fr-FR"/>
        </w:rPr>
        <w:footnoteReference w:id="27"/>
      </w:r>
      <w:r>
        <w:rPr>
          <w:rFonts w:eastAsia="Times New Roman" w:cs="Times New Roman"/>
          <w:noProof/>
          <w:lang w:eastAsia="fr-FR"/>
        </w:rPr>
        <w:t>. Stakeholders have expressed concerns that this aspect of the reform may have an adverse impact on the independence of the Judicia</w:t>
      </w:r>
      <w:r>
        <w:rPr>
          <w:rFonts w:eastAsia="Times New Roman" w:cs="Times New Roman"/>
          <w:noProof/>
          <w:lang w:eastAsia="fr-FR"/>
        </w:rPr>
        <w:t>l Council</w:t>
      </w:r>
      <w:r>
        <w:rPr>
          <w:rStyle w:val="FootnoteReference"/>
          <w:rFonts w:eastAsia="Times New Roman" w:cs="Times New Roman"/>
          <w:noProof/>
          <w:lang w:eastAsia="fr-FR"/>
        </w:rPr>
        <w:footnoteReference w:id="28"/>
      </w:r>
      <w:r>
        <w:rPr>
          <w:rFonts w:eastAsia="Times New Roman" w:cs="Times New Roman"/>
          <w:noProof/>
          <w:lang w:eastAsia="fr-FR"/>
        </w:rPr>
        <w:t xml:space="preserve">. These concerns have also been reflected in an opinion of the Bureau of the </w:t>
      </w:r>
      <w:r>
        <w:rPr>
          <w:noProof/>
        </w:rPr>
        <w:t xml:space="preserve">Consultative Council of European Judges (CCJE) </w:t>
      </w:r>
      <w:r>
        <w:rPr>
          <w:rFonts w:eastAsia="Times New Roman" w:cs="Times New Roman"/>
          <w:noProof/>
          <w:lang w:eastAsia="fr-FR"/>
        </w:rPr>
        <w:t>of 9 December 2020</w:t>
      </w:r>
      <w:r>
        <w:rPr>
          <w:rStyle w:val="FootnoteReference"/>
          <w:rFonts w:eastAsia="Times New Roman" w:cs="Times New Roman"/>
          <w:noProof/>
          <w:lang w:eastAsia="fr-FR"/>
        </w:rPr>
        <w:footnoteReference w:id="29"/>
      </w:r>
      <w:r>
        <w:rPr>
          <w:rFonts w:eastAsia="Times New Roman" w:cs="Times New Roman"/>
          <w:noProof/>
          <w:lang w:eastAsia="fr-FR"/>
        </w:rPr>
        <w:t>.</w:t>
      </w:r>
      <w:r>
        <w:rPr>
          <w:rStyle w:val="FootnoteReference"/>
          <w:rFonts w:eastAsia="Times New Roman" w:cs="Times New Roman"/>
          <w:noProof/>
          <w:lang w:eastAsia="fr-FR"/>
        </w:rPr>
        <w:t xml:space="preserve"> </w:t>
      </w:r>
      <w:r>
        <w:rPr>
          <w:rFonts w:eastAsia="Times New Roman" w:cs="Times New Roman"/>
          <w:noProof/>
          <w:lang w:eastAsia="fr-FR"/>
        </w:rPr>
        <w:t>A dismissed member may contest the decision of dismissal in front of the Constitutional Court lodging</w:t>
      </w:r>
      <w:r>
        <w:rPr>
          <w:rFonts w:eastAsia="Times New Roman" w:cs="Times New Roman"/>
          <w:noProof/>
          <w:lang w:eastAsia="fr-FR"/>
        </w:rPr>
        <w:t xml:space="preserve"> a constitutional complaint</w:t>
      </w:r>
      <w:r>
        <w:rPr>
          <w:rStyle w:val="FootnoteReference"/>
          <w:rFonts w:eastAsia="Times New Roman" w:cs="Times New Roman"/>
          <w:noProof/>
          <w:lang w:eastAsia="fr-FR"/>
        </w:rPr>
        <w:footnoteReference w:id="30"/>
      </w:r>
      <w:r>
        <w:rPr>
          <w:rFonts w:eastAsia="Times New Roman" w:cs="Times New Roman"/>
          <w:noProof/>
          <w:lang w:eastAsia="fr-FR"/>
        </w:rPr>
        <w:t>. It is important that the Judicial Council be subject to sufficient guarantees as regards its independence in relation to the legislature and the executive including as regards the way its Members can be dismissed</w:t>
      </w:r>
      <w:r>
        <w:rPr>
          <w:rStyle w:val="FootnoteReference"/>
          <w:rFonts w:eastAsia="Times New Roman" w:cs="Times New Roman"/>
          <w:noProof/>
          <w:lang w:eastAsia="fr-FR"/>
        </w:rPr>
        <w:footnoteReference w:id="31"/>
      </w:r>
      <w:r>
        <w:rPr>
          <w:rFonts w:eastAsia="Times New Roman" w:cs="Times New Roman"/>
          <w:noProof/>
          <w:lang w:eastAsia="fr-FR"/>
        </w:rPr>
        <w:t xml:space="preserve">. </w:t>
      </w:r>
    </w:p>
    <w:p w:rsidR="00323528" w:rsidRDefault="003A3A10">
      <w:pPr>
        <w:rPr>
          <w:rFonts w:eastAsia="Times New Roman" w:cs="Times New Roman"/>
          <w:noProof/>
          <w:szCs w:val="20"/>
          <w:lang w:eastAsia="fr-FR"/>
        </w:rPr>
      </w:pPr>
      <w:r>
        <w:rPr>
          <w:rFonts w:eastAsia="Times New Roman" w:cs="Times New Roman"/>
          <w:b/>
          <w:noProof/>
          <w:szCs w:val="20"/>
          <w:lang w:eastAsia="fr-FR"/>
        </w:rPr>
        <w:t>A retireme</w:t>
      </w:r>
      <w:r>
        <w:rPr>
          <w:rFonts w:eastAsia="Times New Roman" w:cs="Times New Roman"/>
          <w:b/>
          <w:noProof/>
          <w:szCs w:val="20"/>
          <w:lang w:eastAsia="fr-FR"/>
        </w:rPr>
        <w:t>nt age of judges has been introduced to provide certainty</w:t>
      </w:r>
      <w:r>
        <w:rPr>
          <w:rStyle w:val="FootnoteReference"/>
          <w:rFonts w:eastAsia="Times New Roman" w:cs="Times New Roman"/>
          <w:b/>
          <w:noProof/>
          <w:szCs w:val="20"/>
          <w:lang w:eastAsia="fr-FR"/>
        </w:rPr>
        <w:footnoteReference w:id="32"/>
      </w:r>
      <w:r>
        <w:rPr>
          <w:rFonts w:eastAsia="Times New Roman" w:cs="Times New Roman"/>
          <w:b/>
          <w:noProof/>
          <w:szCs w:val="20"/>
          <w:lang w:eastAsia="fr-FR"/>
        </w:rPr>
        <w:t>.</w:t>
      </w:r>
      <w:r>
        <w:rPr>
          <w:rFonts w:eastAsia="Times New Roman" w:cs="Times New Roman"/>
          <w:noProof/>
          <w:szCs w:val="20"/>
          <w:lang w:eastAsia="fr-FR"/>
        </w:rPr>
        <w:t xml:space="preserve"> Following amendments to the Constitution, judges retire upon reaching the age of 67</w:t>
      </w:r>
      <w:r>
        <w:rPr>
          <w:rStyle w:val="FootnoteReference"/>
          <w:rFonts w:eastAsia="Times New Roman" w:cs="Times New Roman"/>
          <w:noProof/>
          <w:szCs w:val="20"/>
          <w:lang w:eastAsia="fr-FR"/>
        </w:rPr>
        <w:footnoteReference w:id="33"/>
      </w:r>
      <w:r>
        <w:rPr>
          <w:rFonts w:eastAsia="Times New Roman" w:cs="Times New Roman"/>
          <w:noProof/>
          <w:szCs w:val="20"/>
          <w:lang w:eastAsia="fr-FR"/>
        </w:rPr>
        <w:t>. As the reform eliminated the Judicial Council’s discretionary power to propose a retirement of a judge over th</w:t>
      </w:r>
      <w:r>
        <w:rPr>
          <w:rFonts w:eastAsia="Times New Roman" w:cs="Times New Roman"/>
          <w:noProof/>
          <w:szCs w:val="20"/>
          <w:lang w:eastAsia="fr-FR"/>
        </w:rPr>
        <w:t xml:space="preserve">e age of 65, the amendment enhances legal certainty and stability for judges. </w:t>
      </w:r>
    </w:p>
    <w:p w:rsidR="00323528" w:rsidRDefault="003A3A10">
      <w:pPr>
        <w:rPr>
          <w:noProof/>
          <w:sz w:val="22"/>
        </w:rPr>
      </w:pPr>
      <w:r>
        <w:rPr>
          <w:rFonts w:eastAsia="Times New Roman" w:cs="Times New Roman"/>
          <w:b/>
          <w:noProof/>
          <w:lang w:eastAsia="fr-FR"/>
        </w:rPr>
        <w:t xml:space="preserve">The criminal liability regime of judges has been amended. </w:t>
      </w:r>
      <w:r>
        <w:rPr>
          <w:rFonts w:eastAsia="Times New Roman" w:cs="Times New Roman"/>
          <w:noProof/>
          <w:lang w:eastAsia="fr-FR"/>
        </w:rPr>
        <w:t>In October 2020, an amendment of the Criminal Code was adopted</w:t>
      </w:r>
      <w:r>
        <w:rPr>
          <w:rStyle w:val="FootnoteReference"/>
          <w:rFonts w:eastAsia="Times New Roman" w:cs="Times New Roman"/>
          <w:noProof/>
          <w:szCs w:val="20"/>
          <w:lang w:eastAsia="fr-FR"/>
        </w:rPr>
        <w:footnoteReference w:id="34"/>
      </w:r>
      <w:r>
        <w:rPr>
          <w:rFonts w:eastAsia="Times New Roman" w:cs="Times New Roman"/>
          <w:noProof/>
          <w:lang w:eastAsia="fr-FR"/>
        </w:rPr>
        <w:t xml:space="preserve">, followed by an amendment of the Constitutional </w:t>
      </w:r>
      <w:r>
        <w:rPr>
          <w:rFonts w:eastAsia="Times New Roman" w:cs="Times New Roman"/>
          <w:noProof/>
          <w:lang w:eastAsia="fr-FR"/>
        </w:rPr>
        <w:t>provision on immunity of judges. According to the reforms,</w:t>
      </w:r>
      <w:r>
        <w:rPr>
          <w:rFonts w:eastAsia="Times New Roman" w:cs="Times New Roman"/>
          <w:b/>
          <w:noProof/>
          <w:lang w:eastAsia="fr-FR"/>
        </w:rPr>
        <w:t xml:space="preserve"> </w:t>
      </w:r>
      <w:r>
        <w:rPr>
          <w:rFonts w:eastAsia="Times New Roman" w:cs="Times New Roman"/>
          <w:noProof/>
          <w:lang w:eastAsia="fr-FR"/>
        </w:rPr>
        <w:t>judges</w:t>
      </w:r>
      <w:r>
        <w:rPr>
          <w:rStyle w:val="FootnoteReference"/>
          <w:rFonts w:eastAsia="Times New Roman" w:cs="Times New Roman"/>
          <w:noProof/>
          <w:lang w:eastAsia="fr-FR"/>
        </w:rPr>
        <w:footnoteReference w:id="35"/>
      </w:r>
      <w:r>
        <w:rPr>
          <w:rFonts w:eastAsia="Times New Roman" w:cs="Times New Roman"/>
          <w:noProof/>
          <w:lang w:eastAsia="fr-FR"/>
        </w:rPr>
        <w:t xml:space="preserve"> may not be held accountable for an opinion expressed during their decision-making, unless the decision-making of a judge can be qualified as a crime</w:t>
      </w:r>
      <w:r>
        <w:rPr>
          <w:rStyle w:val="FootnoteReference"/>
          <w:rFonts w:eastAsia="Times New Roman" w:cs="Times New Roman"/>
          <w:noProof/>
          <w:lang w:eastAsia="fr-FR"/>
        </w:rPr>
        <w:footnoteReference w:id="36"/>
      </w:r>
      <w:r>
        <w:rPr>
          <w:rFonts w:eastAsia="Times New Roman" w:cs="Times New Roman"/>
          <w:noProof/>
          <w:lang w:eastAsia="fr-FR"/>
        </w:rPr>
        <w:t>. In that respect, a new crime of ‘abuse</w:t>
      </w:r>
      <w:r>
        <w:rPr>
          <w:rFonts w:eastAsia="Times New Roman" w:cs="Times New Roman"/>
          <w:noProof/>
          <w:lang w:eastAsia="fr-FR"/>
        </w:rPr>
        <w:t xml:space="preserve"> of law’ was introduced into the Criminal Code</w:t>
      </w:r>
      <w:r>
        <w:rPr>
          <w:rStyle w:val="FootnoteReference"/>
          <w:rFonts w:eastAsia="Times New Roman" w:cs="Times New Roman"/>
          <w:noProof/>
          <w:lang w:eastAsia="fr-FR"/>
        </w:rPr>
        <w:footnoteReference w:id="37"/>
      </w:r>
      <w:r>
        <w:rPr>
          <w:rFonts w:eastAsia="Times New Roman" w:cs="Times New Roman"/>
          <w:noProof/>
          <w:lang w:eastAsia="fr-FR"/>
        </w:rPr>
        <w:t>. According to this provision, judges</w:t>
      </w:r>
      <w:r>
        <w:rPr>
          <w:rStyle w:val="FootnoteReference"/>
          <w:rFonts w:eastAsia="Times New Roman" w:cs="Times New Roman"/>
          <w:noProof/>
          <w:lang w:eastAsia="fr-FR"/>
        </w:rPr>
        <w:footnoteReference w:id="38"/>
      </w:r>
      <w:r>
        <w:rPr>
          <w:rFonts w:eastAsia="Times New Roman" w:cs="Times New Roman"/>
          <w:noProof/>
          <w:lang w:eastAsia="fr-FR"/>
        </w:rPr>
        <w:t xml:space="preserve"> may be prosecuted for any arbitrary decision causing damage to or bestowing a favour on another person</w:t>
      </w:r>
      <w:r>
        <w:rPr>
          <w:rStyle w:val="FootnoteReference"/>
          <w:rFonts w:eastAsia="Times New Roman" w:cs="Times New Roman"/>
          <w:noProof/>
          <w:lang w:eastAsia="fr-FR"/>
        </w:rPr>
        <w:footnoteReference w:id="39"/>
      </w:r>
      <w:r>
        <w:rPr>
          <w:rFonts w:eastAsia="Times New Roman" w:cs="Times New Roman"/>
          <w:noProof/>
          <w:lang w:eastAsia="fr-FR"/>
        </w:rPr>
        <w:t>. The provision is envisaged to be used only in cases of manifestly</w:t>
      </w:r>
      <w:r>
        <w:rPr>
          <w:rFonts w:eastAsia="Times New Roman" w:cs="Times New Roman"/>
          <w:noProof/>
          <w:lang w:eastAsia="fr-FR"/>
        </w:rPr>
        <w:t xml:space="preserve"> arbitrary and incorrect decisions</w:t>
      </w:r>
      <w:r>
        <w:rPr>
          <w:rStyle w:val="FootnoteReference"/>
          <w:rFonts w:eastAsia="Times New Roman" w:cs="Times New Roman"/>
          <w:noProof/>
          <w:lang w:eastAsia="fr-FR"/>
        </w:rPr>
        <w:footnoteReference w:id="40"/>
      </w:r>
      <w:r>
        <w:rPr>
          <w:rFonts w:eastAsia="Times New Roman" w:cs="Times New Roman"/>
          <w:noProof/>
          <w:lang w:eastAsia="fr-FR"/>
        </w:rPr>
        <w:t>. Criminal proceedings are led by the Special Prosecutor and a Specialised Criminal Court. A judge accused of this crime is entitled to request the Judicial Council to express its disagreement to the continuation of the c</w:t>
      </w:r>
      <w:r>
        <w:rPr>
          <w:rFonts w:eastAsia="Times New Roman" w:cs="Times New Roman"/>
          <w:noProof/>
          <w:lang w:eastAsia="fr-FR"/>
        </w:rPr>
        <w:t>riminal prosecution, which, if granted, is tantamount to the termination of the proceedings</w:t>
      </w:r>
      <w:r>
        <w:rPr>
          <w:rStyle w:val="FootnoteReference"/>
          <w:rFonts w:eastAsia="Times New Roman" w:cs="Times New Roman"/>
          <w:noProof/>
          <w:lang w:eastAsia="fr-FR"/>
        </w:rPr>
        <w:footnoteReference w:id="41"/>
      </w:r>
      <w:r>
        <w:rPr>
          <w:rFonts w:eastAsia="Times New Roman" w:cs="Times New Roman"/>
          <w:noProof/>
          <w:lang w:eastAsia="fr-FR"/>
        </w:rPr>
        <w:t>. The prosecuted judge may be temporarily suspended only by a decision of a disciplinary court</w:t>
      </w:r>
      <w:r>
        <w:rPr>
          <w:rStyle w:val="FootnoteReference"/>
          <w:rFonts w:eastAsia="Times New Roman" w:cs="Times New Roman"/>
          <w:noProof/>
          <w:lang w:eastAsia="fr-FR"/>
        </w:rPr>
        <w:footnoteReference w:id="42"/>
      </w:r>
      <w:r>
        <w:rPr>
          <w:rFonts w:eastAsia="Times New Roman" w:cs="Times New Roman"/>
          <w:noProof/>
          <w:lang w:eastAsia="fr-FR"/>
        </w:rPr>
        <w:t>. Whereas European standards provide that subjecting judges to liabil</w:t>
      </w:r>
      <w:r>
        <w:rPr>
          <w:rFonts w:eastAsia="Times New Roman" w:cs="Times New Roman"/>
          <w:noProof/>
          <w:lang w:eastAsia="fr-FR"/>
        </w:rPr>
        <w:t>ity for their decision making may occur in exceptional cases of malice and gross negligence, any regime governing liability of judges must provide clearly and precisely the necessary guarantees to prevent any risk of it being used as instrument of pressure</w:t>
      </w:r>
      <w:r>
        <w:rPr>
          <w:rFonts w:eastAsia="Times New Roman" w:cs="Times New Roman"/>
          <w:noProof/>
          <w:lang w:eastAsia="fr-FR"/>
        </w:rPr>
        <w:t xml:space="preserve"> on judicial activity or a system of political control of the content of judicial decisions</w:t>
      </w:r>
      <w:r>
        <w:rPr>
          <w:rStyle w:val="FootnoteReference"/>
          <w:rFonts w:eastAsia="Times New Roman" w:cs="Times New Roman"/>
          <w:noProof/>
          <w:lang w:eastAsia="fr-FR"/>
        </w:rPr>
        <w:footnoteReference w:id="43"/>
      </w:r>
      <w:r>
        <w:rPr>
          <w:rFonts w:eastAsia="Times New Roman" w:cs="Times New Roman"/>
          <w:noProof/>
          <w:lang w:eastAsia="fr-FR"/>
        </w:rPr>
        <w:t>. It is important that when applying these new provisions in practice, these safeguards are duly observed in line with European standards. Certain stakeholders have</w:t>
      </w:r>
      <w:r>
        <w:rPr>
          <w:rFonts w:eastAsia="Times New Roman" w:cs="Times New Roman"/>
          <w:noProof/>
          <w:lang w:eastAsia="fr-FR"/>
        </w:rPr>
        <w:t xml:space="preserve"> expressed concerns about the constitutional amendment on the immunity of judges, noting that its broad and vague wording could entail a potential risk of abuse</w:t>
      </w:r>
      <w:r>
        <w:rPr>
          <w:rStyle w:val="FootnoteReference"/>
          <w:rFonts w:eastAsia="Times New Roman" w:cs="Times New Roman"/>
          <w:noProof/>
          <w:lang w:eastAsia="fr-FR"/>
        </w:rPr>
        <w:footnoteReference w:id="44"/>
      </w:r>
      <w:r>
        <w:rPr>
          <w:rFonts w:eastAsia="Times New Roman" w:cs="Times New Roman"/>
          <w:noProof/>
          <w:lang w:eastAsia="fr-FR"/>
        </w:rPr>
        <w:t>.</w:t>
      </w:r>
    </w:p>
    <w:p w:rsidR="00323528" w:rsidRDefault="003A3A10">
      <w:pPr>
        <w:rPr>
          <w:rFonts w:eastAsia="Times New Roman" w:cs="Times New Roman"/>
          <w:noProof/>
          <w:lang w:eastAsia="fr-FR"/>
        </w:rPr>
      </w:pPr>
      <w:r>
        <w:rPr>
          <w:rFonts w:eastAsia="Times New Roman" w:cs="Times New Roman"/>
          <w:b/>
          <w:noProof/>
          <w:lang w:eastAsia="fr-FR"/>
        </w:rPr>
        <w:t>The recent constitutional reform amended the regime of transfer of judges without their conse</w:t>
      </w:r>
      <w:r>
        <w:rPr>
          <w:rFonts w:eastAsia="Times New Roman" w:cs="Times New Roman"/>
          <w:b/>
          <w:noProof/>
          <w:lang w:eastAsia="fr-FR"/>
        </w:rPr>
        <w:t xml:space="preserve">nt. </w:t>
      </w:r>
      <w:r>
        <w:rPr>
          <w:rFonts w:eastAsia="Times New Roman" w:cs="Times New Roman"/>
          <w:noProof/>
          <w:lang w:eastAsia="fr-FR"/>
        </w:rPr>
        <w:t>The recent constitutional reform provided that judges may be transferred, without their consent, in case of a change of the judicial map, if such transfer is necessary to secure the proper functioning of the judiciary</w:t>
      </w:r>
      <w:r>
        <w:rPr>
          <w:rStyle w:val="FootnoteReference"/>
          <w:rFonts w:eastAsia="Times New Roman" w:cs="Times New Roman"/>
          <w:noProof/>
          <w:lang w:eastAsia="fr-FR"/>
        </w:rPr>
        <w:footnoteReference w:id="45"/>
      </w:r>
      <w:r>
        <w:rPr>
          <w:rFonts w:eastAsia="Times New Roman" w:cs="Times New Roman"/>
          <w:noProof/>
          <w:lang w:eastAsia="fr-FR"/>
        </w:rPr>
        <w:t xml:space="preserve">. Pursuant to European standards, </w:t>
      </w:r>
      <w:r>
        <w:rPr>
          <w:rFonts w:eastAsia="Times New Roman" w:cs="Times New Roman"/>
          <w:noProof/>
          <w:lang w:eastAsia="fr-FR"/>
        </w:rPr>
        <w:t>it is possible, in exceptional cases, to transfer judges without their consent, provided that sufficient safeguards are in place. These safeguards include a requirement that the judge may not be transferred to a court of a lower instance and that he or she</w:t>
      </w:r>
      <w:r>
        <w:rPr>
          <w:rFonts w:eastAsia="Times New Roman" w:cs="Times New Roman"/>
          <w:noProof/>
          <w:lang w:eastAsia="fr-FR"/>
        </w:rPr>
        <w:t xml:space="preserve"> has recourse to judicial review</w:t>
      </w:r>
      <w:r>
        <w:rPr>
          <w:rStyle w:val="FootnoteReference"/>
          <w:rFonts w:eastAsia="Times New Roman" w:cs="Times New Roman"/>
          <w:noProof/>
          <w:lang w:eastAsia="fr-FR"/>
        </w:rPr>
        <w:footnoteReference w:id="46"/>
      </w:r>
      <w:r>
        <w:rPr>
          <w:rFonts w:eastAsia="Times New Roman" w:cs="Times New Roman"/>
          <w:noProof/>
          <w:lang w:eastAsia="fr-FR"/>
        </w:rPr>
        <w:t>. It will be important that the implementing law</w:t>
      </w:r>
      <w:r>
        <w:rPr>
          <w:rStyle w:val="FootnoteReference"/>
          <w:rFonts w:eastAsia="Times New Roman" w:cs="Times New Roman"/>
          <w:noProof/>
          <w:lang w:eastAsia="fr-FR"/>
        </w:rPr>
        <w:footnoteReference w:id="47"/>
      </w:r>
      <w:r>
        <w:rPr>
          <w:rFonts w:eastAsia="Times New Roman" w:cs="Times New Roman"/>
          <w:noProof/>
          <w:lang w:eastAsia="fr-FR"/>
        </w:rPr>
        <w:t xml:space="preserve"> provides sufficient safeguards taking into account European standards.</w:t>
      </w:r>
    </w:p>
    <w:p w:rsidR="00323528" w:rsidRDefault="003A3A10">
      <w:pPr>
        <w:rPr>
          <w:rFonts w:eastAsia="Times New Roman" w:cs="Times New Roman"/>
          <w:noProof/>
          <w:lang w:eastAsia="fr-FR"/>
        </w:rPr>
      </w:pPr>
      <w:r>
        <w:rPr>
          <w:rFonts w:eastAsia="Times New Roman" w:cs="Times New Roman"/>
          <w:b/>
          <w:bCs/>
          <w:noProof/>
          <w:lang w:eastAsia="fr-FR"/>
        </w:rPr>
        <w:t xml:space="preserve">A draft reform of the judicial map is being prepared. </w:t>
      </w:r>
      <w:r>
        <w:rPr>
          <w:rFonts w:eastAsia="Times New Roman" w:cs="Times New Roman"/>
          <w:noProof/>
          <w:lang w:eastAsia="fr-FR"/>
        </w:rPr>
        <w:t>Following recommendations from a report from the</w:t>
      </w:r>
      <w:r>
        <w:rPr>
          <w:rFonts w:eastAsia="Times New Roman" w:cs="Times New Roman"/>
          <w:noProof/>
          <w:lang w:eastAsia="fr-FR"/>
        </w:rPr>
        <w:t xml:space="preserve"> Council of Europe Commission for the Efficiency of Justice (CEPEJ)</w:t>
      </w:r>
      <w:r>
        <w:rPr>
          <w:rStyle w:val="FootnoteReference"/>
          <w:rFonts w:eastAsia="Times New Roman" w:cs="Times New Roman"/>
          <w:noProof/>
          <w:lang w:eastAsia="fr-FR"/>
        </w:rPr>
        <w:footnoteReference w:id="48"/>
      </w:r>
      <w:r>
        <w:rPr>
          <w:rFonts w:eastAsia="Times New Roman" w:cs="Times New Roman"/>
          <w:noProof/>
          <w:lang w:eastAsia="fr-FR"/>
        </w:rPr>
        <w:t xml:space="preserve"> to, among others, reflect on enhancing specialisation of judges and on a change of the judicial map, in particular on decreasing the number of district courts</w:t>
      </w:r>
      <w:r>
        <w:rPr>
          <w:rStyle w:val="FootnoteReference"/>
          <w:rFonts w:eastAsia="Times New Roman" w:cs="Times New Roman"/>
          <w:noProof/>
          <w:lang w:eastAsia="fr-FR"/>
        </w:rPr>
        <w:footnoteReference w:id="49"/>
      </w:r>
      <w:r>
        <w:rPr>
          <w:rFonts w:eastAsia="Times New Roman" w:cs="Times New Roman"/>
          <w:noProof/>
          <w:lang w:eastAsia="fr-FR"/>
        </w:rPr>
        <w:t>, the Ministry of Justice ha</w:t>
      </w:r>
      <w:r>
        <w:rPr>
          <w:rFonts w:eastAsia="Times New Roman" w:cs="Times New Roman"/>
          <w:noProof/>
          <w:lang w:eastAsia="fr-FR"/>
        </w:rPr>
        <w:t>s organised working groups, composed among others of judges, to prepare a draft reform of the judicial map</w:t>
      </w:r>
      <w:r>
        <w:rPr>
          <w:rStyle w:val="FootnoteReference"/>
          <w:rFonts w:eastAsia="Times New Roman" w:cs="Times New Roman"/>
          <w:noProof/>
          <w:lang w:eastAsia="fr-FR"/>
        </w:rPr>
        <w:footnoteReference w:id="50"/>
      </w:r>
      <w:r>
        <w:rPr>
          <w:rFonts w:eastAsia="Times New Roman" w:cs="Times New Roman"/>
          <w:noProof/>
          <w:lang w:eastAsia="fr-FR"/>
        </w:rPr>
        <w:t>. The aim of the reform is to increase public trust in the judiciary and improve its efficiency and quality</w:t>
      </w:r>
      <w:r>
        <w:rPr>
          <w:rStyle w:val="FootnoteReference"/>
          <w:rFonts w:eastAsia="Times New Roman" w:cs="Times New Roman"/>
          <w:noProof/>
          <w:lang w:eastAsia="fr-FR"/>
        </w:rPr>
        <w:footnoteReference w:id="51"/>
      </w:r>
      <w:r>
        <w:rPr>
          <w:rFonts w:eastAsia="Times New Roman" w:cs="Times New Roman"/>
          <w:noProof/>
          <w:lang w:eastAsia="fr-FR"/>
        </w:rPr>
        <w:t xml:space="preserve">. The draft map is based on the need for </w:t>
      </w:r>
      <w:r>
        <w:rPr>
          <w:rFonts w:eastAsia="Times New Roman" w:cs="Times New Roman"/>
          <w:noProof/>
          <w:lang w:eastAsia="fr-FR"/>
        </w:rPr>
        <w:t>a sufficient size of courts in order to allow for greater specialisation of judges at each court, for respect for cultural and regional identities and for accessibility of justice</w:t>
      </w:r>
      <w:r>
        <w:rPr>
          <w:rStyle w:val="FootnoteReference"/>
          <w:rFonts w:eastAsia="Times New Roman" w:cs="Times New Roman"/>
          <w:noProof/>
          <w:lang w:eastAsia="fr-FR"/>
        </w:rPr>
        <w:footnoteReference w:id="52"/>
      </w:r>
      <w:r>
        <w:rPr>
          <w:rFonts w:eastAsia="Times New Roman" w:cs="Times New Roman"/>
          <w:noProof/>
          <w:lang w:eastAsia="fr-FR"/>
        </w:rPr>
        <w:t>. Based on data regarding the workload of current courts, as well as infrast</w:t>
      </w:r>
      <w:r>
        <w:rPr>
          <w:rFonts w:eastAsia="Times New Roman" w:cs="Times New Roman"/>
          <w:noProof/>
          <w:lang w:eastAsia="fr-FR"/>
        </w:rPr>
        <w:t>ructure and courts’ accessibility, the draft reform proposed to decrease the number of district and regional courts from 54 to 30 and from 8 to 3</w:t>
      </w:r>
      <w:r>
        <w:rPr>
          <w:rStyle w:val="FootnoteReference"/>
          <w:rFonts w:eastAsia="Times New Roman" w:cs="Times New Roman"/>
          <w:noProof/>
          <w:lang w:eastAsia="fr-FR"/>
        </w:rPr>
        <w:footnoteReference w:id="53"/>
      </w:r>
      <w:r>
        <w:rPr>
          <w:rFonts w:eastAsia="Times New Roman" w:cs="Times New Roman"/>
          <w:noProof/>
          <w:lang w:eastAsia="fr-FR"/>
        </w:rPr>
        <w:t xml:space="preserve"> respectively. Judges, judicial staff and cases from the dissolved courts would be moved to remaining successo</w:t>
      </w:r>
      <w:r>
        <w:rPr>
          <w:rFonts w:eastAsia="Times New Roman" w:cs="Times New Roman"/>
          <w:noProof/>
          <w:lang w:eastAsia="fr-FR"/>
        </w:rPr>
        <w:t>r courts</w:t>
      </w:r>
      <w:r>
        <w:rPr>
          <w:rStyle w:val="FootnoteReference"/>
          <w:rFonts w:eastAsia="Times New Roman" w:cs="Times New Roman"/>
          <w:noProof/>
          <w:lang w:eastAsia="fr-FR"/>
        </w:rPr>
        <w:footnoteReference w:id="54"/>
      </w:r>
      <w:r>
        <w:rPr>
          <w:rFonts w:eastAsia="Times New Roman" w:cs="Times New Roman"/>
          <w:noProof/>
          <w:lang w:eastAsia="fr-FR"/>
        </w:rPr>
        <w:t>. From September to December 2020, the draft reform was presented to judges and other stakeholders; discussions continued in January and February 2021</w:t>
      </w:r>
      <w:r>
        <w:rPr>
          <w:rStyle w:val="FootnoteReference"/>
          <w:rFonts w:eastAsia="Times New Roman" w:cs="Times New Roman"/>
          <w:noProof/>
          <w:lang w:eastAsia="fr-FR"/>
        </w:rPr>
        <w:footnoteReference w:id="55"/>
      </w:r>
      <w:r>
        <w:rPr>
          <w:rFonts w:eastAsia="Times New Roman" w:cs="Times New Roman"/>
          <w:noProof/>
          <w:lang w:eastAsia="fr-FR"/>
        </w:rPr>
        <w:t>. The Ministry of Justice is now evaluating the comments submitted in the public consultation, w</w:t>
      </w:r>
      <w:r>
        <w:rPr>
          <w:rFonts w:eastAsia="Times New Roman" w:cs="Times New Roman"/>
          <w:noProof/>
          <w:lang w:eastAsia="fr-FR"/>
        </w:rPr>
        <w:t>hich took place from mid-December 2020 until the beginning of March 2021</w:t>
      </w:r>
      <w:r>
        <w:rPr>
          <w:rStyle w:val="FootnoteReference"/>
          <w:rFonts w:eastAsia="Times New Roman" w:cs="Times New Roman"/>
          <w:noProof/>
          <w:lang w:eastAsia="fr-FR"/>
        </w:rPr>
        <w:footnoteReference w:id="56"/>
      </w:r>
      <w:r>
        <w:rPr>
          <w:rFonts w:eastAsia="Times New Roman" w:cs="Times New Roman"/>
          <w:noProof/>
          <w:lang w:eastAsia="fr-FR"/>
        </w:rPr>
        <w:t>. The draft reform was met with criticism from several stakeholders, who reported among others on a lack of involvement during the drafting process and expressed concerns regarding th</w:t>
      </w:r>
      <w:r>
        <w:rPr>
          <w:rFonts w:eastAsia="Times New Roman" w:cs="Times New Roman"/>
          <w:noProof/>
          <w:lang w:eastAsia="fr-FR"/>
        </w:rPr>
        <w:t>e accessibility of courts</w:t>
      </w:r>
      <w:r>
        <w:rPr>
          <w:rStyle w:val="FootnoteReference"/>
          <w:rFonts w:eastAsia="Times New Roman" w:cs="Times New Roman"/>
          <w:noProof/>
          <w:lang w:eastAsia="fr-FR"/>
        </w:rPr>
        <w:footnoteReference w:id="57"/>
      </w:r>
      <w:r>
        <w:rPr>
          <w:rFonts w:eastAsia="Times New Roman" w:cs="Times New Roman"/>
          <w:noProof/>
          <w:lang w:eastAsia="fr-FR"/>
        </w:rPr>
        <w:t>. Following the criticism, the Ministry of Justice decided to continue consultations with judges until September 2021, after which a redrafted proposal for a reform of the judicial map will again be subject to a public consultatio</w:t>
      </w:r>
      <w:r>
        <w:rPr>
          <w:rFonts w:eastAsia="Times New Roman" w:cs="Times New Roman"/>
          <w:noProof/>
          <w:lang w:eastAsia="fr-FR"/>
        </w:rPr>
        <w:t>n procedure</w:t>
      </w:r>
      <w:r>
        <w:rPr>
          <w:rStyle w:val="FootnoteReference"/>
          <w:rFonts w:eastAsia="Times New Roman" w:cs="Times New Roman"/>
          <w:noProof/>
          <w:lang w:eastAsia="fr-FR"/>
        </w:rPr>
        <w:footnoteReference w:id="58"/>
      </w:r>
      <w:r>
        <w:rPr>
          <w:rFonts w:eastAsia="Times New Roman" w:cs="Times New Roman"/>
          <w:noProof/>
          <w:lang w:eastAsia="fr-FR"/>
        </w:rPr>
        <w:t>. As the reform will involve transfer of judges</w:t>
      </w:r>
      <w:r>
        <w:rPr>
          <w:rStyle w:val="FootnoteReference"/>
          <w:rFonts w:eastAsia="Times New Roman" w:cs="Times New Roman"/>
          <w:noProof/>
          <w:lang w:eastAsia="fr-FR"/>
        </w:rPr>
        <w:footnoteReference w:id="59"/>
      </w:r>
      <w:r>
        <w:rPr>
          <w:rFonts w:eastAsia="Times New Roman" w:cs="Times New Roman"/>
          <w:noProof/>
          <w:lang w:eastAsia="fr-FR"/>
        </w:rPr>
        <w:t>, it should be noted that according to European standards, judges who would be transferred in the course of the reform without their consent should benefit from procedural safeguards in order to e</w:t>
      </w:r>
      <w:r>
        <w:rPr>
          <w:rFonts w:eastAsia="Times New Roman" w:cs="Times New Roman"/>
          <w:noProof/>
          <w:lang w:eastAsia="fr-FR"/>
        </w:rPr>
        <w:t>nsure that their independence is not jeopardised (see above). A CEPEJ review of the draft reform concluded that the methodology used is in line with its guidelines and its assessment report and highlighted the evidence-based approach adopted by Slovak auth</w:t>
      </w:r>
      <w:r>
        <w:rPr>
          <w:rFonts w:eastAsia="Times New Roman" w:cs="Times New Roman"/>
          <w:noProof/>
          <w:lang w:eastAsia="fr-FR"/>
        </w:rPr>
        <w:t>orities</w:t>
      </w:r>
      <w:r>
        <w:rPr>
          <w:rStyle w:val="FootnoteReference"/>
          <w:rFonts w:eastAsia="Times New Roman" w:cs="Times New Roman"/>
          <w:noProof/>
          <w:lang w:eastAsia="fr-FR"/>
        </w:rPr>
        <w:footnoteReference w:id="60"/>
      </w:r>
      <w:r>
        <w:rPr>
          <w:rFonts w:eastAsia="Times New Roman" w:cs="Times New Roman"/>
          <w:noProof/>
          <w:lang w:eastAsia="fr-FR"/>
        </w:rPr>
        <w:t>. It also issued further recommendations, such as reflecting on a postponement of its implementation</w:t>
      </w:r>
      <w:r>
        <w:rPr>
          <w:rStyle w:val="FootnoteReference"/>
          <w:rFonts w:eastAsia="Times New Roman" w:cs="Times New Roman"/>
          <w:noProof/>
          <w:lang w:eastAsia="fr-FR"/>
        </w:rPr>
        <w:footnoteReference w:id="61"/>
      </w:r>
      <w:r>
        <w:rPr>
          <w:rFonts w:eastAsia="Times New Roman" w:cs="Times New Roman"/>
          <w:noProof/>
          <w:lang w:eastAsia="fr-FR"/>
        </w:rPr>
        <w:t xml:space="preserve">. </w:t>
      </w:r>
    </w:p>
    <w:p w:rsidR="00323528" w:rsidRDefault="003A3A10">
      <w:pPr>
        <w:pStyle w:val="Heading2"/>
        <w:rPr>
          <w:b w:val="0"/>
          <w:noProof/>
        </w:rPr>
      </w:pPr>
      <w:r>
        <w:rPr>
          <w:noProof/>
          <w:lang w:eastAsia="fr-FR"/>
        </w:rPr>
        <w:t xml:space="preserve">A Supreme </w:t>
      </w:r>
      <w:r>
        <w:rPr>
          <w:noProof/>
        </w:rPr>
        <w:t>Administrative Court has been established and administrative courts are envisaged</w:t>
      </w:r>
      <w:r>
        <w:rPr>
          <w:rStyle w:val="FootnoteReference"/>
          <w:noProof/>
        </w:rPr>
        <w:footnoteReference w:id="62"/>
      </w:r>
      <w:r>
        <w:rPr>
          <w:noProof/>
        </w:rPr>
        <w:t>.</w:t>
      </w:r>
      <w:r>
        <w:rPr>
          <w:b w:val="0"/>
          <w:noProof/>
        </w:rPr>
        <w:t xml:space="preserve"> The new system of administrative courts is expected to consist of three administrative courts, the establishment of which is proposed by the draft reform of the judicial map, and a Supreme Administrative Court, which has been created by the recent Constit</w:t>
      </w:r>
      <w:r>
        <w:rPr>
          <w:b w:val="0"/>
          <w:noProof/>
        </w:rPr>
        <w:t>utional reform and is expected to become operational in August 2021</w:t>
      </w:r>
      <w:r>
        <w:rPr>
          <w:rStyle w:val="FootnoteReference"/>
          <w:b w:val="0"/>
          <w:noProof/>
        </w:rPr>
        <w:footnoteReference w:id="63"/>
      </w:r>
      <w:r>
        <w:rPr>
          <w:b w:val="0"/>
          <w:noProof/>
        </w:rPr>
        <w:t>. The President of the Supreme Administrative Court was appointed</w:t>
      </w:r>
      <w:r>
        <w:rPr>
          <w:rStyle w:val="FootnoteReference"/>
          <w:b w:val="0"/>
          <w:noProof/>
        </w:rPr>
        <w:footnoteReference w:id="64"/>
      </w:r>
      <w:r>
        <w:rPr>
          <w:b w:val="0"/>
          <w:noProof/>
        </w:rPr>
        <w:t xml:space="preserve"> in May 2020 and the process of selection of the judges is ongoing. Judges of the Court will be selected by the Judicial C</w:t>
      </w:r>
      <w:r>
        <w:rPr>
          <w:b w:val="0"/>
          <w:noProof/>
        </w:rPr>
        <w:t>ouncil</w:t>
      </w:r>
      <w:r>
        <w:rPr>
          <w:rStyle w:val="FootnoteReference"/>
          <w:b w:val="0"/>
          <w:noProof/>
        </w:rPr>
        <w:footnoteReference w:id="65"/>
      </w:r>
      <w:r>
        <w:rPr>
          <w:b w:val="0"/>
          <w:noProof/>
        </w:rPr>
        <w:t>. The draft reform of the judicial map (see above) foresees the creation of three separate administrative courts. It is envisaged</w:t>
      </w:r>
      <w:r>
        <w:rPr>
          <w:rStyle w:val="FootnoteReference"/>
          <w:b w:val="0"/>
          <w:noProof/>
        </w:rPr>
        <w:footnoteReference w:id="66"/>
      </w:r>
      <w:r>
        <w:rPr>
          <w:b w:val="0"/>
          <w:noProof/>
        </w:rPr>
        <w:t xml:space="preserve"> that the presidents of these new administrative courts will be selected by a committee of five members, which should b</w:t>
      </w:r>
      <w:r>
        <w:rPr>
          <w:b w:val="0"/>
          <w:noProof/>
        </w:rPr>
        <w:t>e chosen by the Minister of Justice, two of which from candidates nominated by the Judicial Council</w:t>
      </w:r>
      <w:r>
        <w:rPr>
          <w:rStyle w:val="FootnoteReference"/>
          <w:b w:val="0"/>
          <w:noProof/>
        </w:rPr>
        <w:footnoteReference w:id="67"/>
      </w:r>
      <w:r>
        <w:rPr>
          <w:b w:val="0"/>
          <w:noProof/>
        </w:rPr>
        <w:t>. As regards the selection of judges to the administrative courts, it is proposed</w:t>
      </w:r>
      <w:r>
        <w:rPr>
          <w:rStyle w:val="FootnoteReference"/>
          <w:b w:val="0"/>
          <w:noProof/>
        </w:rPr>
        <w:footnoteReference w:id="68"/>
      </w:r>
      <w:r>
        <w:rPr>
          <w:b w:val="0"/>
          <w:noProof/>
        </w:rPr>
        <w:t xml:space="preserve"> that the Minister of Justice</w:t>
      </w:r>
      <w:r>
        <w:rPr>
          <w:rStyle w:val="FootnoteReference"/>
          <w:b w:val="0"/>
          <w:noProof/>
        </w:rPr>
        <w:footnoteReference w:id="69"/>
      </w:r>
      <w:r>
        <w:rPr>
          <w:b w:val="0"/>
          <w:noProof/>
        </w:rPr>
        <w:t xml:space="preserve"> determines which posts will be filled by a </w:t>
      </w:r>
      <w:r>
        <w:rPr>
          <w:b w:val="0"/>
          <w:noProof/>
        </w:rPr>
        <w:t>transfer of judges</w:t>
      </w:r>
      <w:r>
        <w:rPr>
          <w:rStyle w:val="FootnoteReference"/>
          <w:b w:val="0"/>
          <w:noProof/>
        </w:rPr>
        <w:footnoteReference w:id="70"/>
      </w:r>
      <w:r>
        <w:rPr>
          <w:b w:val="0"/>
          <w:noProof/>
        </w:rPr>
        <w:t xml:space="preserve"> and which through a selection procedure</w:t>
      </w:r>
      <w:r>
        <w:rPr>
          <w:rStyle w:val="FootnoteReference"/>
          <w:b w:val="0"/>
          <w:noProof/>
        </w:rPr>
        <w:footnoteReference w:id="71"/>
      </w:r>
      <w:r>
        <w:rPr>
          <w:b w:val="0"/>
          <w:noProof/>
        </w:rPr>
        <w:t>. It will be important that the setting up of these courts and the regime applicable to them take into account European standards</w:t>
      </w:r>
      <w:r>
        <w:rPr>
          <w:rStyle w:val="FootnoteReference"/>
          <w:b w:val="0"/>
          <w:noProof/>
        </w:rPr>
        <w:footnoteReference w:id="72"/>
      </w:r>
      <w:r>
        <w:rPr>
          <w:b w:val="0"/>
          <w:noProof/>
        </w:rPr>
        <w:t>.</w:t>
      </w:r>
    </w:p>
    <w:p w:rsidR="00323528" w:rsidRDefault="003A3A10">
      <w:pPr>
        <w:rPr>
          <w:rFonts w:eastAsia="Times New Roman" w:cs="Times New Roman"/>
          <w:noProof/>
          <w:lang w:eastAsia="fr-FR"/>
        </w:rPr>
      </w:pPr>
      <w:r>
        <w:rPr>
          <w:rFonts w:eastAsia="Times New Roman" w:cs="Times New Roman"/>
          <w:b/>
          <w:bCs/>
          <w:noProof/>
          <w:lang w:eastAsia="fr-FR"/>
        </w:rPr>
        <w:t xml:space="preserve">A </w:t>
      </w:r>
      <w:r>
        <w:rPr>
          <w:rFonts w:eastAsia="Times New Roman" w:cs="Times New Roman"/>
          <w:b/>
          <w:noProof/>
          <w:lang w:eastAsia="fr-FR"/>
        </w:rPr>
        <w:t xml:space="preserve">Prosecutor General and </w:t>
      </w:r>
      <w:r>
        <w:rPr>
          <w:rFonts w:eastAsia="Times New Roman" w:cs="Times New Roman"/>
          <w:b/>
          <w:bCs/>
          <w:noProof/>
          <w:lang w:eastAsia="fr-FR"/>
        </w:rPr>
        <w:t xml:space="preserve">a </w:t>
      </w:r>
      <w:r>
        <w:rPr>
          <w:rFonts w:eastAsia="Times New Roman" w:cs="Times New Roman"/>
          <w:b/>
          <w:noProof/>
          <w:lang w:eastAsia="fr-FR"/>
        </w:rPr>
        <w:t>Special Prosecutor were elected throu</w:t>
      </w:r>
      <w:r>
        <w:rPr>
          <w:rFonts w:eastAsia="Times New Roman" w:cs="Times New Roman"/>
          <w:b/>
          <w:noProof/>
          <w:lang w:eastAsia="fr-FR"/>
        </w:rPr>
        <w:t>gh a new procedure.</w:t>
      </w:r>
      <w:r>
        <w:rPr>
          <w:rFonts w:eastAsia="Times New Roman" w:cs="Times New Roman"/>
          <w:noProof/>
          <w:lang w:eastAsia="fr-FR"/>
        </w:rPr>
        <w:t xml:space="preserve"> In September 2020, the Parliament adopted a law</w:t>
      </w:r>
      <w:r>
        <w:rPr>
          <w:rStyle w:val="FootnoteReference"/>
          <w:rFonts w:eastAsia="Times New Roman" w:cs="Times New Roman"/>
          <w:noProof/>
          <w:szCs w:val="20"/>
          <w:lang w:eastAsia="fr-FR"/>
        </w:rPr>
        <w:footnoteReference w:id="73"/>
      </w:r>
      <w:r>
        <w:rPr>
          <w:rFonts w:eastAsia="Times New Roman" w:cs="Times New Roman"/>
          <w:noProof/>
          <w:lang w:eastAsia="fr-FR"/>
        </w:rPr>
        <w:t xml:space="preserve"> which introduced several changes to the process of election of the Prosecutor General and Special Prosecutor</w:t>
      </w:r>
      <w:r>
        <w:rPr>
          <w:rStyle w:val="FootnoteReference"/>
          <w:rFonts w:eastAsia="Times New Roman" w:cs="Times New Roman"/>
          <w:noProof/>
          <w:lang w:eastAsia="fr-FR"/>
        </w:rPr>
        <w:footnoteReference w:id="74"/>
      </w:r>
      <w:r>
        <w:rPr>
          <w:rFonts w:eastAsia="Times New Roman" w:cs="Times New Roman"/>
          <w:noProof/>
          <w:lang w:eastAsia="fr-FR"/>
        </w:rPr>
        <w:t>. The law expanded the list of persons with the right to propose a candidate f</w:t>
      </w:r>
      <w:r>
        <w:rPr>
          <w:rFonts w:eastAsia="Times New Roman" w:cs="Times New Roman"/>
          <w:noProof/>
          <w:lang w:eastAsia="fr-FR"/>
        </w:rPr>
        <w:t>or the office of Prosecutor General</w:t>
      </w:r>
      <w:r>
        <w:rPr>
          <w:rStyle w:val="FootnoteReference"/>
          <w:rFonts w:eastAsia="Times New Roman" w:cs="Times New Roman"/>
          <w:noProof/>
          <w:szCs w:val="20"/>
          <w:lang w:eastAsia="fr-FR"/>
        </w:rPr>
        <w:footnoteReference w:id="75"/>
      </w:r>
      <w:r>
        <w:rPr>
          <w:rFonts w:eastAsia="Times New Roman" w:cs="Times New Roman"/>
          <w:noProof/>
          <w:lang w:eastAsia="fr-FR"/>
        </w:rPr>
        <w:t>, opened the candidacy to this office also to non-prosecutors, and introduced a requirement that candidates for both the Prosecutor General and the Special Prosecutor undergo a public hearing in Parliament</w:t>
      </w:r>
      <w:r>
        <w:rPr>
          <w:rStyle w:val="FootnoteReference"/>
          <w:rFonts w:eastAsia="Times New Roman" w:cs="Times New Roman"/>
          <w:noProof/>
          <w:lang w:eastAsia="fr-FR"/>
        </w:rPr>
        <w:footnoteReference w:id="76"/>
      </w:r>
      <w:r>
        <w:rPr>
          <w:rFonts w:eastAsia="Times New Roman" w:cs="Times New Roman"/>
          <w:noProof/>
          <w:lang w:eastAsia="fr-FR"/>
        </w:rPr>
        <w:t>. The new rule</w:t>
      </w:r>
      <w:r>
        <w:rPr>
          <w:rFonts w:eastAsia="Times New Roman" w:cs="Times New Roman"/>
          <w:noProof/>
          <w:lang w:eastAsia="fr-FR"/>
        </w:rPr>
        <w:t>s were applied in December 2020 and February 2021 during the election of the candidates for Prosecutor General and Special Prosecutor. Both elections were closely followed by the media and stakeholders noted the increase of transparency of the process</w:t>
      </w:r>
      <w:r>
        <w:rPr>
          <w:rStyle w:val="FootnoteReference"/>
          <w:rFonts w:eastAsia="Times New Roman" w:cs="Times New Roman"/>
          <w:noProof/>
          <w:szCs w:val="20"/>
          <w:lang w:eastAsia="fr-FR"/>
        </w:rPr>
        <w:footnoteReference w:id="77"/>
      </w:r>
      <w:r>
        <w:rPr>
          <w:rFonts w:eastAsia="Times New Roman" w:cs="Times New Roman"/>
          <w:noProof/>
          <w:lang w:eastAsia="fr-FR"/>
        </w:rPr>
        <w:t xml:space="preserve">. </w:t>
      </w:r>
    </w:p>
    <w:p w:rsidR="00323528" w:rsidRDefault="003A3A10">
      <w:pPr>
        <w:pStyle w:val="Heading2"/>
        <w:rPr>
          <w:noProof/>
        </w:rPr>
      </w:pPr>
      <w:r>
        <w:rPr>
          <w:noProof/>
        </w:rPr>
        <w:t>Q</w:t>
      </w:r>
      <w:r>
        <w:rPr>
          <w:noProof/>
        </w:rPr>
        <w:t xml:space="preserve">uality </w:t>
      </w:r>
    </w:p>
    <w:p w:rsidR="00323528" w:rsidRDefault="003A3A10">
      <w:pPr>
        <w:rPr>
          <w:b/>
          <w:noProof/>
        </w:rPr>
      </w:pPr>
      <w:r>
        <w:rPr>
          <w:b/>
          <w:noProof/>
          <w:lang w:eastAsia="en-GB"/>
        </w:rPr>
        <w:t>Efforts to advance digitalisation are showing results but weaknesses appear in practice.</w:t>
      </w:r>
      <w:r>
        <w:rPr>
          <w:noProof/>
          <w:lang w:eastAsia="en-GB"/>
        </w:rPr>
        <w:t xml:space="preserve"> Active engagement to advance the digitalisation of the justice system from the past years</w:t>
      </w:r>
      <w:r>
        <w:rPr>
          <w:rStyle w:val="FootnoteReference"/>
          <w:noProof/>
          <w:lang w:eastAsia="en-GB"/>
        </w:rPr>
        <w:footnoteReference w:id="78"/>
      </w:r>
      <w:r>
        <w:rPr>
          <w:noProof/>
          <w:lang w:eastAsia="en-GB"/>
        </w:rPr>
        <w:t xml:space="preserve"> has started showing results. Slovakia is well equipped in terms of p</w:t>
      </w:r>
      <w:r>
        <w:rPr>
          <w:noProof/>
          <w:lang w:eastAsia="en-GB"/>
        </w:rPr>
        <w:t>rocedural rules allowing digital technology in courts</w:t>
      </w:r>
      <w:r>
        <w:rPr>
          <w:rStyle w:val="FootnoteReference"/>
          <w:noProof/>
          <w:lang w:eastAsia="en-GB"/>
        </w:rPr>
        <w:footnoteReference w:id="79"/>
      </w:r>
      <w:r>
        <w:rPr>
          <w:noProof/>
          <w:lang w:eastAsia="en-GB"/>
        </w:rPr>
        <w:t>, as well as a range of tools and infrastructure allowing distance communication and secure remote access to the workplace</w:t>
      </w:r>
      <w:r>
        <w:rPr>
          <w:rStyle w:val="FootnoteReference"/>
          <w:noProof/>
          <w:lang w:eastAsia="en-GB"/>
        </w:rPr>
        <w:footnoteReference w:id="80"/>
      </w:r>
      <w:r>
        <w:rPr>
          <w:noProof/>
          <w:lang w:eastAsia="en-GB"/>
        </w:rPr>
        <w:t xml:space="preserve">, secure electronic communication between courts services and legal </w:t>
      </w:r>
      <w:r>
        <w:rPr>
          <w:noProof/>
          <w:lang w:eastAsia="en-GB"/>
        </w:rPr>
        <w:t>professionals and institutions</w:t>
      </w:r>
      <w:r>
        <w:rPr>
          <w:rStyle w:val="FootnoteReference"/>
          <w:noProof/>
          <w:lang w:eastAsia="en-GB"/>
        </w:rPr>
        <w:footnoteReference w:id="81"/>
      </w:r>
      <w:r>
        <w:rPr>
          <w:noProof/>
          <w:lang w:eastAsia="en-GB"/>
        </w:rPr>
        <w:t xml:space="preserve"> or possibilities for users to initiate and follow proceedings in civil, commercial and administrative cases</w:t>
      </w:r>
      <w:r>
        <w:rPr>
          <w:rStyle w:val="FootnoteReference"/>
          <w:noProof/>
          <w:lang w:eastAsia="en-GB"/>
        </w:rPr>
        <w:footnoteReference w:id="82"/>
      </w:r>
      <w:r>
        <w:rPr>
          <w:noProof/>
          <w:lang w:eastAsia="en-GB"/>
        </w:rPr>
        <w:t>. Gaps appear in particular as regards the prosecution service</w:t>
      </w:r>
      <w:r>
        <w:rPr>
          <w:rStyle w:val="FootnoteReference"/>
          <w:noProof/>
          <w:lang w:eastAsia="en-GB"/>
        </w:rPr>
        <w:footnoteReference w:id="83"/>
      </w:r>
      <w:r>
        <w:rPr>
          <w:noProof/>
          <w:lang w:eastAsia="en-GB"/>
        </w:rPr>
        <w:t xml:space="preserve"> and digital solutions for court proceedings in crimi</w:t>
      </w:r>
      <w:r>
        <w:rPr>
          <w:noProof/>
          <w:lang w:eastAsia="en-GB"/>
        </w:rPr>
        <w:t>nal cases</w:t>
      </w:r>
      <w:r>
        <w:rPr>
          <w:rStyle w:val="FootnoteReference"/>
          <w:noProof/>
          <w:lang w:eastAsia="en-GB"/>
        </w:rPr>
        <w:footnoteReference w:id="84"/>
      </w:r>
      <w:r>
        <w:rPr>
          <w:noProof/>
          <w:lang w:eastAsia="en-GB"/>
        </w:rPr>
        <w:t>. However, there are signs that while tools and infrastructures are in place, their use in practice might be hindered, including by obstacles such as low user-friendliness, incompatibility of different information systems used or lack of skills o</w:t>
      </w:r>
      <w:r>
        <w:rPr>
          <w:noProof/>
          <w:lang w:eastAsia="en-GB"/>
        </w:rPr>
        <w:t>f users</w:t>
      </w:r>
      <w:r>
        <w:rPr>
          <w:rStyle w:val="FootnoteReference"/>
          <w:noProof/>
          <w:lang w:eastAsia="en-GB"/>
        </w:rPr>
        <w:footnoteReference w:id="85"/>
      </w:r>
      <w:r>
        <w:rPr>
          <w:noProof/>
          <w:lang w:eastAsia="en-GB"/>
        </w:rPr>
        <w:t>. While the COVID-19 pandemic has overall contributed to the momentum in the digitalisation process, it has also revealed some of these practical shortcomings</w:t>
      </w:r>
      <w:r>
        <w:rPr>
          <w:rStyle w:val="FootnoteReference"/>
          <w:noProof/>
          <w:lang w:eastAsia="en-GB"/>
        </w:rPr>
        <w:footnoteReference w:id="86"/>
      </w:r>
      <w:r>
        <w:rPr>
          <w:noProof/>
          <w:lang w:eastAsia="en-GB"/>
        </w:rPr>
        <w:t xml:space="preserve">. Several projects to address the needs of the justice system are ongoing under the lead </w:t>
      </w:r>
      <w:r>
        <w:rPr>
          <w:noProof/>
          <w:lang w:eastAsia="en-GB"/>
        </w:rPr>
        <w:t>of a new IT department in the Ministry of Justice, including the development of a new Case Management System and a new commercial register, which were also included in the Slovak Recovery and Resilience Plan</w:t>
      </w:r>
      <w:r>
        <w:rPr>
          <w:rStyle w:val="FootnoteReference"/>
          <w:noProof/>
          <w:lang w:eastAsia="en-GB"/>
        </w:rPr>
        <w:footnoteReference w:id="87"/>
      </w:r>
      <w:r>
        <w:rPr>
          <w:noProof/>
          <w:lang w:eastAsia="en-GB"/>
        </w:rPr>
        <w:t xml:space="preserve">. </w:t>
      </w:r>
    </w:p>
    <w:p w:rsidR="00323528" w:rsidRDefault="003A3A10">
      <w:pPr>
        <w:rPr>
          <w:noProof/>
        </w:rPr>
      </w:pPr>
      <w:r>
        <w:rPr>
          <w:b/>
          <w:noProof/>
        </w:rPr>
        <w:t>Although the pandemic had a notable impact on</w:t>
      </w:r>
      <w:r>
        <w:rPr>
          <w:b/>
          <w:noProof/>
        </w:rPr>
        <w:t xml:space="preserve"> the judicial system, overall courts and lawyers were able to continue their work.</w:t>
      </w:r>
      <w:r>
        <w:rPr>
          <w:noProof/>
        </w:rPr>
        <w:t xml:space="preserve"> The number of hearings conducted by district and regional courts decreased. When taking place, hearings were held via videoconference or, if necessary, in person observing s</w:t>
      </w:r>
      <w:r>
        <w:rPr>
          <w:noProof/>
        </w:rPr>
        <w:t>afety measures. The Supreme Court has been less affected, including because most of its proceedings are written</w:t>
      </w:r>
      <w:r>
        <w:rPr>
          <w:rStyle w:val="FootnoteReference"/>
          <w:noProof/>
        </w:rPr>
        <w:footnoteReference w:id="88"/>
      </w:r>
      <w:r>
        <w:rPr>
          <w:noProof/>
        </w:rPr>
        <w:t>. Lawyers were also affected by the pandemic, but reported no major obstacles in exercise of their work</w:t>
      </w:r>
      <w:r>
        <w:rPr>
          <w:rStyle w:val="FootnoteReference"/>
          <w:noProof/>
        </w:rPr>
        <w:footnoteReference w:id="89"/>
      </w:r>
      <w:r>
        <w:rPr>
          <w:noProof/>
        </w:rPr>
        <w:t xml:space="preserve">. The Judicial Council has been closely </w:t>
      </w:r>
      <w:r>
        <w:rPr>
          <w:noProof/>
        </w:rPr>
        <w:t>monitoring the situation at courts. The Ministry of Justice has published guidelines and information regarding the restrictions, which has been appreciated by the courts</w:t>
      </w:r>
      <w:r>
        <w:rPr>
          <w:rStyle w:val="FootnoteReference"/>
          <w:noProof/>
        </w:rPr>
        <w:footnoteReference w:id="90"/>
      </w:r>
      <w:r>
        <w:rPr>
          <w:noProof/>
        </w:rPr>
        <w:t>.</w:t>
      </w:r>
    </w:p>
    <w:p w:rsidR="00323528" w:rsidRDefault="003A3A10">
      <w:pPr>
        <w:pStyle w:val="Heading2"/>
        <w:rPr>
          <w:noProof/>
        </w:rPr>
      </w:pPr>
      <w:r>
        <w:rPr>
          <w:noProof/>
        </w:rPr>
        <w:t>Efficiency</w:t>
      </w:r>
    </w:p>
    <w:p w:rsidR="00323528" w:rsidRDefault="003A3A10">
      <w:pPr>
        <w:rPr>
          <w:rFonts w:eastAsia="Times New Roman" w:cs="Times New Roman"/>
          <w:b/>
          <w:smallCaps/>
          <w:noProof/>
          <w:szCs w:val="24"/>
          <w:u w:val="single"/>
          <w:lang w:eastAsia="fr-FR"/>
        </w:rPr>
      </w:pPr>
      <w:r>
        <w:rPr>
          <w:b/>
          <w:noProof/>
        </w:rPr>
        <w:t>Efficiency of proceedings in administrative cases has further deteriorate</w:t>
      </w:r>
      <w:r>
        <w:rPr>
          <w:b/>
          <w:noProof/>
        </w:rPr>
        <w:t>d.</w:t>
      </w:r>
      <w:r>
        <w:rPr>
          <w:noProof/>
        </w:rPr>
        <w:t xml:space="preserve"> Being comparably lengthy in EU perspective, the trend of the growing length of proceedings in administrative cases continued in 2019, reaching 518 days compared to 157 days in 2018</w:t>
      </w:r>
      <w:r>
        <w:rPr>
          <w:rStyle w:val="FootnoteReference"/>
          <w:noProof/>
        </w:rPr>
        <w:footnoteReference w:id="91"/>
      </w:r>
      <w:r>
        <w:rPr>
          <w:noProof/>
        </w:rPr>
        <w:t xml:space="preserve">. At the same time, the clearance rate has also continued to fall, down </w:t>
      </w:r>
      <w:r>
        <w:rPr>
          <w:noProof/>
        </w:rPr>
        <w:t>to 81.4 % in 2019 (compared to 96.1 % in 2018)</w:t>
      </w:r>
      <w:r>
        <w:rPr>
          <w:rStyle w:val="FootnoteReference"/>
          <w:noProof/>
        </w:rPr>
        <w:footnoteReference w:id="92"/>
      </w:r>
      <w:r>
        <w:rPr>
          <w:noProof/>
        </w:rPr>
        <w:t xml:space="preserve">. This suggests that the system does not manage to deal efficiently with the workload in administrative cases. As regards civil and commercial cases, the estimated length of </w:t>
      </w:r>
      <w:r>
        <w:rPr>
          <w:rFonts w:eastAsia="Times New Roman" w:cs="Times New Roman"/>
          <w:noProof/>
          <w:szCs w:val="20"/>
          <w:lang w:eastAsia="fr-FR"/>
        </w:rPr>
        <w:t>proceedings</w:t>
      </w:r>
      <w:r>
        <w:rPr>
          <w:noProof/>
        </w:rPr>
        <w:t xml:space="preserve"> in litigious civil and </w:t>
      </w:r>
      <w:r>
        <w:rPr>
          <w:noProof/>
        </w:rPr>
        <w:t>commercial cases increased in 2019 compared to 2018, reaching 170 days (compared to 157 in 2018)</w:t>
      </w:r>
      <w:r>
        <w:rPr>
          <w:rStyle w:val="FootnoteReference"/>
          <w:noProof/>
        </w:rPr>
        <w:footnoteReference w:id="93"/>
      </w:r>
      <w:r>
        <w:rPr>
          <w:noProof/>
        </w:rPr>
        <w:t>. Several groups of cases concerning excessive length of civil proceedings have been examined by the Council of Europe</w:t>
      </w:r>
      <w:r>
        <w:rPr>
          <w:rStyle w:val="FootnoteReference"/>
          <w:noProof/>
        </w:rPr>
        <w:footnoteReference w:id="94"/>
      </w:r>
      <w:r>
        <w:rPr>
          <w:noProof/>
        </w:rPr>
        <w:t xml:space="preserve">. </w:t>
      </w:r>
    </w:p>
    <w:p w:rsidR="00323528" w:rsidRDefault="003A3A10">
      <w:pPr>
        <w:pStyle w:val="Heading1"/>
        <w:rPr>
          <w:noProof/>
        </w:rPr>
      </w:pPr>
      <w:r>
        <w:rPr>
          <w:noProof/>
        </w:rPr>
        <w:t xml:space="preserve">Anti-Corruption Framework </w:t>
      </w:r>
    </w:p>
    <w:p w:rsidR="00323528" w:rsidRDefault="003A3A10">
      <w:pPr>
        <w:rPr>
          <w:rFonts w:cstheme="minorHAnsi"/>
          <w:noProof/>
          <w:color w:val="000000"/>
          <w:shd w:val="clear" w:color="auto" w:fill="FFFFFF"/>
        </w:rPr>
      </w:pPr>
      <w:r>
        <w:rPr>
          <w:rFonts w:cstheme="minorHAnsi"/>
          <w:noProof/>
          <w:color w:val="000000"/>
          <w:bdr w:val="none" w:sz="0" w:space="0" w:color="auto" w:frame="1"/>
        </w:rPr>
        <w:t>In Slovaki</w:t>
      </w:r>
      <w:r>
        <w:rPr>
          <w:rFonts w:cstheme="minorHAnsi"/>
          <w:noProof/>
          <w:color w:val="000000"/>
          <w:bdr w:val="none" w:sz="0" w:space="0" w:color="auto" w:frame="1"/>
        </w:rPr>
        <w:t>a, the competences for the prevention, detection and prosecution of corruption are shared between several authorities. The Office of the Government is the central body for the coordination of the prevention of corruption, reporting directly to the Prime Mi</w:t>
      </w:r>
      <w:r>
        <w:rPr>
          <w:rFonts w:cstheme="minorHAnsi"/>
          <w:noProof/>
          <w:color w:val="000000"/>
          <w:bdr w:val="none" w:sz="0" w:space="0" w:color="auto" w:frame="1"/>
        </w:rPr>
        <w:t>nister’s Office. The National Crime Agency of the Presidium of the Police Force is in charge of the detection and investigation of corruption offences with the exception of corruption crimes committed by members of the police itself and certain law enforce</w:t>
      </w:r>
      <w:r>
        <w:rPr>
          <w:rFonts w:cstheme="minorHAnsi"/>
          <w:noProof/>
          <w:color w:val="000000"/>
          <w:bdr w:val="none" w:sz="0" w:space="0" w:color="auto" w:frame="1"/>
        </w:rPr>
        <w:t>ment agencies falling under the remit of the Bureau of Inspection Service</w:t>
      </w:r>
      <w:r>
        <w:rPr>
          <w:rStyle w:val="FootnoteReference"/>
          <w:rFonts w:cstheme="minorHAnsi"/>
          <w:noProof/>
          <w:color w:val="000000"/>
          <w:bdr w:val="none" w:sz="0" w:space="0" w:color="auto" w:frame="1"/>
        </w:rPr>
        <w:footnoteReference w:id="95"/>
      </w:r>
      <w:r>
        <w:rPr>
          <w:rFonts w:cstheme="minorHAnsi"/>
          <w:noProof/>
          <w:color w:val="000000"/>
          <w:bdr w:val="none" w:sz="0" w:space="0" w:color="auto" w:frame="1"/>
        </w:rPr>
        <w:t>. The Special Prosecutor’s Office</w:t>
      </w:r>
      <w:r>
        <w:rPr>
          <w:rStyle w:val="FootnoteReference"/>
          <w:rFonts w:cstheme="minorHAnsi"/>
          <w:noProof/>
          <w:color w:val="000000"/>
          <w:bdr w:val="none" w:sz="0" w:space="0" w:color="auto" w:frame="1"/>
        </w:rPr>
        <w:footnoteReference w:id="96"/>
      </w:r>
      <w:r>
        <w:rPr>
          <w:rFonts w:cstheme="minorHAnsi"/>
          <w:noProof/>
          <w:color w:val="000000"/>
          <w:bdr w:val="none" w:sz="0" w:space="0" w:color="auto" w:frame="1"/>
        </w:rPr>
        <w:t xml:space="preserve"> has exclusive </w:t>
      </w:r>
      <w:r>
        <w:rPr>
          <w:noProof/>
        </w:rPr>
        <w:t>jurisdiction</w:t>
      </w:r>
      <w:r>
        <w:rPr>
          <w:rFonts w:cstheme="minorHAnsi"/>
          <w:noProof/>
          <w:color w:val="000000"/>
          <w:bdr w:val="none" w:sz="0" w:space="0" w:color="auto" w:frame="1"/>
        </w:rPr>
        <w:t xml:space="preserve"> over the investigation of criminal offences under the substantive jurisdiction of the Specialised Criminal Court, includ</w:t>
      </w:r>
      <w:r>
        <w:rPr>
          <w:rFonts w:cstheme="minorHAnsi"/>
          <w:noProof/>
          <w:color w:val="000000"/>
          <w:bdr w:val="none" w:sz="0" w:space="0" w:color="auto" w:frame="1"/>
        </w:rPr>
        <w:t>ing corruption offences</w:t>
      </w:r>
      <w:r>
        <w:rPr>
          <w:rStyle w:val="FootnoteReference"/>
          <w:rFonts w:cstheme="minorHAnsi"/>
          <w:noProof/>
          <w:color w:val="000000"/>
          <w:bdr w:val="none" w:sz="0" w:space="0" w:color="auto" w:frame="1"/>
        </w:rPr>
        <w:footnoteReference w:id="97"/>
      </w:r>
      <w:r>
        <w:rPr>
          <w:rFonts w:cstheme="minorHAnsi"/>
          <w:noProof/>
          <w:color w:val="000000"/>
          <w:bdr w:val="none" w:sz="0" w:space="0" w:color="auto" w:frame="1"/>
        </w:rPr>
        <w:t xml:space="preserve">. </w:t>
      </w:r>
    </w:p>
    <w:p w:rsidR="00323528" w:rsidRDefault="003A3A10">
      <w:pPr>
        <w:rPr>
          <w:rFonts w:cs="Times New Roman"/>
          <w:noProof/>
          <w:szCs w:val="24"/>
        </w:rPr>
      </w:pPr>
      <w:r>
        <w:rPr>
          <w:rFonts w:cs="Times New Roman"/>
          <w:b/>
          <w:bCs/>
          <w:noProof/>
        </w:rPr>
        <w:t xml:space="preserve">The perception among experts and business executives is that the level of corruption in the public sector remains high. </w:t>
      </w:r>
      <w:r>
        <w:rPr>
          <w:rFonts w:cs="Times New Roman"/>
          <w:noProof/>
        </w:rPr>
        <w:t>In the 2020 Corruption Perceptions Index by Transparency International, Slovakia scores 49/100 and ranks 17</w:t>
      </w:r>
      <w:r>
        <w:rPr>
          <w:rFonts w:cs="Times New Roman"/>
          <w:noProof/>
          <w:vertAlign w:val="superscript"/>
        </w:rPr>
        <w:t>th</w:t>
      </w:r>
      <w:r>
        <w:rPr>
          <w:rFonts w:cs="Times New Roman"/>
          <w:noProof/>
        </w:rPr>
        <w:t xml:space="preserve"> in the European Union and 60</w:t>
      </w:r>
      <w:r>
        <w:rPr>
          <w:rFonts w:cs="Times New Roman"/>
          <w:noProof/>
          <w:vertAlign w:val="superscript"/>
        </w:rPr>
        <w:t>th</w:t>
      </w:r>
      <w:r>
        <w:rPr>
          <w:rFonts w:cs="Times New Roman"/>
          <w:noProof/>
        </w:rPr>
        <w:t xml:space="preserve"> globally</w:t>
      </w:r>
      <w:r>
        <w:rPr>
          <w:rFonts w:cs="Times New Roman"/>
          <w:bCs/>
          <w:noProof/>
          <w:szCs w:val="24"/>
          <w:vertAlign w:val="superscript"/>
        </w:rPr>
        <w:footnoteReference w:id="98"/>
      </w:r>
      <w:r>
        <w:rPr>
          <w:rFonts w:cs="Times New Roman"/>
          <w:noProof/>
        </w:rPr>
        <w:t>. This perception has been relatively stable</w:t>
      </w:r>
      <w:r>
        <w:rPr>
          <w:rFonts w:cs="Times New Roman"/>
          <w:noProof/>
          <w:szCs w:val="24"/>
          <w:vertAlign w:val="superscript"/>
        </w:rPr>
        <w:footnoteReference w:id="99"/>
      </w:r>
      <w:r>
        <w:rPr>
          <w:rFonts w:cs="Times New Roman"/>
          <w:noProof/>
        </w:rPr>
        <w:t xml:space="preserve"> over the past five years</w:t>
      </w:r>
      <w:r>
        <w:rPr>
          <w:rFonts w:cs="Times New Roman"/>
          <w:noProof/>
          <w:szCs w:val="24"/>
          <w:vertAlign w:val="superscript"/>
        </w:rPr>
        <w:footnoteReference w:id="100"/>
      </w:r>
      <w:r>
        <w:rPr>
          <w:rFonts w:cs="Times New Roman"/>
          <w:noProof/>
        </w:rPr>
        <w:t>.</w:t>
      </w:r>
    </w:p>
    <w:p w:rsidR="00323528" w:rsidRDefault="003A3A10">
      <w:pPr>
        <w:rPr>
          <w:rFonts w:cs="Times New Roman"/>
          <w:noProof/>
        </w:rPr>
      </w:pPr>
      <w:r>
        <w:rPr>
          <w:rFonts w:cs="Times New Roman"/>
          <w:b/>
          <w:bCs/>
          <w:noProof/>
        </w:rPr>
        <w:t xml:space="preserve">The strategic framework for anti-corruption is provided by the Anti-Corruption Policy for 2019-2023. </w:t>
      </w:r>
      <w:r>
        <w:rPr>
          <w:rFonts w:cs="Times New Roman"/>
          <w:noProof/>
        </w:rPr>
        <w:t>The Policy</w:t>
      </w:r>
      <w:r>
        <w:rPr>
          <w:rFonts w:cs="Times New Roman"/>
          <w:noProof/>
          <w:vertAlign w:val="superscript"/>
        </w:rPr>
        <w:footnoteReference w:id="101"/>
      </w:r>
      <w:r>
        <w:rPr>
          <w:rFonts w:cs="Times New Roman"/>
          <w:noProof/>
        </w:rPr>
        <w:t xml:space="preserve"> focuses mostly on prevention </w:t>
      </w:r>
      <w:r>
        <w:rPr>
          <w:rFonts w:cs="Times New Roman"/>
          <w:noProof/>
        </w:rPr>
        <w:t>through soft measures and is accompanied by an action plan, the National Anti-Corruption Programme</w:t>
      </w:r>
      <w:r>
        <w:rPr>
          <w:rFonts w:cs="Times New Roman"/>
          <w:noProof/>
          <w:vertAlign w:val="superscript"/>
        </w:rPr>
        <w:footnoteReference w:id="102"/>
      </w:r>
      <w:r>
        <w:rPr>
          <w:rFonts w:cs="Times New Roman"/>
          <w:noProof/>
        </w:rPr>
        <w:t>, and several sectoral programmes</w:t>
      </w:r>
      <w:r>
        <w:rPr>
          <w:rFonts w:cs="Times New Roman"/>
          <w:noProof/>
          <w:vertAlign w:val="superscript"/>
        </w:rPr>
        <w:footnoteReference w:id="103"/>
      </w:r>
      <w:r>
        <w:rPr>
          <w:rFonts w:cs="Times New Roman"/>
          <w:noProof/>
        </w:rPr>
        <w:t>. Being essentially identical to the policy document, the current action plan does not put forward concrete operational ste</w:t>
      </w:r>
      <w:r>
        <w:rPr>
          <w:rFonts w:cs="Times New Roman"/>
          <w:noProof/>
        </w:rPr>
        <w:t>ps to facilitate the implementation of the policy priorities. The National Anti-Corruption Programme is currently in the process of being updated</w:t>
      </w:r>
      <w:r>
        <w:rPr>
          <w:rFonts w:cs="Times New Roman"/>
          <w:noProof/>
          <w:vertAlign w:val="superscript"/>
        </w:rPr>
        <w:footnoteReference w:id="104"/>
      </w:r>
      <w:r>
        <w:rPr>
          <w:rFonts w:cs="Times New Roman"/>
          <w:noProof/>
        </w:rPr>
        <w:t xml:space="preserve">. The Corruption Prevention Department of the Government Office oversees the implementation of the policy and </w:t>
      </w:r>
      <w:r>
        <w:rPr>
          <w:rFonts w:cs="Times New Roman"/>
          <w:noProof/>
        </w:rPr>
        <w:t>action plan. Oversight over the implementation of the sectoral programmes is the competence of the relevant central state administration bodies</w:t>
      </w:r>
      <w:r>
        <w:rPr>
          <w:rFonts w:cs="Times New Roman"/>
          <w:noProof/>
          <w:vertAlign w:val="superscript"/>
        </w:rPr>
        <w:footnoteReference w:id="105"/>
      </w:r>
      <w:r>
        <w:rPr>
          <w:rFonts w:cs="Times New Roman"/>
          <w:noProof/>
        </w:rPr>
        <w:t xml:space="preserve">. </w:t>
      </w:r>
    </w:p>
    <w:p w:rsidR="00323528" w:rsidRDefault="003A3A10">
      <w:pPr>
        <w:rPr>
          <w:rFonts w:cs="Times New Roman"/>
          <w:noProof/>
        </w:rPr>
      </w:pPr>
      <w:r>
        <w:rPr>
          <w:rFonts w:cs="Times New Roman"/>
          <w:b/>
          <w:bCs/>
          <w:noProof/>
        </w:rPr>
        <w:t>The criminal legal framework has been complemented with the entering into force of a new law on asset seizure</w:t>
      </w:r>
      <w:r>
        <w:rPr>
          <w:rFonts w:cs="Times New Roman"/>
          <w:b/>
          <w:bCs/>
          <w:noProof/>
        </w:rPr>
        <w:t>.</w:t>
      </w:r>
      <w:r>
        <w:rPr>
          <w:rFonts w:cs="Times New Roman"/>
          <w:noProof/>
        </w:rPr>
        <w:t xml:space="preserve"> Among others, the law on asset seizure</w:t>
      </w:r>
      <w:r>
        <w:rPr>
          <w:rFonts w:cs="Times New Roman"/>
          <w:noProof/>
          <w:vertAlign w:val="superscript"/>
        </w:rPr>
        <w:footnoteReference w:id="106"/>
      </w:r>
      <w:r>
        <w:rPr>
          <w:rFonts w:cs="Times New Roman"/>
          <w:noProof/>
        </w:rPr>
        <w:t>, which entered into force in January 2021, prevents the legalisation of criminal assets through transfers to third persons and amends the criminal code introducing new offences, such as the crime of accepting or of</w:t>
      </w:r>
      <w:r>
        <w:rPr>
          <w:rFonts w:cs="Times New Roman"/>
          <w:noProof/>
        </w:rPr>
        <w:t>fering unjustified benefits or undue advantages, and the crime of indirect corruption</w:t>
      </w:r>
      <w:r>
        <w:rPr>
          <w:rFonts w:cs="Times New Roman"/>
          <w:noProof/>
          <w:vertAlign w:val="superscript"/>
        </w:rPr>
        <w:footnoteReference w:id="107"/>
      </w:r>
      <w:r>
        <w:rPr>
          <w:rFonts w:cs="Times New Roman"/>
          <w:noProof/>
        </w:rPr>
        <w:t>. In addition, the act introduces a definition of proceeds of crime. Notably, the act establishes a new Office for the Management of Seized Property</w:t>
      </w:r>
      <w:r>
        <w:rPr>
          <w:rFonts w:cs="Times New Roman"/>
          <w:noProof/>
          <w:vertAlign w:val="superscript"/>
        </w:rPr>
        <w:footnoteReference w:id="108"/>
      </w:r>
      <w:r>
        <w:rPr>
          <w:rFonts w:cs="Times New Roman"/>
          <w:noProof/>
        </w:rPr>
        <w:t>. Legislative shortco</w:t>
      </w:r>
      <w:r>
        <w:rPr>
          <w:rFonts w:cs="Times New Roman"/>
          <w:noProof/>
        </w:rPr>
        <w:t>mings exist with regard to the police’s authorisation to request financial information of suspects from banks at the investigatory stage of these crimes</w:t>
      </w:r>
      <w:r>
        <w:rPr>
          <w:rFonts w:cs="Times New Roman"/>
          <w:noProof/>
          <w:vertAlign w:val="superscript"/>
        </w:rPr>
        <w:footnoteReference w:id="109"/>
      </w:r>
      <w:r>
        <w:rPr>
          <w:rFonts w:cs="Times New Roman"/>
          <w:noProof/>
        </w:rPr>
        <w:t>, as well as with regard to the criminalisation of trading of supposed influence</w:t>
      </w:r>
      <w:r>
        <w:rPr>
          <w:rFonts w:cs="Times New Roman"/>
          <w:noProof/>
          <w:vertAlign w:val="superscript"/>
        </w:rPr>
        <w:footnoteReference w:id="110"/>
      </w:r>
      <w:r>
        <w:rPr>
          <w:rFonts w:cs="Times New Roman"/>
          <w:noProof/>
        </w:rPr>
        <w:t>.</w:t>
      </w:r>
    </w:p>
    <w:p w:rsidR="00323528" w:rsidRDefault="003A3A10">
      <w:pPr>
        <w:rPr>
          <w:rFonts w:cs="Times New Roman"/>
          <w:bCs/>
          <w:noProof/>
          <w:szCs w:val="24"/>
        </w:rPr>
      </w:pPr>
      <w:r>
        <w:rPr>
          <w:rFonts w:cs="Times New Roman"/>
          <w:b/>
          <w:bCs/>
          <w:noProof/>
          <w:szCs w:val="24"/>
        </w:rPr>
        <w:t>Measures to increase</w:t>
      </w:r>
      <w:r>
        <w:rPr>
          <w:rFonts w:cs="Times New Roman"/>
          <w:b/>
          <w:bCs/>
          <w:noProof/>
          <w:szCs w:val="24"/>
        </w:rPr>
        <w:t xml:space="preserve"> the resources of the Special Prosecutor’s Office</w:t>
      </w:r>
      <w:r>
        <w:rPr>
          <w:rFonts w:cs="Times New Roman"/>
          <w:b/>
          <w:noProof/>
          <w:szCs w:val="24"/>
        </w:rPr>
        <w:t xml:space="preserve"> with a view to strengthening its capacities are being implemented</w:t>
      </w:r>
      <w:r>
        <w:rPr>
          <w:rFonts w:cs="Times New Roman"/>
          <w:bCs/>
          <w:noProof/>
          <w:szCs w:val="24"/>
        </w:rPr>
        <w:t>. On 10 February 2021, the Government approved a proposal to increase the resources and number of specialised staff for the Special Prosecuto</w:t>
      </w:r>
      <w:r>
        <w:rPr>
          <w:rFonts w:cs="Times New Roman"/>
          <w:bCs/>
          <w:noProof/>
          <w:szCs w:val="24"/>
        </w:rPr>
        <w:t>r’s office</w:t>
      </w:r>
      <w:r>
        <w:rPr>
          <w:rFonts w:cs="Times New Roman"/>
          <w:bCs/>
          <w:noProof/>
          <w:szCs w:val="24"/>
          <w:vertAlign w:val="superscript"/>
        </w:rPr>
        <w:footnoteReference w:id="111"/>
      </w:r>
      <w:r>
        <w:rPr>
          <w:rFonts w:cs="Times New Roman"/>
          <w:bCs/>
          <w:noProof/>
          <w:szCs w:val="24"/>
        </w:rPr>
        <w:t>. Overall the number of prosecutors increased from 35 to 38 in 2021. With the aim to address concerns about limited resources and capacities to prosecute high-level corruption</w:t>
      </w:r>
      <w:r>
        <w:rPr>
          <w:rFonts w:cs="Times New Roman"/>
          <w:bCs/>
          <w:noProof/>
          <w:szCs w:val="24"/>
          <w:vertAlign w:val="superscript"/>
        </w:rPr>
        <w:footnoteReference w:id="112"/>
      </w:r>
      <w:r>
        <w:rPr>
          <w:rFonts w:cs="Times New Roman"/>
          <w:bCs/>
          <w:noProof/>
          <w:szCs w:val="24"/>
        </w:rPr>
        <w:t>, the division dealing specifically with corruption and corruption-re</w:t>
      </w:r>
      <w:r>
        <w:rPr>
          <w:rFonts w:cs="Times New Roman"/>
          <w:bCs/>
          <w:noProof/>
          <w:szCs w:val="24"/>
        </w:rPr>
        <w:t>lated crimes has doubled its staff increasing from five to now ten prosecutors in the Special Prosecutor’s Office</w:t>
      </w:r>
      <w:r>
        <w:rPr>
          <w:rFonts w:cs="Times New Roman"/>
          <w:bCs/>
          <w:noProof/>
          <w:szCs w:val="24"/>
          <w:vertAlign w:val="superscript"/>
        </w:rPr>
        <w:footnoteReference w:id="113"/>
      </w:r>
      <w:r>
        <w:rPr>
          <w:rFonts w:cs="Times New Roman"/>
          <w:bCs/>
          <w:noProof/>
          <w:szCs w:val="24"/>
        </w:rPr>
        <w:t>. The reorganisation took place in the course of 2021</w:t>
      </w:r>
      <w:r>
        <w:rPr>
          <w:rFonts w:cs="Times New Roman"/>
          <w:bCs/>
          <w:noProof/>
          <w:szCs w:val="24"/>
          <w:vertAlign w:val="superscript"/>
        </w:rPr>
        <w:footnoteReference w:id="114"/>
      </w:r>
      <w:r>
        <w:rPr>
          <w:rFonts w:cs="Times New Roman"/>
          <w:bCs/>
          <w:noProof/>
          <w:szCs w:val="24"/>
        </w:rPr>
        <w:t xml:space="preserve">. A significant increase in budgetary resources for the Special Prosecutor’s Office was </w:t>
      </w:r>
      <w:r>
        <w:rPr>
          <w:rFonts w:cs="Times New Roman"/>
          <w:bCs/>
          <w:noProof/>
          <w:szCs w:val="24"/>
        </w:rPr>
        <w:t>also agreed</w:t>
      </w:r>
      <w:r>
        <w:rPr>
          <w:rFonts w:cs="Times New Roman"/>
          <w:bCs/>
          <w:noProof/>
          <w:szCs w:val="24"/>
          <w:vertAlign w:val="superscript"/>
        </w:rPr>
        <w:footnoteReference w:id="115"/>
      </w:r>
      <w:r>
        <w:rPr>
          <w:rFonts w:cs="Times New Roman"/>
          <w:bCs/>
          <w:noProof/>
          <w:szCs w:val="24"/>
        </w:rPr>
        <w:t xml:space="preserve">. Concerns remain regarding the level of trust in, as well as the specialisation and the digitalisation of, the police, affecting the cooperation of the Prosecution Service with the police and the detection of corruption and corruption-related </w:t>
      </w:r>
      <w:r>
        <w:rPr>
          <w:rFonts w:cs="Times New Roman"/>
          <w:bCs/>
          <w:noProof/>
          <w:szCs w:val="24"/>
        </w:rPr>
        <w:t>crimes</w:t>
      </w:r>
      <w:r>
        <w:rPr>
          <w:rFonts w:cs="Times New Roman"/>
          <w:bCs/>
          <w:noProof/>
          <w:szCs w:val="24"/>
          <w:vertAlign w:val="superscript"/>
        </w:rPr>
        <w:footnoteReference w:id="116"/>
      </w:r>
      <w:r>
        <w:rPr>
          <w:rFonts w:cs="Times New Roman"/>
          <w:bCs/>
          <w:noProof/>
          <w:szCs w:val="24"/>
        </w:rPr>
        <w:t>. In particular, as stated in the 2020 Rule of Law Report, strengthened forensic and analytical capacities of the National Crime Agency would contribute to more effective financial investigations</w:t>
      </w:r>
      <w:r>
        <w:rPr>
          <w:rStyle w:val="FootnoteReference"/>
          <w:rFonts w:cs="Times New Roman"/>
          <w:bCs/>
          <w:noProof/>
          <w:szCs w:val="24"/>
        </w:rPr>
        <w:footnoteReference w:id="117"/>
      </w:r>
      <w:r>
        <w:rPr>
          <w:rFonts w:cs="Times New Roman"/>
          <w:bCs/>
          <w:noProof/>
          <w:szCs w:val="24"/>
        </w:rPr>
        <w:t>. A comprehensive police reform is planned to moderni</w:t>
      </w:r>
      <w:r>
        <w:rPr>
          <w:rFonts w:cs="Times New Roman"/>
          <w:bCs/>
          <w:noProof/>
          <w:szCs w:val="24"/>
        </w:rPr>
        <w:t>se the police in this regard by June 2022</w:t>
      </w:r>
      <w:r>
        <w:rPr>
          <w:rFonts w:cs="Times New Roman"/>
          <w:bCs/>
          <w:noProof/>
          <w:szCs w:val="24"/>
          <w:vertAlign w:val="superscript"/>
        </w:rPr>
        <w:footnoteReference w:id="118"/>
      </w:r>
      <w:r>
        <w:rPr>
          <w:rFonts w:cs="Times New Roman"/>
          <w:bCs/>
          <w:noProof/>
          <w:szCs w:val="24"/>
        </w:rPr>
        <w:t>.</w:t>
      </w:r>
    </w:p>
    <w:p w:rsidR="00323528" w:rsidRDefault="003A3A10">
      <w:pPr>
        <w:rPr>
          <w:rFonts w:cs="Times New Roman"/>
          <w:noProof/>
        </w:rPr>
      </w:pPr>
      <w:r>
        <w:rPr>
          <w:rFonts w:cs="Times New Roman"/>
          <w:b/>
          <w:bCs/>
          <w:noProof/>
        </w:rPr>
        <w:t xml:space="preserve">Efforts to fight high-level corruption have significantly increased in Slovakia in the course of the reporting period. </w:t>
      </w:r>
      <w:r>
        <w:rPr>
          <w:rFonts w:cs="Times New Roman"/>
          <w:noProof/>
        </w:rPr>
        <w:t>The ability to investigate and prosecute high-level corruption has considerably improved foll</w:t>
      </w:r>
      <w:r>
        <w:rPr>
          <w:rFonts w:cs="Times New Roman"/>
          <w:noProof/>
        </w:rPr>
        <w:t xml:space="preserve">owing the public mass demonstrations against the perceived impunity for high-level corruption based on revelations made in the context of the murder of journalist Ján Kuciak and his fiancée Martina Kušnírová in 2018. As of October 2020, a number of former </w:t>
      </w:r>
      <w:r>
        <w:rPr>
          <w:rFonts w:cs="Times New Roman"/>
          <w:noProof/>
        </w:rPr>
        <w:t>high-ranking representatives from the police, the prosecution service and the judiciary as well as from the private sector have been charged with corruption and corruption-related offences</w:t>
      </w:r>
      <w:r>
        <w:rPr>
          <w:rFonts w:cs="Times New Roman"/>
          <w:noProof/>
          <w:vertAlign w:val="superscript"/>
        </w:rPr>
        <w:footnoteReference w:id="119"/>
      </w:r>
      <w:r>
        <w:rPr>
          <w:rFonts w:cs="Times New Roman"/>
          <w:noProof/>
        </w:rPr>
        <w:t>. In 2020, the National Crime Agency initiated proceedings in 158 c</w:t>
      </w:r>
      <w:r>
        <w:rPr>
          <w:rFonts w:cs="Times New Roman"/>
          <w:noProof/>
        </w:rPr>
        <w:t>ases of corruption</w:t>
      </w:r>
      <w:r>
        <w:rPr>
          <w:rFonts w:cs="Times New Roman"/>
          <w:noProof/>
          <w:vertAlign w:val="superscript"/>
        </w:rPr>
        <w:footnoteReference w:id="120"/>
      </w:r>
      <w:r>
        <w:rPr>
          <w:rFonts w:cs="Times New Roman"/>
          <w:noProof/>
        </w:rPr>
        <w:t>. The number of individuals convicted for corruption offences more than doubled from 2019 (62 convictions) to 2020 (128 convictions)</w:t>
      </w:r>
      <w:r>
        <w:rPr>
          <w:rFonts w:cs="Times New Roman"/>
          <w:noProof/>
          <w:vertAlign w:val="superscript"/>
        </w:rPr>
        <w:footnoteReference w:id="121"/>
      </w:r>
      <w:r>
        <w:rPr>
          <w:rFonts w:cs="Times New Roman"/>
          <w:noProof/>
        </w:rPr>
        <w:t xml:space="preserve">. More recently, in May 2021, the National Crime Agency also detained several high-ranking officials of </w:t>
      </w:r>
      <w:r>
        <w:rPr>
          <w:rFonts w:cs="Times New Roman"/>
          <w:noProof/>
        </w:rPr>
        <w:t>the Land Fund</w:t>
      </w:r>
      <w:r>
        <w:rPr>
          <w:rFonts w:cs="Times New Roman"/>
          <w:noProof/>
          <w:vertAlign w:val="superscript"/>
        </w:rPr>
        <w:footnoteReference w:id="122"/>
      </w:r>
      <w:r>
        <w:rPr>
          <w:rFonts w:cs="Times New Roman"/>
          <w:noProof/>
        </w:rPr>
        <w:t xml:space="preserve"> allegedly involved in corruption schemes between 2016 and 2020</w:t>
      </w:r>
      <w:r>
        <w:rPr>
          <w:rFonts w:cs="Times New Roman"/>
          <w:noProof/>
          <w:vertAlign w:val="superscript"/>
        </w:rPr>
        <w:footnoteReference w:id="123"/>
      </w:r>
      <w:r>
        <w:rPr>
          <w:rFonts w:cs="Times New Roman"/>
          <w:noProof/>
        </w:rPr>
        <w:t>. In this context, the European Anti-Fraud Office (OLAF) had already raised concerns in 2020 following three administrative investigations into agriculture payments about shortco</w:t>
      </w:r>
      <w:r>
        <w:rPr>
          <w:rFonts w:cs="Times New Roman"/>
          <w:noProof/>
        </w:rPr>
        <w:t>mings in the Land Fund with regard to transparency, equal treatment of lease applicants and legal certainty in internal procedures</w:t>
      </w:r>
      <w:r>
        <w:rPr>
          <w:rFonts w:cs="Times New Roman"/>
          <w:noProof/>
          <w:vertAlign w:val="superscript"/>
        </w:rPr>
        <w:footnoteReference w:id="124"/>
      </w:r>
      <w:r>
        <w:rPr>
          <w:rFonts w:cs="Times New Roman"/>
          <w:noProof/>
        </w:rPr>
        <w:t>. However, cooperation between the National Crime Agency, the National Security Office, the Supreme Audit Office and the Fina</w:t>
      </w:r>
      <w:r>
        <w:rPr>
          <w:rFonts w:cs="Times New Roman"/>
          <w:noProof/>
        </w:rPr>
        <w:t>ncial Intelligence Unit could still improve and become closer in order to better detect and document corruption</w:t>
      </w:r>
      <w:r>
        <w:rPr>
          <w:rFonts w:cs="Times New Roman"/>
          <w:noProof/>
          <w:vertAlign w:val="superscript"/>
        </w:rPr>
        <w:footnoteReference w:id="125"/>
      </w:r>
      <w:r>
        <w:rPr>
          <w:rFonts w:cs="Times New Roman"/>
          <w:noProof/>
        </w:rPr>
        <w:t>. The effective enforcement of foreign bribery also remains a concern</w:t>
      </w:r>
      <w:r>
        <w:rPr>
          <w:rFonts w:cs="Times New Roman"/>
          <w:noProof/>
          <w:vertAlign w:val="superscript"/>
        </w:rPr>
        <w:footnoteReference w:id="126"/>
      </w:r>
      <w:r>
        <w:rPr>
          <w:rFonts w:cs="Times New Roman"/>
          <w:noProof/>
        </w:rPr>
        <w:t>.</w:t>
      </w:r>
    </w:p>
    <w:p w:rsidR="00323528" w:rsidRDefault="003A3A10">
      <w:pPr>
        <w:rPr>
          <w:rFonts w:cs="Times New Roman"/>
          <w:noProof/>
        </w:rPr>
      </w:pPr>
      <w:r>
        <w:rPr>
          <w:rFonts w:cs="Times New Roman"/>
          <w:b/>
          <w:noProof/>
        </w:rPr>
        <w:t>Slovakia’s Parliament has appointed the Head of Office for the Protectio</w:t>
      </w:r>
      <w:r>
        <w:rPr>
          <w:rFonts w:cs="Times New Roman"/>
          <w:b/>
          <w:noProof/>
        </w:rPr>
        <w:t>n of Whistleblowers in February 2021</w:t>
      </w:r>
      <w:r>
        <w:rPr>
          <w:rFonts w:cs="Times New Roman"/>
          <w:noProof/>
        </w:rPr>
        <w:t>. Following this appointment</w:t>
      </w:r>
      <w:r>
        <w:rPr>
          <w:rFonts w:cs="Times New Roman"/>
          <w:noProof/>
          <w:szCs w:val="24"/>
          <w:vertAlign w:val="superscript"/>
        </w:rPr>
        <w:footnoteReference w:id="127"/>
      </w:r>
      <w:r>
        <w:rPr>
          <w:rFonts w:cs="Times New Roman"/>
          <w:noProof/>
        </w:rPr>
        <w:t>, the Office will become operational and take up its functions within six months</w:t>
      </w:r>
      <w:r>
        <w:rPr>
          <w:rFonts w:cs="Times New Roman"/>
          <w:noProof/>
          <w:vertAlign w:val="superscript"/>
        </w:rPr>
        <w:footnoteReference w:id="128"/>
      </w:r>
      <w:r>
        <w:rPr>
          <w:rFonts w:cs="Times New Roman"/>
          <w:noProof/>
        </w:rPr>
        <w:t>. The term of office of the Head of Office is seven years. The Office is independent from any other department</w:t>
      </w:r>
      <w:r>
        <w:rPr>
          <w:rFonts w:cs="Times New Roman"/>
          <w:noProof/>
          <w:vertAlign w:val="superscript"/>
        </w:rPr>
        <w:footnoteReference w:id="129"/>
      </w:r>
      <w:r>
        <w:rPr>
          <w:rFonts w:cs="Times New Roman"/>
          <w:noProof/>
        </w:rPr>
        <w:t>. The Office’s mandate will focus on breaches of law and the protection against retaliatory measures undertaken by the notified entity based on the principles of confidentiality and anonymity</w:t>
      </w:r>
      <w:r>
        <w:rPr>
          <w:rFonts w:cs="Times New Roman"/>
          <w:noProof/>
          <w:vertAlign w:val="superscript"/>
        </w:rPr>
        <w:footnoteReference w:id="130"/>
      </w:r>
      <w:r>
        <w:rPr>
          <w:rFonts w:cs="Times New Roman"/>
          <w:noProof/>
        </w:rPr>
        <w:t>. The role of the Office is to provide advice, training, method</w:t>
      </w:r>
      <w:r>
        <w:rPr>
          <w:rFonts w:cs="Times New Roman"/>
          <w:noProof/>
        </w:rPr>
        <w:t xml:space="preserve">ological guidance and public awareness-raising on whistleblowing, including on corruption cases. The Office is accountable to the Parliament and will provide an annual report. The target audience for the Office is both the public and the private sector. </w:t>
      </w:r>
    </w:p>
    <w:p w:rsidR="00323528" w:rsidRDefault="003A3A10">
      <w:pPr>
        <w:rPr>
          <w:rFonts w:cs="Times New Roman"/>
          <w:noProof/>
          <w:szCs w:val="24"/>
        </w:rPr>
      </w:pPr>
      <w:r>
        <w:rPr>
          <w:rFonts w:cs="Times New Roman"/>
          <w:b/>
          <w:bCs/>
          <w:noProof/>
        </w:rPr>
        <w:t>S</w:t>
      </w:r>
      <w:r>
        <w:rPr>
          <w:rFonts w:cs="Times New Roman"/>
          <w:b/>
          <w:bCs/>
          <w:noProof/>
        </w:rPr>
        <w:t>lovakia committed to submit a draft law on lobbying in November 2021.</w:t>
      </w:r>
      <w:r>
        <w:rPr>
          <w:rFonts w:cs="Times New Roman"/>
          <w:noProof/>
        </w:rPr>
        <w:t xml:space="preserve"> The process led by the Government Office</w:t>
      </w:r>
      <w:r>
        <w:rPr>
          <w:rFonts w:cs="Times New Roman"/>
          <w:noProof/>
          <w:vertAlign w:val="superscript"/>
        </w:rPr>
        <w:footnoteReference w:id="131"/>
      </w:r>
      <w:r>
        <w:rPr>
          <w:rFonts w:cs="Times New Roman"/>
          <w:noProof/>
        </w:rPr>
        <w:t xml:space="preserve"> is in the initial preparatory stage</w:t>
      </w:r>
      <w:r>
        <w:rPr>
          <w:rFonts w:cs="Times New Roman"/>
          <w:noProof/>
          <w:vertAlign w:val="superscript"/>
        </w:rPr>
        <w:footnoteReference w:id="132"/>
      </w:r>
      <w:r>
        <w:rPr>
          <w:rFonts w:cs="Times New Roman"/>
          <w:noProof/>
        </w:rPr>
        <w:t>. There have been several attempts to adopt legislation but so far lobbying remains unregulated in Slovakia</w:t>
      </w:r>
      <w:r>
        <w:rPr>
          <w:rStyle w:val="FootnoteReference"/>
          <w:rFonts w:cs="Times New Roman"/>
          <w:noProof/>
        </w:rPr>
        <w:footnoteReference w:id="133"/>
      </w:r>
      <w:r>
        <w:rPr>
          <w:rFonts w:cs="Times New Roman"/>
          <w:noProof/>
        </w:rPr>
        <w:t>. As a result, there are no legal definitions of lobbyists, lobbying activities and lobbying targets, nor effective sanctions for undue lobbying or a legislative footprint in place</w:t>
      </w:r>
      <w:r>
        <w:rPr>
          <w:rFonts w:cs="Times New Roman"/>
          <w:noProof/>
          <w:vertAlign w:val="superscript"/>
        </w:rPr>
        <w:footnoteReference w:id="134"/>
      </w:r>
      <w:r>
        <w:rPr>
          <w:rFonts w:cs="Times New Roman"/>
          <w:noProof/>
        </w:rPr>
        <w:t>. However, related legislation and tools allow for the tracking of stakehol</w:t>
      </w:r>
      <w:r>
        <w:rPr>
          <w:rFonts w:cs="Times New Roman"/>
          <w:noProof/>
        </w:rPr>
        <w:t>der comments and of the extent to which they found entry into a legislative draft</w:t>
      </w:r>
      <w:r>
        <w:rPr>
          <w:rFonts w:cs="Times New Roman"/>
          <w:noProof/>
          <w:vertAlign w:val="superscript"/>
        </w:rPr>
        <w:footnoteReference w:id="135"/>
      </w:r>
      <w:r>
        <w:rPr>
          <w:rFonts w:cs="Times New Roman"/>
          <w:noProof/>
        </w:rPr>
        <w:t>. A Code of Ethics for members of Parliament</w:t>
      </w:r>
      <w:r>
        <w:rPr>
          <w:rFonts w:cs="Times New Roman"/>
          <w:noProof/>
          <w:vertAlign w:val="superscript"/>
        </w:rPr>
        <w:footnoteReference w:id="136"/>
      </w:r>
      <w:r>
        <w:rPr>
          <w:rFonts w:cs="Times New Roman"/>
          <w:noProof/>
        </w:rPr>
        <w:t xml:space="preserve"> and the introduction of a legislative regulation on post-employment rules (‘revolving doors’) is also planned for 2021</w:t>
      </w:r>
      <w:r>
        <w:rPr>
          <w:rFonts w:cs="Times New Roman"/>
          <w:noProof/>
          <w:vertAlign w:val="superscript"/>
        </w:rPr>
        <w:footnoteReference w:id="137"/>
      </w:r>
      <w:r>
        <w:rPr>
          <w:rFonts w:cs="Times New Roman"/>
          <w:noProof/>
        </w:rPr>
        <w:t>. Amendme</w:t>
      </w:r>
      <w:r>
        <w:rPr>
          <w:rFonts w:cs="Times New Roman"/>
          <w:noProof/>
        </w:rPr>
        <w:t>nts to the Law on the Protection of the Public Interest have entered into force providing for the obligation to declare gifts or other benefits and the use of movable or immovable property</w:t>
      </w:r>
      <w:r>
        <w:rPr>
          <w:rFonts w:cs="Times New Roman"/>
          <w:noProof/>
          <w:vertAlign w:val="superscript"/>
        </w:rPr>
        <w:footnoteReference w:id="138"/>
      </w:r>
      <w:r>
        <w:rPr>
          <w:rFonts w:cs="Times New Roman"/>
          <w:noProof/>
        </w:rPr>
        <w:t>.</w:t>
      </w:r>
    </w:p>
    <w:p w:rsidR="00323528" w:rsidRDefault="003A3A10">
      <w:pPr>
        <w:rPr>
          <w:rFonts w:cs="Times New Roman"/>
          <w:noProof/>
          <w:szCs w:val="24"/>
        </w:rPr>
      </w:pPr>
      <w:r>
        <w:rPr>
          <w:rFonts w:cs="Times New Roman"/>
          <w:b/>
          <w:noProof/>
        </w:rPr>
        <w:t>The Government intends to create a new, centralised office for th</w:t>
      </w:r>
      <w:r>
        <w:rPr>
          <w:rFonts w:cs="Times New Roman"/>
          <w:b/>
          <w:noProof/>
        </w:rPr>
        <w:t>e monitoring and verification of assets, including of top executive officials.</w:t>
      </w:r>
      <w:r>
        <w:rPr>
          <w:rFonts w:cs="Times New Roman"/>
          <w:noProof/>
        </w:rPr>
        <w:t xml:space="preserve"> The Government Office in cooperation with the Parliament is at an initial stage in the conceptualisation of a legislative proposal to establish a unified office</w:t>
      </w:r>
      <w:r>
        <w:rPr>
          <w:rFonts w:cs="Times New Roman"/>
          <w:noProof/>
          <w:vertAlign w:val="superscript"/>
        </w:rPr>
        <w:footnoteReference w:id="139"/>
      </w:r>
      <w:r>
        <w:rPr>
          <w:rFonts w:cs="Times New Roman"/>
          <w:noProof/>
        </w:rPr>
        <w:t>. So far, the sy</w:t>
      </w:r>
      <w:r>
        <w:rPr>
          <w:rFonts w:cs="Times New Roman"/>
          <w:noProof/>
        </w:rPr>
        <w:t>stem of asset declarations for members of Parliament, judges, prosecutors, public officials and civil servants is decentralised. At the outset of 2021, major delays were reported in the publication of the 2019 asset declarations of members of Parliament du</w:t>
      </w:r>
      <w:r>
        <w:rPr>
          <w:rFonts w:cs="Times New Roman"/>
          <w:noProof/>
        </w:rPr>
        <w:t>e in August 2020, for reasons related to the COVID-19 pandemic and ongoing processes to impose fines for non-compliance</w:t>
      </w:r>
      <w:r>
        <w:rPr>
          <w:rFonts w:cs="Times New Roman"/>
          <w:noProof/>
          <w:vertAlign w:val="superscript"/>
        </w:rPr>
        <w:footnoteReference w:id="140"/>
      </w:r>
      <w:r>
        <w:rPr>
          <w:rFonts w:cs="Times New Roman"/>
          <w:noProof/>
        </w:rPr>
        <w:t>.</w:t>
      </w:r>
    </w:p>
    <w:p w:rsidR="00323528" w:rsidRDefault="003A3A10">
      <w:pPr>
        <w:rPr>
          <w:rFonts w:cs="Times New Roman"/>
          <w:noProof/>
        </w:rPr>
      </w:pPr>
      <w:r>
        <w:rPr>
          <w:rFonts w:cs="Times New Roman"/>
          <w:b/>
          <w:bCs/>
          <w:noProof/>
        </w:rPr>
        <w:t>Political party finances are transparent, yet oversight could be strengthened</w:t>
      </w:r>
      <w:r>
        <w:rPr>
          <w:rFonts w:cs="Times New Roman"/>
          <w:noProof/>
        </w:rPr>
        <w:t xml:space="preserve">. The main law regulating the financing of political </w:t>
      </w:r>
      <w:r>
        <w:rPr>
          <w:rFonts w:cs="Times New Roman"/>
          <w:noProof/>
        </w:rPr>
        <w:t>parties in Slovakia is the Act on Political Parties and Movements</w:t>
      </w:r>
      <w:r>
        <w:rPr>
          <w:rFonts w:cs="Times New Roman"/>
          <w:noProof/>
          <w:vertAlign w:val="superscript"/>
        </w:rPr>
        <w:footnoteReference w:id="141"/>
      </w:r>
      <w:r>
        <w:rPr>
          <w:rFonts w:cs="Times New Roman"/>
          <w:noProof/>
        </w:rPr>
        <w:t xml:space="preserve">. Donations to political parties are limited to EUR 5,000 in cash per calendar year, while no such limit exists during election periods. Donations from foreign entities and anonymous donors </w:t>
      </w:r>
      <w:r>
        <w:rPr>
          <w:rFonts w:cs="Times New Roman"/>
          <w:noProof/>
        </w:rPr>
        <w:t>are banned. Failure to comply can result in a fine by the State Commission on Election and Control of the Financing of Political Parties in the amount of double the income from the donation or the gratuitous service. Parties are required to report on their</w:t>
      </w:r>
      <w:r>
        <w:rPr>
          <w:rFonts w:cs="Times New Roman"/>
          <w:noProof/>
        </w:rPr>
        <w:t xml:space="preserve"> finances annually to the State Commission. Financial reports are made publicly available. The reports are overseen by the National Council of the Slovak Republic and must reveal financial information in relation to election campaigns and the identity of d</w:t>
      </w:r>
      <w:r>
        <w:rPr>
          <w:rFonts w:cs="Times New Roman"/>
          <w:noProof/>
        </w:rPr>
        <w:t>onors</w:t>
      </w:r>
      <w:r>
        <w:rPr>
          <w:rFonts w:cs="Times New Roman"/>
          <w:noProof/>
          <w:vertAlign w:val="superscript"/>
        </w:rPr>
        <w:footnoteReference w:id="142"/>
      </w:r>
      <w:r>
        <w:rPr>
          <w:rFonts w:cs="Times New Roman"/>
          <w:noProof/>
        </w:rPr>
        <w:t>. The human capacities of oversight bodies are limited and concerns have been raised as to political nominations within them</w:t>
      </w:r>
      <w:r>
        <w:rPr>
          <w:rFonts w:cs="Times New Roman"/>
          <w:noProof/>
          <w:vertAlign w:val="superscript"/>
        </w:rPr>
        <w:footnoteReference w:id="143"/>
      </w:r>
      <w:r>
        <w:rPr>
          <w:rFonts w:cs="Times New Roman"/>
          <w:noProof/>
        </w:rPr>
        <w:t>. A bill adopted within two days tightening the campaign financing rules for the 2020 elections by limiting donations</w:t>
      </w:r>
      <w:r>
        <w:rPr>
          <w:rFonts w:cs="Times New Roman"/>
          <w:noProof/>
          <w:vertAlign w:val="superscript"/>
        </w:rPr>
        <w:footnoteReference w:id="144"/>
      </w:r>
      <w:r>
        <w:rPr>
          <w:rFonts w:cs="Times New Roman"/>
          <w:noProof/>
        </w:rPr>
        <w:t xml:space="preserve"> has af</w:t>
      </w:r>
      <w:r>
        <w:rPr>
          <w:rFonts w:cs="Times New Roman"/>
          <w:noProof/>
        </w:rPr>
        <w:t>fected newly established parties in particular and therefore raised concerns among new parties, civil society and media as to the fair competition between parties.</w:t>
      </w:r>
    </w:p>
    <w:p w:rsidR="00323528" w:rsidRDefault="003A3A10">
      <w:pPr>
        <w:rPr>
          <w:rFonts w:cs="Times New Roman"/>
          <w:noProof/>
        </w:rPr>
      </w:pPr>
      <w:r>
        <w:rPr>
          <w:rFonts w:cs="Times New Roman"/>
          <w:b/>
          <w:bCs/>
          <w:noProof/>
        </w:rPr>
        <w:t xml:space="preserve">The COVID-19 pandemic had reportedly no specific impact on corruption occurrence, detection </w:t>
      </w:r>
      <w:r>
        <w:rPr>
          <w:rFonts w:cs="Times New Roman"/>
          <w:b/>
          <w:bCs/>
          <w:noProof/>
        </w:rPr>
        <w:t>of corruption or on the efforts to combat corruption in Slovakia, according to the Prosecution Service.</w:t>
      </w:r>
      <w:r>
        <w:rPr>
          <w:rFonts w:cs="Times New Roman"/>
          <w:noProof/>
        </w:rPr>
        <w:t xml:space="preserve"> Some trials have been postponed due to the COVID-19 pandemic contributing to a backlog of cases</w:t>
      </w:r>
      <w:r>
        <w:rPr>
          <w:rFonts w:cs="Times New Roman"/>
          <w:noProof/>
          <w:vertAlign w:val="superscript"/>
        </w:rPr>
        <w:footnoteReference w:id="145"/>
      </w:r>
      <w:r>
        <w:rPr>
          <w:rFonts w:cs="Times New Roman"/>
          <w:noProof/>
        </w:rPr>
        <w:t>. High-risk sectors that were prone to corruption before</w:t>
      </w:r>
      <w:r>
        <w:rPr>
          <w:rFonts w:cs="Times New Roman"/>
          <w:noProof/>
        </w:rPr>
        <w:t xml:space="preserve"> the pandemic largely remained prone to corruption during the pandemic, including public procurement and the health care sector, with an increased risk and occurrence of pandemic-related subsidy fraud schemes in the latter sector</w:t>
      </w:r>
      <w:r>
        <w:rPr>
          <w:rFonts w:cs="Times New Roman"/>
          <w:noProof/>
          <w:vertAlign w:val="superscript"/>
        </w:rPr>
        <w:footnoteReference w:id="146"/>
      </w:r>
      <w:r>
        <w:rPr>
          <w:rFonts w:cs="Times New Roman"/>
          <w:noProof/>
        </w:rPr>
        <w:t>. Under the sectoral anti-</w:t>
      </w:r>
      <w:r>
        <w:rPr>
          <w:rFonts w:cs="Times New Roman"/>
          <w:noProof/>
        </w:rPr>
        <w:t>corruption programme of the Ministry of Health</w:t>
      </w:r>
      <w:r>
        <w:rPr>
          <w:rFonts w:cs="Times New Roman"/>
          <w:noProof/>
          <w:vertAlign w:val="superscript"/>
        </w:rPr>
        <w:footnoteReference w:id="147"/>
      </w:r>
      <w:r>
        <w:rPr>
          <w:rFonts w:cs="Times New Roman"/>
          <w:noProof/>
        </w:rPr>
        <w:t>, a specific working group was created to assess corruption risks in the context of the COVID-19 pandemic, finding two risk areas relating to ineligible cost requests and duplication of reimbursement requests</w:t>
      </w:r>
      <w:r>
        <w:rPr>
          <w:rFonts w:cs="Times New Roman"/>
          <w:noProof/>
          <w:vertAlign w:val="superscript"/>
        </w:rPr>
        <w:footnoteReference w:id="148"/>
      </w:r>
      <w:r>
        <w:rPr>
          <w:rFonts w:cs="Times New Roman"/>
          <w:noProof/>
        </w:rPr>
        <w:t>. In an effort to reduce the period needed for procuring goods, services and construction work during the pandemic, the Government prepared a legislative proposal</w:t>
      </w:r>
      <w:r>
        <w:rPr>
          <w:rFonts w:cs="Times New Roman"/>
          <w:noProof/>
          <w:vertAlign w:val="superscript"/>
        </w:rPr>
        <w:footnoteReference w:id="149"/>
      </w:r>
      <w:r>
        <w:rPr>
          <w:rFonts w:cs="Times New Roman"/>
          <w:noProof/>
        </w:rPr>
        <w:t xml:space="preserve"> amending its public procurement law. However, the proposal was revised in May 2021 following</w:t>
      </w:r>
      <w:r>
        <w:rPr>
          <w:rFonts w:cs="Times New Roman"/>
          <w:noProof/>
        </w:rPr>
        <w:t xml:space="preserve"> a public petition and criticism for excluding the Office for Public Procurement from the initially envisaged review procedure and thus excluding public control overhigh-value commissions</w:t>
      </w:r>
      <w:r>
        <w:rPr>
          <w:rFonts w:cs="Times New Roman"/>
          <w:noProof/>
          <w:vertAlign w:val="superscript"/>
        </w:rPr>
        <w:footnoteReference w:id="150"/>
      </w:r>
      <w:r>
        <w:rPr>
          <w:rFonts w:cs="Times New Roman"/>
          <w:noProof/>
        </w:rPr>
        <w:t>. According to civil society, the revised legislative proposal addre</w:t>
      </w:r>
      <w:r>
        <w:rPr>
          <w:rFonts w:cs="Times New Roman"/>
          <w:noProof/>
        </w:rPr>
        <w:t>sses the concerns raised in the petition increasing transparency and public control and thus reducing corruption risks</w:t>
      </w:r>
      <w:r>
        <w:rPr>
          <w:rFonts w:cs="Times New Roman"/>
          <w:noProof/>
          <w:vertAlign w:val="superscript"/>
        </w:rPr>
        <w:footnoteReference w:id="151"/>
      </w:r>
      <w:r>
        <w:rPr>
          <w:rFonts w:cs="Times New Roman"/>
          <w:noProof/>
        </w:rPr>
        <w:t>.</w:t>
      </w:r>
    </w:p>
    <w:p w:rsidR="00323528" w:rsidRDefault="003A3A10">
      <w:pPr>
        <w:pStyle w:val="Heading1"/>
        <w:rPr>
          <w:noProof/>
        </w:rPr>
      </w:pPr>
      <w:r>
        <w:rPr>
          <w:noProof/>
        </w:rPr>
        <w:t xml:space="preserve">Media Pluralism And Media Freedom </w:t>
      </w:r>
    </w:p>
    <w:p w:rsidR="00323528" w:rsidRDefault="003A3A10">
      <w:pPr>
        <w:rPr>
          <w:rFonts w:cs="Times New Roman"/>
          <w:noProof/>
          <w:szCs w:val="24"/>
        </w:rPr>
      </w:pPr>
      <w:r>
        <w:rPr>
          <w:rFonts w:cs="Times New Roman"/>
          <w:noProof/>
        </w:rPr>
        <w:t xml:space="preserve">The Slovak Constitution enshrines the right to express opinions in words, print, image or by other </w:t>
      </w:r>
      <w:r>
        <w:rPr>
          <w:rFonts w:cs="Times New Roman"/>
          <w:noProof/>
        </w:rPr>
        <w:t>means, the right to search for, receive and disseminate ideas and information as well as the right of access to information. The right to access information finds legal expression in the Freedom of Information Act</w:t>
      </w:r>
      <w:r>
        <w:rPr>
          <w:rFonts w:cs="Times New Roman"/>
          <w:noProof/>
          <w:vertAlign w:val="superscript"/>
        </w:rPr>
        <w:footnoteReference w:id="152"/>
      </w:r>
      <w:r>
        <w:rPr>
          <w:rFonts w:cs="Times New Roman"/>
          <w:noProof/>
        </w:rPr>
        <w:t>. The Broadcasting and Retransmission Act</w:t>
      </w:r>
      <w:r>
        <w:rPr>
          <w:rFonts w:cs="Times New Roman"/>
          <w:noProof/>
          <w:vertAlign w:val="superscript"/>
        </w:rPr>
        <w:footnoteReference w:id="153"/>
      </w:r>
      <w:r>
        <w:rPr>
          <w:rFonts w:cs="Times New Roman"/>
          <w:noProof/>
        </w:rPr>
        <w:t xml:space="preserve"> is aimed at ensuring plurality of information, while the Press Act</w:t>
      </w:r>
      <w:r>
        <w:rPr>
          <w:rFonts w:cs="Times New Roman"/>
          <w:noProof/>
          <w:vertAlign w:val="superscript"/>
        </w:rPr>
        <w:footnoteReference w:id="154"/>
      </w:r>
      <w:r>
        <w:rPr>
          <w:rFonts w:cs="Times New Roman"/>
          <w:noProof/>
        </w:rPr>
        <w:t xml:space="preserve"> establishes rules relating to the press and to journalists</w:t>
      </w:r>
      <w:r>
        <w:rPr>
          <w:rStyle w:val="FootnoteReference"/>
          <w:rFonts w:cs="Times New Roman"/>
          <w:noProof/>
        </w:rPr>
        <w:footnoteReference w:id="155"/>
      </w:r>
      <w:r>
        <w:rPr>
          <w:rFonts w:cs="Times New Roman"/>
          <w:noProof/>
        </w:rPr>
        <w:t>. Legislation is pending to align the Broadcasting and Retransmission Act with the AVMS Directive</w:t>
      </w:r>
      <w:r>
        <w:rPr>
          <w:rStyle w:val="FootnoteReference"/>
          <w:rFonts w:cs="Times New Roman"/>
          <w:noProof/>
        </w:rPr>
        <w:footnoteReference w:id="156"/>
      </w:r>
      <w:r>
        <w:rPr>
          <w:rFonts w:cs="Times New Roman"/>
          <w:noProof/>
        </w:rPr>
        <w:t xml:space="preserve">. </w:t>
      </w:r>
    </w:p>
    <w:p w:rsidR="00323528" w:rsidRDefault="003A3A10">
      <w:pPr>
        <w:rPr>
          <w:rFonts w:cs="Times New Roman"/>
          <w:noProof/>
          <w:szCs w:val="24"/>
        </w:rPr>
      </w:pPr>
      <w:r>
        <w:rPr>
          <w:rFonts w:cs="Times New Roman"/>
          <w:b/>
          <w:noProof/>
          <w:szCs w:val="24"/>
        </w:rPr>
        <w:t>The Council for Broadcastin</w:t>
      </w:r>
      <w:r>
        <w:rPr>
          <w:rFonts w:cs="Times New Roman"/>
          <w:b/>
          <w:noProof/>
          <w:szCs w:val="24"/>
        </w:rPr>
        <w:t>g and Retransmission operates autonomously</w:t>
      </w:r>
      <w:r>
        <w:rPr>
          <w:rStyle w:val="FootnoteReference"/>
          <w:rFonts w:cs="Times New Roman"/>
          <w:b/>
          <w:noProof/>
          <w:szCs w:val="24"/>
        </w:rPr>
        <w:footnoteReference w:id="157"/>
      </w:r>
      <w:r>
        <w:rPr>
          <w:rFonts w:cs="Times New Roman"/>
          <w:b/>
          <w:noProof/>
          <w:szCs w:val="24"/>
        </w:rPr>
        <w:t xml:space="preserve">. </w:t>
      </w:r>
      <w:r>
        <w:rPr>
          <w:rFonts w:cs="Times New Roman"/>
          <w:noProof/>
          <w:szCs w:val="24"/>
        </w:rPr>
        <w:t>Given that the Broadcasting Council disposes of its own budget, resources allotted are considered adequate for the accomplishment of its tasks</w:t>
      </w:r>
      <w:r>
        <w:rPr>
          <w:rFonts w:cs="Times New Roman"/>
          <w:noProof/>
          <w:szCs w:val="24"/>
          <w:vertAlign w:val="superscript"/>
        </w:rPr>
        <w:footnoteReference w:id="158"/>
      </w:r>
      <w:r>
        <w:rPr>
          <w:rFonts w:cs="Times New Roman"/>
          <w:noProof/>
          <w:szCs w:val="24"/>
        </w:rPr>
        <w:t xml:space="preserve"> and clear rules on appointment and dismissal of the Council’s membe</w:t>
      </w:r>
      <w:r>
        <w:rPr>
          <w:rFonts w:cs="Times New Roman"/>
          <w:noProof/>
          <w:szCs w:val="24"/>
        </w:rPr>
        <w:t>rs are established by law</w:t>
      </w:r>
      <w:r>
        <w:rPr>
          <w:rFonts w:cs="Times New Roman"/>
          <w:noProof/>
          <w:szCs w:val="24"/>
          <w:vertAlign w:val="superscript"/>
        </w:rPr>
        <w:footnoteReference w:id="159"/>
      </w:r>
      <w:r>
        <w:rPr>
          <w:rFonts w:cs="Times New Roman"/>
          <w:noProof/>
          <w:szCs w:val="24"/>
        </w:rPr>
        <w:t>, the Media Pluralism Monitor 2021</w:t>
      </w:r>
      <w:r>
        <w:rPr>
          <w:rFonts w:cs="Times New Roman"/>
          <w:noProof/>
          <w:szCs w:val="24"/>
          <w:vertAlign w:val="superscript"/>
        </w:rPr>
        <w:footnoteReference w:id="160"/>
      </w:r>
      <w:r>
        <w:rPr>
          <w:rFonts w:cs="Times New Roman"/>
          <w:noProof/>
          <w:szCs w:val="24"/>
        </w:rPr>
        <w:t xml:space="preserve"> confirms that the independence of the Council is overall guaranteed, though occasional political nominations remain an issue. </w:t>
      </w:r>
    </w:p>
    <w:p w:rsidR="00323528" w:rsidRDefault="003A3A10">
      <w:pPr>
        <w:rPr>
          <w:rFonts w:cs="Times New Roman"/>
          <w:noProof/>
        </w:rPr>
      </w:pPr>
      <w:r>
        <w:rPr>
          <w:rFonts w:cs="Times New Roman"/>
          <w:b/>
          <w:bCs/>
          <w:noProof/>
        </w:rPr>
        <w:t>A bill amending the Broadcasting and Retransmission Act is expected</w:t>
      </w:r>
      <w:r>
        <w:rPr>
          <w:rFonts w:cs="Times New Roman"/>
          <w:b/>
          <w:bCs/>
          <w:noProof/>
        </w:rPr>
        <w:t xml:space="preserve"> to introduce a framework to ensure transparency of media ownership</w:t>
      </w:r>
      <w:r>
        <w:rPr>
          <w:rFonts w:cs="Times New Roman"/>
          <w:noProof/>
        </w:rPr>
        <w:t>. While awaiting enactment of that bill, scheduled for adoption by the end of 2021</w:t>
      </w:r>
      <w:r>
        <w:rPr>
          <w:rStyle w:val="FootnoteReference"/>
          <w:rFonts w:cs="Times New Roman"/>
          <w:noProof/>
        </w:rPr>
        <w:footnoteReference w:id="161"/>
      </w:r>
      <w:r>
        <w:rPr>
          <w:rFonts w:cs="Times New Roman"/>
          <w:noProof/>
        </w:rPr>
        <w:t>, which is expected to introduce provisions on transparency of ownership structure and beneficial ownershi</w:t>
      </w:r>
      <w:r>
        <w:rPr>
          <w:rFonts w:cs="Times New Roman"/>
          <w:noProof/>
        </w:rPr>
        <w:t>p as foreseen in the AVMS Directive, the MPM 2021 once more</w:t>
      </w:r>
      <w:r>
        <w:rPr>
          <w:rStyle w:val="FootnoteReference"/>
          <w:rFonts w:cs="Times New Roman"/>
          <w:noProof/>
        </w:rPr>
        <w:footnoteReference w:id="162"/>
      </w:r>
      <w:r>
        <w:rPr>
          <w:rFonts w:cs="Times New Roman"/>
          <w:noProof/>
        </w:rPr>
        <w:t xml:space="preserve"> considers that the lack of regulation means that this remains an area of high risk</w:t>
      </w:r>
      <w:r>
        <w:rPr>
          <w:rStyle w:val="FootnoteReference"/>
          <w:rFonts w:cs="Times New Roman"/>
          <w:noProof/>
        </w:rPr>
        <w:t xml:space="preserve"> </w:t>
      </w:r>
      <w:r>
        <w:rPr>
          <w:rStyle w:val="FootnoteReference"/>
          <w:rFonts w:cs="Times New Roman"/>
          <w:noProof/>
        </w:rPr>
        <w:footnoteReference w:id="163"/>
      </w:r>
      <w:r>
        <w:rPr>
          <w:rFonts w:cs="Times New Roman"/>
          <w:noProof/>
        </w:rPr>
        <w:t xml:space="preserve">. </w:t>
      </w:r>
      <w:r>
        <w:rPr>
          <w:noProof/>
        </w:rPr>
        <w:t xml:space="preserve">The Broadcasting and Retransmission Act includes ceilings and limitations to prevent a high degree of </w:t>
      </w:r>
      <w:r>
        <w:rPr>
          <w:noProof/>
        </w:rPr>
        <w:t>horizontal ownership concentration in the television and radio markets. However a lack of data with regard to revenues and audience market shares makes the assessment of the actual situation difficult</w:t>
      </w:r>
      <w:r>
        <w:rPr>
          <w:rStyle w:val="FootnoteReference"/>
          <w:noProof/>
        </w:rPr>
        <w:footnoteReference w:id="164"/>
      </w:r>
      <w:r>
        <w:rPr>
          <w:noProof/>
        </w:rPr>
        <w:t>.</w:t>
      </w:r>
    </w:p>
    <w:p w:rsidR="00323528" w:rsidRDefault="003A3A10">
      <w:pPr>
        <w:rPr>
          <w:rFonts w:eastAsia="Calibri"/>
          <w:noProof/>
          <w:szCs w:val="24"/>
          <w:lang w:eastAsia="fr-FR"/>
        </w:rPr>
      </w:pPr>
      <w:r>
        <w:rPr>
          <w:rFonts w:cs="Times New Roman"/>
          <w:b/>
          <w:bCs/>
          <w:noProof/>
        </w:rPr>
        <w:t>A number of convictions were handed down to individua</w:t>
      </w:r>
      <w:r>
        <w:rPr>
          <w:rFonts w:cs="Times New Roman"/>
          <w:b/>
          <w:bCs/>
          <w:noProof/>
        </w:rPr>
        <w:t xml:space="preserve">ls involved in the murder of journalist Ján Kuciak and his fiancée Martina Kušnírová in 2018. </w:t>
      </w:r>
      <w:r>
        <w:rPr>
          <w:rFonts w:cs="Times New Roman"/>
          <w:noProof/>
        </w:rPr>
        <w:t>Three individuals were convicted and sentenced to between 15 and 25 years imprisonment by the Specialised Criminal Court. One of the judgments has been appealed b</w:t>
      </w:r>
      <w:r>
        <w:rPr>
          <w:rFonts w:cs="Times New Roman"/>
          <w:noProof/>
        </w:rPr>
        <w:t>y the accused. The public prosecutor appealed the acquittals of the alleged masterminds of the assassination by the court of first instance</w:t>
      </w:r>
      <w:r>
        <w:rPr>
          <w:rStyle w:val="FootnoteReference"/>
          <w:rFonts w:cs="Times New Roman"/>
          <w:noProof/>
        </w:rPr>
        <w:footnoteReference w:id="165"/>
      </w:r>
      <w:r>
        <w:rPr>
          <w:rFonts w:cs="Times New Roman"/>
          <w:noProof/>
        </w:rPr>
        <w:t xml:space="preserve">. </w:t>
      </w:r>
      <w:r>
        <w:rPr>
          <w:rFonts w:eastAsia="Times New Roman" w:cs="Times New Roman"/>
          <w:noProof/>
          <w:lang w:eastAsia="fr-FR"/>
        </w:rPr>
        <w:t>On 15 June 2021 the Supreme Court annulled the first instance acquittals of the Specialised Criminal Court and ret</w:t>
      </w:r>
      <w:r>
        <w:rPr>
          <w:rFonts w:eastAsia="Times New Roman" w:cs="Times New Roman"/>
          <w:noProof/>
          <w:lang w:eastAsia="fr-FR"/>
        </w:rPr>
        <w:t xml:space="preserve">urned the case to this latter court. </w:t>
      </w:r>
      <w:r>
        <w:rPr>
          <w:noProof/>
        </w:rPr>
        <w:t>The Supreme Court also confirmed the 25-year prison sentence handed down to another of the accused</w:t>
      </w:r>
      <w:r>
        <w:rPr>
          <w:rStyle w:val="FootnoteReference"/>
          <w:rFonts w:eastAsia="Times New Roman" w:cs="Times New Roman"/>
          <w:noProof/>
          <w:lang w:eastAsia="fr-FR"/>
        </w:rPr>
        <w:footnoteReference w:id="166"/>
      </w:r>
      <w:r>
        <w:rPr>
          <w:noProof/>
        </w:rPr>
        <w:t>.</w:t>
      </w:r>
    </w:p>
    <w:p w:rsidR="00323528" w:rsidRDefault="003A3A10">
      <w:pPr>
        <w:rPr>
          <w:noProof/>
          <w:lang w:eastAsia="fr-FR"/>
        </w:rPr>
      </w:pPr>
      <w:r>
        <w:rPr>
          <w:rFonts w:cs="Times New Roman"/>
          <w:b/>
          <w:bCs/>
          <w:noProof/>
        </w:rPr>
        <w:t>There have been reports of verbal attacks against journalists and media outlets by both government and opposition poli</w:t>
      </w:r>
      <w:r>
        <w:rPr>
          <w:rFonts w:cs="Times New Roman"/>
          <w:b/>
          <w:bCs/>
          <w:noProof/>
        </w:rPr>
        <w:t xml:space="preserve">ticians. </w:t>
      </w:r>
      <w:r>
        <w:rPr>
          <w:rFonts w:cs="Times New Roman"/>
          <w:noProof/>
        </w:rPr>
        <w:t>Journalists have been accused of ‘spite’ and of undermining the work of the Government during the COVID-19 pandemic.</w:t>
      </w:r>
      <w:r>
        <w:rPr>
          <w:rFonts w:cs="Times New Roman"/>
          <w:b/>
          <w:bCs/>
          <w:noProof/>
        </w:rPr>
        <w:t xml:space="preserve"> </w:t>
      </w:r>
      <w:r>
        <w:rPr>
          <w:rFonts w:cs="Times New Roman"/>
          <w:noProof/>
        </w:rPr>
        <w:t>Since September 2020, the Council of Europe’s Platform to promote the protection of journalism and safety of journalists published</w:t>
      </w:r>
      <w:r>
        <w:rPr>
          <w:rFonts w:cs="Times New Roman"/>
          <w:noProof/>
        </w:rPr>
        <w:t xml:space="preserve"> one alert for Slovakia</w:t>
      </w:r>
      <w:r>
        <w:rPr>
          <w:rFonts w:cs="Times New Roman"/>
          <w:noProof/>
          <w:vertAlign w:val="superscript"/>
        </w:rPr>
        <w:footnoteReference w:id="167"/>
      </w:r>
      <w:r>
        <w:rPr>
          <w:rFonts w:cs="Times New Roman"/>
          <w:noProof/>
        </w:rPr>
        <w:t xml:space="preserve"> which concerned the surveillance of a newspaper journalist by unidentified individuals</w:t>
      </w:r>
      <w:r>
        <w:rPr>
          <w:rStyle w:val="FootnoteReference"/>
          <w:rFonts w:cs="Times New Roman"/>
          <w:noProof/>
        </w:rPr>
        <w:footnoteReference w:id="168"/>
      </w:r>
      <w:r>
        <w:rPr>
          <w:rFonts w:cs="Times New Roman"/>
          <w:noProof/>
        </w:rPr>
        <w:t>. Proposed legislation aimed at strengthening the protection of journalists has been postponed due to the COVID-19 pandemic</w:t>
      </w:r>
      <w:r>
        <w:rPr>
          <w:rStyle w:val="FootnoteReference"/>
          <w:rFonts w:cs="Times New Roman"/>
          <w:noProof/>
        </w:rPr>
        <w:footnoteReference w:id="169"/>
      </w:r>
      <w:r>
        <w:rPr>
          <w:rFonts w:cs="Times New Roman"/>
          <w:noProof/>
        </w:rPr>
        <w:t>. The proposals incl</w:t>
      </w:r>
      <w:r>
        <w:rPr>
          <w:rFonts w:cs="Times New Roman"/>
          <w:noProof/>
        </w:rPr>
        <w:t>ude a definition of the status of journalists, the protection of journalistic sources as well as enhanced access to information. Furthermore, the Government is preparing amendments to Slovakia’s currently strict criminal defamation laws in order to provide</w:t>
      </w:r>
      <w:r>
        <w:rPr>
          <w:rFonts w:cs="Times New Roman"/>
          <w:noProof/>
        </w:rPr>
        <w:t xml:space="preserve"> safeguards for journalists. No news media support scheme was introduced to counter the impact of the COVID-19 pandemic</w:t>
      </w:r>
      <w:r>
        <w:rPr>
          <w:rStyle w:val="FootnoteReference"/>
          <w:rFonts w:cs="Times New Roman"/>
          <w:noProof/>
        </w:rPr>
        <w:footnoteReference w:id="170"/>
      </w:r>
      <w:r>
        <w:rPr>
          <w:rFonts w:cs="Times New Roman"/>
          <w:noProof/>
        </w:rPr>
        <w:t xml:space="preserve">. </w:t>
      </w:r>
    </w:p>
    <w:p w:rsidR="00323528" w:rsidRDefault="003A3A10">
      <w:pPr>
        <w:pStyle w:val="Heading1"/>
        <w:rPr>
          <w:noProof/>
        </w:rPr>
      </w:pPr>
      <w:r>
        <w:rPr>
          <w:noProof/>
        </w:rPr>
        <w:t>Other Institutional Issues related to Checks and Balances</w:t>
      </w:r>
    </w:p>
    <w:p w:rsidR="00323528" w:rsidRDefault="003A3A10">
      <w:pPr>
        <w:rPr>
          <w:rFonts w:cs="Times New Roman"/>
          <w:noProof/>
          <w:szCs w:val="24"/>
        </w:rPr>
      </w:pPr>
      <w:r>
        <w:rPr>
          <w:rFonts w:cs="Times New Roman"/>
          <w:noProof/>
          <w:szCs w:val="24"/>
        </w:rPr>
        <w:t>Slovakia is a parliamentary republic where the National Council (the Parlia</w:t>
      </w:r>
      <w:r>
        <w:rPr>
          <w:rFonts w:cs="Times New Roman"/>
          <w:noProof/>
          <w:szCs w:val="24"/>
        </w:rPr>
        <w:t>ment) is the sole constitutional and legislative body</w:t>
      </w:r>
      <w:r>
        <w:rPr>
          <w:rFonts w:cs="Times New Roman"/>
          <w:noProof/>
          <w:szCs w:val="24"/>
          <w:vertAlign w:val="superscript"/>
        </w:rPr>
        <w:footnoteReference w:id="171"/>
      </w:r>
      <w:r>
        <w:rPr>
          <w:rFonts w:cs="Times New Roman"/>
          <w:noProof/>
          <w:szCs w:val="24"/>
        </w:rPr>
        <w:t>. The right to introduce legislation belongs to the Committees of the Parliament, individual members of the Parliament, and the Government</w:t>
      </w:r>
      <w:r>
        <w:rPr>
          <w:rFonts w:cs="Times New Roman"/>
          <w:noProof/>
          <w:szCs w:val="24"/>
          <w:vertAlign w:val="superscript"/>
        </w:rPr>
        <w:footnoteReference w:id="172"/>
      </w:r>
      <w:r>
        <w:rPr>
          <w:rFonts w:cs="Times New Roman"/>
          <w:noProof/>
          <w:szCs w:val="24"/>
        </w:rPr>
        <w:t>. The Constitutional Court decides on the compliance of laws wi</w:t>
      </w:r>
      <w:r>
        <w:rPr>
          <w:rFonts w:cs="Times New Roman"/>
          <w:noProof/>
          <w:szCs w:val="24"/>
        </w:rPr>
        <w:t xml:space="preserve">th the Constitution, constitutional acts and international agreements, and ensures respect for fundamental and constitutional rights. Independent authorities also play a role in safeguarding fundamental rights. </w:t>
      </w:r>
    </w:p>
    <w:p w:rsidR="00323528" w:rsidRDefault="003A3A10">
      <w:pPr>
        <w:rPr>
          <w:rFonts w:eastAsia="Times New Roman" w:cs="Times New Roman"/>
          <w:noProof/>
          <w:szCs w:val="20"/>
          <w:lang w:eastAsia="fr-FR"/>
        </w:rPr>
      </w:pPr>
      <w:r>
        <w:rPr>
          <w:rFonts w:cs="Times New Roman"/>
          <w:b/>
          <w:bCs/>
          <w:noProof/>
        </w:rPr>
        <w:t>Concerns have been raised about the inclusiv</w:t>
      </w:r>
      <w:r>
        <w:rPr>
          <w:rFonts w:cs="Times New Roman"/>
          <w:b/>
          <w:bCs/>
          <w:noProof/>
        </w:rPr>
        <w:t xml:space="preserve">eness of the law making process. </w:t>
      </w:r>
      <w:r>
        <w:rPr>
          <w:rFonts w:eastAsia="Times New Roman" w:cs="Times New Roman"/>
          <w:noProof/>
          <w:lang w:eastAsia="fr-FR"/>
        </w:rPr>
        <w:t>The recent Constitutional reform (see Section I) was announced in the governmental Program Statement of April 2020 and, following a presentation to several stakeholders</w:t>
      </w:r>
      <w:r>
        <w:rPr>
          <w:rStyle w:val="FootnoteReference"/>
          <w:rFonts w:eastAsia="Times New Roman" w:cs="Times New Roman"/>
          <w:noProof/>
          <w:lang w:eastAsia="fr-FR"/>
        </w:rPr>
        <w:footnoteReference w:id="173"/>
      </w:r>
      <w:r>
        <w:rPr>
          <w:rFonts w:eastAsia="Times New Roman" w:cs="Times New Roman"/>
          <w:noProof/>
          <w:lang w:eastAsia="fr-FR"/>
        </w:rPr>
        <w:t xml:space="preserve"> and a written public consultation in July 2020, was s</w:t>
      </w:r>
      <w:r>
        <w:rPr>
          <w:rFonts w:eastAsia="Times New Roman" w:cs="Times New Roman"/>
          <w:noProof/>
          <w:lang w:eastAsia="fr-FR"/>
        </w:rPr>
        <w:t>ubmitted to Parliament at the beginning of October 2020 and approved in December 2020. Stakeholders raised concerns about the absence of an extensive and informed debate on the main features of the reform, as well as a lack of consultation of the Venice Co</w:t>
      </w:r>
      <w:r>
        <w:rPr>
          <w:rFonts w:eastAsia="Times New Roman" w:cs="Times New Roman"/>
          <w:noProof/>
          <w:lang w:eastAsia="fr-FR"/>
        </w:rPr>
        <w:t>mmission, given the scope and significance of the reform</w:t>
      </w:r>
      <w:r>
        <w:rPr>
          <w:rStyle w:val="FootnoteReference"/>
          <w:rFonts w:eastAsia="Times New Roman" w:cs="Times New Roman"/>
          <w:noProof/>
          <w:lang w:eastAsia="fr-FR"/>
        </w:rPr>
        <w:footnoteReference w:id="174"/>
      </w:r>
      <w:r>
        <w:rPr>
          <w:rFonts w:eastAsia="Times New Roman" w:cs="Times New Roman"/>
          <w:noProof/>
          <w:lang w:eastAsia="fr-FR"/>
        </w:rPr>
        <w:t>. Stakeholders have underscored the importance that constitutional changes follow an open and timely public discussion, which involves stakeholders and civil society, in line with  European standards</w:t>
      </w:r>
      <w:r>
        <w:rPr>
          <w:rStyle w:val="FootnoteReference"/>
          <w:rFonts w:eastAsia="Times New Roman" w:cs="Times New Roman"/>
          <w:noProof/>
          <w:lang w:eastAsia="fr-FR"/>
        </w:rPr>
        <w:footnoteReference w:id="175"/>
      </w:r>
      <w:r>
        <w:rPr>
          <w:rFonts w:eastAsia="Times New Roman" w:cs="Times New Roman"/>
          <w:noProof/>
          <w:lang w:eastAsia="fr-FR"/>
        </w:rPr>
        <w:t>. Stakeholders have also expressed concerns about their lack of involvement in other legislative processes</w:t>
      </w:r>
      <w:r>
        <w:rPr>
          <w:rStyle w:val="FootnoteReference"/>
          <w:rFonts w:eastAsia="Times New Roman" w:cs="Times New Roman"/>
          <w:noProof/>
          <w:lang w:eastAsia="fr-FR"/>
        </w:rPr>
        <w:footnoteReference w:id="176"/>
      </w:r>
      <w:r>
        <w:rPr>
          <w:rFonts w:eastAsia="Times New Roman" w:cs="Times New Roman"/>
          <w:noProof/>
          <w:lang w:eastAsia="fr-FR"/>
        </w:rPr>
        <w:t xml:space="preserve"> and about the use of fast-track procedures in Parliament, which was also followed for legislation that was not strictly related to the pandemic</w:t>
      </w:r>
      <w:r>
        <w:rPr>
          <w:rStyle w:val="FootnoteReference"/>
          <w:rFonts w:eastAsia="Times New Roman" w:cs="Times New Roman"/>
          <w:noProof/>
          <w:lang w:eastAsia="fr-FR"/>
        </w:rPr>
        <w:footnoteReference w:id="177"/>
      </w:r>
      <w:r>
        <w:rPr>
          <w:rFonts w:eastAsia="Times New Roman" w:cs="Times New Roman"/>
          <w:noProof/>
          <w:lang w:eastAsia="fr-FR"/>
        </w:rPr>
        <w:t xml:space="preserve">. </w:t>
      </w:r>
    </w:p>
    <w:p w:rsidR="00323528" w:rsidRDefault="003A3A10">
      <w:pPr>
        <w:rPr>
          <w:b/>
          <w:bCs/>
          <w:noProof/>
        </w:rPr>
      </w:pPr>
      <w:r>
        <w:rPr>
          <w:rFonts w:cs="Times New Roman"/>
          <w:b/>
          <w:bCs/>
          <w:noProof/>
        </w:rPr>
        <w:t>P</w:t>
      </w:r>
      <w:r>
        <w:rPr>
          <w:b/>
          <w:bCs/>
          <w:noProof/>
        </w:rPr>
        <w:t>lans announced in 2020 for improving the law-making process and strengthening transparency, efficiency and accountability of the public administration have not yet materialised</w:t>
      </w:r>
      <w:r>
        <w:rPr>
          <w:rStyle w:val="FootnoteReference"/>
          <w:b/>
          <w:bCs/>
          <w:noProof/>
        </w:rPr>
        <w:footnoteReference w:id="178"/>
      </w:r>
      <w:r>
        <w:rPr>
          <w:b/>
          <w:bCs/>
          <w:noProof/>
        </w:rPr>
        <w:t xml:space="preserve">. </w:t>
      </w:r>
      <w:r>
        <w:rPr>
          <w:noProof/>
        </w:rPr>
        <w:t>The new Government in place as of April 2021 included into its Programme Sta</w:t>
      </w:r>
      <w:r>
        <w:rPr>
          <w:noProof/>
        </w:rPr>
        <w:t>tement the commitments of its preceding Government</w:t>
      </w:r>
      <w:r>
        <w:rPr>
          <w:rStyle w:val="FootnoteReference"/>
          <w:noProof/>
        </w:rPr>
        <w:footnoteReference w:id="179"/>
      </w:r>
      <w:r>
        <w:rPr>
          <w:noProof/>
        </w:rPr>
        <w:t xml:space="preserve"> to improve the process for preparing and enacting law, strengthen the transparency, efficiency and accountability of the public administration, expand the access to information and broaden the application</w:t>
      </w:r>
      <w:r>
        <w:rPr>
          <w:noProof/>
        </w:rPr>
        <w:t xml:space="preserve"> of open government. It has also taken over the commitment to strengthen the competences of the Supreme Audit Office</w:t>
      </w:r>
      <w:r>
        <w:rPr>
          <w:rStyle w:val="FootnoteReference"/>
          <w:noProof/>
        </w:rPr>
        <w:footnoteReference w:id="180"/>
      </w:r>
      <w:r>
        <w:rPr>
          <w:noProof/>
        </w:rPr>
        <w:t>. Proposals to these ends have not yet been presented or stakeholder consultations launched. An amendment to the Act on Free Access to Info</w:t>
      </w:r>
      <w:r>
        <w:rPr>
          <w:noProof/>
        </w:rPr>
        <w:t>rmation is in the preparatory phase in the Government</w:t>
      </w:r>
      <w:r>
        <w:rPr>
          <w:rStyle w:val="FootnoteReference"/>
          <w:noProof/>
        </w:rPr>
        <w:footnoteReference w:id="181"/>
      </w:r>
      <w:r>
        <w:rPr>
          <w:noProof/>
        </w:rPr>
        <w:t xml:space="preserve">. </w:t>
      </w:r>
    </w:p>
    <w:p w:rsidR="00323528" w:rsidRDefault="003A3A10">
      <w:pPr>
        <w:rPr>
          <w:rFonts w:eastAsia="Times New Roman" w:cs="Times New Roman"/>
          <w:noProof/>
          <w:szCs w:val="20"/>
          <w:lang w:eastAsia="fr-FR"/>
        </w:rPr>
      </w:pPr>
      <w:r>
        <w:rPr>
          <w:rFonts w:eastAsia="Times New Roman" w:cs="Times New Roman"/>
          <w:b/>
          <w:bCs/>
          <w:noProof/>
          <w:lang w:eastAsia="fr-FR"/>
        </w:rPr>
        <w:t>The Constitutional reform expressly stipulates that the Constitutional Court does not have the competence to review Constitutional laws</w:t>
      </w:r>
      <w:r>
        <w:rPr>
          <w:rFonts w:eastAsia="Times New Roman" w:cs="Times New Roman"/>
          <w:noProof/>
          <w:lang w:eastAsia="fr-FR"/>
        </w:rPr>
        <w:t>. In the past, the Constitutional Court has asserted the power t</w:t>
      </w:r>
      <w:r>
        <w:rPr>
          <w:rFonts w:eastAsia="Times New Roman" w:cs="Times New Roman"/>
          <w:noProof/>
          <w:lang w:eastAsia="fr-FR"/>
        </w:rPr>
        <w:t>o assess the constitutionality of constitutional laws, which it used once to protect judicial independence</w:t>
      </w:r>
      <w:r>
        <w:rPr>
          <w:rStyle w:val="FootnoteReference"/>
          <w:rFonts w:eastAsia="Times New Roman" w:cs="Times New Roman"/>
          <w:noProof/>
          <w:lang w:eastAsia="fr-FR"/>
        </w:rPr>
        <w:footnoteReference w:id="182"/>
      </w:r>
      <w:r>
        <w:rPr>
          <w:rFonts w:eastAsia="Times New Roman" w:cs="Times New Roman"/>
          <w:noProof/>
          <w:lang w:eastAsia="fr-FR"/>
        </w:rPr>
        <w:t>. The recent Constitutional reform (see Section I) has changed the wording of the Constitution so as to expressly prohibit the Court from reviewing t</w:t>
      </w:r>
      <w:r>
        <w:rPr>
          <w:rFonts w:eastAsia="Times New Roman" w:cs="Times New Roman"/>
          <w:noProof/>
          <w:lang w:eastAsia="fr-FR"/>
        </w:rPr>
        <w:t>he constitutionality of such laws. The change has been criticised by stakeholders</w:t>
      </w:r>
      <w:r>
        <w:rPr>
          <w:rStyle w:val="FootnoteReference"/>
          <w:rFonts w:eastAsia="Times New Roman" w:cs="Times New Roman"/>
          <w:noProof/>
          <w:lang w:eastAsia="fr-FR"/>
        </w:rPr>
        <w:footnoteReference w:id="183"/>
      </w:r>
      <w:r>
        <w:rPr>
          <w:rFonts w:eastAsia="Times New Roman" w:cs="Times New Roman"/>
          <w:noProof/>
          <w:lang w:eastAsia="fr-FR"/>
        </w:rPr>
        <w:t>. The constitutionality of this amendment has been challenged before the Constitutional Court, where it is still pending</w:t>
      </w:r>
      <w:r>
        <w:rPr>
          <w:rStyle w:val="FootnoteReference"/>
          <w:rFonts w:eastAsia="Times New Roman" w:cs="Times New Roman"/>
          <w:noProof/>
          <w:lang w:eastAsia="fr-FR"/>
        </w:rPr>
        <w:footnoteReference w:id="184"/>
      </w:r>
      <w:r>
        <w:rPr>
          <w:noProof/>
        </w:rPr>
        <w:t>.</w:t>
      </w:r>
      <w:r>
        <w:rPr>
          <w:rFonts w:eastAsia="Times New Roman" w:cs="Times New Roman"/>
          <w:noProof/>
          <w:lang w:eastAsia="fr-FR"/>
        </w:rPr>
        <w:t xml:space="preserve"> </w:t>
      </w:r>
    </w:p>
    <w:p w:rsidR="00323528" w:rsidRDefault="003A3A10">
      <w:pPr>
        <w:rPr>
          <w:rFonts w:eastAsia="Times New Roman" w:cs="Times New Roman"/>
          <w:noProof/>
          <w:lang w:eastAsia="fr-FR"/>
        </w:rPr>
      </w:pPr>
      <w:r>
        <w:rPr>
          <w:rFonts w:eastAsia="Times New Roman" w:cs="Times New Roman"/>
          <w:b/>
          <w:bCs/>
          <w:noProof/>
          <w:lang w:eastAsia="fr-FR"/>
        </w:rPr>
        <w:t>The Parliament amended legislation regarding the s</w:t>
      </w:r>
      <w:r>
        <w:rPr>
          <w:rFonts w:eastAsia="Times New Roman" w:cs="Times New Roman"/>
          <w:b/>
          <w:bCs/>
          <w:noProof/>
          <w:lang w:eastAsia="fr-FR"/>
        </w:rPr>
        <w:t>tate of emergency to allow prolongation beyond 90 days</w:t>
      </w:r>
      <w:r>
        <w:rPr>
          <w:rFonts w:eastAsia="Times New Roman" w:cs="Times New Roman"/>
          <w:noProof/>
          <w:lang w:eastAsia="fr-FR"/>
        </w:rPr>
        <w:t>. The Parliament continued its operation during the state of emergency without major disruptions</w:t>
      </w:r>
      <w:r>
        <w:rPr>
          <w:rStyle w:val="FootnoteReference"/>
          <w:rFonts w:eastAsia="Times New Roman" w:cs="Times New Roman"/>
          <w:noProof/>
          <w:lang w:eastAsia="fr-FR"/>
        </w:rPr>
        <w:footnoteReference w:id="185"/>
      </w:r>
      <w:r>
        <w:rPr>
          <w:rFonts w:eastAsia="Times New Roman" w:cs="Times New Roman"/>
          <w:noProof/>
          <w:lang w:eastAsia="fr-FR"/>
        </w:rPr>
        <w:t>. The state of emergency allows the Government to adopt ordinances that limit certain rights and freedoms</w:t>
      </w:r>
      <w:r>
        <w:rPr>
          <w:rFonts w:eastAsia="Times New Roman" w:cs="Times New Roman"/>
          <w:noProof/>
          <w:lang w:eastAsia="fr-FR"/>
        </w:rPr>
        <w:t>, such as freedom of movement</w:t>
      </w:r>
      <w:r>
        <w:rPr>
          <w:rStyle w:val="FootnoteReference"/>
          <w:rFonts w:eastAsia="Times New Roman" w:cs="Times New Roman"/>
          <w:noProof/>
          <w:lang w:eastAsia="fr-FR"/>
        </w:rPr>
        <w:footnoteReference w:id="186"/>
      </w:r>
      <w:r>
        <w:rPr>
          <w:rFonts w:eastAsia="Times New Roman" w:cs="Times New Roman"/>
          <w:noProof/>
          <w:lang w:eastAsia="fr-FR"/>
        </w:rPr>
        <w:t>. The state of emergency may be declared by the Government for no longer than 90 days, under conditions stipulated by a Constitutional law</w:t>
      </w:r>
      <w:r>
        <w:rPr>
          <w:rStyle w:val="FootnoteReference"/>
          <w:rFonts w:eastAsia="Times New Roman" w:cs="Times New Roman"/>
          <w:noProof/>
          <w:lang w:eastAsia="fr-FR"/>
        </w:rPr>
        <w:footnoteReference w:id="187"/>
      </w:r>
      <w:r>
        <w:rPr>
          <w:rFonts w:eastAsia="Times New Roman" w:cs="Times New Roman"/>
          <w:noProof/>
          <w:lang w:eastAsia="fr-FR"/>
        </w:rPr>
        <w:t>. Following the application of the state of emergency from 16 March 2020 to 13 June 202</w:t>
      </w:r>
      <w:r>
        <w:rPr>
          <w:rFonts w:eastAsia="Times New Roman" w:cs="Times New Roman"/>
          <w:noProof/>
          <w:lang w:eastAsia="fr-FR"/>
        </w:rPr>
        <w:t>0</w:t>
      </w:r>
      <w:r>
        <w:rPr>
          <w:rStyle w:val="FootnoteReference"/>
          <w:rFonts w:eastAsia="Times New Roman" w:cs="Times New Roman"/>
          <w:noProof/>
          <w:lang w:eastAsia="fr-FR"/>
        </w:rPr>
        <w:footnoteReference w:id="188"/>
      </w:r>
      <w:r>
        <w:rPr>
          <w:rFonts w:eastAsia="Times New Roman" w:cs="Times New Roman"/>
          <w:noProof/>
          <w:lang w:eastAsia="fr-FR"/>
        </w:rPr>
        <w:t>, the Government declared a new state of emergency as of 1 October 2020. In December 2020, the Parliament amended the relevant legislation to allow for the repeated extension of the state of emergency by the Government by 40 days with a requirement of su</w:t>
      </w:r>
      <w:r>
        <w:rPr>
          <w:rFonts w:eastAsia="Times New Roman" w:cs="Times New Roman"/>
          <w:noProof/>
          <w:lang w:eastAsia="fr-FR"/>
        </w:rPr>
        <w:t>bsequent approval by Parliament</w:t>
      </w:r>
      <w:r>
        <w:rPr>
          <w:rStyle w:val="FootnoteReference"/>
          <w:rFonts w:eastAsia="Times New Roman" w:cs="Times New Roman"/>
          <w:noProof/>
          <w:lang w:eastAsia="fr-FR"/>
        </w:rPr>
        <w:footnoteReference w:id="189"/>
      </w:r>
      <w:r>
        <w:rPr>
          <w:rFonts w:eastAsia="Times New Roman" w:cs="Times New Roman"/>
          <w:noProof/>
          <w:lang w:eastAsia="fr-FR"/>
        </w:rPr>
        <w:t>. The state of emergency ended on 15 May 2021. The Constitutional Court has the competence to review the constitutionality of a declaration and extension of the state of emergency</w:t>
      </w:r>
      <w:r>
        <w:rPr>
          <w:rStyle w:val="FootnoteReference"/>
          <w:rFonts w:eastAsia="Times New Roman" w:cs="Times New Roman"/>
          <w:noProof/>
          <w:lang w:eastAsia="fr-FR"/>
        </w:rPr>
        <w:footnoteReference w:id="190"/>
      </w:r>
      <w:r>
        <w:rPr>
          <w:rFonts w:eastAsia="Times New Roman" w:cs="Times New Roman"/>
          <w:noProof/>
          <w:lang w:eastAsia="fr-FR"/>
        </w:rPr>
        <w:t xml:space="preserve">. However, stakeholders have noted that the </w:t>
      </w:r>
      <w:r>
        <w:rPr>
          <w:rFonts w:eastAsia="Times New Roman" w:cs="Times New Roman"/>
          <w:noProof/>
          <w:lang w:eastAsia="fr-FR"/>
        </w:rPr>
        <w:t>time limits for such review are short</w:t>
      </w:r>
      <w:r>
        <w:rPr>
          <w:rStyle w:val="FootnoteReference"/>
          <w:rFonts w:eastAsia="Times New Roman" w:cs="Times New Roman"/>
          <w:noProof/>
          <w:lang w:eastAsia="fr-FR"/>
        </w:rPr>
        <w:footnoteReference w:id="191"/>
      </w:r>
      <w:r>
        <w:rPr>
          <w:rFonts w:eastAsia="Times New Roman" w:cs="Times New Roman"/>
          <w:noProof/>
          <w:lang w:eastAsia="fr-FR"/>
        </w:rPr>
        <w:t>. The Constitutional Court was petitioned to review the constitutionality of the declaration and one of the extensions, and on both occasions pronounced its conformity with the relevant legislation</w:t>
      </w:r>
      <w:r>
        <w:rPr>
          <w:rStyle w:val="FootnoteReference"/>
          <w:rFonts w:eastAsia="Times New Roman" w:cs="Times New Roman"/>
          <w:noProof/>
          <w:lang w:eastAsia="fr-FR"/>
        </w:rPr>
        <w:footnoteReference w:id="192"/>
      </w:r>
      <w:r>
        <w:rPr>
          <w:rFonts w:eastAsia="Times New Roman" w:cs="Times New Roman"/>
          <w:noProof/>
          <w:lang w:eastAsia="fr-FR"/>
        </w:rPr>
        <w:t>. The Constitutional</w:t>
      </w:r>
      <w:r>
        <w:rPr>
          <w:rFonts w:eastAsia="Times New Roman" w:cs="Times New Roman"/>
          <w:noProof/>
          <w:lang w:eastAsia="fr-FR"/>
        </w:rPr>
        <w:t xml:space="preserve"> Court has also reviewed several measures adopted in the context of the pandemic and clarified questions regarding the competence of ordinary courts to adjudicate on such measures. However, following subsequent changes of legislation</w:t>
      </w:r>
      <w:r>
        <w:rPr>
          <w:rStyle w:val="FootnoteReference"/>
          <w:rFonts w:eastAsia="Times New Roman" w:cs="Times New Roman"/>
          <w:noProof/>
          <w:lang w:eastAsia="fr-FR"/>
        </w:rPr>
        <w:footnoteReference w:id="193"/>
      </w:r>
      <w:r>
        <w:rPr>
          <w:rFonts w:eastAsia="Times New Roman" w:cs="Times New Roman"/>
          <w:noProof/>
          <w:lang w:eastAsia="fr-FR"/>
        </w:rPr>
        <w:t>, concerns were raised</w:t>
      </w:r>
      <w:r>
        <w:rPr>
          <w:rFonts w:eastAsia="Times New Roman" w:cs="Times New Roman"/>
          <w:noProof/>
          <w:lang w:eastAsia="fr-FR"/>
        </w:rPr>
        <w:t xml:space="preserve"> that the right to judicial review of certain measures may not be sufficiently guaranteed</w:t>
      </w:r>
      <w:r>
        <w:rPr>
          <w:rStyle w:val="FootnoteReference"/>
          <w:rFonts w:eastAsia="Times New Roman" w:cs="Times New Roman"/>
          <w:noProof/>
          <w:lang w:eastAsia="fr-FR"/>
        </w:rPr>
        <w:footnoteReference w:id="194"/>
      </w:r>
      <w:r>
        <w:rPr>
          <w:rFonts w:eastAsia="Times New Roman" w:cs="Times New Roman"/>
          <w:noProof/>
          <w:lang w:eastAsia="fr-FR"/>
        </w:rPr>
        <w:t xml:space="preserve">. </w:t>
      </w:r>
    </w:p>
    <w:p w:rsidR="00323528" w:rsidRDefault="003A3A10">
      <w:pPr>
        <w:rPr>
          <w:rFonts w:eastAsia="Times New Roman" w:cs="Times New Roman"/>
          <w:noProof/>
          <w:lang w:eastAsia="fr-FR"/>
        </w:rPr>
      </w:pPr>
      <w:r>
        <w:rPr>
          <w:rFonts w:eastAsia="Times New Roman" w:cs="Times New Roman"/>
          <w:b/>
          <w:bCs/>
          <w:noProof/>
          <w:lang w:eastAsia="fr-FR"/>
        </w:rPr>
        <w:t xml:space="preserve">The Public Defender of Rights and the National Centre for Human Rights took an active role to defend citizens’ rights during the pandemic. </w:t>
      </w:r>
      <w:r>
        <w:rPr>
          <w:rFonts w:eastAsia="Times New Roman" w:cs="Times New Roman"/>
          <w:noProof/>
          <w:lang w:eastAsia="fr-FR"/>
        </w:rPr>
        <w:t>The Public Defender of R</w:t>
      </w:r>
      <w:r>
        <w:rPr>
          <w:rFonts w:eastAsia="Times New Roman" w:cs="Times New Roman"/>
          <w:noProof/>
          <w:lang w:eastAsia="fr-FR"/>
        </w:rPr>
        <w:t>ights is an independent body tasked with protection of the fundamental rights and freedoms in proceedings before the public administration and other public bodies, while the Slovak National Centre for Human Rights is the competent National Human Rights Ins</w:t>
      </w:r>
      <w:r>
        <w:rPr>
          <w:rFonts w:eastAsia="Times New Roman" w:cs="Times New Roman"/>
          <w:noProof/>
          <w:lang w:eastAsia="fr-FR"/>
        </w:rPr>
        <w:t>titution as well as the equality body in Slovakia</w:t>
      </w:r>
      <w:r>
        <w:rPr>
          <w:rStyle w:val="FootnoteReference"/>
          <w:rFonts w:eastAsia="Times New Roman" w:cs="Times New Roman"/>
          <w:noProof/>
          <w:lang w:eastAsia="fr-FR"/>
        </w:rPr>
        <w:footnoteReference w:id="195"/>
      </w:r>
      <w:r>
        <w:rPr>
          <w:rFonts w:eastAsia="Times New Roman" w:cs="Times New Roman"/>
          <w:noProof/>
          <w:lang w:eastAsia="fr-FR"/>
        </w:rPr>
        <w:t xml:space="preserve">. During the COVID-19 pandemic, the Public Defender of Rights experienced an increase of almost 50% in complaints, as well as an increase of requests from the public for guidance regarding pandemic related </w:t>
      </w:r>
      <w:r>
        <w:rPr>
          <w:rFonts w:eastAsia="Times New Roman" w:cs="Times New Roman"/>
          <w:noProof/>
          <w:lang w:eastAsia="fr-FR"/>
        </w:rPr>
        <w:t>measures</w:t>
      </w:r>
      <w:r>
        <w:rPr>
          <w:rStyle w:val="FootnoteReference"/>
          <w:rFonts w:eastAsia="Times New Roman" w:cs="Times New Roman"/>
          <w:noProof/>
          <w:lang w:eastAsia="fr-FR"/>
        </w:rPr>
        <w:footnoteReference w:id="196"/>
      </w:r>
      <w:r>
        <w:rPr>
          <w:rFonts w:eastAsia="Times New Roman" w:cs="Times New Roman"/>
          <w:noProof/>
          <w:lang w:eastAsia="fr-FR"/>
        </w:rPr>
        <w:t>. The workload of the National Centre for Human Rights was comparable to that of last years, but the content of complaints changed, with a majority concerning the pandemic related measures</w:t>
      </w:r>
      <w:r>
        <w:rPr>
          <w:rStyle w:val="FootnoteReference"/>
          <w:rFonts w:eastAsia="Times New Roman" w:cs="Times New Roman"/>
          <w:noProof/>
          <w:lang w:eastAsia="fr-FR"/>
        </w:rPr>
        <w:footnoteReference w:id="197"/>
      </w:r>
      <w:r>
        <w:rPr>
          <w:rFonts w:eastAsia="Times New Roman" w:cs="Times New Roman"/>
          <w:noProof/>
          <w:lang w:eastAsia="fr-FR"/>
        </w:rPr>
        <w:t>. The institutions have found violations in several areas,</w:t>
      </w:r>
      <w:r>
        <w:rPr>
          <w:rFonts w:eastAsia="Times New Roman" w:cs="Times New Roman"/>
          <w:noProof/>
          <w:lang w:eastAsia="fr-FR"/>
        </w:rPr>
        <w:t xml:space="preserve"> such as regarding state mandated quarantine of persons returning from abroad, isolation of certain Roma settlements as a whole, and restrictions of access to health care and the right to education</w:t>
      </w:r>
      <w:r>
        <w:rPr>
          <w:rStyle w:val="FootnoteReference"/>
          <w:rFonts w:eastAsia="Times New Roman" w:cs="Times New Roman"/>
          <w:noProof/>
          <w:lang w:eastAsia="fr-FR"/>
        </w:rPr>
        <w:footnoteReference w:id="198"/>
      </w:r>
      <w:r>
        <w:rPr>
          <w:rFonts w:eastAsia="Times New Roman" w:cs="Times New Roman"/>
          <w:noProof/>
          <w:lang w:eastAsia="fr-FR"/>
        </w:rPr>
        <w:t xml:space="preserve">. </w:t>
      </w:r>
    </w:p>
    <w:p w:rsidR="00323528" w:rsidRDefault="003A3A10">
      <w:pPr>
        <w:rPr>
          <w:rFonts w:eastAsia="Times New Roman" w:cs="Times New Roman"/>
          <w:b/>
          <w:bCs/>
          <w:noProof/>
          <w:lang w:eastAsia="fr-FR"/>
        </w:rPr>
      </w:pPr>
      <w:r>
        <w:rPr>
          <w:rFonts w:eastAsia="Times New Roman" w:cs="Times New Roman"/>
          <w:b/>
          <w:bCs/>
          <w:noProof/>
          <w:lang w:eastAsia="fr-FR"/>
        </w:rPr>
        <w:t xml:space="preserve">An enabling legal framework for civil society </w:t>
      </w:r>
      <w:r>
        <w:rPr>
          <w:rFonts w:eastAsia="Times New Roman" w:cs="Times New Roman"/>
          <w:b/>
          <w:bCs/>
          <w:noProof/>
          <w:lang w:eastAsia="fr-FR"/>
        </w:rPr>
        <w:t>organisations remains in place but concerns emerged over the limitation of financing of certain NGOs</w:t>
      </w:r>
      <w:r>
        <w:rPr>
          <w:rFonts w:eastAsia="Times New Roman" w:cs="Times New Roman"/>
          <w:b/>
          <w:bCs/>
          <w:noProof/>
          <w:vertAlign w:val="superscript"/>
          <w:lang w:eastAsia="fr-FR"/>
        </w:rPr>
        <w:t xml:space="preserve"> </w:t>
      </w:r>
      <w:r>
        <w:rPr>
          <w:rStyle w:val="FootnoteReference"/>
          <w:rFonts w:eastAsia="Times New Roman" w:cs="Times New Roman"/>
          <w:b/>
          <w:bCs/>
          <w:noProof/>
          <w:lang w:eastAsia="fr-FR"/>
        </w:rPr>
        <w:footnoteReference w:id="199"/>
      </w:r>
      <w:r>
        <w:rPr>
          <w:rFonts w:eastAsia="Times New Roman" w:cs="Times New Roman"/>
          <w:b/>
          <w:bCs/>
          <w:noProof/>
          <w:lang w:eastAsia="fr-FR"/>
        </w:rPr>
        <w:t xml:space="preserve">. </w:t>
      </w:r>
      <w:r>
        <w:rPr>
          <w:rFonts w:eastAsia="Times New Roman" w:cs="Times New Roman"/>
          <w:noProof/>
          <w:lang w:eastAsia="fr-FR"/>
        </w:rPr>
        <w:t>The commitment to further strengthen civil society has been taken over by the new Government</w:t>
      </w:r>
      <w:r>
        <w:rPr>
          <w:rStyle w:val="FootnoteReference"/>
          <w:rFonts w:eastAsia="Times New Roman" w:cs="Times New Roman"/>
          <w:noProof/>
          <w:lang w:eastAsia="fr-FR"/>
        </w:rPr>
        <w:footnoteReference w:id="200"/>
      </w:r>
      <w:r>
        <w:rPr>
          <w:rFonts w:eastAsia="Times New Roman" w:cs="Times New Roman"/>
          <w:noProof/>
          <w:lang w:eastAsia="fr-FR"/>
        </w:rPr>
        <w:t>. A new Register of Non-Governmental Non-profit Organisatio</w:t>
      </w:r>
      <w:r>
        <w:rPr>
          <w:rFonts w:eastAsia="Times New Roman" w:cs="Times New Roman"/>
          <w:noProof/>
          <w:lang w:eastAsia="fr-FR"/>
        </w:rPr>
        <w:t>ns</w:t>
      </w:r>
      <w:r>
        <w:rPr>
          <w:rStyle w:val="FootnoteReference"/>
          <w:rFonts w:eastAsia="Times New Roman" w:cs="Times New Roman"/>
          <w:noProof/>
          <w:lang w:eastAsia="fr-FR"/>
        </w:rPr>
        <w:footnoteReference w:id="201"/>
      </w:r>
      <w:r>
        <w:rPr>
          <w:rFonts w:eastAsia="Times New Roman" w:cs="Times New Roman"/>
          <w:noProof/>
          <w:lang w:eastAsia="fr-FR"/>
        </w:rPr>
        <w:t xml:space="preserve"> was launched  in December 2020. It represents a single public register of all organisations defined by the respective Act operating in Slovakia and aims to further improve transparency. Concerns have been reported by stakeholders regarding verbal attac</w:t>
      </w:r>
      <w:r>
        <w:rPr>
          <w:rFonts w:eastAsia="Times New Roman" w:cs="Times New Roman"/>
          <w:noProof/>
          <w:lang w:eastAsia="fr-FR"/>
        </w:rPr>
        <w:t>ks from public authorities and politicians on activists and civil society organisations</w:t>
      </w:r>
      <w:r>
        <w:rPr>
          <w:rStyle w:val="FootnoteReference"/>
          <w:rFonts w:eastAsia="Times New Roman" w:cs="Times New Roman"/>
          <w:noProof/>
          <w:lang w:eastAsia="fr-FR"/>
        </w:rPr>
        <w:footnoteReference w:id="202"/>
      </w:r>
      <w:r>
        <w:rPr>
          <w:rFonts w:eastAsia="Times New Roman" w:cs="Times New Roman"/>
          <w:noProof/>
          <w:lang w:eastAsia="fr-FR"/>
        </w:rPr>
        <w:t xml:space="preserve"> and the deliberate limitation of public funds for organisations that promote gender-equality</w:t>
      </w:r>
      <w:r>
        <w:rPr>
          <w:rStyle w:val="FootnoteReference"/>
          <w:rFonts w:eastAsia="Times New Roman" w:cs="Times New Roman"/>
          <w:noProof/>
          <w:lang w:eastAsia="fr-FR"/>
        </w:rPr>
        <w:footnoteReference w:id="203"/>
      </w:r>
      <w:r>
        <w:rPr>
          <w:rFonts w:eastAsia="Times New Roman" w:cs="Times New Roman"/>
          <w:noProof/>
          <w:lang w:eastAsia="fr-FR"/>
        </w:rPr>
        <w:t>. Moreover, the COVID-19 pandemic has put the operations of a number of ci</w:t>
      </w:r>
      <w:r>
        <w:rPr>
          <w:rFonts w:eastAsia="Times New Roman" w:cs="Times New Roman"/>
          <w:noProof/>
          <w:lang w:eastAsia="fr-FR"/>
        </w:rPr>
        <w:t>vil society organisations under strain and stakeholders expressed particular concerns as regards general repercussions of the pandemic on the financial situation of NGOs</w:t>
      </w:r>
      <w:r>
        <w:rPr>
          <w:rStyle w:val="FootnoteReference"/>
          <w:rFonts w:eastAsia="Times New Roman" w:cs="Times New Roman"/>
          <w:noProof/>
          <w:lang w:eastAsia="fr-FR"/>
        </w:rPr>
        <w:footnoteReference w:id="204"/>
      </w:r>
      <w:r>
        <w:rPr>
          <w:rFonts w:eastAsia="Times New Roman" w:cs="Times New Roman"/>
          <w:noProof/>
          <w:lang w:eastAsia="fr-FR"/>
        </w:rPr>
        <w:t xml:space="preserve">. </w:t>
      </w:r>
    </w:p>
    <w:p w:rsidR="00323528" w:rsidRDefault="003A3A10">
      <w:pPr>
        <w:spacing w:after="120"/>
        <w:rPr>
          <w:noProof/>
        </w:rPr>
      </w:pPr>
      <w:r>
        <w:rPr>
          <w:noProof/>
        </w:rPr>
        <w:br w:type="page"/>
      </w:r>
    </w:p>
    <w:p w:rsidR="00323528" w:rsidRDefault="003A3A10">
      <w:pPr>
        <w:spacing w:after="120" w:line="264" w:lineRule="auto"/>
        <w:rPr>
          <w:rFonts w:eastAsia="Times New Roman" w:cs="Times New Roman"/>
          <w:b/>
          <w:bCs/>
          <w:noProof/>
          <w:sz w:val="22"/>
        </w:rPr>
      </w:pPr>
      <w:r>
        <w:rPr>
          <w:rFonts w:eastAsia="Times New Roman" w:cs="Times New Roman"/>
          <w:b/>
          <w:bCs/>
          <w:noProof/>
          <w:sz w:val="22"/>
        </w:rPr>
        <w:t>Annex I: List of sources in alphabetical order*</w:t>
      </w:r>
    </w:p>
    <w:p w:rsidR="00323528" w:rsidRDefault="003A3A10">
      <w:pPr>
        <w:spacing w:after="120"/>
        <w:rPr>
          <w:rFonts w:eastAsia="Times New Roman" w:cs="Times New Roman"/>
          <w:i/>
          <w:iCs/>
          <w:noProof/>
          <w:sz w:val="22"/>
        </w:rPr>
      </w:pPr>
      <w:r>
        <w:rPr>
          <w:rFonts w:eastAsia="Times New Roman" w:cs="Times New Roman"/>
          <w:i/>
          <w:iCs/>
          <w:noProof/>
          <w:sz w:val="22"/>
        </w:rPr>
        <w:t>* The list of contributions recei</w:t>
      </w:r>
      <w:r>
        <w:rPr>
          <w:rFonts w:eastAsia="Times New Roman" w:cs="Times New Roman"/>
          <w:i/>
          <w:iCs/>
          <w:noProof/>
          <w:sz w:val="22"/>
        </w:rPr>
        <w:t xml:space="preserve">ved in the context of the consultation for the 2021 Rule of Law report can be found at </w:t>
      </w:r>
      <w:hyperlink r:id="rId18" w:history="1">
        <w:r>
          <w:rPr>
            <w:rStyle w:val="Hyperlink"/>
            <w:rFonts w:eastAsia="Times New Roman" w:cs="Times New Roman"/>
            <w:i/>
            <w:iCs/>
            <w:noProof/>
            <w:sz w:val="22"/>
            <w:lang w:val="en-IE"/>
          </w:rPr>
          <w:t>https://ec.europa.eu/info/policies/justice-and-fundamental-rights/upholding-rule-law/rule-law/rule-law-mechanism/2021-rule-law-report-targeted-stakeholder-consultation</w:t>
        </w:r>
      </w:hyperlink>
      <w:r>
        <w:rPr>
          <w:rFonts w:eastAsia="Times New Roman" w:cs="Times New Roman"/>
          <w:i/>
          <w:iCs/>
          <w:noProof/>
          <w:sz w:val="22"/>
        </w:rPr>
        <w:t>.</w:t>
      </w:r>
    </w:p>
    <w:p w:rsidR="00323528" w:rsidRDefault="003A3A10">
      <w:pPr>
        <w:spacing w:after="120"/>
        <w:rPr>
          <w:rFonts w:eastAsia="Times New Roman" w:cs="Times New Roman"/>
          <w:noProof/>
          <w:sz w:val="22"/>
        </w:rPr>
      </w:pPr>
      <w:r>
        <w:rPr>
          <w:rFonts w:eastAsia="Times New Roman" w:cs="Times New Roman"/>
          <w:iCs/>
          <w:noProof/>
          <w:sz w:val="22"/>
        </w:rPr>
        <w:t xml:space="preserve">Aktuality.sk (2021), </w:t>
      </w:r>
      <w:r>
        <w:rPr>
          <w:rFonts w:eastAsia="Times New Roman" w:cs="Times New Roman"/>
          <w:i/>
          <w:iCs/>
          <w:noProof/>
          <w:sz w:val="22"/>
        </w:rPr>
        <w:t xml:space="preserve">NAKA again detained financier Kvietik and several </w:t>
      </w:r>
      <w:r>
        <w:rPr>
          <w:rFonts w:eastAsia="Times New Roman" w:cs="Times New Roman"/>
          <w:i/>
          <w:iCs/>
          <w:noProof/>
          <w:sz w:val="22"/>
        </w:rPr>
        <w:t>people from the Slovak Land Fund</w:t>
      </w:r>
      <w:r>
        <w:rPr>
          <w:rFonts w:eastAsia="Times New Roman" w:cs="Times New Roman"/>
          <w:iCs/>
          <w:noProof/>
          <w:sz w:val="22"/>
        </w:rPr>
        <w:t xml:space="preserve"> (</w:t>
      </w:r>
      <w:r>
        <w:rPr>
          <w:rFonts w:eastAsia="Times New Roman" w:cs="Times New Roman"/>
          <w:i/>
          <w:iCs/>
          <w:noProof/>
          <w:sz w:val="22"/>
        </w:rPr>
        <w:t>NAKA opäť zadržala finančníka Kvietika aj viacero ľudí zo Slovenského pozemkového fondu</w:t>
      </w:r>
      <w:r>
        <w:rPr>
          <w:rFonts w:eastAsia="Times New Roman" w:cs="Times New Roman"/>
          <w:iCs/>
          <w:noProof/>
          <w:sz w:val="22"/>
        </w:rPr>
        <w:t>)</w:t>
      </w:r>
      <w:r>
        <w:rPr>
          <w:noProof/>
          <w:sz w:val="22"/>
        </w:rPr>
        <w:t xml:space="preserve"> (</w:t>
      </w:r>
      <w:hyperlink r:id="rId19" w:history="1">
        <w:r>
          <w:rPr>
            <w:rStyle w:val="Hyperlink"/>
            <w:rFonts w:eastAsia="Times New Roman" w:cs="Times New Roman"/>
            <w:noProof/>
            <w:sz w:val="22"/>
          </w:rPr>
          <w:t>https://www.aktuality.sk/clano</w:t>
        </w:r>
        <w:r>
          <w:rPr>
            <w:rStyle w:val="Hyperlink"/>
            <w:rFonts w:eastAsia="Times New Roman" w:cs="Times New Roman"/>
            <w:noProof/>
            <w:sz w:val="22"/>
          </w:rPr>
          <w:t>k/892385/naka-opat-zadrzala-financnika-martina-kvietika</w:t>
        </w:r>
      </w:hyperlink>
      <w:r>
        <w:rPr>
          <w:noProof/>
          <w:sz w:val="22"/>
        </w:rPr>
        <w:t>)</w:t>
      </w:r>
      <w:r>
        <w:rPr>
          <w:rFonts w:eastAsia="Times New Roman" w:cs="Times New Roman"/>
          <w:noProof/>
          <w:sz w:val="22"/>
        </w:rPr>
        <w:t>.</w:t>
      </w:r>
    </w:p>
    <w:p w:rsidR="00323528" w:rsidRDefault="003A3A10">
      <w:pPr>
        <w:spacing w:after="120"/>
        <w:jc w:val="left"/>
        <w:rPr>
          <w:noProof/>
          <w:sz w:val="22"/>
        </w:rPr>
      </w:pPr>
      <w:r>
        <w:rPr>
          <w:rFonts w:eastAsia="Times New Roman" w:cs="Times New Roman"/>
          <w:noProof/>
          <w:sz w:val="22"/>
        </w:rPr>
        <w:t xml:space="preserve">Bureau of Consultative Council of European Judges (2020), </w:t>
      </w:r>
      <w:r>
        <w:rPr>
          <w:rFonts w:eastAsia="Times New Roman" w:cs="Times New Roman"/>
          <w:i/>
          <w:iCs/>
          <w:noProof/>
          <w:sz w:val="22"/>
        </w:rPr>
        <w:t>Opinion of 9 December 2020</w:t>
      </w:r>
      <w:r>
        <w:rPr>
          <w:rFonts w:eastAsia="Times New Roman" w:cs="Times New Roman"/>
          <w:noProof/>
          <w:sz w:val="22"/>
        </w:rPr>
        <w:t>, CCJE-BU(2020)3.</w:t>
      </w:r>
    </w:p>
    <w:p w:rsidR="00323528" w:rsidRDefault="003A3A10">
      <w:pPr>
        <w:spacing w:after="120"/>
        <w:rPr>
          <w:rFonts w:eastAsia="Times New Roman" w:cs="Times New Roman"/>
          <w:noProof/>
          <w:sz w:val="22"/>
        </w:rPr>
      </w:pPr>
      <w:r>
        <w:rPr>
          <w:rFonts w:eastAsia="Times New Roman" w:cs="Times New Roman"/>
          <w:noProof/>
          <w:sz w:val="22"/>
        </w:rPr>
        <w:t xml:space="preserve">Centre for Media Pluralism and Media Freedom (2021), </w:t>
      </w:r>
      <w:r>
        <w:rPr>
          <w:rFonts w:eastAsia="Times New Roman" w:cs="Times New Roman"/>
          <w:i/>
          <w:iCs/>
          <w:noProof/>
          <w:sz w:val="22"/>
        </w:rPr>
        <w:t>Media pluralism monitor 2021</w:t>
      </w:r>
      <w:r>
        <w:rPr>
          <w:rFonts w:eastAsia="Times New Roman" w:cs="Times New Roman"/>
          <w:noProof/>
          <w:sz w:val="22"/>
        </w:rPr>
        <w:t>.</w:t>
      </w:r>
    </w:p>
    <w:p w:rsidR="00323528" w:rsidRDefault="003A3A10">
      <w:pPr>
        <w:spacing w:after="120"/>
        <w:rPr>
          <w:rFonts w:eastAsia="Times New Roman" w:cs="Times New Roman"/>
          <w:i/>
          <w:iCs/>
          <w:noProof/>
          <w:sz w:val="22"/>
        </w:rPr>
      </w:pPr>
      <w:r>
        <w:rPr>
          <w:rFonts w:eastAsia="Times New Roman" w:cs="Times New Roman"/>
          <w:noProof/>
          <w:sz w:val="22"/>
        </w:rPr>
        <w:t>Civil Liberti</w:t>
      </w:r>
      <w:r>
        <w:rPr>
          <w:rFonts w:eastAsia="Times New Roman" w:cs="Times New Roman"/>
          <w:noProof/>
          <w:sz w:val="22"/>
        </w:rPr>
        <w:t xml:space="preserve">es Union for Europe (2021), </w:t>
      </w:r>
      <w:r>
        <w:rPr>
          <w:rFonts w:eastAsia="Times New Roman" w:cs="Times New Roman"/>
          <w:i/>
          <w:iCs/>
          <w:noProof/>
          <w:sz w:val="22"/>
        </w:rPr>
        <w:t>Contribution for Europe for the 2021 Rule of Law Report.</w:t>
      </w:r>
    </w:p>
    <w:p w:rsidR="00323528" w:rsidRDefault="003A3A10">
      <w:pPr>
        <w:spacing w:after="120"/>
        <w:jc w:val="left"/>
        <w:rPr>
          <w:noProof/>
          <w:sz w:val="22"/>
        </w:rPr>
      </w:pPr>
      <w:r>
        <w:rPr>
          <w:rFonts w:eastAsia="Times New Roman" w:cs="Times New Roman"/>
          <w:noProof/>
          <w:sz w:val="22"/>
        </w:rPr>
        <w:t xml:space="preserve">Communication platform of Slovak judges and the Association of Slovak judges (2021), </w:t>
      </w:r>
      <w:r>
        <w:rPr>
          <w:rFonts w:eastAsia="Times New Roman" w:cs="Times New Roman"/>
          <w:i/>
          <w:iCs/>
          <w:noProof/>
          <w:sz w:val="22"/>
        </w:rPr>
        <w:t>contribution for the 2021 Rule of Law Report.</w:t>
      </w:r>
    </w:p>
    <w:p w:rsidR="00323528" w:rsidRDefault="003A3A10">
      <w:pPr>
        <w:spacing w:after="120"/>
        <w:jc w:val="left"/>
        <w:rPr>
          <w:noProof/>
          <w:sz w:val="22"/>
        </w:rPr>
      </w:pPr>
      <w:r>
        <w:rPr>
          <w:rFonts w:eastAsia="Times New Roman" w:cs="Times New Roman"/>
          <w:noProof/>
          <w:sz w:val="22"/>
        </w:rPr>
        <w:t>Council of Europe: Committee of Minister</w:t>
      </w:r>
      <w:r>
        <w:rPr>
          <w:rFonts w:eastAsia="Times New Roman" w:cs="Times New Roman"/>
          <w:noProof/>
          <w:sz w:val="22"/>
        </w:rPr>
        <w:t xml:space="preserve">s (2010), </w:t>
      </w:r>
      <w:r>
        <w:rPr>
          <w:rFonts w:eastAsia="Times New Roman" w:cs="Times New Roman"/>
          <w:i/>
          <w:iCs/>
          <w:noProof/>
          <w:sz w:val="22"/>
        </w:rPr>
        <w:t>Recommendation CM/Rec(2010)12 of the Committee of Ministers to member states on judges: independence, efficiency and responsibilities.</w:t>
      </w:r>
    </w:p>
    <w:p w:rsidR="00323528" w:rsidRDefault="003A3A10">
      <w:pPr>
        <w:spacing w:after="120"/>
        <w:rPr>
          <w:rFonts w:eastAsia="Times New Roman" w:cs="Times New Roman"/>
          <w:i/>
          <w:iCs/>
          <w:noProof/>
          <w:sz w:val="22"/>
        </w:rPr>
      </w:pPr>
      <w:r>
        <w:rPr>
          <w:rFonts w:eastAsia="Times New Roman" w:cs="Times New Roman"/>
          <w:noProof/>
          <w:sz w:val="22"/>
        </w:rPr>
        <w:t xml:space="preserve">Council of Europe (2020): </w:t>
      </w:r>
      <w:r>
        <w:rPr>
          <w:rFonts w:eastAsia="Times New Roman" w:cs="Times New Roman"/>
          <w:i/>
          <w:iCs/>
          <w:noProof/>
          <w:sz w:val="22"/>
        </w:rPr>
        <w:t>Recommendation of 20 May 2020 on the 2020 National Reform Programme of Slovakia and d</w:t>
      </w:r>
      <w:r>
        <w:rPr>
          <w:rFonts w:eastAsia="Times New Roman" w:cs="Times New Roman"/>
          <w:i/>
          <w:iCs/>
          <w:noProof/>
          <w:sz w:val="22"/>
        </w:rPr>
        <w:t>elivering a Council opinion on the 2020 Stability Programme of Slovakia, COM(2020) 525 final.</w:t>
      </w:r>
    </w:p>
    <w:p w:rsidR="00323528" w:rsidRDefault="003A3A10">
      <w:pPr>
        <w:spacing w:after="120"/>
        <w:rPr>
          <w:rFonts w:eastAsia="Times New Roman" w:cs="Times New Roman"/>
          <w:noProof/>
          <w:sz w:val="22"/>
        </w:rPr>
      </w:pPr>
      <w:r>
        <w:rPr>
          <w:rFonts w:eastAsia="Times New Roman" w:cs="Times New Roman"/>
          <w:noProof/>
          <w:sz w:val="22"/>
        </w:rPr>
        <w:t xml:space="preserve">Council of Europe: Venice Commission (2005), </w:t>
      </w:r>
      <w:r>
        <w:rPr>
          <w:rFonts w:eastAsia="Times New Roman" w:cs="Times New Roman"/>
          <w:i/>
          <w:iCs/>
          <w:noProof/>
          <w:sz w:val="22"/>
        </w:rPr>
        <w:t>Second interim opinion on constitutional reforms in the Republic of Armenia, CDL-AD(2005)016</w:t>
      </w:r>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color w:val="000000" w:themeColor="text1"/>
          <w:sz w:val="22"/>
        </w:rPr>
        <w:t>Council of Europe</w:t>
      </w:r>
      <w:r>
        <w:rPr>
          <w:rFonts w:eastAsia="Times New Roman" w:cs="Times New Roman"/>
          <w:noProof/>
          <w:sz w:val="22"/>
        </w:rPr>
        <w:t>: Veni</w:t>
      </w:r>
      <w:r>
        <w:rPr>
          <w:rFonts w:eastAsia="Times New Roman" w:cs="Times New Roman"/>
          <w:noProof/>
          <w:sz w:val="22"/>
        </w:rPr>
        <w:t xml:space="preserve">ce Commission (2010), </w:t>
      </w:r>
      <w:r>
        <w:rPr>
          <w:rFonts w:eastAsia="Times New Roman" w:cs="Times New Roman"/>
          <w:i/>
          <w:iCs/>
          <w:noProof/>
          <w:sz w:val="22"/>
        </w:rPr>
        <w:t>Report on Constitutional Amendment, CDL-AD(2010)001</w:t>
      </w:r>
      <w:r>
        <w:rPr>
          <w:rFonts w:eastAsia="Times New Roman" w:cs="Times New Roman"/>
          <w:noProof/>
          <w:sz w:val="22"/>
        </w:rPr>
        <w:t>.</w:t>
      </w:r>
    </w:p>
    <w:p w:rsidR="00323528" w:rsidRDefault="003A3A10">
      <w:pPr>
        <w:spacing w:after="120"/>
        <w:rPr>
          <w:rFonts w:eastAsia="Times New Roman" w:cs="Times New Roman"/>
          <w:i/>
          <w:iCs/>
          <w:noProof/>
          <w:sz w:val="22"/>
        </w:rPr>
      </w:pPr>
      <w:r>
        <w:rPr>
          <w:rFonts w:eastAsia="Times New Roman" w:cs="Times New Roman"/>
          <w:noProof/>
          <w:sz w:val="22"/>
        </w:rPr>
        <w:t xml:space="preserve">Council of Europe, Venice Commission (2013), </w:t>
      </w:r>
      <w:r>
        <w:rPr>
          <w:rFonts w:eastAsia="Times New Roman" w:cs="Times New Roman"/>
          <w:i/>
          <w:iCs/>
          <w:noProof/>
          <w:sz w:val="22"/>
        </w:rPr>
        <w:t>Opinion on the Draft Amendments to the Organic Law on Courts of General Jurisdiction of Georgia, CDL-AD(2013)007-e.</w:t>
      </w:r>
    </w:p>
    <w:p w:rsidR="00323528" w:rsidRDefault="003A3A10">
      <w:pPr>
        <w:spacing w:after="120"/>
        <w:rPr>
          <w:rFonts w:eastAsia="Times New Roman" w:cs="Times New Roman"/>
          <w:i/>
          <w:iCs/>
          <w:noProof/>
          <w:sz w:val="22"/>
        </w:rPr>
      </w:pPr>
      <w:r>
        <w:rPr>
          <w:rFonts w:eastAsia="Times New Roman" w:cs="Times New Roman"/>
          <w:noProof/>
          <w:sz w:val="22"/>
        </w:rPr>
        <w:t>Consultative Council</w:t>
      </w:r>
      <w:r>
        <w:rPr>
          <w:rFonts w:eastAsia="Times New Roman" w:cs="Times New Roman"/>
          <w:noProof/>
          <w:sz w:val="22"/>
        </w:rPr>
        <w:t xml:space="preserve"> of European Judges (2007), </w:t>
      </w:r>
      <w:r>
        <w:rPr>
          <w:rFonts w:eastAsia="Times New Roman" w:cs="Times New Roman"/>
          <w:i/>
          <w:iCs/>
          <w:noProof/>
          <w:sz w:val="22"/>
        </w:rPr>
        <w:t>Opinion No. 10.</w:t>
      </w:r>
    </w:p>
    <w:p w:rsidR="00323528" w:rsidRDefault="003A3A10">
      <w:pPr>
        <w:spacing w:after="120"/>
        <w:rPr>
          <w:rFonts w:eastAsia="Times New Roman" w:cs="Times New Roman"/>
          <w:noProof/>
          <w:sz w:val="22"/>
        </w:rPr>
      </w:pPr>
      <w:r>
        <w:rPr>
          <w:rFonts w:eastAsia="Times New Roman" w:cs="Times New Roman"/>
          <w:noProof/>
          <w:sz w:val="22"/>
        </w:rPr>
        <w:t xml:space="preserve">Consultative Council of European Judges (2016), </w:t>
      </w:r>
      <w:r>
        <w:rPr>
          <w:rFonts w:eastAsia="Times New Roman" w:cs="Times New Roman"/>
          <w:i/>
          <w:iCs/>
          <w:noProof/>
          <w:sz w:val="22"/>
        </w:rPr>
        <w:t>Opinion No. 19</w:t>
      </w:r>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Court of Justice of the European Union, Judgment of 25 July 2018, </w:t>
      </w:r>
      <w:r>
        <w:rPr>
          <w:rFonts w:eastAsia="Times New Roman" w:cs="Times New Roman"/>
          <w:i/>
          <w:iCs/>
          <w:noProof/>
          <w:sz w:val="22"/>
        </w:rPr>
        <w:t>LM</w:t>
      </w:r>
      <w:r>
        <w:rPr>
          <w:rFonts w:eastAsia="Times New Roman" w:cs="Times New Roman"/>
          <w:noProof/>
          <w:sz w:val="22"/>
        </w:rPr>
        <w:t xml:space="preserve">, C‑216/18 PPU. </w:t>
      </w:r>
    </w:p>
    <w:p w:rsidR="00323528" w:rsidRDefault="003A3A10">
      <w:pPr>
        <w:spacing w:after="120"/>
        <w:rPr>
          <w:rFonts w:eastAsia="Times New Roman" w:cs="Times New Roman"/>
          <w:noProof/>
          <w:sz w:val="22"/>
        </w:rPr>
      </w:pPr>
      <w:r>
        <w:rPr>
          <w:rFonts w:eastAsia="Times New Roman" w:cs="Times New Roman"/>
          <w:noProof/>
          <w:sz w:val="22"/>
        </w:rPr>
        <w:t xml:space="preserve">Court of Justice of the European Union, Judgment of 18 May 2021, </w:t>
      </w:r>
      <w:r>
        <w:rPr>
          <w:rFonts w:eastAsia="Times New Roman" w:cs="Times New Roman"/>
          <w:i/>
          <w:iCs/>
          <w:noProof/>
          <w:sz w:val="22"/>
        </w:rPr>
        <w:t>Joined Romanian Cases</w:t>
      </w:r>
      <w:r>
        <w:rPr>
          <w:rFonts w:eastAsia="Times New Roman" w:cs="Times New Roman"/>
          <w:noProof/>
          <w:sz w:val="22"/>
        </w:rPr>
        <w:t>, C-83/19, C-127/19, C-195/19, C-291/19, C-355/19 and C-397/19.</w:t>
      </w:r>
    </w:p>
    <w:p w:rsidR="00323528" w:rsidRDefault="003A3A10">
      <w:pPr>
        <w:spacing w:after="120"/>
        <w:rPr>
          <w:rFonts w:eastAsia="Times New Roman" w:cs="Times New Roman"/>
          <w:noProof/>
          <w:sz w:val="22"/>
        </w:rPr>
      </w:pPr>
      <w:r>
        <w:rPr>
          <w:rFonts w:eastAsia="Times New Roman" w:cs="Times New Roman"/>
          <w:noProof/>
          <w:sz w:val="22"/>
        </w:rPr>
        <w:t>Court of Justice of the European Union, Judgment of 20 April 2021,</w:t>
      </w:r>
      <w:r>
        <w:rPr>
          <w:rFonts w:ascii="Arial" w:eastAsia="Arial" w:hAnsi="Arial" w:cs="Arial"/>
          <w:noProof/>
          <w:color w:val="000000" w:themeColor="text1"/>
          <w:sz w:val="22"/>
        </w:rPr>
        <w:t xml:space="preserve"> </w:t>
      </w:r>
      <w:r>
        <w:rPr>
          <w:rFonts w:eastAsia="Times New Roman" w:cs="Times New Roman"/>
          <w:i/>
          <w:iCs/>
          <w:noProof/>
          <w:sz w:val="22"/>
        </w:rPr>
        <w:t>Repubblika</w:t>
      </w:r>
      <w:r>
        <w:rPr>
          <w:rFonts w:eastAsia="Times New Roman" w:cs="Times New Roman"/>
          <w:noProof/>
          <w:sz w:val="22"/>
        </w:rPr>
        <w:t>, C-896/19.</w:t>
      </w:r>
    </w:p>
    <w:p w:rsidR="00323528" w:rsidRDefault="003A3A10">
      <w:pPr>
        <w:spacing w:after="120" w:line="254" w:lineRule="auto"/>
        <w:rPr>
          <w:rFonts w:eastAsia="Times New Roman" w:cs="Times New Roman"/>
          <w:noProof/>
          <w:sz w:val="22"/>
        </w:rPr>
      </w:pPr>
      <w:r>
        <w:rPr>
          <w:rFonts w:eastAsia="Times New Roman" w:cs="Times New Roman"/>
          <w:noProof/>
          <w:sz w:val="22"/>
        </w:rPr>
        <w:t xml:space="preserve">Directorate-General for Communication (2019), </w:t>
      </w:r>
      <w:r>
        <w:rPr>
          <w:rFonts w:eastAsia="Times New Roman" w:cs="Times New Roman"/>
          <w:i/>
          <w:iCs/>
          <w:noProof/>
          <w:sz w:val="22"/>
        </w:rPr>
        <w:t>Flash Eurobarometer 482: businesses’ attitudes towards corruption in the EU</w:t>
      </w:r>
      <w:r>
        <w:rPr>
          <w:rFonts w:eastAsia="Times New Roman" w:cs="Times New Roman"/>
          <w:noProof/>
          <w:sz w:val="22"/>
        </w:rPr>
        <w:t>.</w:t>
      </w:r>
    </w:p>
    <w:p w:rsidR="00323528" w:rsidRDefault="003A3A10">
      <w:pPr>
        <w:spacing w:after="120" w:line="254" w:lineRule="auto"/>
        <w:rPr>
          <w:rFonts w:eastAsia="Times New Roman" w:cs="Times New Roman"/>
          <w:noProof/>
          <w:sz w:val="22"/>
        </w:rPr>
      </w:pPr>
      <w:r>
        <w:rPr>
          <w:rFonts w:eastAsia="Times New Roman" w:cs="Times New Roman"/>
          <w:noProof/>
          <w:sz w:val="22"/>
        </w:rPr>
        <w:t xml:space="preserve">Directorate-General for Communication (2020), </w:t>
      </w:r>
      <w:r>
        <w:rPr>
          <w:rFonts w:eastAsia="Times New Roman" w:cs="Times New Roman"/>
          <w:i/>
          <w:iCs/>
          <w:noProof/>
          <w:sz w:val="22"/>
        </w:rPr>
        <w:t>Special Eurobarometer 502: corruption</w:t>
      </w:r>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European Commission (2020), </w:t>
      </w:r>
      <w:r>
        <w:rPr>
          <w:rFonts w:eastAsia="Times New Roman" w:cs="Times New Roman"/>
          <w:i/>
          <w:iCs/>
          <w:noProof/>
          <w:sz w:val="22"/>
        </w:rPr>
        <w:t xml:space="preserve">Rule of Law Report, </w:t>
      </w:r>
      <w:r>
        <w:rPr>
          <w:rFonts w:eastAsia="Times New Roman" w:cs="Times New Roman"/>
          <w:i/>
          <w:iCs/>
          <w:noProof/>
          <w:sz w:val="22"/>
        </w:rPr>
        <w:t xml:space="preserve">Country Chapter on the rule of law situation in </w:t>
      </w:r>
      <w:r>
        <w:rPr>
          <w:rFonts w:eastAsia="Times New Roman" w:cs="Times New Roman"/>
          <w:noProof/>
          <w:sz w:val="22"/>
        </w:rPr>
        <w:t xml:space="preserve">Slovakia. </w:t>
      </w:r>
    </w:p>
    <w:p w:rsidR="00323528" w:rsidRDefault="003A3A10">
      <w:pPr>
        <w:spacing w:after="120"/>
        <w:rPr>
          <w:rFonts w:eastAsia="Times New Roman" w:cs="Times New Roman"/>
          <w:noProof/>
          <w:sz w:val="22"/>
        </w:rPr>
      </w:pPr>
      <w:r>
        <w:rPr>
          <w:rFonts w:eastAsia="Times New Roman" w:cs="Times New Roman"/>
          <w:noProof/>
          <w:sz w:val="22"/>
        </w:rPr>
        <w:t xml:space="preserve">European Commission (2021), </w:t>
      </w:r>
      <w:r>
        <w:rPr>
          <w:rFonts w:eastAsia="Times New Roman" w:cs="Times New Roman"/>
          <w:i/>
          <w:iCs/>
          <w:noProof/>
          <w:sz w:val="22"/>
        </w:rPr>
        <w:t>EU Justice Scoreboard</w:t>
      </w:r>
      <w:r>
        <w:rPr>
          <w:rFonts w:eastAsia="Times New Roman" w:cs="Times New Roman"/>
          <w:noProof/>
          <w:sz w:val="22"/>
        </w:rPr>
        <w:t>.</w:t>
      </w:r>
    </w:p>
    <w:p w:rsidR="00323528" w:rsidRDefault="003A3A10">
      <w:pPr>
        <w:spacing w:after="120"/>
        <w:rPr>
          <w:rFonts w:eastAsia="Times New Roman" w:cs="Times New Roman"/>
          <w:noProof/>
          <w:color w:val="0563C1"/>
          <w:sz w:val="22"/>
          <w:u w:val="single"/>
        </w:rPr>
      </w:pPr>
      <w:r>
        <w:rPr>
          <w:rFonts w:eastAsia="Times New Roman" w:cs="Times New Roman"/>
          <w:noProof/>
          <w:sz w:val="22"/>
        </w:rPr>
        <w:t>European Commission (2021), Press Release No. 03/2021, OLAF closes cases on EU agricultural funds in Slovakia (</w:t>
      </w:r>
      <w:hyperlink r:id="rId20" w:history="1">
        <w:r>
          <w:rPr>
            <w:rStyle w:val="Hyperlink"/>
            <w:rFonts w:eastAsia="Times New Roman" w:cs="Times New Roman"/>
            <w:noProof/>
            <w:sz w:val="22"/>
          </w:rPr>
          <w:t>https://ec.europa.eu/anti-fraud/media-corner/news/21-01-2021/olaf-closes-cases-eu-agricultural-funds-slovakia_en</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European Commission carried out by the Council </w:t>
      </w:r>
      <w:r>
        <w:rPr>
          <w:rFonts w:eastAsia="Times New Roman" w:cs="Times New Roman"/>
          <w:noProof/>
          <w:sz w:val="22"/>
        </w:rPr>
        <w:t xml:space="preserve">of Europe Commission for the Efficiency of Justice (2017), </w:t>
      </w:r>
      <w:r>
        <w:rPr>
          <w:rFonts w:eastAsia="Times New Roman" w:cs="Times New Roman"/>
          <w:i/>
          <w:iCs/>
          <w:noProof/>
          <w:sz w:val="22"/>
        </w:rPr>
        <w:t>Efficiency and quality of the Slovak judicial system, Assessment And recommendations on the basis of CEPEJ tools</w:t>
      </w:r>
      <w:r>
        <w:rPr>
          <w:rFonts w:eastAsia="Times New Roman" w:cs="Times New Roman"/>
          <w:noProof/>
          <w:sz w:val="22"/>
        </w:rPr>
        <w:t>, CEPEJ-COOP(2017)14.</w:t>
      </w:r>
    </w:p>
    <w:p w:rsidR="00323528" w:rsidRDefault="003A3A10">
      <w:pPr>
        <w:spacing w:after="120"/>
        <w:rPr>
          <w:rFonts w:eastAsia="Times New Roman" w:cs="Times New Roman"/>
          <w:noProof/>
          <w:sz w:val="22"/>
        </w:rPr>
      </w:pPr>
      <w:r>
        <w:rPr>
          <w:rFonts w:eastAsia="Times New Roman" w:cs="Times New Roman"/>
          <w:noProof/>
          <w:sz w:val="22"/>
        </w:rPr>
        <w:t>European Commission carried out by the Council of Europe Commis</w:t>
      </w:r>
      <w:r>
        <w:rPr>
          <w:rFonts w:eastAsia="Times New Roman" w:cs="Times New Roman"/>
          <w:noProof/>
          <w:sz w:val="22"/>
        </w:rPr>
        <w:t xml:space="preserve">sion for the Efficiency of Justice (2020), </w:t>
      </w:r>
      <w:r>
        <w:rPr>
          <w:rFonts w:eastAsia="Times New Roman" w:cs="Times New Roman"/>
          <w:i/>
          <w:iCs/>
          <w:noProof/>
          <w:sz w:val="22"/>
        </w:rPr>
        <w:t>CEPEJ Experts’ review of the Judicial Map Reform in the Slovak Republic</w:t>
      </w:r>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European Commission carried out by the Council of Europe Commission for the Efficiency of Justice, </w:t>
      </w:r>
      <w:r>
        <w:rPr>
          <w:rFonts w:eastAsia="Times New Roman" w:cs="Times New Roman"/>
          <w:i/>
          <w:iCs/>
          <w:noProof/>
          <w:sz w:val="22"/>
        </w:rPr>
        <w:t>Annual Study</w:t>
      </w:r>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European Court of Human Rig</w:t>
      </w:r>
      <w:r>
        <w:rPr>
          <w:rFonts w:eastAsia="Times New Roman" w:cs="Times New Roman"/>
          <w:noProof/>
          <w:sz w:val="22"/>
        </w:rPr>
        <w:t xml:space="preserve">hts, Judgment of 24 July 2012, </w:t>
      </w:r>
      <w:r>
        <w:rPr>
          <w:rFonts w:eastAsia="Times New Roman" w:cs="Times New Roman"/>
          <w:i/>
          <w:iCs/>
          <w:noProof/>
          <w:sz w:val="22"/>
        </w:rPr>
        <w:t>Maxian and Maxianova</w:t>
      </w:r>
      <w:r>
        <w:rPr>
          <w:rFonts w:eastAsia="Times New Roman" w:cs="Times New Roman"/>
          <w:noProof/>
          <w:sz w:val="22"/>
        </w:rPr>
        <w:t>, 44482/09, status of execution (</w:t>
      </w:r>
      <w:hyperlink r:id="rId21" w:history="1">
        <w:r>
          <w:rPr>
            <w:rStyle w:val="Hyperlink"/>
            <w:rFonts w:eastAsia="Times New Roman" w:cs="Times New Roman"/>
            <w:noProof/>
            <w:sz w:val="22"/>
          </w:rPr>
          <w:t>http://hudoc.exec.coe.int/eng?i=004-7711</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European Court of Human Rights, Judgment of 15 September 2015, </w:t>
      </w:r>
      <w:r>
        <w:rPr>
          <w:rFonts w:eastAsia="Times New Roman" w:cs="Times New Roman"/>
          <w:i/>
          <w:iCs/>
          <w:noProof/>
          <w:sz w:val="22"/>
        </w:rPr>
        <w:t>Javor and</w:t>
      </w:r>
      <w:r>
        <w:rPr>
          <w:rFonts w:eastAsia="Times New Roman" w:cs="Times New Roman"/>
          <w:i/>
          <w:iCs/>
          <w:noProof/>
          <w:sz w:val="22"/>
        </w:rPr>
        <w:t xml:space="preserve"> Javorova</w:t>
      </w:r>
      <w:r>
        <w:rPr>
          <w:rFonts w:eastAsia="Times New Roman" w:cs="Times New Roman"/>
          <w:iCs/>
          <w:noProof/>
          <w:sz w:val="22"/>
        </w:rPr>
        <w:t xml:space="preserve">, 42360/10, </w:t>
      </w:r>
      <w:r>
        <w:rPr>
          <w:rFonts w:eastAsia="Times New Roman" w:cs="Times New Roman"/>
          <w:noProof/>
          <w:sz w:val="22"/>
        </w:rPr>
        <w:t>status of execution (</w:t>
      </w:r>
      <w:hyperlink r:id="rId22" w:history="1">
        <w:r>
          <w:rPr>
            <w:rStyle w:val="Hyperlink"/>
            <w:rFonts w:eastAsia="Times New Roman" w:cs="Times New Roman"/>
            <w:noProof/>
            <w:sz w:val="22"/>
          </w:rPr>
          <w:t>http://hudoc.exec.coe.int/eng?i=004-7717</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European Court of Human Rights, Judgment of 27 June 2017, </w:t>
      </w:r>
      <w:r>
        <w:rPr>
          <w:rFonts w:eastAsia="Times New Roman" w:cs="Times New Roman"/>
          <w:i/>
          <w:noProof/>
          <w:sz w:val="22"/>
        </w:rPr>
        <w:t>Ivan</w:t>
      </w:r>
      <w:r>
        <w:rPr>
          <w:rFonts w:eastAsia="Times New Roman" w:cs="Times New Roman"/>
          <w:noProof/>
          <w:sz w:val="22"/>
        </w:rPr>
        <w:t>, 57405/15, status of execution (</w:t>
      </w:r>
      <w:hyperlink r:id="rId23" w:history="1">
        <w:r>
          <w:rPr>
            <w:rStyle w:val="Hyperlink"/>
            <w:rFonts w:eastAsia="Times New Roman" w:cs="Times New Roman"/>
            <w:noProof/>
            <w:sz w:val="22"/>
          </w:rPr>
          <w:t>http://hudoc.exec.coe.int/eng?i=004-47309</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European Court of Human Rights, Judgment of of 31 August 2018, </w:t>
      </w:r>
      <w:r>
        <w:rPr>
          <w:rFonts w:eastAsia="Times New Roman" w:cs="Times New Roman"/>
          <w:i/>
          <w:noProof/>
          <w:sz w:val="22"/>
        </w:rPr>
        <w:t>Balogh and others</w:t>
      </w:r>
      <w:r>
        <w:rPr>
          <w:rFonts w:eastAsia="Times New Roman" w:cs="Times New Roman"/>
          <w:noProof/>
          <w:sz w:val="22"/>
        </w:rPr>
        <w:t>, 35142/15, status of execution (</w:t>
      </w:r>
      <w:hyperlink r:id="rId24" w:history="1">
        <w:r>
          <w:rPr>
            <w:rStyle w:val="Hyperlink"/>
            <w:rFonts w:eastAsia="Times New Roman" w:cs="Times New Roman"/>
            <w:noProof/>
            <w:sz w:val="22"/>
          </w:rPr>
          <w:t>http://hudoc.exec.coe.int/eng?i=004-51541</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European Court of Human Rights, Judgment of 9 March 2021, </w:t>
      </w:r>
      <w:r>
        <w:rPr>
          <w:rFonts w:eastAsia="Times New Roman" w:cs="Times New Roman"/>
          <w:i/>
          <w:iCs/>
          <w:noProof/>
          <w:sz w:val="22"/>
        </w:rPr>
        <w:t>Bilgen v Turkey</w:t>
      </w:r>
      <w:r>
        <w:rPr>
          <w:rFonts w:eastAsia="Times New Roman" w:cs="Times New Roman"/>
          <w:noProof/>
          <w:sz w:val="22"/>
        </w:rPr>
        <w:t>, 1571/07.</w:t>
      </w:r>
    </w:p>
    <w:p w:rsidR="00323528" w:rsidRDefault="003A3A10">
      <w:pPr>
        <w:spacing w:after="120"/>
        <w:rPr>
          <w:rFonts w:eastAsia="Times New Roman" w:cs="Times New Roman"/>
          <w:noProof/>
          <w:sz w:val="22"/>
        </w:rPr>
      </w:pPr>
      <w:r>
        <w:rPr>
          <w:rFonts w:eastAsia="Times New Roman" w:cs="Times New Roman"/>
          <w:noProof/>
          <w:sz w:val="22"/>
        </w:rPr>
        <w:t xml:space="preserve">European Network of Councils for the Judiciary (2012-2013), </w:t>
      </w:r>
      <w:r>
        <w:rPr>
          <w:rFonts w:eastAsia="Times New Roman" w:cs="Times New Roman"/>
          <w:i/>
          <w:iCs/>
          <w:noProof/>
          <w:sz w:val="22"/>
        </w:rPr>
        <w:t>Report on Minimum standards for the evaluation of pro</w:t>
      </w:r>
      <w:r>
        <w:rPr>
          <w:rFonts w:eastAsia="Times New Roman" w:cs="Times New Roman"/>
          <w:i/>
          <w:iCs/>
          <w:noProof/>
          <w:sz w:val="22"/>
        </w:rPr>
        <w:t>fessional performance and the irremovability of members of the judiciary</w:t>
      </w:r>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European Network of National Human Rights Institutions (2021), </w:t>
      </w:r>
      <w:r>
        <w:rPr>
          <w:rFonts w:eastAsia="Times New Roman" w:cs="Times New Roman"/>
          <w:i/>
          <w:iCs/>
          <w:noProof/>
          <w:sz w:val="22"/>
        </w:rPr>
        <w:t>Contribution for the 2021 Rule of Law Report</w:t>
      </w:r>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GRECO (2019), </w:t>
      </w:r>
      <w:r>
        <w:rPr>
          <w:rFonts w:eastAsia="Times New Roman" w:cs="Times New Roman"/>
          <w:i/>
          <w:iCs/>
          <w:noProof/>
          <w:sz w:val="22"/>
        </w:rPr>
        <w:t xml:space="preserve">Fourth Evaluation Round, Addendum to the Second Compliance </w:t>
      </w:r>
      <w:r>
        <w:rPr>
          <w:rFonts w:eastAsia="Times New Roman" w:cs="Times New Roman"/>
          <w:i/>
          <w:iCs/>
          <w:noProof/>
          <w:sz w:val="22"/>
        </w:rPr>
        <w:t>Report, Slovak Republic</w:t>
      </w:r>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GRECO (2019), </w:t>
      </w:r>
      <w:r>
        <w:rPr>
          <w:rFonts w:eastAsia="Times New Roman" w:cs="Times New Roman"/>
          <w:i/>
          <w:iCs/>
          <w:noProof/>
          <w:sz w:val="22"/>
        </w:rPr>
        <w:t>Fifth Evaluation Round – Evaluation Report, Slovak Republic</w:t>
      </w:r>
      <w:r>
        <w:rPr>
          <w:rFonts w:eastAsia="Times New Roman" w:cs="Times New Roman"/>
          <w:noProof/>
          <w:sz w:val="22"/>
        </w:rPr>
        <w:t>.</w:t>
      </w:r>
    </w:p>
    <w:p w:rsidR="00323528" w:rsidRDefault="003A3A10">
      <w:pPr>
        <w:spacing w:after="120"/>
        <w:rPr>
          <w:rFonts w:eastAsia="Times New Roman" w:cs="Times New Roman"/>
          <w:i/>
          <w:iCs/>
          <w:noProof/>
          <w:sz w:val="22"/>
        </w:rPr>
      </w:pPr>
      <w:r>
        <w:rPr>
          <w:rFonts w:eastAsia="Times New Roman" w:cs="Times New Roman"/>
          <w:noProof/>
          <w:sz w:val="22"/>
        </w:rPr>
        <w:t>GRECO (2021),</w:t>
      </w:r>
      <w:r>
        <w:rPr>
          <w:rFonts w:eastAsia="Times New Roman" w:cs="Times New Roman"/>
          <w:i/>
          <w:iCs/>
          <w:noProof/>
          <w:sz w:val="22"/>
        </w:rPr>
        <w:t xml:space="preserve"> Fourth Evaluation Round, Second Addendum to the Second Compliance Report, Slovak Republic.</w:t>
      </w:r>
    </w:p>
    <w:p w:rsidR="00323528" w:rsidRDefault="003A3A10">
      <w:pPr>
        <w:spacing w:after="120"/>
        <w:rPr>
          <w:rFonts w:eastAsia="Times New Roman" w:cs="Times New Roman"/>
          <w:noProof/>
          <w:color w:val="0563C1"/>
          <w:sz w:val="22"/>
          <w:u w:val="single"/>
        </w:rPr>
      </w:pPr>
      <w:r>
        <w:rPr>
          <w:rFonts w:eastAsia="Times New Roman" w:cs="Times New Roman"/>
          <w:noProof/>
          <w:sz w:val="22"/>
        </w:rPr>
        <w:t>GRECO (2021), Slovakia: GRECO regrets slow progress</w:t>
      </w:r>
      <w:r>
        <w:rPr>
          <w:rFonts w:eastAsia="Times New Roman" w:cs="Times New Roman"/>
          <w:noProof/>
          <w:sz w:val="22"/>
        </w:rPr>
        <w:t xml:space="preserve"> in prevention corruption of parliamentarians, judges and prosecutors (</w:t>
      </w:r>
      <w:hyperlink r:id="rId25" w:history="1">
        <w:r>
          <w:rPr>
            <w:rStyle w:val="Hyperlink"/>
            <w:rFonts w:eastAsia="Times New Roman" w:cs="Times New Roman"/>
            <w:noProof/>
            <w:sz w:val="22"/>
          </w:rPr>
          <w:t>https://www.coe.int/en/web/p</w:t>
        </w:r>
        <w:r>
          <w:rPr>
            <w:rStyle w:val="Hyperlink"/>
            <w:rFonts w:eastAsia="Times New Roman" w:cs="Times New Roman"/>
            <w:noProof/>
            <w:sz w:val="22"/>
          </w:rPr>
          <w:t>ortal/-/slovakia-greco-regrets-slow-progress-in-preventing-corruption-of-parliamentarians-judges-and-prosecutors</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OECD (2012), </w:t>
      </w:r>
      <w:r>
        <w:rPr>
          <w:rFonts w:eastAsia="Times New Roman" w:cs="Times New Roman"/>
          <w:i/>
          <w:iCs/>
          <w:noProof/>
          <w:sz w:val="22"/>
        </w:rPr>
        <w:t>Implementing the OECD Anti-Bribery Convention, Phase 3: Slovak Republic</w:t>
      </w:r>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OECD (2014), </w:t>
      </w:r>
      <w:r>
        <w:rPr>
          <w:rFonts w:eastAsia="Times New Roman" w:cs="Times New Roman"/>
          <w:i/>
          <w:iCs/>
          <w:noProof/>
          <w:sz w:val="22"/>
        </w:rPr>
        <w:t>Implementing the OECD Anti-Bribery Convent</w:t>
      </w:r>
      <w:r>
        <w:rPr>
          <w:rFonts w:eastAsia="Times New Roman" w:cs="Times New Roman"/>
          <w:i/>
          <w:iCs/>
          <w:noProof/>
          <w:sz w:val="22"/>
        </w:rPr>
        <w:t>ion, Follow-Up to the Phase 3 Report and Recommendation: Slovak Republic</w:t>
      </w:r>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OECD (2017), </w:t>
      </w:r>
      <w:r>
        <w:rPr>
          <w:rFonts w:eastAsia="Times New Roman" w:cs="Times New Roman"/>
          <w:i/>
          <w:iCs/>
          <w:noProof/>
          <w:sz w:val="22"/>
        </w:rPr>
        <w:t>Implementing the OECD Anti-Bribery Convention, Phase 1bis Report: Slovak Republic</w:t>
      </w:r>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Public Defender of Rights (2020), </w:t>
      </w:r>
      <w:r>
        <w:rPr>
          <w:i/>
          <w:noProof/>
          <w:sz w:val="22"/>
        </w:rPr>
        <w:t>Annual report on the activities of the Public Defend</w:t>
      </w:r>
      <w:r>
        <w:rPr>
          <w:i/>
          <w:noProof/>
          <w:sz w:val="22"/>
        </w:rPr>
        <w:t>er of Rights</w:t>
      </w:r>
      <w:r>
        <w:rPr>
          <w:noProof/>
          <w:sz w:val="22"/>
        </w:rPr>
        <w:t xml:space="preserve"> (</w:t>
      </w:r>
      <w:r>
        <w:rPr>
          <w:i/>
          <w:noProof/>
          <w:sz w:val="22"/>
        </w:rPr>
        <w:t>Správa o činnosti verejného ochrancu práv za obdobie roka 2020</w:t>
      </w:r>
      <w:r>
        <w:rPr>
          <w:noProof/>
          <w:sz w:val="22"/>
        </w:rPr>
        <w:t>), (</w:t>
      </w:r>
      <w:hyperlink r:id="rId26" w:history="1">
        <w:r>
          <w:rPr>
            <w:rStyle w:val="Hyperlink"/>
            <w:noProof/>
            <w:sz w:val="22"/>
          </w:rPr>
          <w:t>https://www.vop.gov.sk/files/VOP_VS20_SK_1.pdf</w:t>
        </w:r>
      </w:hyperlink>
      <w:r>
        <w:rPr>
          <w:rStyle w:val="Hyperlink"/>
          <w:noProof/>
          <w:color w:val="auto"/>
          <w:sz w:val="22"/>
          <w:u w:val="none"/>
        </w:rPr>
        <w:t>).</w:t>
      </w:r>
    </w:p>
    <w:p w:rsidR="00323528" w:rsidRDefault="003A3A10">
      <w:pPr>
        <w:spacing w:after="120"/>
        <w:rPr>
          <w:rFonts w:eastAsia="Times New Roman" w:cs="Times New Roman"/>
          <w:noProof/>
          <w:sz w:val="22"/>
        </w:rPr>
      </w:pPr>
      <w:r>
        <w:rPr>
          <w:rFonts w:eastAsia="Times New Roman" w:cs="Times New Roman"/>
          <w:noProof/>
          <w:sz w:val="22"/>
        </w:rPr>
        <w:t>Slovak Bar Association (2021), Contribution for the 2021 Rule of</w:t>
      </w:r>
      <w:r>
        <w:rPr>
          <w:rFonts w:eastAsia="Times New Roman" w:cs="Times New Roman"/>
          <w:noProof/>
          <w:sz w:val="22"/>
        </w:rPr>
        <w:t xml:space="preserve"> Law Report.</w:t>
      </w:r>
    </w:p>
    <w:p w:rsidR="00323528" w:rsidRDefault="003A3A10">
      <w:pPr>
        <w:spacing w:after="120"/>
        <w:rPr>
          <w:rFonts w:eastAsia="Times New Roman" w:cs="Times New Roman"/>
          <w:noProof/>
          <w:color w:val="0563C1"/>
          <w:sz w:val="22"/>
          <w:u w:val="single"/>
        </w:rPr>
      </w:pPr>
      <w:r>
        <w:rPr>
          <w:rFonts w:eastAsia="Times New Roman" w:cs="Times New Roman"/>
          <w:noProof/>
          <w:sz w:val="22"/>
        </w:rPr>
        <w:t xml:space="preserve">Slovak Bar Association (2021), </w:t>
      </w:r>
      <w:r>
        <w:rPr>
          <w:rFonts w:eastAsia="Times New Roman" w:cs="Times New Roman"/>
          <w:i/>
          <w:iCs/>
          <w:noProof/>
          <w:sz w:val="22"/>
        </w:rPr>
        <w:t>Press release of 23 March 2021, The President of the Slovak Bar Association visited new Director General of the Prison Guard</w:t>
      </w:r>
      <w:r>
        <w:rPr>
          <w:rFonts w:eastAsia="Times New Roman" w:cs="Times New Roman"/>
          <w:noProof/>
          <w:sz w:val="22"/>
        </w:rPr>
        <w:t xml:space="preserve"> (</w:t>
      </w:r>
      <w:r>
        <w:rPr>
          <w:rFonts w:eastAsia="Times New Roman" w:cs="Times New Roman"/>
          <w:i/>
          <w:iCs/>
          <w:noProof/>
          <w:sz w:val="22"/>
        </w:rPr>
        <w:t>Predseda SAK navštívil nového generálneho riaditeľa Zboru väzenskej a justičnej stráže</w:t>
      </w:r>
      <w:r>
        <w:rPr>
          <w:rFonts w:eastAsia="Times New Roman" w:cs="Times New Roman"/>
          <w:iCs/>
          <w:noProof/>
          <w:sz w:val="22"/>
        </w:rPr>
        <w:t>)</w:t>
      </w:r>
      <w:r>
        <w:rPr>
          <w:rFonts w:eastAsia="Times New Roman" w:cs="Times New Roman"/>
          <w:i/>
          <w:iCs/>
          <w:noProof/>
          <w:sz w:val="22"/>
        </w:rPr>
        <w:t xml:space="preserve">, </w:t>
      </w:r>
      <w:r>
        <w:rPr>
          <w:rFonts w:eastAsia="Times New Roman" w:cs="Times New Roman"/>
          <w:noProof/>
          <w:sz w:val="22"/>
        </w:rPr>
        <w:t>(</w:t>
      </w:r>
      <w:hyperlink r:id="rId27" w:history="1">
        <w:r>
          <w:rPr>
            <w:rStyle w:val="Hyperlink"/>
            <w:rFonts w:eastAsia="Times New Roman" w:cs="Times New Roman"/>
            <w:noProof/>
            <w:sz w:val="22"/>
          </w:rPr>
          <w:t>https://www.sak.sk/web/sk/cms/news/form/list/form/row/596497/_event</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Slovak Constitutional Court, Judgment of 30 January 2019, Pl ÚS 21/2014-96.</w:t>
      </w:r>
    </w:p>
    <w:p w:rsidR="00323528" w:rsidRDefault="003A3A10">
      <w:pPr>
        <w:spacing w:after="120"/>
        <w:rPr>
          <w:rFonts w:eastAsia="Times New Roman" w:cs="Times New Roman"/>
          <w:noProof/>
          <w:sz w:val="22"/>
        </w:rPr>
      </w:pPr>
      <w:r>
        <w:rPr>
          <w:rFonts w:eastAsia="Times New Roman" w:cs="Times New Roman"/>
          <w:noProof/>
          <w:sz w:val="22"/>
        </w:rPr>
        <w:t xml:space="preserve">Slovak Constitutional </w:t>
      </w:r>
      <w:r>
        <w:rPr>
          <w:rFonts w:eastAsia="Times New Roman" w:cs="Times New Roman"/>
          <w:noProof/>
          <w:sz w:val="22"/>
        </w:rPr>
        <w:t>Court, Judgment of 14 October 2020, Pl ÚS 22/2020.</w:t>
      </w:r>
    </w:p>
    <w:p w:rsidR="00323528" w:rsidRDefault="003A3A10">
      <w:pPr>
        <w:spacing w:after="120"/>
        <w:rPr>
          <w:rFonts w:eastAsia="Times New Roman" w:cs="Times New Roman"/>
          <w:noProof/>
          <w:sz w:val="22"/>
        </w:rPr>
      </w:pPr>
      <w:r>
        <w:rPr>
          <w:rFonts w:eastAsia="Times New Roman" w:cs="Times New Roman"/>
          <w:noProof/>
          <w:sz w:val="22"/>
        </w:rPr>
        <w:t>Slovak Constitutional Court, Judgment of 31 March 2021, Pl ÚS 2/2021.</w:t>
      </w:r>
    </w:p>
    <w:p w:rsidR="00323528" w:rsidRDefault="003A3A10">
      <w:pPr>
        <w:spacing w:after="120"/>
        <w:rPr>
          <w:rFonts w:eastAsia="Times New Roman" w:cs="Times New Roman"/>
          <w:noProof/>
          <w:color w:val="0563C1"/>
          <w:sz w:val="22"/>
          <w:u w:val="single"/>
        </w:rPr>
      </w:pPr>
      <w:r>
        <w:rPr>
          <w:rFonts w:eastAsia="Times New Roman" w:cs="Times New Roman"/>
          <w:noProof/>
          <w:sz w:val="22"/>
        </w:rPr>
        <w:t xml:space="preserve">Slovak Government (2018), </w:t>
      </w:r>
      <w:r>
        <w:rPr>
          <w:rFonts w:eastAsia="Times New Roman" w:cs="Times New Roman"/>
          <w:i/>
          <w:iCs/>
          <w:noProof/>
          <w:sz w:val="22"/>
        </w:rPr>
        <w:t xml:space="preserve">Anti-Corruption Policy of the Slovak Republic for 2019-2023 </w:t>
      </w:r>
      <w:r>
        <w:rPr>
          <w:rFonts w:eastAsia="Times New Roman" w:cs="Times New Roman"/>
          <w:noProof/>
          <w:sz w:val="22"/>
        </w:rPr>
        <w:t>(</w:t>
      </w:r>
      <w:hyperlink r:id="rId28" w:history="1">
        <w:r>
          <w:rPr>
            <w:rStyle w:val="Hyperlink"/>
            <w:rFonts w:eastAsia="Times New Roman" w:cs="Times New Roman"/>
            <w:noProof/>
            <w:sz w:val="22"/>
          </w:rPr>
          <w:t>https://rokovania.gov.sk/download.dat?id=588DFBA123494910A70AF18737B85A81-034BF7E75BABC88FC3A419E44DED1345</w:t>
        </w:r>
      </w:hyperlink>
      <w:r>
        <w:rPr>
          <w:rFonts w:eastAsia="Times New Roman" w:cs="Times New Roman"/>
          <w:noProof/>
          <w:sz w:val="22"/>
        </w:rPr>
        <w:t>).</w:t>
      </w:r>
    </w:p>
    <w:p w:rsidR="00323528" w:rsidRDefault="003A3A10">
      <w:pPr>
        <w:spacing w:after="120"/>
        <w:rPr>
          <w:rFonts w:eastAsia="Times New Roman" w:cs="Times New Roman"/>
          <w:noProof/>
          <w:color w:val="0563C1"/>
          <w:sz w:val="22"/>
          <w:u w:val="single"/>
        </w:rPr>
      </w:pPr>
      <w:r>
        <w:rPr>
          <w:rFonts w:eastAsia="Times New Roman" w:cs="Times New Roman"/>
          <w:noProof/>
          <w:sz w:val="22"/>
        </w:rPr>
        <w:t xml:space="preserve">Slovak Government (2019), </w:t>
      </w:r>
      <w:r>
        <w:rPr>
          <w:rFonts w:eastAsia="Times New Roman" w:cs="Times New Roman"/>
          <w:i/>
          <w:iCs/>
          <w:noProof/>
          <w:sz w:val="22"/>
        </w:rPr>
        <w:t>National Anti-Corruption Program of the Slovak</w:t>
      </w:r>
      <w:r>
        <w:rPr>
          <w:rFonts w:eastAsia="Times New Roman" w:cs="Times New Roman"/>
          <w:i/>
          <w:iCs/>
          <w:noProof/>
          <w:sz w:val="22"/>
        </w:rPr>
        <w:t xml:space="preserve"> Republic</w:t>
      </w:r>
      <w:r>
        <w:rPr>
          <w:rFonts w:eastAsia="Times New Roman" w:cs="Times New Roman"/>
          <w:noProof/>
          <w:sz w:val="22"/>
        </w:rPr>
        <w:t xml:space="preserve"> (</w:t>
      </w:r>
      <w:hyperlink r:id="rId29" w:history="1">
        <w:r>
          <w:rPr>
            <w:rStyle w:val="Hyperlink"/>
            <w:rFonts w:eastAsia="Times New Roman" w:cs="Times New Roman"/>
            <w:noProof/>
            <w:sz w:val="22"/>
          </w:rPr>
          <w:t>https://rokovania.gov.sk/download.dat?id=F75436C4AF3C4D96AE93D60FD6BCA184-99C291B1BA87B0B9BF1E773CB8DA6BA0</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Slovak Govern</w:t>
      </w:r>
      <w:r>
        <w:rPr>
          <w:rFonts w:eastAsia="Times New Roman" w:cs="Times New Roman"/>
          <w:noProof/>
          <w:sz w:val="22"/>
        </w:rPr>
        <w:t xml:space="preserve">ment (2020), </w:t>
      </w:r>
      <w:r>
        <w:rPr>
          <w:rFonts w:eastAsia="Times New Roman" w:cs="Times New Roman"/>
          <w:i/>
          <w:iCs/>
          <w:noProof/>
          <w:sz w:val="22"/>
        </w:rPr>
        <w:t xml:space="preserve">Annual report on the activities of the Public Defender of Rights </w:t>
      </w:r>
      <w:r>
        <w:rPr>
          <w:rFonts w:eastAsia="Times New Roman" w:cs="Times New Roman"/>
          <w:noProof/>
          <w:sz w:val="22"/>
        </w:rPr>
        <w:t>(</w:t>
      </w:r>
      <w:hyperlink r:id="rId30" w:history="1">
        <w:r>
          <w:rPr>
            <w:rStyle w:val="Hyperlink"/>
            <w:rFonts w:eastAsia="Times New Roman" w:cs="Times New Roman"/>
            <w:noProof/>
            <w:sz w:val="22"/>
          </w:rPr>
          <w:t>https://www.vop.gov.sk/files/VOP_VS20_SK_1.pdf</w:t>
        </w:r>
      </w:hyperlink>
      <w:r>
        <w:rPr>
          <w:rFonts w:eastAsia="Times New Roman" w:cs="Times New Roman"/>
          <w:noProof/>
          <w:sz w:val="22"/>
        </w:rPr>
        <w:t>).</w:t>
      </w:r>
    </w:p>
    <w:p w:rsidR="00323528" w:rsidRDefault="003A3A10">
      <w:pPr>
        <w:spacing w:after="120"/>
        <w:rPr>
          <w:rFonts w:eastAsia="Times New Roman" w:cs="Times New Roman"/>
          <w:i/>
          <w:iCs/>
          <w:noProof/>
          <w:sz w:val="22"/>
        </w:rPr>
      </w:pPr>
      <w:r>
        <w:rPr>
          <w:rFonts w:eastAsia="Times New Roman" w:cs="Times New Roman"/>
          <w:noProof/>
          <w:sz w:val="22"/>
        </w:rPr>
        <w:t xml:space="preserve">Slovak Government (2021), </w:t>
      </w:r>
      <w:r>
        <w:rPr>
          <w:rFonts w:eastAsia="Times New Roman" w:cs="Times New Roman"/>
          <w:i/>
          <w:iCs/>
          <w:noProof/>
          <w:sz w:val="22"/>
        </w:rPr>
        <w:t xml:space="preserve">Input from Slovakia for the 2021 Rule </w:t>
      </w:r>
      <w:r>
        <w:rPr>
          <w:rFonts w:eastAsia="Times New Roman" w:cs="Times New Roman"/>
          <w:i/>
          <w:iCs/>
          <w:noProof/>
          <w:sz w:val="22"/>
        </w:rPr>
        <w:t>of Law Report.</w:t>
      </w:r>
    </w:p>
    <w:p w:rsidR="00323528" w:rsidRDefault="003A3A10">
      <w:pPr>
        <w:spacing w:after="120"/>
        <w:rPr>
          <w:rFonts w:eastAsia="Times New Roman" w:cs="Times New Roman"/>
          <w:noProof/>
          <w:color w:val="0563C1"/>
          <w:sz w:val="22"/>
          <w:u w:val="single"/>
        </w:rPr>
      </w:pPr>
      <w:r>
        <w:rPr>
          <w:rFonts w:eastAsia="Times New Roman" w:cs="Times New Roman"/>
          <w:noProof/>
          <w:sz w:val="22"/>
        </w:rPr>
        <w:t xml:space="preserve">Slovak Government, </w:t>
      </w:r>
      <w:r>
        <w:rPr>
          <w:rFonts w:eastAsia="Times New Roman" w:cs="Times New Roman"/>
          <w:i/>
          <w:iCs/>
          <w:noProof/>
          <w:sz w:val="22"/>
        </w:rPr>
        <w:t>Plan of Legislative Tasks of the Government of the Slovak Republic for 2021</w:t>
      </w:r>
      <w:r>
        <w:rPr>
          <w:rFonts w:eastAsia="Times New Roman" w:cs="Times New Roman"/>
          <w:noProof/>
          <w:sz w:val="22"/>
        </w:rPr>
        <w:t xml:space="preserve"> (</w:t>
      </w:r>
      <w:hyperlink r:id="rId31" w:history="1">
        <w:r>
          <w:rPr>
            <w:rStyle w:val="Hyperlink"/>
            <w:rFonts w:eastAsia="Times New Roman" w:cs="Times New Roman"/>
            <w:noProof/>
            <w:sz w:val="22"/>
          </w:rPr>
          <w:t>https://www.slov-lex.sk/</w:t>
        </w:r>
        <w:r>
          <w:rPr>
            <w:rStyle w:val="Hyperlink"/>
            <w:rFonts w:eastAsia="Times New Roman" w:cs="Times New Roman"/>
            <w:noProof/>
            <w:sz w:val="22"/>
          </w:rPr>
          <w:t>legislativne-procesy?p_p_id=processDetail_WAR_portletsel&amp;p_p_lifecycle=2&amp;p_p_state=normal&amp;p_p_mode=view&amp;p_p_cacheability=cacheLevelPage&amp;p_p_col_id=column-2&amp;p_p_col_count=1&amp;_processDetail_WAR_portletsel_fileCooaddr=COO.2145.1000.3.4201465&amp;_processDetail_WAR</w:t>
        </w:r>
        <w:r>
          <w:rPr>
            <w:rStyle w:val="Hyperlink"/>
            <w:rFonts w:eastAsia="Times New Roman" w:cs="Times New Roman"/>
            <w:noProof/>
            <w:sz w:val="22"/>
          </w:rPr>
          <w:t>_portletsel_file=pl%C3%A1n-2021.pdf&amp;_processDetail_WAR_portletsel_action=getFile</w:t>
        </w:r>
      </w:hyperlink>
      <w:r>
        <w:rPr>
          <w:rFonts w:eastAsia="Times New Roman" w:cs="Times New Roman"/>
          <w:noProof/>
          <w:sz w:val="22"/>
        </w:rPr>
        <w:t>).</w:t>
      </w:r>
    </w:p>
    <w:p w:rsidR="00323528" w:rsidRDefault="003A3A10">
      <w:pPr>
        <w:spacing w:after="120"/>
        <w:rPr>
          <w:rFonts w:eastAsia="Times New Roman" w:cs="Times New Roman"/>
          <w:noProof/>
          <w:color w:val="0563C1"/>
          <w:sz w:val="22"/>
          <w:u w:val="single"/>
        </w:rPr>
      </w:pPr>
      <w:r>
        <w:rPr>
          <w:rFonts w:eastAsia="Times New Roman" w:cs="Times New Roman"/>
          <w:noProof/>
          <w:sz w:val="22"/>
        </w:rPr>
        <w:t xml:space="preserve">Slovak Government, </w:t>
      </w:r>
      <w:r>
        <w:rPr>
          <w:rFonts w:eastAsia="Times New Roman" w:cs="Times New Roman"/>
          <w:i/>
          <w:iCs/>
          <w:noProof/>
          <w:sz w:val="22"/>
        </w:rPr>
        <w:t>Program Statement for 2020 – 2024</w:t>
      </w:r>
      <w:r>
        <w:rPr>
          <w:rFonts w:eastAsia="Times New Roman" w:cs="Times New Roman"/>
          <w:noProof/>
          <w:sz w:val="22"/>
        </w:rPr>
        <w:t xml:space="preserve"> (</w:t>
      </w:r>
      <w:hyperlink r:id="rId32" w:history="1">
        <w:r>
          <w:rPr>
            <w:rStyle w:val="Hyperlink"/>
            <w:rFonts w:eastAsia="Times New Roman" w:cs="Times New Roman"/>
            <w:noProof/>
            <w:sz w:val="22"/>
          </w:rPr>
          <w:t>https://www.mpsr.sk/programove-vyhlasenie-vlady-slovenskej-republiky-na-obdobie-rokov-2020-2024/800-17-800-15434/</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Slovak Government, </w:t>
      </w:r>
      <w:r>
        <w:rPr>
          <w:rFonts w:eastAsia="Times New Roman" w:cs="Times New Roman"/>
          <w:i/>
          <w:iCs/>
          <w:noProof/>
          <w:sz w:val="22"/>
        </w:rPr>
        <w:t>Program Statement for 2021 – 2024</w:t>
      </w:r>
      <w:r>
        <w:rPr>
          <w:rFonts w:eastAsia="Times New Roman" w:cs="Times New Roman"/>
          <w:noProof/>
          <w:sz w:val="22"/>
        </w:rPr>
        <w:t xml:space="preserve"> (</w:t>
      </w:r>
      <w:hyperlink r:id="rId33" w:history="1">
        <w:r>
          <w:rPr>
            <w:rStyle w:val="Hyperlink"/>
            <w:rFonts w:eastAsia="Times New Roman" w:cs="Times New Roman"/>
            <w:noProof/>
            <w:sz w:val="22"/>
          </w:rPr>
          <w:t>https://www.nrsr.sk/web/Dynamic/DocumentPreview.aspx?DocID=494677</w:t>
        </w:r>
      </w:hyperlink>
      <w:r>
        <w:rPr>
          <w:rFonts w:eastAsia="Times New Roman" w:cs="Times New Roman"/>
          <w:noProof/>
          <w:sz w:val="22"/>
        </w:rPr>
        <w:t>).</w:t>
      </w:r>
    </w:p>
    <w:p w:rsidR="00323528" w:rsidRDefault="003A3A10">
      <w:pPr>
        <w:spacing w:after="120"/>
        <w:rPr>
          <w:rFonts w:eastAsia="Times New Roman" w:cs="Times New Roman"/>
          <w:noProof/>
          <w:color w:val="0563C1"/>
          <w:sz w:val="22"/>
          <w:u w:val="single"/>
        </w:rPr>
      </w:pPr>
      <w:r>
        <w:rPr>
          <w:rFonts w:eastAsia="Times New Roman" w:cs="Times New Roman"/>
          <w:noProof/>
          <w:color w:val="0563C1"/>
          <w:sz w:val="22"/>
          <w:u w:val="single"/>
        </w:rPr>
        <w:t xml:space="preserve">Slovak Government (2021), </w:t>
      </w:r>
      <w:r>
        <w:rPr>
          <w:rFonts w:eastAsia="Times New Roman" w:cs="Times New Roman"/>
          <w:i/>
          <w:noProof/>
          <w:color w:val="0563C1"/>
          <w:sz w:val="22"/>
          <w:u w:val="single"/>
        </w:rPr>
        <w:t>Recovery and Resilience Plan</w:t>
      </w:r>
      <w:r>
        <w:rPr>
          <w:rFonts w:eastAsia="Times New Roman" w:cs="Times New Roman"/>
          <w:noProof/>
          <w:color w:val="0563C1"/>
          <w:sz w:val="22"/>
          <w:u w:val="single"/>
        </w:rPr>
        <w:t xml:space="preserve"> (</w:t>
      </w:r>
      <w:r>
        <w:rPr>
          <w:rFonts w:eastAsia="Times New Roman" w:cs="Times New Roman"/>
          <w:i/>
          <w:noProof/>
          <w:color w:val="0563C1"/>
          <w:sz w:val="22"/>
          <w:u w:val="single"/>
          <w:lang w:val="cs-CZ"/>
        </w:rPr>
        <w:t>Plán obnovy a odolnosti Slovenskej republiky</w:t>
      </w:r>
      <w:r>
        <w:rPr>
          <w:rFonts w:eastAsia="Times New Roman" w:cs="Times New Roman"/>
          <w:noProof/>
          <w:color w:val="0563C1"/>
          <w:sz w:val="22"/>
          <w:u w:val="single"/>
        </w:rPr>
        <w:t>) (https://www.planobnovy.sk/files/dokumenty/kompletny-plan_obnovy.pdf)</w:t>
      </w:r>
    </w:p>
    <w:p w:rsidR="00323528" w:rsidRDefault="003A3A10">
      <w:pPr>
        <w:spacing w:after="120"/>
        <w:rPr>
          <w:rFonts w:eastAsia="Times New Roman" w:cs="Times New Roman"/>
          <w:noProof/>
          <w:sz w:val="22"/>
        </w:rPr>
      </w:pPr>
      <w:r>
        <w:rPr>
          <w:rFonts w:eastAsia="Times New Roman" w:cs="Times New Roman"/>
          <w:noProof/>
          <w:sz w:val="22"/>
        </w:rPr>
        <w:t>Slovak la</w:t>
      </w:r>
      <w:r>
        <w:rPr>
          <w:rFonts w:eastAsia="Times New Roman" w:cs="Times New Roman"/>
          <w:noProof/>
          <w:sz w:val="22"/>
        </w:rPr>
        <w:t xml:space="preserve">wyers, </w:t>
      </w:r>
      <w:r>
        <w:rPr>
          <w:rFonts w:eastAsia="Times New Roman" w:cs="Times New Roman"/>
          <w:i/>
          <w:iCs/>
          <w:noProof/>
          <w:sz w:val="22"/>
        </w:rPr>
        <w:t>Open call and contribution for the 2021 Rule of Law Report</w:t>
      </w:r>
      <w:r>
        <w:rPr>
          <w:rFonts w:eastAsia="Times New Roman" w:cs="Times New Roman"/>
          <w:noProof/>
          <w:sz w:val="22"/>
        </w:rPr>
        <w:t>, (</w:t>
      </w:r>
      <w:hyperlink r:id="rId34" w:history="1">
        <w:r>
          <w:rPr>
            <w:rStyle w:val="Hyperlink"/>
            <w:rFonts w:eastAsia="Times New Roman" w:cs="Times New Roman"/>
            <w:noProof/>
            <w:sz w:val="22"/>
          </w:rPr>
          <w:t>https://pravnystat.eu/en/</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Slovak Ministry of Health, Sectorial anti-corruption programme (</w:t>
      </w:r>
      <w:hyperlink r:id="rId35" w:history="1">
        <w:r>
          <w:rPr>
            <w:rStyle w:val="Hyperlink"/>
            <w:rFonts w:eastAsia="Times New Roman" w:cs="Times New Roman"/>
            <w:noProof/>
            <w:sz w:val="22"/>
          </w:rPr>
          <w:t>https://www.health.gov.sk/Zdroje?/dokumenty/mzsr/rezortny-protikorupcny-program.rtf</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Slovak Ministry of Justice, Analytical Center (2020), </w:t>
      </w:r>
      <w:r>
        <w:rPr>
          <w:rFonts w:eastAsia="Times New Roman" w:cs="Times New Roman"/>
          <w:i/>
          <w:iCs/>
          <w:noProof/>
          <w:sz w:val="22"/>
        </w:rPr>
        <w:t>Odporúčania pre tv</w:t>
      </w:r>
      <w:r>
        <w:rPr>
          <w:rFonts w:eastAsia="Times New Roman" w:cs="Times New Roman"/>
          <w:i/>
          <w:iCs/>
          <w:noProof/>
          <w:sz w:val="22"/>
        </w:rPr>
        <w:t>orbu novej súdnej mapy</w:t>
      </w:r>
      <w:r>
        <w:rPr>
          <w:rFonts w:eastAsia="Times New Roman" w:cs="Times New Roman"/>
          <w:noProof/>
          <w:sz w:val="22"/>
        </w:rPr>
        <w:t xml:space="preserve"> (</w:t>
      </w:r>
      <w:hyperlink r:id="rId36" w:history="1">
        <w:r>
          <w:rPr>
            <w:rStyle w:val="Hyperlink"/>
            <w:rFonts w:eastAsia="Times New Roman" w:cs="Times New Roman"/>
            <w:noProof/>
            <w:sz w:val="22"/>
          </w:rPr>
          <w:t>http://web.ac-mssr.sk/wp-content/uploads/2020/sudna_mapa/nova_sudna_mapa_3_0_final.pdf</w:t>
        </w:r>
      </w:hyperlink>
      <w:r>
        <w:rPr>
          <w:rFonts w:eastAsia="Times New Roman" w:cs="Times New Roman"/>
          <w:noProof/>
          <w:sz w:val="22"/>
        </w:rPr>
        <w:t>).</w:t>
      </w:r>
    </w:p>
    <w:p w:rsidR="00323528" w:rsidRDefault="003A3A10">
      <w:pPr>
        <w:spacing w:after="120"/>
        <w:rPr>
          <w:rFonts w:eastAsia="Times New Roman" w:cs="Times New Roman"/>
          <w:noProof/>
          <w:color w:val="0563C1"/>
          <w:sz w:val="22"/>
          <w:u w:val="single"/>
        </w:rPr>
      </w:pPr>
      <w:r>
        <w:rPr>
          <w:rFonts w:eastAsia="Times New Roman" w:cs="Times New Roman"/>
          <w:noProof/>
          <w:sz w:val="22"/>
        </w:rPr>
        <w:t>Slovak Ministry of Justice, Analytical C</w:t>
      </w:r>
      <w:r>
        <w:rPr>
          <w:rFonts w:eastAsia="Times New Roman" w:cs="Times New Roman"/>
          <w:noProof/>
          <w:sz w:val="22"/>
        </w:rPr>
        <w:t xml:space="preserve">enter (2020), </w:t>
      </w:r>
      <w:r>
        <w:rPr>
          <w:rFonts w:eastAsia="Times New Roman" w:cs="Times New Roman"/>
          <w:i/>
          <w:iCs/>
          <w:noProof/>
          <w:sz w:val="22"/>
        </w:rPr>
        <w:t>Recommendations for preparation of a new judicial map</w:t>
      </w:r>
      <w:r>
        <w:rPr>
          <w:rFonts w:eastAsia="Times New Roman" w:cs="Times New Roman"/>
          <w:noProof/>
          <w:sz w:val="22"/>
        </w:rPr>
        <w:t xml:space="preserve"> (</w:t>
      </w:r>
      <w:hyperlink r:id="rId37" w:history="1">
        <w:r>
          <w:rPr>
            <w:rStyle w:val="Hyperlink"/>
            <w:rFonts w:eastAsia="Times New Roman" w:cs="Times New Roman"/>
            <w:noProof/>
            <w:sz w:val="22"/>
          </w:rPr>
          <w:t>http://web.ac-mssr.sk/wp-content/uploads/2020/sudna_mapa/nova_sudna_mapa_3_0_final.p</w:t>
        </w:r>
        <w:r>
          <w:rPr>
            <w:rStyle w:val="Hyperlink"/>
            <w:rFonts w:eastAsia="Times New Roman" w:cs="Times New Roman"/>
            <w:noProof/>
            <w:sz w:val="22"/>
          </w:rPr>
          <w:t>df</w:t>
        </w:r>
      </w:hyperlink>
      <w:r>
        <w:rPr>
          <w:rFonts w:eastAsia="Times New Roman" w:cs="Times New Roman"/>
          <w:noProof/>
          <w:sz w:val="22"/>
        </w:rPr>
        <w:t>).</w:t>
      </w:r>
    </w:p>
    <w:p w:rsidR="00323528" w:rsidRDefault="003A3A10">
      <w:pPr>
        <w:spacing w:after="120"/>
        <w:rPr>
          <w:rFonts w:eastAsia="Times New Roman" w:cs="Times New Roman"/>
          <w:noProof/>
          <w:color w:val="0563C1"/>
          <w:sz w:val="22"/>
          <w:u w:val="single"/>
        </w:rPr>
      </w:pPr>
      <w:r>
        <w:rPr>
          <w:rFonts w:eastAsia="Times New Roman" w:cs="Times New Roman"/>
          <w:noProof/>
          <w:sz w:val="22"/>
        </w:rPr>
        <w:t xml:space="preserve">Slovak Ministry of Justice, Analytical Center (2020), </w:t>
      </w:r>
      <w:r>
        <w:rPr>
          <w:rFonts w:eastAsia="Times New Roman" w:cs="Times New Roman"/>
          <w:i/>
          <w:iCs/>
          <w:noProof/>
          <w:sz w:val="22"/>
        </w:rPr>
        <w:t>Reform of the Judicial map</w:t>
      </w:r>
      <w:r>
        <w:rPr>
          <w:rFonts w:eastAsia="Times New Roman" w:cs="Times New Roman"/>
          <w:noProof/>
          <w:sz w:val="22"/>
        </w:rPr>
        <w:t xml:space="preserve"> (</w:t>
      </w:r>
      <w:hyperlink r:id="rId38" w:history="1">
        <w:r>
          <w:rPr>
            <w:rStyle w:val="Hyperlink"/>
            <w:rFonts w:eastAsia="Times New Roman" w:cs="Times New Roman"/>
            <w:noProof/>
            <w:sz w:val="22"/>
          </w:rPr>
          <w:t>http://web.ac-mssr.sk/wp-content/uploads/2020/sudna_mapa/Refo</w:t>
        </w:r>
        <w:r>
          <w:rPr>
            <w:rStyle w:val="Hyperlink"/>
            <w:rFonts w:eastAsia="Times New Roman" w:cs="Times New Roman"/>
            <w:noProof/>
            <w:sz w:val="22"/>
          </w:rPr>
          <w:t>rma_sudnej_mapy_na_citanie.pdf</w:t>
        </w:r>
      </w:hyperlink>
      <w:r>
        <w:rPr>
          <w:rFonts w:eastAsia="Times New Roman" w:cs="Times New Roman"/>
          <w:noProof/>
          <w:sz w:val="22"/>
        </w:rPr>
        <w:t>).</w:t>
      </w:r>
    </w:p>
    <w:p w:rsidR="00323528" w:rsidRDefault="003A3A10">
      <w:pPr>
        <w:spacing w:after="120"/>
        <w:rPr>
          <w:rFonts w:eastAsia="Times New Roman" w:cs="Times New Roman"/>
          <w:noProof/>
          <w:color w:val="0563C1"/>
          <w:sz w:val="22"/>
          <w:u w:val="single"/>
        </w:rPr>
      </w:pPr>
      <w:r>
        <w:rPr>
          <w:rFonts w:eastAsia="Times New Roman" w:cs="Times New Roman"/>
          <w:noProof/>
          <w:sz w:val="22"/>
        </w:rPr>
        <w:t xml:space="preserve">Slovak Ministry of Justice, </w:t>
      </w:r>
      <w:r>
        <w:rPr>
          <w:rFonts w:eastAsia="Times New Roman" w:cs="Times New Roman"/>
          <w:i/>
          <w:iCs/>
          <w:noProof/>
          <w:sz w:val="22"/>
        </w:rPr>
        <w:t>Timeline of the drafting process of the Judicial Map Reform</w:t>
      </w:r>
      <w:r>
        <w:rPr>
          <w:rFonts w:eastAsia="Times New Roman" w:cs="Times New Roman"/>
          <w:noProof/>
          <w:sz w:val="22"/>
        </w:rPr>
        <w:t xml:space="preserve"> (</w:t>
      </w:r>
      <w:hyperlink r:id="rId39" w:history="1">
        <w:r>
          <w:rPr>
            <w:rStyle w:val="Hyperlink"/>
            <w:rFonts w:eastAsia="Times New Roman" w:cs="Times New Roman"/>
            <w:noProof/>
            <w:sz w:val="22"/>
          </w:rPr>
          <w:t>http://web.ac-mssr</w:t>
        </w:r>
        <w:r>
          <w:rPr>
            <w:rStyle w:val="Hyperlink"/>
            <w:rFonts w:eastAsia="Times New Roman" w:cs="Times New Roman"/>
            <w:noProof/>
            <w:sz w:val="22"/>
          </w:rPr>
          <w:t>.sk/wp-content/uploads/2020/sudna_mapa/20210223_Casov%C3%A1_os_Sudna_mapa_v.2.pdf</w:t>
        </w:r>
      </w:hyperlink>
      <w:r>
        <w:rPr>
          <w:rFonts w:eastAsia="Times New Roman" w:cs="Times New Roman"/>
          <w:noProof/>
          <w:sz w:val="22"/>
        </w:rPr>
        <w:t>).</w:t>
      </w:r>
    </w:p>
    <w:p w:rsidR="00323528" w:rsidRDefault="003A3A10">
      <w:pPr>
        <w:spacing w:after="120"/>
        <w:rPr>
          <w:rFonts w:eastAsia="Times New Roman" w:cs="Times New Roman"/>
          <w:noProof/>
          <w:color w:val="0563C1"/>
          <w:sz w:val="22"/>
          <w:u w:val="single"/>
        </w:rPr>
      </w:pPr>
      <w:r>
        <w:rPr>
          <w:rFonts w:eastAsia="Times New Roman" w:cs="Times New Roman"/>
          <w:noProof/>
          <w:sz w:val="22"/>
        </w:rPr>
        <w:t xml:space="preserve">Slovak Ministry for Regional Development (2020), press release, </w:t>
      </w:r>
      <w:r>
        <w:rPr>
          <w:rFonts w:eastAsia="Times New Roman" w:cs="Times New Roman"/>
          <w:i/>
          <w:noProof/>
          <w:sz w:val="22"/>
        </w:rPr>
        <w:t>Vice-Premier Remi</w:t>
      </w:r>
      <w:r>
        <w:rPr>
          <w:rFonts w:eastAsia="Times New Roman" w:cs="Times New Roman"/>
          <w:i/>
          <w:noProof/>
          <w:sz w:val="22"/>
          <w:lang w:val="cs-CZ"/>
        </w:rPr>
        <w:t>šová</w:t>
      </w:r>
      <w:r>
        <w:rPr>
          <w:rFonts w:eastAsia="Times New Roman" w:cs="Times New Roman"/>
          <w:i/>
          <w:noProof/>
          <w:sz w:val="22"/>
        </w:rPr>
        <w:t>: 1.1 mil EUR for help to non-governmental organisation with fights agaist COVID-19</w:t>
      </w:r>
      <w:r>
        <w:rPr>
          <w:rFonts w:eastAsia="Times New Roman" w:cs="Times New Roman"/>
          <w:noProof/>
          <w:sz w:val="22"/>
        </w:rPr>
        <w:t xml:space="preserve">  (</w:t>
      </w:r>
      <w:r>
        <w:rPr>
          <w:rFonts w:eastAsia="Times New Roman" w:cs="Times New Roman"/>
          <w:i/>
          <w:noProof/>
          <w:sz w:val="22"/>
        </w:rPr>
        <w:t>V</w:t>
      </w:r>
      <w:r>
        <w:rPr>
          <w:rFonts w:eastAsia="Times New Roman" w:cs="Times New Roman"/>
          <w:i/>
          <w:noProof/>
          <w:sz w:val="22"/>
        </w:rPr>
        <w:t>icepremiérka Remišová: 1,1 milióna eur na pomoc mimovládnym organizáciám v boji s COVID–19</w:t>
      </w:r>
      <w:r>
        <w:rPr>
          <w:rFonts w:eastAsia="Times New Roman" w:cs="Times New Roman"/>
          <w:noProof/>
          <w:sz w:val="22"/>
        </w:rPr>
        <w:t>)</w:t>
      </w:r>
      <w:r>
        <w:rPr>
          <w:rFonts w:eastAsia="Times New Roman" w:cs="Times New Roman"/>
          <w:noProof/>
          <w:sz w:val="22"/>
          <w:u w:val="single"/>
        </w:rPr>
        <w:t xml:space="preserve"> </w:t>
      </w:r>
      <w:r>
        <w:rPr>
          <w:rFonts w:eastAsia="Times New Roman" w:cs="Times New Roman"/>
          <w:noProof/>
          <w:sz w:val="22"/>
        </w:rPr>
        <w:t>(</w:t>
      </w:r>
      <w:hyperlink r:id="rId40" w:history="1">
        <w:r>
          <w:rPr>
            <w:rStyle w:val="Hyperlink"/>
            <w:rFonts w:eastAsia="Times New Roman" w:cs="Times New Roman"/>
            <w:noProof/>
            <w:sz w:val="22"/>
          </w:rPr>
          <w:t>https://www.mirri.gov.sk/aktuality/podpredsednicka-vlady/vicepremierka-remisova-11-miliona-eur-na-pomoc-mimovladnym-organizaciam-v-boji-s-covid-19/</w:t>
        </w:r>
      </w:hyperlink>
      <w:r>
        <w:rPr>
          <w:rFonts w:eastAsia="Times New Roman" w:cs="Times New Roman"/>
          <w:noProof/>
          <w:sz w:val="22"/>
        </w:rPr>
        <w:t>).</w:t>
      </w:r>
    </w:p>
    <w:p w:rsidR="00323528" w:rsidRDefault="003A3A10">
      <w:pPr>
        <w:spacing w:after="120"/>
        <w:rPr>
          <w:rFonts w:eastAsia="Times New Roman" w:cs="Times New Roman"/>
          <w:noProof/>
          <w:color w:val="0563C1"/>
          <w:sz w:val="22"/>
          <w:u w:val="single"/>
        </w:rPr>
      </w:pPr>
      <w:r>
        <w:rPr>
          <w:rFonts w:eastAsia="Times New Roman" w:cs="Times New Roman"/>
          <w:noProof/>
          <w:sz w:val="22"/>
        </w:rPr>
        <w:t xml:space="preserve">Slovak National Center for Human Rights (2019), </w:t>
      </w:r>
      <w:r>
        <w:rPr>
          <w:rFonts w:eastAsia="Times New Roman" w:cs="Times New Roman"/>
          <w:i/>
          <w:iCs/>
          <w:noProof/>
          <w:sz w:val="22"/>
        </w:rPr>
        <w:t xml:space="preserve">Annual report on compliance with human rights </w:t>
      </w:r>
      <w:r>
        <w:rPr>
          <w:rFonts w:eastAsia="Times New Roman" w:cs="Times New Roman"/>
          <w:noProof/>
          <w:sz w:val="22"/>
        </w:rPr>
        <w:t>(</w:t>
      </w:r>
      <w:hyperlink r:id="rId41" w:history="1">
        <w:r>
          <w:rPr>
            <w:rStyle w:val="Hyperlink"/>
            <w:rFonts w:eastAsia="Times New Roman" w:cs="Times New Roman"/>
            <w:noProof/>
            <w:sz w:val="22"/>
          </w:rPr>
          <w:t>http://www.snslp.sk/wp-content/uploads/Sprava-o-LP-v-SR-za-rok-2020-.pdf</w:t>
        </w:r>
      </w:hyperlink>
      <w:r>
        <w:rPr>
          <w:rFonts w:eastAsia="Times New Roman" w:cs="Times New Roman"/>
          <w:noProof/>
          <w:sz w:val="22"/>
        </w:rPr>
        <w:t>).</w:t>
      </w:r>
    </w:p>
    <w:p w:rsidR="00323528" w:rsidRDefault="003A3A10">
      <w:pPr>
        <w:spacing w:after="120"/>
        <w:rPr>
          <w:rFonts w:eastAsia="Times New Roman" w:cs="Times New Roman"/>
          <w:noProof/>
          <w:sz w:val="22"/>
        </w:rPr>
      </w:pPr>
      <w:r>
        <w:rPr>
          <w:rFonts w:eastAsia="Times New Roman" w:cs="Times New Roman"/>
          <w:noProof/>
          <w:sz w:val="22"/>
        </w:rPr>
        <w:t xml:space="preserve">Transparency International (2020), </w:t>
      </w:r>
      <w:r>
        <w:rPr>
          <w:rFonts w:eastAsia="Times New Roman" w:cs="Times New Roman"/>
          <w:i/>
          <w:iCs/>
          <w:noProof/>
          <w:sz w:val="22"/>
        </w:rPr>
        <w:t>Exporting corruption.</w:t>
      </w:r>
      <w:r>
        <w:rPr>
          <w:rFonts w:eastAsia="Times New Roman" w:cs="Times New Roman"/>
          <w:noProof/>
          <w:sz w:val="22"/>
        </w:rPr>
        <w:t xml:space="preserve"> </w:t>
      </w:r>
    </w:p>
    <w:p w:rsidR="00323528" w:rsidRDefault="003A3A10">
      <w:pPr>
        <w:spacing w:after="120"/>
        <w:rPr>
          <w:rFonts w:eastAsia="Times New Roman" w:cs="Times New Roman"/>
          <w:noProof/>
          <w:sz w:val="22"/>
        </w:rPr>
      </w:pPr>
      <w:r>
        <w:rPr>
          <w:rFonts w:eastAsia="Times New Roman" w:cs="Times New Roman"/>
          <w:noProof/>
          <w:sz w:val="22"/>
        </w:rPr>
        <w:t xml:space="preserve">Transparency International (2021), </w:t>
      </w:r>
      <w:r>
        <w:rPr>
          <w:rFonts w:eastAsia="Times New Roman" w:cs="Times New Roman"/>
          <w:i/>
          <w:iCs/>
          <w:noProof/>
          <w:sz w:val="22"/>
        </w:rPr>
        <w:t>C</w:t>
      </w:r>
      <w:r>
        <w:rPr>
          <w:rFonts w:eastAsia="Times New Roman" w:cs="Times New Roman"/>
          <w:i/>
          <w:iCs/>
          <w:noProof/>
          <w:sz w:val="22"/>
        </w:rPr>
        <w:t>orruption Perceptions Index 2020</w:t>
      </w:r>
      <w:r>
        <w:rPr>
          <w:rFonts w:eastAsia="Times New Roman" w:cs="Times New Roman"/>
          <w:noProof/>
          <w:sz w:val="22"/>
        </w:rPr>
        <w:t xml:space="preserve">. </w:t>
      </w:r>
    </w:p>
    <w:p w:rsidR="00323528" w:rsidRDefault="003A3A10">
      <w:pPr>
        <w:spacing w:after="120"/>
        <w:rPr>
          <w:rFonts w:eastAsia="Times New Roman" w:cs="Times New Roman"/>
          <w:noProof/>
          <w:sz w:val="22"/>
        </w:rPr>
      </w:pPr>
      <w:r>
        <w:rPr>
          <w:rFonts w:eastAsia="Times New Roman" w:cs="Times New Roman"/>
          <w:noProof/>
          <w:sz w:val="22"/>
        </w:rPr>
        <w:t xml:space="preserve">UNCAC, </w:t>
      </w:r>
      <w:r>
        <w:rPr>
          <w:rFonts w:eastAsia="Times New Roman" w:cs="Times New Roman"/>
          <w:i/>
          <w:iCs/>
          <w:noProof/>
          <w:sz w:val="22"/>
        </w:rPr>
        <w:t>Implementation Review - 1</w:t>
      </w:r>
      <w:r>
        <w:rPr>
          <w:rFonts w:eastAsia="Times New Roman" w:cs="Times New Roman"/>
          <w:i/>
          <w:iCs/>
          <w:noProof/>
          <w:sz w:val="22"/>
          <w:vertAlign w:val="superscript"/>
        </w:rPr>
        <w:t>st</w:t>
      </w:r>
      <w:r>
        <w:rPr>
          <w:rFonts w:eastAsia="Times New Roman" w:cs="Times New Roman"/>
          <w:i/>
          <w:iCs/>
          <w:noProof/>
          <w:sz w:val="22"/>
        </w:rPr>
        <w:t xml:space="preserve"> cycle (2010-2015), Country Review Report of Slovak Republic,</w:t>
      </w:r>
      <w:r>
        <w:rPr>
          <w:rFonts w:eastAsia="Times New Roman" w:cs="Times New Roman"/>
          <w:noProof/>
          <w:sz w:val="22"/>
        </w:rPr>
        <w:t xml:space="preserve"> (</w:t>
      </w:r>
      <w:hyperlink r:id="rId42" w:history="1">
        <w:r>
          <w:rPr>
            <w:rStyle w:val="Hyperlink"/>
            <w:rFonts w:eastAsia="Times New Roman" w:cs="Times New Roman"/>
            <w:noProof/>
            <w:sz w:val="22"/>
          </w:rPr>
          <w:t>https://www.unodc.org/documents/treaties/UNCAC/CountryVisitFinalReports/2013_07_11_Slovakia_Final_Country_Report.pdf</w:t>
        </w:r>
      </w:hyperlink>
      <w:r>
        <w:rPr>
          <w:rFonts w:eastAsia="Times New Roman" w:cs="Times New Roman"/>
          <w:noProof/>
          <w:sz w:val="22"/>
        </w:rPr>
        <w:t>).</w:t>
      </w:r>
    </w:p>
    <w:p w:rsidR="00323528" w:rsidRDefault="003A3A10">
      <w:pPr>
        <w:spacing w:after="160" w:line="259" w:lineRule="auto"/>
        <w:jc w:val="left"/>
        <w:rPr>
          <w:rFonts w:eastAsia="Times New Roman" w:cs="Times New Roman"/>
          <w:noProof/>
          <w:sz w:val="22"/>
        </w:rPr>
      </w:pPr>
      <w:r>
        <w:rPr>
          <w:rFonts w:eastAsia="Times New Roman" w:cs="Times New Roman"/>
          <w:noProof/>
          <w:sz w:val="22"/>
        </w:rPr>
        <w:br w:type="page"/>
      </w:r>
    </w:p>
    <w:p w:rsidR="00323528" w:rsidRDefault="003A3A10">
      <w:pPr>
        <w:pageBreakBefore/>
        <w:spacing w:after="120" w:line="264" w:lineRule="auto"/>
        <w:rPr>
          <w:rFonts w:eastAsia="Times New Roman" w:cs="Times New Roman"/>
          <w:b/>
          <w:bCs/>
          <w:noProof/>
          <w:sz w:val="22"/>
          <w:lang w:val="en-IE" w:eastAsia="en-GB"/>
        </w:rPr>
      </w:pPr>
      <w:r>
        <w:rPr>
          <w:rFonts w:eastAsia="Times New Roman" w:cs="Times New Roman"/>
          <w:b/>
          <w:bCs/>
          <w:noProof/>
          <w:sz w:val="22"/>
          <w:lang w:val="en-IE" w:eastAsia="en-GB"/>
        </w:rPr>
        <w:t>Annex II: Country visit to Slovakia</w:t>
      </w:r>
    </w:p>
    <w:p w:rsidR="00323528" w:rsidRDefault="003A3A10">
      <w:pPr>
        <w:spacing w:after="120" w:line="264" w:lineRule="auto"/>
        <w:rPr>
          <w:rFonts w:eastAsia="Times New Roman" w:cs="Times New Roman"/>
          <w:noProof/>
          <w:sz w:val="22"/>
          <w:szCs w:val="20"/>
          <w:shd w:val="clear" w:color="auto" w:fill="FFFFFF"/>
          <w:lang w:val="en-IE" w:eastAsia="en-GB"/>
        </w:rPr>
      </w:pPr>
      <w:r>
        <w:rPr>
          <w:rFonts w:eastAsia="Times New Roman" w:cs="Times New Roman"/>
          <w:noProof/>
          <w:sz w:val="22"/>
          <w:szCs w:val="20"/>
          <w:lang w:val="en-IE" w:eastAsia="en-GB"/>
        </w:rPr>
        <w:t>The Commission services held virtual meetings in April 2021 with:</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Association of Judges</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Government Office - Corruption Prevention Department</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Judges For Open Judiciary</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Judicial Council</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League of Human Rights</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Ministry of Culture</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Ministry of Health</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Ministry of Interior</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 xml:space="preserve">Ministry of Justice </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National Centre for Human Rights</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 xml:space="preserve">Police National Crime </w:t>
      </w:r>
      <w:r>
        <w:rPr>
          <w:rFonts w:eastAsia="Times New Roman" w:cs="Times New Roman"/>
          <w:noProof/>
          <w:sz w:val="22"/>
          <w:szCs w:val="20"/>
          <w:lang w:val="en-IE" w:eastAsia="en-GB"/>
        </w:rPr>
        <w:t>Agency</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Open Government Partnership</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 xml:space="preserve">Prosecutor General’s Office </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Public Defender of Rights</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Slovak Bar Association</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Slovak Council for Broadcasting</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 xml:space="preserve">Special Prosecutor’s Office </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Supreme Court</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Transparency International</w:t>
      </w:r>
    </w:p>
    <w:p w:rsidR="00323528" w:rsidRDefault="003A3A10">
      <w:pPr>
        <w:numPr>
          <w:ilvl w:val="0"/>
          <w:numId w:val="2"/>
        </w:numPr>
        <w:spacing w:after="0" w:line="264" w:lineRule="auto"/>
        <w:rPr>
          <w:rFonts w:eastAsia="Times New Roman" w:cs="Times New Roman"/>
          <w:noProof/>
          <w:sz w:val="22"/>
          <w:szCs w:val="20"/>
          <w:lang w:val="en-IE" w:eastAsia="en-GB"/>
        </w:rPr>
      </w:pPr>
      <w:r>
        <w:rPr>
          <w:rFonts w:eastAsia="Times New Roman" w:cs="Times New Roman"/>
          <w:noProof/>
          <w:sz w:val="22"/>
          <w:szCs w:val="20"/>
          <w:lang w:val="en-IE" w:eastAsia="en-GB"/>
        </w:rPr>
        <w:t>Via Iuris</w:t>
      </w:r>
    </w:p>
    <w:p w:rsidR="00323528" w:rsidRDefault="00323528">
      <w:pPr>
        <w:spacing w:after="120"/>
        <w:rPr>
          <w:rFonts w:eastAsia="Calibri"/>
          <w:noProof/>
          <w:sz w:val="22"/>
          <w:szCs w:val="24"/>
          <w:lang w:eastAsia="en-GB"/>
        </w:rPr>
      </w:pPr>
    </w:p>
    <w:p w:rsidR="00323528" w:rsidRDefault="003A3A10">
      <w:pPr>
        <w:rPr>
          <w:rFonts w:cs="Times New Roman"/>
          <w:noProof/>
          <w:sz w:val="22"/>
        </w:rPr>
      </w:pPr>
      <w:r>
        <w:rPr>
          <w:rFonts w:cs="Times New Roman"/>
          <w:noProof/>
          <w:sz w:val="22"/>
        </w:rPr>
        <w:t xml:space="preserve">* The Commission also met the </w:t>
      </w:r>
      <w:r>
        <w:rPr>
          <w:rFonts w:cs="Times New Roman"/>
          <w:noProof/>
          <w:sz w:val="22"/>
        </w:rPr>
        <w:t>following organisations in a number of horizontal meetings:</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Amnesty International</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Center for Reproductive Rights</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CIVICUS</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Civil Liberties Union for Europe</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Civil Society Europe</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Conference of European Churches</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EuroCommerce</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 xml:space="preserve">European Center for Not-for-Profit </w:t>
      </w:r>
      <w:r>
        <w:rPr>
          <w:rFonts w:cs="Times New Roman"/>
          <w:noProof/>
          <w:sz w:val="22"/>
        </w:rPr>
        <w:t>Law</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European Centre for Press and Media Freedom</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European Civic Forum</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European Federation of Journalists</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 xml:space="preserve">European Partnership for Democracy </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European Youth Forum</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Front Line Defenders</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 xml:space="preserve">Human Rights House Foundation </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 xml:space="preserve">Human Rights Watch </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ILGA-Europe</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International Commission of Jurists</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International Federation for Human Rights</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International Planned Parenthood Federation European Network (IPPF EN)</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International Press Institute</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 xml:space="preserve">Netherlands Helsinki Committee </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Open Society European Policy Institute</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Philan</w:t>
      </w:r>
      <w:r>
        <w:rPr>
          <w:rFonts w:cs="Times New Roman"/>
          <w:noProof/>
          <w:sz w:val="22"/>
        </w:rPr>
        <w:t>thropy Advocacy</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 xml:space="preserve">Protection International </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Reporters without Borders</w:t>
      </w:r>
    </w:p>
    <w:p w:rsidR="00323528" w:rsidRDefault="003A3A10">
      <w:pPr>
        <w:pStyle w:val="ListParagraph"/>
        <w:numPr>
          <w:ilvl w:val="0"/>
          <w:numId w:val="9"/>
        </w:numPr>
        <w:spacing w:after="160" w:line="259" w:lineRule="auto"/>
        <w:jc w:val="left"/>
        <w:rPr>
          <w:rFonts w:cs="Times New Roman"/>
          <w:noProof/>
          <w:sz w:val="22"/>
        </w:rPr>
      </w:pPr>
      <w:r>
        <w:rPr>
          <w:rFonts w:cs="Times New Roman"/>
          <w:noProof/>
          <w:sz w:val="22"/>
        </w:rPr>
        <w:t>Transparency International EU</w:t>
      </w:r>
    </w:p>
    <w:p w:rsidR="00323528" w:rsidRDefault="00323528">
      <w:pPr>
        <w:rPr>
          <w:noProof/>
        </w:rPr>
      </w:pPr>
    </w:p>
    <w:sectPr w:rsidR="00323528">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528" w:rsidRDefault="003A3A10">
      <w:pPr>
        <w:spacing w:after="0"/>
      </w:pPr>
      <w:r>
        <w:separator/>
      </w:r>
    </w:p>
    <w:p w:rsidR="00323528" w:rsidRDefault="00323528"/>
    <w:p w:rsidR="00323528" w:rsidRDefault="00323528"/>
  </w:endnote>
  <w:endnote w:type="continuationSeparator" w:id="0">
    <w:p w:rsidR="00323528" w:rsidRDefault="003A3A10">
      <w:pPr>
        <w:spacing w:after="0"/>
      </w:pPr>
      <w:r>
        <w:continuationSeparator/>
      </w:r>
    </w:p>
    <w:p w:rsidR="00323528" w:rsidRDefault="00323528"/>
    <w:p w:rsidR="00323528" w:rsidRDefault="00323528"/>
  </w:endnote>
  <w:endnote w:type="continuationNotice" w:id="1">
    <w:p w:rsidR="00323528" w:rsidRDefault="003235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10" w:rsidRDefault="003A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28" w:rsidRDefault="003A3A10" w:rsidP="003A3A10">
    <w:pPr>
      <w:pStyle w:val="FooterCoverPage"/>
      <w:pBdr>
        <w:top w:val="none" w:sz="0" w:space="0" w:color="auto"/>
        <w:left w:val="none" w:sz="0" w:space="0" w:color="auto"/>
        <w:bottom w:val="none" w:sz="0" w:space="0" w:color="auto"/>
        <w:right w:val="none" w:sz="0" w:space="0" w:color="auto"/>
      </w:pBd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10" w:rsidRDefault="003A3A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28" w:rsidRDefault="003235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28" w:rsidRDefault="003A3A10">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noProof/>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942484"/>
      <w:docPartObj>
        <w:docPartGallery w:val="Page Numbers (Bottom of Page)"/>
        <w:docPartUnique/>
      </w:docPartObj>
    </w:sdtPr>
    <w:sdtEndPr>
      <w:rPr>
        <w:noProof/>
      </w:rPr>
    </w:sdtEndPr>
    <w:sdtContent>
      <w:p w:rsidR="00323528" w:rsidRDefault="00323528">
        <w:pPr>
          <w:pStyle w:val="Footer"/>
          <w:jc w:val="center"/>
        </w:pPr>
      </w:p>
      <w:p w:rsidR="00323528" w:rsidRDefault="00323528">
        <w:pPr>
          <w:pStyle w:val="Footer"/>
          <w:jc w:val="center"/>
        </w:pPr>
      </w:p>
      <w:p w:rsidR="00323528" w:rsidRDefault="003A3A10">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p w:rsidR="00323528" w:rsidRDefault="00323528"/>
  <w:p w:rsidR="00323528" w:rsidRDefault="003235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528" w:rsidRDefault="003A3A10">
      <w:pPr>
        <w:spacing w:after="0"/>
      </w:pPr>
      <w:r>
        <w:separator/>
      </w:r>
    </w:p>
  </w:footnote>
  <w:footnote w:type="continuationSeparator" w:id="0">
    <w:p w:rsidR="00323528" w:rsidRDefault="003A3A10">
      <w:pPr>
        <w:spacing w:after="0"/>
      </w:pPr>
      <w:r>
        <w:continuationSeparator/>
      </w:r>
    </w:p>
  </w:footnote>
  <w:footnote w:type="continuationNotice" w:id="1">
    <w:p w:rsidR="00323528" w:rsidRDefault="00323528">
      <w:pPr>
        <w:spacing w:after="0"/>
      </w:pPr>
    </w:p>
  </w:footnote>
  <w:footnote w:id="2">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For a </w:t>
      </w:r>
      <w:r>
        <w:rPr>
          <w:rFonts w:eastAsia="Times New Roman" w:cs="Times New Roman"/>
          <w:lang w:eastAsia="fr-FR"/>
        </w:rPr>
        <w:t>description</w:t>
      </w:r>
      <w:r>
        <w:rPr>
          <w:rFonts w:cs="Times New Roman"/>
        </w:rPr>
        <w:t xml:space="preserve"> of the judicial structure, see e.g. the Annual study for the European Commission carried out by </w:t>
      </w:r>
      <w:r>
        <w:rPr>
          <w:rFonts w:eastAsia="Times New Roman" w:cs="Times New Roman"/>
          <w:lang w:eastAsia="fr-FR"/>
        </w:rPr>
        <w:t>the Council of Europe Commission for the Efficiency of Justice (</w:t>
      </w:r>
      <w:r>
        <w:rPr>
          <w:rFonts w:cs="Times New Roman"/>
        </w:rPr>
        <w:t>CEPEJ).</w:t>
      </w:r>
    </w:p>
  </w:footnote>
  <w:footnote w:id="3">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Slovak Code of Criminal Procedure, para. 14 (e.g. premeditated murder, corruption, t</w:t>
      </w:r>
      <w:r>
        <w:rPr>
          <w:rFonts w:cs="Times New Roman"/>
        </w:rPr>
        <w:t>errorism, organised crime, severe economic crimes, damaging the financial interests of the EU etc.).</w:t>
      </w:r>
    </w:p>
  </w:footnote>
  <w:footnote w:id="4">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Art. 141a of the Slovak Constitution.</w:t>
      </w:r>
    </w:p>
  </w:footnote>
  <w:footnote w:id="5">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Arts. 149-151 of the Slovak Constitution; Act No. 153/2001 Coll. on Public Prosecution Service.</w:t>
      </w:r>
    </w:p>
  </w:footnote>
  <w:footnote w:id="6">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Parliamentar</w:t>
      </w:r>
      <w:r>
        <w:rPr>
          <w:rFonts w:cs="Times New Roman"/>
        </w:rPr>
        <w:t>y Act No. 586/2003 Coll. on the Legal Profession and on Amending Act No. 455/1991 Coll. on the Business and Self-employment Services (Business Licensing Act) of 4 December 2003.</w:t>
      </w:r>
    </w:p>
  </w:footnote>
  <w:footnote w:id="7">
    <w:p w:rsidR="00323528" w:rsidRDefault="003A3A10">
      <w:pPr>
        <w:pStyle w:val="FootnoteText"/>
      </w:pPr>
      <w:r>
        <w:rPr>
          <w:rStyle w:val="FootnoteReference"/>
        </w:rPr>
        <w:footnoteRef/>
      </w:r>
      <w:r>
        <w:t xml:space="preserve"> </w:t>
      </w:r>
      <w:r>
        <w:tab/>
        <w:t>Figure 50 of the 2021 EU Justice Scoreboard. The level of perceived judicia</w:t>
      </w:r>
      <w:r>
        <w:t>l independence is categorised as follows: very low (below 30% of respondents perceive judicial independence as fairly good and very good); low (between 30-39%), average (between 40-59%), high (between 60-75%), very high (above 75%).</w:t>
      </w:r>
    </w:p>
  </w:footnote>
  <w:footnote w:id="8">
    <w:p w:rsidR="00323528" w:rsidRDefault="003A3A10">
      <w:pPr>
        <w:pStyle w:val="FootnoteText"/>
      </w:pPr>
      <w:r>
        <w:rPr>
          <w:rStyle w:val="FootnoteReference"/>
        </w:rPr>
        <w:footnoteRef/>
      </w:r>
      <w:r>
        <w:t xml:space="preserve"> </w:t>
      </w:r>
      <w:r>
        <w:tab/>
        <w:t>Figure 49 of the 202</w:t>
      </w:r>
      <w:r>
        <w:t xml:space="preserve">1 EU Justice Scoreboard. </w:t>
      </w:r>
    </w:p>
  </w:footnote>
  <w:footnote w:id="9">
    <w:p w:rsidR="00323528" w:rsidRDefault="003A3A10">
      <w:pPr>
        <w:pStyle w:val="FootnoteText"/>
      </w:pPr>
      <w:r>
        <w:rPr>
          <w:rStyle w:val="FootnoteReference"/>
        </w:rPr>
        <w:footnoteRef/>
      </w:r>
      <w:r>
        <w:t xml:space="preserve"> </w:t>
      </w:r>
      <w:r>
        <w:tab/>
        <w:t>2020 Rule of Law Report, Country Chapter on the rule of law situation in Slovakia, pp. 2-3.</w:t>
      </w:r>
    </w:p>
  </w:footnote>
  <w:footnote w:id="10">
    <w:p w:rsidR="00323528" w:rsidRDefault="003A3A10">
      <w:pPr>
        <w:pStyle w:val="FootnoteText"/>
      </w:pPr>
      <w:r>
        <w:rPr>
          <w:rStyle w:val="FootnoteReference"/>
        </w:rPr>
        <w:footnoteRef/>
      </w:r>
      <w:r>
        <w:t xml:space="preserve"> </w:t>
      </w:r>
      <w:r>
        <w:tab/>
        <w:t xml:space="preserve">Figures 49 and 51 of the 2021 EU Justice Scoreboard. </w:t>
      </w:r>
    </w:p>
  </w:footnote>
  <w:footnote w:id="11">
    <w:p w:rsidR="00323528" w:rsidRDefault="003A3A10">
      <w:pPr>
        <w:pStyle w:val="FootnoteText"/>
      </w:pPr>
      <w:r>
        <w:rPr>
          <w:rStyle w:val="FootnoteReference"/>
        </w:rPr>
        <w:footnoteRef/>
      </w:r>
      <w:r>
        <w:t xml:space="preserve"> </w:t>
      </w:r>
      <w:r>
        <w:tab/>
        <w:t>2020 Rule of Law Report, Country Chapter on the rule of law situation in Sl</w:t>
      </w:r>
      <w:r>
        <w:t>ovakia, p. 2</w:t>
      </w:r>
    </w:p>
  </w:footnote>
  <w:footnote w:id="12">
    <w:p w:rsidR="00323528" w:rsidRDefault="003A3A10">
      <w:pPr>
        <w:pStyle w:val="FootnoteText"/>
      </w:pPr>
      <w:r>
        <w:rPr>
          <w:rStyle w:val="FootnoteReference"/>
        </w:rPr>
        <w:footnoteRef/>
      </w:r>
      <w:r>
        <w:t xml:space="preserve"> </w:t>
      </w:r>
      <w:r>
        <w:tab/>
        <w:t>As of May 2021. Information provided by the Slovak Judicial Council.</w:t>
      </w:r>
    </w:p>
  </w:footnote>
  <w:footnote w:id="13">
    <w:p w:rsidR="00323528" w:rsidRDefault="003A3A10">
      <w:pPr>
        <w:pStyle w:val="FootnoteText"/>
      </w:pPr>
      <w:r>
        <w:rPr>
          <w:rStyle w:val="FootnoteReference"/>
        </w:rPr>
        <w:footnoteRef/>
      </w:r>
      <w:r>
        <w:t xml:space="preserve"> </w:t>
      </w:r>
      <w:r>
        <w:tab/>
        <w:t>Prosecutors, police officers and lawyers, including high-ranking officials such as a former police president, Prosecutor General, Special Prosecutor or a former state s</w:t>
      </w:r>
      <w:r>
        <w:t xml:space="preserve">ecretary at the Ministry of Justice. </w:t>
      </w:r>
    </w:p>
  </w:footnote>
  <w:footnote w:id="14">
    <w:p w:rsidR="00323528" w:rsidRDefault="003A3A10">
      <w:pPr>
        <w:pStyle w:val="FootnoteText"/>
      </w:pPr>
      <w:r>
        <w:rPr>
          <w:rStyle w:val="FootnoteReference"/>
        </w:rPr>
        <w:footnoteRef/>
      </w:r>
      <w:r>
        <w:t xml:space="preserve"> </w:t>
      </w:r>
      <w:r>
        <w:tab/>
        <w:t>Information provided by the SK authorities.</w:t>
      </w:r>
    </w:p>
  </w:footnote>
  <w:footnote w:id="15">
    <w:p w:rsidR="00323528" w:rsidRDefault="003A3A10">
      <w:pPr>
        <w:pStyle w:val="FootnoteText"/>
      </w:pPr>
      <w:r>
        <w:rPr>
          <w:rStyle w:val="FootnoteReference"/>
        </w:rPr>
        <w:footnoteRef/>
      </w:r>
      <w:r>
        <w:t xml:space="preserve"> </w:t>
      </w:r>
      <w:r>
        <w:tab/>
      </w:r>
      <w:r>
        <w:rPr>
          <w:rFonts w:cs="Times New Roman"/>
        </w:rPr>
        <w:t>Council Recommendation of 20 May 2020 on the 2020 National Reform Programme of Slovakia and delivering a Council opinion on the 2020 Stability Programme of Slovakia,</w:t>
      </w:r>
      <w:r>
        <w:t xml:space="preserve"> </w:t>
      </w:r>
      <w:r>
        <w:rPr>
          <w:rFonts w:cs="Times New Roman"/>
        </w:rPr>
        <w:t>CO</w:t>
      </w:r>
      <w:r>
        <w:rPr>
          <w:rFonts w:cs="Times New Roman"/>
        </w:rPr>
        <w:t>M(2020) 525 final.</w:t>
      </w:r>
    </w:p>
  </w:footnote>
  <w:footnote w:id="16">
    <w:p w:rsidR="00323528" w:rsidRDefault="003A3A10">
      <w:pPr>
        <w:pStyle w:val="FootnoteText"/>
      </w:pPr>
      <w:r>
        <w:rPr>
          <w:rStyle w:val="FootnoteReference"/>
        </w:rPr>
        <w:footnoteRef/>
      </w:r>
      <w:r>
        <w:t xml:space="preserve"> </w:t>
      </w:r>
      <w:r>
        <w:tab/>
        <w:t>Program Statement of the Government of the Slovak Republic for 2020 – 2024 of 19 April 2020, p. 8.</w:t>
      </w:r>
    </w:p>
  </w:footnote>
  <w:footnote w:id="17">
    <w:p w:rsidR="00323528" w:rsidRDefault="003A3A10">
      <w:pPr>
        <w:pStyle w:val="FootnoteText"/>
      </w:pPr>
      <w:r>
        <w:rPr>
          <w:rStyle w:val="FootnoteReference"/>
        </w:rPr>
        <w:footnoteRef/>
      </w:r>
      <w:r>
        <w:t xml:space="preserve"> </w:t>
      </w:r>
      <w:r>
        <w:tab/>
        <w:t>2020 Rule of Law Report, Country Chapter on the rule of law situation in Slovakia, p. 3.</w:t>
      </w:r>
    </w:p>
  </w:footnote>
  <w:footnote w:id="18">
    <w:p w:rsidR="00323528" w:rsidRDefault="003A3A10">
      <w:pPr>
        <w:pStyle w:val="FootnoteText"/>
      </w:pPr>
      <w:r>
        <w:rPr>
          <w:rStyle w:val="FootnoteReference"/>
        </w:rPr>
        <w:footnoteRef/>
      </w:r>
      <w:r>
        <w:t xml:space="preserve"> </w:t>
      </w:r>
      <w:r>
        <w:tab/>
        <w:t>Contribution from Via Iuris (Civil Liber</w:t>
      </w:r>
      <w:r>
        <w:t xml:space="preserve">ties Union) for the 2021 Rule of Law Report, p. 3; Information received in the context of country visit to Slovakia. </w:t>
      </w:r>
    </w:p>
  </w:footnote>
  <w:footnote w:id="19">
    <w:p w:rsidR="00323528" w:rsidRDefault="003A3A10">
      <w:pPr>
        <w:pStyle w:val="FootnoteText"/>
      </w:pPr>
      <w:r>
        <w:rPr>
          <w:rStyle w:val="FootnoteReference"/>
        </w:rPr>
        <w:footnoteRef/>
      </w:r>
      <w:r>
        <w:t xml:space="preserve"> </w:t>
      </w:r>
      <w:r>
        <w:tab/>
        <w:t xml:space="preserve">Contribution from Via Iuris (Civil Liberties Union) for the 2021 Rule of Law Report, p. 3; Information received in the context of </w:t>
      </w:r>
      <w:r>
        <w:t>country visit to Slovakia.</w:t>
      </w:r>
    </w:p>
  </w:footnote>
  <w:footnote w:id="20">
    <w:p w:rsidR="00323528" w:rsidRDefault="003A3A10">
      <w:pPr>
        <w:pStyle w:val="FootnoteText"/>
      </w:pPr>
      <w:r>
        <w:rPr>
          <w:rStyle w:val="FootnoteReference"/>
        </w:rPr>
        <w:footnoteRef/>
      </w:r>
      <w:r>
        <w:t xml:space="preserve"> </w:t>
      </w:r>
      <w:r>
        <w:tab/>
        <w:t>2020 Rule of Law Report, Country Chapter on the rule of law situation in Slovakia, p. 4.</w:t>
      </w:r>
    </w:p>
  </w:footnote>
  <w:footnote w:id="21">
    <w:p w:rsidR="00323528" w:rsidRDefault="003A3A10">
      <w:pPr>
        <w:pStyle w:val="FootnoteText"/>
      </w:pPr>
      <w:r>
        <w:rPr>
          <w:rStyle w:val="FootnoteReference"/>
        </w:rPr>
        <w:footnoteRef/>
      </w:r>
      <w:r>
        <w:t xml:space="preserve"> </w:t>
      </w:r>
      <w:r>
        <w:tab/>
        <w:t xml:space="preserve">The Council </w:t>
      </w:r>
      <w:r>
        <w:rPr>
          <w:rFonts w:eastAsia="Times New Roman" w:cs="Times New Roman"/>
          <w:lang w:val="en-IE" w:eastAsia="fr-FR"/>
        </w:rPr>
        <w:t xml:space="preserve">is composed of 18 Members, half of which are judges elected by their peers. </w:t>
      </w:r>
      <w:r>
        <w:t>The Government, the Parliament and the Preside</w:t>
      </w:r>
      <w:r>
        <w:t>nt of the Republic each choose three members as well. Such composition is consistent with Recommendation CM/Rec(2010)12 of the Committee of Ministers of the Council of Europe, paras. 26-27.</w:t>
      </w:r>
    </w:p>
  </w:footnote>
  <w:footnote w:id="22">
    <w:p w:rsidR="00323528" w:rsidRDefault="003A3A10">
      <w:pPr>
        <w:pStyle w:val="FootnoteText"/>
      </w:pPr>
      <w:r>
        <w:rPr>
          <w:rStyle w:val="FootnoteReference"/>
        </w:rPr>
        <w:footnoteRef/>
      </w:r>
      <w:r>
        <w:t xml:space="preserve"> </w:t>
      </w:r>
      <w:r>
        <w:tab/>
        <w:t xml:space="preserve">Recommendation CM/Rec(2010)12 of the Committee of Ministers of </w:t>
      </w:r>
      <w:r>
        <w:t>the Council of Europe, para. 27.</w:t>
      </w:r>
    </w:p>
  </w:footnote>
  <w:footnote w:id="23">
    <w:p w:rsidR="00323528" w:rsidRDefault="003A3A10">
      <w:pPr>
        <w:pStyle w:val="FootnoteText"/>
      </w:pPr>
      <w:r>
        <w:rPr>
          <w:rStyle w:val="FootnoteReference"/>
        </w:rPr>
        <w:footnoteRef/>
      </w:r>
      <w:r>
        <w:t xml:space="preserve"> </w:t>
      </w:r>
      <w:r>
        <w:tab/>
        <w:t xml:space="preserve">Notably, the Amendment confers on the Judicial Council the power to assess asset declarations of judges. </w:t>
      </w:r>
    </w:p>
  </w:footnote>
  <w:footnote w:id="24">
    <w:p w:rsidR="00323528" w:rsidRDefault="003A3A10">
      <w:pPr>
        <w:pStyle w:val="FootnoteText"/>
      </w:pPr>
      <w:r>
        <w:rPr>
          <w:rStyle w:val="FootnoteReference"/>
        </w:rPr>
        <w:footnoteRef/>
      </w:r>
      <w:r>
        <w:t xml:space="preserve"> </w:t>
      </w:r>
      <w:r>
        <w:tab/>
        <w:t>For further information on appointment, see footnote 20. According to the Explanatory memorandum to the Constit</w:t>
      </w:r>
      <w:r>
        <w:t>utional Act No. 422/20, p. 20, this possibility have previously existed in the Constitution and the Amendment expressly confirms it existence. However, the Constitutional Court in the unifying opinion of 19 September 2018 PLz. ÚS 2/2018 ruled to the contra</w:t>
      </w:r>
      <w:r>
        <w:t>ry.</w:t>
      </w:r>
    </w:p>
  </w:footnote>
  <w:footnote w:id="25">
    <w:p w:rsidR="00323528" w:rsidRDefault="003A3A10">
      <w:pPr>
        <w:pStyle w:val="FootnoteText"/>
      </w:pPr>
      <w:r>
        <w:rPr>
          <w:rStyle w:val="FootnoteReference"/>
        </w:rPr>
        <w:footnoteRef/>
      </w:r>
      <w:r>
        <w:t xml:space="preserve"> </w:t>
      </w:r>
      <w:r>
        <w:tab/>
        <w:t>Explanatory memorandum to the Constitutional Act No. 422/20, p. 24.</w:t>
      </w:r>
    </w:p>
  </w:footnote>
  <w:footnote w:id="26">
    <w:p w:rsidR="00323528" w:rsidRDefault="003A3A10">
      <w:pPr>
        <w:pStyle w:val="FootnoteText"/>
      </w:pPr>
      <w:r>
        <w:rPr>
          <w:rStyle w:val="FootnoteReference"/>
        </w:rPr>
        <w:footnoteRef/>
      </w:r>
      <w:r>
        <w:t xml:space="preserve"> </w:t>
      </w:r>
      <w:r>
        <w:tab/>
        <w:t>As explained by representatives of the Slovak government, in accordance with established case law of the Constitutional Court, the dismissal must not be discriminatory or arbitra</w:t>
      </w:r>
      <w:r>
        <w:t>ry; Information received in the context of a follow-up meeting to the 2020 Rule of Law Report.</w:t>
      </w:r>
    </w:p>
  </w:footnote>
  <w:footnote w:id="27">
    <w:p w:rsidR="00323528" w:rsidRDefault="003A3A10">
      <w:pPr>
        <w:pStyle w:val="FootnoteText"/>
      </w:pPr>
      <w:r>
        <w:rPr>
          <w:rStyle w:val="FootnoteReference"/>
        </w:rPr>
        <w:footnoteRef/>
      </w:r>
      <w:r>
        <w:t xml:space="preserve"> </w:t>
      </w:r>
      <w:r>
        <w:tab/>
        <w:t>Information received in the context of a follow-up meeting to the 2020 Rule of Law Report.</w:t>
      </w:r>
    </w:p>
  </w:footnote>
  <w:footnote w:id="28">
    <w:p w:rsidR="00323528" w:rsidRDefault="003A3A10">
      <w:pPr>
        <w:pStyle w:val="FootnoteText"/>
      </w:pPr>
      <w:r>
        <w:rPr>
          <w:rStyle w:val="FootnoteReference"/>
        </w:rPr>
        <w:footnoteRef/>
      </w:r>
      <w:r>
        <w:t xml:space="preserve"> </w:t>
      </w:r>
      <w:r>
        <w:tab/>
        <w:t xml:space="preserve">Open call of Slovak lawyers, accessible at </w:t>
      </w:r>
      <w:hyperlink r:id="rId1" w:history="1">
        <w:r>
          <w:rPr>
            <w:rStyle w:val="Hyperlink"/>
          </w:rPr>
          <w:t>https://pravnystat.eu/en/</w:t>
        </w:r>
      </w:hyperlink>
      <w:r>
        <w:t xml:space="preserve"> and submitted as a contribution into the stakeholder consultation for the 2021 Rule of Law Report. The provision </w:t>
      </w:r>
      <w:r>
        <w:rPr>
          <w:rFonts w:eastAsia="Times New Roman" w:cs="Times New Roman"/>
          <w:lang w:val="en-IE" w:eastAsia="fr-FR"/>
        </w:rPr>
        <w:t>has been challenged before the Constitutional Court, where it remains pending</w:t>
      </w:r>
      <w:r>
        <w:t xml:space="preserve">, file No. 414/2021. </w:t>
      </w:r>
    </w:p>
  </w:footnote>
  <w:footnote w:id="29">
    <w:p w:rsidR="00323528" w:rsidRDefault="003A3A10">
      <w:pPr>
        <w:pStyle w:val="FootnoteText"/>
      </w:pPr>
      <w:r>
        <w:rPr>
          <w:rStyle w:val="FootnoteReference"/>
        </w:rPr>
        <w:footnoteRef/>
      </w:r>
      <w:r>
        <w:t xml:space="preserve"> </w:t>
      </w:r>
      <w:r>
        <w:tab/>
        <w:t>According to the Opinion of the Bureau of Consultative Council of European Judges (CCJE) of 9 December 2020, CCJE-BU(2020)3, following a request by the CCJE member in respect of Slovakia as regards the reform of the judiciary in Sl</w:t>
      </w:r>
      <w:r>
        <w:t>ovakia, pp. 2-3, M</w:t>
      </w:r>
      <w:r>
        <w:rPr>
          <w:rFonts w:eastAsia="Times New Roman" w:cs="Times New Roman"/>
          <w:lang w:val="en-IE" w:eastAsia="fr-FR"/>
        </w:rPr>
        <w:t xml:space="preserve">embers of the Judicial Council should enjoy guarantees of independence and protection from external pressure, including in particular by being appointed for a fixed term of office. See also </w:t>
      </w:r>
      <w:r>
        <w:t>Opinion no.10 (2007) of the CCJE, 36; Opinion on</w:t>
      </w:r>
      <w:r>
        <w:t xml:space="preserve"> the Draft Amendments to the Organic Law on Courts of General Jurisdiction of Georgia, CDL-AD(2013)007-e, para. 71 ‘</w:t>
      </w:r>
      <w:r>
        <w:rPr>
          <w:i/>
          <w:iCs/>
        </w:rPr>
        <w:t>The Venice Commission is of the opinion that when using its legislative power to design the future organisation and functioning of the judic</w:t>
      </w:r>
      <w:r>
        <w:rPr>
          <w:i/>
          <w:iCs/>
        </w:rPr>
        <w:t>iary, Parliament should refrain from adopting measures which would jeopardise the continuity in membership of the High Judicial Council</w:t>
      </w:r>
      <w:r>
        <w:t>’. The Slovak Constitutional Court has reached similar conclusions in the judgment of 19 September 2018 PLz. ÚS 2/2018, p</w:t>
      </w:r>
      <w:r>
        <w:t>ara. 12.</w:t>
      </w:r>
    </w:p>
  </w:footnote>
  <w:footnote w:id="30">
    <w:p w:rsidR="00323528" w:rsidRDefault="003A3A10">
      <w:pPr>
        <w:pStyle w:val="FootnoteText"/>
      </w:pPr>
      <w:r>
        <w:rPr>
          <w:rStyle w:val="FootnoteReference"/>
        </w:rPr>
        <w:footnoteRef/>
      </w:r>
      <w:r>
        <w:t xml:space="preserve"> </w:t>
      </w:r>
      <w:r>
        <w:tab/>
        <w:t xml:space="preserve">It is not clear to what extent the Constitutional Court could assess the dismissal decision from the perspective of judicial independence. Information received in the context of a follow-up meeting to the 2020 Rule of Law Report. </w:t>
      </w:r>
    </w:p>
  </w:footnote>
  <w:footnote w:id="31">
    <w:p w:rsidR="00323528" w:rsidRDefault="003A3A10">
      <w:pPr>
        <w:pStyle w:val="FootnoteText"/>
      </w:pPr>
      <w:r>
        <w:rPr>
          <w:rStyle w:val="FootnoteReference"/>
        </w:rPr>
        <w:footnoteRef/>
      </w:r>
      <w:r>
        <w:t xml:space="preserve"> </w:t>
      </w:r>
      <w:r>
        <w:tab/>
        <w:t xml:space="preserve">The Court </w:t>
      </w:r>
      <w:r>
        <w:t>of Justice has recalled, as regards the process for appointing members of the judiciary, for a Council of the Judiciary to contribute to rendering that process more objective, it is necessary that such a body should itself be sufficiently independent of th</w:t>
      </w:r>
      <w:r>
        <w:t xml:space="preserve">e legislature, the executive and the authority to which it is required to submit an opinion on the assessment of candidates for a judicial post. See judgment of the CJEU of 20 April 2021, </w:t>
      </w:r>
      <w:r>
        <w:rPr>
          <w:i/>
        </w:rPr>
        <w:t>Repubblika</w:t>
      </w:r>
      <w:r>
        <w:t>, Case C-896/19, para. 66.</w:t>
      </w:r>
    </w:p>
  </w:footnote>
  <w:footnote w:id="32">
    <w:p w:rsidR="00323528" w:rsidRDefault="003A3A10">
      <w:pPr>
        <w:pStyle w:val="FootnoteText"/>
      </w:pPr>
      <w:r>
        <w:rPr>
          <w:rStyle w:val="FootnoteReference"/>
        </w:rPr>
        <w:footnoteRef/>
      </w:r>
      <w:r>
        <w:t xml:space="preserve"> </w:t>
      </w:r>
      <w:r>
        <w:tab/>
        <w:t>2020 Rule of Law Report, Cou</w:t>
      </w:r>
      <w:r>
        <w:t>ntry Chapter on the rule of law situation in Slovakia, p. 4.</w:t>
      </w:r>
    </w:p>
  </w:footnote>
  <w:footnote w:id="33">
    <w:p w:rsidR="00323528" w:rsidRDefault="003A3A10">
      <w:pPr>
        <w:pStyle w:val="FootnoteText"/>
      </w:pPr>
      <w:r>
        <w:rPr>
          <w:rStyle w:val="FootnoteReference"/>
        </w:rPr>
        <w:footnoteRef/>
      </w:r>
      <w:r>
        <w:t xml:space="preserve"> </w:t>
      </w:r>
      <w:r>
        <w:tab/>
        <w:t>A transitional provision stipulated that judges who had reached the age of 67 at the entry into effect of the Constitutional Amendment (1 January 2021) were to retire by 1 February 2021. The S</w:t>
      </w:r>
      <w:r>
        <w:t xml:space="preserve">lovak authorities confirmed that there was no such judge and the provision was therefore not applied. </w:t>
      </w:r>
    </w:p>
  </w:footnote>
  <w:footnote w:id="34">
    <w:p w:rsidR="00323528" w:rsidRDefault="003A3A10">
      <w:pPr>
        <w:pStyle w:val="FootnoteText"/>
      </w:pPr>
      <w:r>
        <w:rPr>
          <w:rStyle w:val="FootnoteReference"/>
        </w:rPr>
        <w:footnoteRef/>
      </w:r>
      <w:r>
        <w:t xml:space="preserve"> </w:t>
      </w:r>
      <w:r>
        <w:tab/>
        <w:t>Act No. 312/2020 on Forfeiture of Assets and Management of Seized Property and Amendments to Certain Acts, effective from 1 January 2021.</w:t>
      </w:r>
    </w:p>
  </w:footnote>
  <w:footnote w:id="35">
    <w:p w:rsidR="00323528" w:rsidRDefault="003A3A10">
      <w:pPr>
        <w:pStyle w:val="FootnoteText"/>
      </w:pPr>
      <w:r>
        <w:rPr>
          <w:rStyle w:val="FootnoteReference"/>
        </w:rPr>
        <w:footnoteRef/>
      </w:r>
      <w:r>
        <w:t xml:space="preserve"> </w:t>
      </w:r>
      <w:r>
        <w:tab/>
        <w:t>The provi</w:t>
      </w:r>
      <w:r>
        <w:t>sion also applies to lay magistrates.</w:t>
      </w:r>
    </w:p>
  </w:footnote>
  <w:footnote w:id="36">
    <w:p w:rsidR="00323528" w:rsidRDefault="003A3A10">
      <w:pPr>
        <w:pStyle w:val="FootnoteText"/>
      </w:pPr>
      <w:r>
        <w:rPr>
          <w:rStyle w:val="FootnoteReference"/>
        </w:rPr>
        <w:footnoteRef/>
      </w:r>
      <w:r>
        <w:t xml:space="preserve"> </w:t>
      </w:r>
      <w:r>
        <w:tab/>
        <w:t>Art. 148(4) of the Constitution.</w:t>
      </w:r>
    </w:p>
  </w:footnote>
  <w:footnote w:id="37">
    <w:p w:rsidR="00323528" w:rsidRDefault="003A3A10">
      <w:pPr>
        <w:pStyle w:val="FootnoteText"/>
      </w:pPr>
      <w:r>
        <w:rPr>
          <w:rStyle w:val="FootnoteReference"/>
        </w:rPr>
        <w:footnoteRef/>
      </w:r>
      <w:r>
        <w:t xml:space="preserve"> </w:t>
      </w:r>
      <w:r>
        <w:tab/>
        <w:t>Sec. 326a of the Criminal Code.</w:t>
      </w:r>
    </w:p>
  </w:footnote>
  <w:footnote w:id="38">
    <w:p w:rsidR="00323528" w:rsidRDefault="003A3A10">
      <w:pPr>
        <w:pStyle w:val="FootnoteText"/>
      </w:pPr>
      <w:r>
        <w:rPr>
          <w:rStyle w:val="FootnoteReference"/>
        </w:rPr>
        <w:footnoteRef/>
      </w:r>
      <w:r>
        <w:t xml:space="preserve"> </w:t>
      </w:r>
      <w:r>
        <w:tab/>
        <w:t>The provision also applies to lay magistrates and arbitrators.</w:t>
      </w:r>
    </w:p>
  </w:footnote>
  <w:footnote w:id="39">
    <w:p w:rsidR="00323528" w:rsidRDefault="003A3A10">
      <w:pPr>
        <w:pStyle w:val="FootnoteText"/>
      </w:pPr>
      <w:r>
        <w:rPr>
          <w:rStyle w:val="FootnoteReference"/>
        </w:rPr>
        <w:footnoteRef/>
      </w:r>
      <w:r>
        <w:t xml:space="preserve"> </w:t>
      </w:r>
      <w:r>
        <w:tab/>
        <w:t>For further information see the contribution from Via Iuris (Civil Liberties U</w:t>
      </w:r>
      <w:r>
        <w:t>nion) for the 2021 Rule of Law Report, p. 8.</w:t>
      </w:r>
    </w:p>
  </w:footnote>
  <w:footnote w:id="40">
    <w:p w:rsidR="00323528" w:rsidRDefault="003A3A10">
      <w:pPr>
        <w:pStyle w:val="FootnoteText"/>
      </w:pPr>
      <w:r>
        <w:rPr>
          <w:rStyle w:val="FootnoteReference"/>
        </w:rPr>
        <w:footnoteRef/>
      </w:r>
      <w:r>
        <w:t xml:space="preserve"> </w:t>
      </w:r>
      <w:r>
        <w:tab/>
        <w:t>Explanatory memorandum to Act No. 312/2020, p. 40; Information received in the context of a follow-up meeting to the 2020 Rule of Law Report.</w:t>
      </w:r>
    </w:p>
  </w:footnote>
  <w:footnote w:id="41">
    <w:p w:rsidR="00323528" w:rsidRDefault="003A3A10">
      <w:pPr>
        <w:pStyle w:val="FootnoteText"/>
      </w:pPr>
      <w:r>
        <w:rPr>
          <w:rStyle w:val="FootnoteReference"/>
        </w:rPr>
        <w:footnoteRef/>
      </w:r>
      <w:r>
        <w:t xml:space="preserve"> </w:t>
      </w:r>
      <w:r>
        <w:tab/>
      </w:r>
      <w:r>
        <w:rPr>
          <w:rFonts w:eastAsia="Times New Roman" w:cs="Times New Roman"/>
          <w:lang w:eastAsia="fr-FR"/>
        </w:rPr>
        <w:t>H</w:t>
      </w:r>
      <w:r>
        <w:rPr>
          <w:rFonts w:eastAsia="Times New Roman" w:cs="Times New Roman"/>
          <w:lang w:val="en-IE" w:eastAsia="fr-FR"/>
        </w:rPr>
        <w:t xml:space="preserve">owever, it appears that this safeguard is only in place until </w:t>
      </w:r>
      <w:r>
        <w:rPr>
          <w:rFonts w:eastAsia="Times New Roman" w:cs="Times New Roman"/>
          <w:lang w:val="en-IE" w:eastAsia="fr-FR"/>
        </w:rPr>
        <w:t xml:space="preserve">2024, </w:t>
      </w:r>
      <w:r>
        <w:t>Act 423/2020, Arts. III, XXX.</w:t>
      </w:r>
    </w:p>
  </w:footnote>
  <w:footnote w:id="42">
    <w:p w:rsidR="00323528" w:rsidRDefault="003A3A10">
      <w:pPr>
        <w:pStyle w:val="FootnoteText"/>
      </w:pPr>
      <w:r>
        <w:rPr>
          <w:rStyle w:val="FootnoteReference"/>
        </w:rPr>
        <w:footnoteRef/>
      </w:r>
      <w:r>
        <w:t xml:space="preserve"> </w:t>
      </w:r>
      <w:r>
        <w:tab/>
        <w:t>Sec. 22 of the Act 385/2000 on Courts. According to Sec. 22a, a judge may also be temporarily suspended by a decision of the Judicial Council if there are justified doubts as to whether he or she fulfills the requirem</w:t>
      </w:r>
      <w:r>
        <w:t>ents to qualify as a judge, or if the credibility of the judiciary or the reputation of the judiciary may be seriously jeopardized. Following the adoption of the Constitutional amendment in December 2021, the agreement of the Constitutional Court is no lon</w:t>
      </w:r>
      <w:r>
        <w:t>ger necessary for taking a judge in detention. For further information see the contribution from Via Iuris (Civil Liberties Union) for the 2021 Rule of Law Report, p. 8.</w:t>
      </w:r>
    </w:p>
  </w:footnote>
  <w:footnote w:id="43">
    <w:p w:rsidR="00323528" w:rsidRDefault="003A3A10">
      <w:pPr>
        <w:pStyle w:val="FootnoteText"/>
      </w:pPr>
      <w:r>
        <w:rPr>
          <w:rStyle w:val="FootnoteReference"/>
        </w:rPr>
        <w:footnoteRef/>
      </w:r>
      <w:r>
        <w:t xml:space="preserve"> </w:t>
      </w:r>
      <w:r>
        <w:tab/>
        <w:t>Recommendation CM/Rec(2010)12 of the Committee of Ministers of the Council of Europ</w:t>
      </w:r>
      <w:r>
        <w:t xml:space="preserve">e, para. 68; see by analogy in case of disciplinary proceedings against judges: judgment of the CJEU of 19 November 2019, </w:t>
      </w:r>
      <w:r>
        <w:rPr>
          <w:i/>
        </w:rPr>
        <w:t>LM</w:t>
      </w:r>
      <w:r>
        <w:t>, C</w:t>
      </w:r>
      <w:r>
        <w:noBreakHyphen/>
        <w:t>216/18, para. 67</w:t>
      </w:r>
      <w:r>
        <w:rPr>
          <w:rFonts w:eastAsia="Times New Roman" w:cs="Times New Roman"/>
          <w:lang w:val="en-IE" w:eastAsia="fr-FR"/>
        </w:rPr>
        <w:t>, as regards liability of judges see also j</w:t>
      </w:r>
      <w:r>
        <w:t xml:space="preserve">udgment of the CJEU of 18 May 2021 in joint cases </w:t>
      </w:r>
      <w:r>
        <w:rPr>
          <w:lang w:eastAsia="en-GB"/>
        </w:rPr>
        <w:t xml:space="preserve">C-83/19, C-127/19, </w:t>
      </w:r>
      <w:r>
        <w:rPr>
          <w:lang w:eastAsia="en-GB"/>
        </w:rPr>
        <w:t>C-195/19, C-291/19, C-355/19 and C-397/19, paras.</w:t>
      </w:r>
      <w:r>
        <w:rPr>
          <w:rFonts w:eastAsia="Times New Roman" w:cs="Times New Roman"/>
          <w:lang w:val="en-IE" w:eastAsia="fr-FR"/>
        </w:rPr>
        <w:t xml:space="preserve"> 228-239.</w:t>
      </w:r>
    </w:p>
  </w:footnote>
  <w:footnote w:id="44">
    <w:p w:rsidR="00323528" w:rsidRDefault="003A3A10">
      <w:pPr>
        <w:pStyle w:val="FootnoteText"/>
      </w:pPr>
      <w:r>
        <w:rPr>
          <w:rStyle w:val="FootnoteReference"/>
        </w:rPr>
        <w:footnoteRef/>
      </w:r>
      <w:r>
        <w:t xml:space="preserve"> </w:t>
      </w:r>
      <w:r>
        <w:tab/>
        <w:t xml:space="preserve">According to the Opinion of the CCJE Bureau of 9 December 2020, in relation to the Constitution (CCJE-BU(2020)3, p. 5), the new wording of the Constitution is vague and entails a potential risk </w:t>
      </w:r>
      <w:r>
        <w:t xml:space="preserve">of abuse; open call of Slovak lawyers, accessible at </w:t>
      </w:r>
      <w:hyperlink r:id="rId2" w:history="1">
        <w:r>
          <w:rPr>
            <w:rStyle w:val="Hyperlink"/>
          </w:rPr>
          <w:t>https://pravnystat.eu/en/</w:t>
        </w:r>
      </w:hyperlink>
      <w:r>
        <w:t xml:space="preserve"> and submitted as a contribution into the stakeholder consultation for the 2021 Rule of Law Report.</w:t>
      </w:r>
    </w:p>
  </w:footnote>
  <w:footnote w:id="45">
    <w:p w:rsidR="00323528" w:rsidRDefault="003A3A10">
      <w:pPr>
        <w:pStyle w:val="FootnoteText"/>
      </w:pPr>
      <w:r>
        <w:rPr>
          <w:rStyle w:val="FootnoteReference"/>
        </w:rPr>
        <w:footnoteRef/>
      </w:r>
      <w:r>
        <w:t xml:space="preserve"> </w:t>
      </w:r>
      <w:r>
        <w:tab/>
        <w:t>Previously, it was only possib</w:t>
      </w:r>
      <w:r>
        <w:t>le to transfer judges without their consent as a result of judicial proceedings. Art. 148(1) of the Constitution.</w:t>
      </w:r>
    </w:p>
  </w:footnote>
  <w:footnote w:id="46">
    <w:p w:rsidR="00323528" w:rsidRDefault="003A3A10">
      <w:pPr>
        <w:pStyle w:val="FootnoteText"/>
      </w:pPr>
      <w:r>
        <w:rPr>
          <w:rStyle w:val="FootnoteReference"/>
        </w:rPr>
        <w:footnoteRef/>
      </w:r>
      <w:r>
        <w:t xml:space="preserve"> </w:t>
      </w:r>
      <w:r>
        <w:tab/>
        <w:t xml:space="preserve">Recommendation CM/Rec(2010)12 of the Committee of Ministers of the Council of Europe, para. 52; European Charter of the Stature of Judges, </w:t>
      </w:r>
      <w:r>
        <w:t xml:space="preserve">Arts. 1.4., 3.4.; report of the European Network of Councils for the Judiciary, </w:t>
      </w:r>
      <w:r>
        <w:rPr>
          <w:rStyle w:val="sb8d990e2"/>
        </w:rPr>
        <w:t>on Minimum standards for the evaluation of professional performance and the irremovability of members of the judiciary, proposal 4.21; judgment of the European Court of Human R</w:t>
      </w:r>
      <w:r>
        <w:rPr>
          <w:rStyle w:val="sb8d990e2"/>
        </w:rPr>
        <w:t xml:space="preserve">ights of 9 March 2021, </w:t>
      </w:r>
      <w:r>
        <w:rPr>
          <w:rStyle w:val="sb8d990e2"/>
          <w:i/>
        </w:rPr>
        <w:t>Bilgen v Turkey</w:t>
      </w:r>
      <w:r>
        <w:rPr>
          <w:rStyle w:val="sb8d990e2"/>
        </w:rPr>
        <w:t>, 1571/07, para. 96.</w:t>
      </w:r>
    </w:p>
  </w:footnote>
  <w:footnote w:id="47">
    <w:p w:rsidR="00323528" w:rsidRDefault="003A3A10">
      <w:pPr>
        <w:pStyle w:val="FootnoteText"/>
      </w:pPr>
      <w:r>
        <w:rPr>
          <w:rStyle w:val="FootnoteReference"/>
        </w:rPr>
        <w:footnoteRef/>
      </w:r>
      <w:r>
        <w:t xml:space="preserve"> </w:t>
      </w:r>
      <w:r>
        <w:tab/>
        <w:t>According to Art. 148(1) of the Constitution, transfer in case of a change of judicial map will be further specified by an implementing law.</w:t>
      </w:r>
    </w:p>
  </w:footnote>
  <w:footnote w:id="48">
    <w:p w:rsidR="00323528" w:rsidRDefault="003A3A10">
      <w:pPr>
        <w:pStyle w:val="FootnoteText"/>
      </w:pPr>
      <w:r>
        <w:rPr>
          <w:rStyle w:val="FootnoteReference"/>
        </w:rPr>
        <w:footnoteRef/>
      </w:r>
      <w:r>
        <w:t xml:space="preserve"> </w:t>
      </w:r>
      <w:r>
        <w:tab/>
        <w:t xml:space="preserve">2020 Rule of Law Report, Country Chapter on the </w:t>
      </w:r>
      <w:r>
        <w:t>rule of law situation in Slovakia, p. 4.</w:t>
      </w:r>
    </w:p>
  </w:footnote>
  <w:footnote w:id="49">
    <w:p w:rsidR="00323528" w:rsidRDefault="003A3A10">
      <w:pPr>
        <w:pStyle w:val="FootnoteText"/>
      </w:pPr>
      <w:r>
        <w:rPr>
          <w:rStyle w:val="FootnoteReference"/>
        </w:rPr>
        <w:footnoteRef/>
      </w:r>
      <w:r>
        <w:t xml:space="preserve"> </w:t>
      </w:r>
      <w:r>
        <w:tab/>
        <w:t>CEPEJ (November 2017), Efficiency and quality of the Slovak judicial system, Assessment and recommendations on the basis of CEPEJ tools, CEPEJ-COOP(2017)14, pp. 20-28.</w:t>
      </w:r>
    </w:p>
  </w:footnote>
  <w:footnote w:id="50">
    <w:p w:rsidR="00323528" w:rsidRDefault="003A3A10">
      <w:pPr>
        <w:pStyle w:val="FootnoteText"/>
      </w:pPr>
      <w:r>
        <w:rPr>
          <w:rStyle w:val="FootnoteReference"/>
        </w:rPr>
        <w:footnoteRef/>
      </w:r>
      <w:r>
        <w:t xml:space="preserve"> </w:t>
      </w:r>
      <w:r>
        <w:tab/>
        <w:t xml:space="preserve">The drafting process had several stages. </w:t>
      </w:r>
      <w:r>
        <w:t>In the first stage a working group of almost 50 members (majority of which were judges, including presidents of first and second instance courts, and members of the Judicial Council, including its president) agreed on key features of the reform. In the sec</w:t>
      </w:r>
      <w:r>
        <w:t>ond stage in the first half of 2020, a new, smaller working group of approximately 10 members (4 of which were judges) drafted the reform based on the recommendations from the first working group. However, stakeholders question the extent to which the reco</w:t>
      </w:r>
      <w:r>
        <w:t xml:space="preserve">mmendations were reflected. The minutes and present sheets from meetings of the working group in the first stage are available at </w:t>
      </w:r>
      <w:hyperlink r:id="rId3" w:history="1">
        <w:r>
          <w:rPr>
            <w:rStyle w:val="Hyperlink"/>
          </w:rPr>
          <w:t>http://web.ac-mssr.sk/sudna-mapa-otazky-a-odpovede/</w:t>
        </w:r>
      </w:hyperlink>
      <w:r>
        <w:t>. Infor</w:t>
      </w:r>
      <w:r>
        <w:t xml:space="preserve">mation received in the context of the country visit to Slovakia; Information published by the Ministry of Justice published at a web page on the new court map, </w:t>
      </w:r>
      <w:hyperlink r:id="rId4" w:history="1">
        <w:r>
          <w:rPr>
            <w:rStyle w:val="Hyperlink"/>
          </w:rPr>
          <w:t>http://web.ac-mssr.sk/sudna-</w:t>
        </w:r>
        <w:r>
          <w:rPr>
            <w:rStyle w:val="Hyperlink"/>
          </w:rPr>
          <w:t>mapa-otazky-a-odpovede/</w:t>
        </w:r>
      </w:hyperlink>
      <w:r>
        <w:t>; Analytical Center of the Ministry of Justice (December 2020), Recommendations for preparation of a new judicial map, pp. 15-17.</w:t>
      </w:r>
    </w:p>
  </w:footnote>
  <w:footnote w:id="51">
    <w:p w:rsidR="00323528" w:rsidRDefault="003A3A10">
      <w:pPr>
        <w:pStyle w:val="FootnoteText"/>
      </w:pPr>
      <w:r>
        <w:rPr>
          <w:rStyle w:val="FootnoteReference"/>
        </w:rPr>
        <w:footnoteRef/>
      </w:r>
      <w:r>
        <w:t xml:space="preserve"> </w:t>
      </w:r>
      <w:r>
        <w:tab/>
        <w:t>Analytical Center of the Ministry of Justice (November 2020), Reform of the Judicial map, p. 4.</w:t>
      </w:r>
    </w:p>
  </w:footnote>
  <w:footnote w:id="52">
    <w:p w:rsidR="00323528" w:rsidRDefault="003A3A10">
      <w:pPr>
        <w:pStyle w:val="FootnoteText"/>
      </w:pPr>
      <w:r>
        <w:rPr>
          <w:rStyle w:val="FootnoteReference"/>
        </w:rPr>
        <w:footnoteRef/>
      </w:r>
      <w:r>
        <w:t xml:space="preserve"> </w:t>
      </w:r>
      <w:r>
        <w:tab/>
        <w:t>A</w:t>
      </w:r>
      <w:r>
        <w:t>nalytical Center of the Ministry of Justice (November 2020), Reform of the Judicial map, pp. 20-21. Explanation of the assessment of these criteria for each district is provided in Analytical Center of the Ministry of Justice (November 2020), Odporúčania p</w:t>
      </w:r>
      <w:r>
        <w:t xml:space="preserve">re tvorbu novej súdnej mapy, </w:t>
      </w:r>
      <w:hyperlink r:id="rId5" w:history="1">
        <w:r>
          <w:rPr>
            <w:rStyle w:val="Hyperlink"/>
          </w:rPr>
          <w:t>http://web.ac-mssr.sk/wp-content/uploads/2020/sudna_mapa/nova_sudna_mapa_3_0_final.pdf</w:t>
        </w:r>
      </w:hyperlink>
      <w:r>
        <w:t>.</w:t>
      </w:r>
    </w:p>
  </w:footnote>
  <w:footnote w:id="53">
    <w:p w:rsidR="00323528" w:rsidRDefault="003A3A10">
      <w:pPr>
        <w:pStyle w:val="FootnoteText"/>
      </w:pPr>
      <w:r>
        <w:rPr>
          <w:rStyle w:val="FootnoteReference"/>
        </w:rPr>
        <w:footnoteRef/>
      </w:r>
      <w:r>
        <w:t xml:space="preserve"> </w:t>
      </w:r>
      <w:r>
        <w:tab/>
        <w:t xml:space="preserve">The aim of the working group was </w:t>
      </w:r>
      <w:r>
        <w:t>to create districts that, based on the average number of incoming cases for each of the current courts, will have enough cases for at least 3 specialised judges / 3 specialised senates for each agenda. The draft reform also proposed to create separate admi</w:t>
      </w:r>
      <w:r>
        <w:t>nistrative courts (see below). Analytical Center of the Ministry of Justice (November 2020), Reform of the Judicial map, pp. 20-21; Analytical Center of the Ministry of Justice (November 2020), Odporúčania pre tvorbu novej súdnej mapy, pp. 20-21, 34, 43.</w:t>
      </w:r>
    </w:p>
  </w:footnote>
  <w:footnote w:id="54">
    <w:p w:rsidR="00323528" w:rsidRDefault="003A3A10">
      <w:pPr>
        <w:pStyle w:val="FootnoteText"/>
        <w:rPr>
          <w:lang w:val="cs-CZ"/>
        </w:rPr>
      </w:pPr>
      <w:r>
        <w:rPr>
          <w:rStyle w:val="FootnoteReference"/>
        </w:rPr>
        <w:footnoteRef/>
      </w:r>
      <w:r>
        <w:t xml:space="preserve"> </w:t>
      </w:r>
      <w:r>
        <w:rPr>
          <w:lang w:val="cs-CZ"/>
        </w:rPr>
        <w:tab/>
      </w:r>
      <w:r>
        <w:t>Draft Act on seats and territorial jurisdiction of courts, Sec. 10(2) and 11(2), available at https://www.slov-lex.sk/legislativne-procesy/SK/LP/2020/587.</w:t>
      </w:r>
    </w:p>
  </w:footnote>
  <w:footnote w:id="55">
    <w:p w:rsidR="00323528" w:rsidRDefault="003A3A10">
      <w:pPr>
        <w:pStyle w:val="FootnoteText"/>
      </w:pPr>
      <w:r>
        <w:rPr>
          <w:rStyle w:val="FootnoteReference"/>
        </w:rPr>
        <w:footnoteRef/>
      </w:r>
      <w:r>
        <w:t xml:space="preserve"> </w:t>
      </w:r>
      <w:r>
        <w:tab/>
        <w:t xml:space="preserve">Ministry of Justice, Timeline of the drafting process, available at </w:t>
      </w:r>
      <w:hyperlink r:id="rId6" w:history="1">
        <w:r>
          <w:rPr>
            <w:rStyle w:val="Hyperlink"/>
          </w:rPr>
          <w:t>http://web.ac-mssr.sk/wp-content/uploads/2020/sudna_mapa/20210223_Casov%C3%A1_os_Sudna_mapa_v.2.pdf</w:t>
        </w:r>
      </w:hyperlink>
      <w:r>
        <w:t xml:space="preserve">. </w:t>
      </w:r>
    </w:p>
  </w:footnote>
  <w:footnote w:id="56">
    <w:p w:rsidR="00323528" w:rsidRDefault="003A3A10">
      <w:pPr>
        <w:pStyle w:val="FootnoteText"/>
      </w:pPr>
      <w:r>
        <w:rPr>
          <w:rStyle w:val="FootnoteReference"/>
        </w:rPr>
        <w:footnoteRef/>
      </w:r>
      <w:r>
        <w:t xml:space="preserve"> </w:t>
      </w:r>
      <w:r>
        <w:tab/>
        <w:t xml:space="preserve">Information portal Slov-Lex, </w:t>
      </w:r>
      <w:hyperlink r:id="rId7" w:history="1">
        <w:r>
          <w:rPr>
            <w:rStyle w:val="Hyperlink"/>
          </w:rPr>
          <w:t>https://www.slov-lex.sk/legislativne-procesy/SK/LP/2020/587</w:t>
        </w:r>
      </w:hyperlink>
      <w:r>
        <w:t>.</w:t>
      </w:r>
    </w:p>
  </w:footnote>
  <w:footnote w:id="57">
    <w:p w:rsidR="00323528" w:rsidRDefault="003A3A10">
      <w:pPr>
        <w:pStyle w:val="FootnoteText"/>
      </w:pPr>
      <w:r>
        <w:rPr>
          <w:rStyle w:val="FootnoteReference"/>
        </w:rPr>
        <w:footnoteRef/>
      </w:r>
      <w:r>
        <w:t xml:space="preserve"> </w:t>
      </w:r>
      <w:r>
        <w:tab/>
        <w:t>Contribution from the Communication platform of Slovak judges Sudnamoc.sk and the Association of Slovak judges for the 2021 Rule of Law Report; Inform</w:t>
      </w:r>
      <w:r>
        <w:t xml:space="preserve">ation received in the context of country visit to Slovakia. </w:t>
      </w:r>
      <w:r>
        <w:rPr>
          <w:rFonts w:eastAsia="Times New Roman" w:cs="Times New Roman"/>
          <w:lang w:eastAsia="fr-FR"/>
        </w:rPr>
        <w:t xml:space="preserve">Also the draft contains different options for selections of court presidents, which raises questions as regards the discretion given to the executive power, </w:t>
      </w:r>
      <w:r>
        <w:t xml:space="preserve">Art. XVI, point 35 of the Draft Act on </w:t>
      </w:r>
      <w:r>
        <w:t>seats and territorial jurisdiction of courts, adding Sec. 101f(4) to Act No. 757/2004, on Courts</w:t>
      </w:r>
      <w:r>
        <w:rPr>
          <w:rFonts w:eastAsia="Times New Roman" w:cs="Times New Roman"/>
          <w:lang w:eastAsia="fr-FR"/>
        </w:rPr>
        <w:t xml:space="preserve">. </w:t>
      </w:r>
    </w:p>
  </w:footnote>
  <w:footnote w:id="58">
    <w:p w:rsidR="00323528" w:rsidRDefault="003A3A10">
      <w:pPr>
        <w:pStyle w:val="FootnoteText"/>
      </w:pPr>
      <w:r>
        <w:rPr>
          <w:rStyle w:val="FootnoteReference"/>
        </w:rPr>
        <w:footnoteRef/>
      </w:r>
      <w:r>
        <w:t xml:space="preserve"> </w:t>
      </w:r>
      <w:r>
        <w:tab/>
        <w:t>Information received from Slovak authorities.</w:t>
      </w:r>
    </w:p>
  </w:footnote>
  <w:footnote w:id="59">
    <w:p w:rsidR="00323528" w:rsidRDefault="003A3A10">
      <w:pPr>
        <w:pStyle w:val="FootnoteText"/>
      </w:pPr>
      <w:r>
        <w:rPr>
          <w:rStyle w:val="FootnoteReference"/>
        </w:rPr>
        <w:footnoteRef/>
      </w:r>
      <w:r>
        <w:t xml:space="preserve"> </w:t>
      </w:r>
      <w:r>
        <w:tab/>
        <w:t>It is noted that the draft reform proposes to move judges by the means of universal succession without th</w:t>
      </w:r>
      <w:r>
        <w:t xml:space="preserve">e use of provision on transfer of judges as stipulated in Sec. 14, Act 385/2000, on Courts. European standards regarding transfer apply regardless. </w:t>
      </w:r>
    </w:p>
  </w:footnote>
  <w:footnote w:id="60">
    <w:p w:rsidR="00323528" w:rsidRDefault="003A3A10">
      <w:pPr>
        <w:pStyle w:val="FootnoteText"/>
      </w:pPr>
      <w:r>
        <w:rPr>
          <w:rStyle w:val="FootnoteReference"/>
        </w:rPr>
        <w:footnoteRef/>
      </w:r>
      <w:r>
        <w:t xml:space="preserve"> </w:t>
      </w:r>
      <w:r>
        <w:tab/>
        <w:t>CEPEJ (14 December 2020), CEPEJ Experts’ review of the Judicial Map Reform in the Slovak Republic, pp. 8</w:t>
      </w:r>
      <w:r>
        <w:t>-9.</w:t>
      </w:r>
    </w:p>
  </w:footnote>
  <w:footnote w:id="61">
    <w:p w:rsidR="00323528" w:rsidRDefault="003A3A10">
      <w:pPr>
        <w:pStyle w:val="FootnoteText"/>
      </w:pPr>
      <w:r>
        <w:rPr>
          <w:rStyle w:val="FootnoteReference"/>
        </w:rPr>
        <w:footnoteRef/>
      </w:r>
      <w:r>
        <w:t xml:space="preserve"> </w:t>
      </w:r>
      <w:r>
        <w:tab/>
        <w:t>CEPEJ (14 December 2020), CEPEJ Experts’ review of the Judicial Map Reform in the Slovak Republic, pp. 10-11.</w:t>
      </w:r>
    </w:p>
  </w:footnote>
  <w:footnote w:id="62">
    <w:p w:rsidR="00323528" w:rsidRDefault="003A3A10">
      <w:pPr>
        <w:pStyle w:val="FootnoteText"/>
      </w:pPr>
      <w:r>
        <w:rPr>
          <w:rStyle w:val="FootnoteReference"/>
        </w:rPr>
        <w:footnoteRef/>
      </w:r>
      <w:r>
        <w:rPr>
          <w:rStyle w:val="FootnoteReference"/>
        </w:rPr>
        <w:t xml:space="preserve"> </w:t>
      </w:r>
      <w:r>
        <w:tab/>
        <w:t>The Supreme Administrative Court will be, among others, a second instance administrative court. Administrative cases of first instance a</w:t>
      </w:r>
      <w:r>
        <w:t>re currently handled by administrative senates at regional courts and will be transferred on the new administrative courts after their establishment.</w:t>
      </w:r>
    </w:p>
  </w:footnote>
  <w:footnote w:id="63">
    <w:p w:rsidR="00323528" w:rsidRDefault="003A3A10">
      <w:pPr>
        <w:pStyle w:val="FootnoteText"/>
      </w:pPr>
      <w:r>
        <w:rPr>
          <w:rStyle w:val="FootnoteReference"/>
        </w:rPr>
        <w:footnoteRef/>
      </w:r>
      <w:r>
        <w:t xml:space="preserve"> </w:t>
      </w:r>
      <w:r>
        <w:tab/>
        <w:t>On 2 June 2021, the Ministry of Justice has requested the opinion of the Venice Commission about a poss</w:t>
      </w:r>
      <w:r>
        <w:t xml:space="preserve">ible competence of the Supreme Administrative Court to serve as an appellate body reviewing disciplinary decisions regarding lawyers of the Slovak Bar Association and about the position and status of attorneys in the Slovak legal system. No legislation to </w:t>
      </w:r>
      <w:r>
        <w:t>grant the Court such power is currently being prepared, but it is suggested in the Explanatory memorandum to the Constitutional Act No. 422/20, p. 28.</w:t>
      </w:r>
    </w:p>
  </w:footnote>
  <w:footnote w:id="64">
    <w:p w:rsidR="00323528" w:rsidRDefault="003A3A10">
      <w:pPr>
        <w:pStyle w:val="FootnoteText"/>
      </w:pPr>
      <w:r>
        <w:rPr>
          <w:rStyle w:val="FootnoteReference"/>
        </w:rPr>
        <w:footnoteRef/>
      </w:r>
      <w:r>
        <w:t xml:space="preserve"> </w:t>
      </w:r>
      <w:r>
        <w:tab/>
        <w:t xml:space="preserve">The President of the Supreme Court was appointed by the President of the Republic based on a proposal </w:t>
      </w:r>
      <w:r>
        <w:t>from the Judicial Council based on the transitional provision 154g(7) of the Constitution.</w:t>
      </w:r>
    </w:p>
  </w:footnote>
  <w:footnote w:id="65">
    <w:p w:rsidR="00323528" w:rsidRDefault="003A3A10">
      <w:pPr>
        <w:pStyle w:val="FootnoteText"/>
      </w:pPr>
      <w:r>
        <w:rPr>
          <w:rStyle w:val="FootnoteReference"/>
        </w:rPr>
        <w:footnoteRef/>
      </w:r>
      <w:r>
        <w:t xml:space="preserve"> </w:t>
      </w:r>
      <w:r>
        <w:tab/>
        <w:t xml:space="preserve">Sec. 151zf, Act 385/2000, on Courts. </w:t>
      </w:r>
    </w:p>
  </w:footnote>
  <w:footnote w:id="66">
    <w:p w:rsidR="00323528" w:rsidRDefault="003A3A10">
      <w:pPr>
        <w:pStyle w:val="FootnoteText"/>
      </w:pPr>
      <w:r>
        <w:rPr>
          <w:rStyle w:val="FootnoteReference"/>
        </w:rPr>
        <w:footnoteRef/>
      </w:r>
      <w:r>
        <w:t xml:space="preserve"> </w:t>
      </w:r>
      <w:r>
        <w:tab/>
        <w:t>Art. XVI, point 35 of the Draft Act on seats and territorial jurisdiction of courts, adding Sec. 101f(1) to Act No. 757/2</w:t>
      </w:r>
      <w:r>
        <w:t>004, on Courts.</w:t>
      </w:r>
    </w:p>
  </w:footnote>
  <w:footnote w:id="67">
    <w:p w:rsidR="00323528" w:rsidRDefault="003A3A10">
      <w:pPr>
        <w:pStyle w:val="FootnoteText"/>
      </w:pPr>
      <w:r>
        <w:rPr>
          <w:rStyle w:val="FootnoteReference"/>
        </w:rPr>
        <w:footnoteRef/>
      </w:r>
      <w:r>
        <w:t xml:space="preserve"> </w:t>
      </w:r>
      <w:r>
        <w:tab/>
        <w:t>In the standard process of appointment of court presidents as stipulated in Secs. 36 and 37 of Act 750/2004, on Courts, four members of the selection committee are chosen by the Minister of Justice from a list of candidates so that one o</w:t>
      </w:r>
      <w:r>
        <w:t>f the members was nominated to the list by the Judicial Council and three by the Minister. One member of the selection committee is elected by the council of judges at the respective court. The list of candidates is published at the website of the Ministry</w:t>
      </w:r>
      <w:r>
        <w:t xml:space="preserve"> of Justice </w:t>
      </w:r>
      <w:hyperlink r:id="rId8" w:history="1">
        <w:r>
          <w:rPr>
            <w:rStyle w:val="Hyperlink"/>
          </w:rPr>
          <w:t>https://www.justice.gov.sk/Stranky/Sudy/Vyberove-konania-na-sudoch/Kandidati-na-clenov-vyber</w:t>
        </w:r>
        <w:r>
          <w:rPr>
            <w:rStyle w:val="Hyperlink"/>
          </w:rPr>
          <w:t>ovych-komisii-na-vyber-predsedov-sudov.aspx</w:t>
        </w:r>
      </w:hyperlink>
      <w:r>
        <w:t xml:space="preserve">. </w:t>
      </w:r>
    </w:p>
  </w:footnote>
  <w:footnote w:id="68">
    <w:p w:rsidR="00323528" w:rsidRDefault="003A3A10">
      <w:pPr>
        <w:pStyle w:val="FootnoteText"/>
      </w:pPr>
      <w:r>
        <w:rPr>
          <w:rStyle w:val="FootnoteReference"/>
        </w:rPr>
        <w:footnoteRef/>
      </w:r>
      <w:r>
        <w:t xml:space="preserve"> </w:t>
      </w:r>
      <w:r>
        <w:tab/>
        <w:t>Art. IX, point 17 of the Draft Act on seats and territorial jurisdiction of courts, adding Sec. 151zg to Act No. 385/2000, on judges.</w:t>
      </w:r>
    </w:p>
  </w:footnote>
  <w:footnote w:id="69">
    <w:p w:rsidR="00323528" w:rsidRDefault="003A3A10">
      <w:pPr>
        <w:pStyle w:val="FootnoteText"/>
      </w:pPr>
      <w:r>
        <w:rPr>
          <w:rStyle w:val="FootnoteReference"/>
        </w:rPr>
        <w:footnoteRef/>
      </w:r>
      <w:r>
        <w:t xml:space="preserve"> </w:t>
      </w:r>
      <w:r>
        <w:tab/>
        <w:t>After discussion with the Judicial Council.</w:t>
      </w:r>
    </w:p>
  </w:footnote>
  <w:footnote w:id="70">
    <w:p w:rsidR="00323528" w:rsidRDefault="003A3A10">
      <w:pPr>
        <w:pStyle w:val="FootnoteText"/>
      </w:pPr>
      <w:r>
        <w:rPr>
          <w:rStyle w:val="FootnoteReference"/>
        </w:rPr>
        <w:footnoteRef/>
      </w:r>
      <w:r>
        <w:t xml:space="preserve"> </w:t>
      </w:r>
      <w:r>
        <w:tab/>
        <w:t>Transfer of judges is c</w:t>
      </w:r>
      <w:r>
        <w:t>onducted by the Judicial Council either on the request of a judge, or with his or her consent, or based on a disciplinary decision, Sec. 14, Act 385/2000, on Courts.</w:t>
      </w:r>
    </w:p>
  </w:footnote>
  <w:footnote w:id="71">
    <w:p w:rsidR="00323528" w:rsidRDefault="003A3A10">
      <w:pPr>
        <w:pStyle w:val="FootnoteText"/>
      </w:pPr>
      <w:r>
        <w:rPr>
          <w:rStyle w:val="FootnoteReference"/>
        </w:rPr>
        <w:footnoteRef/>
      </w:r>
      <w:r>
        <w:t xml:space="preserve"> </w:t>
      </w:r>
      <w:r>
        <w:tab/>
        <w:t xml:space="preserve">Selection procedure will be conducted by a selection committee composed of two members </w:t>
      </w:r>
      <w:r>
        <w:t>nominated by the Minister of Justice and three members nominated by the Judicial Council, Sec. 29, Act 385/2000, on Courts.</w:t>
      </w:r>
    </w:p>
  </w:footnote>
  <w:footnote w:id="72">
    <w:p w:rsidR="00323528" w:rsidRDefault="003A3A10">
      <w:pPr>
        <w:pStyle w:val="FootnoteText"/>
      </w:pPr>
      <w:r>
        <w:rPr>
          <w:rStyle w:val="FootnoteReference"/>
        </w:rPr>
        <w:footnoteRef/>
      </w:r>
      <w:r>
        <w:t xml:space="preserve"> </w:t>
      </w:r>
      <w:r>
        <w:tab/>
        <w:t>Consultative Council of European Judges (2016), Opinion No.19, The role of court presidents, para 53.</w:t>
      </w:r>
    </w:p>
  </w:footnote>
  <w:footnote w:id="73">
    <w:p w:rsidR="00323528" w:rsidRDefault="003A3A10">
      <w:pPr>
        <w:pStyle w:val="FootnoteText"/>
      </w:pPr>
      <w:r>
        <w:rPr>
          <w:rStyle w:val="FootnoteReference"/>
        </w:rPr>
        <w:footnoteRef/>
      </w:r>
      <w:r>
        <w:t xml:space="preserve"> </w:t>
      </w:r>
      <w:r>
        <w:tab/>
        <w:t>Act 241/2020.</w:t>
      </w:r>
    </w:p>
  </w:footnote>
  <w:footnote w:id="74">
    <w:p w:rsidR="00323528" w:rsidRDefault="003A3A10">
      <w:pPr>
        <w:pStyle w:val="FootnoteText"/>
      </w:pPr>
      <w:r>
        <w:rPr>
          <w:rStyle w:val="FootnoteReference"/>
        </w:rPr>
        <w:footnoteRef/>
      </w:r>
      <w:r>
        <w:t xml:space="preserve"> </w:t>
      </w:r>
      <w:r>
        <w:tab/>
        <w:t>Accordi</w:t>
      </w:r>
      <w:r>
        <w:t>ng to Art. 150 of the Constitution, the Prosecutor General is appointed by the President of the Republic on the proposal of the Parliament. The Special Prosecutor is elected by the Parliament, Sec. 24a, Act No. 154/2001, on Prosecutors.</w:t>
      </w:r>
    </w:p>
  </w:footnote>
  <w:footnote w:id="75">
    <w:p w:rsidR="00323528" w:rsidRDefault="003A3A10">
      <w:pPr>
        <w:pStyle w:val="FootnoteText"/>
      </w:pPr>
      <w:r>
        <w:rPr>
          <w:rStyle w:val="FootnoteReference"/>
        </w:rPr>
        <w:footnoteRef/>
      </w:r>
      <w:r>
        <w:t xml:space="preserve"> </w:t>
      </w:r>
      <w:r>
        <w:tab/>
        <w:t>Candidates may b</w:t>
      </w:r>
      <w:r>
        <w:t>e nominated by a Member of Parliament, the Minister of Justice, the Ombudsperson, the Council of Prosecutors, a professional organisation of lawyers, a law faculty and the Academy of Sciences. Previously, only Members of Parliament had the right to propose</w:t>
      </w:r>
      <w:r>
        <w:t xml:space="preserve"> a candidate, Sec. 7(4), Act No. 153/2001, on Public Prosecution.</w:t>
      </w:r>
    </w:p>
  </w:footnote>
  <w:footnote w:id="76">
    <w:p w:rsidR="00323528" w:rsidRDefault="003A3A10">
      <w:pPr>
        <w:pStyle w:val="FootnoteText"/>
      </w:pPr>
      <w:r>
        <w:rPr>
          <w:rStyle w:val="FootnoteReference"/>
        </w:rPr>
        <w:footnoteRef/>
      </w:r>
      <w:r>
        <w:t xml:space="preserve"> </w:t>
      </w:r>
      <w:r>
        <w:tab/>
        <w:t>Sec. 125(2), Act No. 153/2001, on Public Prosecution.</w:t>
      </w:r>
    </w:p>
  </w:footnote>
  <w:footnote w:id="77">
    <w:p w:rsidR="00323528" w:rsidRDefault="003A3A10">
      <w:pPr>
        <w:pStyle w:val="FootnoteText"/>
      </w:pPr>
      <w:r>
        <w:rPr>
          <w:rStyle w:val="FootnoteReference"/>
        </w:rPr>
        <w:footnoteRef/>
      </w:r>
      <w:r>
        <w:t xml:space="preserve"> </w:t>
      </w:r>
      <w:r>
        <w:tab/>
        <w:t xml:space="preserve">Contribution from Via Iuris (Civil Liberties Union) for the 2021 Rule of Law Report, p. 9; Information received in the context of </w:t>
      </w:r>
      <w:r>
        <w:t>the country visit to Slovakia.</w:t>
      </w:r>
    </w:p>
  </w:footnote>
  <w:footnote w:id="78">
    <w:p w:rsidR="00323528" w:rsidRDefault="003A3A10">
      <w:pPr>
        <w:pStyle w:val="FootnoteText"/>
      </w:pPr>
      <w:r>
        <w:rPr>
          <w:rStyle w:val="FootnoteReference"/>
        </w:rPr>
        <w:footnoteRef/>
      </w:r>
      <w:r>
        <w:t xml:space="preserve"> </w:t>
      </w:r>
      <w:r>
        <w:tab/>
        <w:t xml:space="preserve">2020 Rule of Law Report, Country Chapter on the rule of law situation in Slovakia, p. 5. </w:t>
      </w:r>
    </w:p>
  </w:footnote>
  <w:footnote w:id="79">
    <w:p w:rsidR="00323528" w:rsidRDefault="003A3A10">
      <w:pPr>
        <w:pStyle w:val="FootnoteText"/>
      </w:pPr>
      <w:r>
        <w:rPr>
          <w:rStyle w:val="FootnoteReference"/>
        </w:rPr>
        <w:footnoteRef/>
      </w:r>
      <w:r>
        <w:t xml:space="preserve"> </w:t>
      </w:r>
      <w:r>
        <w:tab/>
        <w:t xml:space="preserve">Figure 41, 2021 EU Justice Scoreboard. </w:t>
      </w:r>
    </w:p>
  </w:footnote>
  <w:footnote w:id="80">
    <w:p w:rsidR="00323528" w:rsidRDefault="003A3A10">
      <w:pPr>
        <w:pStyle w:val="FootnoteText"/>
      </w:pPr>
      <w:r>
        <w:rPr>
          <w:rStyle w:val="FootnoteReference"/>
        </w:rPr>
        <w:footnoteRef/>
      </w:r>
      <w:r>
        <w:t xml:space="preserve"> </w:t>
      </w:r>
      <w:r>
        <w:tab/>
        <w:t xml:space="preserve">Figure 42, 2021 EU Justice Scoreboard. </w:t>
      </w:r>
    </w:p>
  </w:footnote>
  <w:footnote w:id="81">
    <w:p w:rsidR="00323528" w:rsidRDefault="003A3A10">
      <w:pPr>
        <w:pStyle w:val="FootnoteText"/>
      </w:pPr>
      <w:r>
        <w:rPr>
          <w:rStyle w:val="FootnoteReference"/>
        </w:rPr>
        <w:footnoteRef/>
      </w:r>
      <w:r>
        <w:t xml:space="preserve"> </w:t>
      </w:r>
      <w:r>
        <w:tab/>
        <w:t xml:space="preserve">Figure 43, 2021 EU Justice Scoreboard. </w:t>
      </w:r>
    </w:p>
  </w:footnote>
  <w:footnote w:id="82">
    <w:p w:rsidR="00323528" w:rsidRDefault="003A3A10">
      <w:pPr>
        <w:pStyle w:val="FootnoteText"/>
      </w:pPr>
      <w:r>
        <w:rPr>
          <w:rStyle w:val="FootnoteReference"/>
        </w:rPr>
        <w:footnoteRef/>
      </w:r>
      <w:r>
        <w:t xml:space="preserve"> </w:t>
      </w:r>
      <w:r>
        <w:tab/>
      </w:r>
      <w:r>
        <w:t xml:space="preserve">Figure 45, 2021 EU Justice Scoreboard. </w:t>
      </w:r>
    </w:p>
  </w:footnote>
  <w:footnote w:id="83">
    <w:p w:rsidR="00323528" w:rsidRDefault="003A3A10">
      <w:pPr>
        <w:pStyle w:val="FootnoteText"/>
      </w:pPr>
      <w:r>
        <w:rPr>
          <w:rStyle w:val="FootnoteReference"/>
        </w:rPr>
        <w:footnoteRef/>
      </w:r>
      <w:r>
        <w:t xml:space="preserve"> </w:t>
      </w:r>
      <w:r>
        <w:tab/>
        <w:t xml:space="preserve">Figure 44, 2021 EU Justice Scoreboard. </w:t>
      </w:r>
    </w:p>
  </w:footnote>
  <w:footnote w:id="84">
    <w:p w:rsidR="00323528" w:rsidRDefault="003A3A10">
      <w:pPr>
        <w:pStyle w:val="FootnoteText"/>
      </w:pPr>
      <w:r>
        <w:rPr>
          <w:rStyle w:val="FootnoteReference"/>
        </w:rPr>
        <w:footnoteRef/>
      </w:r>
      <w:r>
        <w:t xml:space="preserve"> </w:t>
      </w:r>
      <w:r>
        <w:tab/>
        <w:t xml:space="preserve">Figure 46, 2021 EU Justice Scoreboard. </w:t>
      </w:r>
    </w:p>
  </w:footnote>
  <w:footnote w:id="85">
    <w:p w:rsidR="00323528" w:rsidRDefault="003A3A10">
      <w:pPr>
        <w:pStyle w:val="FootnoteText"/>
      </w:pPr>
      <w:r>
        <w:rPr>
          <w:rStyle w:val="FootnoteReference"/>
        </w:rPr>
        <w:footnoteRef/>
      </w:r>
      <w:r>
        <w:t xml:space="preserve"> </w:t>
      </w:r>
      <w:r>
        <w:tab/>
        <w:t>Contribution from the Slovak Bar Association for the 2021 Rule of Law Report.</w:t>
      </w:r>
    </w:p>
  </w:footnote>
  <w:footnote w:id="86">
    <w:p w:rsidR="00323528" w:rsidRDefault="003A3A10">
      <w:pPr>
        <w:pStyle w:val="FootnoteText"/>
      </w:pPr>
      <w:r>
        <w:rPr>
          <w:rStyle w:val="FootnoteReference"/>
        </w:rPr>
        <w:footnoteRef/>
      </w:r>
      <w:r>
        <w:t xml:space="preserve"> </w:t>
      </w:r>
      <w:r>
        <w:tab/>
        <w:t>Another example revealed in the wake of the CO</w:t>
      </w:r>
      <w:r>
        <w:t>VID-19 pandemic is the need for digitalization in detention procedures to allow secure digital communication between lawyers and their clients in detention. Contribution from the Slovak Bar Association for the 2021 Rule of Law Report. See also press releas</w:t>
      </w:r>
      <w:r>
        <w:t xml:space="preserve">e of the Slovak Bar Association of 23 March 2021, Predseda SAK navštívil nového generálneho riaditeľa Zboru väzenskej a justičnej stráže. </w:t>
      </w:r>
    </w:p>
  </w:footnote>
  <w:footnote w:id="87">
    <w:p w:rsidR="00323528" w:rsidRDefault="003A3A10">
      <w:pPr>
        <w:pStyle w:val="FootnoteText"/>
      </w:pPr>
      <w:r>
        <w:rPr>
          <w:rStyle w:val="FootnoteReference"/>
        </w:rPr>
        <w:footnoteRef/>
      </w:r>
      <w:r>
        <w:t xml:space="preserve"> </w:t>
      </w:r>
      <w:r>
        <w:tab/>
        <w:t>Input from Slovakia for the 2021 Rule of Law Report, p. 12;  the Slovak Recovery and Resilience Plan plans investm</w:t>
      </w:r>
      <w:r>
        <w:t>ents into digitalization and analytical capacities for the justice system, Component 15 of the Slovak Recovery and Resilience plan.</w:t>
      </w:r>
    </w:p>
  </w:footnote>
  <w:footnote w:id="88">
    <w:p w:rsidR="00323528" w:rsidRDefault="003A3A10">
      <w:pPr>
        <w:pStyle w:val="FootnoteText"/>
      </w:pPr>
      <w:r>
        <w:rPr>
          <w:rStyle w:val="FootnoteReference"/>
        </w:rPr>
        <w:footnoteRef/>
      </w:r>
      <w:r>
        <w:t xml:space="preserve"> </w:t>
      </w:r>
      <w:r>
        <w:tab/>
        <w:t>Information received in the context of country visit to Slovakia.</w:t>
      </w:r>
    </w:p>
  </w:footnote>
  <w:footnote w:id="89">
    <w:p w:rsidR="00323528" w:rsidRDefault="003A3A10">
      <w:pPr>
        <w:pStyle w:val="FootnoteText"/>
      </w:pPr>
      <w:r>
        <w:rPr>
          <w:rStyle w:val="FootnoteReference"/>
        </w:rPr>
        <w:footnoteRef/>
      </w:r>
      <w:r>
        <w:t xml:space="preserve"> </w:t>
      </w:r>
      <w:r>
        <w:tab/>
        <w:t>Information received in the context of country visit</w:t>
      </w:r>
      <w:r>
        <w:t xml:space="preserve"> to Slovakia.</w:t>
      </w:r>
    </w:p>
  </w:footnote>
  <w:footnote w:id="90">
    <w:p w:rsidR="00323528" w:rsidRDefault="003A3A10">
      <w:pPr>
        <w:pStyle w:val="FootnoteText"/>
      </w:pPr>
      <w:r>
        <w:rPr>
          <w:rStyle w:val="FootnoteReference"/>
        </w:rPr>
        <w:footnoteRef/>
      </w:r>
      <w:r>
        <w:t xml:space="preserve"> </w:t>
      </w:r>
      <w:r>
        <w:tab/>
        <w:t>Information received in the context of country visit to Slovakia.</w:t>
      </w:r>
    </w:p>
  </w:footnote>
  <w:footnote w:id="91">
    <w:p w:rsidR="00323528" w:rsidRDefault="003A3A10">
      <w:pPr>
        <w:pStyle w:val="FootnoteText"/>
      </w:pPr>
      <w:r>
        <w:rPr>
          <w:rStyle w:val="FootnoteReference"/>
        </w:rPr>
        <w:footnoteRef/>
      </w:r>
      <w:r>
        <w:t xml:space="preserve"> </w:t>
      </w:r>
      <w:r>
        <w:tab/>
        <w:t xml:space="preserve">Figure 10, 2021 EU Justice Scoreboard. </w:t>
      </w:r>
    </w:p>
  </w:footnote>
  <w:footnote w:id="92">
    <w:p w:rsidR="00323528" w:rsidRDefault="003A3A10">
      <w:pPr>
        <w:pStyle w:val="FootnoteText"/>
      </w:pPr>
      <w:r>
        <w:rPr>
          <w:rStyle w:val="FootnoteReference"/>
        </w:rPr>
        <w:footnoteRef/>
      </w:r>
      <w:r>
        <w:t xml:space="preserve"> </w:t>
      </w:r>
      <w:r>
        <w:tab/>
        <w:t xml:space="preserve">Figure 13, 2021 EU Justice Scoreboard. </w:t>
      </w:r>
    </w:p>
  </w:footnote>
  <w:footnote w:id="93">
    <w:p w:rsidR="00323528" w:rsidRDefault="003A3A10">
      <w:pPr>
        <w:pStyle w:val="FootnoteText"/>
      </w:pPr>
      <w:r>
        <w:rPr>
          <w:rStyle w:val="FootnoteReference"/>
        </w:rPr>
        <w:footnoteRef/>
      </w:r>
      <w:r>
        <w:t xml:space="preserve"> </w:t>
      </w:r>
      <w:r>
        <w:tab/>
        <w:t xml:space="preserve">Figure 7, 2021 EU Justice Scoreboard. </w:t>
      </w:r>
    </w:p>
  </w:footnote>
  <w:footnote w:id="94">
    <w:p w:rsidR="00323528" w:rsidRDefault="003A3A10">
      <w:pPr>
        <w:pStyle w:val="FootnoteText"/>
      </w:pPr>
      <w:r>
        <w:rPr>
          <w:rStyle w:val="FootnoteReference"/>
        </w:rPr>
        <w:footnoteRef/>
      </w:r>
      <w:r>
        <w:t xml:space="preserve"> </w:t>
      </w:r>
      <w:r>
        <w:tab/>
      </w:r>
      <w:r>
        <w:t xml:space="preserve">These groups of cases concern excessive length of civil proceedings, </w:t>
      </w:r>
      <w:r>
        <w:rPr>
          <w:bCs/>
        </w:rPr>
        <w:t xml:space="preserve">excessive length of proceedings concerning a compensation claim </w:t>
      </w:r>
      <w:r>
        <w:t xml:space="preserve">of the aggrieved party </w:t>
      </w:r>
      <w:r>
        <w:rPr>
          <w:bCs/>
        </w:rPr>
        <w:t xml:space="preserve">attached to criminal proceedings, </w:t>
      </w:r>
      <w:r>
        <w:t>effectiveness of the remedy for excessively lengthy civil proceedi</w:t>
      </w:r>
      <w:r>
        <w:t>ngs and excessive length of restitution-of-land proceedings (two-tier proceedings consisting of administrative phase before a Land Office and judicial phase on appeal) and lack of effective remedies, respectively. Decisions on these cases were delivered by</w:t>
      </w:r>
      <w:r>
        <w:t xml:space="preserve"> the European Court of Human Rights and the execution of these judgments by Slovak authorities is ongoing and monitored by the Council of Europe under the standard procedure. See statuses of execution of the judgments of the European Court of Human Rights </w:t>
      </w:r>
      <w:r>
        <w:t xml:space="preserve">of 24 July 2012, </w:t>
      </w:r>
      <w:r>
        <w:rPr>
          <w:i/>
        </w:rPr>
        <w:t>Maxian and Maxianova</w:t>
      </w:r>
      <w:r>
        <w:t xml:space="preserve">, 44482/09, of 15 September 2015 </w:t>
      </w:r>
      <w:r>
        <w:rPr>
          <w:i/>
        </w:rPr>
        <w:t>Javor and Javorova</w:t>
      </w:r>
      <w:r>
        <w:t xml:space="preserve">, 42360/10, of 27 June 2017, </w:t>
      </w:r>
      <w:r>
        <w:rPr>
          <w:i/>
        </w:rPr>
        <w:t>Ivan</w:t>
      </w:r>
      <w:r>
        <w:t xml:space="preserve">, 57405/15, of 31 August 2018, </w:t>
      </w:r>
      <w:r>
        <w:rPr>
          <w:i/>
        </w:rPr>
        <w:t>Balogh and others</w:t>
      </w:r>
      <w:r>
        <w:t>,</w:t>
      </w:r>
      <w:r>
        <w:rPr>
          <w:rStyle w:val="Hyperlink"/>
        </w:rPr>
        <w:t xml:space="preserve"> </w:t>
      </w:r>
      <w:r>
        <w:t xml:space="preserve">35142/15. </w:t>
      </w:r>
    </w:p>
  </w:footnote>
  <w:footnote w:id="95">
    <w:p w:rsidR="00323528" w:rsidRDefault="003A3A10">
      <w:pPr>
        <w:pStyle w:val="FootnoteText"/>
      </w:pPr>
      <w:r>
        <w:rPr>
          <w:rStyle w:val="FootnoteReference"/>
        </w:rPr>
        <w:footnoteRef/>
      </w:r>
      <w:r>
        <w:t xml:space="preserve"> </w:t>
      </w:r>
      <w:r>
        <w:tab/>
        <w:t>Cf. Article 4(3) of Act No. 171/1993 Coll. on the Police Force</w:t>
      </w:r>
      <w:r>
        <w:rPr>
          <w:lang w:val="en-IE"/>
        </w:rPr>
        <w:t>.</w:t>
      </w:r>
    </w:p>
  </w:footnote>
  <w:footnote w:id="96">
    <w:p w:rsidR="00323528" w:rsidRDefault="003A3A10">
      <w:pPr>
        <w:pStyle w:val="FootnoteText"/>
      </w:pPr>
      <w:r>
        <w:rPr>
          <w:rStyle w:val="FootnoteReference"/>
        </w:rPr>
        <w:footnoteRef/>
      </w:r>
      <w:r>
        <w:t xml:space="preserve"> </w:t>
      </w:r>
      <w:r>
        <w:tab/>
        <w:t xml:space="preserve">Act </w:t>
      </w:r>
      <w:r>
        <w:t>of the National Council of the Slovak Republic No. 458/2003 Coll. on the establishment of the Special Court and the Office of Special Prosecutor’s Office</w:t>
      </w:r>
      <w:r>
        <w:rPr>
          <w:rFonts w:cs="Arial"/>
          <w:szCs w:val="14"/>
          <w:lang w:val="sk-SK"/>
        </w:rPr>
        <w:t>.</w:t>
      </w:r>
    </w:p>
  </w:footnote>
  <w:footnote w:id="97">
    <w:p w:rsidR="00323528" w:rsidRDefault="003A3A10">
      <w:pPr>
        <w:pStyle w:val="FootnoteText"/>
        <w:rPr>
          <w:rFonts w:cs="Arial"/>
          <w:szCs w:val="14"/>
          <w:lang w:val="sk-SK"/>
        </w:rPr>
      </w:pPr>
      <w:r>
        <w:rPr>
          <w:rStyle w:val="FootnoteReference"/>
        </w:rPr>
        <w:footnoteRef/>
      </w:r>
      <w:r>
        <w:t xml:space="preserve"> </w:t>
      </w:r>
      <w:r>
        <w:rPr>
          <w:rFonts w:cs="Arial"/>
          <w:szCs w:val="14"/>
        </w:rPr>
        <w:t>Act No. 291/2009 Coll. on the Specialized Criminal Court</w:t>
      </w:r>
      <w:r>
        <w:rPr>
          <w:lang w:val="en-IE"/>
        </w:rPr>
        <w:t>.</w:t>
      </w:r>
    </w:p>
  </w:footnote>
  <w:footnote w:id="98">
    <w:p w:rsidR="00323528" w:rsidRDefault="003A3A10">
      <w:pPr>
        <w:pStyle w:val="FootnoteText"/>
      </w:pPr>
      <w:r>
        <w:rPr>
          <w:rStyle w:val="FootnoteReference"/>
        </w:rPr>
        <w:footnoteRef/>
      </w:r>
      <w:r>
        <w:t xml:space="preserve"> </w:t>
      </w:r>
      <w:r>
        <w:tab/>
        <w:t>Transparency International, Corruption</w:t>
      </w:r>
      <w:r>
        <w:t xml:space="preserve"> Perceptions Index 2020 (2021)</w:t>
      </w:r>
      <w:r>
        <w:rPr>
          <w:rFonts w:cstheme="minorHAnsi"/>
          <w:sz w:val="24"/>
          <w:szCs w:val="22"/>
        </w:rPr>
        <w:t xml:space="preserve"> </w:t>
      </w:r>
      <w:r>
        <w:t xml:space="preserve">pp. 2-3. </w:t>
      </w:r>
      <w:r>
        <w:rPr>
          <w:lang w:val="en-IE"/>
        </w:rPr>
        <w:t>The level of perceived corruption is categorised as follows: low (</w:t>
      </w:r>
      <w:r>
        <w:t xml:space="preserve">the perception among experts and business executives of public sector corruption scores </w:t>
      </w:r>
      <w:r>
        <w:rPr>
          <w:lang w:val="en-IE"/>
        </w:rPr>
        <w:t>above 79); relatively low (scores between 79-60), relatively h</w:t>
      </w:r>
      <w:r>
        <w:rPr>
          <w:lang w:val="en-IE"/>
        </w:rPr>
        <w:t>igh (scores between 59-50), high (scores below 50).</w:t>
      </w:r>
    </w:p>
  </w:footnote>
  <w:footnote w:id="99">
    <w:p w:rsidR="00323528" w:rsidRDefault="003A3A10">
      <w:pPr>
        <w:pStyle w:val="FootnoteText"/>
        <w:rPr>
          <w:lang w:val="en-IE"/>
        </w:rPr>
      </w:pPr>
      <w:r>
        <w:rPr>
          <w:rStyle w:val="FootnoteReference"/>
        </w:rPr>
        <w:footnoteRef/>
      </w:r>
      <w:r>
        <w:t xml:space="preserve"> </w:t>
      </w:r>
      <w:r>
        <w:tab/>
      </w:r>
      <w:r>
        <w:rPr>
          <w:lang w:val="en-IE"/>
        </w:rPr>
        <w:t>In 2015, the score was 51, while, in 2020, the score is 49. The score significantly increases/decreases when it changes more than five points; improves/deteriorates (changes between 4-5 points); is rel</w:t>
      </w:r>
      <w:r>
        <w:rPr>
          <w:lang w:val="en-IE"/>
        </w:rPr>
        <w:t>atively stable (changes from 1-3 points) in the last five years.</w:t>
      </w:r>
    </w:p>
  </w:footnote>
  <w:footnote w:id="100">
    <w:p w:rsidR="00323528" w:rsidRDefault="003A3A10">
      <w:pPr>
        <w:pStyle w:val="FootnoteText"/>
      </w:pPr>
      <w:r>
        <w:rPr>
          <w:rStyle w:val="FootnoteReference"/>
        </w:rPr>
        <w:footnoteRef/>
      </w:r>
      <w:r>
        <w:t xml:space="preserve"> </w:t>
      </w:r>
      <w:r>
        <w:tab/>
        <w:t>The Eurobarometer data on corruption perception and experience of citizens and businesses as reported last year is updated every second year. The latest data set is the Special Eurobaromet</w:t>
      </w:r>
      <w:r>
        <w:t>er 502 (2020) and the Flash Eurobarometer 482 (2019).</w:t>
      </w:r>
    </w:p>
  </w:footnote>
  <w:footnote w:id="101">
    <w:p w:rsidR="00323528" w:rsidRDefault="003A3A10">
      <w:pPr>
        <w:pStyle w:val="FootnoteText"/>
      </w:pPr>
      <w:r>
        <w:rPr>
          <w:rStyle w:val="FootnoteReference"/>
        </w:rPr>
        <w:footnoteRef/>
      </w:r>
      <w:r>
        <w:t xml:space="preserve"> </w:t>
      </w:r>
      <w:r>
        <w:tab/>
        <w:t>Government of the Slovak Republic, Anti-Corruption Policy of the Slovak Republic for 2019-2023 (2018)</w:t>
      </w:r>
      <w:r>
        <w:rPr>
          <w:lang w:val="en-IE"/>
        </w:rPr>
        <w:t>.</w:t>
      </w:r>
    </w:p>
  </w:footnote>
  <w:footnote w:id="102">
    <w:p w:rsidR="00323528" w:rsidRDefault="003A3A10">
      <w:pPr>
        <w:pStyle w:val="FootnoteText"/>
      </w:pPr>
      <w:r>
        <w:rPr>
          <w:rStyle w:val="FootnoteReference"/>
        </w:rPr>
        <w:footnoteRef/>
      </w:r>
      <w:r>
        <w:t xml:space="preserve"> </w:t>
      </w:r>
      <w:r>
        <w:tab/>
        <w:t>Government of the Slovak Republic, National Anti-Corruption Program of the Slovak Republic (2</w:t>
      </w:r>
      <w:r>
        <w:t>019)</w:t>
      </w:r>
      <w:r>
        <w:rPr>
          <w:lang w:val="en-IE"/>
        </w:rPr>
        <w:t>.</w:t>
      </w:r>
    </w:p>
  </w:footnote>
  <w:footnote w:id="103">
    <w:p w:rsidR="00323528" w:rsidRDefault="003A3A10">
      <w:pPr>
        <w:pStyle w:val="FootnoteText"/>
      </w:pPr>
      <w:r>
        <w:rPr>
          <w:rStyle w:val="FootnoteReference"/>
        </w:rPr>
        <w:footnoteRef/>
      </w:r>
      <w:r>
        <w:t xml:space="preserve"> </w:t>
      </w:r>
      <w:r>
        <w:tab/>
        <w:t>Sectoral programmes were adopted by the ministries and other institutions, including the Ministry of Justice, of Economy, of the Interior, of Transport and Construction, of Environment, of Finance Sector, of Foreign and European Affairs, of Health</w:t>
      </w:r>
      <w:r>
        <w:t>, and of Labour among others. The adopted action plans contain primarily preventive elements, including on awareness-raising, anti-corruption education and corruption risk-management.</w:t>
      </w:r>
    </w:p>
  </w:footnote>
  <w:footnote w:id="104">
    <w:p w:rsidR="00323528" w:rsidRDefault="003A3A10">
      <w:pPr>
        <w:pStyle w:val="FootnoteText"/>
      </w:pPr>
      <w:r>
        <w:rPr>
          <w:rStyle w:val="FootnoteReference"/>
        </w:rPr>
        <w:footnoteRef/>
      </w:r>
      <w:r>
        <w:t xml:space="preserve"> </w:t>
      </w:r>
      <w:r>
        <w:tab/>
        <w:t>The new National Anti-Corruption Programme is at a preparatory stage.</w:t>
      </w:r>
      <w:r>
        <w:t xml:space="preserve"> Public consultations have already taken place, according to the Slovak Government. Additional input from Slovakia for the 2021 Rule of Law Report, p. 7.</w:t>
      </w:r>
    </w:p>
  </w:footnote>
  <w:footnote w:id="105">
    <w:p w:rsidR="00323528" w:rsidRDefault="003A3A10">
      <w:pPr>
        <w:pStyle w:val="FootnoteText"/>
      </w:pPr>
      <w:r>
        <w:rPr>
          <w:rStyle w:val="FootnoteReference"/>
        </w:rPr>
        <w:footnoteRef/>
      </w:r>
      <w:r>
        <w:t xml:space="preserve"> </w:t>
      </w:r>
      <w:r>
        <w:tab/>
        <w:t>The role of the Corruption Prevention Department of the Office of the Government is limited to chec</w:t>
      </w:r>
      <w:r>
        <w:t>king whether the relevant ministry has prepared the programme but it does not evaluate its content. However, the Corruption Prevention Department cooperates with the anti-corruption coordinators with the Council of Anti-Corruption Coordinators. Information</w:t>
      </w:r>
      <w:r>
        <w:t xml:space="preserve"> received in the context of the country visit to Slovakia.</w:t>
      </w:r>
    </w:p>
  </w:footnote>
  <w:footnote w:id="106">
    <w:p w:rsidR="00323528" w:rsidRDefault="003A3A10">
      <w:pPr>
        <w:pStyle w:val="FootnoteText"/>
      </w:pPr>
      <w:r>
        <w:rPr>
          <w:rStyle w:val="FootnoteReference"/>
        </w:rPr>
        <w:footnoteRef/>
      </w:r>
      <w:r>
        <w:t xml:space="preserve"> </w:t>
      </w:r>
      <w:r>
        <w:tab/>
        <w:t>Act No. 312/2020 on Forfeiture of Assets and Management of Seized Property and Amendments to Certain Acts, effective from 1 January 2021.</w:t>
      </w:r>
    </w:p>
  </w:footnote>
  <w:footnote w:id="107">
    <w:p w:rsidR="00323528" w:rsidRDefault="003A3A10">
      <w:pPr>
        <w:pStyle w:val="FootnoteText"/>
      </w:pPr>
      <w:r>
        <w:rPr>
          <w:rStyle w:val="FootnoteReference"/>
        </w:rPr>
        <w:footnoteRef/>
      </w:r>
      <w:r>
        <w:t xml:space="preserve"> </w:t>
      </w:r>
      <w:r>
        <w:tab/>
        <w:t xml:space="preserve">The law also redefined the term laundering of </w:t>
      </w:r>
      <w:r>
        <w:t>proceeds from criminal activity and introduced a new crime of bending the law, see above in Section I. All forms of active, passive, direct and indirect corruption had already been criminalized prior to this in Slovakia.</w:t>
      </w:r>
    </w:p>
  </w:footnote>
  <w:footnote w:id="108">
    <w:p w:rsidR="00323528" w:rsidRDefault="003A3A10">
      <w:pPr>
        <w:pStyle w:val="FootnoteText"/>
      </w:pPr>
      <w:r>
        <w:rPr>
          <w:rStyle w:val="FootnoteReference"/>
        </w:rPr>
        <w:footnoteRef/>
      </w:r>
      <w:r>
        <w:t xml:space="preserve"> </w:t>
      </w:r>
      <w:r>
        <w:tab/>
        <w:t>Selection procedures to institut</w:t>
      </w:r>
      <w:r>
        <w:t xml:space="preserve">e a director were ongoing at the time of the drafting of this report, according to the Input from Slovakia for the 2021 Rule of Law Report, p. 22. Several other corruption-related amendments were introduced, including </w:t>
      </w:r>
      <w:r>
        <w:rPr>
          <w:rFonts w:eastAsia="Times New Roman"/>
        </w:rPr>
        <w:t>Act No. 279/2020 amending and suppleme</w:t>
      </w:r>
      <w:r>
        <w:rPr>
          <w:rFonts w:eastAsia="Times New Roman"/>
        </w:rPr>
        <w:t>nting act No. 297/2008 on protection against money laundering and on terrorist financing (September 2020).</w:t>
      </w:r>
    </w:p>
  </w:footnote>
  <w:footnote w:id="109">
    <w:p w:rsidR="00323528" w:rsidRDefault="003A3A10">
      <w:pPr>
        <w:pStyle w:val="FootnoteText"/>
      </w:pPr>
      <w:r>
        <w:rPr>
          <w:rStyle w:val="FootnoteReference"/>
        </w:rPr>
        <w:footnoteRef/>
      </w:r>
      <w:r>
        <w:t xml:space="preserve"> </w:t>
      </w:r>
      <w:r>
        <w:tab/>
        <w:t>Input from Slovakia for the 2021 Rule of Law Report, p. 24, with reference to section 29(a) para. 4 of Act No. 171/1993 Coll. on the Police Force,</w:t>
      </w:r>
      <w:r>
        <w:t xml:space="preserve"> despite the fact that police is authorised to obtain such information in the case of other criminal offences, such as tax evasion, illegal financial operations, or the legalisation of the proceeds of crime. Notably, a draft law on the Central Registry of </w:t>
      </w:r>
      <w:r>
        <w:t>Bank Accounts is expected to address these deficiencies as of 1 December 2021.</w:t>
      </w:r>
    </w:p>
  </w:footnote>
  <w:footnote w:id="110">
    <w:p w:rsidR="00323528" w:rsidRDefault="003A3A10">
      <w:pPr>
        <w:pStyle w:val="FootnoteText"/>
      </w:pPr>
      <w:r>
        <w:rPr>
          <w:rStyle w:val="FootnoteReference"/>
        </w:rPr>
        <w:footnoteRef/>
      </w:r>
      <w:r>
        <w:t xml:space="preserve"> </w:t>
      </w:r>
      <w:r>
        <w:tab/>
        <w:t>UNCAC Implementation Review - 1</w:t>
      </w:r>
      <w:r>
        <w:rPr>
          <w:vertAlign w:val="superscript"/>
        </w:rPr>
        <w:t>st</w:t>
      </w:r>
      <w:r>
        <w:t xml:space="preserve"> cycle (2010-2015), Country Review Report of Slovak Republic, p. 22. The trading of influence is criminalised under section 336 of the Criminal Code but does not cover cases where an individual offered or gave a bribe to another person who did not in reali</w:t>
      </w:r>
      <w:r>
        <w:t>ty have the influence in relation to which the bribe was given, as required by the UNCAC Convention.</w:t>
      </w:r>
    </w:p>
  </w:footnote>
  <w:footnote w:id="111">
    <w:p w:rsidR="00323528" w:rsidRDefault="003A3A10">
      <w:pPr>
        <w:pStyle w:val="FootnoteText"/>
      </w:pPr>
      <w:r>
        <w:rPr>
          <w:rStyle w:val="FootnoteReference"/>
        </w:rPr>
        <w:footnoteRef/>
      </w:r>
      <w:r>
        <w:t xml:space="preserve"> </w:t>
      </w:r>
      <w:r>
        <w:tab/>
        <w:t>Decision No. UV-1860/2021. Cf. also Government of the Slovak Republic, Proposal to increase the number of persons designated to perform the tasks of the</w:t>
      </w:r>
      <w:r>
        <w:t xml:space="preserve"> Office of the Special Prosecutor’s Office of the General Prosecutor’s Office of the Slovak Republic and their functional classification. </w:t>
      </w:r>
    </w:p>
  </w:footnote>
  <w:footnote w:id="112">
    <w:p w:rsidR="00323528" w:rsidRDefault="003A3A10">
      <w:pPr>
        <w:pStyle w:val="FootnoteText"/>
      </w:pPr>
      <w:r>
        <w:rPr>
          <w:rStyle w:val="FootnoteReference"/>
        </w:rPr>
        <w:footnoteRef/>
      </w:r>
      <w:r>
        <w:t xml:space="preserve"> </w:t>
      </w:r>
      <w:r>
        <w:tab/>
        <w:t>Input from Slovakia for the 2021 Rule of Law Report, p. 15. Concerns were raised by the Special Prosecution Office</w:t>
      </w:r>
      <w:r>
        <w:t xml:space="preserve"> indicating that on average, each prosecutor is in charge of approximately 80 cases at a time, which raises questions in relation to the effective supervision of investigations. Cf. Rule of Law report (2020), p. 7.</w:t>
      </w:r>
    </w:p>
  </w:footnote>
  <w:footnote w:id="113">
    <w:p w:rsidR="00323528" w:rsidRDefault="003A3A10">
      <w:pPr>
        <w:pStyle w:val="FootnoteText"/>
      </w:pPr>
      <w:r>
        <w:rPr>
          <w:rStyle w:val="FootnoteReference"/>
        </w:rPr>
        <w:footnoteRef/>
      </w:r>
      <w:r>
        <w:t xml:space="preserve"> </w:t>
      </w:r>
      <w:r>
        <w:tab/>
      </w:r>
      <w:r>
        <w:rPr>
          <w:bCs/>
        </w:rPr>
        <w:t>The current division of the Department</w:t>
      </w:r>
      <w:r>
        <w:rPr>
          <w:bCs/>
        </w:rPr>
        <w:t xml:space="preserve"> of General Crime of the Special Prosecutor’s Office consists of one head prosecutor and of 9 prosecutors, according to the </w:t>
      </w:r>
      <w:r>
        <w:t>Input from Slovakia for the 2021 Rule of Law Report, p. 16.</w:t>
      </w:r>
    </w:p>
  </w:footnote>
  <w:footnote w:id="114">
    <w:p w:rsidR="00323528" w:rsidRDefault="003A3A10">
      <w:pPr>
        <w:pStyle w:val="FootnoteText"/>
      </w:pPr>
      <w:r>
        <w:rPr>
          <w:rStyle w:val="FootnoteReference"/>
        </w:rPr>
        <w:footnoteRef/>
      </w:r>
      <w:r>
        <w:t xml:space="preserve"> </w:t>
      </w:r>
      <w:r>
        <w:tab/>
      </w:r>
      <w:r>
        <w:rPr>
          <w:bCs/>
        </w:rPr>
        <w:t>The current division of the Department of General Crime of the Specia</w:t>
      </w:r>
      <w:r>
        <w:rPr>
          <w:bCs/>
        </w:rPr>
        <w:t xml:space="preserve">l Prosecutor’s Office consists of one head prosecutor and of 9 prosecutors, according to the </w:t>
      </w:r>
      <w:r>
        <w:t>Input from Slovakia for the 2021 Rule of Law Report, p. 16.</w:t>
      </w:r>
    </w:p>
  </w:footnote>
  <w:footnote w:id="115">
    <w:p w:rsidR="00323528" w:rsidRDefault="003A3A10">
      <w:pPr>
        <w:pStyle w:val="FootnoteText"/>
      </w:pPr>
      <w:r>
        <w:rPr>
          <w:rStyle w:val="FootnoteReference"/>
        </w:rPr>
        <w:footnoteRef/>
      </w:r>
      <w:r>
        <w:t xml:space="preserve"> </w:t>
      </w:r>
      <w:r>
        <w:tab/>
        <w:t>The Office will receive an additional EUR 1.3 million to realise the reform.</w:t>
      </w:r>
    </w:p>
  </w:footnote>
  <w:footnote w:id="116">
    <w:p w:rsidR="00323528" w:rsidRDefault="003A3A10">
      <w:pPr>
        <w:pStyle w:val="FootnoteText"/>
      </w:pPr>
      <w:r>
        <w:rPr>
          <w:rStyle w:val="FootnoteReference"/>
        </w:rPr>
        <w:footnoteRef/>
      </w:r>
      <w:r>
        <w:t xml:space="preserve"> </w:t>
      </w:r>
      <w:r>
        <w:tab/>
        <w:t>Cf. GRECO, Fifth Eva</w:t>
      </w:r>
      <w:r>
        <w:t>luation Round – Evaluation Report Slovak Republic (2019), pp. 37-57.</w:t>
      </w:r>
    </w:p>
  </w:footnote>
  <w:footnote w:id="117">
    <w:p w:rsidR="00323528" w:rsidRDefault="003A3A10">
      <w:pPr>
        <w:pStyle w:val="FootnoteText"/>
      </w:pPr>
      <w:r>
        <w:rPr>
          <w:rStyle w:val="FootnoteReference"/>
        </w:rPr>
        <w:footnoteRef/>
      </w:r>
      <w:r>
        <w:t xml:space="preserve"> </w:t>
      </w:r>
      <w:r>
        <w:tab/>
        <w:t>2020 Rule of Law Report, Country Chapter on the rule of law situation in Slovakia, p. 7.</w:t>
      </w:r>
    </w:p>
  </w:footnote>
  <w:footnote w:id="118">
    <w:p w:rsidR="00323528" w:rsidRDefault="003A3A10">
      <w:pPr>
        <w:pStyle w:val="FootnoteText"/>
      </w:pPr>
      <w:r>
        <w:rPr>
          <w:rStyle w:val="FootnoteReference"/>
        </w:rPr>
        <w:footnoteRef/>
      </w:r>
      <w:r>
        <w:t xml:space="preserve"> </w:t>
      </w:r>
      <w:r>
        <w:tab/>
        <w:t>Cf. the Recovery and Resilience Plan of the Slovak Republic.</w:t>
      </w:r>
    </w:p>
  </w:footnote>
  <w:footnote w:id="119">
    <w:p w:rsidR="00323528" w:rsidRDefault="003A3A10">
      <w:pPr>
        <w:pStyle w:val="FootnoteText"/>
      </w:pPr>
      <w:r>
        <w:rPr>
          <w:rStyle w:val="FootnoteReference"/>
        </w:rPr>
        <w:footnoteRef/>
      </w:r>
      <w:r>
        <w:t xml:space="preserve"> </w:t>
      </w:r>
      <w:r>
        <w:tab/>
        <w:t xml:space="preserve">Information received in the </w:t>
      </w:r>
      <w:r>
        <w:t>context of the country visit to Slovakia. See also Section I.</w:t>
      </w:r>
    </w:p>
  </w:footnote>
  <w:footnote w:id="120">
    <w:p w:rsidR="00323528" w:rsidRDefault="003A3A10">
      <w:pPr>
        <w:pStyle w:val="FootnoteText"/>
      </w:pPr>
      <w:r>
        <w:rPr>
          <w:rStyle w:val="FootnoteReference"/>
        </w:rPr>
        <w:footnoteRef/>
      </w:r>
      <w:r>
        <w:t xml:space="preserve"> </w:t>
      </w:r>
      <w:r>
        <w:tab/>
        <w:t>Of the 158 corruption cases initiated, 73 cases were based on giving a bribe, 71 on accepting a bribe, 8 on indirect corruption, 5 on corruption in elections, and 1 case on match-fixing in sp</w:t>
      </w:r>
      <w:r>
        <w:t>orts, according to information received in the context of the country visit to Slovakia.</w:t>
      </w:r>
    </w:p>
  </w:footnote>
  <w:footnote w:id="121">
    <w:p w:rsidR="00323528" w:rsidRDefault="003A3A10">
      <w:pPr>
        <w:pStyle w:val="FootnoteText"/>
        <w:rPr>
          <w:rFonts w:cs="Times New Roman"/>
        </w:rPr>
      </w:pPr>
      <w:r>
        <w:rPr>
          <w:rStyle w:val="FootnoteReference"/>
        </w:rPr>
        <w:footnoteRef/>
      </w:r>
      <w:r>
        <w:t xml:space="preserve"> </w:t>
      </w:r>
      <w:r>
        <w:tab/>
        <w:t>Crimes included in the statistics are passive corruption (section 328), passive corruption – procurement of items of general interest (section 329), active corrupti</w:t>
      </w:r>
      <w:r>
        <w:t>on (section 332), active corruption – procurement of items of general interest (section 333), trading in influence (section 336), electoral bribery (section 336a), sports corruption</w:t>
      </w:r>
      <w:r>
        <w:rPr>
          <w:rFonts w:cs="Times New Roman"/>
        </w:rPr>
        <w:t xml:space="preserve"> (section (336b). Additional input from Slovakia for the 2021 Rule of Law R</w:t>
      </w:r>
      <w:r>
        <w:rPr>
          <w:rFonts w:cs="Times New Roman"/>
        </w:rPr>
        <w:t xml:space="preserve">eport, available at </w:t>
      </w:r>
      <w:hyperlink r:id="rId9" w:history="1">
        <w:r>
          <w:rPr>
            <w:rFonts w:eastAsia="Times New Roman" w:cs="Times New Roman"/>
            <w:color w:val="0563C1" w:themeColor="hyperlink"/>
            <w:u w:val="single"/>
          </w:rPr>
          <w:t>http://web.ac-mssr.sk/wp-content/uploads/2020/rocenka2019/I.-Trestn%C3%A1-agenda_2019_pdf.pdf</w:t>
        </w:r>
      </w:hyperlink>
      <w:r>
        <w:rPr>
          <w:rFonts w:eastAsia="Times New Roman" w:cs="Times New Roman"/>
          <w:color w:val="0563C1" w:themeColor="hyperlink"/>
          <w:u w:val="single"/>
        </w:rPr>
        <w:t>.</w:t>
      </w:r>
      <w:r>
        <w:rPr>
          <w:rFonts w:eastAsia="Times New Roman" w:cs="Times New Roman"/>
          <w:color w:val="0563C1"/>
          <w:u w:val="single"/>
        </w:rPr>
        <w:t xml:space="preserve"> </w:t>
      </w:r>
      <w:r>
        <w:rPr>
          <w:rFonts w:cs="Times New Roman"/>
        </w:rPr>
        <w:t>Furthermore, corruption statist</w:t>
      </w:r>
      <w:r>
        <w:rPr>
          <w:rFonts w:cs="Times New Roman"/>
        </w:rPr>
        <w:t xml:space="preserve">ics are available in the annual reports of the National Crime Agency on the number of criminal investigations and prosecutions and the number of individuals charged with corruption offences. Also the Ministry of Interior publishes monthly crime statistics </w:t>
      </w:r>
      <w:r>
        <w:rPr>
          <w:rFonts w:cs="Times New Roman"/>
        </w:rPr>
        <w:t>online.</w:t>
      </w:r>
    </w:p>
  </w:footnote>
  <w:footnote w:id="122">
    <w:p w:rsidR="00323528" w:rsidRDefault="003A3A10">
      <w:pPr>
        <w:pStyle w:val="FootnoteText"/>
      </w:pPr>
      <w:r>
        <w:rPr>
          <w:rStyle w:val="FootnoteReference"/>
        </w:rPr>
        <w:footnoteRef/>
      </w:r>
      <w:r>
        <w:rPr>
          <w:rStyle w:val="FootnoteReference"/>
        </w:rPr>
        <w:t xml:space="preserve"> </w:t>
      </w:r>
      <w:r>
        <w:tab/>
        <w:t xml:space="preserve">The Slovak Land Fund is in charge of the management of agricultural land under State ownership or land without a known private owner. These parcels cover approximately 20% of all agricultural land in Slovakia and are in majority eligible for EU </w:t>
      </w:r>
      <w:r>
        <w:t xml:space="preserve">direct payments grants. </w:t>
      </w:r>
    </w:p>
  </w:footnote>
  <w:footnote w:id="123">
    <w:p w:rsidR="00323528" w:rsidRDefault="003A3A10">
      <w:pPr>
        <w:pStyle w:val="FootnoteText"/>
      </w:pPr>
      <w:r>
        <w:rPr>
          <w:rStyle w:val="FootnoteReference"/>
        </w:rPr>
        <w:footnoteRef/>
      </w:r>
      <w:r>
        <w:rPr>
          <w:rStyle w:val="FootnoteReference"/>
        </w:rPr>
        <w:t xml:space="preserve"> </w:t>
      </w:r>
      <w:r>
        <w:tab/>
        <w:t>Aktuality.sk (19 March 2021), NAKA again detained financier Kvietik and several people from the Slovak Land Fund.</w:t>
      </w:r>
    </w:p>
  </w:footnote>
  <w:footnote w:id="124">
    <w:p w:rsidR="00323528" w:rsidRDefault="003A3A10">
      <w:pPr>
        <w:pStyle w:val="FootnoteText"/>
      </w:pPr>
      <w:r>
        <w:rPr>
          <w:rStyle w:val="FootnoteReference"/>
        </w:rPr>
        <w:footnoteRef/>
      </w:r>
      <w:r>
        <w:rPr>
          <w:rStyle w:val="FootnoteReference"/>
        </w:rPr>
        <w:t xml:space="preserve"> </w:t>
      </w:r>
      <w:r>
        <w:tab/>
      </w:r>
      <w:r>
        <w:t>﷟</w:t>
      </w:r>
      <w:r>
        <w:t xml:space="preserve">Press Release of the European Anti-Fraud Office (21 January 2021), OLAF closes cases on EU agricultural funds </w:t>
      </w:r>
      <w:r>
        <w:t xml:space="preserve">in Slovakia. </w:t>
      </w:r>
    </w:p>
  </w:footnote>
  <w:footnote w:id="125">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Input from Slovakia for the 2021 Rule of Law Report, p. 25.</w:t>
      </w:r>
    </w:p>
  </w:footnote>
  <w:footnote w:id="126">
    <w:p w:rsidR="00323528" w:rsidRDefault="003A3A10">
      <w:pPr>
        <w:pStyle w:val="FootnoteText"/>
      </w:pPr>
      <w:r>
        <w:rPr>
          <w:rStyle w:val="FootnoteReference"/>
          <w:rFonts w:cs="Times New Roman"/>
        </w:rPr>
        <w:footnoteRef/>
      </w:r>
      <w:r>
        <w:rPr>
          <w:rFonts w:cs="Times New Roman"/>
        </w:rPr>
        <w:t xml:space="preserve"> </w:t>
      </w:r>
      <w:r>
        <w:rPr>
          <w:rFonts w:cs="Times New Roman"/>
        </w:rPr>
        <w:tab/>
        <w:t>In the period from 2016-2019, Slovakia opened an unknown number of investigations, commenced no cases and concluded no cases, according to Transparency International, Exporting</w:t>
      </w:r>
      <w:r>
        <w:rPr>
          <w:rFonts w:cs="Times New Roman"/>
        </w:rPr>
        <w:t xml:space="preserve"> Corruption (2020), p. 102. National provisions on foreign bribery offences have been amended following the recommendations of the OECD, Implementing the OECD Anti-Bribery Convention, Phase 3: Slovak Republic (2012), and the OECD</w:t>
      </w:r>
      <w:r>
        <w:t xml:space="preserve">, Follow-Up to the Phase 3 </w:t>
      </w:r>
      <w:r>
        <w:t>Report and Recommendation: Slovak Republic (2014). For the liability of legal persons with regard to foreign bribery, see OECD, Phase 1bis Report: Slovak Republic (2017). In the course of 2025, the Slovak Republic is scheduled to undergo its Phase 4 review</w:t>
      </w:r>
      <w:r>
        <w:t xml:space="preserve"> on the implementation of the Convention, reviewing the measures taken to address the weaknesses identified in previous evaluations and enforcement efforts.</w:t>
      </w:r>
    </w:p>
  </w:footnote>
  <w:footnote w:id="127">
    <w:p w:rsidR="00323528" w:rsidRDefault="003A3A10">
      <w:pPr>
        <w:pStyle w:val="FootnoteText"/>
      </w:pPr>
      <w:r>
        <w:rPr>
          <w:rStyle w:val="FootnoteReference"/>
        </w:rPr>
        <w:footnoteRef/>
      </w:r>
      <w:r>
        <w:t xml:space="preserve"> </w:t>
      </w:r>
      <w:r>
        <w:tab/>
        <w:t>Input from Slovakia for the 2021 Rule of Law Report, p. 19; 2020 Rule of Law Report, Country Cha</w:t>
      </w:r>
      <w:r>
        <w:t>pter on the rule of law situation in Slovakia, p. 8.</w:t>
      </w:r>
    </w:p>
  </w:footnote>
  <w:footnote w:id="128">
    <w:p w:rsidR="00323528" w:rsidRDefault="003A3A10">
      <w:pPr>
        <w:pStyle w:val="FootnoteText"/>
      </w:pPr>
      <w:r>
        <w:rPr>
          <w:rStyle w:val="FootnoteReference"/>
        </w:rPr>
        <w:footnoteRef/>
      </w:r>
      <w:r>
        <w:t xml:space="preserve"> </w:t>
      </w:r>
      <w:r>
        <w:tab/>
        <w:t>The Office for the Protection of Whistleblowers is established by the legislation Act No. 54/2019 Coll. On Whistleblower Protection in force since March 2019.</w:t>
      </w:r>
    </w:p>
  </w:footnote>
  <w:footnote w:id="129">
    <w:p w:rsidR="00323528" w:rsidRDefault="003A3A10">
      <w:pPr>
        <w:pStyle w:val="FootnoteText"/>
      </w:pPr>
      <w:r>
        <w:rPr>
          <w:rStyle w:val="FootnoteReference"/>
        </w:rPr>
        <w:footnoteRef/>
      </w:r>
      <w:r>
        <w:t xml:space="preserve"> </w:t>
      </w:r>
      <w:r>
        <w:tab/>
      </w:r>
      <w:r>
        <w:rPr>
          <w:rFonts w:cstheme="minorHAnsi"/>
        </w:rPr>
        <w:t>Staffing and running costs will amount</w:t>
      </w:r>
      <w:r>
        <w:rPr>
          <w:rFonts w:cstheme="minorHAnsi"/>
        </w:rPr>
        <w:t xml:space="preserve"> to approximately EUR 1.1 million per year.</w:t>
      </w:r>
    </w:p>
  </w:footnote>
  <w:footnote w:id="130">
    <w:p w:rsidR="00323528" w:rsidRDefault="003A3A10">
      <w:pPr>
        <w:pStyle w:val="FootnoteText"/>
      </w:pPr>
      <w:r>
        <w:rPr>
          <w:rStyle w:val="FootnoteReference"/>
        </w:rPr>
        <w:footnoteRef/>
      </w:r>
      <w:r>
        <w:t xml:space="preserve"> </w:t>
      </w:r>
      <w:r>
        <w:tab/>
        <w:t>Slovakia has a stand-alone whistleblower protection law in place since 2019, Act no. 54/2019 Coll. on Whistleblowers’ Protection.</w:t>
      </w:r>
    </w:p>
  </w:footnote>
  <w:footnote w:id="131">
    <w:p w:rsidR="00323528" w:rsidRDefault="003A3A10">
      <w:pPr>
        <w:pStyle w:val="FootnoteText"/>
      </w:pPr>
      <w:r>
        <w:rPr>
          <w:rStyle w:val="FootnoteReference"/>
        </w:rPr>
        <w:footnoteRef/>
      </w:r>
      <w:r>
        <w:t xml:space="preserve"> </w:t>
      </w:r>
      <w:r>
        <w:tab/>
      </w:r>
      <w:r>
        <w:t xml:space="preserve">Government of the Slovak Republic, Plan of Legislative Tasks of the Government of the Slovak Republic for 2021, </w:t>
      </w:r>
      <w:hyperlink r:id="rId10" w:history="1">
        <w:r>
          <w:rPr>
            <w:rStyle w:val="Hyperlink"/>
          </w:rPr>
          <w:t>https://www.slov-lex.sk</w:t>
        </w:r>
        <w:r>
          <w:rPr>
            <w:rStyle w:val="Hyperlink"/>
          </w:rPr>
          <w:t>/legislativne-procesy?p_p_id=processDetail_WAR_portletsel&amp;p_p_lifecycle=2&amp;p_p_state=normal&amp;p_p_mode=view&amp;p_p_cacheability=cacheLevelPage&amp;p_p_col_id=column-2&amp;p_p_col_count=1&amp;_processDetail_WAR_portletsel_fileCooaddr=COO.2145.1000.3.4201465&amp;_processDetail_WA</w:t>
        </w:r>
        <w:r>
          <w:rPr>
            <w:rStyle w:val="Hyperlink"/>
          </w:rPr>
          <w:t>R_portletsel_file=pl%C3%A1n-2021.pdf&amp;_processDetail_WAR_portletsel_action=getFile</w:t>
        </w:r>
      </w:hyperlink>
      <w:r>
        <w:t>.</w:t>
      </w:r>
    </w:p>
  </w:footnote>
  <w:footnote w:id="132">
    <w:p w:rsidR="00323528" w:rsidRDefault="003A3A10">
      <w:pPr>
        <w:pStyle w:val="FootnoteText"/>
      </w:pPr>
      <w:r>
        <w:rPr>
          <w:rStyle w:val="FootnoteReference"/>
        </w:rPr>
        <w:footnoteRef/>
      </w:r>
      <w:r>
        <w:t xml:space="preserve"> </w:t>
      </w:r>
      <w:r>
        <w:tab/>
        <w:t>Information received from the Government in the context of the country visit to Slovakia.</w:t>
      </w:r>
    </w:p>
  </w:footnote>
  <w:footnote w:id="133">
    <w:p w:rsidR="00323528" w:rsidRDefault="003A3A10">
      <w:pPr>
        <w:pStyle w:val="FootnoteText"/>
      </w:pPr>
      <w:r>
        <w:rPr>
          <w:rStyle w:val="FootnoteReference"/>
        </w:rPr>
        <w:footnoteRef/>
      </w:r>
      <w:r>
        <w:t xml:space="preserve"> </w:t>
      </w:r>
      <w:r>
        <w:tab/>
        <w:t>2020 Rule of Law Report, Country Chapter on the rule of law situation in Slov</w:t>
      </w:r>
      <w:r>
        <w:t>akia, p. 8.</w:t>
      </w:r>
    </w:p>
  </w:footnote>
  <w:footnote w:id="134">
    <w:p w:rsidR="00323528" w:rsidRDefault="003A3A10">
      <w:pPr>
        <w:pStyle w:val="FootnoteText"/>
      </w:pPr>
      <w:r>
        <w:rPr>
          <w:rStyle w:val="FootnoteReference"/>
        </w:rPr>
        <w:footnoteRef/>
      </w:r>
      <w:r>
        <w:t xml:space="preserve"> </w:t>
      </w:r>
      <w:r>
        <w:tab/>
        <w:t>Cf. GRECO, Fourth Evaluation Round, Slovak Republic - Addendum to the Second Compliance Report (2019), para. 8,  and GRECO, Fourth Evaluation Round – Evaluation Report Slovak Republic (2013), para. 25 (with regard to members of the parliamen</w:t>
      </w:r>
      <w:r>
        <w:t>t); GRECO, Fifth Evaluation Round – Evaluation Report, Slovak Republic (2019), para. 89 (with regard to the central government/ top executive functions); GRECO, Fourth Evaluation Round (2019), Addendum to the Second Compliance Report, Slovak Republic.</w:t>
      </w:r>
    </w:p>
  </w:footnote>
  <w:footnote w:id="135">
    <w:p w:rsidR="00323528" w:rsidRDefault="003A3A10">
      <w:pPr>
        <w:pStyle w:val="FootnoteText"/>
      </w:pPr>
      <w:r>
        <w:rPr>
          <w:rStyle w:val="FootnoteReference"/>
        </w:rPr>
        <w:footnoteRef/>
      </w:r>
      <w:r>
        <w:t xml:space="preserve"> </w:t>
      </w:r>
      <w:r>
        <w:tab/>
      </w:r>
      <w:r>
        <w:t>These include among others the strong Freedom of Information Act and the Constitutional Law on Conflicts of Interests No 357/2004 Coll.</w:t>
      </w:r>
    </w:p>
  </w:footnote>
  <w:footnote w:id="136">
    <w:p w:rsidR="00323528" w:rsidRDefault="003A3A10">
      <w:pPr>
        <w:pStyle w:val="FootnoteText"/>
      </w:pPr>
      <w:r>
        <w:rPr>
          <w:rStyle w:val="FootnoteReference"/>
        </w:rPr>
        <w:footnoteRef/>
      </w:r>
      <w:r>
        <w:t xml:space="preserve"> </w:t>
      </w:r>
      <w:r>
        <w:tab/>
        <w:t xml:space="preserve">The Code of Ethics for members of Parliament will be part of the draft law on lobbying of the Government Office. For </w:t>
      </w:r>
      <w:r>
        <w:t>state employees, the 2019 legislative amendments to the Civil Service Act included a state employee Code of Ethics and a system to assess compliance, Decree no. 400/2019 on State Employee Code of Ethics. On the introduction of a Code of Conduct for parliam</w:t>
      </w:r>
      <w:r>
        <w:t>entarians, see also GRECO, Fourth Evaluation Round, Second Addendum to the Second Compliance Report – Slovak Republic (2021).</w:t>
      </w:r>
    </w:p>
  </w:footnote>
  <w:footnote w:id="137">
    <w:p w:rsidR="00323528" w:rsidRDefault="003A3A10">
      <w:pPr>
        <w:pStyle w:val="FootnoteText"/>
      </w:pPr>
      <w:r>
        <w:rPr>
          <w:rStyle w:val="FootnoteReference"/>
        </w:rPr>
        <w:footnoteRef/>
      </w:r>
      <w:r>
        <w:t xml:space="preserve"> </w:t>
      </w:r>
      <w:r>
        <w:tab/>
        <w:t>Input from Slovakia for the 2021 Rule of Law Report, p. 19 and information received from the Corruption Prevention Department o</w:t>
      </w:r>
      <w:r>
        <w:t xml:space="preserve">f the Government in the context of the country visit to Slovakia. So far post-employment rules are included in the Act of Conflict of Interest applying to public officials of executive functions or member of a collective decision-making body but have been </w:t>
      </w:r>
      <w:r>
        <w:t>found to be limited in scope. Cf. GRECO, Fifth Evaluation Round – Evaluation Report Slovak Republic (2019), paras. 127-128.</w:t>
      </w:r>
    </w:p>
  </w:footnote>
  <w:footnote w:id="138">
    <w:p w:rsidR="00323528" w:rsidRDefault="003A3A10">
      <w:pPr>
        <w:pStyle w:val="FootnoteText"/>
      </w:pPr>
      <w:r>
        <w:rPr>
          <w:rStyle w:val="FootnoteReference"/>
        </w:rPr>
        <w:footnoteRef/>
      </w:r>
      <w:r>
        <w:rPr>
          <w:rStyle w:val="FootnoteReference"/>
        </w:rPr>
        <w:t xml:space="preserve"> </w:t>
      </w:r>
      <w:r>
        <w:tab/>
        <w:t>Constitutional Act on the Protection of Public Interest in the Performance of Offices by Public Officials No. 357/2004, as amende</w:t>
      </w:r>
      <w:r>
        <w:t>d by Constitutional Act No. 545/2005. Notably, further comprehensive amendments to this law and, specifically gifts for parliamentarians, are foreseen in the current government programme to address the remaining concern of thresholds vis-à-vis minimum wage</w:t>
      </w:r>
      <w:r>
        <w:t>s. Cf. GRECO, Fourth Evaluation Round: Second Addendum to the Second Compliance Report – Slovak Republic (2021), para. 20-21. See also GRECO, Slovakia: GRECO regrets slow progress in prevention corruption of parliamentarians, judges and prosecutors (2021)</w:t>
      </w:r>
      <w:r>
        <w:rPr>
          <w:rStyle w:val="Hyperlink"/>
          <w:color w:val="auto"/>
          <w:u w:val="none"/>
        </w:rPr>
        <w:t>.</w:t>
      </w:r>
    </w:p>
  </w:footnote>
  <w:footnote w:id="139">
    <w:p w:rsidR="00323528" w:rsidRDefault="003A3A10">
      <w:pPr>
        <w:pStyle w:val="FootnoteText"/>
      </w:pPr>
      <w:r>
        <w:rPr>
          <w:rStyle w:val="FootnoteReference"/>
        </w:rPr>
        <w:footnoteRef/>
      </w:r>
      <w:r>
        <w:t xml:space="preserve"> </w:t>
      </w:r>
      <w:r>
        <w:tab/>
        <w:t>Information received in the context of the country visit to Slovakia. See also 2020 Rule of Law Report, Country Chapter on the rule of law situation in Slovakia, pp. 8-9.</w:t>
      </w:r>
    </w:p>
  </w:footnote>
  <w:footnote w:id="140">
    <w:p w:rsidR="00323528" w:rsidRDefault="003A3A10">
      <w:pPr>
        <w:pStyle w:val="FootnoteText"/>
      </w:pPr>
      <w:r>
        <w:rPr>
          <w:rStyle w:val="FootnoteReference"/>
        </w:rPr>
        <w:footnoteRef/>
      </w:r>
      <w:r>
        <w:t xml:space="preserve"> </w:t>
      </w:r>
      <w:r>
        <w:tab/>
        <w:t>Information received in the context of the country visit to Slovakia. A quarte</w:t>
      </w:r>
      <w:r>
        <w:t>r of parliamentarians (381) had not submitted their asset declarations to the parliamentary committee by January 2021.</w:t>
      </w:r>
    </w:p>
  </w:footnote>
  <w:footnote w:id="141">
    <w:p w:rsidR="00323528" w:rsidRDefault="003A3A10">
      <w:pPr>
        <w:pStyle w:val="FootnoteText"/>
      </w:pPr>
      <w:r>
        <w:rPr>
          <w:rStyle w:val="FootnoteReference"/>
        </w:rPr>
        <w:footnoteRef/>
      </w:r>
      <w:r>
        <w:t xml:space="preserve"> </w:t>
      </w:r>
      <w:r>
        <w:tab/>
        <w:t>Law No. 85 on Political Parties and Movements, 2005 (as amended in 2019).</w:t>
      </w:r>
    </w:p>
  </w:footnote>
  <w:footnote w:id="142">
    <w:p w:rsidR="00323528" w:rsidRDefault="003A3A10">
      <w:pPr>
        <w:pStyle w:val="FootnoteText"/>
      </w:pPr>
      <w:r>
        <w:rPr>
          <w:rStyle w:val="FootnoteReference"/>
        </w:rPr>
        <w:footnoteRef/>
      </w:r>
      <w:r>
        <w:t xml:space="preserve"> </w:t>
      </w:r>
      <w:r>
        <w:tab/>
        <w:t xml:space="preserve">Section 22(5) of the Law No. 85 on Political Parties and </w:t>
      </w:r>
      <w:r>
        <w:t>Movements of 2005 (as amended in 2019).</w:t>
      </w:r>
    </w:p>
  </w:footnote>
  <w:footnote w:id="143">
    <w:p w:rsidR="00323528" w:rsidRDefault="003A3A10">
      <w:pPr>
        <w:pStyle w:val="FootnoteText"/>
      </w:pPr>
      <w:r>
        <w:rPr>
          <w:rStyle w:val="FootnoteReference"/>
        </w:rPr>
        <w:footnoteRef/>
      </w:r>
      <w:r>
        <w:t xml:space="preserve"> </w:t>
      </w:r>
      <w:r>
        <w:tab/>
        <w:t>Information received in the context of the country visit to Slovakia.</w:t>
      </w:r>
    </w:p>
  </w:footnote>
  <w:footnote w:id="144">
    <w:p w:rsidR="00323528" w:rsidRDefault="003A3A10">
      <w:pPr>
        <w:pStyle w:val="FootnoteText"/>
      </w:pPr>
      <w:r>
        <w:rPr>
          <w:rStyle w:val="FootnoteReference"/>
        </w:rPr>
        <w:footnoteRef/>
      </w:r>
      <w:r>
        <w:t xml:space="preserve"> </w:t>
      </w:r>
      <w:r>
        <w:tab/>
        <w:t>Law No. 85 on Political Parties and Movements of 2005 (as amended 2019). The bill limited parties’ income from donations and loans to EUR 3.</w:t>
      </w:r>
      <w:r>
        <w:t xml:space="preserve">5 million for a four year term and capped annual donations from party members at EUR 10,000 each. </w:t>
      </w:r>
    </w:p>
  </w:footnote>
  <w:footnote w:id="145">
    <w:p w:rsidR="00323528" w:rsidRDefault="003A3A10">
      <w:pPr>
        <w:pStyle w:val="FootnoteText"/>
      </w:pPr>
      <w:r>
        <w:rPr>
          <w:rStyle w:val="FootnoteReference"/>
        </w:rPr>
        <w:footnoteRef/>
      </w:r>
      <w:r>
        <w:rPr>
          <w:rStyle w:val="FootnoteReference"/>
        </w:rPr>
        <w:t xml:space="preserve"> </w:t>
      </w:r>
      <w:r>
        <w:tab/>
        <w:t>Information received in the context of the country visit to Slovakia. See also Section I.</w:t>
      </w:r>
    </w:p>
  </w:footnote>
  <w:footnote w:id="146">
    <w:p w:rsidR="00323528" w:rsidRDefault="003A3A10">
      <w:pPr>
        <w:pStyle w:val="FootnoteText"/>
      </w:pPr>
      <w:r>
        <w:rPr>
          <w:rStyle w:val="FootnoteReference"/>
        </w:rPr>
        <w:footnoteRef/>
      </w:r>
      <w:r>
        <w:rPr>
          <w:rStyle w:val="FootnoteReference"/>
        </w:rPr>
        <w:t xml:space="preserve"> </w:t>
      </w:r>
      <w:r>
        <w:tab/>
        <w:t>Information received in the context of the country visit to S</w:t>
      </w:r>
      <w:r>
        <w:t>lovakia.</w:t>
      </w:r>
    </w:p>
  </w:footnote>
  <w:footnote w:id="147">
    <w:p w:rsidR="00323528" w:rsidRDefault="003A3A10">
      <w:pPr>
        <w:pStyle w:val="FootnoteText"/>
      </w:pPr>
      <w:r>
        <w:rPr>
          <w:rStyle w:val="FootnoteReference"/>
        </w:rPr>
        <w:footnoteRef/>
      </w:r>
      <w:r>
        <w:rPr>
          <w:rStyle w:val="FootnoteReference"/>
        </w:rPr>
        <w:t xml:space="preserve"> </w:t>
      </w:r>
      <w:r>
        <w:tab/>
        <w:t xml:space="preserve">The program is available at </w:t>
      </w:r>
      <w:r>
        <w:rPr>
          <w:rStyle w:val="Hyperlink"/>
          <w:rFonts w:cs="Arial"/>
        </w:rPr>
        <w:t>https://www.health.gov.sk/Zdroje?/dokumenty/mzsr/rezortny-protikorupcny-program.rtf.</w:t>
      </w:r>
    </w:p>
  </w:footnote>
  <w:footnote w:id="148">
    <w:p w:rsidR="00323528" w:rsidRDefault="003A3A10">
      <w:pPr>
        <w:pStyle w:val="FootnoteText"/>
      </w:pPr>
      <w:r>
        <w:rPr>
          <w:rStyle w:val="FootnoteReference"/>
        </w:rPr>
        <w:footnoteRef/>
      </w:r>
      <w:r>
        <w:rPr>
          <w:rStyle w:val="FootnoteReference"/>
        </w:rPr>
        <w:t xml:space="preserve"> </w:t>
      </w:r>
      <w:r>
        <w:tab/>
        <w:t>Information received in the context of the country visit to Slovakia.</w:t>
      </w:r>
    </w:p>
  </w:footnote>
  <w:footnote w:id="149">
    <w:p w:rsidR="00323528" w:rsidRDefault="003A3A10">
      <w:pPr>
        <w:pStyle w:val="FootnoteText"/>
      </w:pPr>
      <w:r>
        <w:rPr>
          <w:rStyle w:val="FootnoteReference"/>
        </w:rPr>
        <w:footnoteRef/>
      </w:r>
      <w:r>
        <w:t xml:space="preserve"> </w:t>
      </w:r>
      <w:r>
        <w:tab/>
        <w:t>Deputy Prime Minister of the Slovak Republic, Draft law</w:t>
      </w:r>
      <w:r>
        <w:t xml:space="preserve"> amending Act no. 343/2015 Coll. on Public Procurement and on Amendments to Certain Acts, as amended, </w:t>
      </w:r>
      <w:hyperlink r:id="rId11" w:history="1">
        <w:r>
          <w:rPr>
            <w:rStyle w:val="Hyperlink"/>
          </w:rPr>
          <w:t>https://www.slov-</w:t>
        </w:r>
        <w:r>
          <w:rPr>
            <w:rStyle w:val="Hyperlink"/>
          </w:rPr>
          <w:t>lex.sk/legislativne-procesy?p_p_id=processDetail_WAR_portletsel&amp;p_p_lifecycle=2&amp;p_p_state=normal&amp;p_p_mode=view&amp;p_p_cacheability=cacheLevelPage&amp;p_p_col_id=column-2&amp;p_p_col_count=1&amp;_processDetail_WAR_portletsel_fileCooaddr=COO.2145.1000.3.4149284&amp;_processDet</w:t>
        </w:r>
        <w:r>
          <w:rPr>
            <w:rStyle w:val="Hyperlink"/>
          </w:rPr>
          <w:t>ail_WAR_portletsel_file=03_vlastny_material_zvo_final.docx&amp;_processDetail_WAR_portletsel_action=getFile</w:t>
        </w:r>
      </w:hyperlink>
      <w:r>
        <w:t>.</w:t>
      </w:r>
    </w:p>
  </w:footnote>
  <w:footnote w:id="150">
    <w:p w:rsidR="00323528" w:rsidRDefault="003A3A10">
      <w:pPr>
        <w:pStyle w:val="FootnoteText"/>
      </w:pPr>
      <w:r>
        <w:rPr>
          <w:rStyle w:val="FootnoteReference"/>
        </w:rPr>
        <w:footnoteRef/>
      </w:r>
      <w:r>
        <w:t xml:space="preserve"> </w:t>
      </w:r>
      <w:r>
        <w:tab/>
        <w:t>According to the proposal, the review of the public procurement process would instead be subject to direct court investigation. Objections, for exam</w:t>
      </w:r>
      <w:r>
        <w:t>ple, to tender conditions would have no suspensory effect, if made in court and contracts could be signed before any court ruling be rendered.</w:t>
      </w:r>
    </w:p>
  </w:footnote>
  <w:footnote w:id="151">
    <w:p w:rsidR="00323528" w:rsidRDefault="003A3A10">
      <w:pPr>
        <w:pStyle w:val="FootnoteText"/>
      </w:pPr>
      <w:r>
        <w:rPr>
          <w:rStyle w:val="FootnoteReference"/>
        </w:rPr>
        <w:footnoteRef/>
      </w:r>
      <w:r>
        <w:t xml:space="preserve"> </w:t>
      </w:r>
      <w:r>
        <w:tab/>
        <w:t xml:space="preserve">Transparency International-Slovakia, Information received in the context of the country visit to Slovakia. </w:t>
      </w:r>
    </w:p>
  </w:footnote>
  <w:footnote w:id="152">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Act 211/2000 Coll., Freedom of Information Act.</w:t>
      </w:r>
    </w:p>
  </w:footnote>
  <w:footnote w:id="153">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Act 308/2000 Coll., Broadcasting and Retransmission Act.</w:t>
      </w:r>
    </w:p>
  </w:footnote>
  <w:footnote w:id="154">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Act 167/2008 Coll., Press Act.</w:t>
      </w:r>
    </w:p>
  </w:footnote>
  <w:footnote w:id="155">
    <w:p w:rsidR="00323528" w:rsidRDefault="003A3A10">
      <w:pPr>
        <w:pStyle w:val="FootnoteText"/>
      </w:pPr>
      <w:r>
        <w:rPr>
          <w:rStyle w:val="FootnoteReference"/>
        </w:rPr>
        <w:footnoteRef/>
      </w:r>
      <w:r>
        <w:rPr>
          <w:rStyle w:val="FootnoteReference"/>
        </w:rPr>
        <w:t xml:space="preserve"> </w:t>
      </w:r>
      <w:r>
        <w:rPr>
          <w:rFonts w:cs="Times New Roman"/>
        </w:rPr>
        <w:tab/>
      </w:r>
      <w:r>
        <w:t>Slovakia dropped two places in the Reporters Without Borders World Press Freedom Index, now registering at 35</w:t>
      </w:r>
      <w:r>
        <w:rPr>
          <w:vertAlign w:val="superscript"/>
        </w:rPr>
        <w:t>t</w:t>
      </w:r>
      <w:r>
        <w:rPr>
          <w:vertAlign w:val="superscript"/>
        </w:rPr>
        <w:t>h</w:t>
      </w:r>
      <w:r>
        <w:t xml:space="preserve"> position worldwide and 17</w:t>
      </w:r>
      <w:r>
        <w:rPr>
          <w:vertAlign w:val="superscript"/>
        </w:rPr>
        <w:t>th</w:t>
      </w:r>
      <w:r>
        <w:t xml:space="preserve"> within the EU. This is largely due to politicians’ verbal attacks on journalists and media outlets. </w:t>
      </w:r>
    </w:p>
  </w:footnote>
  <w:footnote w:id="156">
    <w:p w:rsidR="00323528" w:rsidRDefault="003A3A10">
      <w:pPr>
        <w:pStyle w:val="FootnoteText"/>
      </w:pPr>
      <w:r>
        <w:rPr>
          <w:rStyle w:val="FootnoteReference"/>
        </w:rPr>
        <w:footnoteRef/>
      </w:r>
      <w:r>
        <w:rPr>
          <w:rStyle w:val="FootnoteReference"/>
        </w:rPr>
        <w:t xml:space="preserve"> </w:t>
      </w:r>
      <w:r>
        <w:tab/>
        <w:t>Directive (EU) 2018/1808 of 14 November 2018.</w:t>
      </w:r>
    </w:p>
  </w:footnote>
  <w:footnote w:id="157">
    <w:p w:rsidR="00323528" w:rsidRDefault="003A3A10">
      <w:pPr>
        <w:pStyle w:val="FootnoteText"/>
      </w:pPr>
      <w:r>
        <w:rPr>
          <w:rStyle w:val="FootnoteReference"/>
        </w:rPr>
        <w:footnoteRef/>
      </w:r>
      <w:r>
        <w:t xml:space="preserve"> </w:t>
      </w:r>
      <w:r>
        <w:tab/>
        <w:t xml:space="preserve">For further information see the 2020 Rule of Law Report, Country Chapter </w:t>
      </w:r>
      <w:r>
        <w:t>on the rule of law situation in Slovakia, p. 9.</w:t>
      </w:r>
    </w:p>
  </w:footnote>
  <w:footnote w:id="158">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r>
      <w:r>
        <w:t>Information received in the context of the country visit to Slovakia</w:t>
      </w:r>
      <w:r>
        <w:rPr>
          <w:rFonts w:cs="Times New Roman"/>
        </w:rPr>
        <w:t>.</w:t>
      </w:r>
    </w:p>
  </w:footnote>
  <w:footnote w:id="159">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The Council has nine members, who are elected and removed by the National Council of the Slovak Republic (the Parliament).</w:t>
      </w:r>
    </w:p>
  </w:footnote>
  <w:footnote w:id="160">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2021 M</w:t>
      </w:r>
      <w:r>
        <w:rPr>
          <w:rFonts w:cs="Times New Roman"/>
        </w:rPr>
        <w:t>edia Pluralism Monitor, report on Slovakia, p. 10.</w:t>
      </w:r>
    </w:p>
  </w:footnote>
  <w:footnote w:id="161">
    <w:p w:rsidR="00323528" w:rsidRDefault="003A3A10">
      <w:pPr>
        <w:pStyle w:val="FootnoteText"/>
      </w:pPr>
      <w:r>
        <w:rPr>
          <w:rStyle w:val="FootnoteReference"/>
        </w:rPr>
        <w:footnoteRef/>
      </w:r>
      <w:r>
        <w:t xml:space="preserve"> </w:t>
      </w:r>
      <w:r>
        <w:tab/>
        <w:t>Input from Slovakia for the 2021 Rule of Law Report, p. 26; information received in the context of the country visit to Slovakia.</w:t>
      </w:r>
    </w:p>
  </w:footnote>
  <w:footnote w:id="162">
    <w:p w:rsidR="00323528" w:rsidRDefault="003A3A10">
      <w:pPr>
        <w:pStyle w:val="FootnoteText"/>
      </w:pPr>
      <w:r>
        <w:rPr>
          <w:rStyle w:val="FootnoteReference"/>
        </w:rPr>
        <w:footnoteRef/>
      </w:r>
      <w:r>
        <w:t xml:space="preserve"> </w:t>
      </w:r>
      <w:r>
        <w:tab/>
        <w:t>2020 Rule of Law Report, Country Chapter on the rule of law situation</w:t>
      </w:r>
      <w:r>
        <w:t xml:space="preserve"> in Slovakia, p. 9.</w:t>
      </w:r>
    </w:p>
  </w:footnote>
  <w:footnote w:id="163">
    <w:p w:rsidR="00323528" w:rsidRDefault="003A3A10">
      <w:pPr>
        <w:pStyle w:val="FootnoteText"/>
      </w:pPr>
      <w:r>
        <w:rPr>
          <w:rStyle w:val="FootnoteReference"/>
        </w:rPr>
        <w:footnoteRef/>
      </w:r>
      <w:r>
        <w:t xml:space="preserve"> </w:t>
      </w:r>
      <w:r>
        <w:tab/>
        <w:t>2021 Media Pluralism Monitor, report on Slovakia, pp. 11-12.</w:t>
      </w:r>
    </w:p>
  </w:footnote>
  <w:footnote w:id="164">
    <w:p w:rsidR="00323528" w:rsidRDefault="003A3A10">
      <w:pPr>
        <w:pStyle w:val="FootnoteText"/>
      </w:pPr>
      <w:r>
        <w:rPr>
          <w:rStyle w:val="FootnoteReference"/>
        </w:rPr>
        <w:footnoteRef/>
      </w:r>
      <w:r>
        <w:rPr>
          <w:rStyle w:val="FootnoteReference"/>
        </w:rPr>
        <w:t xml:space="preserve"> </w:t>
      </w:r>
      <w:r>
        <w:tab/>
      </w:r>
      <w:r>
        <w:rPr>
          <w:lang w:val="sv-SE"/>
        </w:rPr>
        <w:t>2021 Media Pluralism Monitor, report on Slovakia</w:t>
      </w:r>
      <w:r>
        <w:t xml:space="preserve">, p. 12. </w:t>
      </w:r>
    </w:p>
  </w:footnote>
  <w:footnote w:id="165">
    <w:p w:rsidR="00323528" w:rsidRDefault="003A3A10">
      <w:pPr>
        <w:pStyle w:val="FootnoteText"/>
      </w:pPr>
      <w:r>
        <w:rPr>
          <w:rStyle w:val="FootnoteReference"/>
        </w:rPr>
        <w:footnoteRef/>
      </w:r>
      <w:r>
        <w:rPr>
          <w:rStyle w:val="FootnoteReference"/>
        </w:rPr>
        <w:t xml:space="preserve"> </w:t>
      </w:r>
      <w:r>
        <w:tab/>
      </w:r>
      <w:r>
        <w:t xml:space="preserve">The Media Freedom Rapid Response Platform called the acquittal a travesty of justice and welcomed the public prosecutor’s decision to appeal the case. </w:t>
      </w:r>
    </w:p>
  </w:footnote>
  <w:footnote w:id="166">
    <w:p w:rsidR="00323528" w:rsidRDefault="003A3A10">
      <w:pPr>
        <w:pStyle w:val="FootnoteText"/>
      </w:pPr>
      <w:r>
        <w:rPr>
          <w:rStyle w:val="FootnoteReference"/>
        </w:rPr>
        <w:footnoteRef/>
      </w:r>
      <w:r>
        <w:t xml:space="preserve"> Information received from Slovak authorities.</w:t>
      </w:r>
    </w:p>
  </w:footnote>
  <w:footnote w:id="167">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Council of Europe, Platform to promote the protection</w:t>
      </w:r>
      <w:r>
        <w:rPr>
          <w:rFonts w:cs="Times New Roman"/>
        </w:rPr>
        <w:t xml:space="preserve"> of journalism and safety of journalists. </w:t>
      </w:r>
    </w:p>
  </w:footnote>
  <w:footnote w:id="168">
    <w:p w:rsidR="00323528" w:rsidRDefault="003A3A10">
      <w:pPr>
        <w:pStyle w:val="FootnoteText"/>
      </w:pPr>
      <w:r>
        <w:rPr>
          <w:rStyle w:val="FootnoteReference"/>
        </w:rPr>
        <w:footnoteRef/>
      </w:r>
      <w:r>
        <w:t xml:space="preserve"> </w:t>
      </w:r>
      <w:r>
        <w:tab/>
        <w:t xml:space="preserve">Slovakia replied to this alert stating that a police investigation had been promptly opened into the case. </w:t>
      </w:r>
    </w:p>
  </w:footnote>
  <w:footnote w:id="169">
    <w:p w:rsidR="00323528" w:rsidRDefault="003A3A10">
      <w:pPr>
        <w:pStyle w:val="FootnoteText"/>
      </w:pPr>
      <w:r>
        <w:rPr>
          <w:rStyle w:val="FootnoteReference"/>
        </w:rPr>
        <w:footnoteRef/>
      </w:r>
      <w:r>
        <w:t xml:space="preserve"> </w:t>
      </w:r>
      <w:r>
        <w:tab/>
        <w:t xml:space="preserve">Scheduled for adoption by the end of 2021. Information provided during the country visit, 22 April </w:t>
      </w:r>
      <w:r>
        <w:t>2021.</w:t>
      </w:r>
    </w:p>
  </w:footnote>
  <w:footnote w:id="170">
    <w:p w:rsidR="00323528" w:rsidRDefault="003A3A10">
      <w:pPr>
        <w:pStyle w:val="FootnoteText"/>
      </w:pPr>
      <w:r>
        <w:rPr>
          <w:rStyle w:val="FootnoteReference"/>
        </w:rPr>
        <w:footnoteRef/>
      </w:r>
      <w:r>
        <w:t xml:space="preserve"> </w:t>
      </w:r>
      <w:r>
        <w:tab/>
        <w:t>According to the Slovak authorities, journalists were eligible to apply for financial support under the existing scheme geared at the cultural and the creative sectors.</w:t>
      </w:r>
    </w:p>
  </w:footnote>
  <w:footnote w:id="171">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Article 72 of the Slovak Constitution.</w:t>
      </w:r>
    </w:p>
  </w:footnote>
  <w:footnote w:id="172">
    <w:p w:rsidR="00323528" w:rsidRDefault="003A3A10">
      <w:pPr>
        <w:pStyle w:val="FootnoteText"/>
        <w:rPr>
          <w:rFonts w:cs="Times New Roman"/>
        </w:rPr>
      </w:pPr>
      <w:r>
        <w:rPr>
          <w:rStyle w:val="FootnoteReference"/>
          <w:rFonts w:cs="Times New Roman"/>
        </w:rPr>
        <w:footnoteRef/>
      </w:r>
      <w:r>
        <w:rPr>
          <w:rFonts w:cs="Times New Roman"/>
        </w:rPr>
        <w:t xml:space="preserve"> </w:t>
      </w:r>
      <w:r>
        <w:rPr>
          <w:rFonts w:cs="Times New Roman"/>
        </w:rPr>
        <w:tab/>
        <w:t>Article 87 of the Slovak Constitu</w:t>
      </w:r>
      <w:r>
        <w:rPr>
          <w:rFonts w:cs="Times New Roman"/>
        </w:rPr>
        <w:t>tion.</w:t>
      </w:r>
    </w:p>
  </w:footnote>
  <w:footnote w:id="173">
    <w:p w:rsidR="00323528" w:rsidRDefault="003A3A10">
      <w:pPr>
        <w:pStyle w:val="FootnoteText"/>
      </w:pPr>
      <w:r>
        <w:rPr>
          <w:rStyle w:val="FootnoteReference"/>
        </w:rPr>
        <w:footnoteRef/>
      </w:r>
      <w:r>
        <w:t xml:space="preserve"> </w:t>
      </w:r>
      <w:r>
        <w:tab/>
        <w:t>The draft reform was presented to the President of the Judicial Council, President of the Supreme Court, President of the Constitutional Court, the General Prosecutor's Office, the Ombudsman, and representatives of legal organisations.</w:t>
      </w:r>
    </w:p>
  </w:footnote>
  <w:footnote w:id="174">
    <w:p w:rsidR="00323528" w:rsidRDefault="003A3A10">
      <w:pPr>
        <w:pStyle w:val="FootnoteText"/>
      </w:pPr>
      <w:r>
        <w:rPr>
          <w:rStyle w:val="FootnoteReference"/>
        </w:rPr>
        <w:footnoteRef/>
      </w:r>
      <w:r>
        <w:t xml:space="preserve"> </w:t>
      </w:r>
      <w:r>
        <w:tab/>
        <w:t>Stakehol</w:t>
      </w:r>
      <w:r>
        <w:t>ders were given the opportunity to comment on the draft in the course of written public consultations lasted 15 working days during summer holiday. The length and timing of the public consultation was also subject to criticism from stakeholders. See commen</w:t>
      </w:r>
      <w:r>
        <w:t>ts submitted in the course of public consultation from the Public Prosecutor’s Office, La Faculty of the Comenius University in Bratislava, the Slovak Bar Association, the Judicial Council, available at https://www.slov-lex.sk/legislativne-procesy/SK/LP/20</w:t>
      </w:r>
      <w:r>
        <w:t xml:space="preserve">20/267; Open call of Slovak lawyers, accessible at </w:t>
      </w:r>
      <w:hyperlink r:id="rId12" w:history="1">
        <w:r>
          <w:rPr>
            <w:rStyle w:val="Hyperlink"/>
          </w:rPr>
          <w:t>https://pravnystat.eu/en/</w:t>
        </w:r>
      </w:hyperlink>
      <w:r>
        <w:t xml:space="preserve"> and submitted as a contribution into the stakeholder consultation for the 2021 Rule of Law Report.</w:t>
      </w:r>
    </w:p>
  </w:footnote>
  <w:footnote w:id="175">
    <w:p w:rsidR="00323528" w:rsidRDefault="003A3A10">
      <w:pPr>
        <w:pStyle w:val="FootnoteText"/>
      </w:pPr>
      <w:r>
        <w:rPr>
          <w:rStyle w:val="FootnoteReference"/>
        </w:rPr>
        <w:footnoteRef/>
      </w:r>
      <w:r>
        <w:t xml:space="preserve"> </w:t>
      </w:r>
      <w:r>
        <w:tab/>
        <w:t xml:space="preserve">Venice Commission (19 January </w:t>
      </w:r>
      <w:r>
        <w:t>2010), Report on Constitutional Amendment, CDL-AD(2010)001, para. 205; Venice Commission, Second interim opinion on constitutional reforms in the Republic of Armenia, CDL-AD(2005)016, para. 31.</w:t>
      </w:r>
    </w:p>
  </w:footnote>
  <w:footnote w:id="176">
    <w:p w:rsidR="00323528" w:rsidRDefault="003A3A10">
      <w:pPr>
        <w:pStyle w:val="FootnoteText"/>
      </w:pPr>
      <w:r>
        <w:rPr>
          <w:rStyle w:val="FootnoteReference"/>
        </w:rPr>
        <w:footnoteRef/>
      </w:r>
      <w:r>
        <w:t xml:space="preserve"> </w:t>
      </w:r>
      <w:r>
        <w:tab/>
        <w:t>Contribution from Via Iuris (Civil Liberties Union) for the</w:t>
      </w:r>
      <w:r>
        <w:t xml:space="preserve"> 2021 Rule of Law Report, p. 19; contribution from the ENNHRI for the 2021 Rule of Law Report, p. 293.</w:t>
      </w:r>
    </w:p>
  </w:footnote>
  <w:footnote w:id="177">
    <w:p w:rsidR="00323528" w:rsidRDefault="003A3A10">
      <w:pPr>
        <w:pStyle w:val="FootnoteText"/>
      </w:pPr>
      <w:r>
        <w:rPr>
          <w:rStyle w:val="FootnoteReference"/>
        </w:rPr>
        <w:footnoteRef/>
      </w:r>
      <w:r>
        <w:t xml:space="preserve"> </w:t>
      </w:r>
      <w:r>
        <w:tab/>
        <w:t>Contribution from the ENNHRI for the 2021 Rule of Law Report, p. 298; Contribution from the Slovak Bar Association for the 2021 Rule of Law Report, p.</w:t>
      </w:r>
      <w:r>
        <w:t xml:space="preserve"> 3; information received in the context of country visit to Slovakia.</w:t>
      </w:r>
    </w:p>
  </w:footnote>
  <w:footnote w:id="178">
    <w:p w:rsidR="00323528" w:rsidRDefault="003A3A10">
      <w:pPr>
        <w:pStyle w:val="FootnoteText"/>
      </w:pPr>
      <w:r>
        <w:rPr>
          <w:rStyle w:val="FootnoteReference"/>
        </w:rPr>
        <w:footnoteRef/>
      </w:r>
      <w:r>
        <w:t xml:space="preserve"> </w:t>
      </w:r>
      <w:r>
        <w:tab/>
        <w:t>2020 Rule of Law Report, Country Chapter on the rule of law situation in Slovakia, pp. 11-13.</w:t>
      </w:r>
    </w:p>
  </w:footnote>
  <w:footnote w:id="179">
    <w:p w:rsidR="00323528" w:rsidRDefault="003A3A10">
      <w:pPr>
        <w:pStyle w:val="FootnoteText"/>
      </w:pPr>
      <w:r>
        <w:rPr>
          <w:rStyle w:val="FootnoteReference"/>
        </w:rPr>
        <w:footnoteRef/>
      </w:r>
      <w:r>
        <w:t xml:space="preserve"> </w:t>
      </w:r>
      <w:r>
        <w:tab/>
        <w:t>Program Statement of the Government of the Slovak Republic for 2020-2024 of 19 April 2</w:t>
      </w:r>
      <w:r>
        <w:t xml:space="preserve">020. </w:t>
      </w:r>
    </w:p>
  </w:footnote>
  <w:footnote w:id="180">
    <w:p w:rsidR="00323528" w:rsidRDefault="003A3A10">
      <w:pPr>
        <w:pStyle w:val="FootnoteText"/>
      </w:pPr>
      <w:r>
        <w:rPr>
          <w:rStyle w:val="FootnoteReference"/>
        </w:rPr>
        <w:footnoteRef/>
      </w:r>
      <w:r>
        <w:t xml:space="preserve"> </w:t>
      </w:r>
      <w:r>
        <w:tab/>
        <w:t xml:space="preserve">Program Statement of the Government of the Slovak Republic for 2021 – 2024, pp. 13-17. </w:t>
      </w:r>
    </w:p>
  </w:footnote>
  <w:footnote w:id="181">
    <w:p w:rsidR="00323528" w:rsidRDefault="003A3A10">
      <w:pPr>
        <w:pStyle w:val="FootnoteText"/>
      </w:pPr>
      <w:r>
        <w:rPr>
          <w:rStyle w:val="FootnoteReference"/>
        </w:rPr>
        <w:footnoteRef/>
      </w:r>
      <w:r>
        <w:t xml:space="preserve"> </w:t>
      </w:r>
      <w:r>
        <w:tab/>
      </w:r>
      <w:r>
        <w:rPr>
          <w:bCs/>
          <w:lang w:val="en"/>
        </w:rPr>
        <w:t>Bill No. PI/2020/146 amending Act no. 211/2000 Coll. on Free Access to Information and on Amendments to Certain Acts (Freedom of Information Act), as amende</w:t>
      </w:r>
      <w:r>
        <w:rPr>
          <w:bCs/>
          <w:lang w:val="en"/>
        </w:rPr>
        <w:t>d, and Amending Certain Acts</w:t>
      </w:r>
      <w:r>
        <w:rPr>
          <w:bCs/>
        </w:rPr>
        <w:t xml:space="preserve">. </w:t>
      </w:r>
    </w:p>
  </w:footnote>
  <w:footnote w:id="182">
    <w:p w:rsidR="00323528" w:rsidRDefault="003A3A10">
      <w:pPr>
        <w:pStyle w:val="FootnoteText"/>
      </w:pPr>
      <w:r>
        <w:rPr>
          <w:rStyle w:val="FootnoteReference"/>
        </w:rPr>
        <w:footnoteRef/>
      </w:r>
      <w:r>
        <w:t xml:space="preserve"> </w:t>
      </w:r>
      <w:r>
        <w:tab/>
        <w:t>See the judgment of 30 January 2019 in case  Pl ÚS 21/2014-96. The change is a reaction to this judgment, information received in the context of a follow-up meeting to the 2020 Rule of Law Report.</w:t>
      </w:r>
    </w:p>
  </w:footnote>
  <w:footnote w:id="183">
    <w:p w:rsidR="00323528" w:rsidRDefault="003A3A10">
      <w:pPr>
        <w:pStyle w:val="FootnoteText"/>
      </w:pPr>
      <w:r>
        <w:rPr>
          <w:rStyle w:val="FootnoteReference"/>
        </w:rPr>
        <w:footnoteRef/>
      </w:r>
      <w:r>
        <w:t xml:space="preserve"> </w:t>
      </w:r>
      <w:r>
        <w:tab/>
        <w:t>Open call of Slovak la</w:t>
      </w:r>
      <w:r>
        <w:t xml:space="preserve">wyers, accessible at </w:t>
      </w:r>
      <w:hyperlink r:id="rId13" w:history="1">
        <w:r>
          <w:rPr>
            <w:rStyle w:val="Hyperlink"/>
          </w:rPr>
          <w:t>https://pravnystat.eu/en/</w:t>
        </w:r>
      </w:hyperlink>
      <w:r>
        <w:t xml:space="preserve"> and submitted as a contribution into the stakeholder consultation for the 2021 Rule of Law Report, para. 1; see also the statement of the President of the Constitution</w:t>
      </w:r>
      <w:r>
        <w:t xml:space="preserve">al Court of 3 December 2020 in the Parliament, in which he expressed concerns about the change and asked the Members of the Parliament to further reflect on this point, available at </w:t>
      </w:r>
      <w:hyperlink r:id="rId14" w:history="1">
        <w:r>
          <w:rPr>
            <w:rStyle w:val="Hyperlink"/>
          </w:rPr>
          <w:t>https://tv.nrsr.sk/videokanaly/osoba/8/Ivan.Fiacan?id=233541</w:t>
        </w:r>
      </w:hyperlink>
      <w:r>
        <w:t>.</w:t>
      </w:r>
    </w:p>
  </w:footnote>
  <w:footnote w:id="184">
    <w:p w:rsidR="00323528" w:rsidRDefault="003A3A10">
      <w:pPr>
        <w:pStyle w:val="FootnoteText"/>
      </w:pPr>
      <w:r>
        <w:rPr>
          <w:rStyle w:val="FootnoteReference"/>
        </w:rPr>
        <w:footnoteRef/>
      </w:r>
      <w:r>
        <w:t xml:space="preserve"> </w:t>
      </w:r>
      <w:r>
        <w:tab/>
        <w:t>File No. 2879/2020.</w:t>
      </w:r>
    </w:p>
  </w:footnote>
  <w:footnote w:id="185">
    <w:p w:rsidR="00323528" w:rsidRDefault="003A3A10">
      <w:pPr>
        <w:pStyle w:val="FootnoteText"/>
      </w:pPr>
      <w:r>
        <w:rPr>
          <w:rStyle w:val="FootnoteReference"/>
        </w:rPr>
        <w:footnoteRef/>
      </w:r>
      <w:r>
        <w:t xml:space="preserve"> </w:t>
      </w:r>
      <w:r>
        <w:tab/>
      </w:r>
      <w:r>
        <w:rPr>
          <w:rFonts w:eastAsia="Times New Roman" w:cs="Times New Roman"/>
          <w:lang w:eastAsia="fr-FR"/>
        </w:rPr>
        <w:t>Members of the Parliament were allowed to attend sessions in person, e</w:t>
      </w:r>
      <w:r>
        <w:t xml:space="preserve">xcept for members who were obliged to self-isolate pursuant to COVID-19 related measures. Some </w:t>
      </w:r>
      <w:r>
        <w:t>meetings took place in a hybrid form, firm several Members of the Parliament present in person and some via videoconference. Input from Slovakia for the 2021 Rule of Law Report, p. 37.</w:t>
      </w:r>
    </w:p>
  </w:footnote>
  <w:footnote w:id="186">
    <w:p w:rsidR="00323528" w:rsidRDefault="003A3A10">
      <w:pPr>
        <w:pStyle w:val="FootnoteText"/>
      </w:pPr>
      <w:r>
        <w:rPr>
          <w:rStyle w:val="FootnoteReference"/>
        </w:rPr>
        <w:footnoteRef/>
      </w:r>
      <w:r>
        <w:t xml:space="preserve"> </w:t>
      </w:r>
      <w:r>
        <w:tab/>
        <w:t>Art. 5(3) of the Act 227/2002 on the Security of the State.</w:t>
      </w:r>
    </w:p>
  </w:footnote>
  <w:footnote w:id="187">
    <w:p w:rsidR="00323528" w:rsidRDefault="003A3A10">
      <w:pPr>
        <w:pStyle w:val="FootnoteText"/>
      </w:pPr>
      <w:r>
        <w:rPr>
          <w:rStyle w:val="FootnoteReference"/>
        </w:rPr>
        <w:footnoteRef/>
      </w:r>
      <w:r>
        <w:t xml:space="preserve"> </w:t>
      </w:r>
      <w:r>
        <w:tab/>
        <w:t xml:space="preserve">Art. </w:t>
      </w:r>
      <w:r>
        <w:t>5(1) of the Act 227/2002 on the Security of the State.</w:t>
      </w:r>
    </w:p>
  </w:footnote>
  <w:footnote w:id="188">
    <w:p w:rsidR="00323528" w:rsidRDefault="003A3A10">
      <w:pPr>
        <w:pStyle w:val="FootnoteText"/>
      </w:pPr>
      <w:r>
        <w:rPr>
          <w:rStyle w:val="FootnoteReference"/>
        </w:rPr>
        <w:footnoteRef/>
      </w:r>
      <w:r>
        <w:t xml:space="preserve"> </w:t>
      </w:r>
      <w:r>
        <w:tab/>
        <w:t>2020 Rule of Law Report, Country Chapter on the rule of law situation in Slovakia, p. 12.</w:t>
      </w:r>
    </w:p>
  </w:footnote>
  <w:footnote w:id="189">
    <w:p w:rsidR="00323528" w:rsidRDefault="003A3A10">
      <w:pPr>
        <w:pStyle w:val="FootnoteText"/>
      </w:pPr>
      <w:r>
        <w:rPr>
          <w:rStyle w:val="FootnoteReference"/>
        </w:rPr>
        <w:footnoteRef/>
      </w:r>
      <w:r>
        <w:t xml:space="preserve"> </w:t>
      </w:r>
      <w:r>
        <w:tab/>
        <w:t>Art. 5(2) of the Act 227/2002 on the Security of the State. The Parliament must approve the extension wit</w:t>
      </w:r>
      <w:r>
        <w:t xml:space="preserve">hin 20 days from its entry into effect, otherwise the stay of emergency ceases to exist. The extension is only allowed if the state of emergency has been declared in the context of a pandemic. See also the contribution from the ENNHRI for the 2021 Rule of </w:t>
      </w:r>
      <w:r>
        <w:t xml:space="preserve">Law Report, pp. 296-297. </w:t>
      </w:r>
    </w:p>
  </w:footnote>
  <w:footnote w:id="190">
    <w:p w:rsidR="00323528" w:rsidRDefault="003A3A10">
      <w:pPr>
        <w:pStyle w:val="FootnoteText"/>
      </w:pPr>
      <w:r>
        <w:rPr>
          <w:rStyle w:val="FootnoteReference"/>
        </w:rPr>
        <w:footnoteRef/>
      </w:r>
      <w:r>
        <w:t xml:space="preserve"> </w:t>
      </w:r>
      <w:r>
        <w:tab/>
        <w:t xml:space="preserve">Art. 129(6) of the Constitution. </w:t>
      </w:r>
    </w:p>
  </w:footnote>
  <w:footnote w:id="191">
    <w:p w:rsidR="00323528" w:rsidRDefault="003A3A10">
      <w:pPr>
        <w:pStyle w:val="FootnoteText"/>
      </w:pPr>
      <w:r>
        <w:rPr>
          <w:rStyle w:val="FootnoteReference"/>
        </w:rPr>
        <w:footnoteRef/>
      </w:r>
      <w:r>
        <w:t xml:space="preserve"> </w:t>
      </w:r>
      <w:r>
        <w:tab/>
        <w:t>The petition must be filed within five days from the declaration / extension and the Court must decide within 10 days from the initiation of the proceedings. Secs. 193 and 195 of Act 314/200</w:t>
      </w:r>
      <w:r>
        <w:t>2 on the Constitutional court. Information received in the context of country visit to Slovakia.</w:t>
      </w:r>
    </w:p>
  </w:footnote>
  <w:footnote w:id="192">
    <w:p w:rsidR="00323528" w:rsidRDefault="003A3A10">
      <w:pPr>
        <w:pStyle w:val="FootnoteText"/>
      </w:pPr>
      <w:r>
        <w:rPr>
          <w:rStyle w:val="FootnoteReference"/>
        </w:rPr>
        <w:footnoteRef/>
      </w:r>
      <w:r>
        <w:t xml:space="preserve"> </w:t>
      </w:r>
      <w:r>
        <w:tab/>
        <w:t>Judgment of the Constitutional Court of 14 October 2020 Pl ÚS 22/2020, Judgment of the Constitutional Court of 31 March 2021 Pl ÚS 2/2021.</w:t>
      </w:r>
    </w:p>
  </w:footnote>
  <w:footnote w:id="193">
    <w:p w:rsidR="00323528" w:rsidRDefault="003A3A10">
      <w:pPr>
        <w:pStyle w:val="FootnoteText"/>
      </w:pPr>
      <w:r>
        <w:rPr>
          <w:rStyle w:val="FootnoteReference"/>
        </w:rPr>
        <w:footnoteRef/>
      </w:r>
      <w:r>
        <w:t xml:space="preserve"> </w:t>
      </w:r>
      <w:r>
        <w:tab/>
        <w:t xml:space="preserve">Amendment of </w:t>
      </w:r>
      <w:r>
        <w:t>Act 355/2007.</w:t>
      </w:r>
    </w:p>
  </w:footnote>
  <w:footnote w:id="194">
    <w:p w:rsidR="00323528" w:rsidRDefault="003A3A10">
      <w:pPr>
        <w:pStyle w:val="FootnoteText"/>
      </w:pPr>
      <w:r>
        <w:rPr>
          <w:rStyle w:val="FootnoteReference"/>
        </w:rPr>
        <w:footnoteRef/>
      </w:r>
      <w:r>
        <w:t xml:space="preserve"> </w:t>
      </w:r>
      <w:r>
        <w:tab/>
        <w:t>Submission by the Public Defender of Rights to the Constitutional Court of 10 February 2021, file No. 268/2021, pp. 26-35.</w:t>
      </w:r>
    </w:p>
  </w:footnote>
  <w:footnote w:id="195">
    <w:p w:rsidR="00323528" w:rsidRDefault="003A3A10">
      <w:pPr>
        <w:pStyle w:val="FootnoteText"/>
      </w:pPr>
      <w:r>
        <w:rPr>
          <w:rStyle w:val="FootnoteReference"/>
        </w:rPr>
        <w:footnoteRef/>
      </w:r>
      <w:r>
        <w:t xml:space="preserve"> </w:t>
      </w:r>
      <w:r>
        <w:tab/>
        <w:t>2020 Rule of Law Report, Country Chapter on the rule of law situation in Slovakia, pp. 12-13.</w:t>
      </w:r>
    </w:p>
  </w:footnote>
  <w:footnote w:id="196">
    <w:p w:rsidR="00323528" w:rsidRDefault="003A3A10">
      <w:pPr>
        <w:pStyle w:val="FootnoteText"/>
      </w:pPr>
      <w:r>
        <w:rPr>
          <w:rStyle w:val="FootnoteReference"/>
        </w:rPr>
        <w:footnoteRef/>
      </w:r>
      <w:r>
        <w:t xml:space="preserve"> </w:t>
      </w:r>
      <w:r>
        <w:tab/>
        <w:t>Information rece</w:t>
      </w:r>
      <w:r>
        <w:t>ived in the context of the country visit to Slovakia.</w:t>
      </w:r>
    </w:p>
  </w:footnote>
  <w:footnote w:id="197">
    <w:p w:rsidR="00323528" w:rsidRDefault="003A3A10">
      <w:pPr>
        <w:pStyle w:val="FootnoteText"/>
      </w:pPr>
      <w:r>
        <w:rPr>
          <w:rStyle w:val="FootnoteReference"/>
        </w:rPr>
        <w:footnoteRef/>
      </w:r>
      <w:r>
        <w:t xml:space="preserve"> </w:t>
      </w:r>
      <w:r>
        <w:tab/>
        <w:t xml:space="preserve">Information received in the context of the country visit to Slovakia. </w:t>
      </w:r>
    </w:p>
  </w:footnote>
  <w:footnote w:id="198">
    <w:p w:rsidR="00323528" w:rsidRDefault="003A3A10">
      <w:pPr>
        <w:pStyle w:val="FootnoteText"/>
      </w:pPr>
      <w:r>
        <w:rPr>
          <w:rStyle w:val="FootnoteReference"/>
        </w:rPr>
        <w:footnoteRef/>
      </w:r>
      <w:r>
        <w:t xml:space="preserve"> </w:t>
      </w:r>
      <w:r>
        <w:tab/>
        <w:t>Annual report on the activities of the Public Defender of Rights (2020), the Report was subject to a discussion and voting in</w:t>
      </w:r>
      <w:r>
        <w:t xml:space="preserve"> the Parliament on 7 May 2021, which resulted in non-acknowledgement of the Report; information received in the context of country visit to Slovakia; Annual report on compliance with human rights of the Slovak National Center for Human Rights; contribution</w:t>
      </w:r>
      <w:r>
        <w:t xml:space="preserve"> from the ENNHRI for the 2021 Rule of Law Report, pp. 309-312.</w:t>
      </w:r>
    </w:p>
  </w:footnote>
  <w:footnote w:id="199">
    <w:p w:rsidR="00323528" w:rsidRDefault="003A3A10">
      <w:pPr>
        <w:pStyle w:val="FootnoteText"/>
      </w:pPr>
      <w:r>
        <w:rPr>
          <w:rStyle w:val="FootnoteReference"/>
        </w:rPr>
        <w:footnoteRef/>
      </w:r>
      <w:r>
        <w:t xml:space="preserve"> </w:t>
      </w:r>
      <w:r>
        <w:tab/>
        <w:t>2020 Rule of Law Report, Country Chapter on the rule of law situation in Slovakia, p. 14.</w:t>
      </w:r>
    </w:p>
  </w:footnote>
  <w:footnote w:id="200">
    <w:p w:rsidR="00323528" w:rsidRDefault="003A3A10">
      <w:pPr>
        <w:pStyle w:val="FootnoteText"/>
      </w:pPr>
      <w:r>
        <w:rPr>
          <w:rStyle w:val="FootnoteReference"/>
        </w:rPr>
        <w:footnoteRef/>
      </w:r>
      <w:r>
        <w:t xml:space="preserve"> </w:t>
      </w:r>
      <w:r>
        <w:tab/>
        <w:t xml:space="preserve">Program Statement of the Government of the Slovak Republic for 2021 – 2024, pp. 16-17. </w:t>
      </w:r>
    </w:p>
  </w:footnote>
  <w:footnote w:id="201">
    <w:p w:rsidR="00323528" w:rsidRDefault="003A3A10">
      <w:pPr>
        <w:pStyle w:val="FootnoteText"/>
      </w:pPr>
      <w:r>
        <w:rPr>
          <w:rStyle w:val="FootnoteReference"/>
        </w:rPr>
        <w:footnoteRef/>
      </w:r>
      <w:r>
        <w:t xml:space="preserve"> </w:t>
      </w:r>
      <w:r>
        <w:tab/>
      </w:r>
      <w:r>
        <w:t xml:space="preserve">Established by Act No. 346/2018 on the Register of Non-Governmental Non-profit Organisations; the register is available at </w:t>
      </w:r>
      <w:hyperlink r:id="rId15" w:history="1">
        <w:r>
          <w:rPr>
            <w:rStyle w:val="Hyperlink"/>
          </w:rPr>
          <w:t>https://ives.minv.sk/rmno/?lang=sk</w:t>
        </w:r>
      </w:hyperlink>
      <w:r>
        <w:t>.</w:t>
      </w:r>
    </w:p>
  </w:footnote>
  <w:footnote w:id="202">
    <w:p w:rsidR="00323528" w:rsidRDefault="003A3A10">
      <w:pPr>
        <w:pStyle w:val="FootnoteText"/>
      </w:pPr>
      <w:r>
        <w:rPr>
          <w:rStyle w:val="FootnoteReference"/>
        </w:rPr>
        <w:footnoteRef/>
      </w:r>
      <w:r>
        <w:t xml:space="preserve"> </w:t>
      </w:r>
      <w:r>
        <w:tab/>
        <w:t>Contribution from Via Iuris (Civil Libertie</w:t>
      </w:r>
      <w:r>
        <w:t xml:space="preserve">s Union) for the 2021 Rule of Law Report and contribution, pp. 13-14 and contribution from the ENNHRI for the 2021 Rule of Law Report, p. 294. </w:t>
      </w:r>
    </w:p>
  </w:footnote>
  <w:footnote w:id="203">
    <w:p w:rsidR="00323528" w:rsidRDefault="003A3A10">
      <w:pPr>
        <w:pStyle w:val="FootnoteText"/>
      </w:pPr>
      <w:r>
        <w:rPr>
          <w:rStyle w:val="FootnoteReference"/>
        </w:rPr>
        <w:footnoteRef/>
      </w:r>
      <w:r>
        <w:t xml:space="preserve"> </w:t>
      </w:r>
      <w:r>
        <w:tab/>
        <w:t>This refers to the process of redistribution of subsidies for the promotion of gender equality by the Ministr</w:t>
      </w:r>
      <w:r>
        <w:t>y of Labour, Social Affairs and Family in 2020 to support conservative pro-life organisations, which do not generally focus on gender equality issues. In addition, following the adoption of act of 17 December 2020 amending Act no. 544/2010 Coll. on subsidi</w:t>
      </w:r>
      <w:r>
        <w:t>es, instead of gender equality, equal employment opportunities and organisations promoting marriage and family values will be supported. See contributions for the 2021 Rule of Law Report provided by the European Network of National Human Rights Institution</w:t>
      </w:r>
      <w:r>
        <w:t xml:space="preserve">s, p. 294, Civil Liberties Union for Europe, p.14, and ENNHRI, pp. 294-295. </w:t>
      </w:r>
    </w:p>
  </w:footnote>
  <w:footnote w:id="204">
    <w:p w:rsidR="00323528" w:rsidRDefault="003A3A10">
      <w:pPr>
        <w:pStyle w:val="FootnoteText"/>
      </w:pPr>
      <w:r>
        <w:rPr>
          <w:rStyle w:val="FootnoteReference"/>
        </w:rPr>
        <w:footnoteRef/>
      </w:r>
      <w:r>
        <w:t xml:space="preserve"> </w:t>
      </w:r>
      <w:r>
        <w:tab/>
      </w:r>
      <w:r>
        <w:rPr>
          <w:bCs/>
        </w:rPr>
        <w:t>Despite effort by the government that provided additional support of 1.1 million EUR to support NGOs activities that are mitigating the impact of COVID-19, press release of the</w:t>
      </w:r>
      <w:r>
        <w:rPr>
          <w:bCs/>
        </w:rPr>
        <w:t xml:space="preserve"> Ministry for Regional Development of 12 August 2020, Vice-Premier Remišová: 1.1 mil EUR for help to non-governmental organisation with fights agaist COVID-19;</w:t>
      </w:r>
      <w:r>
        <w:t xml:space="preserve"> Information received in the context of the country visit to Slovakia. See also contributions fro</w:t>
      </w:r>
      <w:r>
        <w:t xml:space="preserve">m Via Iuris (Civil Liberties Union) for the 2021 Rule of Law Report, pp. 15-17.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10" w:rsidRDefault="003A3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28" w:rsidRDefault="00323528" w:rsidP="003A3A10">
    <w:pPr>
      <w:pStyle w:val="HeaderCoverPage"/>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10" w:rsidRDefault="003A3A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28" w:rsidRDefault="003235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28" w:rsidRDefault="003235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28" w:rsidRDefault="00323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15:restartNumberingAfterBreak="0">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1508B1F5-BA2A-4177-9DFF-39529977A5D4"/>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1 Rule of Law Report_x000d__x000d__x000d__x000b_The rule of law situation in the European Union"/>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Rule of Law Report_x000d__x000d__x000d__x000b_Country Chapter on the rule of law situation in Slovakia"/>
    <w:docVar w:name="LW_TYPE.DOC.CP" w:val="COMMISSION STAFF WORKING DOCUMENT"/>
    <w:docVar w:name="LW_TYPEACTEPRINCIPAL.CP" w:val="COMMUNICATION FROM THE COMMISSION TO THE EUROPEAN PARLIAMENT, THE COUNCIL, THE EUROPEAN ECONOMIC AND SOCIAL COMMITTEE AND THE COMMITTEE OF THE REGIONS"/>
    <w:docVar w:name="LwApiVersions" w:val="LW4CoDe 1.23.0.0; LW 8.0, Build 20210114"/>
  </w:docVars>
  <w:rsids>
    <w:rsidRoot w:val="00323528"/>
    <w:rsid w:val="00323528"/>
    <w:rsid w:val="003A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2943DED-2CEC-41ED-A581-BA3DDF88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hAnsi="Times New Roman"/>
      <w:sz w:val="24"/>
      <w:lang w:val="en-GB"/>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n-GB"/>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n-GB"/>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c.europa.eu/info/policies/justice-and-fundamental-rights/upholding-rule-law/rule-law/rule-law-mechanism/2021-rule-law-report-targeted-stakeholder-consultation" TargetMode="External"/><Relationship Id="rId26" Type="http://schemas.openxmlformats.org/officeDocument/2006/relationships/hyperlink" Target="https://www.vop.gov.sk/files/VOP_VS20_SK_1.pdf" TargetMode="External"/><Relationship Id="rId39" Type="http://schemas.openxmlformats.org/officeDocument/2006/relationships/hyperlink" Target="http://web.ac-mssr.sk/wp-content/uploads/2020/sudna_mapa/20210223_Casov%C3%A1_os_Sudna_mapa_v.2.pdf" TargetMode="External"/><Relationship Id="rId3" Type="http://schemas.openxmlformats.org/officeDocument/2006/relationships/customXml" Target="../customXml/item3.xml"/><Relationship Id="rId21" Type="http://schemas.openxmlformats.org/officeDocument/2006/relationships/hyperlink" Target="http://hudoc.exec.coe.int/eng?i=004-7711" TargetMode="External"/><Relationship Id="rId34" Type="http://schemas.openxmlformats.org/officeDocument/2006/relationships/hyperlink" Target="https://pravnystat.eu/en/" TargetMode="External"/><Relationship Id="rId42" Type="http://schemas.openxmlformats.org/officeDocument/2006/relationships/hyperlink" Target="https://www.unodc.org/documents/treaties/UNCAC/CountryVisitFinalReports/2013_07_11_Slovakia_Final_Country_Report.pdf"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oe.int/en/web/portal/-/slovakia-greco-regrets-slow-progress-in-preventing-corruption-of-parliamentarians-judges-and-prosecutors" TargetMode="External"/><Relationship Id="rId33" Type="http://schemas.openxmlformats.org/officeDocument/2006/relationships/hyperlink" Target="https://www.nrsr.sk/web/Dynamic/DocumentPreview.aspx?DocID=494677" TargetMode="External"/><Relationship Id="rId38" Type="http://schemas.openxmlformats.org/officeDocument/2006/relationships/hyperlink" Target="http://web.ac-mssr.sk/wp-content/uploads/2020/sudna_mapa/Reforma_sudnej_mapy_na_citanie.pdf"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europa.eu/anti-fraud/media-corner/news/21-01-2021/olaf-closes-cases-eu-agricultural-funds-slovakia_en" TargetMode="External"/><Relationship Id="rId29" Type="http://schemas.openxmlformats.org/officeDocument/2006/relationships/hyperlink" Target="https://rokovania.gov.sk/download.dat?id=F75436C4AF3C4D96AE93D60FD6BCA184-99C291B1BA87B0B9BF1E773CB8DA6BA0" TargetMode="External"/><Relationship Id="rId41" Type="http://schemas.openxmlformats.org/officeDocument/2006/relationships/hyperlink" Target="http://www.snslp.sk/wp-content/uploads/Sprava-o-LP-v-SR-za-rok-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hudoc.exec.coe.int/eng?i=004-51541" TargetMode="External"/><Relationship Id="rId32" Type="http://schemas.openxmlformats.org/officeDocument/2006/relationships/hyperlink" Target="https://www.mpsr.sk/programove-vyhlasenie-vlady-slovenskej-republiky-na-obdobie-rokov-2020-2024/800-17-800-15434/" TargetMode="External"/><Relationship Id="rId37" Type="http://schemas.openxmlformats.org/officeDocument/2006/relationships/hyperlink" Target="http://web.ac-mssr.sk/wp-content/uploads/2020/sudna_mapa/nova_sudna_mapa_3_0_final.pdf" TargetMode="External"/><Relationship Id="rId40" Type="http://schemas.openxmlformats.org/officeDocument/2006/relationships/hyperlink" Target="https://www.mirri.gov.sk/aktuality/podpredsednicka-vlady/vicepremierka-remisova-11-miliona-eur-na-pomoc-mimovladnym-organizaciam-v-boji-s-covid-19/"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hudoc.exec.coe.int/eng?i=004-47309" TargetMode="External"/><Relationship Id="rId28" Type="http://schemas.openxmlformats.org/officeDocument/2006/relationships/hyperlink" Target="https://rokovania.gov.sk/download.dat?id=588DFBA123494910A70AF18737B85A81-034BF7E75BABC88FC3A419E44DED1345" TargetMode="External"/><Relationship Id="rId36" Type="http://schemas.openxmlformats.org/officeDocument/2006/relationships/hyperlink" Target="http://web.ac-mssr.sk/wp-content/uploads/2020/sudna_mapa/nova_sudna_mapa_3_0_final.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ktuality.sk/clanok/892385/naka-opat-zadrzala-financnika-martina-kvietika" TargetMode="External"/><Relationship Id="rId3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hudoc.exec.coe.int/eng?i=004-7717" TargetMode="External"/><Relationship Id="rId27" Type="http://schemas.openxmlformats.org/officeDocument/2006/relationships/hyperlink" Target="https://www.sak.sk/web/sk/cms/news/form/list/form/row/596497/_event" TargetMode="External"/><Relationship Id="rId30" Type="http://schemas.openxmlformats.org/officeDocument/2006/relationships/hyperlink" Target="https://www.vop.gov.sk/files/VOP_VS20_SK_1.pdf" TargetMode="External"/><Relationship Id="rId35" Type="http://schemas.openxmlformats.org/officeDocument/2006/relationships/hyperlink" Target="https://www.health.gov.sk/Zdroje?/dokumenty/mzsr/rezortny-protikorupcny-program.rtf" TargetMode="External"/><Relationship Id="rId43" Type="http://schemas.openxmlformats.org/officeDocument/2006/relationships/header" Target="header4.xml"/><Relationship Id="rId48" Type="http://schemas.openxmlformats.org/officeDocument/2006/relationships/footer" Target="footer6.xml"/><Relationship Id="Rc465bc97d2f64674" Type="http://schemas.microsoft.com/office/2018/08/relationships/commentsExtensible" Target="commentsExtensible.xml"/><Relationship Id="rId8" Type="http://schemas.openxmlformats.org/officeDocument/2006/relationships/webSettings" Target="webSettings.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C3%A1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C3%A1-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C40C6A10-90B2-4E46-AF07-E18EA935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8052</Words>
  <Characters>47511</Characters>
  <Application>Microsoft Office Word</Application>
  <DocSecurity>0</DocSecurity>
  <Lines>719</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THERACE Christine (SG)</dc:creator>
  <cp:keywords/>
  <dc:description/>
  <cp:lastModifiedBy>THERACE Christine (SG)</cp:lastModifiedBy>
  <cp:revision>35</cp:revision>
  <cp:lastPrinted>2021-07-19T20:45:00Z</cp:lastPrinted>
  <dcterms:created xsi:type="dcterms:W3CDTF">2021-07-14T18:04:00Z</dcterms:created>
  <dcterms:modified xsi:type="dcterms:W3CDTF">2021-07-19T20:45:00Z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ContentTypeId">
    <vt:lpwstr>0x0101001FB8E9DEAEFB414DAE5EC193F8A440AF</vt:lpwstr>
  </property>
</Properties>
</file>