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5B0055-34D4-418D-AECD-2773A413EA15" style="width:455.25pt;height:545.2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LÜHIKOKKUVÕTE</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Edasi on liigutud kahe tähtsa Tšehhi Vabariigi kohtusüsteemi reformiga, s.o kohtunike valikumenetluse reform ja kohtunike distsiplinaarkorra reform, millest esimene võeti vastu 2021. aasta mais. Nagu juba märgitud õigusriigi olukorda käsitlevas 2020. aasta aruandes, võivad need reformid tugevdada kohtusüsteemi sõltumatust, suurendades kohtunike valimise protsessi läbipaistvust ja andes lisatagatisi kohtunike suhtes alustatud distsiplinaarmenetlustes. Jätkatakse jõupingutusi kohtusüsteemi digiteerimiseks, sealhulgas kohtuotsuste avaldamiseks ja digitaalsete toimikute haldamise süsteemi ettevalmistamiseks. Tsiviil-, kaubandus- ja haldusasjade menetlemist on tõhustatud. Kohtud on COVID-19 pandeemia ajal suutnud jätkata oma tööd ilma suuremate häireteta.</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Kuigi korruptsioonivastane õigus- ja institutsiooniline raamistik on üldiselt paigas, puuduvad edusammud valitsuse 2018.–2022. aasta korruptsioonivastase strateegia ja kaasnevate tegevuskavade rakendamisel. Täpsemalt on praeguse valitsuse ametiaja lõpus Tšehhi Vabariigi parlamendis endiselt menetlemisel mitu tähtsat korruptsiooni ennetamise valdkonna reformialgatust, sealhulgas eelnõud lobitöö, rikkumisest teatajate kaitse ja riigikontrolli mandaadi pikendamise kohta. Suurkorruptsiooni valdkonnas on ELi vahendite kasutamist käsitlevates riigi ja Euroopa tasandi uurimistes ja auditites hiljuti leitud tõendeid tippjuhtide huvide konfliktide kohta, mille põhjal on ühe juhtumi menetleda võtnud Euroopa Prokuratuur. Lisaks soovitasid Tšehhi uurijad esitada süüdistuse sellega seotud pettusejuhtumis, mis puudutas ELi toetusi. COVID-19 pandeemia tõttu lükati edasi enamik 2020. aastasse kavandatud tervishoiusektori korruptsioonivastastest meetmetest.</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Põhiseaduse normidega tagatakse väljendusvabadus ja õigus teabele ning keelatakse sõnaselgelt tsensuur. 2021. aastal kehtestati eeskirjad meediaomandi läbipaistvust käsitleva teabe parandamise kohta. Näib, et Tšehhi Vabariigi ringhäälingunõukogu täidab oma ülesandeid tulemuslikult, kuid poliitilised vastuolud mõjutavad jätkuvalt eraldiseisvat Tšehhi televisiooni järelevalvenõukogu. COVID-19 pandeemia ajal sai tugevalt kahjustada trükimeedia sektor. COVID-19 pandeemia mõju leevendamiseks ei võetud vastu meedia toetamise kava.</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COVID-19 pandeemia algusest kohaldati peaaegu poolte õigusaktide vastuvõtmiseks seadusandlikku lühimenetlust koos piiratud võimalusega konsulteerida sidusrühmadega. Sidusrühmad teatasid, et seadusandliku lühimenetluse kasutamisel ei piirdutud otseselt COVID-19 pandeemiaga seotud seadustega. Märkimisväärse osa 2020. aastast kehtis eriolukord. Selle pikendamist 2021. aasta alguses – hoolimata esindajatekoja keeldumisest – kritiseeriti, muu hulgas põhiseadusega seotud põhjustel. Kohtutel paluti sageli erakorralised meetmed läbi vaadata ja kohtud tühistasid mitu meedet. Parlamendis arutatakse uue laste ombudsmani büroo loomist käsitlevat seaduseelnõud. COVID-19 pandeemia mõju kodanikuühiskonna organisatsioonidele on olnud märkimisväärne, sundides neid oma tegevust piirama.</w:t>
      </w:r>
    </w:p>
    <w:p>
      <w:pPr>
        <w:rPr>
          <w:rFonts w:eastAsia="Times New Roman" w:cs="Times New Roman"/>
          <w:noProof/>
          <w:szCs w:val="20"/>
        </w:rPr>
      </w:pPr>
      <w:r>
        <w:rPr>
          <w:noProof/>
        </w:rPr>
        <w:br w:type="page"/>
      </w:r>
    </w:p>
    <w:p>
      <w:pPr>
        <w:pStyle w:val="Heading1"/>
        <w:rPr>
          <w:noProof/>
        </w:rPr>
      </w:pPr>
      <w:r>
        <w:rPr>
          <w:noProof/>
        </w:rPr>
        <w:lastRenderedPageBreak/>
        <w:t>KOHTUSÜSTEEM</w:t>
      </w:r>
    </w:p>
    <w:p>
      <w:pPr>
        <w:rPr>
          <w:rFonts w:eastAsia="Times New Roman" w:cs="Times New Roman"/>
          <w:noProof/>
          <w:szCs w:val="20"/>
        </w:rPr>
      </w:pPr>
      <w:r>
        <w:rPr>
          <w:noProof/>
        </w:rPr>
        <w:t>Tšehhi Vabariigi kohtusüsteem koosneb 86 piirkondlikust kohtust, kaheksast maakonnakohtust, kahest kõrgemast kohtust, Tšehhi Vabariigi kõrgeimast kohtust ja Tšehhi Vabariigi kõrgeimast halduskohtust</w:t>
      </w:r>
      <w:r>
        <w:rPr>
          <w:noProof/>
          <w:vertAlign w:val="superscript"/>
          <w:lang w:eastAsia="fr-FR"/>
        </w:rPr>
        <w:footnoteReference w:id="2"/>
      </w:r>
      <w:r>
        <w:rPr>
          <w:noProof/>
        </w:rPr>
        <w:t>. Konstitutsioonikohus jääb väljapoole üldist kohtustruktuuri, kuid on kohtusüsteemi osa ja selle ülesanne on tagada õigusaktide põhiseaduslikkus ning põhiliste inimõiguste ja -vabaduste kaitse. Kohtute haldamise eest vastutab keskse riigiasutusena justiitsministeerium. Justiitsministeerium haldab riigi tasandil kõrgemaid, maakonna- ja piirkondlikke kohtuid seadusega ettenähtud ulatuses</w:t>
      </w:r>
      <w:r>
        <w:rPr>
          <w:noProof/>
          <w:vertAlign w:val="superscript"/>
          <w:lang w:eastAsia="fr-FR"/>
        </w:rPr>
        <w:footnoteReference w:id="3"/>
      </w:r>
      <w:r>
        <w:rPr>
          <w:noProof/>
        </w:rPr>
        <w:t xml:space="preserve"> kas otse või nende kohtute esimeeste kaudu. Teatavaid keskvalitsuse haldusasutuse toiminguid teevad kahe kõrgeima kohtu esimehed. Need asutused võtavad arvesse asjaomaste kohtunõukogude arvamusi, mis on asutatud kõrgeima kohtu, kõrgeima halduskohtu, kõrgemate kohtute, maakonnakohtute ja suuremate piirkondlike kohtute juures. Kohtunikud määrab ametisse vabariigi president maakonnakohtute esimeeste valitud ja justiitsministri esitatud kandidaatide seast. Prokuratuur on täidesaatva võimu osa</w:t>
      </w:r>
      <w:r>
        <w:rPr>
          <w:rStyle w:val="FootnoteReference"/>
          <w:noProof/>
          <w:lang w:eastAsia="fr-FR"/>
        </w:rPr>
        <w:footnoteReference w:id="4"/>
      </w:r>
      <w:r>
        <w:rPr>
          <w:noProof/>
        </w:rPr>
        <w:t>.</w:t>
      </w:r>
      <w:r>
        <w:rPr>
          <w:noProof/>
          <w:color w:val="000000"/>
          <w:sz w:val="22"/>
        </w:rPr>
        <w:t xml:space="preserve"> </w:t>
      </w:r>
      <w:r>
        <w:rPr>
          <w:noProof/>
        </w:rPr>
        <w:t>Riigiprokurörid nimetab tähtajatult ametisse justiitsminister peaprokuröri ettepanekul. Peaprokuröri nimetab ametisse ja kutsub ametist tagasi valitsus justiitsministri ettepanekul</w:t>
      </w:r>
      <w:r>
        <w:rPr>
          <w:noProof/>
          <w:vertAlign w:val="superscript"/>
          <w:lang w:eastAsia="fr-FR"/>
        </w:rPr>
        <w:footnoteReference w:id="5"/>
      </w:r>
      <w:r>
        <w:rPr>
          <w:noProof/>
        </w:rPr>
        <w:t>. Tšehhi Vabariik osaleb Euroopa Prokuratuuris. Advokatuur on asutatud seadusega ja on sõltumatu. Ta tegeleb õigusvaldkonna halduskorraldusega ja reguleerib kogu kutseala tegevust. Advokatuuri reguleerimisvolitused on seadusega loetletud valdkondades piiratud justiitsministri volitustega.</w:t>
      </w:r>
    </w:p>
    <w:p>
      <w:pPr>
        <w:pStyle w:val="Heading2"/>
        <w:rPr>
          <w:noProof/>
        </w:rPr>
      </w:pPr>
      <w:r>
        <w:rPr>
          <w:noProof/>
        </w:rPr>
        <w:t>Sõltumatus</w:t>
      </w:r>
    </w:p>
    <w:p>
      <w:pPr>
        <w:rPr>
          <w:noProof/>
          <w:szCs w:val="24"/>
        </w:rPr>
      </w:pPr>
      <w:r>
        <w:rPr>
          <w:b/>
          <w:bCs/>
          <w:noProof/>
          <w:szCs w:val="24"/>
        </w:rPr>
        <w:t>Üldsuse ja ettevõtjate seas on kohtute tajutava sõltumatuse tase endiselt keskmine</w:t>
      </w:r>
      <w:r>
        <w:rPr>
          <w:noProof/>
        </w:rPr>
        <w:t>. Üldiselt leiab 51 % nii üldsusest kui ka ettevõtjatest, et 2021. aastal on kohtute ja kohtunike sõltumatus Tšehhi Vabariigis kas väga suur või võrdlemisi suur</w:t>
      </w:r>
      <w:r>
        <w:rPr>
          <w:noProof/>
          <w:szCs w:val="24"/>
          <w:vertAlign w:val="superscript"/>
        </w:rPr>
        <w:footnoteReference w:id="6"/>
      </w:r>
      <w:r>
        <w:rPr>
          <w:noProof/>
        </w:rPr>
        <w:t>. See näitab, et ettevõtjate seas tajutakse sõltumatust igal aastal järk-järgult positiivsemalt, samas kui üldsuse seas kohtute tajutava sõltumatuse tase veidi võrreldes langes eelmise aastaga.</w:t>
      </w:r>
    </w:p>
    <w:p>
      <w:pPr>
        <w:rPr>
          <w:b/>
          <w:bCs/>
          <w:noProof/>
        </w:rPr>
      </w:pPr>
      <w:r>
        <w:rPr>
          <w:b/>
          <w:bCs/>
          <w:noProof/>
        </w:rPr>
        <w:t>Kohtunike valikumenetluse muudatus on vastu võetud</w:t>
      </w:r>
      <w:r>
        <w:rPr>
          <w:rStyle w:val="FootnoteReference"/>
          <w:b/>
          <w:noProof/>
          <w:lang w:eastAsia="fr-FR"/>
        </w:rPr>
        <w:footnoteReference w:id="7"/>
      </w:r>
      <w:r>
        <w:rPr>
          <w:b/>
          <w:bCs/>
          <w:noProof/>
        </w:rPr>
        <w:t xml:space="preserve">. </w:t>
      </w:r>
      <w:r>
        <w:rPr>
          <w:noProof/>
        </w:rPr>
        <w:t>Muudatusega, mis jõustus 9. juunil 2021,</w:t>
      </w:r>
      <w:r>
        <w:rPr>
          <w:noProof/>
          <w:vertAlign w:val="superscript"/>
          <w:lang w:eastAsia="fr-FR"/>
        </w:rPr>
        <w:footnoteReference w:id="8"/>
      </w:r>
      <w:r>
        <w:rPr>
          <w:noProof/>
        </w:rPr>
        <w:t xml:space="preserve"> tahetakse kasutusele võtta uute kohtunike ja kohtute esimeeste läbipaistev ja ühtne värbamis- ja valikusüsteem, mis põhineb täpsetel, objektiivsetel ja ühtsetel kriteeriumidel. Varem ei reguleeritud õiguslikult kohtusüsteemi ametikohtade kandidaatide valimise protsessi. Muudatuse põhiosad on kooskõlas Euroopa standarditega, eriti kuna enamik ametikohtade kandidaate valivate komiteede liikmetest on kohtunikud</w:t>
      </w:r>
      <w:r>
        <w:rPr>
          <w:noProof/>
          <w:sz w:val="20"/>
          <w:szCs w:val="20"/>
          <w:vertAlign w:val="superscript"/>
          <w:lang w:eastAsia="fr-FR"/>
        </w:rPr>
        <w:footnoteReference w:id="9"/>
      </w:r>
      <w:r>
        <w:rPr>
          <w:noProof/>
        </w:rPr>
        <w:t>.</w:t>
      </w:r>
    </w:p>
    <w:p>
      <w:pPr>
        <w:rPr>
          <w:rFonts w:eastAsia="Times New Roman" w:cs="Times New Roman"/>
          <w:noProof/>
          <w:szCs w:val="20"/>
        </w:rPr>
      </w:pPr>
      <w:r>
        <w:rPr>
          <w:b/>
          <w:noProof/>
          <w:szCs w:val="20"/>
        </w:rPr>
        <w:t>Kohtunike distsiplinaarkorra muudatusettepaneku projekt on läbinud esindajatekojas esimese lugemise</w:t>
      </w:r>
      <w:r>
        <w:rPr>
          <w:rStyle w:val="FootnoteReference"/>
          <w:rFonts w:eastAsia="Times New Roman" w:cs="Times New Roman"/>
          <w:b/>
          <w:noProof/>
          <w:szCs w:val="20"/>
          <w:lang w:eastAsia="fr-FR"/>
        </w:rPr>
        <w:footnoteReference w:id="10"/>
      </w:r>
      <w:r>
        <w:rPr>
          <w:b/>
          <w:noProof/>
          <w:szCs w:val="20"/>
        </w:rPr>
        <w:t xml:space="preserve">. </w:t>
      </w:r>
      <w:r>
        <w:rPr>
          <w:noProof/>
        </w:rPr>
        <w:t>Reformiga on kavas kehtestada kohtunikke puudutavate distsiplinaarkohtu</w:t>
      </w:r>
      <w:r>
        <w:rPr>
          <w:rFonts w:eastAsia="Times New Roman" w:cs="Times New Roman"/>
          <w:noProof/>
          <w:szCs w:val="20"/>
          <w:vertAlign w:val="superscript"/>
          <w:lang w:eastAsia="fr-FR"/>
        </w:rPr>
        <w:footnoteReference w:id="11"/>
      </w:r>
      <w:r>
        <w:rPr>
          <w:noProof/>
        </w:rPr>
        <w:t xml:space="preserve"> otsuste kohtulik läbivaatamine</w:t>
      </w:r>
      <w:r>
        <w:rPr>
          <w:rFonts w:eastAsia="Times New Roman" w:cs="Times New Roman"/>
          <w:noProof/>
          <w:szCs w:val="20"/>
          <w:vertAlign w:val="superscript"/>
          <w:lang w:eastAsia="fr-FR"/>
        </w:rPr>
        <w:footnoteReference w:id="12"/>
      </w:r>
      <w:r>
        <w:rPr>
          <w:noProof/>
        </w:rPr>
        <w:t xml:space="preserve"> ja luua sel viisil kahetasandiline distsiplinaarsüsteem, kus kõrgemad kohtud on esimese astme kohtute ning Tšehhi Vabariigi kõrgeim kohus ja kõrgeim halduskohus apellatsioonikohtu rollis. Reform läbis esindajatekojas esimese lugemise 2020. aasta detsembris. Sellise kahetasandilise kohtuliku läbivaatamise kehtestamisega võiks see reform aidata kaasa kohtute sõltumatuse tugevdamisele, mis on kooskõlas ELi õiguse ja Euroopa standarditega</w:t>
      </w:r>
      <w:r>
        <w:rPr>
          <w:rFonts w:eastAsia="Times New Roman" w:cs="Times New Roman"/>
          <w:noProof/>
          <w:szCs w:val="20"/>
          <w:vertAlign w:val="superscript"/>
          <w:lang w:eastAsia="fr-FR"/>
        </w:rPr>
        <w:footnoteReference w:id="13"/>
      </w:r>
      <w:r>
        <w:rPr>
          <w:noProof/>
        </w:rPr>
        <w:t>.</w:t>
      </w:r>
    </w:p>
    <w:p>
      <w:pPr>
        <w:rPr>
          <w:rFonts w:eastAsia="Times New Roman" w:cs="Times New Roman"/>
          <w:b/>
          <w:noProof/>
          <w:szCs w:val="20"/>
        </w:rPr>
      </w:pPr>
      <w:r>
        <w:rPr>
          <w:b/>
          <w:noProof/>
          <w:szCs w:val="20"/>
        </w:rPr>
        <w:t>Eeldatavasti ei jätkata parlamendi sellel ametiajal kavandatud prokuratuurireformiga</w:t>
      </w:r>
      <w:r>
        <w:rPr>
          <w:rStyle w:val="FootnoteReference"/>
          <w:rFonts w:eastAsia="Times New Roman" w:cs="Times New Roman"/>
          <w:b/>
          <w:noProof/>
          <w:szCs w:val="20"/>
          <w:lang w:eastAsia="fr-FR"/>
        </w:rPr>
        <w:footnoteReference w:id="14"/>
      </w:r>
      <w:r>
        <w:rPr>
          <w:b/>
          <w:noProof/>
          <w:szCs w:val="20"/>
        </w:rPr>
        <w:t xml:space="preserve">. </w:t>
      </w:r>
      <w:r>
        <w:rPr>
          <w:noProof/>
        </w:rPr>
        <w:t>Prokuratuurireform on olnud kaua poliitilise arutelu keskmes ja GRECO on teinud selle kohta soovitusi</w:t>
      </w:r>
      <w:r>
        <w:rPr>
          <w:rStyle w:val="FootnoteReference"/>
          <w:rFonts w:eastAsia="Times New Roman" w:cs="Times New Roman"/>
          <w:noProof/>
          <w:szCs w:val="20"/>
          <w:lang w:eastAsia="fr-FR"/>
        </w:rPr>
        <w:footnoteReference w:id="15"/>
      </w:r>
      <w:r>
        <w:rPr>
          <w:noProof/>
        </w:rPr>
        <w:t>. Nagu märgitud õigusriigi olukorda käsitlevas 2020. aasta aruandes, kavatseti 2019. aasta juunis avaldatud viimase reformi eelnõuga</w:t>
      </w:r>
      <w:r>
        <w:rPr>
          <w:rFonts w:eastAsia="Times New Roman" w:cs="Times New Roman"/>
          <w:noProof/>
          <w:szCs w:val="20"/>
          <w:vertAlign w:val="superscript"/>
          <w:lang w:eastAsia="fr-FR"/>
        </w:rPr>
        <w:footnoteReference w:id="16"/>
      </w:r>
      <w:r>
        <w:rPr>
          <w:noProof/>
        </w:rPr>
        <w:t xml:space="preserve"> muuta prokuröride ametisse nimetamise ja ametist vabastamise korda ning vanemprokuröride ametiaega. Reformi eelnõule olid vastu sidusrühmad ja üldsus ning eeldatavasti ei kiida valitsus seda heaks enne oktoobris toimuvaid parlamendivalimisi</w:t>
      </w:r>
      <w:r>
        <w:rPr>
          <w:rStyle w:val="FootnoteReference"/>
          <w:rFonts w:eastAsia="Times New Roman" w:cs="Times New Roman"/>
          <w:noProof/>
          <w:szCs w:val="20"/>
          <w:lang w:eastAsia="fr-FR"/>
        </w:rPr>
        <w:footnoteReference w:id="17"/>
      </w:r>
      <w:r>
        <w:rPr>
          <w:noProof/>
        </w:rPr>
        <w:t>.</w:t>
      </w:r>
    </w:p>
    <w:p>
      <w:pPr>
        <w:rPr>
          <w:rFonts w:eastAsia="Times New Roman" w:cs="Times New Roman"/>
          <w:b/>
          <w:noProof/>
          <w:szCs w:val="20"/>
        </w:rPr>
      </w:pPr>
      <w:r>
        <w:rPr>
          <w:b/>
          <w:noProof/>
          <w:szCs w:val="20"/>
        </w:rPr>
        <w:t xml:space="preserve">Enamik kohtuid on heaks kiitnud kohtunike eetikakoodeksi. </w:t>
      </w:r>
      <w:r>
        <w:rPr>
          <w:noProof/>
        </w:rPr>
        <w:t>Eetikakoodeksi</w:t>
      </w:r>
      <w:r>
        <w:rPr>
          <w:rStyle w:val="FootnoteReference"/>
          <w:rFonts w:eastAsia="Times New Roman" w:cs="Times New Roman"/>
          <w:noProof/>
          <w:szCs w:val="20"/>
          <w:lang w:eastAsia="fr-FR"/>
        </w:rPr>
        <w:footnoteReference w:id="18"/>
      </w:r>
      <w:r>
        <w:rPr>
          <w:noProof/>
        </w:rPr>
        <w:t xml:space="preserve"> koostas Tšehhi Vabariigi kõrgeimas kohtus loodud töörühm, mida juhib kõrgeima kohtu esimees ja kuhu kuuluvad eri tasandite kohtute kohtunikud</w:t>
      </w:r>
      <w:r>
        <w:rPr>
          <w:rStyle w:val="FootnoteReference"/>
          <w:rFonts w:eastAsia="Times New Roman" w:cs="Times New Roman"/>
          <w:noProof/>
          <w:szCs w:val="20"/>
          <w:lang w:eastAsia="fr-FR"/>
        </w:rPr>
        <w:footnoteReference w:id="19"/>
      </w:r>
      <w:r>
        <w:rPr>
          <w:noProof/>
        </w:rPr>
        <w:t>. Pärast koodeksi valmimist esitati see heakskiitmiseks igas kohtus loodud kohtunike nõukogule</w:t>
      </w:r>
      <w:r>
        <w:rPr>
          <w:rStyle w:val="FootnoteReference"/>
          <w:rFonts w:eastAsia="Times New Roman" w:cs="Times New Roman"/>
          <w:noProof/>
          <w:szCs w:val="20"/>
          <w:lang w:eastAsia="fr-FR"/>
        </w:rPr>
        <w:footnoteReference w:id="20"/>
      </w:r>
      <w:r>
        <w:rPr>
          <w:noProof/>
        </w:rPr>
        <w:t>. Valdav osa nõukogudest võttis koodeksi vastu. Kohtunike ametialase käitumise koodeksi väljatöötamist soovitas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Valitsuse esindajad on teinud kriitilisi avaldusi kohtunike ja prokuröride kohta. </w:t>
      </w:r>
      <w:r>
        <w:rPr>
          <w:noProof/>
        </w:rPr>
        <w:t>Täidesaatva võimu esindajad on teinud mitu korda kriitilisi märkusi kõrgema astme kohtunike ja prokuratuuri kohta, seades kahtluse alla nende sõltumatuse</w:t>
      </w:r>
      <w:r>
        <w:rPr>
          <w:rStyle w:val="FootnoteReference"/>
          <w:rFonts w:eastAsia="Times New Roman" w:cs="Times New Roman"/>
          <w:noProof/>
          <w:szCs w:val="20"/>
          <w:lang w:eastAsia="fr-FR"/>
        </w:rPr>
        <w:footnoteReference w:id="22"/>
      </w:r>
      <w:r>
        <w:rPr>
          <w:noProof/>
        </w:rPr>
        <w:t>. Vastuseks on kohtuvõimu esindajad oma avaldustes väljendanud selle üle muret ja tuletanud meelde, kui tähtis on kohtute sõltumatus ja üldsuse usaldus kohtuvõimu vastu</w:t>
      </w:r>
      <w:r>
        <w:rPr>
          <w:rStyle w:val="FootnoteReference"/>
          <w:rFonts w:eastAsia="Times New Roman" w:cs="Times New Roman"/>
          <w:noProof/>
          <w:szCs w:val="20"/>
          <w:lang w:eastAsia="fr-FR"/>
        </w:rPr>
        <w:footnoteReference w:id="23"/>
      </w:r>
      <w:r>
        <w:rPr>
          <w:noProof/>
        </w:rPr>
        <w:t>. Peaprokurör teatas 14. mail oma tagasiastumisest, viidates ühe põhjusena tajutavale survele</w:t>
      </w:r>
      <w:r>
        <w:rPr>
          <w:rStyle w:val="FootnoteReference"/>
          <w:rFonts w:eastAsia="Times New Roman" w:cs="Times New Roman"/>
          <w:noProof/>
          <w:szCs w:val="20"/>
          <w:lang w:eastAsia="fr-FR"/>
        </w:rPr>
        <w:footnoteReference w:id="24"/>
      </w:r>
      <w:r>
        <w:rPr>
          <w:noProof/>
          <w:vertAlign w:val="superscript"/>
        </w:rPr>
        <w:t>,</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Kvaliteet</w:t>
      </w:r>
    </w:p>
    <w:p>
      <w:pPr>
        <w:rPr>
          <w:rFonts w:eastAsia="Times New Roman" w:cs="Times New Roman"/>
          <w:noProof/>
          <w:szCs w:val="20"/>
        </w:rPr>
      </w:pPr>
      <w:r>
        <w:rPr>
          <w:b/>
          <w:noProof/>
          <w:szCs w:val="20"/>
        </w:rPr>
        <w:t xml:space="preserve">Parlament ei nõustunud valitsuse ettepanekuga tõsta teatavaid kohtulõive. </w:t>
      </w:r>
      <w:r>
        <w:rPr>
          <w:noProof/>
        </w:rPr>
        <w:t>Esindajatekoda lükkas 29. jaanuaril 2021 toimunud esimesel lugemisel tagasi kohtulõivude seaduse muutmise ettepaneku,</w:t>
      </w:r>
      <w:r>
        <w:rPr>
          <w:rStyle w:val="FootnoteReference"/>
          <w:rFonts w:eastAsia="Times New Roman" w:cs="Times New Roman"/>
          <w:noProof/>
          <w:szCs w:val="20"/>
          <w:lang w:eastAsia="fr-FR"/>
        </w:rPr>
        <w:footnoteReference w:id="26"/>
      </w:r>
      <w:r>
        <w:rPr>
          <w:noProof/>
        </w:rPr>
        <w:t xml:space="preserve"> sest oli mures õiguskaitse kättesaadavuse üle praeguse COVID-19 pandeemia ajal. Praegusel ametiajal ei kavatse valitsus teha lisamuudatusi ega ettepanekut uuesti esitada</w:t>
      </w:r>
      <w:r>
        <w:rPr>
          <w:rStyle w:val="FootnoteReference"/>
          <w:rFonts w:eastAsia="Times New Roman" w:cs="Times New Roman"/>
          <w:noProof/>
          <w:szCs w:val="20"/>
          <w:lang w:eastAsia="fr-FR"/>
        </w:rPr>
        <w:footnoteReference w:id="27"/>
      </w:r>
      <w:r>
        <w:rPr>
          <w:noProof/>
        </w:rPr>
        <w:t>. Tšehhi Vabariigi advokatuuri rakendatud ulatuslikum tasuta õigusabi süsteem</w:t>
      </w:r>
      <w:r>
        <w:rPr>
          <w:rStyle w:val="FootnoteReference"/>
          <w:rFonts w:eastAsia="Times New Roman" w:cs="Times New Roman"/>
          <w:noProof/>
          <w:szCs w:val="20"/>
          <w:lang w:eastAsia="fr-FR"/>
        </w:rPr>
        <w:footnoteReference w:id="28"/>
      </w:r>
      <w:r>
        <w:rPr>
          <w:noProof/>
        </w:rPr>
        <w:t xml:space="preserve"> on aidanud suurendada õiguskaitse kättesaadavust, eelkõige haavatavatele isikutele, kes ei saa endale lubada advokaadi palkamist.</w:t>
      </w:r>
    </w:p>
    <w:p>
      <w:pPr>
        <w:rPr>
          <w:rFonts w:eastAsia="Times New Roman" w:cs="Times New Roman"/>
          <w:noProof/>
          <w:szCs w:val="20"/>
        </w:rPr>
      </w:pPr>
      <w:r>
        <w:rPr>
          <w:b/>
          <w:noProof/>
          <w:szCs w:val="20"/>
        </w:rPr>
        <w:t>Praegu viiakse ellu mitut projekti kohtusüsteemi digiülemineku soodustamiseks</w:t>
      </w:r>
      <w:r>
        <w:rPr>
          <w:noProof/>
        </w:rPr>
        <w:t>. Justiitsministeerium on kasutusse andnud avalikult kättesaadava kohtuotsuste keskandmebaasi katseversiooni,</w:t>
      </w:r>
      <w:r>
        <w:rPr>
          <w:rFonts w:eastAsia="Times New Roman" w:cs="Times New Roman"/>
          <w:noProof/>
          <w:szCs w:val="20"/>
          <w:vertAlign w:val="superscript"/>
          <w:lang w:eastAsia="fr-FR"/>
        </w:rPr>
        <w:footnoteReference w:id="29"/>
      </w:r>
      <w:r>
        <w:rPr>
          <w:noProof/>
        </w:rPr>
        <w:t xml:space="preserve"> alustades tsiviilasjadest. Andmebaasi laiendatakse järk-järgult. Pärast 9. juunil 2021. aastal jõustunud muudatust lisati kohtuid ja kohtunikke käsitlevasse seadusesse kohtute kohustus avaldada alates 1. juulist 2022 kõik kohtuotsused</w:t>
      </w:r>
      <w:r>
        <w:rPr>
          <w:rStyle w:val="FootnoteReference"/>
          <w:rFonts w:eastAsia="Times New Roman" w:cs="Times New Roman"/>
          <w:noProof/>
          <w:szCs w:val="20"/>
          <w:lang w:eastAsia="fr-FR"/>
        </w:rPr>
        <w:footnoteReference w:id="30"/>
      </w:r>
      <w:r>
        <w:rPr>
          <w:noProof/>
        </w:rPr>
        <w:t>. Seda ülesannet aitab täita justiitsministeeriumi elluviidav anonüümimist hõlbustav projekt. Valdavalt on kehtestatud menetlusnormid, mis võimaldavad kasutada kohtutes asjakohaseid digivahendeid ja -taristut</w:t>
      </w:r>
      <w:r>
        <w:rPr>
          <w:rFonts w:eastAsia="Times New Roman" w:cs="Times New Roman"/>
          <w:noProof/>
          <w:szCs w:val="20"/>
          <w:vertAlign w:val="superscript"/>
          <w:lang w:eastAsia="fr-FR"/>
        </w:rPr>
        <w:footnoteReference w:id="31"/>
      </w:r>
      <w:r>
        <w:rPr>
          <w:noProof/>
        </w:rPr>
        <w:t>. See aitas COVID-19 pandeemia ajal suurel määral kaasa kohtute tegevuse jätkumisele. Siiski puuduvad endiselt lahendused enamiku menetluses olevate juhtumite e-toimikutele ligipääsemiseks</w:t>
      </w:r>
      <w:r>
        <w:rPr>
          <w:rFonts w:eastAsia="Times New Roman" w:cs="Times New Roman"/>
          <w:noProof/>
          <w:szCs w:val="20"/>
          <w:vertAlign w:val="superscript"/>
          <w:lang w:eastAsia="fr-FR"/>
        </w:rPr>
        <w:footnoteReference w:id="32"/>
      </w:r>
      <w:r>
        <w:rPr>
          <w:noProof/>
        </w:rPr>
        <w:t>. Jätkus töö täieliku e-toimiku süsteemi kasutuselevõtmiseks,</w:t>
      </w:r>
      <w:r>
        <w:rPr>
          <w:rStyle w:val="FootnoteReference"/>
          <w:rFonts w:eastAsia="Times New Roman" w:cs="Times New Roman"/>
          <w:noProof/>
          <w:szCs w:val="20"/>
          <w:lang w:eastAsia="fr-FR"/>
        </w:rPr>
        <w:footnoteReference w:id="33"/>
      </w:r>
      <w:r>
        <w:rPr>
          <w:noProof/>
        </w:rPr>
        <w:t xml:space="preserve"> kuid sellega ollakse endiselt hankeetapis</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Parlamendis arutatakse täitemenetluse ja maksejõuetusmenetluse reformi käsitleva uue seaduse eelnõu</w:t>
      </w:r>
      <w:r>
        <w:rPr>
          <w:noProof/>
        </w:rPr>
        <w:t>.</w:t>
      </w:r>
      <w:r>
        <w:rPr>
          <w:noProof/>
          <w:sz w:val="20"/>
          <w:szCs w:val="20"/>
        </w:rPr>
        <w:t xml:space="preserve"> </w:t>
      </w:r>
      <w:r>
        <w:rPr>
          <w:noProof/>
        </w:rPr>
        <w:t>Täitemenetlus ja maksejõuetusmenetlus on olnud aastaid poliitilise arutelu teema, sest nn võlalõks mõjutab suurt arvu inimesi</w:t>
      </w:r>
      <w:r>
        <w:rPr>
          <w:rStyle w:val="FootnoteReference"/>
          <w:rFonts w:eastAsia="Times New Roman" w:cs="Times New Roman"/>
          <w:noProof/>
          <w:szCs w:val="20"/>
          <w:lang w:eastAsia="fr-FR"/>
        </w:rPr>
        <w:footnoteReference w:id="35"/>
      </w:r>
      <w:r>
        <w:rPr>
          <w:noProof/>
        </w:rPr>
        <w:t xml:space="preserve"> ja – nagu konstitutsioonikohus on väljendanud – võib kahjustada nende põhiõigusi, näiteks õigust piisavale elatustasemele</w:t>
      </w:r>
      <w:r>
        <w:rPr>
          <w:rFonts w:eastAsia="Times New Roman" w:cs="Times New Roman"/>
          <w:noProof/>
          <w:szCs w:val="20"/>
          <w:vertAlign w:val="superscript"/>
          <w:lang w:eastAsia="fr-FR"/>
        </w:rPr>
        <w:footnoteReference w:id="36"/>
      </w:r>
      <w:r>
        <w:rPr>
          <w:noProof/>
        </w:rPr>
        <w:t>. Pärast 2019. aastal vastuvõetud maksejõuetusmenetluse reformi</w:t>
      </w:r>
      <w:r>
        <w:rPr>
          <w:rFonts w:eastAsia="Times New Roman" w:cs="Times New Roman"/>
          <w:noProof/>
          <w:szCs w:val="20"/>
          <w:vertAlign w:val="superscript"/>
          <w:lang w:eastAsia="fr-FR"/>
        </w:rPr>
        <w:footnoteReference w:id="37"/>
      </w:r>
      <w:r>
        <w:rPr>
          <w:noProof/>
        </w:rPr>
        <w:t xml:space="preserve"> tehti mitu muud seadusandlikku ettepanekut,</w:t>
      </w:r>
      <w:r>
        <w:rPr>
          <w:rStyle w:val="FootnoteReference"/>
          <w:rFonts w:eastAsia="Times New Roman" w:cs="Times New Roman"/>
          <w:noProof/>
          <w:szCs w:val="20"/>
          <w:lang w:eastAsia="fr-FR"/>
        </w:rPr>
        <w:footnoteReference w:id="38"/>
      </w:r>
      <w:r>
        <w:rPr>
          <w:noProof/>
        </w:rPr>
        <w:t xml:space="preserve"> et reguleerida täitemenetluse ja maksejõuetusmenetluse mõju, eelkõige võlgnike, sealhulgas lastest võlgnike kaitsmiseks.</w:t>
      </w:r>
    </w:p>
    <w:p>
      <w:pPr>
        <w:pStyle w:val="Heading2"/>
        <w:rPr>
          <w:noProof/>
        </w:rPr>
      </w:pPr>
      <w:r>
        <w:rPr>
          <w:noProof/>
        </w:rPr>
        <w:t>Tõhusus</w:t>
      </w:r>
    </w:p>
    <w:p>
      <w:pPr>
        <w:rPr>
          <w:rFonts w:eastAsia="Times New Roman" w:cs="Times New Roman"/>
          <w:b/>
          <w:noProof/>
          <w:szCs w:val="20"/>
        </w:rPr>
      </w:pPr>
      <w:r>
        <w:rPr>
          <w:b/>
          <w:noProof/>
          <w:szCs w:val="20"/>
        </w:rPr>
        <w:t>Tsiviil-, kaubandus- ja haldusasjade menetlemist on tõhustatud.</w:t>
      </w:r>
      <w:r>
        <w:rPr>
          <w:noProof/>
        </w:rPr>
        <w:t xml:space="preserve"> Tsiviil- ja kaubandusasjade puhul ei ole erilisi probleeme,</w:t>
      </w:r>
      <w:r>
        <w:rPr>
          <w:rStyle w:val="FootnoteReference"/>
          <w:rFonts w:eastAsia="Times New Roman" w:cs="Times New Roman"/>
          <w:noProof/>
          <w:szCs w:val="20"/>
          <w:lang w:eastAsia="fr-FR"/>
        </w:rPr>
        <w:footnoteReference w:id="39"/>
      </w:r>
      <w:r>
        <w:rPr>
          <w:noProof/>
        </w:rPr>
        <w:t xml:space="preserve"> jätkus kohtumenetluste hinnangulise kestuse järkjärguline vähenemine</w:t>
      </w:r>
      <w:r>
        <w:rPr>
          <w:rStyle w:val="FootnoteReference"/>
          <w:rFonts w:eastAsia="Times New Roman" w:cs="Times New Roman"/>
          <w:noProof/>
          <w:szCs w:val="20"/>
          <w:lang w:eastAsia="fr-FR"/>
        </w:rPr>
        <w:footnoteReference w:id="40"/>
      </w:r>
      <w:r>
        <w:rPr>
          <w:noProof/>
        </w:rPr>
        <w:t>. Haldusasjade lahendamiseks vajalik aeg on eelmiste aastatega võrreldes märkimisväärselt vähenenud, näiteks 2019. aastal kulus esimese astme kohtu otsuse tegemiseks hinnanguliselt 356 päeva</w:t>
      </w:r>
      <w:r>
        <w:rPr>
          <w:rFonts w:eastAsia="Times New Roman" w:cs="Times New Roman"/>
          <w:noProof/>
          <w:szCs w:val="20"/>
          <w:vertAlign w:val="superscript"/>
          <w:lang w:eastAsia="fr-FR"/>
        </w:rPr>
        <w:footnoteReference w:id="41"/>
      </w:r>
      <w:r>
        <w:rPr>
          <w:noProof/>
        </w:rPr>
        <w:t>. Samal ajal tõusis haldusasjade lahendamise määr üle 107 %,</w:t>
      </w:r>
      <w:r>
        <w:rPr>
          <w:rFonts w:eastAsia="Times New Roman" w:cs="Times New Roman"/>
          <w:noProof/>
          <w:szCs w:val="20"/>
          <w:vertAlign w:val="superscript"/>
          <w:lang w:eastAsia="fr-FR"/>
        </w:rPr>
        <w:footnoteReference w:id="42"/>
      </w:r>
      <w:r>
        <w:rPr>
          <w:noProof/>
        </w:rPr>
        <w:t xml:space="preserve"> mis viitab sellele, et kohtud suudavad tegeleda ka kuhjunud kohtuasjadega. See positiivne suundumus võib tuleneda kohtunike üleviimisest muudest harudest halduskolleegiumidesse. 2020. aastal nimetati ametisse üheksa uut halduskohtunikku,</w:t>
      </w:r>
      <w:r>
        <w:rPr>
          <w:rFonts w:eastAsia="Times New Roman" w:cs="Times New Roman"/>
          <w:noProof/>
          <w:szCs w:val="20"/>
          <w:vertAlign w:val="superscript"/>
          <w:lang w:eastAsia="fr-FR"/>
        </w:rPr>
        <w:footnoteReference w:id="43"/>
      </w:r>
      <w:r>
        <w:rPr>
          <w:noProof/>
        </w:rPr>
        <w:t xml:space="preserve"> tänu millele võidakse menetlusi veelgi tõhustada. Sidusrühmad aga peavad muret tekitavaks, et üldiselt on kohtunikke liiga vähe, ja juhivad tähelepanu sellele, et justiitsministeerium ei lähtu uute ametisse nimetatavate kohtunike arvu määramisel kohtute tegelikust töökoormusest</w:t>
      </w:r>
      <w:r>
        <w:rPr>
          <w:rStyle w:val="FootnoteReference"/>
          <w:rFonts w:eastAsia="Times New Roman" w:cs="Times New Roman"/>
          <w:noProof/>
          <w:szCs w:val="20"/>
          <w:lang w:eastAsia="fr-FR"/>
        </w:rPr>
        <w:footnoteReference w:id="44"/>
      </w:r>
      <w:r>
        <w:rPr>
          <w:noProof/>
        </w:rPr>
        <w:t>.</w:t>
      </w:r>
    </w:p>
    <w:p>
      <w:pPr>
        <w:rPr>
          <w:rFonts w:eastAsia="Times New Roman" w:cs="Times New Roman"/>
          <w:noProof/>
          <w:szCs w:val="20"/>
        </w:rPr>
      </w:pPr>
      <w:r>
        <w:rPr>
          <w:b/>
          <w:noProof/>
          <w:szCs w:val="20"/>
        </w:rPr>
        <w:t>Kohtud ja prokuratuurid on seisnud COVID-19 pandeemia ajal silmitsi eri raskusastmega probleemidega</w:t>
      </w:r>
      <w:r>
        <w:rPr>
          <w:noProof/>
        </w:rPr>
        <w:t>. Tšehhi Vabariigi kõrgeim kohus ja kõrgeim halduskohus, mille menetlused on valdavalt kirjalikud, teatasid, et COVID-19 pandeemia ei mõjutanud nende tõhusust kuidagi</w:t>
      </w:r>
      <w:r>
        <w:rPr>
          <w:rStyle w:val="FootnoteReference"/>
          <w:rFonts w:eastAsia="Times New Roman" w:cs="Times New Roman"/>
          <w:noProof/>
          <w:szCs w:val="20"/>
          <w:lang w:eastAsia="fr-FR"/>
        </w:rPr>
        <w:footnoteReference w:id="45"/>
      </w:r>
      <w:r>
        <w:rPr>
          <w:noProof/>
        </w:rPr>
        <w:t>. Madalama astme kohtud olid sunnitud istungeid edasi lükkama, mis võib menetlusi pikendada,</w:t>
      </w:r>
      <w:r>
        <w:rPr>
          <w:rStyle w:val="FootnoteReference"/>
          <w:rFonts w:eastAsia="Times New Roman" w:cs="Times New Roman"/>
          <w:noProof/>
          <w:szCs w:val="20"/>
          <w:lang w:eastAsia="fr-FR"/>
        </w:rPr>
        <w:footnoteReference w:id="46"/>
      </w:r>
      <w:r>
        <w:rPr>
          <w:noProof/>
        </w:rPr>
        <w:t xml:space="preserve"> kuid kokkuvõttes ei teatanud kohtud suurematest häiretest</w:t>
      </w:r>
      <w:r>
        <w:rPr>
          <w:rStyle w:val="FootnoteReference"/>
          <w:rFonts w:eastAsia="Times New Roman" w:cs="Times New Roman"/>
          <w:noProof/>
          <w:szCs w:val="20"/>
          <w:lang w:eastAsia="fr-FR"/>
        </w:rPr>
        <w:footnoteReference w:id="47"/>
      </w:r>
      <w:r>
        <w:rPr>
          <w:noProof/>
        </w:rPr>
        <w:t>. Kaugtöö osutus prokuratuuri jaoks keerulisemaks vähese digiteerituse ja prokuratuuri töö olemuse tõttu</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KORRUPTSIOONIVASTANE RAAMISTIK</w:t>
      </w:r>
    </w:p>
    <w:p>
      <w:pPr>
        <w:rPr>
          <w:rFonts w:cs="Times New Roman"/>
          <w:noProof/>
          <w:color w:val="000000"/>
          <w:szCs w:val="24"/>
          <w:bdr w:val="none" w:sz="0" w:space="0" w:color="auto" w:frame="1"/>
        </w:rPr>
      </w:pPr>
      <w:r>
        <w:rPr>
          <w:noProof/>
        </w:rPr>
        <w:t>Tšehhi Vabariigil</w:t>
      </w:r>
      <w:r>
        <w:rPr>
          <w:noProof/>
          <w:color w:val="000000"/>
          <w:szCs w:val="24"/>
          <w:bdr w:val="none" w:sz="0" w:space="0" w:color="auto" w:frame="1"/>
        </w:rPr>
        <w:t xml:space="preserve"> on korruptsiooni ennetamise ja selle vastu võitlemise õigus- ja institutsiooniline raamistik üldjoontes paigas. Riikliku 2018.–2022. aasta korruptsioonivastase strateegia kui Tšehhi Vabariigi valitsuse tasandi korruptsioonivastase strateegilise raamistiku koordineerimise ja seire eest vastutab justiitsministeeriumi huvide konflikti ja korruptsioonivastase võitluse osakond. Korruptsioonivastane nõukogu on valitsuse nõuandeorgan. Riiklik organiseeritud kuritegevuse vastane amet on üleriigilise suurkorruptsiooni juhtumite uurimise pädevusega politseiüksus, kes tegutseb koostöös prokuratuuriga</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Finantsanalüüsi amet tegutseb Tšehhi Vabariigi rahapesu andmebüroona. Riigikontroll jälgib, kuidas riik haldab riigi tulusid ja kulusid ning selle järeldused võivad aidata välja selgitada korruptsiooniohtu.</w:t>
      </w:r>
    </w:p>
    <w:p>
      <w:pPr>
        <w:rPr>
          <w:rFonts w:cs="Times New Roman"/>
          <w:noProof/>
        </w:rPr>
      </w:pPr>
      <w:r>
        <w:rPr>
          <w:b/>
          <w:bCs/>
          <w:noProof/>
        </w:rPr>
        <w:t>Ekspertide ja ärijuhtide seas tajutakse, et avalikus sektoris on korruptsiooni tase endiselt suhteliselt kõrge.</w:t>
      </w:r>
      <w:r>
        <w:rPr>
          <w:noProof/>
        </w:rPr>
        <w:t xml:space="preserve"> Transparency Internationali 2020. aasta korruptsiooni tajumise indeks oli 54/100 ning Tšehhi Vabariik oli sellega Euroopa Liidus 14. ja maailmas 49. kohal</w:t>
      </w:r>
      <w:r>
        <w:rPr>
          <w:rFonts w:cs="Times New Roman"/>
          <w:bCs/>
          <w:noProof/>
          <w:szCs w:val="24"/>
          <w:vertAlign w:val="superscript"/>
        </w:rPr>
        <w:footnoteReference w:id="50"/>
      </w:r>
      <w:r>
        <w:rPr>
          <w:noProof/>
        </w:rPr>
        <w:t>. See näitaja on olnud viimase viie aasta jooksul</w:t>
      </w:r>
      <w:r>
        <w:rPr>
          <w:rFonts w:cs="Times New Roman"/>
          <w:noProof/>
          <w:szCs w:val="24"/>
          <w:vertAlign w:val="superscript"/>
        </w:rPr>
        <w:footnoteReference w:id="51"/>
      </w:r>
      <w:r>
        <w:rPr>
          <w:noProof/>
        </w:rPr>
        <w:t xml:space="preserve"> suhteliselt stabiilne</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Tšehhi Vabariigi valitsus võttis 2020. aasta detsembris vastu uue 2021.–2022. aasta korruptsioonivastase tegevuskava, milles kordas varasemaid prioriteete. </w:t>
      </w:r>
      <w:r>
        <w:rPr>
          <w:noProof/>
        </w:rPr>
        <w:t>See tegevuskava</w:t>
      </w:r>
      <w:r>
        <w:rPr>
          <w:rFonts w:cs="Times New Roman"/>
          <w:noProof/>
          <w:szCs w:val="24"/>
          <w:vertAlign w:val="superscript"/>
        </w:rPr>
        <w:footnoteReference w:id="53"/>
      </w:r>
      <w:r>
        <w:rPr>
          <w:noProof/>
        </w:rPr>
        <w:t xml:space="preserve"> on valitsuse praeguses 2018.–2022. aasta korruptsioonivastases strateegias</w:t>
      </w:r>
      <w:r>
        <w:rPr>
          <w:rFonts w:cs="Times New Roman"/>
          <w:noProof/>
          <w:szCs w:val="24"/>
          <w:vertAlign w:val="superscript"/>
        </w:rPr>
        <w:footnoteReference w:id="54"/>
      </w:r>
      <w:r>
        <w:rPr>
          <w:noProof/>
        </w:rPr>
        <w:t xml:space="preserve"> neljast kavast viimane. Eelmise kava</w:t>
      </w:r>
      <w:r>
        <w:rPr>
          <w:rStyle w:val="FootnoteReference"/>
          <w:rFonts w:cs="Times New Roman"/>
          <w:noProof/>
          <w:szCs w:val="24"/>
        </w:rPr>
        <w:footnoteReference w:id="55"/>
      </w:r>
      <w:r>
        <w:rPr>
          <w:noProof/>
        </w:rPr>
        <w:t xml:space="preserve"> neli prioriteetset valdkonda jäävad samaks</w:t>
      </w:r>
      <w:r>
        <w:rPr>
          <w:rFonts w:cs="Times New Roman"/>
          <w:noProof/>
          <w:szCs w:val="24"/>
          <w:vertAlign w:val="superscript"/>
        </w:rPr>
        <w:footnoteReference w:id="56"/>
      </w:r>
      <w:r>
        <w:rPr>
          <w:noProof/>
        </w:rPr>
        <w:t>. Valitsus keskendub seni täitmata eesmärkidele, sealhulgas rikkumisest teatajate kaitset ja lobitööd käsitlevate seadusandlike aktide vastuvõtmisele, samuti läbipaistvusele, teabe kättesaadavusele ja COVID-19 pandeemiaga seotud korruptsiooniriskidele</w:t>
      </w:r>
      <w:r>
        <w:rPr>
          <w:rFonts w:cs="Times New Roman"/>
          <w:noProof/>
          <w:szCs w:val="24"/>
          <w:vertAlign w:val="superscript"/>
        </w:rPr>
        <w:footnoteReference w:id="57"/>
      </w:r>
      <w:r>
        <w:rPr>
          <w:noProof/>
        </w:rPr>
        <w:t>. Eelmise, 2020. aasta tegevuskava järelhindamine avaldatakse 2022. aasta jaanuaris. Juba on alustatud uue 2022. aasta järgse korruptsioonivastase strateegia</w:t>
      </w:r>
      <w:r>
        <w:rPr>
          <w:rFonts w:cs="Times New Roman"/>
          <w:noProof/>
          <w:szCs w:val="24"/>
          <w:vertAlign w:val="superscript"/>
        </w:rPr>
        <w:footnoteReference w:id="58"/>
      </w:r>
      <w:r>
        <w:rPr>
          <w:noProof/>
        </w:rPr>
        <w:t xml:space="preserve"> ettevalmistavat analüütilist tööd ja tempot tõstetakse 2022. aasta kevadel, et hõlmata ametiaega alustava valitsuse uusi prioriteete ja Tšehhi Vabariigi rahvusvahelisi kohustusi puudutavaid meetmeid.</w:t>
      </w:r>
    </w:p>
    <w:p>
      <w:pPr>
        <w:rPr>
          <w:rFonts w:cs="Times New Roman"/>
          <w:noProof/>
          <w:szCs w:val="24"/>
        </w:rPr>
      </w:pPr>
      <w:r>
        <w:rPr>
          <w:b/>
          <w:noProof/>
          <w:szCs w:val="24"/>
        </w:rPr>
        <w:t>Korruptsiooni püütakse tõkestada ning korruptsiooni uurimise, selle eest süüdistuse esitamise ja süüdimõistmise juhtude arv on stabiilne.</w:t>
      </w:r>
      <w:r>
        <w:rPr>
          <w:noProof/>
        </w:rPr>
        <w:t xml:space="preserve"> Tšehhi Vabariigi õiguskaitseasutused alustasid 2020. aastal 180 korruptsiooniga seotud uurimist (võrreldes 152 uurimisega 2019. aastal)</w:t>
      </w:r>
      <w:r>
        <w:rPr>
          <w:rFonts w:cs="Times New Roman"/>
          <w:noProof/>
          <w:szCs w:val="24"/>
          <w:vertAlign w:val="superscript"/>
        </w:rPr>
        <w:footnoteReference w:id="59"/>
      </w:r>
      <w:r>
        <w:rPr>
          <w:noProof/>
        </w:rPr>
        <w:t xml:space="preserve"> ning korruptsioonikuritegudes süüdistati või nende toimepanemises kahtlustati</w:t>
      </w:r>
      <w:r>
        <w:rPr>
          <w:rFonts w:cs="Times New Roman"/>
          <w:noProof/>
          <w:szCs w:val="24"/>
          <w:vertAlign w:val="superscript"/>
        </w:rPr>
        <w:footnoteReference w:id="60"/>
      </w:r>
      <w:r>
        <w:rPr>
          <w:noProof/>
        </w:rPr>
        <w:t xml:space="preserve"> 180 isikut (võrreldes 190 isikuga 2019. aastal)</w:t>
      </w:r>
      <w:r>
        <w:rPr>
          <w:rFonts w:cs="Times New Roman"/>
          <w:noProof/>
          <w:szCs w:val="24"/>
          <w:vertAlign w:val="superscript"/>
        </w:rPr>
        <w:footnoteReference w:id="61"/>
      </w:r>
      <w:r>
        <w:rPr>
          <w:noProof/>
        </w:rPr>
        <w:t>. Kohtu alla anti 2020. aastal kokku 169 isikut (võrreldes 125 isikuga 2019. aastal)</w:t>
      </w:r>
      <w:r>
        <w:rPr>
          <w:rFonts w:cs="Times New Roman"/>
          <w:noProof/>
          <w:szCs w:val="24"/>
          <w:vertAlign w:val="superscript"/>
        </w:rPr>
        <w:footnoteReference w:id="62"/>
      </w:r>
      <w:r>
        <w:rPr>
          <w:noProof/>
        </w:rPr>
        <w:t xml:space="preserve"> ja 111 isikut mõisteti korruptsioonis süüdi (võrreldes 96 isikuga 2019. aastal). Eelmisel aastal oli korruptsiooni valdkonnas 23 õigeksmõistmist (sellele eelnenud aastal 30). Viimastel aastatel on valdavalt kõrgema astme prokuratuuri menetletud suurt avalikkuse tähelepanu pälvinud juhtumites keskendutud eelkõige riigihangete ja konkurentsiga (sealhulgas korruptsioon ja ametnike kuritegevus) ning suuremahulise maksudest kõrvalehoidmisega seotud kuritegudele</w:t>
      </w:r>
      <w:r>
        <w:rPr>
          <w:rFonts w:cs="Times New Roman"/>
          <w:noProof/>
          <w:szCs w:val="24"/>
          <w:vertAlign w:val="superscript"/>
        </w:rPr>
        <w:footnoteReference w:id="63"/>
      </w:r>
      <w:r>
        <w:rPr>
          <w:noProof/>
        </w:rPr>
        <w:t>. Tšehhi Vabariigi kriminaalseadustikus ei ole piiriülese altkäemaksu kriminaliseerimiseks eraldi kuriteoliiki, see kuulub üldise korruptsioonikuriteo alla</w:t>
      </w:r>
      <w:r>
        <w:rPr>
          <w:rFonts w:cs="Times New Roman"/>
          <w:noProof/>
          <w:szCs w:val="24"/>
          <w:vertAlign w:val="superscript"/>
        </w:rPr>
        <w:footnoteReference w:id="64"/>
      </w:r>
      <w:r>
        <w:rPr>
          <w:noProof/>
        </w:rPr>
        <w:t>. OECD on pidanud muret tekitavaks piiriülese altkäemaksu vastase õigusemõistmise madalat taset, samal ajal on Tšehhi majandus aga ekspordikeskne ning ekspordiga tegeletakse suure riskiga ja seega korruptsioonialtites sektorites</w:t>
      </w:r>
      <w:r>
        <w:rPr>
          <w:rFonts w:cs="Times New Roman"/>
          <w:noProof/>
          <w:szCs w:val="24"/>
          <w:vertAlign w:val="superscript"/>
        </w:rPr>
        <w:footnoteReference w:id="65"/>
      </w:r>
      <w:r>
        <w:rPr>
          <w:noProof/>
        </w:rPr>
        <w:t>. Seni rakendatud meetmed, sealhulgas spetsialiseerunud töötajate arvu kasv ja andmeanalüüsialase suutlikkuse suurendamine, ei ole aidanud piiriülest altkäemaksu avastada ja uurida. Seega tuleb leida viise, kuidas seada piiriülese altkäemaksu avastamine, uurimine ja selle eest süüdistuse esitamine prioriteediks. Õigusemõistmise suurendamise võimalused võivad olla näiteks eraldi piiriülese altkäemaksu kuriteoliigi kehtestamine või dekreet või riigisisene direktiiv, milles osutatakse piiriülese altkäemaksu tähtsusastmele</w:t>
      </w:r>
      <w:r>
        <w:rPr>
          <w:rStyle w:val="FootnoteReference"/>
          <w:rFonts w:cs="Times New Roman"/>
          <w:noProof/>
          <w:szCs w:val="24"/>
        </w:rPr>
        <w:footnoteReference w:id="66"/>
      </w:r>
      <w:r>
        <w:rPr>
          <w:noProof/>
        </w:rPr>
        <w:t>.</w:t>
      </w:r>
    </w:p>
    <w:p>
      <w:pPr>
        <w:rPr>
          <w:rFonts w:cs="Times New Roman"/>
          <w:noProof/>
        </w:rPr>
      </w:pPr>
      <w:r>
        <w:rPr>
          <w:b/>
          <w:noProof/>
        </w:rPr>
        <w:t xml:space="preserve">Uurimistes ja auditites on muret tekitavaks peetud teatavaid ELi vahendite kasutamisega seotud suurkorruptsiooni ja huvide konflikti juhtumeid. </w:t>
      </w:r>
      <w:r>
        <w:rPr>
          <w:noProof/>
        </w:rPr>
        <w:t>Euroopa Komisjoni 23. aprilli 2021. aasta aruandes, milles käsitleti Tšehhi ettevõtjale määratud 17 ELi toetuse väljamaksmise auditit, osutatakse avastatud õigusnormide rikkumistele ja huvide konfliktile, soovitades tagasi nõuda ligikaudu 11 miljonit eurot ELi 2012. aasta finantsmääruse nõuete ja Tšehhi Vabariigi huvide konflikti seaduse rikkumise eest</w:t>
      </w:r>
      <w:r>
        <w:rPr>
          <w:rFonts w:cs="Times New Roman"/>
          <w:noProof/>
          <w:vertAlign w:val="superscript"/>
        </w:rPr>
        <w:footnoteReference w:id="67"/>
      </w:r>
      <w:r>
        <w:rPr>
          <w:noProof/>
        </w:rPr>
        <w:t>. Juhtum saadeti hiljuti Euroopa Prokuratuurile, kes selle ka vastu võttis. Üldjuhul on Tšehhi Vabariigis huvide konflikti reguleeriva õigusakti alusel keelatud maksta toetusi äriühingutele, milles ametiisikul on 25 % või suurem osalus. Kehtestatud on strateegia võitluseks pettuste ja korruptsiooni vastu ELi fondides aastateks 2014–2020,</w:t>
      </w:r>
      <w:r>
        <w:rPr>
          <w:rFonts w:cs="Times New Roman"/>
          <w:noProof/>
          <w:vertAlign w:val="superscript"/>
        </w:rPr>
        <w:footnoteReference w:id="68"/>
      </w:r>
      <w:r>
        <w:rPr>
          <w:noProof/>
        </w:rPr>
        <w:t xml:space="preserve"> milles on sätestatud põhilised eeskirjad, millega kaasnevad haldusasutustele kehtivad menetlusnormid. Samas on mõnel juhul aga väljendatud muret seoses ELi vahendite haldamise ja jaotamisega, sealhulgas Euroopa Pettustevastase Ameti (OLAF) pettustealastes uurimistes ja nendega seotud riiklikes uurimistes, mille põhjal tehti hiljuti soovitus esitada süüdistus kõrgetasemelises juhtumis</w:t>
      </w:r>
      <w:r>
        <w:rPr>
          <w:rFonts w:cs="Times New Roman"/>
          <w:noProof/>
          <w:vertAlign w:val="superscript"/>
        </w:rPr>
        <w:footnoteReference w:id="69"/>
      </w:r>
      <w:r>
        <w:rPr>
          <w:noProof/>
        </w:rPr>
        <w:t>.</w:t>
      </w:r>
    </w:p>
    <w:p>
      <w:pPr>
        <w:rPr>
          <w:rFonts w:cs="Times New Roman"/>
          <w:noProof/>
          <w:color w:val="FF0000"/>
          <w:szCs w:val="24"/>
        </w:rPr>
      </w:pPr>
      <w:r>
        <w:rPr>
          <w:b/>
          <w:noProof/>
          <w:szCs w:val="24"/>
        </w:rPr>
        <w:t>Asjaomaste asutuste vaheline praktiline koostöö Tšehhi Vabariigis korruptsiooni vastu võitlemiseks toimib hästi ning politseis kavandatakse suuremat spetsialiseerumist ja IT arendamist</w:t>
      </w:r>
      <w:r>
        <w:rPr>
          <w:noProof/>
        </w:rPr>
        <w:t>. Prokuratuuri, politsei ja rahapesu andmebüroo vaheline koostöö osutus suuremahulistes operatsioonides tihedaks ja tulemuslikuks</w:t>
      </w:r>
      <w:r>
        <w:rPr>
          <w:rFonts w:cs="Times New Roman"/>
          <w:noProof/>
          <w:szCs w:val="24"/>
          <w:vertAlign w:val="superscript"/>
        </w:rPr>
        <w:footnoteReference w:id="70"/>
      </w:r>
      <w:r>
        <w:rPr>
          <w:noProof/>
        </w:rPr>
        <w:t>. Politsei ja prokuratuur leiavad, et vahendid,</w:t>
      </w:r>
      <w:r>
        <w:rPr>
          <w:rFonts w:cs="Times New Roman"/>
          <w:noProof/>
          <w:szCs w:val="24"/>
          <w:vertAlign w:val="superscript"/>
        </w:rPr>
        <w:footnoteReference w:id="71"/>
      </w:r>
      <w:r>
        <w:rPr>
          <w:noProof/>
        </w:rPr>
        <w:t xml:space="preserve"> uurijate ja prokuröride spetsialiseerituse tase ning nende juurdepääs asjakohasele teabele on piisavad, et täita korruptsiooni tõkestamise ülesandeid. Politseipresiidium, mis seisab hierarhias kõrgemal riiklikust organiseeritud kuritegevuse vastasest ametist, juhib keskset analüüsiüksust, et esitada suuniseid ja aidata kogu politseid juhtumianalüüsiga. Politsei vajaduste tulemuslikuks täitmiseks ja strateegilisemate luureteabe tasandite loomiseks oleks endiselt vaja analüütikute suuremat spetsialiseeritust ning täiendavaid IT-vahendeid ja -funktsioone</w:t>
      </w:r>
      <w:r>
        <w:rPr>
          <w:rFonts w:cs="Times New Roman"/>
          <w:noProof/>
          <w:szCs w:val="24"/>
          <w:vertAlign w:val="superscript"/>
        </w:rPr>
        <w:footnoteReference w:id="72"/>
      </w:r>
      <w:r>
        <w:rPr>
          <w:noProof/>
        </w:rPr>
        <w:t>. Uurimisteenistuste 2019. aasta kontseptsioonidokumenti, milles neid parandusi nõutakse, rakendatakse ja seejärel vaadatakse see üle eeldatavasti 2022. aastal</w:t>
      </w:r>
      <w:r>
        <w:rPr>
          <w:rFonts w:cs="Times New Roman"/>
          <w:noProof/>
          <w:szCs w:val="24"/>
          <w:vertAlign w:val="superscript"/>
        </w:rPr>
        <w:footnoteReference w:id="73"/>
      </w:r>
      <w:r>
        <w:rPr>
          <w:noProof/>
        </w:rPr>
        <w:t>.</w:t>
      </w:r>
    </w:p>
    <w:p>
      <w:pPr>
        <w:rPr>
          <w:rFonts w:cs="Times New Roman"/>
          <w:bCs/>
          <w:noProof/>
          <w:szCs w:val="24"/>
        </w:rPr>
      </w:pPr>
      <w:r>
        <w:rPr>
          <w:b/>
          <w:bCs/>
          <w:noProof/>
          <w:szCs w:val="24"/>
        </w:rPr>
        <w:t>Eelmisest aruandeperioodist saadik ootavad vastuvõtmist lobitöö eeskirjad, mille eesmärk on suurendada Tšehhi Vabariigi seadusandliku protsessi läbipaistvust.</w:t>
      </w:r>
      <w:r>
        <w:rPr>
          <w:noProof/>
        </w:rPr>
        <w:t xml:space="preserve"> Endiselt arutletavad vastuolulised teemad on seotud lobisti määratluse eranditega</w:t>
      </w:r>
      <w:r>
        <w:rPr>
          <w:rFonts w:cs="Times New Roman"/>
          <w:bCs/>
          <w:noProof/>
          <w:szCs w:val="24"/>
          <w:vertAlign w:val="superscript"/>
        </w:rPr>
        <w:footnoteReference w:id="74"/>
      </w:r>
      <w:r>
        <w:rPr>
          <w:noProof/>
        </w:rPr>
        <w:t>. Eeskirjadega</w:t>
      </w:r>
      <w:r>
        <w:rPr>
          <w:rStyle w:val="FootnoteReference"/>
          <w:rFonts w:cs="Times New Roman"/>
          <w:bCs/>
          <w:noProof/>
          <w:szCs w:val="24"/>
        </w:rPr>
        <w:footnoteReference w:id="75"/>
      </w:r>
      <w:r>
        <w:rPr>
          <w:noProof/>
        </w:rPr>
        <w:t xml:space="preserve"> nähtaks ette üldsusele juurdepääsetava lobistide ja lobitöös osalevate ametiisikute registri loomine, lobistide ja lobitöös osalevate ametiisikute kohustus avalikustada lobitööga seotud kontaktid ning nn seadusandliku jalajälje kasutuselevõtt, et avalikustada, kes millist seadusandlikku ettepanekut püüab mõjutada</w:t>
      </w:r>
      <w:r>
        <w:rPr>
          <w:rStyle w:val="FootnoteReference"/>
          <w:rFonts w:cs="Times New Roman"/>
          <w:bCs/>
          <w:noProof/>
          <w:szCs w:val="24"/>
        </w:rPr>
        <w:footnoteReference w:id="76"/>
      </w:r>
      <w:r>
        <w:rPr>
          <w:noProof/>
        </w:rPr>
        <w:t>. Registrit peaks pidama poliitiliste parteide ja liikumiste rahastamise järelevalve amet. Avalikustamata jätmise eest võib määrata ligikaudu 3 860 euro (100 000 Tšehhi krooni) suuruse trahvi. Lobitöö eeskirjad</w:t>
      </w:r>
      <w:r>
        <w:rPr>
          <w:rStyle w:val="FootnoteReference"/>
          <w:rFonts w:cs="Times New Roman"/>
          <w:bCs/>
          <w:noProof/>
          <w:szCs w:val="24"/>
        </w:rPr>
        <w:footnoteReference w:id="77"/>
      </w:r>
      <w:r>
        <w:rPr>
          <w:noProof/>
        </w:rPr>
        <w:t xml:space="preserve"> sisaldaksid ka rangemaid eeskirju kingituste deklareerimise kohta. Juba olemasolevale huvide konflikti keskregistrile teatatavate kingituste künnis langetataks ligikaudu 400 eurolt (10 000 Tšehhi krooni) ligikaudu 200 euroni (5 000 Tšehhi krooni).</w:t>
      </w:r>
    </w:p>
    <w:p>
      <w:pPr>
        <w:rPr>
          <w:rFonts w:cs="Times New Roman"/>
          <w:b/>
          <w:bCs/>
          <w:noProof/>
          <w:szCs w:val="24"/>
        </w:rPr>
      </w:pPr>
      <w:r>
        <w:rPr>
          <w:b/>
          <w:bCs/>
          <w:noProof/>
          <w:szCs w:val="24"/>
        </w:rPr>
        <w:t xml:space="preserve">Tehtud on ettevalmistavaid jõupingutusi esindajatekoja liikmetele kehtivate eetikaeeskirjade tugevdamiseks. </w:t>
      </w:r>
      <w:r>
        <w:rPr>
          <w:noProof/>
        </w:rPr>
        <w:t>Seni ei ole esindajatekoja liikmetele kehtestatud sellist konkreetset eetikakoodeksit, nagu on avaliku halduse kesktasandil kehtestatud avalikele teenistujatele</w:t>
      </w:r>
      <w:r>
        <w:rPr>
          <w:rStyle w:val="FootnoteReference"/>
          <w:rFonts w:cs="Times New Roman"/>
          <w:noProof/>
          <w:szCs w:val="24"/>
        </w:rPr>
        <w:footnoteReference w:id="78"/>
      </w:r>
      <w:r>
        <w:rPr>
          <w:noProof/>
        </w:rPr>
        <w:t>. Esindajatekoja kodukorra seaduse kavandatud muudatus, mis võimaldaks esindajatekojal võtta vastu käitumisjuhendi, ei ole saanud piisavat poliitilist toetust</w:t>
      </w:r>
      <w:r>
        <w:rPr>
          <w:rFonts w:cs="Times New Roman"/>
          <w:noProof/>
          <w:szCs w:val="24"/>
          <w:vertAlign w:val="superscript"/>
        </w:rPr>
        <w:footnoteReference w:id="79"/>
      </w:r>
      <w:r>
        <w:rPr>
          <w:noProof/>
        </w:rPr>
        <w:t>. Mõned parteid on sätestanud eetikakoodeksid oma liikmetele</w:t>
      </w:r>
      <w:r>
        <w:rPr>
          <w:rFonts w:cs="Times New Roman"/>
          <w:noProof/>
          <w:szCs w:val="24"/>
          <w:vertAlign w:val="superscript"/>
        </w:rPr>
        <w:footnoteReference w:id="80"/>
      </w:r>
      <w:r>
        <w:rPr>
          <w:noProof/>
        </w:rPr>
        <w:t>. Jätkuvalt on probleeme eriti seoses parlamendiliikmetele tehtavate kingitustega, sest puudub asjakohane raamistik, mis hõlmaks ka muid hüvesid, nagu mitterahalised eelised ja teenused, ning parlamendiliikmetel ei ole praktilisi suuniseid</w:t>
      </w:r>
      <w:r>
        <w:rPr>
          <w:rFonts w:cs="Times New Roman"/>
          <w:noProof/>
          <w:szCs w:val="24"/>
          <w:vertAlign w:val="superscript"/>
        </w:rPr>
        <w:footnoteReference w:id="81"/>
      </w:r>
      <w:r>
        <w:rPr>
          <w:noProof/>
        </w:rPr>
        <w:t>.</w:t>
      </w:r>
    </w:p>
    <w:p>
      <w:pPr>
        <w:rPr>
          <w:rFonts w:cs="Times New Roman"/>
          <w:noProof/>
          <w:szCs w:val="24"/>
        </w:rPr>
      </w:pPr>
      <w:r>
        <w:rPr>
          <w:b/>
          <w:noProof/>
          <w:szCs w:val="24"/>
        </w:rPr>
        <w:t xml:space="preserve">Konstitutsioonikohtu otsusest lähtudes tegi valitsus 2020. aastal otsuse, et vara deklareerimise kohustus ei laiene abikaasa sissetulekule. </w:t>
      </w:r>
      <w:r>
        <w:rPr>
          <w:noProof/>
        </w:rPr>
        <w:t>Parlamendiliikmed peavad oma varadeklaratsioonis teataval määral avalikustama oma abikaasa</w:t>
      </w:r>
      <w:r>
        <w:rPr>
          <w:b/>
          <w:noProof/>
          <w:szCs w:val="24"/>
        </w:rPr>
        <w:t xml:space="preserve"> </w:t>
      </w:r>
      <w:r>
        <w:rPr>
          <w:noProof/>
        </w:rPr>
        <w:t>varad,</w:t>
      </w:r>
      <w:r>
        <w:rPr>
          <w:rFonts w:cs="Times New Roman"/>
          <w:noProof/>
          <w:szCs w:val="24"/>
          <w:vertAlign w:val="superscript"/>
        </w:rPr>
        <w:footnoteReference w:id="82"/>
      </w:r>
      <w:r>
        <w:rPr>
          <w:noProof/>
        </w:rPr>
        <w:t xml:space="preserve"> näiteks vastava parlamendiliikme ja tema abikaasa ühisomandi. Avalikustamiskohustus ei laiene abikaasa sissetulekule ega ülalpeetavate pereliikmete varale</w:t>
      </w:r>
      <w:r>
        <w:rPr>
          <w:rFonts w:cs="Times New Roman"/>
          <w:noProof/>
          <w:szCs w:val="24"/>
          <w:vertAlign w:val="superscript"/>
        </w:rPr>
        <w:footnoteReference w:id="83"/>
      </w:r>
      <w:r>
        <w:rPr>
          <w:noProof/>
        </w:rPr>
        <w:t>. Konstitutsioonikohtu tehtud otsuse</w:t>
      </w:r>
      <w:r>
        <w:rPr>
          <w:rFonts w:cs="Times New Roman"/>
          <w:noProof/>
          <w:szCs w:val="24"/>
          <w:vertAlign w:val="superscript"/>
        </w:rPr>
        <w:footnoteReference w:id="84"/>
      </w:r>
      <w:r>
        <w:rPr>
          <w:noProof/>
        </w:rPr>
        <w:t xml:space="preserve"> alusel otsustas valitsus selles küsimuses vara deklareerimise eeskirju rohkem mitte muuta</w:t>
      </w:r>
      <w:r>
        <w:rPr>
          <w:rFonts w:cs="Times New Roman"/>
          <w:noProof/>
          <w:szCs w:val="24"/>
          <w:vertAlign w:val="superscript"/>
        </w:rPr>
        <w:footnoteReference w:id="85"/>
      </w:r>
      <w:r>
        <w:rPr>
          <w:noProof/>
        </w:rPr>
        <w:t>.</w:t>
      </w:r>
    </w:p>
    <w:p>
      <w:pPr>
        <w:rPr>
          <w:rFonts w:cs="Times New Roman"/>
          <w:noProof/>
          <w:szCs w:val="24"/>
        </w:rPr>
      </w:pPr>
      <w:r>
        <w:rPr>
          <w:b/>
          <w:bCs/>
          <w:noProof/>
          <w:szCs w:val="24"/>
        </w:rPr>
        <w:t>Parteide rahastamiseks tehtavaid annetusi käsitlevad eeskirjad on üldjoontes asjakohased, kuid praktikas on endiselt probleeme</w:t>
      </w:r>
      <w:r>
        <w:rPr>
          <w:rFonts w:cs="Times New Roman"/>
          <w:b/>
          <w:bCs/>
          <w:noProof/>
          <w:szCs w:val="24"/>
          <w:vertAlign w:val="superscript"/>
        </w:rPr>
        <w:footnoteReference w:id="86"/>
      </w:r>
      <w:r>
        <w:rPr>
          <w:b/>
          <w:bCs/>
          <w:noProof/>
          <w:szCs w:val="24"/>
        </w:rPr>
        <w:t xml:space="preserve">. </w:t>
      </w:r>
      <w:r>
        <w:rPr>
          <w:noProof/>
        </w:rPr>
        <w:t>Parteide ja poliitiliste liikumiste seaduses</w:t>
      </w:r>
      <w:r>
        <w:rPr>
          <w:rFonts w:cs="Times New Roman"/>
          <w:bCs/>
          <w:noProof/>
          <w:szCs w:val="24"/>
          <w:vertAlign w:val="superscript"/>
        </w:rPr>
        <w:footnoteReference w:id="87"/>
      </w:r>
      <w:r>
        <w:rPr>
          <w:noProof/>
        </w:rPr>
        <w:t xml:space="preserve"> on sätestatud igale annetajale ligikaudu 120 000 euro (3 000 000 Tšehhi krooni) suurune ülemmäär. Kõik üle umbes 40 euro (1 000 Tšehhi krooni suurused annetused tuleb dokumenteerida. Välisriikide üksikisikute või avaliku sektori asutuste annetused ei ole lubatud. Valimisperioodil saadud annetused tuleb avalikustada internetis vähemalt kolm päeva enne valimisi</w:t>
      </w:r>
      <w:r>
        <w:rPr>
          <w:rFonts w:eastAsia="Times New Roman" w:cs="Times New Roman"/>
          <w:noProof/>
          <w:szCs w:val="24"/>
          <w:vertAlign w:val="superscript"/>
        </w:rPr>
        <w:footnoteReference w:id="88"/>
      </w:r>
      <w:r>
        <w:rPr>
          <w:noProof/>
        </w:rPr>
        <w:t>. Selle tegemata jätmise eest võib määrata ligikaudu 4 000 – 80 000 euro (100 000 – 2 000 000 Tšehhi krooni) suuruse trahvi. Järelevalve eest vastutab parteide ja poliitiliste liikumiste rahastamise järelevalve amet</w:t>
      </w:r>
      <w:r>
        <w:rPr>
          <w:rFonts w:cs="Times New Roman"/>
          <w:noProof/>
          <w:szCs w:val="24"/>
          <w:vertAlign w:val="superscript"/>
        </w:rPr>
        <w:footnoteReference w:id="89"/>
      </w:r>
      <w:r>
        <w:rPr>
          <w:noProof/>
        </w:rPr>
        <w:t>. Endiselt on struktuurilisi puudujääke, sest üksikutelt annetajatelt saadavate annetuste ülemmäärasid käsitlevaid eeskirju ei kohaldata presidendivalimistele</w:t>
      </w:r>
      <w:r>
        <w:rPr>
          <w:rFonts w:cs="Times New Roman"/>
          <w:noProof/>
          <w:szCs w:val="24"/>
          <w:vertAlign w:val="superscript"/>
        </w:rPr>
        <w:footnoteReference w:id="90"/>
      </w:r>
      <w:r>
        <w:rPr>
          <w:noProof/>
        </w:rPr>
        <w:t xml:space="preserve"> ega mittetulundusühendustelt saadavatele annetustele</w:t>
      </w:r>
      <w:r>
        <w:rPr>
          <w:rFonts w:cs="Times New Roman"/>
          <w:noProof/>
          <w:szCs w:val="24"/>
          <w:vertAlign w:val="superscript"/>
        </w:rPr>
        <w:footnoteReference w:id="91"/>
      </w:r>
      <w:r>
        <w:rPr>
          <w:noProof/>
        </w:rPr>
        <w:t>. Takistusi esineb ka paljude juriidiliste isikutega ärivõrgustikelt saadud annetuste järelevalves</w:t>
      </w:r>
      <w:r>
        <w:rPr>
          <w:rFonts w:cs="Times New Roman"/>
          <w:noProof/>
          <w:szCs w:val="24"/>
          <w:vertAlign w:val="superscript"/>
        </w:rPr>
        <w:footnoteReference w:id="92"/>
      </w:r>
      <w:r>
        <w:rPr>
          <w:noProof/>
        </w:rPr>
        <w:t>. Valitsus kavatseb teha üksikasjalikuma analüüsi, et täpsemalt välja selgitada praktikas ette tulevad seadusandlikud lüngad ja probleemid</w:t>
      </w:r>
      <w:r>
        <w:rPr>
          <w:rFonts w:cs="Times New Roman"/>
          <w:noProof/>
          <w:szCs w:val="24"/>
          <w:vertAlign w:val="superscript"/>
        </w:rPr>
        <w:footnoteReference w:id="93"/>
      </w:r>
      <w:r>
        <w:rPr>
          <w:noProof/>
        </w:rPr>
        <w:t>.</w:t>
      </w:r>
    </w:p>
    <w:p>
      <w:pPr>
        <w:rPr>
          <w:rFonts w:cs="Times New Roman"/>
          <w:bCs/>
          <w:noProof/>
          <w:szCs w:val="24"/>
        </w:rPr>
      </w:pPr>
      <w:r>
        <w:rPr>
          <w:b/>
          <w:bCs/>
          <w:noProof/>
          <w:szCs w:val="24"/>
        </w:rPr>
        <w:t>Endiselt on menetlemisel riigikontrolli tugevdamiseks põhiseaduses tehtavad muudatused.</w:t>
      </w:r>
      <w:r>
        <w:rPr>
          <w:noProof/>
        </w:rPr>
        <w:t xml:space="preserve"> Riigikontrolli seadust muutva seaduseelnõuga</w:t>
      </w:r>
      <w:r>
        <w:rPr>
          <w:rFonts w:cs="Times New Roman"/>
          <w:bCs/>
          <w:noProof/>
          <w:szCs w:val="24"/>
          <w:vertAlign w:val="superscript"/>
        </w:rPr>
        <w:footnoteReference w:id="94"/>
      </w:r>
      <w:r>
        <w:rPr>
          <w:noProof/>
        </w:rPr>
        <w:t xml:space="preserve"> rakendataks põhiseaduse muudatust</w:t>
      </w:r>
      <w:r>
        <w:rPr>
          <w:rStyle w:val="FootnoteReference"/>
          <w:rFonts w:cs="Times New Roman"/>
          <w:bCs/>
          <w:noProof/>
          <w:szCs w:val="24"/>
        </w:rPr>
        <w:footnoteReference w:id="95"/>
      </w:r>
      <w:r>
        <w:rPr>
          <w:noProof/>
        </w:rPr>
        <w:t>. Sellega laiendataks riigikontrolli volitusi, lubades sellel auditeerida ka kohalike omavalitsuste, tervisekindlustusettevõtjate ja riigi osalusega ettevõtete (s.o ettevõtted, millest suurim osa kuulub riigile või mida kontrollib riik või kohalik omavalitsus) avaliku sektoriga seotud kulutusi. Eelnõu vastuvõtmisega viivitatakse</w:t>
      </w:r>
      <w:r>
        <w:rPr>
          <w:rFonts w:cs="Times New Roman"/>
          <w:bCs/>
          <w:noProof/>
          <w:szCs w:val="24"/>
          <w:vertAlign w:val="superscript"/>
        </w:rPr>
        <w:footnoteReference w:id="96"/>
      </w:r>
      <w:r>
        <w:rPr>
          <w:noProof/>
        </w:rPr>
        <w:t xml:space="preserve"> hoolimata sellest, et tegemist on valitsuse programmi seletuskirjas sätestatud prioriteediga.</w:t>
      </w:r>
    </w:p>
    <w:p>
      <w:pPr>
        <w:rPr>
          <w:rFonts w:cs="Times New Roman"/>
          <w:noProof/>
          <w:szCs w:val="24"/>
        </w:rPr>
      </w:pPr>
      <w:r>
        <w:rPr>
          <w:b/>
          <w:bCs/>
          <w:noProof/>
          <w:szCs w:val="24"/>
        </w:rPr>
        <w:t xml:space="preserve">Parlamendile on tutvustatud rikkumisest teatajate kaitset käsitlevat ettevalmistavat tööd. </w:t>
      </w:r>
      <w:r>
        <w:rPr>
          <w:noProof/>
        </w:rPr>
        <w:t>Valitsus kiitis 25. jaanuaril 2021. aastal heaks rikkumisest teatajate kaitse eelnõu ning sellega kaasneva ja seda muutva seaduse</w:t>
      </w:r>
      <w:r>
        <w:rPr>
          <w:rFonts w:cs="Times New Roman"/>
          <w:noProof/>
          <w:szCs w:val="24"/>
          <w:vertAlign w:val="superscript"/>
        </w:rPr>
        <w:footnoteReference w:id="97"/>
      </w:r>
      <w:r>
        <w:rPr>
          <w:noProof/>
        </w:rPr>
        <w:t>. Praegu ootavad mõlemad teist lugemist esindajatekojas</w:t>
      </w:r>
      <w:r>
        <w:rPr>
          <w:rFonts w:cs="Times New Roman"/>
          <w:noProof/>
          <w:szCs w:val="24"/>
          <w:vertAlign w:val="superscript"/>
        </w:rPr>
        <w:footnoteReference w:id="98"/>
      </w:r>
      <w:r>
        <w:rPr>
          <w:noProof/>
        </w:rPr>
        <w:t xml:space="preserve"> ja neid arutatakse esindajatekoja asjaomastes komisjonides</w:t>
      </w:r>
      <w:r>
        <w:rPr>
          <w:rStyle w:val="FootnoteReference"/>
          <w:rFonts w:cs="Times New Roman"/>
          <w:noProof/>
          <w:szCs w:val="24"/>
        </w:rPr>
        <w:footnoteReference w:id="99"/>
      </w:r>
      <w:r>
        <w:rPr>
          <w:noProof/>
        </w:rPr>
        <w:t>. Seaduseelnõus nähakse ette sisearuandlussüsteemide loomine ja rikkumisest teatajate võimalus teatada võimalikest rikkumistest justiitsministeeriumile.</w:t>
      </w:r>
    </w:p>
    <w:p>
      <w:pPr>
        <w:rPr>
          <w:rFonts w:cs="Times New Roman"/>
          <w:bCs/>
          <w:i/>
          <w:noProof/>
          <w:szCs w:val="24"/>
        </w:rPr>
      </w:pPr>
      <w:r>
        <w:rPr>
          <w:b/>
          <w:bCs/>
          <w:noProof/>
          <w:szCs w:val="24"/>
        </w:rPr>
        <w:t>Riigi osalusega ettevõtete juhtimist reguleeritakse, kuid praktikas esineb probleeme.</w:t>
      </w:r>
      <w:r>
        <w:rPr>
          <w:noProof/>
        </w:rPr>
        <w:t xml:space="preserve"> Riigi osalusega ettevõtetesse poliitilistel põhjustel töötajate nimetamise vältimist ei ole praktikas veel süstemaatiliselt tagatud</w:t>
      </w:r>
      <w:r>
        <w:rPr>
          <w:rFonts w:cs="Times New Roman"/>
          <w:bCs/>
          <w:noProof/>
          <w:szCs w:val="24"/>
          <w:vertAlign w:val="superscript"/>
        </w:rPr>
        <w:footnoteReference w:id="100"/>
      </w:r>
      <w:r>
        <w:rPr>
          <w:noProof/>
        </w:rPr>
        <w:t>. Valitsus kiitis 2020. aastal heaks riigiomandi poliitika strateegia,</w:t>
      </w:r>
      <w:r>
        <w:rPr>
          <w:rFonts w:cs="Times New Roman"/>
          <w:noProof/>
          <w:szCs w:val="24"/>
          <w:vertAlign w:val="superscript"/>
        </w:rPr>
        <w:footnoteReference w:id="101"/>
      </w:r>
      <w:r>
        <w:rPr>
          <w:noProof/>
        </w:rPr>
        <w:t xml:space="preserve"> mis põhineb OECD 2015. aasta suunistel riigi osalusega ettevõtete juhtimise kohta. Strateegiaga püütakse tagada, et riik kasutab oma omandiõigust riigi osalusega ettevõtetes läbipaistvalt ja tulemuslikult.</w:t>
      </w:r>
    </w:p>
    <w:p>
      <w:pPr>
        <w:rPr>
          <w:rFonts w:cs="Times New Roman"/>
          <w:b/>
          <w:bCs/>
          <w:noProof/>
          <w:szCs w:val="24"/>
        </w:rPr>
      </w:pPr>
      <w:r>
        <w:rPr>
          <w:b/>
          <w:bCs/>
          <w:noProof/>
          <w:szCs w:val="24"/>
        </w:rPr>
        <w:t xml:space="preserve">COVID-19 pandeemia tõttu aeglustusid konkreetsete valdkondade korruptsioonivastased reformid. </w:t>
      </w:r>
      <w:r>
        <w:rPr>
          <w:noProof/>
        </w:rPr>
        <w:t>Enamik 2020. aastasse kavandatud korruptsioonivastaseid meetmeid, eriti tervishoiusektoris, lükati edasi</w:t>
      </w:r>
      <w:r>
        <w:rPr>
          <w:rFonts w:cs="Times New Roman"/>
          <w:bCs/>
          <w:noProof/>
          <w:szCs w:val="24"/>
          <w:vertAlign w:val="superscript"/>
        </w:rPr>
        <w:footnoteReference w:id="102"/>
      </w:r>
      <w:r>
        <w:rPr>
          <w:noProof/>
        </w:rPr>
        <w:t>. Uues, 2021.–2022. aasta korruptsioonivastases tegevuskavas nähakse ette riigihangete valdkonna sihipärased meetmed, sealhulgas erimärgised lepinguregistris</w:t>
      </w:r>
      <w:r>
        <w:rPr>
          <w:rStyle w:val="FootnoteReference"/>
          <w:rFonts w:cs="Times New Roman"/>
          <w:bCs/>
          <w:noProof/>
          <w:szCs w:val="24"/>
        </w:rPr>
        <w:footnoteReference w:id="103"/>
      </w:r>
      <w:r>
        <w:rPr>
          <w:noProof/>
        </w:rPr>
        <w:t xml:space="preserve"> COVID-19 pandeemiaga seotud riigihankelepingutele ja eriolukordades või sarnastes kriisiolukordades</w:t>
      </w:r>
      <w:r>
        <w:rPr>
          <w:rFonts w:cs="Times New Roman"/>
          <w:bCs/>
          <w:noProof/>
          <w:szCs w:val="24"/>
          <w:vertAlign w:val="superscript"/>
        </w:rPr>
        <w:footnoteReference w:id="104"/>
      </w:r>
      <w:r>
        <w:rPr>
          <w:noProof/>
        </w:rPr>
        <w:t xml:space="preserve"> kasutatava riigihangete metoodika väljatöötamine. Üldiselt leitakse, et registril on positiivne mõju korruptsiooni ennetamisele, sest see suurendab läbipaistvust ja avaliku järelevalve võimalikkust.</w:t>
      </w:r>
    </w:p>
    <w:p>
      <w:pPr>
        <w:pStyle w:val="Heading1"/>
        <w:rPr>
          <w:noProof/>
        </w:rPr>
      </w:pPr>
      <w:r>
        <w:rPr>
          <w:noProof/>
        </w:rPr>
        <w:t>MEEDIA MITMEKESISUS JA MEEDIAVABADUS</w:t>
      </w:r>
    </w:p>
    <w:p>
      <w:pPr>
        <w:rPr>
          <w:rFonts w:eastAsia="Times New Roman" w:cs="Times New Roman"/>
          <w:noProof/>
          <w:szCs w:val="24"/>
        </w:rPr>
      </w:pPr>
      <w:r>
        <w:rPr>
          <w:noProof/>
        </w:rPr>
        <w:t>Tšehhi Vabariigi põhiseaduslikku korda lõimitud põhiõiguste ja -vabaduste hartaga tagatakse väljendusvabadus ja õigus teabele ning keelatakse selge sõnaga tsensuur. Raadio- ja teleringhäälingu seadusega määratakse selgelt kindlaks Tšehhi Vabariigi meediat reguleeriva asutuse pädevus. Teabele vaba juurdepääsu seadusega tagatakse juurdepääs avaliku sektori asutuste käsutuses olevale teabele</w:t>
      </w:r>
      <w:r>
        <w:rPr>
          <w:rStyle w:val="FootnoteReference"/>
          <w:rFonts w:cs="Times New Roman"/>
          <w:noProof/>
        </w:rPr>
        <w:footnoteReference w:id="105"/>
      </w:r>
      <w:r>
        <w:rPr>
          <w:noProof/>
        </w:rPr>
        <w:t>.</w:t>
      </w:r>
    </w:p>
    <w:p>
      <w:pPr>
        <w:rPr>
          <w:rFonts w:cs="Times New Roman"/>
          <w:noProof/>
        </w:rPr>
      </w:pPr>
      <w:r>
        <w:rPr>
          <w:b/>
          <w:bCs/>
          <w:noProof/>
        </w:rPr>
        <w:t>Ootel on reform raadio- ja teleringhäälingu nõukogu sõltumatuse edasiseks tugevdamiseks</w:t>
      </w:r>
      <w:r>
        <w:rPr>
          <w:rStyle w:val="FootnoteReference"/>
          <w:rFonts w:cs="Times New Roman"/>
          <w:b/>
          <w:bCs/>
          <w:noProof/>
        </w:rPr>
        <w:footnoteReference w:id="106"/>
      </w:r>
      <w:r>
        <w:rPr>
          <w:noProof/>
        </w:rPr>
        <w:t>. Raadio- ja teleringhäälingu seadusega luuakse nõukogu, mis on 13 liikmest koosnev sõltumatu haldusorgan, ning sätestatakse nõukogu ülesanded ja kohustused, nõukogu liikmete ja juhi valikukriteeriumid, välistavad kriteeriumid ja ametisse nimetamise kord</w:t>
      </w:r>
      <w:r>
        <w:rPr>
          <w:rStyle w:val="FootnoteReference"/>
          <w:rFonts w:cs="Times New Roman"/>
          <w:noProof/>
        </w:rPr>
        <w:footnoteReference w:id="107"/>
      </w:r>
      <w:r>
        <w:rPr>
          <w:noProof/>
        </w:rPr>
        <w:t>. Kui nõukogu rikub korduvalt ja tõsiselt seaduses sätestatud kohustusi või selle kohustuslik aastaaruanne ei saa suurte puuduste tõttu korduvalt heakskiitu, võib esindajatekoda teha peaministrile ettepaneku nõukogu täies koosseisus tagasi kutsuda. Augustis 2020</w:t>
      </w:r>
      <w:r>
        <w:rPr>
          <w:rStyle w:val="FootnoteReference"/>
          <w:rFonts w:cs="Times New Roman"/>
          <w:noProof/>
        </w:rPr>
        <w:footnoteReference w:id="108"/>
      </w:r>
      <w:r>
        <w:rPr>
          <w:noProof/>
        </w:rPr>
        <w:t xml:space="preserve"> esitatud reformiga</w:t>
      </w:r>
      <w:r>
        <w:rPr>
          <w:rStyle w:val="FootnoteReference"/>
          <w:rFonts w:cs="Times New Roman"/>
          <w:noProof/>
        </w:rPr>
        <w:footnoteReference w:id="109"/>
      </w:r>
      <w:r>
        <w:rPr>
          <w:noProof/>
        </w:rPr>
        <w:t xml:space="preserve"> kaotataks peaministri roll ametisse nimetamise protsessis, samal ajal piirates esindajatekoja võimu, nii et eespool nimetatud juhtudel saab esindajatekoda teha ettepaneku vaid üksikute liikmete ametist vabastamise kohta. See tugevdaks nõukogu kui organi sõltumatust. Muudatus tähendaks ka, et parlament peaks esitama nõukogu liikmete ametist vabastamise põhjused. Sellise muudatusega soovitakse täita läbivaadatud audiovisuaalmeedia teenuste direktiivis sisalduvad sõltumatusega seotud eesmärgid.</w:t>
      </w:r>
    </w:p>
    <w:p>
      <w:pPr>
        <w:rPr>
          <w:rFonts w:cs="Times New Roman"/>
          <w:noProof/>
        </w:rPr>
      </w:pPr>
      <w:r>
        <w:rPr>
          <w:b/>
          <w:bCs/>
          <w:noProof/>
        </w:rPr>
        <w:t>Raadio- ja teleringhäälingu nõukogu pädevus on seaduses täpselt kindlaks määratud ja seda kohaldatakse tulemuslikult praktikas</w:t>
      </w:r>
      <w:r>
        <w:rPr>
          <w:noProof/>
        </w:rPr>
        <w:t>. Reguleerimisasutus ei eelda, et ringhäälinguseaduse kavandatud muudatustel (vt eespool) oleks märkimisväärne mõju nõukogu tööle, ja eeldatakse vaid mõnetist töötajate koondamist. Tšehhi Vabariigi raadio- ja teleringhäälingu seaduses nähakse ette nõukogu tunnustatavate isereguleeruvate organite tegevus. Sellised organid võivad jagada teavet nende hõlmatavate valdkondadega seotud kohtumenetlustes. Eespool nimetatud seaduseelnõus suurendataks isereguleerimise ulatust. Muret on väljendatud eraldiseisva Tšehhi televisiooni järelevalvenõukogu liikmete valimise protsessi ja sõltumatuse üle</w:t>
      </w:r>
      <w:r>
        <w:rPr>
          <w:rStyle w:val="FootnoteReference"/>
          <w:rFonts w:eastAsia="Calibri" w:cs="Times New Roman"/>
          <w:noProof/>
        </w:rPr>
        <w:footnoteReference w:id="110"/>
      </w:r>
      <w:r>
        <w:rPr>
          <w:noProof/>
        </w:rPr>
        <w:t>.</w:t>
      </w:r>
    </w:p>
    <w:p>
      <w:pPr>
        <w:rPr>
          <w:rFonts w:cs="Times New Roman"/>
          <w:noProof/>
        </w:rPr>
      </w:pPr>
      <w:r>
        <w:rPr>
          <w:b/>
          <w:bCs/>
          <w:noProof/>
        </w:rPr>
        <w:t>Tšehhi Vabariik võttis vastu õigusakti, millega reguleeritakse tegelikult kasu saava omaniku läbipaistvust</w:t>
      </w:r>
      <w:r>
        <w:rPr>
          <w:noProof/>
        </w:rPr>
        <w:t xml:space="preserve"> </w:t>
      </w:r>
      <w:r>
        <w:rPr>
          <w:b/>
          <w:bCs/>
          <w:noProof/>
        </w:rPr>
        <w:t>ja mida kohaldatakse ka meediaomandi suhtes</w:t>
      </w:r>
      <w:r>
        <w:rPr>
          <w:noProof/>
        </w:rPr>
        <w:t>. 5. jaanuari 2021. aasta õigusaktiga nr 37/2021 Sb., millega võetakse üle ELi viies rahapesuvastane direktiiv, kehtestatakse sellisele teabele juurdepääsuks kahetasandiline süsteem. Sellega tagatakse justiitsministeeriumi peetava registri kaudu üldsuse juurdepääs piiratud hulgale omanditeabele ja luuakse mehhanismid, mis võimaldavad teatavatel asutustel kehtestada sanktsioone nõutud andmete puudumise eest. Samas peetakse meedia mitmekesisuse seire 2021. aasta aruandes seda suure riskiga valdkonnaks, arvestades, et süsteem ei kohusta tegelikult meediaettevõtjaid avalikustama üldsusele oma täielikke omandistruktuure</w:t>
      </w:r>
      <w:r>
        <w:rPr>
          <w:rStyle w:val="FootnoteReference"/>
          <w:rFonts w:eastAsia="Times New Roman" w:cs="Times New Roman"/>
          <w:noProof/>
        </w:rPr>
        <w:footnoteReference w:id="111"/>
      </w:r>
      <w:r>
        <w:rPr>
          <w:noProof/>
        </w:rPr>
        <w:t>. Tšehhi Vabariigis teatatakse uudistemeedia suurest kontsentratsioonist, mis tuleneb eelkõige suurest kontsentreerumisest meedia eri allsektorites</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Tšehhi Vabariik ei ole võtnud vastu seadusi riikliku reklaami jaotamise reguleerimiseks. </w:t>
      </w:r>
      <w:r>
        <w:rPr>
          <w:noProof/>
        </w:rPr>
        <w:t>Tšehhi Vabariigil ei ole erieeskirju riikliku reklaami jaotamise kohta peale riigihangete seaduses sätestatud reklaami üldnõuete, st et riiklikud reklaamilepingud väärtusega üle 2 000 euro (50 000 Tšehhi krooni) tuleb avalikustada riiklikus registris</w:t>
      </w:r>
      <w:r>
        <w:rPr>
          <w:rStyle w:val="FootnoteReference"/>
          <w:rFonts w:cs="Times New Roman"/>
          <w:noProof/>
        </w:rPr>
        <w:footnoteReference w:id="113"/>
      </w:r>
      <w:r>
        <w:rPr>
          <w:noProof/>
        </w:rPr>
        <w:t>. Meedia mitmekesisuse seire 2021. aasta aruandes viidatakse Tšehhi Vabariigi ministeeriumide 2010.–2018. aasta reklaamikulutuste seirele, mida tegi Tšehhi uuriva ajakirjanduse keskus,</w:t>
      </w:r>
      <w:r>
        <w:rPr>
          <w:rStyle w:val="FootnoteReference"/>
          <w:rFonts w:eastAsia="Times New Roman" w:cs="Times New Roman"/>
          <w:noProof/>
        </w:rPr>
        <w:footnoteReference w:id="114"/>
      </w:r>
      <w:r>
        <w:rPr>
          <w:noProof/>
        </w:rPr>
        <w:t xml:space="preserve"> mis avastas märkimisväärseid erinevusi selles, kuidas ministeeriumid eri meediakanalitele reklaamikulusid jaotavad. Meedia mitmekesisuse seire 2021. aasta aruandes märgitakse, et see viitab favoritismile ja üldisele läbipaistvuse puudumisele</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Juurdepääs teabele on tagatud seadusega, kuid praktikas esineb takistusi</w:t>
      </w:r>
      <w:r>
        <w:rPr>
          <w:noProof/>
        </w:rPr>
        <w:t>. Muudetud ei ole teabele vaba juurdepääsu seadust, millega tagatakse juurdepääs avaliku sektori asutuste käsutuses olevale teabele</w:t>
      </w:r>
      <w:r>
        <w:rPr>
          <w:rStyle w:val="FootnoteReference"/>
          <w:rFonts w:cs="Times New Roman"/>
          <w:noProof/>
        </w:rPr>
        <w:footnoteReference w:id="116"/>
      </w:r>
      <w:r>
        <w:rPr>
          <w:noProof/>
        </w:rPr>
        <w:t>. Meedia mitmekesisuse seire 2021. aasta aruandes osutatakse teatavate avaliku sektori asutuste mitmele katsele sekkuda COVID-19 pandeemia ajal teabe levitamisse. Aruandes juhitakse hoiatavalt tähelepanu tervishoiuteabe ja -statistika instituudi keeldumisele avaldada üksikasjalikke andmeid COVID-19 infektsioonide leviku kohta</w:t>
      </w:r>
      <w:r>
        <w:rPr>
          <w:rStyle w:val="FootnoteReference"/>
          <w:rFonts w:eastAsia="Times New Roman" w:cs="Times New Roman"/>
          <w:noProof/>
          <w:szCs w:val="24"/>
        </w:rPr>
        <w:footnoteReference w:id="117"/>
      </w:r>
      <w:r>
        <w:rPr>
          <w:noProof/>
        </w:rPr>
        <w:t>.</w:t>
      </w:r>
    </w:p>
    <w:p>
      <w:pPr>
        <w:rPr>
          <w:noProof/>
        </w:rPr>
      </w:pPr>
      <w:r>
        <w:rPr>
          <w:b/>
          <w:bCs/>
          <w:noProof/>
        </w:rPr>
        <w:t>Ehkki ajakirjanikele ei ole füüsilist kahju tekitatud, ei ole nende vastu suunatud sõnalised solvangud, ahistamine ja ähvardused internetis harvad</w:t>
      </w:r>
      <w:r>
        <w:rPr>
          <w:rStyle w:val="FootnoteReference"/>
          <w:rFonts w:cs="Times New Roman"/>
          <w:b/>
          <w:bCs/>
          <w:noProof/>
        </w:rPr>
        <w:footnoteReference w:id="118"/>
      </w:r>
      <w:r>
        <w:rPr>
          <w:noProof/>
        </w:rPr>
        <w:t>. Nii meedia mitmekesisuse seire 2021. aasta aruanne kui ka Piirideta Reporterite ajakirjandusvabaduse indeks viitavad asjaolule, et elukutse esindajad peavad pidevalt taluma teatavate parteide ja kõrgete ametiisikute sõnalisi rünnakuid</w:t>
      </w:r>
      <w:r>
        <w:rPr>
          <w:rStyle w:val="FootnoteReference"/>
          <w:rFonts w:eastAsia="Times New Roman" w:cs="Times New Roman"/>
          <w:noProof/>
        </w:rPr>
        <w:footnoteReference w:id="119"/>
      </w:r>
      <w:r>
        <w:rPr>
          <w:noProof/>
        </w:rPr>
        <w:t>. Euroopa Nõukogu ajakirjanduse kaitse ja ajakirjanike turvalisuse edendamise platvormil ei registreeritud Tšehhi Vabariigis 2020. aastal ühtki teatist. Eespool nimetatud küsimuses registreeriti 2021. aastal üks teatis seoses Tšehhi televisiooninõukoguga. Meedia toetamise kava COVID-19 pandeemia mõju leevendamiseks vastu ei võetud.</w:t>
      </w:r>
      <w:r>
        <w:rPr>
          <w:b/>
          <w:bCs/>
          <w:noProof/>
        </w:rPr>
        <w:t xml:space="preserve"> </w:t>
      </w:r>
      <w:r>
        <w:rPr>
          <w:noProof/>
        </w:rPr>
        <w:t>Meedia mitmekesisuse seire 2021. aasta aruande kohaselt kahjustas COVID-19 pandeemia tõsiselt trükimeedia sektorit</w:t>
      </w:r>
      <w:r>
        <w:rPr>
          <w:rStyle w:val="FootnoteReference"/>
          <w:rFonts w:eastAsia="Times New Roman" w:cs="Times New Roman"/>
          <w:noProof/>
        </w:rPr>
        <w:footnoteReference w:id="120"/>
      </w:r>
      <w:r>
        <w:rPr>
          <w:noProof/>
        </w:rPr>
        <w:t>.</w:t>
      </w:r>
    </w:p>
    <w:p>
      <w:pPr>
        <w:pStyle w:val="Heading1"/>
        <w:rPr>
          <w:noProof/>
        </w:rPr>
      </w:pPr>
      <w:r>
        <w:rPr>
          <w:noProof/>
        </w:rPr>
        <w:t>MUUD KONTROLLI- JA TASAKAALUSTUSSÜSTEEMIGA SEOTUD INSTITUTSIOONILISED KÜSIMUSED</w:t>
      </w:r>
    </w:p>
    <w:p>
      <w:pPr>
        <w:rPr>
          <w:rFonts w:cs="Times New Roman"/>
          <w:b/>
          <w:noProof/>
          <w:szCs w:val="24"/>
        </w:rPr>
      </w:pPr>
      <w:r>
        <w:rPr>
          <w:noProof/>
        </w:rPr>
        <w:t>Tšehhi Vabariigis on kahekojaline parlamentaarne valitsemissüsteem</w:t>
      </w:r>
      <w:r>
        <w:rPr>
          <w:noProof/>
          <w:vertAlign w:val="superscript"/>
          <w:lang w:eastAsia="fr-FR"/>
        </w:rPr>
        <w:footnoteReference w:id="121"/>
      </w:r>
      <w:r>
        <w:rPr>
          <w:noProof/>
        </w:rPr>
        <w:t xml:space="preserve"> ning riigi president valitakse otse. Seadusandlikke ettepanekuid võivad esitada esindajatekoja liige, esindajatekoja liikmete rühm, senat, valitsus või kõrgemate autonoomsete piirkondade esindusorganid</w:t>
      </w:r>
      <w:r>
        <w:rPr>
          <w:noProof/>
          <w:vertAlign w:val="superscript"/>
          <w:lang w:eastAsia="fr-FR"/>
        </w:rPr>
        <w:footnoteReference w:id="122"/>
      </w:r>
      <w:r>
        <w:rPr>
          <w:noProof/>
        </w:rPr>
        <w:t>. Konstitutsioonikohus võib hinnata tagantjärele põhiseaduslikkust. Peale kohtusüsteemi on kontrolli- ja tasakaalustussüsteemis osa ombudsmani ametil ja kodanikuühiskonnal.</w:t>
      </w:r>
    </w:p>
    <w:p>
      <w:pPr>
        <w:rPr>
          <w:rFonts w:cs="Times New Roman"/>
          <w:noProof/>
          <w:szCs w:val="24"/>
        </w:rPr>
      </w:pPr>
      <w:r>
        <w:rPr>
          <w:b/>
          <w:noProof/>
          <w:szCs w:val="24"/>
        </w:rPr>
        <w:t xml:space="preserve">2020. aastal ja 2021. aasta alguses võeti peaaegu pooled õigusaktidest seoses eriolukorraga vastu seadusandlikus lühimenetluses. </w:t>
      </w:r>
      <w:r>
        <w:rPr>
          <w:noProof/>
        </w:rPr>
        <w:t>2020. aasta jaanuarist kuni 2021. aasta veebruari keskpaigani parlamendis vastuvõetud ja seaduste kogus avaldatud 128 õigusaktist võeti 60 akti vastu eriolukorraga seotud seadusandlikus menetluses kokkuvõtliku läbivaatamise kaudu</w:t>
      </w:r>
      <w:r>
        <w:rPr>
          <w:rStyle w:val="FootnoteReference"/>
          <w:rFonts w:cs="Times New Roman"/>
          <w:noProof/>
          <w:szCs w:val="24"/>
        </w:rPr>
        <w:footnoteReference w:id="123"/>
      </w:r>
      <w:r>
        <w:rPr>
          <w:noProof/>
        </w:rPr>
        <w:t xml:space="preserve"> ja täiendavad 12 õigusakti kiirmenetluses, kus õigusakt võetakse vastu esimesel lugemisel</w:t>
      </w:r>
      <w:r>
        <w:rPr>
          <w:rFonts w:cs="Times New Roman"/>
          <w:noProof/>
          <w:szCs w:val="24"/>
          <w:vertAlign w:val="superscript"/>
        </w:rPr>
        <w:footnoteReference w:id="124"/>
      </w:r>
      <w:r>
        <w:rPr>
          <w:noProof/>
        </w:rPr>
        <w:t>.</w:t>
      </w:r>
      <w:r>
        <w:rPr>
          <w:b/>
          <w:noProof/>
          <w:szCs w:val="24"/>
        </w:rPr>
        <w:t xml:space="preserve"> </w:t>
      </w:r>
      <w:r>
        <w:rPr>
          <w:noProof/>
        </w:rPr>
        <w:t>Sidusrühmad on väljendanud muret, et neid menetlusi kasutati ka selliste õigusaktide puhul, mis ei olnud seotud COVID-19 pandeemiaga toimetulekuga, ja on kritiseerinud liiga paljude erandite tegemist sidusrühmadega konsulteerimise eeskirjadest</w:t>
      </w:r>
      <w:r>
        <w:rPr>
          <w:rFonts w:cs="Times New Roman"/>
          <w:noProof/>
          <w:szCs w:val="24"/>
          <w:vertAlign w:val="superscript"/>
        </w:rPr>
        <w:footnoteReference w:id="125"/>
      </w:r>
      <w:r>
        <w:rPr>
          <w:noProof/>
        </w:rPr>
        <w:t>. Lisaks on eriolukorra meetmeid, mille valitsus on võtnud vastu COVID-19 pandeemiaga võitlemiseks, kritiseeritud selle eest, et need ei sisalda konkreetset, arusaadavat ja põhjendatud selgitust</w:t>
      </w:r>
      <w:r>
        <w:rPr>
          <w:rFonts w:cs="Times New Roman"/>
          <w:noProof/>
          <w:szCs w:val="24"/>
          <w:vertAlign w:val="superscript"/>
        </w:rPr>
        <w:footnoteReference w:id="126"/>
      </w:r>
      <w:r>
        <w:rPr>
          <w:noProof/>
        </w:rPr>
        <w:t>. Mõlemad parlamendikojad võtsid meetmeid</w:t>
      </w:r>
      <w:r>
        <w:rPr>
          <w:rStyle w:val="FootnoteReference"/>
          <w:rFonts w:cs="Times New Roman"/>
          <w:noProof/>
          <w:szCs w:val="24"/>
        </w:rPr>
        <w:footnoteReference w:id="127"/>
      </w:r>
      <w:r>
        <w:rPr>
          <w:noProof/>
        </w:rPr>
        <w:t xml:space="preserve"> viiruse leviku tõkestamiseks oma ruumides, sealhulgas võimalus proportsionaalselt piirata kohalviibivate parlamendiliikmete arvu</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Eriolukord kestis suurema osa 2020. aastast ja 2021. aasta alguses väljendati muret selle põhiseaduslikkuse pärast </w:t>
      </w:r>
      <w:r>
        <w:rPr>
          <w:noProof/>
        </w:rPr>
        <w:t>Põhiseaduse kohase julgeolekuseaduse kohaselt võib valitsus eriolukorra</w:t>
      </w:r>
      <w:r>
        <w:rPr>
          <w:rStyle w:val="FootnoteReference"/>
          <w:rFonts w:cs="Times New Roman"/>
          <w:noProof/>
          <w:szCs w:val="24"/>
        </w:rPr>
        <w:footnoteReference w:id="129"/>
      </w:r>
      <w:r>
        <w:rPr>
          <w:noProof/>
        </w:rPr>
        <w:t xml:space="preserve"> välja kuulutada kuni 30 päevaks ja pikendada seda üksnes esindajatekoja eelneval heakskiidul</w:t>
      </w:r>
      <w:r>
        <w:rPr>
          <w:rFonts w:cs="Times New Roman"/>
          <w:noProof/>
          <w:szCs w:val="24"/>
          <w:vertAlign w:val="superscript"/>
        </w:rPr>
        <w:footnoteReference w:id="130"/>
      </w:r>
      <w:r>
        <w:rPr>
          <w:noProof/>
        </w:rPr>
        <w:t>. Pärast 12. märtsist 2020 kuni 17. maini 2020 kestnud eriolukorda</w:t>
      </w:r>
      <w:r>
        <w:rPr>
          <w:rFonts w:cs="Times New Roman"/>
          <w:noProof/>
          <w:szCs w:val="24"/>
          <w:vertAlign w:val="superscript"/>
        </w:rPr>
        <w:footnoteReference w:id="131"/>
      </w:r>
      <w:r>
        <w:rPr>
          <w:noProof/>
        </w:rPr>
        <w:t xml:space="preserve"> kuulutas valitsus eriolukorra uuesti välja alates 5. oktoobrist 2020 ja pikendas seda aeg-ajalt esindajatekoja heakskiidul kuni 14. veebruarini 2021. Esindajatekoda keeldus 11. veebruaril 2021 eelneva heakskiidu andmisest eriolukorra täiendavale pikendamisele. Seejärel kuulutas valitsus 14 päevaks välja uue eriolukorra, tuginedes piirkondlike omavalitsuste juhtide taotlusele</w:t>
      </w:r>
      <w:r>
        <w:rPr>
          <w:rStyle w:val="FootnoteReference"/>
          <w:rFonts w:cs="Times New Roman"/>
          <w:noProof/>
          <w:szCs w:val="24"/>
        </w:rPr>
        <w:footnoteReference w:id="132"/>
      </w:r>
      <w:r>
        <w:rPr>
          <w:noProof/>
        </w:rPr>
        <w:t xml:space="preserve"> – seda otsust kritiseeriti, pidades seda muu hulgas põhiseadusnormidest kõrvalehoidmiseks</w:t>
      </w:r>
      <w:r>
        <w:rPr>
          <w:rStyle w:val="FootnoteReference"/>
          <w:rFonts w:cs="Times New Roman"/>
          <w:noProof/>
          <w:szCs w:val="24"/>
        </w:rPr>
        <w:footnoteReference w:id="133"/>
      </w:r>
      <w:r>
        <w:rPr>
          <w:noProof/>
        </w:rPr>
        <w:t>. Seejärel otsustas esindajatekoda, et see eriolukord lõpeb uue pandeemiaseaduse jõustumisega, kuid hiljemalt 27. veebruaril 2021</w:t>
      </w:r>
      <w:r>
        <w:rPr>
          <w:rStyle w:val="FootnoteReference"/>
          <w:rFonts w:cs="Times New Roman"/>
          <w:noProof/>
          <w:szCs w:val="24"/>
        </w:rPr>
        <w:footnoteReference w:id="134"/>
      </w:r>
      <w:r>
        <w:rPr>
          <w:noProof/>
        </w:rPr>
        <w:t>. Rühm senati liikmeid esitas ka kaebuse konstitutsioonikohtule, kes pidas kaebust vastuvõetamatuks,</w:t>
      </w:r>
      <w:r>
        <w:rPr>
          <w:rStyle w:val="FootnoteReference"/>
          <w:rFonts w:cs="Times New Roman"/>
          <w:noProof/>
          <w:szCs w:val="24"/>
        </w:rPr>
        <w:footnoteReference w:id="135"/>
      </w:r>
      <w:r>
        <w:rPr>
          <w:noProof/>
        </w:rPr>
        <w:t xml:space="preserve"> kuid märkis siiski, et eriolukorda võib pikendada üksnes esindajatekoja heakskiidul ja et põhiseaduses ette nähtud pikendusviisi ei saa asendada uue eriolukorra väljakuulutamisega</w:t>
      </w:r>
      <w:r>
        <w:rPr>
          <w:rStyle w:val="FootnoteReference"/>
          <w:rFonts w:cs="Times New Roman"/>
          <w:noProof/>
          <w:szCs w:val="24"/>
        </w:rPr>
        <w:footnoteReference w:id="136"/>
      </w:r>
      <w:r>
        <w:rPr>
          <w:noProof/>
        </w:rPr>
        <w:t>. Olukorra halvenemise tõttu kuulutas valitsus 30 päevaks välja uue eriolukorra alates 27. veebruarist 2021. Seda pikendati esindajatekoja eelneval nõusolekul 11. aprillini 2021.</w:t>
      </w:r>
    </w:p>
    <w:p>
      <w:pPr>
        <w:rPr>
          <w:rFonts w:cs="Times New Roman"/>
          <w:noProof/>
          <w:szCs w:val="24"/>
        </w:rPr>
      </w:pPr>
      <w:r>
        <w:rPr>
          <w:b/>
          <w:noProof/>
          <w:szCs w:val="24"/>
        </w:rPr>
        <w:t>Kohtud jätkasid eriolukorra meetmete kasutamise läbivaatamist</w:t>
      </w:r>
      <w:r>
        <w:rPr>
          <w:rStyle w:val="FootnoteReference"/>
          <w:rFonts w:cs="Times New Roman"/>
          <w:b/>
          <w:noProof/>
          <w:szCs w:val="24"/>
        </w:rPr>
        <w:footnoteReference w:id="137"/>
      </w:r>
      <w:r>
        <w:rPr>
          <w:noProof/>
        </w:rPr>
        <w:t>. COVID-19 pandeemiale reageerimiseks kehtestatud eriolukorra meetmeid on kohtud, sealhulgas konstitutsioonikohus, sageli läbi vaadanud</w:t>
      </w:r>
      <w:r>
        <w:rPr>
          <w:rStyle w:val="FootnoteReference"/>
          <w:rFonts w:cs="Times New Roman"/>
          <w:noProof/>
          <w:szCs w:val="24"/>
        </w:rPr>
        <w:footnoteReference w:id="138"/>
      </w:r>
      <w:r>
        <w:rPr>
          <w:noProof/>
        </w:rPr>
        <w:t>. Sidusrühmad aga märgivad, et jõustunud meetmeid on muudetud liiga kiiresti, nii et kohtud ei jõua õigel ajal reageerida</w:t>
      </w:r>
      <w:r>
        <w:rPr>
          <w:rStyle w:val="FootnoteReference"/>
          <w:rFonts w:cs="Times New Roman"/>
          <w:noProof/>
          <w:szCs w:val="24"/>
        </w:rPr>
        <w:footnoteReference w:id="139"/>
      </w:r>
      <w:r>
        <w:rPr>
          <w:noProof/>
        </w:rPr>
        <w:t>.</w:t>
      </w:r>
    </w:p>
    <w:p>
      <w:pPr>
        <w:rPr>
          <w:rFonts w:cs="Times New Roman"/>
          <w:noProof/>
          <w:szCs w:val="24"/>
        </w:rPr>
      </w:pPr>
      <w:r>
        <w:rPr>
          <w:b/>
          <w:noProof/>
          <w:szCs w:val="24"/>
        </w:rPr>
        <w:t>Pandeemia tõttu viibib õigusloomeprotsessi läbipaistvust suurendavate projektide elluviimine.</w:t>
      </w:r>
      <w:r>
        <w:rPr>
          <w:noProof/>
        </w:rPr>
        <w:t xml:space="preserve"> Eriolukorra ja COVID-19 pandeemiaga seotud piirangute mõju tõttu lükatakse edasi portaalide „eSbírka“ ja „eLegislativa“</w:t>
      </w:r>
      <w:r>
        <w:rPr>
          <w:rFonts w:cs="Times New Roman"/>
          <w:noProof/>
          <w:szCs w:val="24"/>
          <w:vertAlign w:val="superscript"/>
        </w:rPr>
        <w:footnoteReference w:id="140"/>
      </w:r>
      <w:r>
        <w:rPr>
          <w:noProof/>
        </w:rPr>
        <w:t xml:space="preserve"> loomise projekti elluviimine. Projekt võimaldaks hõlpsamat kontrolli ja osalemist õigusloomeprotsessis. Süsteemi katsetamine ja kasutajate koolitamine peaks nüüd algama 2021. aasta novembris ja portaalid peaksid tegevust alustama 1. jaanuaril 2023</w:t>
      </w:r>
      <w:r>
        <w:rPr>
          <w:rStyle w:val="FootnoteReference"/>
          <w:rFonts w:cs="Times New Roman"/>
          <w:noProof/>
          <w:szCs w:val="24"/>
        </w:rPr>
        <w:footnoteReference w:id="141"/>
      </w:r>
      <w:r>
        <w:rPr>
          <w:noProof/>
        </w:rPr>
        <w:t>.</w:t>
      </w:r>
    </w:p>
    <w:p>
      <w:pPr>
        <w:rPr>
          <w:rFonts w:cs="Times New Roman"/>
          <w:noProof/>
          <w:szCs w:val="24"/>
        </w:rPr>
      </w:pPr>
      <w:r>
        <w:rPr>
          <w:b/>
          <w:noProof/>
          <w:szCs w:val="24"/>
        </w:rPr>
        <w:t>Parlamendis arutatakse lapse õiguste kaitsjat (laste ombudsmani) käsitleva seaduse eelnõu</w:t>
      </w:r>
      <w:r>
        <w:rPr>
          <w:noProof/>
        </w:rPr>
        <w:t>. Esindajatekoja liikmete rühma 2020. aasta juunis esitatud seaduseelnõus tehakse ettepanek luua õiguste avalikust kaitsjast – kes tegutseb praegu ka lapse õiguste konventsiooni järelevalveorganina – eraldiseisev institutsioon. Veel ei ole esitatud seadusandlikku ettepanekut riikliku inimõiguste asutuse loomise kohta. Ombudsmani esimesel ametiaastal kritiseerisid teda sidusrühmad, eelkõige meelevaldsuse ja avalduste eest, milles väidetavalt seatakse kahtluse alla proportsionaalsuse põhimõtte kohaldamine üksikisiku õiguste piiramisel</w:t>
      </w:r>
      <w:r>
        <w:rPr>
          <w:rFonts w:cs="Times New Roman"/>
          <w:noProof/>
          <w:szCs w:val="24"/>
          <w:vertAlign w:val="superscript"/>
        </w:rPr>
        <w:footnoteReference w:id="142"/>
      </w:r>
      <w:r>
        <w:rPr>
          <w:noProof/>
        </w:rPr>
        <w:t>. Kriitikat pälvisid ka tema avaldused, milles ta peab küsitavaks teatavate vähemusrühmade diskrimineerimise olemasolu</w:t>
      </w:r>
      <w:r>
        <w:rPr>
          <w:rFonts w:cs="Times New Roman"/>
          <w:noProof/>
          <w:szCs w:val="24"/>
          <w:vertAlign w:val="superscript"/>
        </w:rPr>
        <w:footnoteReference w:id="143"/>
      </w:r>
      <w:r>
        <w:rPr>
          <w:noProof/>
        </w:rPr>
        <w:t>. COVID-19 pandeemia ajal on õiguste avalik kaitsja uurinud mitut pandeemiaga seotud küsimust</w:t>
      </w:r>
      <w:r>
        <w:rPr>
          <w:rStyle w:val="FootnoteReference"/>
          <w:rFonts w:cs="Times New Roman"/>
          <w:noProof/>
          <w:szCs w:val="24"/>
        </w:rPr>
        <w:footnoteReference w:id="144"/>
      </w:r>
      <w:r>
        <w:rPr>
          <w:noProof/>
        </w:rPr>
        <w:t>. Riigiasutused muutsid hiljem mitut uuritud meedet</w:t>
      </w:r>
      <w:r>
        <w:rPr>
          <w:rStyle w:val="FootnoteReference"/>
          <w:rFonts w:cs="Times New Roman"/>
          <w:noProof/>
          <w:szCs w:val="24"/>
        </w:rPr>
        <w:footnoteReference w:id="145"/>
      </w:r>
      <w:r>
        <w:rPr>
          <w:noProof/>
        </w:rPr>
        <w:t>.</w:t>
      </w:r>
    </w:p>
    <w:p>
      <w:pPr>
        <w:rPr>
          <w:noProof/>
        </w:rPr>
      </w:pPr>
      <w:r>
        <w:rPr>
          <w:b/>
          <w:noProof/>
          <w:szCs w:val="24"/>
        </w:rPr>
        <w:t>COVID-19 pandeemia käigus kohaldatud piirangud on märkimisväärselt mõjutanud kodanikuühiskonna organisatsioone.</w:t>
      </w:r>
      <w:r>
        <w:rPr>
          <w:noProof/>
        </w:rPr>
        <w:t xml:space="preserve"> Kodanikuühiskonna tegutsemisruumi peetakse avatuks</w:t>
      </w:r>
      <w:r>
        <w:rPr>
          <w:noProof/>
          <w:szCs w:val="24"/>
          <w:vertAlign w:val="superscript"/>
          <w:lang w:eastAsia="fr-FR"/>
        </w:rPr>
        <w:footnoteReference w:id="146"/>
      </w:r>
      <w:r>
        <w:rPr>
          <w:noProof/>
        </w:rPr>
        <w:t xml:space="preserve"> ja kodanikuühiskond osaleb aktiivselt avalikes valdkondades</w:t>
      </w:r>
      <w:r>
        <w:rPr>
          <w:rStyle w:val="FootnoteReference"/>
          <w:noProof/>
          <w:szCs w:val="24"/>
          <w:lang w:eastAsia="fr-FR"/>
        </w:rPr>
        <w:footnoteReference w:id="147"/>
      </w:r>
      <w:r>
        <w:rPr>
          <w:noProof/>
        </w:rPr>
        <w:t>. Sidusrühmade sõnul on COVID-19 pandeemia kodanikuühiskonna organisatsioone märkimisväärselt mõjutanud ja enamik neist on pandeemiaga seotud piirangute tõttu sunnitud piirama oma tegevust</w:t>
      </w:r>
      <w:r>
        <w:rPr>
          <w:rStyle w:val="FootnoteReference"/>
          <w:noProof/>
          <w:szCs w:val="24"/>
          <w:lang w:eastAsia="fr-FR"/>
        </w:rPr>
        <w:footnoteReference w:id="148"/>
      </w:r>
      <w:r>
        <w:rPr>
          <w:noProof/>
        </w:rPr>
        <w:t>. Samas on täheldatud ka positiivseid suundumusi, sest mõned kodanikuühiskonna organisatsioonid on teatanud avaliku toetuse kasvust, oma tegevuse laiendamisest ja tulemuslikkuse suurenemisest</w:t>
      </w:r>
      <w:r>
        <w:rPr>
          <w:rStyle w:val="FootnoteReference"/>
          <w:noProof/>
          <w:szCs w:val="24"/>
          <w:lang w:eastAsia="fr-FR"/>
        </w:rPr>
        <w:footnoteReference w:id="149"/>
      </w:r>
      <w:r>
        <w:rPr>
          <w:noProof/>
        </w:rPr>
        <w:t>.</w:t>
      </w:r>
    </w:p>
    <w:p>
      <w:pPr>
        <w:rPr>
          <w:noProof/>
        </w:rPr>
      </w:pPr>
    </w:p>
    <w:p>
      <w:pPr>
        <w:spacing w:after="120"/>
        <w:jc w:val="left"/>
        <w:rPr>
          <w:rFonts w:eastAsia="Times New Roman" w:cs="Times New Roman"/>
          <w:b/>
          <w:noProof/>
          <w:sz w:val="22"/>
        </w:rPr>
      </w:pPr>
      <w:r>
        <w:rPr>
          <w:noProof/>
        </w:rPr>
        <w:br w:type="page"/>
      </w:r>
      <w:r>
        <w:rPr>
          <w:b/>
          <w:noProof/>
          <w:sz w:val="22"/>
        </w:rPr>
        <w:t>I lisa. Allikate loetelu tähestikulises järjekorras*</w:t>
      </w:r>
    </w:p>
    <w:p>
      <w:pPr>
        <w:spacing w:after="120"/>
        <w:rPr>
          <w:rFonts w:eastAsia="Times New Roman" w:cs="Times New Roman"/>
          <w:i/>
          <w:noProof/>
          <w:sz w:val="22"/>
        </w:rPr>
      </w:pPr>
      <w:r>
        <w:rPr>
          <w:i/>
          <w:noProof/>
          <w:sz w:val="22"/>
        </w:rPr>
        <w:t>** Loetelu õigusriigi olukorda käsitleva 2021. aasta aruande konsultatsiooni raames antud vastustest on esitatud aadressil</w:t>
      </w:r>
      <w:r>
        <w:rPr>
          <w:noProof/>
        </w:rPr>
        <w:t xml:space="preserve">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noProof/>
          <w:sz w:val="22"/>
        </w:rPr>
      </w:pPr>
      <w:r>
        <w:rPr>
          <w:noProof/>
          <w:sz w:val="22"/>
        </w:rPr>
        <w:t>Avalik kiri ombudsmanile, millele kirjutas alla üle 320 isiku, sealhulgas tuntud advokaadid (</w:t>
      </w:r>
      <w:hyperlink r:id="rId17">
        <w:r>
          <w:rPr>
            <w:rStyle w:val="Hyperlink"/>
            <w:noProof/>
            <w:sz w:val="22"/>
          </w:rPr>
          <w:t>https://www.petice.com/otevreny_dopis_verejnemu_ochranci_prav</w:t>
        </w:r>
      </w:hyperlink>
      <w:r>
        <w:rPr>
          <w:noProof/>
          <w:sz w:val="22"/>
        </w:rPr>
        <w:t>).</w:t>
      </w:r>
    </w:p>
    <w:p>
      <w:pPr>
        <w:spacing w:after="120"/>
        <w:rPr>
          <w:noProof/>
          <w:sz w:val="22"/>
        </w:rPr>
      </w:pPr>
      <w:r>
        <w:rPr>
          <w:noProof/>
          <w:sz w:val="22"/>
        </w:rPr>
        <w:t>Avaliku meedia liit (2021) „The threat facing Czech TV“ (</w:t>
      </w:r>
      <w:hyperlink r:id="rId18" w:history="1">
        <w:r>
          <w:rPr>
            <w:rStyle w:val="Hyperlink"/>
            <w:noProof/>
            <w:sz w:val="22"/>
          </w:rPr>
          <w:t>https://www.publicmediaalliance.org/the-threat-facing-czech-tv-ceska-televize/</w:t>
        </w:r>
      </w:hyperlink>
      <w:r>
        <w:rPr>
          <w:noProof/>
          <w:sz w:val="22"/>
        </w:rPr>
        <w:t>).</w:t>
      </w:r>
    </w:p>
    <w:p>
      <w:pPr>
        <w:spacing w:after="120"/>
        <w:rPr>
          <w:rFonts w:cs="Times New Roman"/>
          <w:noProof/>
          <w:sz w:val="22"/>
        </w:rPr>
      </w:pPr>
      <w:r>
        <w:rPr>
          <w:noProof/>
          <w:sz w:val="22"/>
        </w:rPr>
        <w:t xml:space="preserve">„Babiš obvinil soudce z ovlivňování voleb. Jen chráníme ústavu, reagoval Rychetský“ (Babiš süüdistas kohtunikke valimiste mõjutamises. Kaitseme lihtsalt põhiseadust, reageeris Rychetský), </w:t>
      </w:r>
      <w:r>
        <w:rPr>
          <w:i/>
          <w:iCs/>
          <w:noProof/>
          <w:sz w:val="22"/>
        </w:rPr>
        <w:t>Deník N</w:t>
      </w:r>
      <w:r>
        <w:rPr>
          <w:noProof/>
          <w:sz w:val="22"/>
        </w:rPr>
        <w:t xml:space="preserve"> (2021) (https://denikn.cz/553944/snazi-se-ovlivnit-vysledek-voleb-babis-zautocil-na-ustavni-soud-i-predsedu-rychetskeho/).</w:t>
      </w:r>
    </w:p>
    <w:p>
      <w:pPr>
        <w:spacing w:after="120"/>
        <w:rPr>
          <w:rFonts w:cs="Times New Roman"/>
          <w:noProof/>
          <w:sz w:val="22"/>
        </w:rPr>
      </w:pPr>
      <w:r>
        <w:rPr>
          <w:noProof/>
          <w:sz w:val="22"/>
        </w:rPr>
        <w:t xml:space="preserve">„Benešová zesiluje boj proti šéfovi žalobců. Babiš se ho zastal“ (Benešová tõhustab võitlust peaprokuröri vastu. Babiš toetas teda), </w:t>
      </w:r>
      <w:r>
        <w:rPr>
          <w:i/>
          <w:iCs/>
          <w:noProof/>
          <w:sz w:val="22"/>
        </w:rPr>
        <w:t>Seznam zprávy</w:t>
      </w:r>
      <w:r>
        <w:rPr>
          <w:noProof/>
          <w:sz w:val="22"/>
        </w:rPr>
        <w:t xml:space="preserve"> (2020) (https://www.seznamzpravy.cz/clanek/benesova-zesiluje-boj-proti-sefovi-zalobcu-poda-karnou-zalobu-kvuli-vrbeticim-153409).</w:t>
      </w:r>
    </w:p>
    <w:p>
      <w:pPr>
        <w:spacing w:after="120"/>
        <w:rPr>
          <w:noProof/>
          <w:sz w:val="22"/>
        </w:rPr>
      </w:pPr>
      <w:r>
        <w:rPr>
          <w:noProof/>
          <w:sz w:val="22"/>
        </w:rPr>
        <w:t>Civicus, „Monitor tracking civic space – Czechia“ (</w:t>
      </w:r>
      <w:hyperlink r:id="rId19"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Euroopa Komisjon (2019), Final Audit Report, No. REGC414CZ0133, REGIO/C4/AUD (</w:t>
      </w:r>
      <w:hyperlink r:id="rId20"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Euroopa Komisjon (2020), õigusriigi olukorda käsitlev aruanne, Tšehhi õigusriigi olukorda käsitlev peatükk.</w:t>
      </w:r>
    </w:p>
    <w:p>
      <w:pPr>
        <w:spacing w:after="120"/>
        <w:rPr>
          <w:rFonts w:eastAsia="Times New Roman" w:cs="Times New Roman"/>
          <w:noProof/>
          <w:sz w:val="22"/>
        </w:rPr>
      </w:pPr>
      <w:r>
        <w:rPr>
          <w:noProof/>
          <w:sz w:val="22"/>
        </w:rPr>
        <w:t>Euroopa Komisjon (2021), ELi õigusemõistmise tulemustabel.</w:t>
      </w:r>
    </w:p>
    <w:p>
      <w:pPr>
        <w:spacing w:after="120"/>
        <w:rPr>
          <w:noProof/>
          <w:sz w:val="22"/>
        </w:rPr>
      </w:pPr>
      <w:r>
        <w:rPr>
          <w:noProof/>
          <w:sz w:val="22"/>
        </w:rPr>
        <w:t>Euroopa kodanikuvabaduste liit (2021), Euroopa kodanikuvabaduste liidult õigusriigi olukorda käsitleva 2021. aasta aruande koostamiseks saadud tagasiside.</w:t>
      </w:r>
    </w:p>
    <w:p>
      <w:pPr>
        <w:spacing w:after="120"/>
        <w:rPr>
          <w:rFonts w:cs="Times New Roman"/>
          <w:noProof/>
          <w:sz w:val="22"/>
        </w:rPr>
      </w:pPr>
      <w:r>
        <w:rPr>
          <w:noProof/>
          <w:sz w:val="22"/>
        </w:rPr>
        <w:t>Euroopa Liidu Kohus, 20. aprilli 2021. aasta kohtuotsus Repubblika, C-896/19.</w:t>
      </w:r>
    </w:p>
    <w:p>
      <w:pPr>
        <w:spacing w:after="120"/>
        <w:rPr>
          <w:rFonts w:cs="Times New Roman"/>
          <w:noProof/>
          <w:sz w:val="22"/>
        </w:rPr>
      </w:pPr>
      <w:r>
        <w:rPr>
          <w:noProof/>
          <w:sz w:val="22"/>
        </w:rPr>
        <w:t>Euroopa Liidu Kohus, 25. juuli 2018. aasta kohtuotsus LM, C‑216/18 PPU.</w:t>
      </w:r>
    </w:p>
    <w:p>
      <w:pPr>
        <w:spacing w:after="120"/>
        <w:jc w:val="left"/>
        <w:rPr>
          <w:rFonts w:cs="Times New Roman"/>
          <w:noProof/>
          <w:sz w:val="22"/>
        </w:rPr>
      </w:pPr>
      <w:r>
        <w:rPr>
          <w:noProof/>
          <w:sz w:val="22"/>
        </w:rPr>
        <w:t>Euroopa Nõukogu ministrite komitee (2010), ministrite komitee soovitus CM/Rec(2010)12 liikmesriikidele kohtunike kohta:</w:t>
      </w:r>
      <w:r>
        <w:rPr>
          <w:i/>
          <w:noProof/>
          <w:sz w:val="22"/>
        </w:rPr>
        <w:t xml:space="preserve"> </w:t>
      </w:r>
      <w:r>
        <w:rPr>
          <w:noProof/>
          <w:sz w:val="22"/>
        </w:rPr>
        <w:t>kohtunike sõltumatus, tulemuslikkus ja vastutus.</w:t>
      </w:r>
    </w:p>
    <w:p>
      <w:pPr>
        <w:spacing w:after="120"/>
        <w:rPr>
          <w:noProof/>
          <w:sz w:val="22"/>
        </w:rPr>
      </w:pPr>
      <w:r>
        <w:rPr>
          <w:noProof/>
          <w:sz w:val="22"/>
        </w:rPr>
        <w:t>Euroopa Nõukogu, Veneetsia komisjon (2010), aruanne „Report on the Independence of the Judicial System Part I: The Independence of Judges“, CDL-AD(2010)004.</w:t>
      </w:r>
    </w:p>
    <w:p>
      <w:pPr>
        <w:spacing w:after="120"/>
        <w:rPr>
          <w:noProof/>
          <w:sz w:val="22"/>
        </w:rPr>
      </w:pPr>
      <w:r>
        <w:rPr>
          <w:noProof/>
          <w:sz w:val="22"/>
        </w:rPr>
        <w:t>Euroopa Nõukogu Veneetsia komisjon (2016), „Rule of Law Checklist“, CDL-AD(2016)007.</w:t>
      </w:r>
    </w:p>
    <w:p>
      <w:pPr>
        <w:spacing w:after="120"/>
        <w:rPr>
          <w:noProof/>
          <w:sz w:val="22"/>
        </w:rPr>
      </w:pPr>
      <w:r>
        <w:rPr>
          <w:noProof/>
          <w:sz w:val="22"/>
        </w:rPr>
        <w:t>Euroopa Parlament (2020), „Report on the fact-finding mission of the Budgetary Control Committee to the Czech Republic“ (</w:t>
      </w:r>
      <w:hyperlink r:id="rId21">
        <w:r>
          <w:rPr>
            <w:rStyle w:val="Hyperlink"/>
            <w:noProof/>
            <w:sz w:val="22"/>
          </w:rPr>
          <w:t>https://www.europarl.europa.eu/cmsdata/209082/CONT_CZ_Mission_Report_Final.pdf</w:t>
        </w:r>
      </w:hyperlink>
      <w:r>
        <w:rPr>
          <w:noProof/>
          <w:sz w:val="22"/>
        </w:rPr>
        <w:t>).</w:t>
      </w:r>
    </w:p>
    <w:p>
      <w:pPr>
        <w:spacing w:after="120"/>
        <w:rPr>
          <w:noProof/>
          <w:sz w:val="22"/>
        </w:rPr>
      </w:pPr>
      <w:r>
        <w:rPr>
          <w:noProof/>
        </w:rPr>
        <w:t xml:space="preserve">Euroopa Ringhäälinguliit (2021) „Public service media in the Czech Republic under threat“ </w:t>
      </w:r>
      <w:r>
        <w:rPr>
          <w:noProof/>
          <w:sz w:val="22"/>
        </w:rPr>
        <w:t>(</w:t>
      </w:r>
      <w:hyperlink r:id="rId22">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Glopolis (2021), organisatsioonilt Glopolis õigusriigi olukorda käsitleva 2021. aasta aruande koostamiseks saadud tagasiside.</w:t>
      </w:r>
    </w:p>
    <w:p>
      <w:pPr>
        <w:spacing w:after="120"/>
        <w:rPr>
          <w:rFonts w:cs="Times New Roman"/>
          <w:noProof/>
          <w:sz w:val="22"/>
        </w:rPr>
      </w:pPr>
      <w:r>
        <w:rPr>
          <w:noProof/>
          <w:sz w:val="22"/>
        </w:rPr>
        <w:t>GRECO (2016), neljas hindamisvoor</w:t>
      </w:r>
      <w:r>
        <w:rPr>
          <w:i/>
          <w:noProof/>
          <w:sz w:val="22"/>
        </w:rPr>
        <w:t xml:space="preserve"> – </w:t>
      </w:r>
      <w:r>
        <w:rPr>
          <w:noProof/>
          <w:sz w:val="22"/>
        </w:rPr>
        <w:t>„Evaluation Report on Czechia on Corruption prevention in respect of members of parliament, judges and prosecutors“.</w:t>
      </w:r>
    </w:p>
    <w:p>
      <w:pPr>
        <w:spacing w:after="120"/>
        <w:rPr>
          <w:noProof/>
          <w:sz w:val="22"/>
        </w:rPr>
      </w:pPr>
      <w:r>
        <w:rPr>
          <w:noProof/>
          <w:sz w:val="22"/>
        </w:rPr>
        <w:t>GRECO (2020), neljas hindamisvoor</w:t>
      </w:r>
      <w:r>
        <w:rPr>
          <w:i/>
          <w:noProof/>
          <w:sz w:val="22"/>
        </w:rPr>
        <w:t xml:space="preserve"> – </w:t>
      </w:r>
      <w:r>
        <w:rPr>
          <w:noProof/>
          <w:sz w:val="22"/>
        </w:rPr>
        <w:t>„Interim Compliance Report on Czechia on Corruption prevention in respect of members of parliament, judges and prosecutors“.</w:t>
      </w:r>
    </w:p>
    <w:p>
      <w:pPr>
        <w:spacing w:after="120"/>
        <w:rPr>
          <w:noProof/>
          <w:sz w:val="22"/>
        </w:rPr>
      </w:pPr>
      <w:r>
        <w:rPr>
          <w:noProof/>
          <w:sz w:val="22"/>
        </w:rPr>
        <w:t xml:space="preserve">„Kdo co komu slíbil? Před volbami udělají tóčo, kritizuje Benešová verdikt Ústavního soudu“ (Kes kellele mida lubas? Nad tekitavad enne valimisi segadust, kritiseerib Benešová konstitutsioonikohtu otsust), </w:t>
      </w:r>
      <w:r>
        <w:rPr>
          <w:i/>
          <w:iCs/>
          <w:noProof/>
          <w:sz w:val="22"/>
        </w:rPr>
        <w:t>Deník N</w:t>
      </w:r>
      <w:r>
        <w:rPr>
          <w:noProof/>
          <w:sz w:val="22"/>
        </w:rPr>
        <w:t xml:space="preserve"> (2021) (https://denikn.cz/553991/kdo-co-komu-slibil-pred-volbami-udelaji-toco-kritizuje-benesova-verdikt-ustavniho-soudu/).</w:t>
      </w:r>
    </w:p>
    <w:p>
      <w:pPr>
        <w:spacing w:after="120"/>
        <w:rPr>
          <w:rFonts w:cs="Times New Roman"/>
          <w:noProof/>
          <w:sz w:val="22"/>
        </w:rPr>
      </w:pPr>
      <w:r>
        <w:rPr>
          <w:noProof/>
          <w:sz w:val="22"/>
        </w:rPr>
        <w:t>Kommunikatsiooni peadirektoraat (2019), „Eurobaromeetri kiiruuring nr 482:</w:t>
      </w:r>
      <w:r>
        <w:rPr>
          <w:i/>
          <w:noProof/>
          <w:sz w:val="22"/>
        </w:rPr>
        <w:t xml:space="preserve"> </w:t>
      </w:r>
      <w:r>
        <w:rPr>
          <w:noProof/>
          <w:sz w:val="22"/>
        </w:rPr>
        <w:t>ettevõtjate suhtumine korruptsiooni ELis“.</w:t>
      </w:r>
    </w:p>
    <w:p>
      <w:pPr>
        <w:spacing w:after="120"/>
        <w:rPr>
          <w:rFonts w:cs="Times New Roman"/>
          <w:noProof/>
          <w:sz w:val="22"/>
        </w:rPr>
      </w:pPr>
      <w:r>
        <w:rPr>
          <w:noProof/>
          <w:sz w:val="22"/>
        </w:rPr>
        <w:t>Kommunikatsiooni peadirektoraat (2020), „Eurobaromeetri eriuuring nr 502:</w:t>
      </w:r>
      <w:r>
        <w:rPr>
          <w:i/>
          <w:iCs/>
          <w:noProof/>
          <w:sz w:val="22"/>
        </w:rPr>
        <w:t xml:space="preserve"> </w:t>
      </w:r>
      <w:r>
        <w:rPr>
          <w:noProof/>
          <w:sz w:val="22"/>
        </w:rPr>
        <w:t>korruptsioon“.</w:t>
      </w:r>
    </w:p>
    <w:p>
      <w:pPr>
        <w:spacing w:after="120"/>
        <w:rPr>
          <w:noProof/>
          <w:sz w:val="22"/>
        </w:rPr>
      </w:pPr>
      <w:r>
        <w:rPr>
          <w:noProof/>
          <w:sz w:val="22"/>
        </w:rPr>
        <w:t>League of Human Rights (2021), organisatsioonilt League of Human Rights õigusriigi olukorda käsitleva 2021. aasta aruande koostamiseks saadud tagasiside.</w:t>
      </w:r>
    </w:p>
    <w:p>
      <w:pPr>
        <w:spacing w:after="120"/>
        <w:rPr>
          <w:noProof/>
          <w:sz w:val="22"/>
        </w:rPr>
      </w:pPr>
      <w:r>
        <w:rPr>
          <w:noProof/>
          <w:sz w:val="22"/>
        </w:rPr>
        <w:t xml:space="preserve">„Lobbing má podle poloviny Čechů výrazný vliv na podobu zákonů, vnímají ho ale hlavně jako nástroj pro kmotry“ (Tšehhid arvavad, et lobitöö mõjutab tugevalt seaduste sõnastamist, kuid näevad seda kui peamiselt „ristiisade“ kasutatavat vahendit), </w:t>
      </w:r>
      <w:r>
        <w:rPr>
          <w:i/>
          <w:iCs/>
          <w:noProof/>
          <w:sz w:val="22"/>
        </w:rPr>
        <w:t>Rekonstrukce státu</w:t>
      </w:r>
      <w:r>
        <w:rPr>
          <w:noProof/>
          <w:sz w:val="22"/>
        </w:rPr>
        <w:t xml:space="preserve"> (2021) (</w:t>
      </w:r>
      <w:hyperlink r:id="rId23" w:history="1">
        <w:r>
          <w:rPr>
            <w:rStyle w:val="Hyperlink"/>
            <w:noProof/>
            <w:sz w:val="22"/>
          </w:rPr>
          <w:t>https://www.rekonstrukcestatu.cz/archivse-novinek/lobbing-ma-podle-poloviny-cechu-vyrazny-vliv-na-podobu-zakonu-vnimaji-ho-ale-hlavne-jako-nastroj-pro-kmotry</w:t>
        </w:r>
      </w:hyperlink>
      <w:r>
        <w:rPr>
          <w:rStyle w:val="Hyperlink"/>
          <w:noProof/>
          <w:sz w:val="22"/>
        </w:rPr>
        <w:t>).</w:t>
      </w:r>
    </w:p>
    <w:p>
      <w:pPr>
        <w:spacing w:after="120"/>
        <w:rPr>
          <w:rFonts w:eastAsia="Times New Roman" w:cs="Times New Roman"/>
          <w:noProof/>
          <w:sz w:val="22"/>
        </w:rPr>
      </w:pPr>
      <w:r>
        <w:rPr>
          <w:noProof/>
          <w:sz w:val="22"/>
        </w:rPr>
        <w:t>Meedia mitmekesisuse ja meediavabaduse keskus (2021), meedia mitmekesisuse seire 2021. aasta aruanne.</w:t>
      </w:r>
    </w:p>
    <w:p>
      <w:pPr>
        <w:spacing w:after="120"/>
        <w:rPr>
          <w:noProof/>
          <w:sz w:val="22"/>
        </w:rPr>
      </w:pPr>
      <w:r>
        <w:rPr>
          <w:noProof/>
          <w:sz w:val="22"/>
        </w:rPr>
        <w:t>Nadace OSF (2021), „Dopady pandemie COVID-19 na neziskové organizace“ (</w:t>
      </w:r>
      <w:hyperlink r:id="rId24" w:history="1">
        <w:r>
          <w:rPr>
            <w:rStyle w:val="Hyperlink"/>
            <w:noProof/>
            <w:sz w:val="22"/>
          </w:rPr>
          <w:t>https://osf.cz/wp-content/uploads/2021/03/Nadace-OSF_Dopady_pandemie_NNO_2021.pdf</w:t>
        </w:r>
      </w:hyperlink>
      <w:r>
        <w:rPr>
          <w:noProof/>
          <w:sz w:val="22"/>
        </w:rPr>
        <w:t>).</w:t>
      </w:r>
    </w:p>
    <w:p>
      <w:pPr>
        <w:spacing w:after="120"/>
        <w:rPr>
          <w:rFonts w:cs="Times New Roman"/>
          <w:noProof/>
          <w:color w:val="0563C1" w:themeColor="hyperlink"/>
          <w:sz w:val="22"/>
          <w:u w:val="single"/>
        </w:rPr>
      </w:pPr>
      <w:r>
        <w:rPr>
          <w:noProof/>
          <w:sz w:val="22"/>
        </w:rPr>
        <w:t xml:space="preserve">„Občanští členové "romské rady": Křeček nezná své kompetence, k romské strategii se vyjadřuje nepravdivě, soustavně cíleně podkopává důstojnost Romů“ (Romade nõukogu kodanikest liikmed: Křeček ei mõista oma pädevust, tema väited romade strateegia kohta ei vasta tegelikkusele; ta alandab sihilikult romade väärikust), </w:t>
      </w:r>
      <w:r>
        <w:rPr>
          <w:i/>
          <w:noProof/>
          <w:sz w:val="22"/>
        </w:rPr>
        <w:t>Romea.cz</w:t>
      </w:r>
      <w:r>
        <w:rPr>
          <w:noProof/>
          <w:sz w:val="22"/>
        </w:rPr>
        <w:t xml:space="preserve"> (2021) (</w:t>
      </w:r>
      <w:hyperlink r:id="rId25"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i/>
          <w:noProof/>
          <w:sz w:val="22"/>
        </w:rPr>
      </w:pPr>
      <w:r>
        <w:rPr>
          <w:noProof/>
          <w:sz w:val="22"/>
        </w:rPr>
        <w:t>OECD (2019), „Implementing the OECD Anti-Bribery Convention, Phase 4 Two-Year Follow-Up Report: Czechia“.</w:t>
      </w:r>
    </w:p>
    <w:p>
      <w:pPr>
        <w:spacing w:after="120"/>
        <w:rPr>
          <w:noProof/>
          <w:sz w:val="22"/>
        </w:rPr>
      </w:pPr>
      <w:r>
        <w:rPr>
          <w:noProof/>
          <w:sz w:val="22"/>
        </w:rPr>
        <w:t>Piirideta Reporterid (2021), „2021 World Press Freedom Index – Czechia“ (</w:t>
      </w:r>
      <w:hyperlink r:id="rId26">
        <w:r>
          <w:rPr>
            <w:rStyle w:val="Hyperlink"/>
            <w:noProof/>
            <w:sz w:val="22"/>
          </w:rPr>
          <w:t>https://rsf.org/en/czech-republic</w:t>
        </w:r>
      </w:hyperlink>
      <w:r>
        <w:rPr>
          <w:noProof/>
          <w:sz w:val="22"/>
        </w:rPr>
        <w:t>).</w:t>
      </w:r>
    </w:p>
    <w:p>
      <w:pPr>
        <w:spacing w:after="120"/>
        <w:rPr>
          <w:rFonts w:cs="Times New Roman"/>
          <w:noProof/>
          <w:sz w:val="22"/>
        </w:rPr>
      </w:pPr>
      <w:r>
        <w:rPr>
          <w:noProof/>
          <w:sz w:val="22"/>
        </w:rPr>
        <w:t xml:space="preserve">„Podle většiny právníků je nový stav nouze protiústavní“ (Enamiku juristide arvates on eriolukord põhiseadusega vastuolus), </w:t>
      </w:r>
      <w:r>
        <w:rPr>
          <w:i/>
          <w:noProof/>
          <w:sz w:val="22"/>
        </w:rPr>
        <w:t>České noviny</w:t>
      </w:r>
      <w:r>
        <w:rPr>
          <w:noProof/>
          <w:sz w:val="22"/>
        </w:rPr>
        <w:t xml:space="preserve"> (2021), (</w:t>
      </w:r>
      <w:hyperlink r:id="rId27">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Praha linnakohus, 13. novembri 2020. aasta otsus nr 18 A 59/2020.</w:t>
      </w:r>
    </w:p>
    <w:p>
      <w:pPr>
        <w:spacing w:after="120"/>
        <w:rPr>
          <w:rFonts w:cs="Times New Roman"/>
          <w:noProof/>
          <w:sz w:val="22"/>
        </w:rPr>
      </w:pPr>
      <w:r>
        <w:rPr>
          <w:noProof/>
          <w:sz w:val="22"/>
        </w:rPr>
        <w:t>Prokuratuur (2021), pressiteade „Nejvyšší státní zástupce Pavel Zeman oznámil rezignaci“ (Peaprokurör Pavel Zeman teatas oma tagasiastumisest) (https://verejnazaloba.cz/nsz/nejvyssi-statni-zastupce-pavel-zeman-oznamil-rezignaci/).</w:t>
      </w:r>
    </w:p>
    <w:p>
      <w:pPr>
        <w:spacing w:after="120"/>
        <w:rPr>
          <w:rFonts w:cs="Times New Roman"/>
          <w:noProof/>
          <w:sz w:val="22"/>
        </w:rPr>
      </w:pPr>
      <w:r>
        <w:rPr>
          <w:noProof/>
          <w:sz w:val="22"/>
        </w:rPr>
        <w:t>Riigikontroll (2020), „EU Report 2020 – Report on the EU Financial Management in Czechia“</w:t>
      </w:r>
      <w:r>
        <w:rPr>
          <w:i/>
          <w:noProof/>
          <w:sz w:val="22"/>
        </w:rPr>
        <w:t xml:space="preserve"> </w:t>
      </w:r>
      <w:r>
        <w:rPr>
          <w:noProof/>
          <w:sz w:val="22"/>
          <w:u w:val="single"/>
        </w:rPr>
        <w:t>(</w:t>
      </w:r>
      <w:hyperlink r:id="rId28">
        <w:r>
          <w:rPr>
            <w:rStyle w:val="Hyperlink"/>
            <w:noProof/>
            <w:sz w:val="22"/>
          </w:rPr>
          <w:t>https://www.nku.cz/assets/publications-documents/eu-report/eu-report-2020-en.pdf</w:t>
        </w:r>
      </w:hyperlink>
      <w:r>
        <w:rPr>
          <w:noProof/>
          <w:sz w:val="22"/>
        </w:rPr>
        <w:t>).</w:t>
      </w:r>
    </w:p>
    <w:p>
      <w:pPr>
        <w:spacing w:after="120"/>
        <w:rPr>
          <w:rStyle w:val="Hyperlink"/>
          <w:noProof/>
          <w:sz w:val="22"/>
        </w:rPr>
      </w:pPr>
      <w:r>
        <w:rPr>
          <w:noProof/>
          <w:sz w:val="22"/>
        </w:rPr>
        <w:t>Síť k ochraně demokracie (2020), seirearuanne, (</w:t>
      </w:r>
      <w:hyperlink r:id="rId29"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Style w:val="Hyperlink"/>
          <w:noProof/>
          <w:color w:val="auto"/>
          <w:sz w:val="22"/>
          <w:u w:val="none"/>
        </w:rPr>
      </w:pPr>
      <w:r>
        <w:rPr>
          <w:noProof/>
          <w:sz w:val="22"/>
        </w:rPr>
        <w:t xml:space="preserve">„Státní reklama: Kdo také platí Parlamentní listy“ (Riiklik reklaam. Kes veel maksab „Parlamentní listyle“), </w:t>
      </w:r>
      <w:r>
        <w:rPr>
          <w:i/>
          <w:noProof/>
          <w:sz w:val="22"/>
        </w:rPr>
        <w:t xml:space="preserve">Investigace.cz (2019) </w:t>
      </w:r>
      <w:r>
        <w:rPr>
          <w:noProof/>
          <w:sz w:val="22"/>
        </w:rPr>
        <w:t>(</w:t>
      </w:r>
      <w:hyperlink r:id="rId30"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„Stíhání Babiše se povleče do voleb, státní zástupci z něj mají štít proti svému odvolání. Je to nejbrutálnější doba, kdyby vláda zítra skončila, budu nejšťastnější, říká Benešová“ (Menetlus Babiši vastu venib kuni valimisteni, prokurörid kasutavad seda kilbina oma vallandamise vastu. See on kõige jõhkram aeg, kui valitsus homme lõpetaks, oleksin mina kõige õnnelikum, ütleb Benešová), </w:t>
      </w:r>
      <w:r>
        <w:rPr>
          <w:i/>
          <w:noProof/>
          <w:sz w:val="22"/>
        </w:rPr>
        <w:t>Info.cz</w:t>
      </w:r>
      <w:r>
        <w:rPr>
          <w:noProof/>
          <w:sz w:val="22"/>
        </w:rPr>
        <w:t xml:space="preserve"> (2021), (https://www.info.cz/pravo/justice/marie-benesova). Rahvusvaheline pressiinstituut (2021), „Concerns over increasing meddling in independence of Czech public broadcaster“ (</w:t>
      </w:r>
      <w:hyperlink r:id="rId31">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 xml:space="preserve">„Zeman: Po schůzce s Benešovou jsem vycítil svůj konec, byli jsme pro ni vděčný terč. Politika zhrubla“ (Zeman: Pärast kohtumist Benešovága tundsin, et mu lõpp läheneb, olin tema jaoks valmis sihtmärk. Poliitika on muutunud karmimaks), </w:t>
      </w:r>
      <w:r>
        <w:rPr>
          <w:i/>
          <w:iCs/>
          <w:noProof/>
          <w:sz w:val="22"/>
        </w:rPr>
        <w:t>Deník N</w:t>
      </w:r>
      <w:r>
        <w:rPr>
          <w:iCs/>
          <w:noProof/>
          <w:sz w:val="22"/>
        </w:rPr>
        <w:t xml:space="preserve"> </w:t>
      </w:r>
      <w:r>
        <w:rPr>
          <w:noProof/>
          <w:sz w:val="22"/>
        </w:rPr>
        <w:t>(2020) (</w:t>
      </w:r>
      <w:hyperlink r:id="rId32"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w:t>
      </w:r>
    </w:p>
    <w:p>
      <w:pPr>
        <w:spacing w:after="120"/>
        <w:rPr>
          <w:rFonts w:cs="Times New Roman"/>
          <w:noProof/>
          <w:sz w:val="22"/>
        </w:rPr>
      </w:pPr>
      <w:r>
        <w:rPr>
          <w:noProof/>
          <w:sz w:val="22"/>
        </w:rPr>
        <w:t>Transparency International (2020), aruanne „Exporting corruption“.</w:t>
      </w:r>
    </w:p>
    <w:p>
      <w:pPr>
        <w:spacing w:after="120"/>
        <w:rPr>
          <w:rFonts w:cs="Times New Roman"/>
          <w:noProof/>
          <w:sz w:val="22"/>
        </w:rPr>
      </w:pPr>
      <w:r>
        <w:rPr>
          <w:noProof/>
          <w:sz w:val="22"/>
        </w:rPr>
        <w:t>Transparency International (2021), organisatsioonilt Transparency International õigusriigi olukorda käsitleva 2021. aasta aruande koostamiseks saadud tagasiside.</w:t>
      </w:r>
    </w:p>
    <w:p>
      <w:pPr>
        <w:spacing w:after="120"/>
        <w:rPr>
          <w:rFonts w:cs="Times New Roman"/>
          <w:noProof/>
          <w:sz w:val="22"/>
        </w:rPr>
      </w:pPr>
      <w:r>
        <w:rPr>
          <w:noProof/>
          <w:sz w:val="22"/>
        </w:rPr>
        <w:t>Transparency International (2021), korruptsiooni tajumise indeks 2020.</w:t>
      </w:r>
    </w:p>
    <w:p>
      <w:pPr>
        <w:spacing w:after="120"/>
        <w:rPr>
          <w:rFonts w:cs="Times New Roman"/>
          <w:i/>
          <w:noProof/>
          <w:sz w:val="22"/>
        </w:rPr>
      </w:pPr>
      <w:r>
        <w:rPr>
          <w:noProof/>
          <w:sz w:val="22"/>
        </w:rPr>
        <w:t>Transparency International Czech Republic (2021), Transparency Internationali allorganisatsioonilt Tšehhi Vabariigis õigusriigi olukorda käsitleva 2021. aasta aruande koostamiseks saadud tagasiside.</w:t>
      </w:r>
    </w:p>
    <w:p>
      <w:pPr>
        <w:spacing w:after="120"/>
        <w:rPr>
          <w:rFonts w:cs="Times New Roman"/>
          <w:noProof/>
          <w:sz w:val="22"/>
        </w:rPr>
      </w:pPr>
      <w:r>
        <w:rPr>
          <w:noProof/>
          <w:sz w:val="22"/>
        </w:rPr>
        <w:t>Tšehhi rahandusministeerium (2020), Tšehhi Vabariigi lähenemisprogramm.</w:t>
      </w:r>
    </w:p>
    <w:p>
      <w:pPr>
        <w:spacing w:after="120"/>
        <w:rPr>
          <w:rFonts w:cs="Times New Roman"/>
          <w:noProof/>
          <w:sz w:val="22"/>
        </w:rPr>
      </w:pPr>
      <w:r>
        <w:rPr>
          <w:noProof/>
          <w:sz w:val="22"/>
        </w:rPr>
        <w:t>Tšehhi Vabariigi advokatuur (2021), Tšehhi Vabariigi advokatuurilt õigusriigi olukorda käsitleva 2021. aasta aruande koostamiseks saadud tagasiside.</w:t>
      </w:r>
    </w:p>
    <w:p>
      <w:pPr>
        <w:spacing w:after="120"/>
        <w:rPr>
          <w:rFonts w:cs="Times New Roman"/>
          <w:noProof/>
          <w:sz w:val="22"/>
        </w:rPr>
      </w:pPr>
      <w:r>
        <w:rPr>
          <w:noProof/>
          <w:sz w:val="22"/>
        </w:rPr>
        <w:t>Tšehhi Vabariigi advokatuur, kohtuotsuste loetelu (</w:t>
      </w:r>
      <w:hyperlink r:id="rId33" w:history="1">
        <w:r>
          <w:rPr>
            <w:rStyle w:val="Hyperlink"/>
            <w:noProof/>
            <w:sz w:val="22"/>
          </w:rPr>
          <w:t>https://advokatnidenik.cz/2021/04/23/za-uplynulych-deset-mesicu-soudy-zrusily-nekolik-protiepidemickych-opatreni/</w:t>
        </w:r>
      </w:hyperlink>
      <w:r>
        <w:rPr>
          <w:noProof/>
          <w:sz w:val="22"/>
        </w:rPr>
        <w:t>) (</w:t>
      </w:r>
      <w:hyperlink r:id="rId34" w:history="1">
        <w:r>
          <w:rPr>
            <w:rStyle w:val="Hyperlink"/>
            <w:noProof/>
            <w:sz w:val="22"/>
          </w:rPr>
          <w:t>https://advokatnidenik.cz/2021/04/09/soudy-jiz-odmitly-desitky-navrhu-na-zruseni-protiepidemickych-narizeni/</w:t>
        </w:r>
      </w:hyperlink>
      <w:r>
        <w:rPr>
          <w:noProof/>
          <w:sz w:val="22"/>
        </w:rPr>
        <w:t>).</w:t>
      </w:r>
    </w:p>
    <w:p>
      <w:pPr>
        <w:spacing w:after="120"/>
        <w:rPr>
          <w:rFonts w:cs="Times New Roman"/>
          <w:noProof/>
          <w:sz w:val="22"/>
        </w:rPr>
      </w:pPr>
      <w:r>
        <w:rPr>
          <w:noProof/>
          <w:sz w:val="22"/>
        </w:rPr>
        <w:t>Tšehhi Vabariigi advokatuur (2021), „ČAK k vyhlášení nouzového stavu usnesením vlády ze dne 14.2.2021“</w:t>
      </w:r>
      <w:r>
        <w:rPr>
          <w:noProof/>
        </w:rPr>
        <w:t xml:space="preserve"> (</w:t>
      </w:r>
      <w:r>
        <w:rPr>
          <w:noProof/>
          <w:sz w:val="22"/>
        </w:rPr>
        <w:t>Tšehhi advokatuuri avaldus eriolukorra väljakuulutamise kohta 14. veebruari 2021. aasta määrusega) (</w:t>
      </w:r>
      <w:hyperlink r:id="rId35" w:history="1">
        <w:r>
          <w:rPr>
            <w:rStyle w:val="Hyperlink"/>
            <w:noProof/>
            <w:sz w:val="22"/>
          </w:rPr>
          <w:t>https://advokatnidenik.cz/2021/02/15/cak-k-vyhlaseni-nouzoveho-stavu-usnesenim-vlady-ze-dne-14-2-2021/</w:t>
        </w:r>
      </w:hyperlink>
      <w:r>
        <w:rPr>
          <w:noProof/>
          <w:sz w:val="22"/>
        </w:rPr>
        <w:t>).</w:t>
      </w:r>
    </w:p>
    <w:p>
      <w:pPr>
        <w:spacing w:after="120"/>
        <w:jc w:val="left"/>
        <w:rPr>
          <w:rFonts w:cs="Times New Roman"/>
          <w:noProof/>
          <w:sz w:val="22"/>
        </w:rPr>
      </w:pPr>
      <w:r>
        <w:rPr>
          <w:noProof/>
          <w:sz w:val="22"/>
        </w:rPr>
        <w:t>Tšehhi Vabariigi kohtunike eetikakoodeks (ingliskeelne versioon) (</w:t>
      </w:r>
      <w:hyperlink r:id="rId36" w:history="1">
        <w:r>
          <w:rPr>
            <w:rStyle w:val="Hyperlink"/>
            <w:noProof/>
            <w:sz w:val="22"/>
          </w:rPr>
          <w:t>https://www.nsoud.cz/Judikatura/ns_web.nsf/web/CodeofEthics~Code_of_Ethic~?Open&amp;lng=EN</w:t>
        </w:r>
      </w:hyperlink>
      <w:r>
        <w:rPr>
          <w:noProof/>
          <w:sz w:val="22"/>
        </w:rPr>
        <w:t>).</w:t>
      </w:r>
    </w:p>
    <w:p>
      <w:pPr>
        <w:spacing w:after="120"/>
        <w:rPr>
          <w:rFonts w:cs="Times New Roman"/>
          <w:noProof/>
          <w:sz w:val="22"/>
        </w:rPr>
      </w:pPr>
      <w:r>
        <w:rPr>
          <w:noProof/>
          <w:sz w:val="22"/>
        </w:rPr>
        <w:t>Tšehhi Vabariigi kohtunike liit, „Soudcovská unie k vystoupení ministryně spravedlnosti“ (</w:t>
      </w:r>
      <w:hyperlink r:id="rId37" w:history="1">
        <w:r>
          <w:rPr>
            <w:rStyle w:val="Hyperlink"/>
            <w:noProof/>
            <w:sz w:val="22"/>
          </w:rPr>
          <w:t>https://www.soudci.cz/zpravy-a-stanoviska/pohledy-a-nazory/3173-soudcovska-unie-k-vystoupeni-ministryne-spravedlnosti.html</w:t>
        </w:r>
      </w:hyperlink>
      <w:r>
        <w:rPr>
          <w:noProof/>
          <w:sz w:val="22"/>
        </w:rPr>
        <w:t>).</w:t>
      </w:r>
    </w:p>
    <w:p>
      <w:pPr>
        <w:spacing w:after="120"/>
        <w:rPr>
          <w:rFonts w:cs="Times New Roman"/>
          <w:noProof/>
          <w:sz w:val="22"/>
        </w:rPr>
      </w:pPr>
      <w:r>
        <w:rPr>
          <w:noProof/>
          <w:sz w:val="22"/>
        </w:rPr>
        <w:t>Tšehhi konstitutsioonikohtu otsus nr I. ÚS 3271/13.</w:t>
      </w:r>
    </w:p>
    <w:p>
      <w:pPr>
        <w:spacing w:after="120"/>
        <w:rPr>
          <w:rFonts w:cs="Times New Roman"/>
          <w:noProof/>
          <w:sz w:val="22"/>
        </w:rPr>
      </w:pPr>
      <w:r>
        <w:rPr>
          <w:noProof/>
          <w:sz w:val="22"/>
        </w:rPr>
        <w:t>Tšehhi Vabariigi konstitutsioonikohtu 25. märtsi 2021. aasta otsus Pl. ÚS 12/21.</w:t>
      </w:r>
    </w:p>
    <w:p>
      <w:pPr>
        <w:spacing w:after="120"/>
        <w:rPr>
          <w:rFonts w:cs="Times New Roman"/>
          <w:noProof/>
          <w:sz w:val="22"/>
        </w:rPr>
      </w:pPr>
      <w:r>
        <w:rPr>
          <w:noProof/>
          <w:sz w:val="22"/>
        </w:rPr>
        <w:t>Tšehhi Vabariigi parlamendi veebisait (</w:t>
      </w:r>
      <w:hyperlink r:id="rId38"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Tšehhi Vabariigi prokuröride liit, 4. veebruari 2021. aasta avaldus (</w:t>
      </w:r>
      <w:hyperlink r:id="rId39">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Tšehhi Vabariigi prokuröride liidu esimees, 26. veebruari 2021. aasta avaldus (</w:t>
      </w:r>
      <w:hyperlink r:id="rId40" w:history="1">
        <w:r>
          <w:rPr>
            <w:rStyle w:val="Hyperlink"/>
            <w:noProof/>
            <w:sz w:val="22"/>
          </w:rPr>
          <w:t>https://www.uniesz.cz/prezident-unie-statnich-zastupcu-jan-lata-ministryne-benesova-sdeluje-nepravdy/</w:t>
        </w:r>
      </w:hyperlink>
      <w:r>
        <w:rPr>
          <w:noProof/>
          <w:sz w:val="22"/>
        </w:rPr>
        <w:t>).</w:t>
      </w:r>
    </w:p>
    <w:p>
      <w:pPr>
        <w:spacing w:after="120"/>
        <w:rPr>
          <w:rFonts w:cs="Times New Roman"/>
          <w:noProof/>
          <w:sz w:val="22"/>
        </w:rPr>
      </w:pPr>
      <w:r>
        <w:rPr>
          <w:noProof/>
          <w:sz w:val="22"/>
        </w:rPr>
        <w:t>Tšehhi Vabariigi valitsus, „Strategie pro boj s podvody a korupcí v rámci čerpání fondů SSR v období 2014 - 2020“ (pettuste ja korruptsiooni vastase võitluse strateegia ELi fondides aastateks 2014–2020) (</w:t>
      </w:r>
      <w:hyperlink r:id="rId41">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Tšehhi Vabariigi valitsus, „Vládní koncepce boje s korupcí na léta 2018 až 2022“ (korruptsioonivastane strateegia) (</w:t>
      </w:r>
      <w:hyperlink r:id="rId42">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Tšehhi Vabariigi valitsus, „eSbírka a eLegislativa“ (projekt portaalide „eSbírka“ ja „eLegislativa“ loomiseks) (</w:t>
      </w:r>
      <w:hyperlink r:id="rId43">
        <w:r>
          <w:rPr>
            <w:rStyle w:val="Hyperlink"/>
            <w:noProof/>
            <w:sz w:val="22"/>
          </w:rPr>
          <w:t>https://www.mvcr.cz/clanek/esbirka-a-elegislativa.aspx</w:t>
        </w:r>
      </w:hyperlink>
      <w:r>
        <w:rPr>
          <w:noProof/>
          <w:sz w:val="22"/>
        </w:rPr>
        <w:t>).</w:t>
      </w:r>
    </w:p>
    <w:p>
      <w:pPr>
        <w:spacing w:after="120"/>
        <w:rPr>
          <w:noProof/>
          <w:sz w:val="22"/>
        </w:rPr>
      </w:pPr>
      <w:r>
        <w:rPr>
          <w:noProof/>
          <w:sz w:val="22"/>
        </w:rPr>
        <w:t>Tšehhi Vabariigi valitsus (2019), „Sektorová analýza korupce ve zdravotnictv“ (tervishoiusektori korruptsiooniriski analüüs) (</w:t>
      </w:r>
      <w:hyperlink r:id="rId44">
        <w:r>
          <w:rPr>
            <w:rStyle w:val="Hyperlink"/>
            <w:noProof/>
            <w:sz w:val="22"/>
          </w:rPr>
          <w:t>https://www.mzcr.cz/wp-content/uploads/2020/08/Sektorov%C3%A1-anal%C3%BDza-korupce-ve-zdravotnictv%C3%AD.pdf</w:t>
        </w:r>
      </w:hyperlink>
      <w:r>
        <w:rPr>
          <w:noProof/>
          <w:sz w:val="22"/>
        </w:rPr>
        <w:t>).</w:t>
      </w:r>
    </w:p>
    <w:p>
      <w:pPr>
        <w:pStyle w:val="FootnoteText"/>
        <w:spacing w:after="120"/>
        <w:rPr>
          <w:noProof/>
          <w:sz w:val="22"/>
          <w:szCs w:val="22"/>
        </w:rPr>
      </w:pPr>
      <w:r>
        <w:rPr>
          <w:noProof/>
          <w:sz w:val="22"/>
          <w:szCs w:val="22"/>
        </w:rPr>
        <w:t>Tšehhi Vabariigi valitsus (2021), Tšehhi Vabariigilt õigusriigi olukorda käsitleva 2021. aasta aruande koostamiseks saadud teave.</w:t>
      </w:r>
    </w:p>
    <w:p>
      <w:pPr>
        <w:spacing w:after="120"/>
        <w:rPr>
          <w:rFonts w:cs="Times New Roman"/>
          <w:noProof/>
          <w:sz w:val="22"/>
        </w:rPr>
      </w:pPr>
      <w:r>
        <w:rPr>
          <w:noProof/>
          <w:sz w:val="22"/>
        </w:rPr>
        <w:t xml:space="preserve">„Vyšetřovatel Čapího hnízda končí u policie. Spis uzavřel a navrhl podat obžalobu“ (Čapí hnízdo juhtumi uurija lõpetas töö. Ta sulges toimiku ja tegi ettepaneku anda asi kohtusse), </w:t>
      </w:r>
      <w:r>
        <w:rPr>
          <w:i/>
          <w:iCs/>
          <w:noProof/>
          <w:sz w:val="22"/>
        </w:rPr>
        <w:t>Česká justice</w:t>
      </w:r>
      <w:r>
        <w:rPr>
          <w:noProof/>
          <w:sz w:val="22"/>
        </w:rPr>
        <w:t xml:space="preserve"> (2021) (</w:t>
      </w:r>
      <w:hyperlink r:id="rId45" w:history="1">
        <w:r>
          <w:rPr>
            <w:rStyle w:val="Hyperlink"/>
            <w:noProof/>
            <w:sz w:val="22"/>
          </w:rPr>
          <w:t>https://www.ceska-justice.cz/2021/05/vysetrovatel-capiho-hnizda-konci-u-policie-spis-uzavrel-a-navrhl-podat-obzalobu/</w:t>
        </w:r>
      </w:hyperlink>
      <w:hyperlink r:id="rId46" w:history="1">
        <w:r>
          <w:rPr>
            <w:rStyle w:val="Hyperlink"/>
            <w:noProof/>
            <w:sz w:val="22"/>
          </w:rPr>
          <w:t>https://www.ceska-justice.cz/2021/05/vysetrovatel-capiho-hnizda-konci-u-policie-spis-uzavrel-a-navrhl-podat-obzalobu/</w:t>
        </w:r>
      </w:hyperlink>
      <w:r>
        <w:rPr>
          <w:rStyle w:val="Hyperlink"/>
          <w:noProof/>
          <w:sz w:val="22"/>
        </w:rPr>
        <w:t>).</w:t>
      </w:r>
    </w:p>
    <w:p>
      <w:pPr>
        <w:pStyle w:val="FootnoteText"/>
        <w:spacing w:after="120"/>
        <w:rPr>
          <w:rFonts w:cs="Times New Roman"/>
          <w:noProof/>
          <w:sz w:val="22"/>
          <w:szCs w:val="22"/>
        </w:rPr>
      </w:pP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II lisa. Tšehhi Vabariiki tehtud riigikülastus</w:t>
      </w:r>
    </w:p>
    <w:p>
      <w:pPr>
        <w:spacing w:after="120"/>
        <w:rPr>
          <w:rFonts w:eastAsia="Times New Roman" w:cs="Times New Roman"/>
          <w:noProof/>
          <w:sz w:val="22"/>
          <w:shd w:val="clear" w:color="auto" w:fill="FFFFFF"/>
        </w:rPr>
      </w:pPr>
      <w:r>
        <w:rPr>
          <w:noProof/>
          <w:sz w:val="22"/>
        </w:rPr>
        <w:t>Komisjoni talitused korraldasid 2021. aasta märtsis virtuaalkoosolekud järgmiste asutuste ja organisatsioonidega:</w:t>
      </w:r>
    </w:p>
    <w:p>
      <w:pPr>
        <w:numPr>
          <w:ilvl w:val="0"/>
          <w:numId w:val="2"/>
        </w:numPr>
        <w:spacing w:after="120"/>
        <w:rPr>
          <w:rFonts w:eastAsia="Times New Roman" w:cs="Times New Roman"/>
          <w:noProof/>
          <w:sz w:val="22"/>
        </w:rPr>
      </w:pPr>
      <w:r>
        <w:rPr>
          <w:noProof/>
          <w:sz w:val="22"/>
        </w:rPr>
        <w:t>ajakirjanike ühendus</w:t>
      </w:r>
    </w:p>
    <w:p>
      <w:pPr>
        <w:numPr>
          <w:ilvl w:val="0"/>
          <w:numId w:val="2"/>
        </w:numPr>
        <w:spacing w:after="120"/>
        <w:rPr>
          <w:rFonts w:eastAsia="Times New Roman" w:cs="Times New Roman"/>
          <w:noProof/>
          <w:sz w:val="22"/>
        </w:rPr>
      </w:pPr>
      <w:r>
        <w:rPr>
          <w:noProof/>
          <w:sz w:val="22"/>
        </w:rPr>
        <w:t>Tšehhi Vabariigi advokatuur</w:t>
      </w:r>
    </w:p>
    <w:p>
      <w:pPr>
        <w:numPr>
          <w:ilvl w:val="0"/>
          <w:numId w:val="2"/>
        </w:numPr>
        <w:spacing w:after="120"/>
        <w:rPr>
          <w:rFonts w:eastAsia="Times New Roman" w:cs="Times New Roman"/>
          <w:noProof/>
          <w:sz w:val="22"/>
        </w:rPr>
      </w:pPr>
      <w:r>
        <w:rPr>
          <w:noProof/>
          <w:sz w:val="22"/>
        </w:rPr>
        <w:t>rahvusvahelise pressiinstituudi Tšehhi Vabariigi riiklik komitee</w:t>
      </w:r>
    </w:p>
    <w:p>
      <w:pPr>
        <w:numPr>
          <w:ilvl w:val="0"/>
          <w:numId w:val="2"/>
        </w:numPr>
        <w:spacing w:after="120"/>
        <w:rPr>
          <w:rFonts w:eastAsia="Times New Roman" w:cs="Times New Roman"/>
          <w:noProof/>
          <w:sz w:val="22"/>
        </w:rPr>
      </w:pPr>
      <w:r>
        <w:rPr>
          <w:noProof/>
          <w:sz w:val="22"/>
        </w:rPr>
        <w:t>raadio- ja teleringhäälingu nõukogu</w:t>
      </w:r>
    </w:p>
    <w:p>
      <w:pPr>
        <w:numPr>
          <w:ilvl w:val="0"/>
          <w:numId w:val="2"/>
        </w:numPr>
        <w:spacing w:after="120"/>
        <w:rPr>
          <w:rFonts w:eastAsia="Times New Roman" w:cs="Times New Roman"/>
          <w:noProof/>
          <w:sz w:val="22"/>
        </w:rPr>
      </w:pPr>
      <w:r>
        <w:rPr>
          <w:noProof/>
          <w:sz w:val="22"/>
        </w:rPr>
        <w:t>sõltumatu ajakirjanduse fond</w:t>
      </w:r>
    </w:p>
    <w:p>
      <w:pPr>
        <w:numPr>
          <w:ilvl w:val="0"/>
          <w:numId w:val="2"/>
        </w:numPr>
        <w:spacing w:after="120"/>
        <w:rPr>
          <w:rFonts w:eastAsia="Times New Roman" w:cs="Times New Roman"/>
          <w:noProof/>
          <w:sz w:val="22"/>
        </w:rPr>
      </w:pPr>
      <w:r>
        <w:rPr>
          <w:noProof/>
          <w:sz w:val="22"/>
        </w:rPr>
        <w:t>Euroopa ajakirjandus- ja meediavabaduse keskus</w:t>
      </w:r>
    </w:p>
    <w:p>
      <w:pPr>
        <w:numPr>
          <w:ilvl w:val="0"/>
          <w:numId w:val="2"/>
        </w:numPr>
        <w:spacing w:after="120"/>
        <w:rPr>
          <w:rFonts w:eastAsia="Times New Roman" w:cs="Times New Roman"/>
          <w:noProof/>
          <w:sz w:val="22"/>
        </w:rPr>
      </w:pPr>
      <w:r>
        <w:rPr>
          <w:noProof/>
          <w:sz w:val="22"/>
        </w:rPr>
        <w:t>finantsanalüüsi amet</w:t>
      </w:r>
    </w:p>
    <w:p>
      <w:pPr>
        <w:numPr>
          <w:ilvl w:val="0"/>
          <w:numId w:val="2"/>
        </w:numPr>
        <w:spacing w:after="120"/>
        <w:rPr>
          <w:rFonts w:eastAsia="Times New Roman" w:cs="Times New Roman"/>
          <w:noProof/>
          <w:sz w:val="22"/>
        </w:rPr>
      </w:pPr>
      <w:r>
        <w:rPr>
          <w:noProof/>
          <w:sz w:val="22"/>
        </w:rPr>
        <w:t>Frank Bold/Reconstruction of State</w:t>
      </w:r>
    </w:p>
    <w:p>
      <w:pPr>
        <w:numPr>
          <w:ilvl w:val="0"/>
          <w:numId w:val="2"/>
        </w:numPr>
        <w:spacing w:after="120"/>
        <w:rPr>
          <w:rFonts w:eastAsia="Times New Roman" w:cs="Times New Roman"/>
          <w:noProof/>
          <w:sz w:val="22"/>
        </w:rPr>
      </w:pPr>
      <w:r>
        <w:rPr>
          <w:noProof/>
          <w:sz w:val="22"/>
        </w:rPr>
        <w:t>rahvusvaheline pressiinstituut</w:t>
      </w:r>
    </w:p>
    <w:p>
      <w:pPr>
        <w:numPr>
          <w:ilvl w:val="0"/>
          <w:numId w:val="2"/>
        </w:numPr>
        <w:spacing w:after="120"/>
        <w:rPr>
          <w:rFonts w:eastAsia="Times New Roman" w:cs="Times New Roman"/>
          <w:noProof/>
          <w:sz w:val="22"/>
        </w:rPr>
      </w:pPr>
      <w:r>
        <w:rPr>
          <w:noProof/>
          <w:sz w:val="22"/>
        </w:rPr>
        <w:t>League of Human Rights</w:t>
      </w:r>
    </w:p>
    <w:p>
      <w:pPr>
        <w:numPr>
          <w:ilvl w:val="0"/>
          <w:numId w:val="2"/>
        </w:numPr>
        <w:spacing w:after="120"/>
        <w:rPr>
          <w:rFonts w:eastAsia="Times New Roman" w:cs="Times New Roman"/>
          <w:noProof/>
          <w:sz w:val="22"/>
        </w:rPr>
      </w:pPr>
      <w:r>
        <w:rPr>
          <w:noProof/>
          <w:sz w:val="22"/>
        </w:rPr>
        <w:t>kultuuriministeerium</w:t>
      </w:r>
    </w:p>
    <w:p>
      <w:pPr>
        <w:numPr>
          <w:ilvl w:val="0"/>
          <w:numId w:val="2"/>
        </w:numPr>
        <w:spacing w:after="120"/>
        <w:rPr>
          <w:rFonts w:eastAsia="Times New Roman" w:cs="Times New Roman"/>
          <w:noProof/>
          <w:sz w:val="22"/>
        </w:rPr>
      </w:pPr>
      <w:r>
        <w:rPr>
          <w:noProof/>
          <w:sz w:val="22"/>
        </w:rPr>
        <w:t>siseministeerium</w:t>
      </w:r>
    </w:p>
    <w:p>
      <w:pPr>
        <w:numPr>
          <w:ilvl w:val="0"/>
          <w:numId w:val="2"/>
        </w:numPr>
        <w:spacing w:after="120"/>
        <w:rPr>
          <w:rFonts w:eastAsia="Times New Roman" w:cs="Times New Roman"/>
          <w:noProof/>
          <w:sz w:val="22"/>
        </w:rPr>
      </w:pPr>
      <w:r>
        <w:rPr>
          <w:noProof/>
          <w:sz w:val="22"/>
        </w:rPr>
        <w:t>justiitsministeerium</w:t>
      </w:r>
    </w:p>
    <w:p>
      <w:pPr>
        <w:numPr>
          <w:ilvl w:val="0"/>
          <w:numId w:val="2"/>
        </w:numPr>
        <w:spacing w:after="120"/>
        <w:rPr>
          <w:rFonts w:eastAsia="Times New Roman" w:cs="Times New Roman"/>
          <w:noProof/>
          <w:sz w:val="22"/>
        </w:rPr>
      </w:pPr>
      <w:r>
        <w:rPr>
          <w:noProof/>
          <w:sz w:val="22"/>
        </w:rPr>
        <w:t>riiklik organiseeritud kuritegevuse vastane amet</w:t>
      </w:r>
    </w:p>
    <w:p>
      <w:pPr>
        <w:numPr>
          <w:ilvl w:val="0"/>
          <w:numId w:val="2"/>
        </w:numPr>
        <w:spacing w:after="120"/>
        <w:rPr>
          <w:rFonts w:eastAsia="Times New Roman" w:cs="Times New Roman"/>
          <w:noProof/>
          <w:sz w:val="22"/>
        </w:rPr>
      </w:pPr>
      <w:r>
        <w:rPr>
          <w:noProof/>
          <w:sz w:val="22"/>
        </w:rPr>
        <w:t>ombudsman</w:t>
      </w:r>
    </w:p>
    <w:p>
      <w:pPr>
        <w:numPr>
          <w:ilvl w:val="0"/>
          <w:numId w:val="2"/>
        </w:numPr>
        <w:spacing w:after="120"/>
        <w:rPr>
          <w:rFonts w:eastAsia="Times New Roman" w:cs="Times New Roman"/>
          <w:noProof/>
          <w:sz w:val="22"/>
        </w:rPr>
      </w:pPr>
      <w:r>
        <w:rPr>
          <w:noProof/>
          <w:sz w:val="22"/>
        </w:rPr>
        <w:t>avatud valitsemise partnerlus</w:t>
      </w:r>
    </w:p>
    <w:p>
      <w:pPr>
        <w:numPr>
          <w:ilvl w:val="0"/>
          <w:numId w:val="2"/>
        </w:numPr>
        <w:spacing w:after="120"/>
        <w:rPr>
          <w:rFonts w:eastAsia="Times New Roman" w:cs="Times New Roman"/>
          <w:noProof/>
          <w:sz w:val="22"/>
        </w:rPr>
      </w:pPr>
      <w:r>
        <w:rPr>
          <w:noProof/>
          <w:sz w:val="22"/>
        </w:rPr>
        <w:t>prokuratuur</w:t>
      </w:r>
    </w:p>
    <w:p>
      <w:pPr>
        <w:numPr>
          <w:ilvl w:val="0"/>
          <w:numId w:val="2"/>
        </w:numPr>
        <w:spacing w:after="120"/>
        <w:rPr>
          <w:rFonts w:eastAsia="Times New Roman" w:cs="Times New Roman"/>
          <w:noProof/>
          <w:sz w:val="22"/>
        </w:rPr>
      </w:pPr>
      <w:r>
        <w:rPr>
          <w:noProof/>
          <w:sz w:val="22"/>
        </w:rPr>
        <w:t>kõrgem halduskohus</w:t>
      </w:r>
    </w:p>
    <w:p>
      <w:pPr>
        <w:numPr>
          <w:ilvl w:val="0"/>
          <w:numId w:val="2"/>
        </w:numPr>
        <w:spacing w:after="120"/>
        <w:rPr>
          <w:rFonts w:eastAsia="Times New Roman" w:cs="Times New Roman"/>
          <w:noProof/>
          <w:sz w:val="22"/>
        </w:rPr>
      </w:pPr>
      <w:r>
        <w:rPr>
          <w:noProof/>
          <w:sz w:val="22"/>
        </w:rPr>
        <w:t>riigikontroll</w:t>
      </w:r>
    </w:p>
    <w:p>
      <w:pPr>
        <w:numPr>
          <w:ilvl w:val="0"/>
          <w:numId w:val="2"/>
        </w:numPr>
        <w:spacing w:after="120"/>
        <w:rPr>
          <w:rFonts w:eastAsia="Times New Roman" w:cs="Times New Roman"/>
          <w:noProof/>
          <w:sz w:val="22"/>
        </w:rPr>
      </w:pPr>
      <w:r>
        <w:rPr>
          <w:noProof/>
          <w:sz w:val="22"/>
        </w:rPr>
        <w:t>ülemkohus</w:t>
      </w:r>
    </w:p>
    <w:p>
      <w:pPr>
        <w:numPr>
          <w:ilvl w:val="0"/>
          <w:numId w:val="2"/>
        </w:numPr>
        <w:spacing w:after="120"/>
        <w:rPr>
          <w:rFonts w:eastAsia="Times New Roman" w:cs="Times New Roman"/>
          <w:noProof/>
          <w:sz w:val="22"/>
        </w:rPr>
      </w:pPr>
      <w:r>
        <w:rPr>
          <w:noProof/>
          <w:sz w:val="22"/>
        </w:rPr>
        <w:t>Transparency International Czech Republic</w:t>
      </w:r>
    </w:p>
    <w:p>
      <w:pPr>
        <w:numPr>
          <w:ilvl w:val="0"/>
          <w:numId w:val="2"/>
        </w:numPr>
        <w:spacing w:after="120"/>
        <w:rPr>
          <w:rFonts w:eastAsia="Times New Roman" w:cs="Times New Roman"/>
          <w:noProof/>
          <w:sz w:val="22"/>
        </w:rPr>
      </w:pPr>
      <w:r>
        <w:rPr>
          <w:noProof/>
          <w:sz w:val="22"/>
        </w:rPr>
        <w:t>kohtunike liit</w:t>
      </w:r>
    </w:p>
    <w:p>
      <w:pPr>
        <w:numPr>
          <w:ilvl w:val="0"/>
          <w:numId w:val="2"/>
        </w:numPr>
        <w:spacing w:after="120"/>
        <w:rPr>
          <w:rFonts w:eastAsia="Times New Roman" w:cs="Times New Roman"/>
          <w:noProof/>
          <w:sz w:val="22"/>
        </w:rPr>
      </w:pPr>
      <w:r>
        <w:rPr>
          <w:noProof/>
          <w:sz w:val="22"/>
        </w:rPr>
        <w:t>prokuröride liit</w:t>
      </w:r>
    </w:p>
    <w:p>
      <w:pPr>
        <w:spacing w:after="120"/>
        <w:ind w:left="720"/>
        <w:rPr>
          <w:rFonts w:eastAsia="Times New Roman" w:cs="Times New Roman"/>
          <w:noProof/>
          <w:sz w:val="22"/>
          <w:lang w:eastAsia="en-GB"/>
        </w:rPr>
      </w:pPr>
    </w:p>
    <w:p>
      <w:pPr>
        <w:spacing w:after="120"/>
        <w:rPr>
          <w:rFonts w:cs="Times New Roman"/>
          <w:noProof/>
          <w:sz w:val="22"/>
        </w:rPr>
      </w:pPr>
      <w:r>
        <w:rPr>
          <w:noProof/>
          <w:sz w:val="22"/>
        </w:rPr>
        <w:t>* Komisjon arutas õigusriigi üldküsimusi ka mitmel kohtumisel järgmiste organisatsioonidega:</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reproduktiivõiguste keskus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Euroopa kodanikuvabaduste liit</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Euroopa kirikute konverents</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Euroopa mittetulundusõiguse keskus</w:t>
      </w:r>
    </w:p>
    <w:p>
      <w:pPr>
        <w:numPr>
          <w:ilvl w:val="0"/>
          <w:numId w:val="9"/>
        </w:numPr>
        <w:spacing w:after="120"/>
        <w:rPr>
          <w:rFonts w:cs="Times New Roman"/>
          <w:noProof/>
          <w:sz w:val="22"/>
        </w:rPr>
      </w:pPr>
      <w:r>
        <w:rPr>
          <w:noProof/>
          <w:sz w:val="22"/>
        </w:rPr>
        <w:t>Euroopa ajakirjandus- ja meediavabaduse keskus</w:t>
      </w:r>
    </w:p>
    <w:p>
      <w:pPr>
        <w:numPr>
          <w:ilvl w:val="0"/>
          <w:numId w:val="9"/>
        </w:numPr>
        <w:spacing w:after="120"/>
        <w:rPr>
          <w:rFonts w:cs="Times New Roman"/>
          <w:noProof/>
          <w:sz w:val="22"/>
        </w:rPr>
      </w:pPr>
      <w:r>
        <w:rPr>
          <w:noProof/>
          <w:sz w:val="22"/>
        </w:rPr>
        <w:t>Euroopa kodanike foorum</w:t>
      </w:r>
    </w:p>
    <w:p>
      <w:pPr>
        <w:numPr>
          <w:ilvl w:val="0"/>
          <w:numId w:val="9"/>
        </w:numPr>
        <w:spacing w:after="120"/>
        <w:rPr>
          <w:rFonts w:cs="Times New Roman"/>
          <w:noProof/>
          <w:sz w:val="22"/>
        </w:rPr>
      </w:pPr>
      <w:r>
        <w:rPr>
          <w:noProof/>
          <w:sz w:val="22"/>
        </w:rPr>
        <w:t>Euroopa Ajakirjanike Liit</w:t>
      </w:r>
    </w:p>
    <w:p>
      <w:pPr>
        <w:numPr>
          <w:ilvl w:val="0"/>
          <w:numId w:val="9"/>
        </w:numPr>
        <w:spacing w:after="120"/>
        <w:rPr>
          <w:rFonts w:cs="Times New Roman"/>
          <w:noProof/>
          <w:sz w:val="22"/>
        </w:rPr>
      </w:pPr>
      <w:r>
        <w:rPr>
          <w:noProof/>
          <w:sz w:val="22"/>
        </w:rPr>
        <w:t>Euroopa demokraatiapartnerlus</w:t>
      </w:r>
    </w:p>
    <w:p>
      <w:pPr>
        <w:numPr>
          <w:ilvl w:val="0"/>
          <w:numId w:val="9"/>
        </w:numPr>
        <w:spacing w:after="120"/>
        <w:rPr>
          <w:rFonts w:cs="Times New Roman"/>
          <w:noProof/>
          <w:sz w:val="22"/>
        </w:rPr>
      </w:pPr>
      <w:r>
        <w:rPr>
          <w:noProof/>
          <w:sz w:val="22"/>
        </w:rPr>
        <w:t>Euroopa Noortefoorum</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Human Rights House Foundation</w:t>
      </w:r>
    </w:p>
    <w:p>
      <w:pPr>
        <w:numPr>
          <w:ilvl w:val="0"/>
          <w:numId w:val="9"/>
        </w:numPr>
        <w:spacing w:after="120"/>
        <w:rPr>
          <w:rFonts w:cs="Times New Roman"/>
          <w:noProof/>
          <w:sz w:val="22"/>
        </w:rPr>
      </w:pPr>
      <w:r>
        <w:rPr>
          <w:noProof/>
          <w:sz w:val="22"/>
        </w:rPr>
        <w:t>Human Rights Watch</w:t>
      </w:r>
    </w:p>
    <w:p>
      <w:pPr>
        <w:numPr>
          <w:ilvl w:val="0"/>
          <w:numId w:val="9"/>
        </w:numPr>
        <w:spacing w:after="120"/>
        <w:rPr>
          <w:rFonts w:cs="Times New Roman"/>
          <w:noProof/>
          <w:sz w:val="22"/>
        </w:rPr>
      </w:pPr>
      <w:r>
        <w:rPr>
          <w:noProof/>
          <w:sz w:val="22"/>
        </w:rPr>
        <w:t>ILGA Euroopa büroo</w:t>
      </w:r>
    </w:p>
    <w:p>
      <w:pPr>
        <w:numPr>
          <w:ilvl w:val="0"/>
          <w:numId w:val="9"/>
        </w:numPr>
        <w:spacing w:after="120"/>
        <w:rPr>
          <w:rFonts w:cs="Times New Roman"/>
          <w:noProof/>
          <w:sz w:val="22"/>
        </w:rPr>
      </w:pPr>
      <w:r>
        <w:rPr>
          <w:noProof/>
          <w:sz w:val="22"/>
        </w:rPr>
        <w:t>Rahvusvaheline Juristide Komisjon</w:t>
      </w:r>
    </w:p>
    <w:p>
      <w:pPr>
        <w:numPr>
          <w:ilvl w:val="0"/>
          <w:numId w:val="9"/>
        </w:numPr>
        <w:spacing w:after="120"/>
        <w:rPr>
          <w:rFonts w:cs="Times New Roman"/>
          <w:noProof/>
          <w:sz w:val="22"/>
        </w:rPr>
      </w:pPr>
      <w:r>
        <w:rPr>
          <w:noProof/>
          <w:sz w:val="22"/>
        </w:rPr>
        <w:t>Rahvusvaheline Inimõiguste Föderatsioon</w:t>
      </w:r>
    </w:p>
    <w:p>
      <w:pPr>
        <w:numPr>
          <w:ilvl w:val="0"/>
          <w:numId w:val="9"/>
        </w:numPr>
        <w:spacing w:after="120"/>
        <w:rPr>
          <w:rFonts w:cs="Times New Roman"/>
          <w:noProof/>
          <w:sz w:val="22"/>
        </w:rPr>
      </w:pPr>
      <w:r>
        <w:rPr>
          <w:noProof/>
          <w:sz w:val="22"/>
        </w:rPr>
        <w:t>Rahvusvahelise Pereplaneerimise Föderatsiooni (IPPF) Euroopa võrgustik</w:t>
      </w:r>
    </w:p>
    <w:p>
      <w:pPr>
        <w:numPr>
          <w:ilvl w:val="0"/>
          <w:numId w:val="9"/>
        </w:numPr>
        <w:spacing w:after="120"/>
        <w:rPr>
          <w:rFonts w:cs="Times New Roman"/>
          <w:noProof/>
          <w:sz w:val="22"/>
        </w:rPr>
      </w:pPr>
      <w:r>
        <w:rPr>
          <w:noProof/>
          <w:sz w:val="22"/>
        </w:rPr>
        <w:t>rahvusvaheline pressiinstituut</w:t>
      </w:r>
    </w:p>
    <w:p>
      <w:pPr>
        <w:numPr>
          <w:ilvl w:val="0"/>
          <w:numId w:val="9"/>
        </w:numPr>
        <w:spacing w:after="120"/>
        <w:rPr>
          <w:rFonts w:cs="Times New Roman"/>
          <w:noProof/>
          <w:sz w:val="22"/>
        </w:rPr>
      </w:pPr>
      <w:r>
        <w:rPr>
          <w:noProof/>
          <w:sz w:val="22"/>
        </w:rPr>
        <w:t>Madalmaade Helsingi komitee</w:t>
      </w:r>
    </w:p>
    <w:p>
      <w:pPr>
        <w:numPr>
          <w:ilvl w:val="0"/>
          <w:numId w:val="9"/>
        </w:numPr>
        <w:spacing w:after="120"/>
        <w:rPr>
          <w:rFonts w:cs="Times New Roman"/>
          <w:noProof/>
          <w:sz w:val="22"/>
        </w:rPr>
      </w:pPr>
      <w:r>
        <w:rPr>
          <w:noProof/>
          <w:sz w:val="22"/>
        </w:rPr>
        <w:t>Avatud Ühiskonna Euroopa Poliitika Instituut</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Protection International</w:t>
      </w:r>
    </w:p>
    <w:p>
      <w:pPr>
        <w:numPr>
          <w:ilvl w:val="0"/>
          <w:numId w:val="9"/>
        </w:numPr>
        <w:spacing w:after="120"/>
        <w:rPr>
          <w:rFonts w:cs="Times New Roman"/>
          <w:noProof/>
          <w:sz w:val="22"/>
        </w:rPr>
      </w:pPr>
      <w:r>
        <w:rPr>
          <w:noProof/>
          <w:sz w:val="22"/>
        </w:rPr>
        <w:t>Piirideta Reporterid</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noProof/>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Lisaks tegutsevad maakonnakohtute spetsiaalsed halduskolleegiumid esimese astme halduskohtutena.</w:t>
      </w:r>
    </w:p>
  </w:footnote>
  <w:footnote w:id="3">
    <w:p>
      <w:pPr>
        <w:pStyle w:val="FootnoteText"/>
      </w:pPr>
      <w:r>
        <w:rPr>
          <w:rStyle w:val="FootnoteReference"/>
        </w:rPr>
        <w:footnoteRef/>
      </w:r>
      <w:r>
        <w:t xml:space="preserve"> </w:t>
      </w:r>
      <w:r>
        <w:tab/>
        <w:t>Seadus nr 6/2002 Sb. kohtute ja kohtunike kohta.</w:t>
      </w:r>
    </w:p>
  </w:footnote>
  <w:footnote w:id="4">
    <w:p>
      <w:pPr>
        <w:pStyle w:val="FootnoteText"/>
      </w:pPr>
      <w:r>
        <w:rPr>
          <w:rStyle w:val="FootnoteReference"/>
        </w:rPr>
        <w:footnoteRef/>
      </w:r>
      <w:r>
        <w:t xml:space="preserve"> </w:t>
      </w:r>
      <w:r>
        <w:tab/>
        <w:t>Põhiseaduse artikkel 80, mis kuulub täitevvõimu käsitlevasse kolmandasse ossa.</w:t>
      </w:r>
    </w:p>
  </w:footnote>
  <w:footnote w:id="5">
    <w:p>
      <w:pPr>
        <w:pStyle w:val="FootnoteText"/>
      </w:pPr>
      <w:r>
        <w:rPr>
          <w:rStyle w:val="FootnoteReference"/>
        </w:rPr>
        <w:footnoteRef/>
      </w:r>
      <w:r>
        <w:t xml:space="preserve"> </w:t>
      </w:r>
      <w:r>
        <w:tab/>
        <w:t>Kõrgema astme prokuröride ametisse nimetamise ja tagasi kutsumise meetod on justiitsministeeriumi juunis 2019 esitatud ja praegu ootel oleva reformi osa.</w:t>
      </w:r>
    </w:p>
  </w:footnote>
  <w:footnote w:id="6">
    <w:p>
      <w:pPr>
        <w:pStyle w:val="FootnoteText"/>
      </w:pPr>
      <w:r>
        <w:rPr>
          <w:rStyle w:val="FootnoteReference"/>
        </w:rPr>
        <w:footnoteRef/>
      </w:r>
      <w:r>
        <w:tab/>
        <w:t>2021. aasta ELi õigusemõistmise tulemustabel, joonised 48 ja 50. Kohtusüsteemi tajutava sõltumatuse taset liigitatakse järgmiselt: väga madal (alla 30 % vastajatest peab kohtute sõltumatust võrdlemisi suureks ja väga suureks), madal (30–39 %), keskmine (40–59 %), kõrge (60–75 %), väga kõrge (üle 75 %).</w:t>
      </w:r>
    </w:p>
  </w:footnote>
  <w:footnote w:id="7">
    <w:p>
      <w:pPr>
        <w:pStyle w:val="FootnoteText"/>
      </w:pPr>
      <w:r>
        <w:rPr>
          <w:rStyle w:val="FootnoteReference"/>
        </w:rPr>
        <w:footnoteRef/>
      </w:r>
      <w:r>
        <w:t xml:space="preserve"> </w:t>
      </w:r>
      <w:r>
        <w:tab/>
        <w:t>Lisateabe saamiseks vt 2020. aasta aruanne õigusriigi kohta – peatükk õigusriigi olukorra kohta Tšehhi Vabariigis, lk 2.</w:t>
      </w:r>
    </w:p>
  </w:footnote>
  <w:footnote w:id="8">
    <w:p>
      <w:pPr>
        <w:pStyle w:val="FootnoteText"/>
      </w:pPr>
      <w:r>
        <w:rPr>
          <w:rStyle w:val="FootnoteReference"/>
        </w:rPr>
        <w:footnoteRef/>
      </w:r>
      <w:r>
        <w:t xml:space="preserve"> </w:t>
      </w:r>
      <w:r>
        <w:tab/>
        <w:t>Kohtuid ja kohtunikke käsitleva seaduse nr 6/2002 Sb. muudatus.</w:t>
      </w:r>
    </w:p>
  </w:footnote>
  <w:footnote w:id="9">
    <w:p>
      <w:pPr>
        <w:pStyle w:val="FootnoteText"/>
      </w:pPr>
      <w:r>
        <w:rPr>
          <w:rStyle w:val="FootnoteReference"/>
        </w:rPr>
        <w:footnoteRef/>
      </w:r>
      <w:r>
        <w:t xml:space="preserve"> </w:t>
      </w:r>
      <w:r>
        <w:tab/>
        <w:t>Seaduseelnõu nr 630, millega muudetakse kohtuid ja kohtunikke käsitleva seaduse nr 6/2002 Sb. paragrahve 105a ja 116; seaduseelnõu nr 630, kohtuid ja kohtunikke käsitleva seaduse nr 6/2002 Sb. paragrahvide 105e ja 116 kavandatud muudatus; Euroopa Nõukogu ministrite komitee soovituse Rec(2010)12 punkt 47. Euroopa Kohtu 20. aprilli 2021. aasta kohtuotsus Repubblika, C-896/19, punktid 66–69.</w:t>
      </w:r>
    </w:p>
  </w:footnote>
  <w:footnote w:id="10">
    <w:p>
      <w:pPr>
        <w:pStyle w:val="FootnoteText"/>
      </w:pPr>
      <w:r>
        <w:rPr>
          <w:rStyle w:val="FootnoteReference"/>
        </w:rPr>
        <w:footnoteRef/>
      </w:r>
      <w:r>
        <w:t xml:space="preserve"> </w:t>
      </w:r>
      <w:r>
        <w:tab/>
        <w:t>Lisateabe saamiseks vt 2020. aasta aruanne õigusriigi kohta – peatükk õigusriigi olukorra kohta Tšehhi Vabariigis, lk 3.</w:t>
      </w:r>
    </w:p>
  </w:footnote>
  <w:footnote w:id="11">
    <w:p>
      <w:pPr>
        <w:pStyle w:val="FootnoteText"/>
      </w:pPr>
      <w:r>
        <w:rPr>
          <w:rStyle w:val="FootnoteReference"/>
        </w:rPr>
        <w:footnoteRef/>
      </w:r>
      <w:r>
        <w:t xml:space="preserve"> </w:t>
      </w:r>
      <w:r>
        <w:tab/>
        <w:t>Distsiplinaarküsimustega tegelev senat on Tšehhi Vabariigi kõrgeima halduskohtu eriorgan.</w:t>
      </w:r>
    </w:p>
  </w:footnote>
  <w:footnote w:id="12">
    <w:p>
      <w:pPr>
        <w:pStyle w:val="FootnoteText"/>
      </w:pPr>
      <w:r>
        <w:rPr>
          <w:rStyle w:val="FootnoteReference"/>
        </w:rPr>
        <w:footnoteRef/>
      </w:r>
      <w:r>
        <w:t xml:space="preserve"> </w:t>
      </w:r>
      <w:r>
        <w:tab/>
        <w:t>Kui selgub varem teadmata teavet, saab praeguse korra kohaselt taotleda menetluse taasavamist, samuti saab esitada põhiseadusliku kaebuse; selliseid menetlusi ei peeta aga tavaliseks kohtulikuks läbivaatamiseks.</w:t>
      </w:r>
    </w:p>
  </w:footnote>
  <w:footnote w:id="13">
    <w:p>
      <w:pPr>
        <w:pStyle w:val="FootnoteText"/>
      </w:pPr>
      <w:r>
        <w:rPr>
          <w:rStyle w:val="FootnoteReference"/>
        </w:rPr>
        <w:footnoteRef/>
      </w:r>
      <w:r>
        <w:t xml:space="preserve"> </w:t>
      </w:r>
      <w:r>
        <w:tab/>
        <w:t>Euroopa Nõukogu ministrite komitee soovitus CM/Rec(2010)12, punkt 69; Veneetsia komisjoni arvamus, CDL-AD(2010)004, punkt 43; Veneetsia komisjon, õigusriigi toimimise kontrollnimekiri CDL-AD(2016)007, punkt 78; Euroopa Kohtu kohtupraktika kohaselt (C–216/18 PPU, LM, 25.7.2018, punkt 67): „sõltumatuse nõue eeldab ka seda, et nendele isikutele kohaldatav distsiplinaarkord, kes peavad vaidlusi lahendama, pakub vajalikke tagatisi, et vältida mis tahes ohtu, et seda korda kasutatakse kohtulahendite sisu poliitilise kontrolli süsteemina. Selles suhtes kujutavad normid, milles määratletakse eeskätt distsiplinaarrikkumiste koosseis ja konkreetselt määratavad karistused ning mis näevad ette sõltumatu organi sekkumise vastavalt menetlusele, mis täielikult tagab harta artiklites 47 ja 48 sätestatud õigused, eelkõige kaitseõigused, ning mis näevad ette võimaluse vaidlustada kohtus distsiplinaarorganite otsused, endast kohtuvõimu sõltumatuse kaitse oluliste tagatiste kogumit“.</w:t>
      </w:r>
    </w:p>
  </w:footnote>
  <w:footnote w:id="14">
    <w:p>
      <w:pPr>
        <w:pStyle w:val="FootnoteText"/>
      </w:pPr>
      <w:r>
        <w:rPr>
          <w:rStyle w:val="FootnoteReference"/>
        </w:rPr>
        <w:footnoteRef/>
      </w:r>
      <w:r>
        <w:t xml:space="preserve"> </w:t>
      </w:r>
      <w:r>
        <w:tab/>
        <w:t>2020. aasta aruanne õigusriigi kohta – peatükk õigusriigi olukorra kohta Tšehhi Vabariigis, lk 3–4.</w:t>
      </w:r>
    </w:p>
  </w:footnote>
  <w:footnote w:id="15">
    <w:p>
      <w:pPr>
        <w:pStyle w:val="FootnoteText"/>
      </w:pPr>
      <w:r>
        <w:rPr>
          <w:rStyle w:val="FootnoteReference"/>
        </w:rPr>
        <w:footnoteRef/>
      </w:r>
      <w:r>
        <w:t xml:space="preserve"> </w:t>
      </w:r>
      <w:r>
        <w:tab/>
        <w:t>GRECO neljas hindamisvoor – hindamisaruanne, soovitus x.</w:t>
      </w:r>
    </w:p>
  </w:footnote>
  <w:footnote w:id="16">
    <w:p>
      <w:pPr>
        <w:pStyle w:val="FootnoteText"/>
      </w:pPr>
      <w:r>
        <w:rPr>
          <w:rStyle w:val="FootnoteReference"/>
        </w:rPr>
        <w:footnoteRef/>
      </w:r>
      <w:r>
        <w:t xml:space="preserve"> </w:t>
      </w:r>
      <w:r>
        <w:tab/>
        <w:t>Õigusloomeprotsessi elektroonilises raamatukogus avaldatud materjalid, kättesaadavad aadressil https://apps.odok.cz/veklep-detail?pid=KORNBD9J6ZWU.</w:t>
      </w:r>
    </w:p>
  </w:footnote>
  <w:footnote w:id="17">
    <w:p>
      <w:pPr>
        <w:pStyle w:val="FootnoteText"/>
      </w:pPr>
      <w:r>
        <w:rPr>
          <w:rStyle w:val="FootnoteReference"/>
        </w:rPr>
        <w:footnoteRef/>
      </w:r>
      <w:r>
        <w:t xml:space="preserve"> </w:t>
      </w:r>
      <w:r>
        <w:tab/>
        <w:t>Tšehhi Vabariiki tehtud riigikülastuse käigus justiitsministeeriumilt saadud teave.</w:t>
      </w:r>
    </w:p>
  </w:footnote>
  <w:footnote w:id="18">
    <w:p>
      <w:pPr>
        <w:pStyle w:val="FootnoteText"/>
      </w:pPr>
      <w:r>
        <w:rPr>
          <w:rStyle w:val="FootnoteReference"/>
        </w:rPr>
        <w:footnoteRef/>
      </w:r>
      <w:r>
        <w:t xml:space="preserve"> </w:t>
      </w:r>
      <w:r>
        <w:tab/>
        <w:t>Tšehhikeelne eetikakoodeks on kättesaadav aadressil https://www.nsoud.cz/judikatura/ns_web.nsf/0/480C6A02F818B1DCC12586B00029183B/$file/ETICK%C3%9D%20KODEX%20(2).pdf; ingliskeelne versioon on kättesaadav aadressil https://www.nsoud.cz/Judikatura/ns_web.nsf/web/CodeofEthics~Code_of_Ethic~?Open&amp;lng=EN.</w:t>
      </w:r>
    </w:p>
  </w:footnote>
  <w:footnote w:id="19">
    <w:p>
      <w:pPr>
        <w:pStyle w:val="FootnoteText"/>
      </w:pPr>
      <w:r>
        <w:rPr>
          <w:rStyle w:val="FootnoteReference"/>
        </w:rPr>
        <w:footnoteRef/>
      </w:r>
      <w:r>
        <w:t xml:space="preserve"> </w:t>
      </w:r>
      <w:r>
        <w:tab/>
        <w:t>Tšehhi Vabariigilt õigusriigi olukorda käsitleva 2021. aasta aruande koostamiseks saadud teave, lk 4–5.</w:t>
      </w:r>
    </w:p>
  </w:footnote>
  <w:footnote w:id="20">
    <w:p>
      <w:pPr>
        <w:pStyle w:val="FootnoteText"/>
      </w:pPr>
      <w:r>
        <w:rPr>
          <w:rStyle w:val="FootnoteReference"/>
        </w:rPr>
        <w:footnoteRef/>
      </w:r>
      <w:r>
        <w:t xml:space="preserve"> </w:t>
      </w:r>
      <w:r>
        <w:tab/>
        <w:t>Tšehhi Vabariigis puudub kohtunõukogu, kuid igal kohtul on oma kohtunike nõukogu. Nõukogudesse kuuluvad vastava kohtu kohtunikud, kelle valivad nende kolleegid. Vähem kui 11 kohtunikuga piirkondlikes kohtutes täidab nõukogu osa kohtu kõigi kohtunike täiskogu; kohtuid ja kohtunikke käsitleva seaduse paragrahv 46 jj.</w:t>
      </w:r>
    </w:p>
  </w:footnote>
  <w:footnote w:id="21">
    <w:p>
      <w:pPr>
        <w:pStyle w:val="FootnoteText"/>
      </w:pPr>
      <w:r>
        <w:rPr>
          <w:rStyle w:val="FootnoteReference"/>
        </w:rPr>
        <w:footnoteRef/>
      </w:r>
      <w:r>
        <w:t xml:space="preserve"> </w:t>
      </w:r>
      <w:r>
        <w:tab/>
        <w:t>GRECO neljas hindamisvoor – hindamisaruanne, soovitus vii(i).</w:t>
      </w:r>
    </w:p>
  </w:footnote>
  <w:footnote w:id="22">
    <w:p>
      <w:pPr>
        <w:pStyle w:val="FootnoteText"/>
      </w:pPr>
      <w:r>
        <w:rPr>
          <w:rStyle w:val="FootnoteReference"/>
        </w:rPr>
        <w:footnoteRef/>
      </w:r>
      <w:r>
        <w:t xml:space="preserve"> </w:t>
      </w:r>
      <w:r>
        <w:tab/>
        <w:t xml:space="preserve"> Ajalehes „Denik N“ avaldatud intervjuu justiitsministriga (3. veebruar 2021) „Kdo co komu slíbil? Před volbami udělají tóčo, kritizuje Benešová verdikt Ústavního soudu“ (Kes kellele mida lubas? Nad tekitavad enne valimisi segadust, kritiseeris Benešová konstitutsioonikohut); </w:t>
      </w:r>
      <w:r>
        <w:rPr>
          <w:i/>
          <w:iCs/>
        </w:rPr>
        <w:t>Deník N</w:t>
      </w:r>
      <w:r>
        <w:t xml:space="preserve"> (3. veebruar 2021) „Babiš obvinil soudce z ovlivňování voleb. Jen chráníme ústavu, reagoval Rychetský“ (Babiš süüdistas kohtunikke valimiste mõjutamises. Kaitseme lihtsalt põhiseadust, reageeris Rychetský); Info.cz intervjuu justiitsministriga (25. veebruar 2021) „Stíhání Babiše se povleče do voleb, státní zástupci z něj mají štít proti svému odvolání“ (Menetlus Babiši vastu venib kuni valimisteni, prokurörid kasutavad seda kilbina oma vallandamise vastu); Justiitsminister seadis avalikult kahtluse alla peaprokuröri tegevuse õiguspärasuse ja teatas, et alustab distsiplinaarmenetlust. Peaprokuröri toetas aga peaminister, nagu teatas </w:t>
      </w:r>
      <w:r>
        <w:rPr>
          <w:i/>
          <w:iCs/>
        </w:rPr>
        <w:t>Seznam Zprávy</w:t>
      </w:r>
      <w:r>
        <w:t xml:space="preserve"> (9. mai 2020) „Benešová zesiluje boj proti šéfovi žalobců“ (Benešová tõhustab võitlust prokuröride ülemuse vastu).</w:t>
      </w:r>
    </w:p>
  </w:footnote>
  <w:footnote w:id="23">
    <w:p>
      <w:pPr>
        <w:pStyle w:val="FootnoteText"/>
      </w:pPr>
      <w:r>
        <w:rPr>
          <w:rStyle w:val="FootnoteReference"/>
        </w:rPr>
        <w:footnoteRef/>
      </w:r>
      <w:r>
        <w:t xml:space="preserve"> </w:t>
      </w:r>
      <w:r>
        <w:tab/>
        <w:t>Kohtunike liidu avaldus „Soudcovská unie k vystoupení ministryně spravedlnosti“; prokuröride liidu avaldus (4. veebruar 2021); prokuröride liidu esimehe avaldus (26. veebruar 2021).</w:t>
      </w:r>
    </w:p>
  </w:footnote>
  <w:footnote w:id="24">
    <w:p>
      <w:pPr>
        <w:pStyle w:val="FootnoteText"/>
      </w:pPr>
      <w:r>
        <w:rPr>
          <w:rStyle w:val="FootnoteReference"/>
        </w:rPr>
        <w:footnoteRef/>
      </w:r>
      <w:r>
        <w:t xml:space="preserve"> </w:t>
      </w:r>
      <w:r>
        <w:tab/>
        <w:t>Prokuratuuri pressiteade (14. mai 2021) „Nejvyšší státní zástupce Zeman rezignoval“ (Peaprokurör Pavel Zeman teatas oma tagasiastumisest), pressikonverentsi salvestis on kättesaadav aadressil https://www.dvtv.cz/video/sef-zalobcu-zeman-konci-citil-jsem-silny-tlak-ze-strany-benesove-nechci-dal-jen-odrazet-jeji-utoky; vt ka ajalehes „Denik N“ avaldatud (25. mai 2020) intervjuu peaprokuröriga, „Zeman:</w:t>
      </w:r>
      <w:r>
        <w:rPr>
          <w:i/>
        </w:rPr>
        <w:t xml:space="preserve"> </w:t>
      </w:r>
      <w:r>
        <w:t>Po schůzce s Benešovou jsem vycítil svůj konec, byli jsme pro ni vděčný terč.</w:t>
      </w:r>
      <w:r>
        <w:rPr>
          <w:i/>
        </w:rPr>
        <w:t xml:space="preserve"> </w:t>
      </w:r>
      <w:r>
        <w:t>Politika zhrubla.“</w:t>
      </w:r>
    </w:p>
  </w:footnote>
  <w:footnote w:id="25">
    <w:p>
      <w:pPr>
        <w:pStyle w:val="FootnoteText"/>
      </w:pPr>
      <w:r>
        <w:rPr>
          <w:rStyle w:val="FootnoteReference"/>
        </w:rPr>
        <w:footnoteRef/>
      </w:r>
      <w:r>
        <w:t xml:space="preserve"> </w:t>
      </w:r>
      <w:r>
        <w:tab/>
        <w:t>Uus peaprokurör nimetati ametisse 13. juulil 2021.</w:t>
      </w:r>
    </w:p>
  </w:footnote>
  <w:footnote w:id="26">
    <w:p>
      <w:pPr>
        <w:pStyle w:val="FootnoteText"/>
      </w:pPr>
      <w:r>
        <w:rPr>
          <w:rStyle w:val="FootnoteReference"/>
        </w:rPr>
        <w:footnoteRef/>
      </w:r>
      <w:r>
        <w:t xml:space="preserve"> </w:t>
      </w:r>
      <w:r>
        <w:tab/>
        <w:t>Lisateabe saamiseks vt 2020. aasta aruanne õigusriigi kohta – peatükk õigusriigi olukorra kohta Tšehhi Vabariigis, lk 4–5.</w:t>
      </w:r>
    </w:p>
  </w:footnote>
  <w:footnote w:id="27">
    <w:p>
      <w:pPr>
        <w:pStyle w:val="FootnoteText"/>
      </w:pPr>
      <w:r>
        <w:rPr>
          <w:rStyle w:val="FootnoteReference"/>
        </w:rPr>
        <w:footnoteRef/>
      </w:r>
      <w:r>
        <w:t xml:space="preserve"> </w:t>
      </w:r>
      <w:r>
        <w:tab/>
        <w:t>Tšehhi Vabariigilt õigusriigi olukorda käsitleva 2021. aasta aruande koostamiseks saadud teave, lk 6; Tšehhi Vabariiki tehtud riigikülastuse käigus saadud teave.</w:t>
      </w:r>
    </w:p>
  </w:footnote>
  <w:footnote w:id="28">
    <w:p>
      <w:pPr>
        <w:pStyle w:val="FootnoteText"/>
      </w:pPr>
      <w:r>
        <w:rPr>
          <w:rStyle w:val="FootnoteReference"/>
        </w:rPr>
        <w:footnoteRef/>
      </w:r>
      <w:r>
        <w:t xml:space="preserve"> </w:t>
      </w:r>
      <w:r>
        <w:tab/>
        <w:t>Tšehhi Vabariigi advokatuurilt õigusriigi olukorda käsitleva 2021. aasta aruande koostamiseks saadud tagasiside, lk 15; 2020. aasta aruanne õigusriigi kohta – peatükk õigusriigi olukorra kohta Tšehhi Vabariigis, lk 5.</w:t>
      </w:r>
    </w:p>
  </w:footnote>
  <w:footnote w:id="29">
    <w:p>
      <w:pPr>
        <w:pStyle w:val="FootnoteText"/>
      </w:pPr>
      <w:r>
        <w:rPr>
          <w:rStyle w:val="FootnoteReference"/>
        </w:rPr>
        <w:footnoteRef/>
      </w:r>
      <w:r>
        <w:t xml:space="preserve"> </w:t>
      </w:r>
      <w:r>
        <w:tab/>
        <w:t xml:space="preserve">Andmebaas on kättesaadav aadressil </w:t>
      </w:r>
      <w:hyperlink r:id="rId1" w:history="1">
        <w:r>
          <w:rPr>
            <w:rStyle w:val="Hyperlink"/>
          </w:rPr>
          <w:t>https://rozhodnuti.justice.cz/soudnirozhodnuti/</w:t>
        </w:r>
      </w:hyperlink>
      <w:r>
        <w:rPr>
          <w:rStyle w:val="Hyperlink"/>
          <w:u w:val="none"/>
        </w:rPr>
        <w:t>.</w:t>
      </w:r>
    </w:p>
  </w:footnote>
  <w:footnote w:id="30">
    <w:p>
      <w:pPr>
        <w:pStyle w:val="FootnoteText"/>
      </w:pPr>
      <w:r>
        <w:rPr>
          <w:rStyle w:val="FootnoteReference"/>
        </w:rPr>
        <w:footnoteRef/>
      </w:r>
      <w:r>
        <w:t xml:space="preserve"> </w:t>
      </w:r>
      <w:r>
        <w:tab/>
        <w:t>Seaduse nr 218/2021 artikli I punkt 23.</w:t>
      </w:r>
    </w:p>
  </w:footnote>
  <w:footnote w:id="31">
    <w:p>
      <w:pPr>
        <w:pStyle w:val="FootnoteText"/>
      </w:pPr>
      <w:r>
        <w:rPr>
          <w:rStyle w:val="FootnoteReference"/>
        </w:rPr>
        <w:footnoteRef/>
      </w:r>
      <w:r>
        <w:t xml:space="preserve"> </w:t>
      </w:r>
      <w:r>
        <w:tab/>
        <w:t>2021. aasta ELi õigusemõistmise tulemustabel, joonised 40–43.</w:t>
      </w:r>
    </w:p>
  </w:footnote>
  <w:footnote w:id="32">
    <w:p>
      <w:pPr>
        <w:pStyle w:val="FootnoteText"/>
      </w:pPr>
      <w:r>
        <w:rPr>
          <w:rStyle w:val="FootnoteReference"/>
        </w:rPr>
        <w:footnoteRef/>
      </w:r>
      <w:r>
        <w:t xml:space="preserve"> </w:t>
      </w:r>
      <w:r>
        <w:tab/>
        <w:t>2021. aasta ELi õigusemõistmise tulemustabel, joonis 44.</w:t>
      </w:r>
    </w:p>
  </w:footnote>
  <w:footnote w:id="33">
    <w:p>
      <w:pPr>
        <w:pStyle w:val="FootnoteText"/>
      </w:pPr>
      <w:r>
        <w:rPr>
          <w:rStyle w:val="FootnoteReference"/>
        </w:rPr>
        <w:footnoteRef/>
      </w:r>
      <w:r>
        <w:t xml:space="preserve"> </w:t>
      </w:r>
      <w:r>
        <w:tab/>
        <w:t>2020. aasta aruanne õigusriigi kohta – peatükk õigusriigi olukorra kohta Tšehhi Vabariigis, lk 5.</w:t>
      </w:r>
    </w:p>
  </w:footnote>
  <w:footnote w:id="34">
    <w:p>
      <w:pPr>
        <w:pStyle w:val="FootnoteText"/>
      </w:pPr>
      <w:r>
        <w:rPr>
          <w:rStyle w:val="FootnoteReference"/>
        </w:rPr>
        <w:footnoteRef/>
      </w:r>
      <w:r>
        <w:t xml:space="preserve"> </w:t>
      </w:r>
      <w:r>
        <w:tab/>
        <w:t>Tšehhi Vabariigilt õigusriigi olukorda käsitleva 2021. aasta aruande koostamiseks saadud teave, lk 8.</w:t>
      </w:r>
    </w:p>
  </w:footnote>
  <w:footnote w:id="35">
    <w:p>
      <w:pPr>
        <w:pStyle w:val="FootnoteText"/>
      </w:pPr>
      <w:r>
        <w:rPr>
          <w:rStyle w:val="FootnoteReference"/>
        </w:rPr>
        <w:footnoteRef/>
      </w:r>
      <w:r>
        <w:t xml:space="preserve"> </w:t>
      </w:r>
      <w:r>
        <w:tab/>
        <w:t>2020. aasta novembri andmete kohaselt on täitemenetlus algatatud enam kui 700 000 inimese suhtes; 2019. aasta seadusega nr 31/2019 kaasneva õigusmõju hindamise aruande teabe kohaselt ei olnud 90 % võlgnikest suutelised oma võlgu kunagi tasuma.</w:t>
      </w:r>
    </w:p>
  </w:footnote>
  <w:footnote w:id="36">
    <w:p>
      <w:pPr>
        <w:pStyle w:val="FootnoteText"/>
      </w:pPr>
      <w:r>
        <w:rPr>
          <w:rStyle w:val="FootnoteReference"/>
        </w:rPr>
        <w:footnoteRef/>
      </w:r>
      <w:r>
        <w:t xml:space="preserve"> </w:t>
      </w:r>
      <w:r>
        <w:tab/>
        <w:t>Tšehhi Vabariigi konstitutsioonikohtu otsus nr I. ÚS 3271/13, punkt 31.</w:t>
      </w:r>
    </w:p>
  </w:footnote>
  <w:footnote w:id="37">
    <w:p>
      <w:pPr>
        <w:pStyle w:val="FootnoteText"/>
      </w:pPr>
      <w:r>
        <w:rPr>
          <w:rStyle w:val="FootnoteReference"/>
        </w:rPr>
        <w:footnoteRef/>
      </w:r>
      <w:r>
        <w:t xml:space="preserve"> </w:t>
      </w:r>
      <w:r>
        <w:tab/>
        <w:t>2020. aasta aruanne õigusriigi kohta – peatükk õigusriigi olukorra kohta Tšehhi Vabariigis, lk 5.</w:t>
      </w:r>
    </w:p>
  </w:footnote>
  <w:footnote w:id="38">
    <w:p>
      <w:pPr>
        <w:pStyle w:val="FootnoteText"/>
      </w:pPr>
      <w:r>
        <w:rPr>
          <w:rStyle w:val="FootnoteReference"/>
        </w:rPr>
        <w:footnoteRef/>
      </w:r>
      <w:r>
        <w:t xml:space="preserve"> </w:t>
      </w:r>
      <w:r>
        <w:tab/>
        <w:t>2021. aasta jaanuaris vastuvõetud seadus nr 38/2021, millega luuakse nn kaitstud konto; esindajatekojas 2021. aasta aprillis heakskiidetud seaduseelnõu nr 545, millega kehtestatakse muudatused tsiviilkohtumenetluse seadustikus ja kohtutäiturite seaduses; 2020. aasta novembris esitatud seaduseelnõu nr 1073, millega kehtestatakse täiendavad muudatused maksejõuetusmenetluse seaduses; senatis 2021. aasta aprillis vastuvõetud seaduseelnõu nr 986 lastest võlgnike küsimuse kohta.</w:t>
      </w:r>
    </w:p>
  </w:footnote>
  <w:footnote w:id="39">
    <w:p>
      <w:pPr>
        <w:pStyle w:val="FootnoteText"/>
      </w:pPr>
      <w:r>
        <w:rPr>
          <w:rStyle w:val="FootnoteReference"/>
        </w:rPr>
        <w:footnoteRef/>
      </w:r>
      <w:r>
        <w:t xml:space="preserve"> </w:t>
      </w:r>
      <w:r>
        <w:tab/>
        <w:t>Vt ka 2020. aasta aruanne õigusriigi kohta – peatükk õigusriigi olukorra kohta Tšehhi Vabariigis, lk 6.</w:t>
      </w:r>
    </w:p>
  </w:footnote>
  <w:footnote w:id="40">
    <w:p>
      <w:pPr>
        <w:pStyle w:val="FootnoteText"/>
      </w:pPr>
      <w:r>
        <w:rPr>
          <w:rStyle w:val="FootnoteReference"/>
        </w:rPr>
        <w:footnoteRef/>
      </w:r>
      <w:r>
        <w:tab/>
        <w:t>2021. aasta ELi õigusemõistmise tulemustabel, joonised 6 ja 7.</w:t>
      </w:r>
    </w:p>
  </w:footnote>
  <w:footnote w:id="41">
    <w:p>
      <w:pPr>
        <w:pStyle w:val="FootnoteText"/>
      </w:pPr>
      <w:r>
        <w:rPr>
          <w:rStyle w:val="FootnoteReference"/>
        </w:rPr>
        <w:footnoteRef/>
      </w:r>
      <w:r>
        <w:t xml:space="preserve"> </w:t>
      </w:r>
      <w:r>
        <w:tab/>
        <w:t>2021. aasta ELi õigusemõistmise tulemustabel, joonis 9.</w:t>
      </w:r>
    </w:p>
  </w:footnote>
  <w:footnote w:id="42">
    <w:p>
      <w:pPr>
        <w:pStyle w:val="FootnoteText"/>
      </w:pPr>
      <w:r>
        <w:rPr>
          <w:rStyle w:val="FootnoteReference"/>
        </w:rPr>
        <w:footnoteRef/>
      </w:r>
      <w:r>
        <w:t xml:space="preserve"> </w:t>
      </w:r>
      <w:r>
        <w:tab/>
        <w:t>2021. aasta ELi õigusemõistmise tulemustabel, joonis 13.</w:t>
      </w:r>
    </w:p>
  </w:footnote>
  <w:footnote w:id="43">
    <w:p>
      <w:pPr>
        <w:pStyle w:val="FootnoteText"/>
      </w:pPr>
      <w:r>
        <w:rPr>
          <w:rStyle w:val="FootnoteReference"/>
        </w:rPr>
        <w:footnoteRef/>
      </w:r>
      <w:r>
        <w:tab/>
        <w:t>Tšehhi Vabariiki tehtud riigikülastuse käigus justiitsministeeriumilt saadud teave.</w:t>
      </w:r>
    </w:p>
  </w:footnote>
  <w:footnote w:id="44">
    <w:p>
      <w:pPr>
        <w:pStyle w:val="FootnoteText"/>
      </w:pPr>
      <w:r>
        <w:rPr>
          <w:rStyle w:val="FootnoteReference"/>
        </w:rPr>
        <w:footnoteRef/>
      </w:r>
      <w:r>
        <w:t xml:space="preserve"> </w:t>
      </w:r>
      <w:r>
        <w:tab/>
        <w:t>Tšehhi Vabariiki tehtud riigikülastuse käigus saadud teave.</w:t>
      </w:r>
    </w:p>
  </w:footnote>
  <w:footnote w:id="45">
    <w:p>
      <w:pPr>
        <w:pStyle w:val="FootnoteText"/>
      </w:pPr>
      <w:r>
        <w:rPr>
          <w:rStyle w:val="FootnoteReference"/>
        </w:rPr>
        <w:footnoteRef/>
      </w:r>
      <w:r>
        <w:t xml:space="preserve"> </w:t>
      </w:r>
      <w:r>
        <w:tab/>
        <w:t>Tšehhi Vabariiki tehtud riigikülastuse käigus saadud teave.</w:t>
      </w:r>
    </w:p>
  </w:footnote>
  <w:footnote w:id="46">
    <w:p>
      <w:pPr>
        <w:pStyle w:val="FootnoteText"/>
      </w:pPr>
      <w:r>
        <w:rPr>
          <w:rStyle w:val="FootnoteReference"/>
        </w:rPr>
        <w:footnoteRef/>
      </w:r>
      <w:r>
        <w:t xml:space="preserve"> </w:t>
      </w:r>
      <w:r>
        <w:tab/>
        <w:t>Tšehhi Vabariigi advokatuurilt õigusriigi olukorda käsitleva 2021. aasta aruande koostamiseks saadud tagasiside lk 17.</w:t>
      </w:r>
    </w:p>
  </w:footnote>
  <w:footnote w:id="47">
    <w:p>
      <w:pPr>
        <w:pStyle w:val="FootnoteText"/>
      </w:pPr>
      <w:r>
        <w:rPr>
          <w:rStyle w:val="FootnoteReference"/>
        </w:rPr>
        <w:footnoteRef/>
      </w:r>
      <w:r>
        <w:t xml:space="preserve"> </w:t>
      </w:r>
      <w:r>
        <w:tab/>
        <w:t>Tšehhi Vabariiki tehtud riigikülastuse käigus saadud teave.</w:t>
      </w:r>
    </w:p>
  </w:footnote>
  <w:footnote w:id="48">
    <w:p>
      <w:pPr>
        <w:pStyle w:val="FootnoteText"/>
      </w:pPr>
      <w:r>
        <w:rPr>
          <w:rStyle w:val="FootnoteReference"/>
        </w:rPr>
        <w:footnoteRef/>
      </w:r>
      <w:r>
        <w:t xml:space="preserve"> </w:t>
      </w:r>
      <w:r>
        <w:tab/>
        <w:t>Tšehhi Vabariiki tehtud riigikülastuse käigus saadud teave.</w:t>
      </w:r>
    </w:p>
  </w:footnote>
  <w:footnote w:id="49">
    <w:p>
      <w:pPr>
        <w:pStyle w:val="FootnoteText"/>
      </w:pPr>
      <w:r>
        <w:rPr>
          <w:rStyle w:val="FootnoteReference"/>
        </w:rPr>
        <w:footnoteRef/>
      </w:r>
      <w:r>
        <w:t xml:space="preserve"> </w:t>
      </w:r>
      <w:r>
        <w:tab/>
        <w:t>Muude korruptsioonijuhtumitega tegelevad piirkondlikud politseidirektoraadid ja riiklik organiseeritud kuritegevuse vastane amet suudab igal ajal juhtumid üle võtta.</w:t>
      </w:r>
    </w:p>
  </w:footnote>
  <w:footnote w:id="50">
    <w:p>
      <w:pPr>
        <w:pStyle w:val="FootnoteText"/>
      </w:pPr>
      <w:r>
        <w:rPr>
          <w:rStyle w:val="FootnoteReference"/>
        </w:rPr>
        <w:footnoteRef/>
      </w:r>
      <w:r>
        <w:t xml:space="preserve"> </w:t>
      </w:r>
      <w:r>
        <w:tab/>
        <w:t>Transparency International, korruptsiooni tajumise indeks 2020 (2021), lk 2–3. Tajutava korruptsiooni tase on liigitatud järgmiselt: madal (ekspertide hulgas ja äriringkondades hinnatakse avaliku sektori korruptsiooni taset enam kui 79 punktiga); suhteliselt madal (tulemus vahemikus 79–60), suhteliselt kõrge (tulemus vahemikus 59–50), kõrge (tulemus alla 50).</w:t>
      </w:r>
    </w:p>
  </w:footnote>
  <w:footnote w:id="51">
    <w:p>
      <w:pPr>
        <w:pStyle w:val="FootnoteText"/>
      </w:pPr>
      <w:r>
        <w:rPr>
          <w:rStyle w:val="FootnoteReference"/>
        </w:rPr>
        <w:footnoteRef/>
      </w:r>
      <w:r>
        <w:t xml:space="preserve"> </w:t>
      </w:r>
      <w:r>
        <w:tab/>
        <w:t>Eurobaromeetri eelmise aasta andmeid korruptsiooni tajumise ning kodanike ja ettevõtjate kogemuste kohta ajakohastatakse iga kahe aasta järel. Viimased andmekogumid pärinevad Eurobaromeetri eriuuringust nr 502 (2020) ja Eurobaromeetri kiiruuringust nr 482 (2019).</w:t>
      </w:r>
    </w:p>
  </w:footnote>
  <w:footnote w:id="52">
    <w:p>
      <w:pPr>
        <w:pStyle w:val="FootnoteText"/>
      </w:pPr>
      <w:r>
        <w:rPr>
          <w:rStyle w:val="FootnoteReference"/>
        </w:rPr>
        <w:footnoteRef/>
      </w:r>
      <w:r>
        <w:t xml:space="preserve"> </w:t>
      </w:r>
      <w:r>
        <w:tab/>
        <w:t>2015. aastal oli see näitaja 56, 2020. aastal 54. See näitaja suureneb/väheneb oluliselt (muutus viimase viie aasta jooksul rohkem kui viis punkti); paraneb/halveneb (muutus vahemikus 4–5 punkti); on suhteliselt stabiilne (muutus vahemikus 1–3 punkti).</w:t>
      </w:r>
    </w:p>
  </w:footnote>
  <w:footnote w:id="53">
    <w:p>
      <w:pPr>
        <w:pStyle w:val="FootnoteText"/>
      </w:pPr>
      <w:r>
        <w:rPr>
          <w:rStyle w:val="FootnoteReference"/>
        </w:rPr>
        <w:footnoteRef/>
      </w:r>
      <w:r>
        <w:t xml:space="preserve"> </w:t>
      </w:r>
      <w:r>
        <w:tab/>
        <w:t>Resolutsioon nr 1273. Kava on kättesaadav valitsuse korruptsioonivastases portaalis ja selle täitmist jälgib valitsuse korruptsioonivastane nõukogu.</w:t>
      </w:r>
    </w:p>
  </w:footnote>
  <w:footnote w:id="54">
    <w:p>
      <w:pPr>
        <w:pStyle w:val="FootnoteText"/>
      </w:pPr>
      <w:r>
        <w:rPr>
          <w:rStyle w:val="FootnoteReference"/>
        </w:rPr>
        <w:footnoteRef/>
      </w:r>
      <w:r>
        <w:t xml:space="preserve"> </w:t>
      </w:r>
      <w:r>
        <w:tab/>
        <w:t>Tšehhi Vabariigi korruptsioonivastane strateegia, mis põhineb valitsuse 2018. aasta programmi seletuskirjal, on kättesaadav valitsuse korruptsioonivastases portaalis</w:t>
      </w:r>
      <w:r>
        <w:rPr>
          <w:rStyle w:val="Hyperlink"/>
        </w:rPr>
        <w:t>.</w:t>
      </w:r>
    </w:p>
  </w:footnote>
  <w:footnote w:id="55">
    <w:p>
      <w:pPr>
        <w:pStyle w:val="FootnoteText"/>
      </w:pPr>
      <w:r>
        <w:rPr>
          <w:rStyle w:val="FootnoteReference"/>
        </w:rPr>
        <w:footnoteRef/>
      </w:r>
      <w:r>
        <w:t xml:space="preserve"> </w:t>
      </w:r>
      <w:r>
        <w:tab/>
        <w:t>2020. aasta aruanne õigusriigi kohta – peatükk õigusriigi olukorra kohta Tšehhi Vabariigis, lk 7.</w:t>
      </w:r>
    </w:p>
  </w:footnote>
  <w:footnote w:id="56">
    <w:p>
      <w:pPr>
        <w:pStyle w:val="FootnoteText"/>
      </w:pPr>
      <w:r>
        <w:rPr>
          <w:rStyle w:val="FootnoteReference"/>
        </w:rPr>
        <w:footnoteRef/>
      </w:r>
      <w:r>
        <w:t xml:space="preserve"> </w:t>
      </w:r>
      <w:r>
        <w:tab/>
        <w:t>Prioriteetsed valdkonnad on muu hulgas järgmised: i) tulemuslik ja sõltumatu valitsus; ii) läbipaistvus ja avatud juurdepääs teabele; iii) riigivara tõhus haldamine ning iv) kodanikuühiskonna arendamine.</w:t>
      </w:r>
    </w:p>
  </w:footnote>
  <w:footnote w:id="57">
    <w:p>
      <w:pPr>
        <w:pStyle w:val="FootnoteText"/>
      </w:pPr>
      <w:r>
        <w:rPr>
          <w:rStyle w:val="FootnoteReference"/>
        </w:rPr>
        <w:footnoteRef/>
      </w:r>
      <w:r>
        <w:t xml:space="preserve"> </w:t>
      </w:r>
      <w:r>
        <w:tab/>
        <w:t>Tšehhi Vabariiki tehtud riigikülastuse käigus justiitsministeeriumilt saadud teave.</w:t>
      </w:r>
    </w:p>
  </w:footnote>
  <w:footnote w:id="58">
    <w:p>
      <w:pPr>
        <w:pStyle w:val="FootnoteText"/>
      </w:pPr>
      <w:r>
        <w:rPr>
          <w:rStyle w:val="FootnoteReference"/>
        </w:rPr>
        <w:footnoteRef/>
      </w:r>
      <w:r>
        <w:t xml:space="preserve"> </w:t>
      </w:r>
      <w:r>
        <w:tab/>
        <w:t>Tšehhi Vabariiki tehtud riigikülastuse käigus justiitsministeeriumilt saadud teave.</w:t>
      </w:r>
    </w:p>
  </w:footnote>
  <w:footnote w:id="59">
    <w:p>
      <w:pPr>
        <w:pStyle w:val="FootnoteText"/>
      </w:pPr>
      <w:r>
        <w:rPr>
          <w:rStyle w:val="FootnoteReference"/>
        </w:rPr>
        <w:footnoteRef/>
      </w:r>
      <w:r>
        <w:t xml:space="preserve"> </w:t>
      </w:r>
      <w:r>
        <w:tab/>
        <w:t>Tšehhi Vabariigilt õigusriigi olukorda käsitleva 2021. aasta aruande koostamiseks saadud teave, lk 19–20.</w:t>
      </w:r>
    </w:p>
  </w:footnote>
  <w:footnote w:id="60">
    <w:p>
      <w:pPr>
        <w:pStyle w:val="FootnoteText"/>
      </w:pPr>
      <w:r>
        <w:rPr>
          <w:rStyle w:val="FootnoteReference"/>
        </w:rPr>
        <w:footnoteRef/>
      </w:r>
      <w:r>
        <w:t xml:space="preserve"> </w:t>
      </w:r>
      <w:r>
        <w:tab/>
        <w:t>Karistusseadustiku paragrahv 160 ja paragrahvi 179b lõige 3.</w:t>
      </w:r>
    </w:p>
  </w:footnote>
  <w:footnote w:id="61">
    <w:p>
      <w:pPr>
        <w:pStyle w:val="FootnoteText"/>
      </w:pPr>
      <w:r>
        <w:rPr>
          <w:rStyle w:val="FootnoteReference"/>
        </w:rPr>
        <w:footnoteRef/>
      </w:r>
      <w:r>
        <w:t xml:space="preserve"> </w:t>
      </w:r>
      <w:r>
        <w:tab/>
        <w:t>Tšehhi Vabariigilt õigusriigi olukorda käsitleva 2021. aasta aruande koostamiseks saadud teave, I liide.</w:t>
      </w:r>
    </w:p>
  </w:footnote>
  <w:footnote w:id="62">
    <w:p>
      <w:pPr>
        <w:pStyle w:val="FootnoteText"/>
      </w:pPr>
      <w:r>
        <w:rPr>
          <w:rStyle w:val="FootnoteReference"/>
        </w:rPr>
        <w:footnoteRef/>
      </w:r>
      <w:r>
        <w:t xml:space="preserve"> </w:t>
      </w:r>
      <w:r>
        <w:tab/>
        <w:t>Siia kuuluvad süüdistuse esitamise otsused, karistusettepanekud ning kokkulepped süü ja karistuse kohta.</w:t>
      </w:r>
    </w:p>
  </w:footnote>
  <w:footnote w:id="63">
    <w:p>
      <w:pPr>
        <w:pStyle w:val="FootnoteText"/>
      </w:pPr>
      <w:r>
        <w:rPr>
          <w:rStyle w:val="FootnoteReference"/>
        </w:rPr>
        <w:footnoteRef/>
      </w:r>
      <w:r>
        <w:t xml:space="preserve"> </w:t>
      </w:r>
      <w:r>
        <w:tab/>
        <w:t>Tšehhi Vabariigilt õigusriigi olukorda käsitleva 2021. aasta aruande koostamiseks saadud teave, lk 18, milles viidatakse Daňová Kobra operatsioonile.</w:t>
      </w:r>
    </w:p>
  </w:footnote>
  <w:footnote w:id="64">
    <w:p>
      <w:pPr>
        <w:pStyle w:val="FootnoteText"/>
      </w:pPr>
      <w:r>
        <w:rPr>
          <w:rStyle w:val="FootnoteReference"/>
        </w:rPr>
        <w:footnoteRef/>
      </w:r>
      <w:r>
        <w:t xml:space="preserve"> </w:t>
      </w:r>
      <w:r>
        <w:tab/>
        <w:t>Vastavalt Tšehhi Vabariigilt õigusriigi olukorda käsitleva 2021. aasta aruande koostamiseks saadud teabele, lk 17, võib piiriülese altkäemaksu kuriteo eest karistada samadel alustel kui üldise korruptsioonikuriteo eest.</w:t>
      </w:r>
    </w:p>
  </w:footnote>
  <w:footnote w:id="65">
    <w:p>
      <w:pPr>
        <w:pStyle w:val="FootnoteText"/>
      </w:pPr>
      <w:r>
        <w:rPr>
          <w:rStyle w:val="FootnoteReference"/>
        </w:rPr>
        <w:footnoteRef/>
      </w:r>
      <w:r>
        <w:t xml:space="preserve"> </w:t>
      </w:r>
      <w:r>
        <w:tab/>
        <w:t>Suure riskiga sektorite hulka kuuluvad masinaehitus ja kaitseväe varustamine, sealhulgas suure riskiga sihtkohtadesse eksporditavad relvad, vt OECD, OECD altkäemaksu andmise vastu võitlemise konventsiooni rakendamine, 4. etapp, kahte aastat käsitlev järelaruanne: Tšehhi Vabariik (2019), lk 4. Transparency Internationali aruande „Exporting corruption“ (2020) lk 52 kohaselt algatas Tšehhi Vabariik aastatel 2016–2019 ühe uurimise ja ühe juhtumi menetluse ning ühtki juhtumit ei lahendatud.</w:t>
      </w:r>
    </w:p>
  </w:footnote>
  <w:footnote w:id="66">
    <w:p>
      <w:pPr>
        <w:pStyle w:val="FootnoteText"/>
      </w:pPr>
      <w:r>
        <w:rPr>
          <w:rStyle w:val="FootnoteReference"/>
        </w:rPr>
        <w:footnoteRef/>
      </w:r>
      <w:r>
        <w:t xml:space="preserve"> </w:t>
      </w:r>
      <w:r>
        <w:tab/>
        <w:t>Vrd OECD, OECD altkäemaksu andmise vastu võitlemise konventsiooni rakendamine, 4. etapp, kahte aastat käsitlev järelaruanne: Tšehhi Vabariik (2019), milles kirjeldatakse, et „[m]iski ei viita sellele, et piiriülese altkäemaksu vastasest tegevusest on saanud prioriteet. [...] Tšehhi Vabariik kavatseb 2021.–2025. aastal suurendada analüüsiosakonda 15 ametikoha võrra, kuid seni ei ole selge, kas osa nendest eraldatakse piiriülese altkäemaksu uurimiseks.“</w:t>
      </w:r>
    </w:p>
  </w:footnote>
  <w:footnote w:id="67">
    <w:p>
      <w:pPr>
        <w:pStyle w:val="FootnoteText"/>
      </w:pPr>
      <w:r>
        <w:rPr>
          <w:rStyle w:val="FootnoteReference"/>
        </w:rPr>
        <w:footnoteRef/>
      </w:r>
      <w:r>
        <w:t xml:space="preserve"> </w:t>
      </w:r>
      <w:r>
        <w:tab/>
        <w:t>Euroopa Komisjon, lõplik auditiaruanne, audit nr REGC414CZ0133, REGIO/C4/AUD(2019), https://ec.europa.eu/regional_policy/en/information/publications/reports/2021/final-report-on-the-audit-of-the-functioning-of-the-management-and-control-systems-in-place-to-avoid-conflict-of-interest-in-czechia, vt ka Euroopa Parlament, aruanne eelarvekontrollikomisjoni teabekogumismissiooni kohta Tšehhi Vabariiki, 26.–28. veebruar 2020. Vt ka riigikontroll, 2020. aasta aruanne ELi kohta – aruanne ELi finantsjuhtimise kohta Tšehhi Vabariigis (2020), lk 20–21; 2020. aasta aruanne õigusriigi kohta – peatükk õigusriigi olukorra kohta Tšehhi Vabariigis, lk 8.</w:t>
      </w:r>
    </w:p>
  </w:footnote>
  <w:footnote w:id="68">
    <w:p>
      <w:pPr>
        <w:pStyle w:val="FootnoteText"/>
      </w:pPr>
      <w:r>
        <w:rPr>
          <w:rStyle w:val="FootnoteReference"/>
        </w:rPr>
        <w:footnoteRef/>
      </w:r>
      <w:r>
        <w:t xml:space="preserve"> </w:t>
      </w:r>
      <w:r>
        <w:tab/>
        <w:t>Tšehhi Vabariigilt õigusriigi olukorda käsitleva 2021. aasta aruande koostamiseks saadud teave, lk 15.</w:t>
      </w:r>
    </w:p>
  </w:footnote>
  <w:footnote w:id="69">
    <w:p>
      <w:pPr>
        <w:pStyle w:val="FootnoteText"/>
      </w:pPr>
      <w:r>
        <w:rPr>
          <w:rStyle w:val="FootnoteReference"/>
        </w:rPr>
        <w:footnoteRef/>
      </w:r>
      <w:r>
        <w:t xml:space="preserve"> </w:t>
      </w:r>
      <w:r>
        <w:tab/>
        <w:t xml:space="preserve">Mais viis politsei lõpule kuus aastat kestnud kriminaaluurimise ELi toetuste ebaseadusliku omandamise kohta ja soovitas esitada süüdistuse, vt </w:t>
      </w:r>
      <w:r>
        <w:rPr>
          <w:i/>
          <w:iCs/>
        </w:rPr>
        <w:t>Česká justice</w:t>
      </w:r>
      <w:r>
        <w:t>, 14. mai 2021, „Vyšetřovatel Čapího hnízda končí u policie. Spis uzavřel a navrhl podat obžalobu“ (Čapí hnízdo juhtumi uurija lõpetas töö. Ta sulges toimiku ja tegi ettepaneku anda asi kohtusse).</w:t>
      </w:r>
    </w:p>
  </w:footnote>
  <w:footnote w:id="70">
    <w:p>
      <w:pPr>
        <w:pStyle w:val="FootnoteText"/>
      </w:pPr>
      <w:r>
        <w:rPr>
          <w:rStyle w:val="FootnoteReference"/>
        </w:rPr>
        <w:footnoteRef/>
      </w:r>
      <w:r>
        <w:t xml:space="preserve"> </w:t>
      </w:r>
      <w:r>
        <w:tab/>
        <w:t>Tšehhi Vabariiki tehtud riigikülastuse käigus politseilt ja prokuratuurilt, sealhulgas rahapesu andmebüroolt, ning maksu- ja tolliametilt saadud teave, eelkõige Daňová Kobra operatsiooni kohta. Politsei riikliku organiseeritud kuritegevuse vastase ameti koostööd finants- ja tolliasutusega ning koostööd prokuratuuriga reguleeritakse karistusseadustiku nr 141/1961 Sb., Tšehhi Vabariigi politsei seaduse nr 273/2008 Sb. ja prokuratuuriseadusega nr 283/1993 Sb.</w:t>
      </w:r>
    </w:p>
  </w:footnote>
  <w:footnote w:id="71">
    <w:p>
      <w:pPr>
        <w:pStyle w:val="FootnoteText"/>
        <w:rPr>
          <w:rFonts w:cs="Times New Roman"/>
        </w:rPr>
      </w:pPr>
      <w:r>
        <w:rPr>
          <w:rStyle w:val="FootnoteReference"/>
          <w:rFonts w:cs="Times New Roman"/>
        </w:rPr>
        <w:footnoteRef/>
      </w:r>
      <w:r>
        <w:t xml:space="preserve"> </w:t>
      </w:r>
      <w:r>
        <w:tab/>
        <w:t>Korruptsiooni eest kohtu alla andmise eest vastutavale prokuratuurile ette nähtud töötajad on 303 korruptsioonile spetsialiseerunud prokuröri, sealhulgas peaprokuratuuri 21 prokuröri, kõrgemate prokuratuuride 47 prokuröri, piirkonnaprokuratuuride 65 prokuröri ja ringkonnaprokuratuuride 170 prokuröri.</w:t>
      </w:r>
    </w:p>
  </w:footnote>
  <w:footnote w:id="72">
    <w:p>
      <w:pPr>
        <w:pStyle w:val="FootnoteText"/>
      </w:pPr>
      <w:r>
        <w:rPr>
          <w:rStyle w:val="FootnoteReference"/>
        </w:rPr>
        <w:footnoteRef/>
      </w:r>
      <w:r>
        <w:t xml:space="preserve"> </w:t>
      </w:r>
      <w:r>
        <w:tab/>
        <w:t>Tšehhi Vabariiki tehtud riigikülastuse käigus siseministeeriumilt / rahandusministeeriumilt (finantsanalüüsi amet) / Tšehhi Vabariigi politsei riiklikult organiseeritud kuritegevuse vastaselt ametilt saadud teave.</w:t>
      </w:r>
    </w:p>
  </w:footnote>
  <w:footnote w:id="73">
    <w:p>
      <w:pPr>
        <w:pStyle w:val="FootnoteText"/>
      </w:pPr>
      <w:r>
        <w:rPr>
          <w:rStyle w:val="FootnoteReference"/>
        </w:rPr>
        <w:footnoteRef/>
      </w:r>
      <w:r>
        <w:t xml:space="preserve"> </w:t>
      </w:r>
      <w:r>
        <w:tab/>
        <w:t>Tšehhi Vabariiki tehtud riigikülastuse käigus siseministeeriumilt / rahandusministeeriumilt (finantsanalüüsi amet) / Tšehhi Vabariigi politsei riiklikult organiseeritud kuritegevuse vastaselt ametilt saadud teave.</w:t>
      </w:r>
    </w:p>
  </w:footnote>
  <w:footnote w:id="74">
    <w:p>
      <w:pPr>
        <w:pStyle w:val="FootnoteText"/>
      </w:pPr>
      <w:r>
        <w:rPr>
          <w:rStyle w:val="FootnoteReference"/>
        </w:rPr>
        <w:footnoteRef/>
      </w:r>
      <w:r>
        <w:t xml:space="preserve"> </w:t>
      </w:r>
      <w:r>
        <w:tab/>
        <w:t xml:space="preserve">Pärast 2020. aasta detsembri esimest lugemist esindajatekojas toimus 2021. aasta veebruaris põhiseadus- ja õiguskomitees kuulamine ning alamkoja programmis kavandati edasine arutelu 2021. aasta maisse ja juunisse. Tšehhi Vabariigilt õigusriigi olukorda käsitleva 2021. aasta aruande koostamiseks saadud teave, lk 12. 2021. aasta avalikus küsitluses teatasid kaks kolmandikku Tšehhi vastajatest, et rangemad lobitöö eeskirjad aitaksid neil olla poliitikast positiivsemal arvamusel, vt </w:t>
      </w:r>
      <w:r>
        <w:rPr>
          <w:i/>
          <w:iCs/>
        </w:rPr>
        <w:t>Rekonstrukce státu</w:t>
      </w:r>
      <w:r>
        <w:t xml:space="preserve"> (3. märts 2021) „Lobbing má podle poloviny Čechů výrazný vliv na podobu zákonů, vnímají ho ale hlavně jako nástroj pro kmotry“ (Tšehhid arvavad, et lobitöö mõjutab tugevalt seaduste sõnastamist, kuid näevad seda kui peamiselt „ristiisade“ kasutatavat vahendit.</w:t>
      </w:r>
    </w:p>
  </w:footnote>
  <w:footnote w:id="75">
    <w:p>
      <w:pPr>
        <w:pStyle w:val="FootnoteText"/>
      </w:pPr>
      <w:r>
        <w:rPr>
          <w:rStyle w:val="FootnoteReference"/>
        </w:rPr>
        <w:footnoteRef/>
      </w:r>
      <w:r>
        <w:t xml:space="preserve"> </w:t>
      </w:r>
      <w:r>
        <w:tab/>
        <w:t>Lobitöö eeskirjad hõlmavad kaht eraldiseisvat, kuid omavahel seotud eelnõud: lobitöö seaduse eelnõud (esindajatekoja dokument nr 565) ja seaduseelnõud, millega muudetakse teatavaid seadusi seoses lobitöö seaduse vastuvõtmisega (esindajatekoja dokument nr 566).</w:t>
      </w:r>
    </w:p>
  </w:footnote>
  <w:footnote w:id="76">
    <w:p>
      <w:pPr>
        <w:pStyle w:val="FootnoteText"/>
      </w:pPr>
      <w:r>
        <w:rPr>
          <w:rStyle w:val="FootnoteReference"/>
        </w:rPr>
        <w:footnoteRef/>
      </w:r>
      <w:r>
        <w:t xml:space="preserve"> </w:t>
      </w:r>
      <w:r>
        <w:tab/>
        <w:t>2020. aasta aruanne õigusriigi kohta – peatükk õigusriigi olukorra kohta Tšehhi Vabariigis, lk 9.</w:t>
      </w:r>
    </w:p>
  </w:footnote>
  <w:footnote w:id="77">
    <w:p>
      <w:pPr>
        <w:pStyle w:val="FootnoteText"/>
      </w:pPr>
      <w:r>
        <w:rPr>
          <w:rStyle w:val="FootnoteReference"/>
        </w:rPr>
        <w:footnoteRef/>
      </w:r>
      <w:r>
        <w:t xml:space="preserve"> </w:t>
      </w:r>
      <w:r>
        <w:tab/>
        <w:t>Seaduseelnõu, millega muudetakse teatavaid seadusi seoses lobitöö seaduse vastuvõtmisega (esindajatekoja dokument nr 566).</w:t>
      </w:r>
    </w:p>
  </w:footnote>
  <w:footnote w:id="78">
    <w:p>
      <w:pPr>
        <w:pStyle w:val="FootnoteText"/>
      </w:pPr>
      <w:r>
        <w:rPr>
          <w:rStyle w:val="FootnoteReference"/>
        </w:rPr>
        <w:footnoteRef/>
      </w:r>
      <w:r>
        <w:t xml:space="preserve"> </w:t>
      </w:r>
      <w:r>
        <w:tab/>
        <w:t>Esindajatekoja esimees esitas eetikakoodeksi eelnõu (esindajatekoja dokument nr 7067). Arutelu peatati, sest COVID-19 pandeemiaga seoses kehtestatud piirangute tõttu oli kohal piiratud arv esindajatekoja liikmeid. Üldkogu arutelu peaks jätkuma, kui piirangud tühistatakse.</w:t>
      </w:r>
    </w:p>
  </w:footnote>
  <w:footnote w:id="79">
    <w:p>
      <w:pPr>
        <w:pStyle w:val="FootnoteText"/>
      </w:pPr>
      <w:r>
        <w:rPr>
          <w:rStyle w:val="FootnoteReference"/>
        </w:rPr>
        <w:footnoteRef/>
      </w:r>
      <w:r>
        <w:t xml:space="preserve"> </w:t>
      </w:r>
      <w:r>
        <w:tab/>
        <w:t>Tšehhi Vabariiki tehtud riigikülastuse käigus justiitsministeeriumilt saadud teave. Eelnõu võetaks vastu esindajatekoja resolutsiooniga, mille esialgset ajakava ei ole veel ette nähtud.</w:t>
      </w:r>
    </w:p>
  </w:footnote>
  <w:footnote w:id="80">
    <w:p>
      <w:pPr>
        <w:pStyle w:val="FootnoteText"/>
      </w:pPr>
      <w:r>
        <w:rPr>
          <w:rStyle w:val="FootnoteReference"/>
        </w:rPr>
        <w:footnoteRef/>
      </w:r>
      <w:r>
        <w:t xml:space="preserve"> </w:t>
      </w:r>
      <w:r>
        <w:tab/>
        <w:t>GRECO, neljas hindamisvoor – vastavuse vahearuanne (märts 2020), lk 4.</w:t>
      </w:r>
    </w:p>
  </w:footnote>
  <w:footnote w:id="81">
    <w:p>
      <w:pPr>
        <w:pStyle w:val="FootnoteText"/>
      </w:pPr>
      <w:r>
        <w:rPr>
          <w:rStyle w:val="FootnoteReference"/>
        </w:rPr>
        <w:footnoteRef/>
      </w:r>
      <w:r>
        <w:t xml:space="preserve"> </w:t>
      </w:r>
      <w:r>
        <w:tab/>
        <w:t>Vrd huvide konflikti seadus. GRECO neljas hindamisvoor – vastavuse vahearuanne (märts 2020), lk 4.</w:t>
      </w:r>
    </w:p>
  </w:footnote>
  <w:footnote w:id="82">
    <w:p>
      <w:pPr>
        <w:pStyle w:val="FootnoteText"/>
      </w:pPr>
      <w:r>
        <w:rPr>
          <w:rStyle w:val="FootnoteReference"/>
        </w:rPr>
        <w:footnoteRef/>
      </w:r>
      <w:r>
        <w:t xml:space="preserve"> </w:t>
      </w:r>
      <w:r>
        <w:tab/>
        <w:t>Vrd ka GRECO neljas hindamisvoor – vastavuse vahearuanne, lk 5.</w:t>
      </w:r>
    </w:p>
  </w:footnote>
  <w:footnote w:id="83">
    <w:p>
      <w:pPr>
        <w:pStyle w:val="FootnoteText"/>
      </w:pPr>
      <w:r>
        <w:rPr>
          <w:rStyle w:val="FootnoteReference"/>
        </w:rPr>
        <w:footnoteRef/>
      </w:r>
      <w:r>
        <w:t xml:space="preserve"> </w:t>
      </w:r>
      <w:r>
        <w:tab/>
        <w:t>Huvide konflikti seaduse paragrahvi 11 lõike 2 punkt a.</w:t>
      </w:r>
    </w:p>
  </w:footnote>
  <w:footnote w:id="84">
    <w:p>
      <w:pPr>
        <w:pStyle w:val="FootnoteText"/>
      </w:pPr>
      <w:r>
        <w:rPr>
          <w:rStyle w:val="FootnoteReference"/>
        </w:rPr>
        <w:footnoteRef/>
      </w:r>
      <w:r>
        <w:t xml:space="preserve"> </w:t>
      </w:r>
      <w:r>
        <w:tab/>
        <w:t>Konstitutsioonikohus otsustas, et huvide konflikti seadus nr 159/2006 Sb. on kooskõlas põhiseadusega (11. veebruari 2020. aasta toimik nr Pl. US 4/17).</w:t>
      </w:r>
    </w:p>
  </w:footnote>
  <w:footnote w:id="85">
    <w:p>
      <w:pPr>
        <w:pStyle w:val="FootnoteText"/>
      </w:pPr>
      <w:r>
        <w:rPr>
          <w:rStyle w:val="FootnoteReference"/>
        </w:rPr>
        <w:footnoteRef/>
      </w:r>
      <w:r>
        <w:t xml:space="preserve"> </w:t>
      </w:r>
      <w:r>
        <w:tab/>
        <w:t>Tšehhi Vabariiki tehtud riigikülastuse käigus valitsuse korruptsioonivastaselt nõukogult saadud teave.</w:t>
      </w:r>
    </w:p>
  </w:footnote>
  <w:footnote w:id="86">
    <w:p>
      <w:pPr>
        <w:pStyle w:val="FootnoteText"/>
      </w:pPr>
      <w:r>
        <w:rPr>
          <w:rStyle w:val="FootnoteReference"/>
        </w:rPr>
        <w:footnoteRef/>
      </w:r>
      <w:r>
        <w:t xml:space="preserve"> </w:t>
      </w:r>
      <w:r>
        <w:tab/>
        <w:t>Tšehhi Vabariiki tehtud riigikülastuse käigus eri sidusrühmadelt saadud teave.</w:t>
      </w:r>
    </w:p>
  </w:footnote>
  <w:footnote w:id="87">
    <w:p>
      <w:pPr>
        <w:pStyle w:val="FootnoteText"/>
      </w:pPr>
      <w:r>
        <w:rPr>
          <w:rStyle w:val="FootnoteReference"/>
        </w:rPr>
        <w:footnoteRef/>
      </w:r>
      <w:r>
        <w:t xml:space="preserve"> </w:t>
      </w:r>
      <w:r>
        <w:tab/>
        <w:t>Seadus nr 424/1991 Sb. erakondades ja poliitilistes liikumistes osalemise kohta.</w:t>
      </w:r>
    </w:p>
  </w:footnote>
  <w:footnote w:id="88">
    <w:p>
      <w:pPr>
        <w:pStyle w:val="FootnoteText"/>
      </w:pPr>
      <w:r>
        <w:rPr>
          <w:rStyle w:val="FootnoteReference"/>
        </w:rPr>
        <w:footnoteRef/>
      </w:r>
      <w:r>
        <w:t xml:space="preserve"> </w:t>
      </w:r>
      <w:r>
        <w:tab/>
        <w:t>Sealhulgas summa, annetaja nimi, sünniaeg ja elukoht. Kõik annetused tuleb loetleda valimiskampaania rahastamise aruandes, mille kandidaadid peavad avaldama hiljemalt 90 päeva pärast valimisi.</w:t>
      </w:r>
    </w:p>
  </w:footnote>
  <w:footnote w:id="89">
    <w:p>
      <w:pPr>
        <w:pStyle w:val="FootnoteText"/>
      </w:pPr>
      <w:r>
        <w:rPr>
          <w:rStyle w:val="FootnoteReference"/>
        </w:rPr>
        <w:footnoteRef/>
      </w:r>
      <w:r>
        <w:t xml:space="preserve"> </w:t>
      </w:r>
      <w:r>
        <w:tab/>
        <w:t>Ametil on volitus vaadata läbi parteide iga-aastased finantsaruanded, kontrollida parteide juhtimist ja jälgida valimiskampaaniate rahastamist.</w:t>
      </w:r>
    </w:p>
  </w:footnote>
  <w:footnote w:id="90">
    <w:p>
      <w:pPr>
        <w:pStyle w:val="FootnoteText"/>
      </w:pPr>
      <w:r>
        <w:rPr>
          <w:rStyle w:val="FootnoteReference"/>
        </w:rPr>
        <w:footnoteRef/>
      </w:r>
      <w:r>
        <w:t xml:space="preserve"> </w:t>
      </w:r>
      <w:r>
        <w:tab/>
        <w:t>See tuleneb asjaolust, et kandidaadid ei ole parteid ega poliitilised liikumised. Vt seadus nr 275/2012 Sb. vabariigi presidendi valimise kohta.</w:t>
      </w:r>
    </w:p>
  </w:footnote>
  <w:footnote w:id="91">
    <w:p>
      <w:pPr>
        <w:pStyle w:val="FootnoteText"/>
      </w:pPr>
      <w:r>
        <w:rPr>
          <w:rStyle w:val="FootnoteReference"/>
        </w:rPr>
        <w:footnoteRef/>
      </w:r>
      <w:r>
        <w:t xml:space="preserve"> </w:t>
      </w:r>
      <w:r>
        <w:tab/>
        <w:t>Sellistele üksustele kohaldatavate eeskirjade kohta vt seadus nr 247/1995 Sb. Tšehhi Vabariigi parlamendivalimiste ning teatavate teiste seaduste muutmise ja täiendamise kohta ning seadus nr 275/2012 Sb. vabariigi presidendi valimiste kohta.</w:t>
      </w:r>
    </w:p>
  </w:footnote>
  <w:footnote w:id="92">
    <w:p>
      <w:pPr>
        <w:pStyle w:val="FootnoteText"/>
      </w:pPr>
      <w:r>
        <w:rPr>
          <w:rStyle w:val="FootnoteReference"/>
        </w:rPr>
        <w:footnoteRef/>
      </w:r>
      <w:r>
        <w:t xml:space="preserve"> </w:t>
      </w:r>
      <w:r>
        <w:tab/>
        <w:t>Tšehhi Vabariigilt õigusriigi olukorda käsitleva 2021. aasta aruande koostamiseks saadud teave parteide rahastamise kohta, lk 1.</w:t>
      </w:r>
    </w:p>
  </w:footnote>
  <w:footnote w:id="93">
    <w:p>
      <w:pPr>
        <w:pStyle w:val="FootnoteText"/>
      </w:pPr>
      <w:r>
        <w:rPr>
          <w:rStyle w:val="FootnoteReference"/>
        </w:rPr>
        <w:footnoteRef/>
      </w:r>
      <w:r>
        <w:t xml:space="preserve"> </w:t>
      </w:r>
      <w:r>
        <w:tab/>
      </w:r>
      <w:r>
        <w:rPr>
          <w:i/>
        </w:rPr>
        <w:t>Ibid</w:t>
      </w:r>
      <w:r>
        <w:t>.</w:t>
      </w:r>
    </w:p>
  </w:footnote>
  <w:footnote w:id="94">
    <w:p>
      <w:pPr>
        <w:pStyle w:val="FootnoteText"/>
      </w:pPr>
      <w:r>
        <w:rPr>
          <w:rStyle w:val="FootnoteReference"/>
        </w:rPr>
        <w:footnoteRef/>
      </w:r>
      <w:r>
        <w:t xml:space="preserve"> </w:t>
      </w:r>
      <w:r>
        <w:tab/>
        <w:t>Seadus nr 166/1993 Sb.</w:t>
      </w:r>
    </w:p>
  </w:footnote>
  <w:footnote w:id="95">
    <w:p>
      <w:pPr>
        <w:pStyle w:val="FootnoteText"/>
      </w:pPr>
      <w:r>
        <w:rPr>
          <w:rStyle w:val="FootnoteReference"/>
        </w:rPr>
        <w:footnoteRef/>
      </w:r>
      <w:r>
        <w:t xml:space="preserve"> </w:t>
      </w:r>
      <w:r>
        <w:tab/>
        <w:t>2020. aasta aruanne õigusriigi kohta – peatükk õigusriigi olukorra kohta Tšehhi Vabariigis, lk 9.</w:t>
      </w:r>
    </w:p>
  </w:footnote>
  <w:footnote w:id="96">
    <w:p>
      <w:pPr>
        <w:pStyle w:val="FootnoteText"/>
      </w:pPr>
      <w:r>
        <w:rPr>
          <w:rStyle w:val="FootnoteReference"/>
        </w:rPr>
        <w:footnoteRef/>
      </w:r>
      <w:r>
        <w:t xml:space="preserve"> </w:t>
      </w:r>
      <w:r>
        <w:tab/>
        <w:t>Seaduseelnõu oli 2020. aastal esindajatekojas alles kolmandal lugemisel, oodates sellega seotud põhiseaduse muudatuse vastuvõtmist senatis.</w:t>
      </w:r>
    </w:p>
  </w:footnote>
  <w:footnote w:id="97">
    <w:p>
      <w:pPr>
        <w:pStyle w:val="FootnoteText"/>
      </w:pPr>
      <w:r>
        <w:rPr>
          <w:rStyle w:val="FootnoteReference"/>
        </w:rPr>
        <w:footnoteRef/>
      </w:r>
      <w:r>
        <w:t xml:space="preserve"> </w:t>
      </w:r>
      <w:r>
        <w:tab/>
        <w:t>Rikkumisest teatajate kaitse seadus peatati esialgselt enne samasisulise ELi direktiivi vastuvõtmist, vt ka 2020. aasta aruanne õigusriigi kohta – peatükk õigusriigi olukorra kohta Tšehhi Vabariigis, lk 9.</w:t>
      </w:r>
    </w:p>
  </w:footnote>
  <w:footnote w:id="98">
    <w:p>
      <w:pPr>
        <w:pStyle w:val="FootnoteText"/>
      </w:pPr>
      <w:r>
        <w:rPr>
          <w:rStyle w:val="FootnoteReference"/>
        </w:rPr>
        <w:footnoteRef/>
      </w:r>
      <w:r>
        <w:t xml:space="preserve"> </w:t>
      </w:r>
      <w:r>
        <w:tab/>
        <w:t>Eelnõu kaitseks ELi õiguse rikkumistest, koduvägivallast ja haldusrikkumistest teatajaid. Õigusloomeprotsessi on võimalik jälgida parlamendi veebisaidil</w:t>
      </w:r>
      <w:r>
        <w:rPr>
          <w:rStyle w:val="Hyperlink"/>
          <w:color w:val="auto"/>
          <w:u w:val="none"/>
        </w:rPr>
        <w:t>. Tšehhi Vabariigilt õigusriigi olukorda käsitleva 2021. aasta aruande koostamiseks saadud teave, lk 14.</w:t>
      </w:r>
    </w:p>
  </w:footnote>
  <w:footnote w:id="99">
    <w:p>
      <w:pPr>
        <w:pStyle w:val="FootnoteText"/>
      </w:pPr>
      <w:r>
        <w:rPr>
          <w:rStyle w:val="FootnoteReference"/>
        </w:rPr>
        <w:footnoteRef/>
      </w:r>
      <w:r>
        <w:t xml:space="preserve"> </w:t>
      </w:r>
      <w:r>
        <w:tab/>
        <w:t>Avaliku halduse ja regionaalarengu komitee ning põhiseadus- ja õiguskomitee.</w:t>
      </w:r>
    </w:p>
  </w:footnote>
  <w:footnote w:id="100">
    <w:p>
      <w:pPr>
        <w:pStyle w:val="FootnoteText"/>
      </w:pPr>
      <w:r>
        <w:rPr>
          <w:rStyle w:val="FootnoteReference"/>
        </w:rPr>
        <w:footnoteRef/>
      </w:r>
      <w:r>
        <w:t xml:space="preserve"> </w:t>
      </w:r>
      <w:r>
        <w:tab/>
        <w:t>Tšehhi Vabariiki tehtud riigikülastuse käigus saadud teave. Poliitilistel põhjustel ametisse nimetamise vältimiseks jõustus 2020. aasta jaanuaris riigi osalusega juriidiliste isikute juht- ja nõuandeorganitesse valimise seadus (ametisse nimetamise seadus) nr 353/2019 Sb. Lisateabe saamiseks vt ka Euroopa poolaasta, Tšehhi Vabariigi lähenemisprogramm (aprill 2020), lk 35.</w:t>
      </w:r>
    </w:p>
  </w:footnote>
  <w:footnote w:id="101">
    <w:p>
      <w:pPr>
        <w:pStyle w:val="FootnoteText"/>
      </w:pPr>
      <w:r>
        <w:rPr>
          <w:rStyle w:val="FootnoteReference"/>
        </w:rPr>
        <w:footnoteRef/>
      </w:r>
      <w:r>
        <w:t xml:space="preserve"> </w:t>
      </w:r>
      <w:r>
        <w:tab/>
        <w:t>Valitsuse resolutsioon nr 115/2020.</w:t>
      </w:r>
    </w:p>
  </w:footnote>
  <w:footnote w:id="102">
    <w:p>
      <w:pPr>
        <w:pStyle w:val="FootnoteText"/>
      </w:pPr>
      <w:r>
        <w:rPr>
          <w:rStyle w:val="FootnoteReference"/>
        </w:rPr>
        <w:footnoteRef/>
      </w:r>
      <w:r>
        <w:t xml:space="preserve"> </w:t>
      </w:r>
      <w:r>
        <w:tab/>
        <w:t xml:space="preserve">Tšehhi Vabariigilt õigusriigi olukorda käsitleva 2021. aasta aruande koostamiseks saadud teave, lk 15. Valitsuse 2019. aasta tervishoiusektori korruptsiooniriski analüüsis rõhutati, et teave korruptsiooniriski kohta kõikides tervishoiusektori lõikudes – patsientide ja meditsiinitöötajate põhjustatud korruptsioonist kuni korruptsioonini keskvalitsuse tasandil – on kättesaadav aadressil </w:t>
      </w:r>
      <w:hyperlink r:id="rId2" w:history="1">
        <w:r>
          <w:rPr>
            <w:rStyle w:val="Hyperlink"/>
          </w:rPr>
          <w:t>https://www.mzcr.cz/wp-content/uploads/2020/08/Sektorov%C3%A1-anal%C3%BDza-korupce-ve-zdravotnictv%C3%AD.pdf</w:t>
        </w:r>
      </w:hyperlink>
      <w:r>
        <w:t>. Analüüsi järel tahtis tervishoiuministeerium võtta konkreetseid leevendusmeetmeid ning esitada seadusandliku ettepaneku riiklike kindlustusettevõtjate toimimise optimeerimiseks.</w:t>
      </w:r>
    </w:p>
  </w:footnote>
  <w:footnote w:id="103">
    <w:p>
      <w:pPr>
        <w:pStyle w:val="FootnoteText"/>
      </w:pPr>
      <w:r>
        <w:rPr>
          <w:rStyle w:val="FootnoteReference"/>
        </w:rPr>
        <w:footnoteRef/>
      </w:r>
      <w:r>
        <w:t xml:space="preserve"> </w:t>
      </w:r>
      <w:r>
        <w:tab/>
        <w:t>2020. aasta aruanne õigusriigi kohta – peatükk õigusriigi olukorra kohta Tšehhi Vabariigis, lk 9.</w:t>
      </w:r>
    </w:p>
  </w:footnote>
  <w:footnote w:id="104">
    <w:p>
      <w:pPr>
        <w:pStyle w:val="FootnoteText"/>
      </w:pPr>
      <w:r>
        <w:rPr>
          <w:rStyle w:val="FootnoteReference"/>
        </w:rPr>
        <w:footnoteRef/>
      </w:r>
      <w:r>
        <w:t xml:space="preserve"> </w:t>
      </w:r>
      <w:r>
        <w:tab/>
        <w:t>Tšehhi Vabariigilt õigusriigi olukorda käsitleva 2021. aasta aruande koostamiseks saadud teave, lk 16.</w:t>
      </w:r>
    </w:p>
  </w:footnote>
  <w:footnote w:id="105">
    <w:p>
      <w:pPr>
        <w:pStyle w:val="FootnoteText"/>
      </w:pPr>
      <w:r>
        <w:rPr>
          <w:rStyle w:val="FootnoteReference"/>
        </w:rPr>
        <w:footnoteRef/>
      </w:r>
      <w:r>
        <w:t xml:space="preserve"> </w:t>
      </w:r>
      <w:r>
        <w:tab/>
        <w:t>Tšehhi Vabariik jäi organisatsiooni Piirideta Reporterid 2021. aasta maailma ajakirjandusvabaduse indeksi järgi 40. kohale maailmas, olles 19. kohal ELis.</w:t>
      </w:r>
    </w:p>
  </w:footnote>
  <w:footnote w:id="106">
    <w:p>
      <w:pPr>
        <w:pStyle w:val="FootnoteText"/>
      </w:pPr>
      <w:r>
        <w:rPr>
          <w:rStyle w:val="FootnoteReference"/>
        </w:rPr>
        <w:footnoteRef/>
      </w:r>
      <w:r>
        <w:t xml:space="preserve"> </w:t>
      </w:r>
      <w:r>
        <w:tab/>
        <w:t>Osa audiovisuaalmeedia teenuste direktiivi (EL) 2018/1808 ülevõtmisest Tšehhi Vabariigis.</w:t>
      </w:r>
    </w:p>
  </w:footnote>
  <w:footnote w:id="107">
    <w:p>
      <w:pPr>
        <w:pStyle w:val="FootnoteText"/>
      </w:pPr>
      <w:r>
        <w:rPr>
          <w:rStyle w:val="FootnoteReference"/>
        </w:rPr>
        <w:footnoteRef/>
      </w:r>
      <w:r>
        <w:t xml:space="preserve"> </w:t>
      </w:r>
      <w:r>
        <w:tab/>
        <w:t>Lisateabe saamiseks vt 2020. aasta aruanne õigusriigi kohta – peatükk õigusriigi olukorra kohta Tšehhi Vabariigis, lk 10.</w:t>
      </w:r>
    </w:p>
  </w:footnote>
  <w:footnote w:id="108">
    <w:p>
      <w:pPr>
        <w:pStyle w:val="FootnoteText"/>
      </w:pPr>
      <w:r>
        <w:rPr>
          <w:rStyle w:val="FootnoteReference"/>
        </w:rPr>
        <w:footnoteRef/>
      </w:r>
      <w:r>
        <w:t xml:space="preserve"> </w:t>
      </w:r>
      <w:r>
        <w:tab/>
        <w:t>Valitsus avaldas 2020. aasta augustis seaduseelnõu, millega muudetaks raadio- ja teleringhäälingu seadust ja võetaks üle direktiiv (EL) 2018/1808, ning saatis selle parlamendile edasiseks arutamiseks. Käesoleva aruande avaldamise ajaks ei olnud selles valdkonnas toimunud arengut.</w:t>
      </w:r>
    </w:p>
  </w:footnote>
  <w:footnote w:id="109">
    <w:p>
      <w:pPr>
        <w:pStyle w:val="FootnoteText"/>
      </w:pPr>
      <w:r>
        <w:rPr>
          <w:rStyle w:val="FootnoteReference"/>
        </w:rPr>
        <w:footnoteRef/>
      </w:r>
      <w:r>
        <w:t xml:space="preserve"> </w:t>
      </w:r>
      <w:r>
        <w:tab/>
      </w:r>
      <w:r>
        <w:rPr>
          <w:i/>
        </w:rPr>
        <w:t>Ibid</w:t>
      </w:r>
      <w:r>
        <w:t>.</w:t>
      </w:r>
    </w:p>
  </w:footnote>
  <w:footnote w:id="110">
    <w:p>
      <w:pPr>
        <w:pStyle w:val="FootnoteText"/>
      </w:pPr>
      <w:r>
        <w:rPr>
          <w:rStyle w:val="FootnoteReference"/>
        </w:rPr>
        <w:footnoteRef/>
      </w:r>
      <w:r>
        <w:t xml:space="preserve"> See puudutab Tšehhi Vabariigi järelevalvenõukogu hiljutist tegevust ja selle nelja uue liikme valimist (liikmeid on kokku viisteist) esindajatekojas. Euroopa Ringhäälingute liit (9. aprill 2021) „Public service media in the Czech Republic under threat“; rahvusvaheline pressiinstituut (1. aprill 2021) „Concerns over increasing meddling in independence of Czech public broadcaster“; avaliku meedia liit (9. aprill 2021) „The threat facing Czech TV“; meedia mitmekesisuse seire 2021. aasta aruanne, Tšehhi Vabariik, lk 12.</w:t>
      </w:r>
    </w:p>
  </w:footnote>
  <w:footnote w:id="111">
    <w:p>
      <w:pPr>
        <w:pStyle w:val="FootnoteText"/>
      </w:pPr>
      <w:r>
        <w:rPr>
          <w:rStyle w:val="FootnoteReference"/>
        </w:rPr>
        <w:footnoteRef/>
      </w:r>
      <w:r>
        <w:t xml:space="preserve"> </w:t>
      </w:r>
      <w:r>
        <w:tab/>
        <w:t>Meedia mitmekesisuse seire 2021. aasta aruanne, Tšehhi Vabariik, lk 10.</w:t>
      </w:r>
    </w:p>
  </w:footnote>
  <w:footnote w:id="112">
    <w:p>
      <w:pPr>
        <w:pStyle w:val="FootnoteText"/>
      </w:pPr>
      <w:r>
        <w:rPr>
          <w:rStyle w:val="FootnoteReference"/>
        </w:rPr>
        <w:footnoteRef/>
      </w:r>
      <w:r>
        <w:t xml:space="preserve"> </w:t>
      </w:r>
      <w:r>
        <w:tab/>
        <w:t>Tšehhi meediaturgu valitseb käputäis trüki-, ringhäälingu- ja võrgusektoris tegutsevaid meediaettevõtteid. Kontsentreerumise tase on eriti tähelepanuväärne (majanduslikult kõige haavatavamal) piirkondlikul meediaturul, kus piirkondlike päevalehtede segment on sisuliselt monopoliseeritud. Vt meedia mitmekesisuse seire 2021. aasta aruanne, Tšehhi Vabariik, lk 10.</w:t>
      </w:r>
    </w:p>
  </w:footnote>
  <w:footnote w:id="113">
    <w:p>
      <w:pPr>
        <w:pStyle w:val="FootnoteText"/>
      </w:pPr>
      <w:r>
        <w:rPr>
          <w:rStyle w:val="FootnoteReference"/>
        </w:rPr>
        <w:footnoteRef/>
      </w:r>
      <w:r>
        <w:t xml:space="preserve"> </w:t>
      </w:r>
      <w:r>
        <w:tab/>
        <w:t>2020. aasta aruanne õigusriigi kohta – peatükk õigusriigi olukorra kohta Tšehhi Vabariigis, lk 10.</w:t>
      </w:r>
    </w:p>
  </w:footnote>
  <w:footnote w:id="114">
    <w:p>
      <w:pPr>
        <w:pStyle w:val="FootnoteText"/>
      </w:pPr>
      <w:r>
        <w:rPr>
          <w:rStyle w:val="FootnoteReference"/>
        </w:rPr>
        <w:footnoteRef/>
      </w:r>
      <w:r>
        <w:t xml:space="preserve"> Investigace.cz (13. detsember 2019) „Státní reklama: Kdo také platí Parlamentní listy“ (riiklik reklaam: kes maksab Parlamentní listy eest?), millele osutatakse meedia mitmekesisuse seire 2021. aasta aruandes, Tšehhi Vabariik.</w:t>
      </w:r>
    </w:p>
  </w:footnote>
  <w:footnote w:id="115">
    <w:p>
      <w:pPr>
        <w:pStyle w:val="FootnoteText"/>
      </w:pPr>
      <w:r>
        <w:rPr>
          <w:rStyle w:val="FootnoteReference"/>
        </w:rPr>
        <w:footnoteRef/>
      </w:r>
      <w:r>
        <w:t xml:space="preserve"> </w:t>
      </w:r>
      <w:r>
        <w:tab/>
        <w:t>Meedia mitmekesisuse seire 2021. aasta aruanne, Tšehhi Vabariik, lk 13.</w:t>
      </w:r>
    </w:p>
  </w:footnote>
  <w:footnote w:id="116">
    <w:p>
      <w:pPr>
        <w:pStyle w:val="FootnoteText"/>
      </w:pPr>
      <w:r>
        <w:rPr>
          <w:rStyle w:val="FootnoteReference"/>
        </w:rPr>
        <w:footnoteRef/>
      </w:r>
      <w:r>
        <w:t xml:space="preserve"> </w:t>
      </w:r>
      <w:r>
        <w:tab/>
        <w:t>2020. aasta aruanne õigusriigi kohta – peatükk õigusriigi olukorra kohta Tšehhi Vabariigis, lk 10.</w:t>
      </w:r>
    </w:p>
  </w:footnote>
  <w:footnote w:id="117">
    <w:p>
      <w:pPr>
        <w:pStyle w:val="FootnoteText"/>
      </w:pPr>
      <w:r>
        <w:rPr>
          <w:rStyle w:val="FootnoteReference"/>
        </w:rPr>
        <w:footnoteRef/>
      </w:r>
      <w:r>
        <w:t xml:space="preserve"> </w:t>
      </w:r>
      <w:r>
        <w:tab/>
        <w:t>Meedia mitmekesisuse seire 2021. aasta aruanne, Tšehhi Vabariik, lk 8.</w:t>
      </w:r>
    </w:p>
  </w:footnote>
  <w:footnote w:id="118">
    <w:p>
      <w:pPr>
        <w:pStyle w:val="FootnoteText"/>
      </w:pPr>
      <w:r>
        <w:rPr>
          <w:rStyle w:val="FootnoteReference"/>
        </w:rPr>
        <w:footnoteRef/>
      </w:r>
      <w:r>
        <w:t xml:space="preserve"> </w:t>
      </w:r>
      <w:r>
        <w:tab/>
        <w:t>2020. aasta aruanne õigusriigi kohta – peatükk õigusriigi olukorra kohta Tšehhi Vabariigis, lk 12.</w:t>
      </w:r>
    </w:p>
  </w:footnote>
  <w:footnote w:id="119">
    <w:p>
      <w:pPr>
        <w:pStyle w:val="FootnoteText"/>
      </w:pPr>
      <w:r>
        <w:rPr>
          <w:rStyle w:val="FootnoteReference"/>
        </w:rPr>
        <w:footnoteRef/>
      </w:r>
      <w:r>
        <w:t xml:space="preserve"> </w:t>
      </w:r>
      <w:r>
        <w:tab/>
        <w:t>Meedia mitmekesisuse seire 2021. aasta aruanne, Tšehhi Vabariik, lk 9.</w:t>
      </w:r>
    </w:p>
  </w:footnote>
  <w:footnote w:id="120">
    <w:p>
      <w:pPr>
        <w:pStyle w:val="FootnoteText"/>
      </w:pPr>
      <w:r>
        <w:rPr>
          <w:rStyle w:val="FootnoteReference"/>
        </w:rPr>
        <w:footnoteRef/>
      </w:r>
      <w:r>
        <w:t xml:space="preserve"> </w:t>
      </w:r>
      <w:r>
        <w:tab/>
        <w:t>Meedia mitmekesisuse seire 2021. aasta aruanne, Tšehhi Vabariik, lk 6.</w:t>
      </w:r>
    </w:p>
  </w:footnote>
  <w:footnote w:id="121">
    <w:p>
      <w:pPr>
        <w:pStyle w:val="FootnoteText"/>
      </w:pPr>
      <w:r>
        <w:rPr>
          <w:rStyle w:val="FootnoteReference"/>
        </w:rPr>
        <w:footnoteRef/>
      </w:r>
      <w:r>
        <w:t xml:space="preserve"> </w:t>
      </w:r>
      <w:r>
        <w:tab/>
        <w:t>Koosneb alamkojast ehk esindajatekojast (</w:t>
      </w:r>
      <w:r>
        <w:rPr>
          <w:i/>
          <w:iCs/>
        </w:rPr>
        <w:t>Poslanecká sněmovna</w:t>
      </w:r>
      <w:r>
        <w:t>) ja ülemkojast ehk senatist (</w:t>
      </w:r>
      <w:r>
        <w:rPr>
          <w:i/>
          <w:iCs/>
        </w:rPr>
        <w:t>Senát Parlamentu České republiky</w:t>
      </w:r>
      <w:r>
        <w:t>).</w:t>
      </w:r>
    </w:p>
  </w:footnote>
  <w:footnote w:id="122">
    <w:p>
      <w:pPr>
        <w:pStyle w:val="FootnoteText"/>
      </w:pPr>
      <w:r>
        <w:rPr>
          <w:rStyle w:val="FootnoteReference"/>
        </w:rPr>
        <w:footnoteRef/>
      </w:r>
      <w:r>
        <w:t xml:space="preserve"> </w:t>
      </w:r>
      <w:r>
        <w:tab/>
        <w:t>Tšehhi põhiseaduse artikkel 41.</w:t>
      </w:r>
    </w:p>
  </w:footnote>
  <w:footnote w:id="123">
    <w:p>
      <w:pPr>
        <w:pStyle w:val="FootnoteText"/>
      </w:pPr>
      <w:r>
        <w:rPr>
          <w:rStyle w:val="FootnoteReference"/>
        </w:rPr>
        <w:footnoteRef/>
      </w:r>
      <w:r>
        <w:t xml:space="preserve"> </w:t>
      </w:r>
      <w:r>
        <w:tab/>
        <w:t>Eelnõu kokkuvõtliku läbivaatamise korral ei toimu esimest lugemist ning esindajatekoda võib otsustada ära jätta üldise arutelu, mis peaks toimuma eelnõu teisel lugemisel, ja vähendada esindajate kõneaega. Tšehhi Vabariigilt õigusriigi olukorda käsitleva 2020. aasta aruande koostamiseks saadud teave, lk 25.</w:t>
      </w:r>
    </w:p>
  </w:footnote>
  <w:footnote w:id="124">
    <w:p>
      <w:pPr>
        <w:pStyle w:val="FootnoteText"/>
      </w:pPr>
      <w:r>
        <w:rPr>
          <w:rStyle w:val="FootnoteReference"/>
        </w:rPr>
        <w:footnoteRef/>
      </w:r>
      <w:r>
        <w:t xml:space="preserve"> </w:t>
      </w:r>
      <w:r>
        <w:tab/>
        <w:t xml:space="preserve">Tšehhi Vabariigilt õigusriigi olukorda käsitleva 2020. aasta aruande koostamiseks saadud teave, lk 25–26. </w:t>
      </w:r>
    </w:p>
  </w:footnote>
  <w:footnote w:id="125">
    <w:p>
      <w:pPr>
        <w:pStyle w:val="FootnoteText"/>
      </w:pPr>
      <w:r>
        <w:rPr>
          <w:rStyle w:val="FootnoteReference"/>
        </w:rPr>
        <w:footnoteRef/>
      </w:r>
      <w:r>
        <w:t xml:space="preserve"> </w:t>
      </w:r>
      <w:r>
        <w:tab/>
        <w:t>Vt Tšehhi Vabariigi advokatuurilt õigusriigi olukorda käsitleva 2021. aasta aruande koostamiseks saadud tagasiside, lk 27; Organisatsioonilt Transparency International õigusriigi olukorda käsitleva 2021. aasta aruande koostamiseks saadud tagasiside, lk 6.</w:t>
      </w:r>
    </w:p>
  </w:footnote>
  <w:footnote w:id="126">
    <w:p>
      <w:pPr>
        <w:pStyle w:val="FootnoteText"/>
      </w:pPr>
      <w:r>
        <w:rPr>
          <w:rStyle w:val="FootnoteReference"/>
        </w:rPr>
        <w:footnoteRef/>
      </w:r>
      <w:r>
        <w:t xml:space="preserve"> </w:t>
      </w:r>
      <w:r>
        <w:tab/>
        <w:t>Praha linnakohtu 13. novembri 2020. aasta otsus nr 18 A 59/2020; Tšehhi Vabariigi advokatuurilt õigusriigi olukorda käsitleva 2021. aasta aruande koostamiseks saadud tagasiside. Transparency Internationali allorganisatsioonilt Tšehhi Vabariigis õigusriigi olukorda käsitleva 2021. aasta aruande koostamiseks saadud tagasiside; Euroopa kodanikuvabaduste liidult õigusriigi olukorda käsitleva 2021. aasta aruande koostamiseks saadud tagasiside; Organisatsioonilt Glopolis õigusriigi olukorda käsitleva 2021. aasta aruande koostamiseks saadud tagasiside.</w:t>
      </w:r>
    </w:p>
  </w:footnote>
  <w:footnote w:id="127">
    <w:p>
      <w:pPr>
        <w:pStyle w:val="FootnoteText"/>
      </w:pPr>
      <w:r>
        <w:rPr>
          <w:rStyle w:val="FootnoteReference"/>
        </w:rPr>
        <w:footnoteRef/>
      </w:r>
      <w:r>
        <w:t xml:space="preserve"> </w:t>
      </w:r>
      <w:r>
        <w:tab/>
        <w:t>Tšehhi Vabariigilt õigusriigi olukorda käsitleva 2020. aasta aruande koostamiseks saadud teave, lk 30.</w:t>
      </w:r>
    </w:p>
  </w:footnote>
  <w:footnote w:id="128">
    <w:p>
      <w:pPr>
        <w:pStyle w:val="FootnoteText"/>
      </w:pPr>
      <w:r>
        <w:rPr>
          <w:rStyle w:val="FootnoteReference"/>
        </w:rPr>
        <w:footnoteRef/>
      </w:r>
      <w:r>
        <w:t xml:space="preserve"> </w:t>
      </w:r>
      <w:r>
        <w:tab/>
        <w:t>Põhiseaduse kohaselt on kvoorum kolmandik vastava koja liikmetest. Kõnealuse meetmega lubatakse kohal viibida pooltel liikmetel, mis on kooskõlas põhiseaduse sättega.</w:t>
      </w:r>
    </w:p>
  </w:footnote>
  <w:footnote w:id="129">
    <w:p>
      <w:pPr>
        <w:pStyle w:val="FootnoteText"/>
      </w:pPr>
      <w:r>
        <w:rPr>
          <w:rStyle w:val="FootnoteReference"/>
        </w:rPr>
        <w:footnoteRef/>
      </w:r>
      <w:r>
        <w:t xml:space="preserve"> </w:t>
      </w:r>
      <w:r>
        <w:tab/>
        <w:t>Eriolukorra väljakuulutamine võimaldab valitsusel võtta rangelt vajalikuks ajaks ja rangelt vajalikus ulatuses põhiõigusi piiravaid teatavaid erakorralisi meetmeid vastavalt kriisiseaduse paragrahvile 5.</w:t>
      </w:r>
    </w:p>
  </w:footnote>
  <w:footnote w:id="130">
    <w:p>
      <w:pPr>
        <w:pStyle w:val="FootnoteText"/>
      </w:pPr>
      <w:r>
        <w:rPr>
          <w:rStyle w:val="FootnoteReference"/>
        </w:rPr>
        <w:footnoteRef/>
      </w:r>
      <w:r>
        <w:t xml:space="preserve"> </w:t>
      </w:r>
      <w:r>
        <w:tab/>
        <w:t>Põhiseaduslik akt nr 110/1998, artiklid 5 ja 6.</w:t>
      </w:r>
    </w:p>
  </w:footnote>
  <w:footnote w:id="131">
    <w:p>
      <w:pPr>
        <w:pStyle w:val="FootnoteText"/>
      </w:pPr>
      <w:r>
        <w:rPr>
          <w:rStyle w:val="FootnoteReference"/>
        </w:rPr>
        <w:footnoteRef/>
      </w:r>
      <w:r>
        <w:t xml:space="preserve"> </w:t>
      </w:r>
      <w:r>
        <w:tab/>
        <w:t>2020. aasta aruanne õigusriigi kohta – peatükk õigusriigi olukorra kohta Tšehhi Vabariigis, lk 13.</w:t>
      </w:r>
    </w:p>
  </w:footnote>
  <w:footnote w:id="132">
    <w:p>
      <w:pPr>
        <w:pStyle w:val="FootnoteText"/>
      </w:pPr>
      <w:r>
        <w:rPr>
          <w:rStyle w:val="FootnoteReference"/>
        </w:rPr>
        <w:footnoteRef/>
      </w:r>
      <w:r>
        <w:t xml:space="preserve"> </w:t>
      </w:r>
      <w:r>
        <w:tab/>
        <w:t>Kriisiseaduse paragrahvi 3 lõikes 5 on sätestatud, et piirkondliku omavalitsuse juht võib teatavatel tingimustel taotleda valitsuselt eriolukorra väljakuulutamist.</w:t>
      </w:r>
    </w:p>
  </w:footnote>
  <w:footnote w:id="133">
    <w:p>
      <w:pPr>
        <w:pStyle w:val="FootnoteText"/>
      </w:pPr>
      <w:r>
        <w:rPr>
          <w:rStyle w:val="FootnoteReference"/>
        </w:rPr>
        <w:footnoteRef/>
      </w:r>
      <w:r>
        <w:t xml:space="preserve"> </w:t>
      </w:r>
      <w:r>
        <w:tab/>
        <w:t xml:space="preserve">Tšehhi Vabariigi advokatuuri avaldus (15. veebruar 2021), „ČAK k vyhlášení nouzového stavu usnesením vlády ze dne 14.2.2021“ (Tšehhi advokatuur erakorralise seisukorra väljakuulutamisest valitsuse 14. veebruari 2021. aasta määrusega); ekspertide avaldused põhiseadusliku õiguse kohta meedias, </w:t>
      </w:r>
      <w:r>
        <w:rPr>
          <w:i/>
          <w:iCs/>
        </w:rPr>
        <w:t>České noviny</w:t>
      </w:r>
      <w:r>
        <w:t xml:space="preserve"> (15. veebruar 2021) „Podle většiny právníků je nový stav nouze protiústavní“ (Enamiku juristide arvates on eriolukord põhiseadusega vastuolus).</w:t>
      </w:r>
    </w:p>
  </w:footnote>
  <w:footnote w:id="134">
    <w:p>
      <w:pPr>
        <w:pStyle w:val="FootnoteText"/>
      </w:pPr>
      <w:r>
        <w:rPr>
          <w:rStyle w:val="FootnoteReference"/>
        </w:rPr>
        <w:footnoteRef/>
      </w:r>
      <w:r>
        <w:t xml:space="preserve"> </w:t>
      </w:r>
      <w:r>
        <w:tab/>
        <w:t>Esindajatekoja 18. veebruari 2021. aasta resolutsioon nr 84.</w:t>
      </w:r>
    </w:p>
  </w:footnote>
  <w:footnote w:id="135">
    <w:p>
      <w:pPr>
        <w:pStyle w:val="FootnoteText"/>
      </w:pPr>
      <w:r>
        <w:rPr>
          <w:rStyle w:val="FootnoteReference"/>
        </w:rPr>
        <w:footnoteRef/>
      </w:r>
      <w:r>
        <w:t xml:space="preserve"> </w:t>
      </w:r>
      <w:r>
        <w:tab/>
        <w:t>Konstitutsioonikohtu 25. märtsi 2021. aasta otsus Pl. ÚS 12/21; konstitutsioonikohtul ei ole otsest pädevust läbi vaadata eriolukorra väljakuulutamist.</w:t>
      </w:r>
    </w:p>
  </w:footnote>
  <w:footnote w:id="136">
    <w:p>
      <w:pPr>
        <w:pStyle w:val="FootnoteText"/>
      </w:pPr>
      <w:r>
        <w:rPr>
          <w:rStyle w:val="FootnoteReference"/>
        </w:rPr>
        <w:footnoteRef/>
      </w:r>
      <w:r>
        <w:t xml:space="preserve"> </w:t>
      </w:r>
      <w:r>
        <w:tab/>
        <w:t>Sellistel juhtudel oleks uue eriolukorra väljakuulutamine võimalik vaid siis, kui seda põhjendab asjaolude muutumine.</w:t>
      </w:r>
    </w:p>
  </w:footnote>
  <w:footnote w:id="137">
    <w:p>
      <w:pPr>
        <w:pStyle w:val="FootnoteText"/>
      </w:pPr>
      <w:r>
        <w:rPr>
          <w:rStyle w:val="FootnoteReference"/>
        </w:rPr>
        <w:footnoteRef/>
      </w:r>
      <w:r>
        <w:t xml:space="preserve"> </w:t>
      </w:r>
      <w:r>
        <w:tab/>
        <w:t>2020. aasta aruanne õigusriigi kohta – peatükk õigusriigi olukorra kohta Tšehhi Vabariigis, lk 13.</w:t>
      </w:r>
    </w:p>
  </w:footnote>
  <w:footnote w:id="138">
    <w:p>
      <w:pPr>
        <w:pStyle w:val="FootnoteText"/>
      </w:pPr>
      <w:r>
        <w:rPr>
          <w:rStyle w:val="FootnoteReference"/>
        </w:rPr>
        <w:footnoteRef/>
      </w:r>
      <w:r>
        <w:t xml:space="preserve"> </w:t>
      </w:r>
      <w:r>
        <w:tab/>
        <w:t xml:space="preserve">Vt Tšehhi Vabariigi advokatuuri avaldatud kohtuotsuste loetelud, mis on kättesaadavad aadressidel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Organisatsioonilt League of Human Rights õigusriigi olukorda käsitleva 2021. aasta aruande koostamiseks saadud tagasiside, lk 12–13; Tšehhi Vabariiki tehtud riigikülastuse käigus saadud teave.</w:t>
      </w:r>
    </w:p>
  </w:footnote>
  <w:footnote w:id="140">
    <w:p>
      <w:pPr>
        <w:pStyle w:val="FootnoteText"/>
      </w:pPr>
      <w:r>
        <w:rPr>
          <w:rStyle w:val="FootnoteReference"/>
        </w:rPr>
        <w:footnoteRef/>
      </w:r>
      <w:r>
        <w:t xml:space="preserve"> </w:t>
      </w:r>
      <w:r>
        <w:tab/>
        <w:t>Projekt „eLegislativa“ koondab esmaste ja teiseste õigusaktide koostamise vahendid ja menetlused ühtsesse koostamis-, arutamis- ja avaldamisprotsessi. Koostamisprotsessi lõpus ajakohastatakse nende vahenditega andmebaas „eSbírka“, kus esitatakse Tšehhi Vabariigi õigusaktide kinnitatud tekstid ja konsolideeritud versioonid. Projekti kaasrahastatakse ELi vahenditest.</w:t>
      </w:r>
    </w:p>
  </w:footnote>
  <w:footnote w:id="141">
    <w:p>
      <w:pPr>
        <w:pStyle w:val="FootnoteText"/>
      </w:pPr>
      <w:r>
        <w:rPr>
          <w:rStyle w:val="FootnoteReference"/>
        </w:rPr>
        <w:footnoteRef/>
      </w:r>
      <w:r>
        <w:t xml:space="preserve"> </w:t>
      </w:r>
      <w:r>
        <w:tab/>
        <w:t>Tšehhi Vabariiki tehtud riigikülastuse käigus saadud teave.</w:t>
      </w:r>
    </w:p>
  </w:footnote>
  <w:footnote w:id="142">
    <w:p>
      <w:pPr>
        <w:pStyle w:val="FootnoteText"/>
      </w:pPr>
      <w:r>
        <w:rPr>
          <w:rStyle w:val="FootnoteReference"/>
        </w:rPr>
        <w:footnoteRef/>
      </w:r>
      <w:r>
        <w:t xml:space="preserve"> </w:t>
      </w:r>
      <w:r>
        <w:tab/>
        <w:t>Enam kui 320 allkirjaga, sealhulgas tuntud advokaatide allkirjadega avalik kiri. Organisatsioonilt League of Human Rights õigusriigi olukorda käsitleva 2021. aasta aruande koostamiseks saadud tagasiside, lk 9.</w:t>
      </w:r>
    </w:p>
  </w:footnote>
  <w:footnote w:id="143">
    <w:p>
      <w:pPr>
        <w:pStyle w:val="FootnoteText"/>
      </w:pPr>
      <w:r>
        <w:rPr>
          <w:rStyle w:val="FootnoteReference"/>
        </w:rPr>
        <w:footnoteRef/>
      </w:r>
      <w:r>
        <w:t xml:space="preserve"> </w:t>
      </w:r>
      <w:r>
        <w:tab/>
        <w:t>Organisatsiooni Síť k ochraně demokracie aruanne (2020); Romea.cz (18. jaanuar 2021), „Občanští členové „romské rady“: Křeček nezná své kompetence, k romské strategii se vyjadřuje nepravdivě, soustavně cíleně podkopává důstojnost Romů“ (Romade nõukogu kodanikest liikmed: Křeček ei mõista oma pädevust, tema väited seoses romade strateegiaga on ebaõiged; ta ründab järjekindlalt romade väärikust); organisatsioonilt Glopolis õigusriigi olukorda käsitleva 2021. aasta aruande koostamiseks saadud tagasiside, lk 13.</w:t>
      </w:r>
    </w:p>
  </w:footnote>
  <w:footnote w:id="144">
    <w:p>
      <w:pPr>
        <w:pStyle w:val="FootnoteText"/>
      </w:pPr>
      <w:r>
        <w:rPr>
          <w:rStyle w:val="FootnoteReference"/>
        </w:rPr>
        <w:footnoteRef/>
      </w:r>
      <w:r>
        <w:t xml:space="preserve"> </w:t>
      </w:r>
      <w:r>
        <w:tab/>
        <w:t>Näiteks kohtuotsused sundhospitaliseerimise juhtumite kohta COVID-19 pandeemia oludes, vanglakülastuste keeld või piiramine, inimeste isoleerimine sotsiaalteenistuste ruumides või puuetega õpilaste juurdepääs haridusele.</w:t>
      </w:r>
    </w:p>
  </w:footnote>
  <w:footnote w:id="145">
    <w:p>
      <w:pPr>
        <w:pStyle w:val="FootnoteText"/>
      </w:pPr>
      <w:r>
        <w:rPr>
          <w:rStyle w:val="FootnoteReference"/>
        </w:rPr>
        <w:footnoteRef/>
      </w:r>
      <w:r>
        <w:t xml:space="preserve"> </w:t>
      </w:r>
      <w:r>
        <w:tab/>
        <w:t>Tšehhi Vabariiki tehtud riigikülastuse käigus ombudsmani ametilt saadud teave.</w:t>
      </w:r>
    </w:p>
  </w:footnote>
  <w:footnote w:id="146">
    <w:p>
      <w:pPr>
        <w:pStyle w:val="FootnoteText"/>
      </w:pPr>
      <w:r>
        <w:rPr>
          <w:rStyle w:val="FootnoteReference"/>
        </w:rPr>
        <w:footnoteRef/>
      </w:r>
      <w:r>
        <w:t xml:space="preserve"> </w:t>
      </w:r>
      <w:r>
        <w:tab/>
        <w:t>CIVICUSe hinnang; hinnangud on viiepallisel skaalal määratud järgmiselt: avatud, kitsendatud, takistatud, allasurutud ja suletud.</w:t>
      </w:r>
    </w:p>
  </w:footnote>
  <w:footnote w:id="147">
    <w:p>
      <w:pPr>
        <w:pStyle w:val="FootnoteText"/>
      </w:pPr>
      <w:r>
        <w:rPr>
          <w:rStyle w:val="FootnoteReference"/>
        </w:rPr>
        <w:footnoteRef/>
      </w:r>
      <w:r>
        <w:t xml:space="preserve"> </w:t>
      </w:r>
      <w:r>
        <w:tab/>
        <w:t>2020. aasta aruanne õigusriigi kohta – peatükk õigusriigi olukorra kohta Tšehhi Vabariigis, lk 14.</w:t>
      </w:r>
    </w:p>
  </w:footnote>
  <w:footnote w:id="148">
    <w:p>
      <w:pPr>
        <w:pStyle w:val="FootnoteText"/>
      </w:pPr>
      <w:r>
        <w:rPr>
          <w:rStyle w:val="FootnoteReference"/>
        </w:rPr>
        <w:footnoteRef/>
      </w:r>
      <w:r>
        <w:t xml:space="preserve"> </w:t>
      </w:r>
      <w:r>
        <w:tab/>
        <w:t>Võrgustikku Open Society Foundations kuuluva Nadace OSF uuring (17. märts 2021) „Dopady pandemie COVID-19 na neziskové organizace“, lk 2; Tšehhi Vabariiki tehtud riigikülastuse käigus saadud teave.</w:t>
      </w:r>
    </w:p>
  </w:footnote>
  <w:footnote w:id="149">
    <w:p>
      <w:pPr>
        <w:pStyle w:val="FootnoteText"/>
      </w:pPr>
      <w:r>
        <w:rPr>
          <w:rStyle w:val="FootnoteReference"/>
        </w:rPr>
        <w:footnoteRef/>
      </w:r>
      <w:r>
        <w:t xml:space="preserve"> </w:t>
      </w:r>
      <w:r>
        <w:tab/>
        <w:t>Võrgustikku Open Society Foundations kuuluva Nadace OSF uuring (17. märts 2021) „Dopady pandemie COVID-19 na neziskové organizace“, lk 3; Tšehhi Vabariiki tehtud riigikülastuse käigus saadud teave.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satud dokumendile:"/>
    <w:docVar w:name="LW_CORRIGENDUM" w:val="&lt;UNUSED&gt;"/>
    <w:docVar w:name="LW_COVERPAGE_EXISTS" w:val="True"/>
    <w:docVar w:name="LW_COVERPAGE_GUID" w:val="D35B0055-34D4-418D-AECD-2773A413EA15"/>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üssel,"/>
    <w:docVar w:name="LW_EMISSION_SUFFIX" w:val=" "/>
    <w:docVar w:name="LW_ID_DOCTYPE_NONLW" w:val="CP-025"/>
    <w:docVar w:name="LW_LANGUE" w:val="ET"/>
    <w:docVar w:name="LW_LEVEL_OF_SENSITIVITY" w:val="Standard treatment"/>
    <w:docVar w:name="LW_NOM.INST" w:val="EUROOPA KOMISJON"/>
    <w:docVar w:name="LW_NOM.INST_JOINTDOC" w:val="&lt;EMPTY&gt;"/>
    <w:docVar w:name="LW_OBJETACTEPRINCIPAL.CP" w:val="2021. aasta aruanne õigusriigi kohta_x000d__x000d__x000b_Õigusriigi olukord Euroopa Liidus"/>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aasta aruanne õigusriigi kohta_x000d__x000d__x000d__x000b_Peatükk õigusriigi olukorra kohta T\u353?ehhis"/>
    <w:docVar w:name="LW_TYPE.DOC.CP" w:val="KOMISJONI TALITUSTE TÖÖDOKUMENT"/>
    <w:docVar w:name="LW_TYPEACTEPRINCIPAL.CP" w:val="KOMISJONI TEATIS EUROOPA PARLAMENDILE, NÕUKOGULE, EUROOPA MAJANDUS- JA SOTSIAALKOMITEELE NING REGIOONIDE KOMITEEL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et-EE"/>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t-E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t-EE"/>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t-E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t-E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t-E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et-EE"/>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t-E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t-EE"/>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t-E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t-E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t-E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publicmediaalliance.org/the-threat-facing-czech-tv-ceska-televize/" TargetMode="External"/><Relationship Id="rId26" Type="http://schemas.openxmlformats.org/officeDocument/2006/relationships/hyperlink" Target="https://rsf.org/en/czech-republic" TargetMode="External"/><Relationship Id="rId39" Type="http://schemas.openxmlformats.org/officeDocument/2006/relationships/hyperlink" Target="https://www.uniesz.cz/reakce-unie-statnich-zastupcu-ceske-republiky-na-utoky-politiku-proti-ustavnimu-soudu/" TargetMode="External"/><Relationship Id="rId21" Type="http://schemas.openxmlformats.org/officeDocument/2006/relationships/hyperlink" Target="https://www.europarl.europa.eu/cmsdata/209082/CONT_CZ_Mission_Report_Final.pdf" TargetMode="External"/><Relationship Id="rId34" Type="http://schemas.openxmlformats.org/officeDocument/2006/relationships/hyperlink" Target="https://advokatnidenik.cz/2021/04/09/soudy-jiz-odmitly-desitky-navrhu-na-zruseni-protiepidemickych-narizeni/" TargetMode="External"/><Relationship Id="rId42" Type="http://schemas.openxmlformats.org/officeDocument/2006/relationships/hyperlink" Target="https://korupce.cz/protikorupcni-dokumenty-vlady/na-leta-2018-az-2022/"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etice.com/otevreny_dopis_verejnemu_ochranci_prav" TargetMode="External"/><Relationship Id="rId25" Type="http://schemas.openxmlformats.org/officeDocument/2006/relationships/hyperlink" Target="http://www.romea.cz/cz/zpravodajstvi/domaci/obcansti-clenove-romske-rady-krecek-nezna-sve-kompetence-k-romske-strategii-se-vyjadruje-nepravdive-soustavne-cilene" TargetMode="External"/><Relationship Id="rId33" Type="http://schemas.openxmlformats.org/officeDocument/2006/relationships/hyperlink" Target="https://advokatnidenik.cz/2021/04/23/za-uplynulych-deset-mesicu-soudy-zrusily-nekolik-protiepidemickych-opatreni/" TargetMode="External"/><Relationship Id="rId38" Type="http://schemas.openxmlformats.org/officeDocument/2006/relationships/hyperlink" Target="https://www.psp.cz/sqw/historie.sqw?o=8&amp;t=1150" TargetMode="External"/><Relationship Id="rId46" Type="http://schemas.openxmlformats.org/officeDocument/2006/relationships/hyperlink" Target="https://www.ceska-justice.cz/2021/05/vysetrovatel-capiho-hnizda-konci-u-policie-spis-uzavrel-a-navrhl-podat-obzalobu/"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regional_policy/sources/docoffic/official/reports/cz_functioning_report/cz_functioning_report_en.pdf" TargetMode="External"/><Relationship Id="rId29"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41" Type="http://schemas.openxmlformats.org/officeDocument/2006/relationships/hyperlink" Target="https://www.dotaceeu.cz/Dotace/media/SF/FONDY%20EU/2014-2020/Dokumenty/Ostatn&#237;/MMR_Strategie-proti-podvodum-SSR_FINAL3.pdf"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osf.cz/wp-content/uploads/2021/03/Nadace-OSF_Dopady_pandemie_NNO_2021.pdf" TargetMode="External"/><Relationship Id="rId32" Type="http://schemas.openxmlformats.org/officeDocument/2006/relationships/hyperlink" Target="https://denikn.cz/633179/zeman-po-schuzce-s-benesovou-jsem-vycitil-svuj-konec-byli-jsme-pro-ni-vdecny-terc-politika-zhrubla/?ref=list" TargetMode="External"/><Relationship Id="rId37" Type="http://schemas.openxmlformats.org/officeDocument/2006/relationships/hyperlink" Target="https://www.soudci.cz/zpravy-a-stanoviska/pohledy-a-nazory/3173-soudcovska-unie-k-vystoupeni-ministryne-spravedlnosti.html" TargetMode="External"/><Relationship Id="rId40" Type="http://schemas.openxmlformats.org/officeDocument/2006/relationships/hyperlink" Target="https://www.uniesz.cz/prezident-unie-statnich-zastupcu-jan-lata-ministryne-benesova-sdeluje-nepravdy/" TargetMode="External"/><Relationship Id="rId45" Type="http://schemas.openxmlformats.org/officeDocument/2006/relationships/hyperlink" Target="https://www.ceska-justice.cz/2021/05/vysetrovatel-capiho-hnizda-konci-u-policie-spis-uzavrel-a-navrhl-podat-obzalob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rekonstrukcestatu.cz/archiv-novinek/lobbing-ma-podle-poloviny-cechu-vyrazny-vliv-na-podobu-zakonu-vnimaji-ho-ale-hlavne-jako-nastroj-pro-kmotry" TargetMode="External"/><Relationship Id="rId28" Type="http://schemas.openxmlformats.org/officeDocument/2006/relationships/hyperlink" Target="https://www.nku.cz/assets/publications-documents/eu-report/eu-report-2020-en.pdf" TargetMode="External"/><Relationship Id="rId36" Type="http://schemas.openxmlformats.org/officeDocument/2006/relationships/hyperlink" Target="https://www.nsoud.cz/Judikatura/ns_web.nsf/web/CodeofEthics~Code_of_Ethic~?Open&amp;lng=EN"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monitor.civicus.org/country/czech-republic/" TargetMode="External"/><Relationship Id="rId31" Type="http://schemas.openxmlformats.org/officeDocument/2006/relationships/hyperlink" Target="https://ipi.media/concerns-over-increasing-meddling-in-independence-of-czech-public-broadcaster/" TargetMode="External"/><Relationship Id="rId44" Type="http://schemas.openxmlformats.org/officeDocument/2006/relationships/hyperlink" Target="https://www.mzcr.cz/wp-content/uploads/2020/08/Sektorov&#225;-anal&#253;za-korupce-ve-zdravotnictv&#237;.pdf"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ebu.ch/news/2021/04/public-service-media-in-the-czech-republic-under-threat" TargetMode="External"/><Relationship Id="rId27" Type="http://schemas.openxmlformats.org/officeDocument/2006/relationships/hyperlink" Target="https://www.ceskenoviny.cz/zpravy/podle-vetsiny-pravniku-je-novy-stav-nouze-protiustavni/1996439" TargetMode="External"/><Relationship Id="rId30" Type="http://schemas.openxmlformats.org/officeDocument/2006/relationships/hyperlink" Target="https://www.investigace.cz/statni-reklama-kdo-take-plati-parlamentni-listy" TargetMode="External"/><Relationship Id="rId35" Type="http://schemas.openxmlformats.org/officeDocument/2006/relationships/hyperlink" Target="https://advokatnidenik.cz/2021/02/15/cak-k-vyhlaseni-nouzoveho-stavu-usnesenim-vlady-ze-dne-14-2-2021/" TargetMode="External"/><Relationship Id="rId43" Type="http://schemas.openxmlformats.org/officeDocument/2006/relationships/hyperlink" Target="https://www.mvcr.cz/clanek/esbirka-a-elegislativa.aspx"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21A9-44EB-412D-9BFA-373724D7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5409</Words>
  <Characters>45224</Characters>
  <Application>Microsoft Office Word</Application>
  <DocSecurity>0</DocSecurity>
  <Lines>674</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