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4BB8ECB-01AA-4C0D-B1AD-7F3F0C5530DB" style="width:455.25pt;height:558.7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color w:val="000000" w:themeColor="text1"/>
          <w:szCs w:val="24"/>
          <w:u w:val="single"/>
        </w:rPr>
      </w:pPr>
      <w:bookmarkStart w:id="1" w:name="_GoBack"/>
      <w:bookmarkEnd w:id="1"/>
      <w:r>
        <w:rPr>
          <w:b/>
          <w:smallCaps/>
          <w:noProof/>
          <w:color w:val="000000" w:themeColor="text1"/>
          <w:szCs w:val="24"/>
          <w:u w:val="single"/>
        </w:rPr>
        <w:lastRenderedPageBreak/>
        <w:t>Lühikokkuvõte</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Alates Rumeenia ühinemisest ELiga 2007. aastal on komisjon jälginud Rumeenia kohtureforme ja korruptsioonivastase võitluse reforme koostöö- ja jälgimiskorra alusel, mis on oluline raamistik edusammude tegemiseks nimetatud valdkondades. Koostöö- ja jälgimiskorda rakendatakse edasi paralleelselt õigusriigi mehhanismiga, milles Rumeenia lahutamatult osaleb (nagu ka mis tahes muu liikmesriik), ning korda rakendatakse seni, kuni kõik eesmärgid on rahuldavalt täidetud.</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Valitsus teeb ettepaneku reformideks, et lahendada probleemid, millele juhiti tähelepanu seoses õigusemõistmist käsitlevate õigusaktide 2017.–2019. aasta muudatusega, mida kritiseeriti nende negatiivse mõju pärast õigusemõistmise sõltumatusele, kvaliteedile ja tõhususele. Euroopa Kohus on 18. mai 2021. aasta eelotsuses analüüsinud nende reformide mitut aspekti ja kinnitanud nende murede põhjendatust, eelkõige seoses prokuratuuri osakonnaga, mis uurib kohtunike ja prokuröride toimepandud süütegusid. Parlamendis on läbivaatamisel seaduseelnõu selle osakonna tegevuse lõpetamiseks. Õigusemõistmist käsitlevate õigusaktide muutmiseks on algatatud seadusandlik menetlus. Ebapiisava arvu uute kohtunike värbamine ja märkimisväärse hulga kohtunike pensionile jäämine on süvendanud personalipuudust. See puudus on suurendanud survet kohtunikele ning mõjutanud seega õigusemõistmise kvaliteeti ja tõhusust.</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Korruptsioonivastase võitluse institutsiooniline raamistik on terviklik, kuid selle tulemuslikkus eeldab valitsuse püsivat poliitilist tahet. Üks põhieesmärke on uue korruptsioonivastase strateegia (2021–2025) vastuvõtmine. Keskmise ja suurkorruptsiooni uurimise ja selle eest karistamise tulemuslikkus on paranenud, mis kinnitab varasemaid tulemusi. Riiklik korruptsioonivastase võitluse direktoraat on saavutanud paremaid tulemusi, kuigi õigusemõistmist käsitlevates õigusaktides 2017.–2019. aastal tehtud muudatused on jätkuvalt peamine takistus selle heale toimimisele. Endiselt on vaja muuta kriminaalkoodeksit.</w:t>
      </w:r>
      <w:r>
        <w:rPr>
          <w:noProof/>
        </w:rPr>
        <w:t xml:space="preserve"> Kuna konstitutsioonikohtu otsustele pole reageeritud usaldusväärsete seadusandlike ja poliitiliste lahendustega, pärsivad suurenenud takistused ja õiguskindlusetus korruptsioonivastast võitlust.</w:t>
      </w:r>
      <w:r>
        <w:rPr>
          <w:noProof/>
          <w:color w:val="000000" w:themeColor="text1"/>
        </w:rPr>
        <w:t xml:space="preserve"> Tihedam institutsioonidevaheline koostöö 2020. aasta valimiste kontekstis võib tähistada valitud ametiisikute ausust käsitleva lähenemisviisi muutust. </w:t>
      </w:r>
      <w:r>
        <w:rPr>
          <w:bCs/>
          <w:noProof/>
          <w:color w:val="000000" w:themeColor="text1"/>
        </w:rPr>
        <w:t>Arestitud vara haldamise agentuur toimib endiselt täielikult ning huvide konfliktide tuvastamiseks mõeldud elektrooniline süsteem PREVENT on tõhus.</w:t>
      </w:r>
    </w:p>
    <w:p>
      <w:pPr>
        <w:pBdr>
          <w:top w:val="single" w:sz="4" w:space="1" w:color="auto"/>
          <w:left w:val="single" w:sz="4" w:space="4" w:color="auto"/>
          <w:bottom w:val="single" w:sz="4" w:space="17" w:color="auto"/>
          <w:right w:val="single" w:sz="4" w:space="4" w:color="auto"/>
        </w:pBdr>
        <w:spacing w:after="120"/>
        <w:rPr>
          <w:noProof/>
          <w:color w:val="000000" w:themeColor="text1"/>
        </w:rPr>
      </w:pPr>
      <w:r>
        <w:rPr>
          <w:noProof/>
          <w:color w:val="000000" w:themeColor="text1"/>
        </w:rPr>
        <w:t>Kehtestatud on õiguslikud kaitsemeetmed meediavabaduse ja meedia mitmekesisuse kaitseks. Olemasoleva õigusraamistiku rakendamisel ja täitmise tagamisel esineb siiski probleeme, eelkõige seoses juurdepääsuga teabele. Riiklikul audiovisuaalmeedia nõukogul puuduvad endiselt vahendid oma ülesannete täielikuks täitmiseks ning tema tegevust on mõjutanud mitme liikme volituste lõppemine. Meediaomandi läbipaistvus ei ole endiselt täielik. Meedia võib sattuda poliitilise surve alla, eriti kui selle tulud sõltuvad riiklikust reklaamist. Jätkuvalt teatatakse uurivate ajakirjanike vastu laimu eest algatatud kohtuasjadest. COVID-19 pandeemia kontekstis sai meedia toetust rahalistest vahenditest, mida eraldati COVID-19 leviku ennetamise eesmärgil korraldatavate valitsuse meediakampaaniate jaoks.</w:t>
      </w:r>
    </w:p>
    <w:p>
      <w:pPr>
        <w:pBdr>
          <w:top w:val="single" w:sz="4" w:space="1" w:color="auto"/>
          <w:left w:val="single" w:sz="4" w:space="4" w:color="auto"/>
          <w:bottom w:val="single" w:sz="4" w:space="17" w:color="auto"/>
          <w:right w:val="single" w:sz="4" w:space="4" w:color="auto"/>
        </w:pBdr>
        <w:rPr>
          <w:rFonts w:eastAsia="Times New Roman" w:cs="Times New Roman"/>
          <w:noProof/>
          <w:color w:val="000000" w:themeColor="text1"/>
        </w:rPr>
      </w:pPr>
      <w:r>
        <w:rPr>
          <w:noProof/>
          <w:color w:val="000000" w:themeColor="text1"/>
        </w:rPr>
        <w:t xml:space="preserve">Endiselt ollakse mures õigusloome stabiilsuse ja prognoositavuse pärast, kuna õigusakte muudetakse sageli ja nende alusel vastu võetud normid võivad olla vasturääkivad, samuti tekitab muret mõjuhinnangute piiratud kasutamine. Pärast 2019. aasta mais toimunud rahvahääletust ei võetud õigusemõistmise valdkonnas vastu ühtegi olulist valitsuse erakorralist määrust. COVID-19 pandeemia kontekstis on kehtestatud häireolukord ning kohaldatakse suuremat parlamentaarset kontrolli. Pärast Euroopa Kohtu 18. mai 2021. aasta </w:t>
      </w:r>
      <w:r>
        <w:rPr>
          <w:noProof/>
          <w:color w:val="000000" w:themeColor="text1"/>
        </w:rPr>
        <w:lastRenderedPageBreak/>
        <w:t>otsust õigusemõistmist käsitlevate õigusaktide mitme aspekti kohta tegi konstitutsioonikohus 8. juunil 2021 otsuse, mis tekitab tõsist muret, kuna selles seatakse kahtluse alla liidu õiguse ülimuslikkuse põhimõtte. 2020. aastal muudeti ühinguid ja sihtasutusi käsitlevaid õigusakte, et vähendada valitsusväliste organisatsioonide halduskoormust.</w:t>
      </w:r>
    </w:p>
    <w:p>
      <w:pPr>
        <w:rPr>
          <w:noProof/>
        </w:rPr>
      </w:pPr>
      <w:r>
        <w:rPr>
          <w:noProof/>
        </w:rPr>
        <w:t>Koostöö- ja jälgimiskord kehtestati Rumeenia ühinemisel Euroopa Liiduga 2007. aastal üleminekumeetmena, et toetada Rumeenia jätkuvaid jõupingutusi kohtusüsteemi reformimiseks ja korruptsioonivastase võitluse tõhustamiseks</w:t>
      </w:r>
      <w:r>
        <w:rPr>
          <w:noProof/>
          <w:vertAlign w:val="superscript"/>
        </w:rPr>
        <w:footnoteReference w:id="2"/>
      </w:r>
      <w:r>
        <w:rPr>
          <w:noProof/>
        </w:rPr>
        <w:t>. Vastavalt koostöö- ja jälgimiskorra kehtestamise otsusele ja nagu on rõhutanud nõukogu, lõpeb korra kohaldamine siis, kui kõik Rumeenia jaoks püstitatud eesmärgid on rahuldavalt täidetud. 2017. aasta jaanuari aruandes andis komisjon põhjaliku hinnangu Rumeenia edusammudele koostöö- ja jälgimiskorra rakendamisel kümne aasta jooksul. Samuti nähti selles ette koostöö- ja jälgimiskorra kohaldamise lõpetamine, mis põhineb 12 lõplikul põhisoovitusel, mille täitmisest piisaks koostöö- ja jälgimiskorra eesmärkide saavutamiseks, välja arvatud juhul, kui suundumused viivad edusammude suhtes tagasiminekule. 2018. aasta novembri aruandes järeldati, et suundumused näitasid tagasiminekut või saavutatud edusammude pöördumatuse küsitavaks muutumist ning et anda tuleb kaheksa uut soovitusi. Komisjoni viimases koostöö- ja jälgimiskorra aruandes, mis võeti vastu 2021. aasta juunis, hinnati 2017. aasta jaanuaris antud 12 soovituse ja 2018. aasta novembris esitatud kaheksa täiendava soovituse täitmisel tehtud edusamme. Selles aruandes jõuti järeldusele, et alates viimasest, 2019. aasta koostöö- ja jälgimiskorra aruandest on olukord koostöö- ja jälgimiskorra eesmärkide näitajate põhjal arenenud selgelt positiivses suunas, ning väljendati heameelt asjaolu üle, et 2021. aastal on antud reformideks ja perioodi 2017–2019 toimunud tagasilanguse heastamiseks uus tugev tõuge. Selle tulemusena on tehtud edusamme kõigi ülejäänud koostöö- ja jälgimiskorra soovituste osas ning kui edusammud samas hoos jätkuvad, peaks neist paljud saama täidetud</w:t>
      </w:r>
      <w:r>
        <w:rPr>
          <w:rStyle w:val="FootnoteReference"/>
          <w:noProof/>
        </w:rPr>
        <w:footnoteReference w:id="3"/>
      </w:r>
      <w:r>
        <w:rPr>
          <w:noProof/>
        </w:rPr>
        <w:t>.</w:t>
      </w:r>
    </w:p>
    <w:p>
      <w:pPr>
        <w:pStyle w:val="Heading1"/>
        <w:rPr>
          <w:noProof/>
          <w:color w:val="000000" w:themeColor="text1"/>
        </w:rPr>
      </w:pPr>
      <w:r>
        <w:rPr>
          <w:noProof/>
          <w:color w:val="000000" w:themeColor="text1"/>
        </w:rPr>
        <w:t xml:space="preserve">Kohtusüsteem </w:t>
      </w:r>
    </w:p>
    <w:p>
      <w:pPr>
        <w:rPr>
          <w:rFonts w:cs="Times New Roman"/>
          <w:noProof/>
          <w:color w:val="000000" w:themeColor="text1"/>
          <w:szCs w:val="24"/>
        </w:rPr>
      </w:pPr>
      <w:r>
        <w:rPr>
          <w:noProof/>
          <w:color w:val="000000" w:themeColor="text1"/>
          <w:szCs w:val="24"/>
        </w:rPr>
        <w:t>Rumeenias on nii tsiviil- kui ka sõjaväekohtu süsteem neljaastmeline: esimese astme kohtud, üld- ja erikohtud, apellatsioonikohtud</w:t>
      </w:r>
      <w:r>
        <w:rPr>
          <w:rFonts w:cs="Times New Roman"/>
          <w:noProof/>
          <w:color w:val="000000" w:themeColor="text1"/>
          <w:szCs w:val="24"/>
          <w:vertAlign w:val="superscript"/>
          <w:lang w:eastAsia="fr-FR"/>
        </w:rPr>
        <w:footnoteReference w:id="4"/>
      </w:r>
      <w:r>
        <w:rPr>
          <w:noProof/>
          <w:color w:val="000000" w:themeColor="text1"/>
          <w:szCs w:val="24"/>
        </w:rPr>
        <w:t xml:space="preserve"> ning kassatsioonikohus. Kassatsioonikohus teeb otsuseid kriminaalasjades esimeses astmes ja apellatsioonkaebuste korral teatavate isikute kategooriate puhul</w:t>
      </w:r>
      <w:r>
        <w:rPr>
          <w:rFonts w:cs="Times New Roman"/>
          <w:noProof/>
          <w:color w:val="000000" w:themeColor="text1"/>
          <w:szCs w:val="24"/>
          <w:vertAlign w:val="superscript"/>
          <w:lang w:eastAsia="fr-FR"/>
        </w:rPr>
        <w:footnoteReference w:id="5"/>
      </w:r>
      <w:r>
        <w:rPr>
          <w:noProof/>
          <w:color w:val="000000" w:themeColor="text1"/>
          <w:szCs w:val="24"/>
        </w:rPr>
        <w:t xml:space="preserve"> ning teatavate tsiviil- ja haldusasjade apellatsioonkaebuste korral. Üks selle kohtu põhiülesandeid on tagada õiguse ühtne tõlgendamine ja kohaldamine teistes kohtutes. Kõrgem kohtunike nõukogu, kelle ülesandeks on tagada kohtu sõltumatus, on jagatud kaheks kolleegiumiks: kohtunike kolleegium ja prokuröride kolleegium. Kolleegiumide ainupädevusse kuulub vastavalt kohtunike ja prokuröride töölevõtmine ja karjääriküsimused ning need tegutsevad distsiplinaarküsimustes distsiplinaarkohtuna. Prokuratuuri juhib kassatsioonikohtu juurde kuuluva prokuratuuri peaprokurör. Prokuratuuri alla kuuluvad spetsiaalse pädevuse ja organisatsiooniga eriüksustena riiklik korruptsioonivastase võitluse direktoraat (DNA) ning organiseeritud kuritegevuse ja terrorismi uurimise ja nende vastu võitlemise direktoraat (DIICOT), mida juhivad juhtivprokurörid, ja alates 2018. aastast ka prokuratuuri osakond, mis uurib kohtunike ja prokuröride toimepandud süütegusid (SIIJ)</w:t>
      </w:r>
      <w:r>
        <w:rPr>
          <w:rFonts w:cs="Times New Roman"/>
          <w:noProof/>
          <w:color w:val="000000" w:themeColor="text1"/>
          <w:szCs w:val="24"/>
          <w:vertAlign w:val="superscript"/>
          <w:lang w:eastAsia="fr-FR"/>
        </w:rPr>
        <w:footnoteReference w:id="6"/>
      </w:r>
      <w:r>
        <w:rPr>
          <w:noProof/>
          <w:color w:val="000000" w:themeColor="text1"/>
          <w:szCs w:val="24"/>
        </w:rPr>
        <w:t>. On olemas ka sõjaväeprokuratuurid. Peaprokuröri ja eriüksuste DNA ja DIICOTi juhtivprokurörid nimetab ametisse vabariigi president justiitsministri ettepanekul pärast kõrgema kohtunike nõukogu mittesiduva arvamuse ärakuulamist</w:t>
      </w:r>
      <w:r>
        <w:rPr>
          <w:rFonts w:cs="Times New Roman"/>
          <w:noProof/>
          <w:color w:val="000000" w:themeColor="text1"/>
          <w:szCs w:val="24"/>
          <w:vertAlign w:val="superscript"/>
        </w:rPr>
        <w:footnoteReference w:id="7"/>
      </w:r>
      <w:r>
        <w:rPr>
          <w:noProof/>
          <w:color w:val="000000" w:themeColor="text1"/>
          <w:szCs w:val="24"/>
        </w:rPr>
        <w:t>. Rumeenia osaleb Euroopa Prokuratuuri tegevuses. Rumeenia riiklik advokatuuride ühendus on avalikes huvides tegutsev juriidiline isik, kuhu kuuluvad kõik Rumeenia 41 advokatuuri. Konstitutsioonikohus kontrollib seaduste vastavust põhiseadusele ja lahendab põhiseaduslikku laadi vaidlusi avaliku sektori asutuste vahel.</w:t>
      </w:r>
    </w:p>
    <w:p>
      <w:pPr>
        <w:pStyle w:val="Heading2"/>
        <w:rPr>
          <w:noProof/>
          <w:color w:val="000000" w:themeColor="text1"/>
        </w:rPr>
      </w:pPr>
      <w:r>
        <w:rPr>
          <w:noProof/>
          <w:color w:val="000000" w:themeColor="text1"/>
        </w:rPr>
        <w:t xml:space="preserve">Sõltumatus </w:t>
      </w:r>
    </w:p>
    <w:p>
      <w:pPr>
        <w:rPr>
          <w:rFonts w:eastAsia="Times New Roman" w:cs="Times New Roman"/>
          <w:noProof/>
          <w:color w:val="000000" w:themeColor="text1"/>
        </w:rPr>
      </w:pPr>
      <w:r>
        <w:rPr>
          <w:b/>
          <w:bCs/>
          <w:noProof/>
          <w:color w:val="000000" w:themeColor="text1"/>
        </w:rPr>
        <w:t xml:space="preserve">Kohtusüsteemi tajutava sõltumatuse tase on keskmine, olles paranenud üldsuse seas eelmiste aastatega võrreldes märkimisväärselt. </w:t>
      </w:r>
      <w:r>
        <w:rPr>
          <w:noProof/>
          <w:color w:val="000000" w:themeColor="text1"/>
        </w:rPr>
        <w:t>Kohtusüsteemi tajutava sõltumatuse tase on üldsuse hinnangul nüüd keskmine (51 %), mis tähendab paranemist võrreldes 37 %ga 2020. aastal</w:t>
      </w:r>
      <w:r>
        <w:rPr>
          <w:rFonts w:eastAsia="Times New Roman" w:cs="Times New Roman"/>
          <w:noProof/>
          <w:color w:val="000000" w:themeColor="text1"/>
          <w:vertAlign w:val="superscript"/>
          <w:lang w:eastAsia="fr-FR"/>
        </w:rPr>
        <w:footnoteReference w:id="8"/>
      </w:r>
      <w:r>
        <w:rPr>
          <w:noProof/>
          <w:color w:val="000000" w:themeColor="text1"/>
        </w:rPr>
        <w:t>. Ettevõtete hinnangul on kohtusüsteemi sõltumatus keskmine (45 %), olles vähenenud võrreldes 2020. aastaga 8 protsendipunkti võrra</w:t>
      </w:r>
      <w:r>
        <w:rPr>
          <w:rFonts w:eastAsia="Times New Roman" w:cs="Times New Roman"/>
          <w:noProof/>
          <w:color w:val="000000" w:themeColor="text1"/>
          <w:vertAlign w:val="superscript"/>
          <w:lang w:eastAsia="fr-FR"/>
        </w:rPr>
        <w:footnoteReference w:id="9"/>
      </w:r>
      <w:r>
        <w:rPr>
          <w:noProof/>
          <w:color w:val="000000" w:themeColor="text1"/>
        </w:rPr>
        <w:t>. Üldsus nimetab kohtusüsteemi sõltumatuse tajutava puudumise põhjusena kõige sagedamini valitsuse ja poliitikute sekkumist või survet, samas kui ettevõtjatele valmistab kõige enam muret majanduslikke või muid erihuve esindavate rühmade sekkumine või surve</w:t>
      </w:r>
      <w:r>
        <w:rPr>
          <w:rFonts w:eastAsia="Times New Roman" w:cs="Times New Roman"/>
          <w:noProof/>
          <w:color w:val="000000" w:themeColor="text1"/>
          <w:vertAlign w:val="superscript"/>
          <w:lang w:eastAsia="fr-FR"/>
        </w:rPr>
        <w:footnoteReference w:id="10"/>
      </w:r>
      <w:r>
        <w:rPr>
          <w:noProof/>
          <w:color w:val="000000" w:themeColor="text1"/>
        </w:rPr>
        <w:t>.</w:t>
      </w:r>
    </w:p>
    <w:p>
      <w:pPr>
        <w:rPr>
          <w:rFonts w:eastAsia="Times New Roman" w:cs="Times New Roman"/>
          <w:noProof/>
          <w:color w:val="000000" w:themeColor="text1"/>
        </w:rPr>
      </w:pPr>
      <w:r>
        <w:rPr>
          <w:b/>
          <w:bCs/>
          <w:noProof/>
          <w:color w:val="000000" w:themeColor="text1"/>
        </w:rPr>
        <w:t xml:space="preserve">Praegu vaadatakse läbi õigusemõistmist käsitlevate seaduste 2017.–2019. aasta muudatusi. </w:t>
      </w:r>
      <w:r>
        <w:rPr>
          <w:noProof/>
          <w:color w:val="000000" w:themeColor="text1"/>
        </w:rPr>
        <w:t>2017.–2019. aastal muudetud õigusemõistmist käsitlevate õigusaktidega määratletakse kohtunike staatus ning reguleeritakse kohtusüsteemi ja kõrgema kohtunike nõukogu korraldust</w:t>
      </w:r>
      <w:bookmarkStart w:id="2" w:name="_Ref73295779"/>
      <w:r>
        <w:rPr>
          <w:rStyle w:val="FootnoteReference"/>
          <w:rFonts w:eastAsia="Times New Roman" w:cs="Times New Roman"/>
          <w:noProof/>
          <w:color w:val="000000" w:themeColor="text1"/>
          <w:lang w:eastAsia="fr-FR"/>
        </w:rPr>
        <w:footnoteReference w:id="11"/>
      </w:r>
      <w:bookmarkEnd w:id="2"/>
      <w:r>
        <w:rPr>
          <w:noProof/>
          <w:color w:val="000000" w:themeColor="text1"/>
        </w:rPr>
        <w:t xml:space="preserve">. Need õigusaktid on kohtunike sõltumatuse ja kohtusüsteemi hea toimimise tagamiseks keskse tähtsusega. </w:t>
      </w:r>
      <w:r>
        <w:rPr>
          <w:bCs/>
          <w:noProof/>
          <w:color w:val="000000" w:themeColor="text1"/>
        </w:rPr>
        <w:t>Nende õigusemõistmist käsitlevate õigusaktide muudatused, mis on endiselt jõus, avaldasid olulist mõju kohtusüsteemi sõltumatusele, kvaliteedile ja tõhususele</w:t>
      </w:r>
      <w:r>
        <w:rPr>
          <w:rStyle w:val="FootnoteReference"/>
          <w:rFonts w:eastAsia="Times New Roman" w:cs="Times New Roman"/>
          <w:noProof/>
          <w:color w:val="000000" w:themeColor="text1"/>
          <w:lang w:eastAsia="fr-FR"/>
        </w:rPr>
        <w:footnoteReference w:id="12"/>
      </w:r>
      <w:r>
        <w:rPr>
          <w:bCs/>
          <w:noProof/>
          <w:color w:val="000000" w:themeColor="text1"/>
        </w:rPr>
        <w:t>.</w:t>
      </w:r>
      <w:r>
        <w:rPr>
          <w:b/>
          <w:bCs/>
          <w:noProof/>
          <w:color w:val="000000" w:themeColor="text1"/>
        </w:rPr>
        <w:t xml:space="preserve"> </w:t>
      </w:r>
      <w:r>
        <w:rPr>
          <w:noProof/>
          <w:color w:val="000000" w:themeColor="text1"/>
        </w:rPr>
        <w:t>Ilmnenud on suuri probleeme, eelkõige seoses prokuratuuris kohtunike ja prokuröride toimepandud süütegusid uuriva osakonna (SIIJ) loomisega, kohtunike ja prokuröride tsiviilvastutuse süsteemiga, ennetähtaegselt pensionile jäämise kavadega, kohtunike ametisse nimetamisega ning kõrgemate prokuröride staatuse ja ametisse määramisega</w:t>
      </w:r>
      <w:r>
        <w:rPr>
          <w:rStyle w:val="FootnoteReference"/>
          <w:rFonts w:eastAsia="Times New Roman" w:cs="Times New Roman"/>
          <w:noProof/>
          <w:color w:val="000000" w:themeColor="text1"/>
          <w:szCs w:val="20"/>
          <w:lang w:eastAsia="fr-FR"/>
        </w:rPr>
        <w:footnoteReference w:id="13"/>
      </w:r>
      <w:r>
        <w:rPr>
          <w:noProof/>
          <w:color w:val="000000" w:themeColor="text1"/>
        </w:rPr>
        <w:t>. Nagu on märgitud 2020. aasta aruandes õigusriigi kohta ning 2021. aasta koostöö- ja jälgimiskorra aruandes,</w:t>
      </w:r>
      <w:r>
        <w:rPr>
          <w:rStyle w:val="FootnoteReference"/>
          <w:rFonts w:eastAsia="Times New Roman" w:cs="Times New Roman"/>
          <w:noProof/>
          <w:color w:val="000000" w:themeColor="text1"/>
          <w:lang w:eastAsia="fr-FR"/>
        </w:rPr>
        <w:footnoteReference w:id="14"/>
      </w:r>
      <w:r>
        <w:rPr>
          <w:noProof/>
          <w:color w:val="000000" w:themeColor="text1"/>
        </w:rPr>
        <w:t xml:space="preserve"> kinnitas muudetud õigusaktide rakendamine peagi, et need mureküsimused ei olnud tekkinud asjata ning vahepealsetel aastatel on juurde tulnud uusi probleeme. Kuna muudetud õigusaktid on endiselt jõus, jääb mure kohtusüsteemi toimimisele avalduva kahjuliku mõju pärast püsima. Eelkõige tegutseb SIIJ endiselt ja selle toimimisega seotud tõsised probleemid püsivad,</w:t>
      </w:r>
      <w:r>
        <w:rPr>
          <w:rStyle w:val="FootnoteReference"/>
          <w:rFonts w:eastAsia="Times New Roman" w:cs="Times New Roman"/>
          <w:noProof/>
          <w:color w:val="000000" w:themeColor="text1"/>
          <w:lang w:eastAsia="fr-FR"/>
        </w:rPr>
        <w:footnoteReference w:id="15"/>
      </w:r>
      <w:r>
        <w:rPr>
          <w:noProof/>
          <w:color w:val="000000" w:themeColor="text1"/>
        </w:rPr>
        <w:t xml:space="preserve"> kuigi viimase aasta jooksul on osakond olnud vähem aktiivne. 30. septembril 2020 esitas toonane justiitsminister kuue kuu pikkuseks avalikuks konsultatsiooniks seaduseelnõud õigusemõistmist käsitlevate õigusaktide põhjalikuks muutmiseks</w:t>
      </w:r>
      <w:r>
        <w:rPr>
          <w:rStyle w:val="FootnoteReference"/>
          <w:rFonts w:eastAsia="Times New Roman" w:cs="Times New Roman"/>
          <w:noProof/>
          <w:color w:val="000000" w:themeColor="text1"/>
          <w:lang w:eastAsia="fr-FR"/>
        </w:rPr>
        <w:footnoteReference w:id="16"/>
      </w:r>
      <w:r>
        <w:rPr>
          <w:noProof/>
          <w:color w:val="000000" w:themeColor="text1"/>
        </w:rPr>
        <w:t>. Justiitsministri sõnul koostati seaduseelnõud pärast Euroopa Komisjoni</w:t>
      </w:r>
      <w:bookmarkStart w:id="3" w:name="_Hlk61345174"/>
      <w:r>
        <w:rPr>
          <w:noProof/>
          <w:color w:val="000000" w:themeColor="text1"/>
        </w:rPr>
        <w:t xml:space="preserve"> </w:t>
      </w:r>
      <w:r>
        <w:rPr>
          <w:noProof/>
        </w:rPr>
        <w:t>nõuete</w:t>
      </w:r>
      <w:bookmarkEnd w:id="3"/>
      <w:r>
        <w:rPr>
          <w:noProof/>
          <w:color w:val="000000" w:themeColor="text1"/>
        </w:rPr>
        <w:t>, koostöö- ja jälgimiskorra aruannete, GRECO aruannete ja Veneetsia komisjoni arvamuste analüüsimist. Seaduseelnõude eesmärk on leevendada 2017.–2019. aasta muudatuste kahjulikku mõju ning pakkuda lahendusi paljudele koostöö- ja jälgimiskorra aruannetes välja toodud probleemidele, eelkõige seoses SIIJi tegevuse lõpetamisega, prokuröride ametialase sõltumatuse suurendamisega, tunnistades kehtetuks 2018. aastal muudetud õigusnormid, ning seoses kohtunike tsiviilvastutuse, kohtunike väljendusvabaduse piirangute ning prokuröride ametist vabastamise ja ametisse nimetamise korraga juhtivate ametikohtade puhul. 2021. aasta jaanuaris võttis valitsus vastu memorandumi, milles väljendatakse poliitilist tahet järgida kõiki koostöö- ja jälgimiskorra seni ellu viimata soovitusi. Memorandumis esitatud kavad hõlmavad seaduseelnõu, millega kaotatakse kohtusüsteemis toimepandud kuritegude uurimise osakond (SIIJ), ning muudatuste tegemist õigusemõistmist käsitlevates õigusaktides; seega on mõlemad otseselt seotud koostöö- ja jälgimiskorra soovitustega. Avaliku konsultatsiooni lõpus ja pärast hulka arutelusid kohtutega saatis praegune justiitsminister 29. märtsil 2021 kolm muudetud seaduseelnõud arvamuse saamiseks kõrgemale kohtunike nõukogule. Justiitsminister kohustus saatma seaduseelnõud samal ajal kui, need saadetakse parlamenti, arvamuse saamiseks Veneetsia komisjonile. On oluline, et nende seadusemuudatustega kaitstaks kohtusüsteemi sõltumatust kooskõlas liidu õigusega ning võttes arvesse Euroopa Nõukogu soovitusi.</w:t>
      </w:r>
      <w:r>
        <w:rPr>
          <w:noProof/>
        </w:rPr>
        <w:t xml:space="preserve"> Üks oluline verstapost on Euroopa Kohtu 18. mai 2021. aasta otsus, milles kaaluti mitut õigusemõistmist käsitleva õigusakti sätet, pidades silmas Euroopa Liidu lepingu artiklit 2 ja artikli 19 lõiget 1 ning koostöö- ja jälgimiskorra otsust, eelkõige seoses SIIJiga, ajutiselt (</w:t>
      </w:r>
      <w:r>
        <w:rPr>
          <w:i/>
          <w:noProof/>
          <w:szCs w:val="24"/>
        </w:rPr>
        <w:t>ad interim</w:t>
      </w:r>
      <w:r>
        <w:rPr>
          <w:noProof/>
        </w:rPr>
        <w:t>) kohtuinspektsiooni juhtivatele ametikohtadele ametisse nimetamiste ning ka kohtuniku isikliku vastutusega temapoolse kohtuvea korral</w:t>
      </w:r>
      <w:r>
        <w:rPr>
          <w:rFonts w:eastAsia="Calibri" w:cs="Times New Roman"/>
          <w:noProof/>
          <w:szCs w:val="24"/>
          <w:vertAlign w:val="superscript"/>
        </w:rPr>
        <w:footnoteReference w:id="17"/>
      </w:r>
      <w:r>
        <w:rPr>
          <w:noProof/>
        </w:rPr>
        <w:t>. Euroopa Kohus tuletas ühtlasi meelde, et liikmesriik ei saa muuta oma õigusakte, eriti kohtusüsteemi korraldust käsitlevaid õigusakte viisil, mis toob kaasa õigusriigi väärtuse kaitse nõrgenemise</w:t>
      </w:r>
      <w:r>
        <w:rPr>
          <w:rFonts w:eastAsia="Calibri" w:cs="Times New Roman"/>
          <w:noProof/>
          <w:szCs w:val="24"/>
          <w:vertAlign w:val="superscript"/>
        </w:rPr>
        <w:footnoteReference w:id="18"/>
      </w:r>
      <w:r>
        <w:rPr>
          <w:noProof/>
        </w:rPr>
        <w:t>.</w:t>
      </w:r>
    </w:p>
    <w:p>
      <w:pPr>
        <w:rPr>
          <w:rFonts w:eastAsia="Times New Roman" w:cs="Times New Roman"/>
          <w:noProof/>
          <w:color w:val="000000" w:themeColor="text1"/>
        </w:rPr>
      </w:pPr>
      <w:r>
        <w:rPr>
          <w:b/>
          <w:bCs/>
          <w:noProof/>
          <w:color w:val="000000" w:themeColor="text1"/>
        </w:rPr>
        <w:t>Parlamendis arutatakse eraldi seaduseelnõu, mille eesmärk on lõpetada kohtunike ja prokuröride toimepandud süütegusid uuriva prokuratuuri osakonna (SIIJ) tegevus</w:t>
      </w:r>
      <w:r>
        <w:rPr>
          <w:noProof/>
          <w:color w:val="000000" w:themeColor="text1"/>
        </w:rPr>
        <w:t>. Seaduseelnõu avaldati justiitsministeeriumi veebisaidil 4. veebruaril 2021. Kõrgem kohtunike nõukogu esitas 11. veebruaril 2021 seaduseelnõu kohta negatiivse arvamuse, milles ta väitis, et kohtunike võimalike kuritahtlike korruptsiooniuurimiste eest kaitsmiseks on vaja lisatagatisi</w:t>
      </w:r>
      <w:r>
        <w:rPr>
          <w:rStyle w:val="FootnoteReference"/>
          <w:rFonts w:eastAsia="Times New Roman" w:cs="Times New Roman"/>
          <w:noProof/>
          <w:color w:val="000000" w:themeColor="text1"/>
          <w:lang w:eastAsia="fr-FR"/>
        </w:rPr>
        <w:footnoteReference w:id="19"/>
      </w:r>
      <w:r>
        <w:rPr>
          <w:noProof/>
          <w:color w:val="000000" w:themeColor="text1"/>
        </w:rPr>
        <w:t>. Valitsus võttis seaduseelnõu 18. veebruaril muutmata kujul vastu ja saatis selle parlamendile. Saadikutekoda võttis 24. märtsil 2021 seaduseelnõu vastu, kuid lisas sätted, mis on tema arvates vajalikud kohtunike kaitsmiseks kuritahtlike korruptsiooniuurimiste eest, tehes ettepaneku, et</w:t>
      </w:r>
      <w:r>
        <w:rPr>
          <w:noProof/>
        </w:rPr>
        <w:t xml:space="preserve"> kohtusse saatmise heakskiidu saamise taotlus tuleks korruptsiooniga seotud kuritegude puhul esmalt saata kinnitamiseks </w:t>
      </w:r>
      <w:r>
        <w:rPr>
          <w:noProof/>
          <w:color w:val="000000" w:themeColor="text1"/>
        </w:rPr>
        <w:t>kõrgemale kohtunike nõukogule</w:t>
      </w:r>
      <w:r>
        <w:rPr>
          <w:rStyle w:val="FootnoteReference"/>
          <w:rFonts w:eastAsia="Times New Roman" w:cs="Times New Roman"/>
          <w:noProof/>
          <w:color w:val="000000" w:themeColor="text1"/>
          <w:lang w:eastAsia="fr-FR"/>
        </w:rPr>
        <w:footnoteReference w:id="20"/>
      </w:r>
      <w:r>
        <w:rPr>
          <w:noProof/>
          <w:color w:val="000000" w:themeColor="text1"/>
        </w:rPr>
        <w:t>. Seda ettepanekut kritiseerisid jõuliselt nii kodanikuühiskond, suur osa kohtunikkonnast kui ka kõrgem kohtunike nõukogu,</w:t>
      </w:r>
      <w:r>
        <w:rPr>
          <w:rStyle w:val="FootnoteReference"/>
          <w:rFonts w:eastAsia="Times New Roman" w:cs="Times New Roman"/>
          <w:noProof/>
          <w:color w:val="000000" w:themeColor="text1"/>
          <w:lang w:eastAsia="fr-FR"/>
        </w:rPr>
        <w:footnoteReference w:id="21"/>
      </w:r>
      <w:r>
        <w:rPr>
          <w:noProof/>
          <w:color w:val="000000" w:themeColor="text1"/>
        </w:rPr>
        <w:t xml:space="preserve"> kuna leiti, et see võib piirata kohtunike vastutust. Seaduseelnõu on nüüd menetluses Senatis kui otsustavas kojas. Justiitsminister palus 29. märtsil 2021 Veneetsia komisjonilt arvamust seaduseelnõu ning täpsemalt lisatagatiste kohta, et tagada kooskõla Euroopa Nõukogu standarditega. Oma 5. juuli 2021. aasta arvamuses väljendab Veneetsia komisjon heameelt Rumeenia kavatsuse üle kaotada SIIJ ning taastada eriprokuratuuride, nagu riiklik korruptsioonivastase võitluse direktoraat (DNA) ning organiseeritud kuritegevuse ja terrorismi uurimise ja nende vastu võitlemise direktoraat (DIICOT), pädevus, kuid soovitab jätta kõrvale Saadikutekoja muudatused</w:t>
      </w:r>
      <w:r>
        <w:rPr>
          <w:rStyle w:val="FootnoteReference"/>
          <w:rFonts w:eastAsia="Times New Roman" w:cs="Times New Roman"/>
          <w:noProof/>
          <w:color w:val="000000" w:themeColor="text1"/>
          <w:lang w:eastAsia="fr-FR"/>
        </w:rPr>
        <w:footnoteReference w:id="22"/>
      </w:r>
      <w:r>
        <w:rPr>
          <w:noProof/>
          <w:color w:val="000000" w:themeColor="text1"/>
        </w:rPr>
        <w:t>. Euroopa Kohus leidis oma 18. mai 2021. aasta otsuses seoses SIIJiga, et õigusaktid, mille alusel selline eriosakond luuakse, peavad olema põhjendatud objektiivsete ja kontrollitavate nõuetega, mis on seotud korrakohase õigusemõistmisega, ning tagama, et seda osakonda ei saa kasutada kohtunike ja prokuröride tegevuse poliitilise kontrolli instrumendina ning et see osakond teostab oma pädevust kooskõlas Euroopa Liidu põhiõiguste harta nõuetega</w:t>
      </w:r>
      <w:r>
        <w:rPr>
          <w:rStyle w:val="FootnoteReference"/>
          <w:rFonts w:eastAsia="Times New Roman" w:cs="Times New Roman"/>
          <w:noProof/>
          <w:color w:val="000000" w:themeColor="text1"/>
          <w:lang w:eastAsia="fr-FR"/>
        </w:rPr>
        <w:footnoteReference w:id="23"/>
      </w:r>
      <w:r>
        <w:rPr>
          <w:noProof/>
          <w:color w:val="000000" w:themeColor="text1"/>
        </w:rPr>
        <w:t>. Ühes 7. juuni 2021. aasta kohtuotsuses oli Pitești apellatsioonikohus esimene eelotsusetaotluse esitanud kohus, kes kohaldas Euroopa Kohtu otsust, leides, et SIIJi olemasolu ei ole põhjendatud objektiivsete ja kontrollitavate nõuetega, mis on seotud korrakohase õigusemõistmisega, ning et osakond ei ole seega pädev talle esitatud juhtumit uurima</w:t>
      </w:r>
      <w:r>
        <w:rPr>
          <w:rStyle w:val="FootnoteReference"/>
          <w:rFonts w:eastAsia="Times New Roman" w:cs="Times New Roman"/>
          <w:noProof/>
          <w:color w:val="000000" w:themeColor="text1"/>
          <w:lang w:eastAsia="fr-FR"/>
        </w:rPr>
        <w:footnoteReference w:id="24"/>
      </w:r>
      <w:r>
        <w:rPr>
          <w:noProof/>
          <w:color w:val="000000" w:themeColor="text1"/>
        </w:rPr>
        <w:t xml:space="preserve">. </w:t>
      </w:r>
      <w:r>
        <w:rPr>
          <w:noProof/>
        </w:rPr>
        <w:t>On oluline, et käimasolev õigusreform, mille eesmärk on kaotada SIIJ ja taastada eriprokuratuuride sisuline pädevus pooleliolevate kohtuasjade puhul, viidaks ellu kooskõlas liidu õigusega, eelkõige Euroopa Kohtu otsusega,</w:t>
      </w:r>
      <w:r>
        <w:rPr>
          <w:rStyle w:val="FootnoteReference"/>
          <w:noProof/>
          <w:szCs w:val="24"/>
        </w:rPr>
        <w:footnoteReference w:id="25"/>
      </w:r>
      <w:r>
        <w:rPr>
          <w:noProof/>
        </w:rPr>
        <w:t xml:space="preserve"> ning võttes arvesse Euroopa standardeid. </w:t>
      </w:r>
    </w:p>
    <w:p>
      <w:pPr>
        <w:spacing w:after="120"/>
        <w:rPr>
          <w:rFonts w:eastAsia="Times New Roman" w:cs="Times New Roman"/>
          <w:noProof/>
          <w:color w:val="000000" w:themeColor="text1"/>
        </w:rPr>
      </w:pPr>
      <w:r>
        <w:rPr>
          <w:b/>
          <w:bCs/>
          <w:noProof/>
          <w:color w:val="000000" w:themeColor="text1"/>
        </w:rPr>
        <w:t xml:space="preserve">Euroopa Kohus tegi eelotsuse kohtunike ja prokuröride tsiviilvastutuse kohta. </w:t>
      </w:r>
      <w:r>
        <w:rPr>
          <w:noProof/>
          <w:color w:val="000000" w:themeColor="text1"/>
        </w:rPr>
        <w:t>Õigusriigi olukorda käsitlevas 2020. aasta aruandes</w:t>
      </w:r>
      <w:r>
        <w:rPr>
          <w:rStyle w:val="FootnoteReference"/>
          <w:rFonts w:eastAsia="Times New Roman" w:cs="Times New Roman"/>
          <w:noProof/>
          <w:color w:val="000000" w:themeColor="text1"/>
          <w:lang w:eastAsia="fr-FR"/>
        </w:rPr>
        <w:footnoteReference w:id="26"/>
      </w:r>
      <w:r>
        <w:rPr>
          <w:noProof/>
          <w:color w:val="000000" w:themeColor="text1"/>
        </w:rPr>
        <w:t xml:space="preserve"> mainiti probleeme seoses tsiviilvastutusele võtmise korraga, mis kehtestati 2017.–2019. aasta õigusemõistmist käsitlevate õigusaktidega, eelkõige seoses rahandusministeeriumile antud volitustega selles kontekstis</w:t>
      </w:r>
      <w:r>
        <w:rPr>
          <w:rFonts w:eastAsia="Times New Roman" w:cs="Times New Roman"/>
          <w:noProof/>
          <w:color w:val="000000" w:themeColor="text1"/>
          <w:szCs w:val="20"/>
          <w:vertAlign w:val="superscript"/>
          <w:lang w:eastAsia="fr-FR"/>
        </w:rPr>
        <w:footnoteReference w:id="27"/>
      </w:r>
      <w:r>
        <w:rPr>
          <w:noProof/>
          <w:color w:val="000000" w:themeColor="text1"/>
        </w:rPr>
        <w:t>, kuna normid võimaldavad rahandusministeeriumil hinnata, kas kohtuniku eksimus on pahauskne või raske hooletuse tagajärg, ning seejärel nõuda kohtunikult tema tehtud otsustega põhjustatud kahju hüvitamist. Euroopa Nõukogu märkis, et kõnealune uus kord võib mõjuda kohtunikele ja prokuröridele heidutavalt, eriti koos prokuratuuris sellise osakonna loomisega, mis uurib kohtunike ja prokuröride toimepandud süütegusid</w:t>
      </w:r>
      <w:r>
        <w:rPr>
          <w:rFonts w:eastAsia="Times New Roman" w:cs="Times New Roman"/>
          <w:noProof/>
          <w:color w:val="000000" w:themeColor="text1"/>
          <w:szCs w:val="20"/>
          <w:vertAlign w:val="superscript"/>
          <w:lang w:eastAsia="fr-FR"/>
        </w:rPr>
        <w:footnoteReference w:id="28"/>
      </w:r>
      <w:r>
        <w:rPr>
          <w:noProof/>
          <w:color w:val="000000" w:themeColor="text1"/>
        </w:rPr>
        <w:t>. Oma 18. mai 2021. aasta otsuses asus Euroopa Kohus kohtunike tsiviilvastutusele võtmise korra asjus seisukohale,</w:t>
      </w:r>
      <w:r>
        <w:rPr>
          <w:rFonts w:eastAsia="Times New Roman" w:cs="Times New Roman"/>
          <w:noProof/>
          <w:color w:val="000000" w:themeColor="text1"/>
          <w:szCs w:val="20"/>
          <w:vertAlign w:val="superscript"/>
          <w:lang w:eastAsia="fr-FR"/>
        </w:rPr>
        <w:footnoteReference w:id="29"/>
      </w:r>
      <w:r>
        <w:rPr>
          <w:noProof/>
          <w:color w:val="000000" w:themeColor="text1"/>
        </w:rPr>
        <w:t xml:space="preserve"> et selles korras peavad olema selgelt ja täpselt ette nähtud vajalikud tagatised, mis garanteerivad, et ei uurimist ega regressihagi ei saa muuta kohtutegevusele surve avaldamise vahenditeks</w:t>
      </w:r>
      <w:r>
        <w:rPr>
          <w:rStyle w:val="FootnoteReference"/>
          <w:noProof/>
          <w:color w:val="000000" w:themeColor="text1"/>
        </w:rPr>
        <w:footnoteReference w:id="30"/>
      </w:r>
      <w:r>
        <w:rPr>
          <w:noProof/>
          <w:color w:val="000000" w:themeColor="text1"/>
        </w:rPr>
        <w:t xml:space="preserve">. 2021. aasta märtsi uute õigusemõistmist käsitlevate õigusaktide eelnõudes, mille kohta justiitsminister palus kõrgema kohtunike nõukogu arvamust, tehakse ettepanek muuta kohtunike ja prokuröride tsiviilvastutust käsitlevaid sätteid. </w:t>
      </w:r>
      <w:r>
        <w:rPr>
          <w:noProof/>
        </w:rPr>
        <w:t>On oluline, et kavandatud muudatused kajastaksid nõuetekohaselt Euroopa Kohtu otsust ja et neis võetaks arvesse asjakohaseid Euroopa standardeid</w:t>
      </w:r>
      <w:r>
        <w:rPr>
          <w:rStyle w:val="FootnoteReference"/>
          <w:noProof/>
          <w:szCs w:val="24"/>
        </w:rPr>
        <w:footnoteReference w:id="31"/>
      </w:r>
      <w:r>
        <w:rPr>
          <w:noProof/>
        </w:rPr>
        <w:t xml:space="preserve">. </w:t>
      </w:r>
    </w:p>
    <w:p>
      <w:pPr>
        <w:rPr>
          <w:rFonts w:eastAsia="Times New Roman" w:cs="Times New Roman"/>
          <w:b/>
          <w:bCs/>
          <w:noProof/>
          <w:color w:val="000000" w:themeColor="text1"/>
        </w:rPr>
      </w:pPr>
      <w:r>
        <w:rPr>
          <w:b/>
          <w:bCs/>
          <w:noProof/>
          <w:color w:val="000000" w:themeColor="text1"/>
        </w:rPr>
        <w:t xml:space="preserve">Õigusemõistmist käsitlevate õigusaktide eelnõud sisaldavad muudatusi kohtunike uurimisorgani juhtkonna ametisse nimetamist ja vastutust reguleerivates eeskirjades. </w:t>
      </w:r>
      <w:r>
        <w:rPr>
          <w:noProof/>
          <w:color w:val="000000" w:themeColor="text1"/>
        </w:rPr>
        <w:t>Euroopa Kohus uuris, kas valitsuse voli nimetada isikuid ajutiselt ametisse juhtivatele ametikohtadele kohtunike uurimisorganis, mis vastutab kohtunike ja prokuröride suhtes distsiplinaarmenetluste läbiviimise eest, on kooskõlas Euroopa Liidu lepingu artikliga 2 ja artikli 19 lõikega 1. Euroopa Kohus leidis oma 18. mai 2021. aasta kohtuotsuses, et kuna kohtunike uurimisorgani juhtivatel ametikohtadel töötavad isikud võivad selle organi tegevust otsustavalt mõjutada, tuleb nendele ametikohtadele nimetamise menetlust reguleerivaid norme mõista nii, et need ei või tekitada põhjendatud kahtlusi, et kõnealuse organi pädevust ja ülesandeid kasutatakse kohtumõistmisele surve avaldamise või kohtumõistmise üle poliitilise kontrolli tegemise vahendina</w:t>
      </w:r>
      <w:r>
        <w:rPr>
          <w:rStyle w:val="FootnoteReference"/>
          <w:rFonts w:eastAsia="Times New Roman" w:cs="Times New Roman"/>
          <w:noProof/>
          <w:color w:val="000000" w:themeColor="text1"/>
          <w:lang w:eastAsia="fr-FR"/>
        </w:rPr>
        <w:footnoteReference w:id="32"/>
      </w:r>
      <w:r>
        <w:rPr>
          <w:noProof/>
          <w:color w:val="000000" w:themeColor="text1"/>
        </w:rPr>
        <w:t>. Viimastel aastatel on kohtuasutused, sealhulgas kõrgem kohtunike nõukogu ise, väljendanud muret seoses kohtunike uurimisorgani puuduliku vastutusega, osutades uurimisorgani esitatud ja kohtus lõpuks tagasilükatud juhtumite suurele osakaalule, otsuste tegemise ulatuslikule koondumisele peainspektorile</w:t>
      </w:r>
      <w:r>
        <w:rPr>
          <w:rFonts w:eastAsia="Times New Roman" w:cs="Times New Roman"/>
          <w:noProof/>
          <w:color w:val="000000" w:themeColor="text1"/>
          <w:vertAlign w:val="superscript"/>
          <w:lang w:eastAsia="fr-FR"/>
        </w:rPr>
        <w:footnoteReference w:id="33"/>
      </w:r>
      <w:r>
        <w:rPr>
          <w:noProof/>
          <w:color w:val="000000" w:themeColor="text1"/>
        </w:rPr>
        <w:t xml:space="preserve"> ja kõrgema kohtunike nõukogu üle teostatava järelevalve piiratusele</w:t>
      </w:r>
      <w:r>
        <w:rPr>
          <w:rFonts w:eastAsia="Times New Roman" w:cs="Times New Roman"/>
          <w:noProof/>
          <w:color w:val="000000" w:themeColor="text1"/>
          <w:vertAlign w:val="superscript"/>
          <w:lang w:eastAsia="fr-FR"/>
        </w:rPr>
        <w:footnoteReference w:id="34"/>
      </w:r>
      <w:r>
        <w:rPr>
          <w:noProof/>
          <w:color w:val="000000" w:themeColor="text1"/>
        </w:rPr>
        <w:t>.</w:t>
      </w:r>
      <w:r>
        <w:rPr>
          <w:b/>
          <w:bCs/>
          <w:noProof/>
          <w:color w:val="000000" w:themeColor="text1"/>
        </w:rPr>
        <w:t xml:space="preserve"> </w:t>
      </w:r>
      <w:r>
        <w:rPr>
          <w:noProof/>
          <w:color w:val="000000" w:themeColor="text1"/>
        </w:rPr>
        <w:t>Õigusemõistmist käsitlevate õigusaktide uute 2021. aasta märtsi eelnõudega, mille kohta justiitsminister palus kõrgema kohtunike nõukogu arvamust, tehakse ettepanek muuta sätteid, mis käsitlevad peainspektorite ja peainspektori asetäitjate ametisse nimetamist, samuti kohtunike uurimisorgani tegevuse suhtes rakendatavaid kontrollimehhanisme.</w:t>
      </w:r>
    </w:p>
    <w:p>
      <w:pPr>
        <w:pBdr>
          <w:top w:val="nil"/>
          <w:left w:val="nil"/>
          <w:bottom w:val="nil"/>
          <w:right w:val="nil"/>
          <w:between w:val="nil"/>
          <w:bar w:val="nil"/>
        </w:pBdr>
        <w:spacing w:after="120"/>
        <w:rPr>
          <w:rFonts w:eastAsia="Calibri" w:cs="Times New Roman"/>
          <w:b/>
          <w:bCs/>
          <w:noProof/>
          <w:color w:val="000000" w:themeColor="text1"/>
        </w:rPr>
      </w:pPr>
      <w:r>
        <w:rPr>
          <w:b/>
          <w:bCs/>
          <w:noProof/>
          <w:color w:val="000000" w:themeColor="text1"/>
        </w:rPr>
        <w:t xml:space="preserve">Osana õigusemõistmist käsitlevate õigusaktide muutmisest vaadatakse läbi kõrgemate prokuröride ametisse nimetamise menetlus. </w:t>
      </w:r>
      <w:r>
        <w:rPr>
          <w:noProof/>
          <w:color w:val="000000" w:themeColor="text1"/>
        </w:rPr>
        <w:t>Nagu toonitati 2020. aasta aruandes õigusriigi kohta,</w:t>
      </w:r>
      <w:r>
        <w:rPr>
          <w:rStyle w:val="FootnoteReference"/>
          <w:rFonts w:eastAsia="Times New Roman" w:cs="Times New Roman"/>
          <w:noProof/>
          <w:color w:val="000000" w:themeColor="text1"/>
          <w:lang w:eastAsia="fr-FR"/>
        </w:rPr>
        <w:footnoteReference w:id="35"/>
      </w:r>
      <w:r>
        <w:rPr>
          <w:noProof/>
          <w:color w:val="000000" w:themeColor="text1"/>
        </w:rPr>
        <w:t xml:space="preserve"> koostöö- ja jälgimiskorra aruannetes</w:t>
      </w:r>
      <w:r>
        <w:rPr>
          <w:rStyle w:val="FootnoteReference"/>
          <w:rFonts w:eastAsia="Times New Roman" w:cs="Times New Roman"/>
          <w:noProof/>
          <w:color w:val="000000" w:themeColor="text1"/>
          <w:lang w:eastAsia="fr-FR"/>
        </w:rPr>
        <w:footnoteReference w:id="36"/>
      </w:r>
      <w:r>
        <w:rPr>
          <w:noProof/>
          <w:color w:val="000000" w:themeColor="text1"/>
        </w:rPr>
        <w:t xml:space="preserve"> ja Veneetsia komisjoni mitmes arvamuses,</w:t>
      </w:r>
      <w:r>
        <w:rPr>
          <w:rStyle w:val="FootnoteReference"/>
          <w:rFonts w:eastAsia="Times New Roman" w:cs="Times New Roman"/>
          <w:noProof/>
          <w:color w:val="000000" w:themeColor="text1"/>
          <w:lang w:eastAsia="fr-FR"/>
        </w:rPr>
        <w:footnoteReference w:id="37"/>
      </w:r>
      <w:r>
        <w:rPr>
          <w:noProof/>
          <w:color w:val="000000" w:themeColor="text1"/>
        </w:rPr>
        <w:t xml:space="preserve"> valmistab praegustes õigusnormides endiselt muret tasakaal seoses erinevate institutsioonide mõjuga ametisse nimetamise protsessile ja võimu koondumisega justiitsministrile. 2020. aastal nimetati kolmest kõrgemast prokurörist ametisse kaks, hoolimata kõrgema kohtunike nõukogu negatiivsest arvamusest</w:t>
      </w:r>
      <w:r>
        <w:rPr>
          <w:rStyle w:val="FootnoteReference"/>
          <w:rFonts w:eastAsia="Times New Roman" w:cs="Times New Roman"/>
          <w:noProof/>
          <w:color w:val="000000" w:themeColor="text1"/>
          <w:lang w:eastAsia="fr-FR"/>
        </w:rPr>
        <w:footnoteReference w:id="38"/>
      </w:r>
      <w:r>
        <w:rPr>
          <w:noProof/>
          <w:color w:val="000000" w:themeColor="text1"/>
        </w:rPr>
        <w:t>. Õigusemõistmist käsitlevate õigusaktide uute eelnõudega, mida praegu ette valmistatakse, püüab justiitsminister neid probleeme lahendada, tehes ettepaneku muuta ametisse nimetamise menetlust. Eelkõige tehakse uutes eelnõudes ettepanek tugevdada kõrgema kohtunike nõukogu rolli</w:t>
      </w:r>
      <w:r>
        <w:rPr>
          <w:noProof/>
        </w:rPr>
        <w:t>, kehtestades nõude, et kõrgema kohtunike nõukogu prokuröride kolleegium</w:t>
      </w:r>
      <w:r>
        <w:rPr>
          <w:noProof/>
          <w:color w:val="000000" w:themeColor="text1"/>
        </w:rPr>
        <w:t xml:space="preserve"> peab esitama siduva arvamuse kavandatava ametisse nimetamise kohta; samuti tehakse ettepanek anda presidendile võimalus keelduda ametisse nimetamisest ühe korra asemel mis tahes arv kordi, nagu soovitas Veneetsia komisjon</w:t>
      </w:r>
      <w:r>
        <w:rPr>
          <w:rStyle w:val="FootnoteReference"/>
          <w:rFonts w:eastAsia="Calibri" w:cs="Times New Roman"/>
          <w:noProof/>
          <w:color w:val="000000" w:themeColor="text1"/>
        </w:rPr>
        <w:footnoteReference w:id="39"/>
      </w:r>
      <w:r>
        <w:rPr>
          <w:noProof/>
          <w:color w:val="000000" w:themeColor="text1"/>
        </w:rPr>
        <w:t>.</w:t>
      </w:r>
    </w:p>
    <w:p>
      <w:pPr>
        <w:spacing w:after="120"/>
        <w:rPr>
          <w:rFonts w:eastAsia="Times New Roman" w:cs="Times New Roman"/>
          <w:noProof/>
          <w:color w:val="000000" w:themeColor="text1"/>
        </w:rPr>
      </w:pPr>
      <w:r>
        <w:rPr>
          <w:b/>
          <w:bCs/>
          <w:noProof/>
          <w:color w:val="000000" w:themeColor="text1"/>
        </w:rPr>
        <w:t xml:space="preserve">Kõrgemate prokuröride ametist vabastamise menetlust tuleb pärast Euroopa Inimõiguste Kohtu otsust muuta. </w:t>
      </w:r>
      <w:r>
        <w:rPr>
          <w:noProof/>
          <w:color w:val="000000" w:themeColor="text1"/>
        </w:rPr>
        <w:t>5. mail 2020 leidis Euroopa Inimõiguste Kohus, et endisele juhtivprokurörile ei antud võimalust kohtus tõhusalt vaidlustada oma ametist kõrvaldamise põhjuseid</w:t>
      </w:r>
      <w:r>
        <w:rPr>
          <w:rFonts w:eastAsia="Times New Roman" w:cs="Times New Roman"/>
          <w:noProof/>
          <w:color w:val="000000" w:themeColor="text1"/>
          <w:vertAlign w:val="superscript"/>
          <w:lang w:eastAsia="fr-FR"/>
        </w:rPr>
        <w:footnoteReference w:id="40"/>
      </w:r>
      <w:r>
        <w:rPr>
          <w:noProof/>
          <w:color w:val="000000" w:themeColor="text1"/>
        </w:rPr>
        <w:t>. Õigusemõistmist käsitlevate õigusaktide muudatuste eelnõudes</w:t>
      </w:r>
      <w:r>
        <w:rPr>
          <w:rStyle w:val="FootnoteReference"/>
          <w:rFonts w:eastAsia="Times New Roman" w:cs="Times New Roman"/>
          <w:noProof/>
          <w:color w:val="000000" w:themeColor="text1"/>
          <w:lang w:eastAsia="fr-FR"/>
        </w:rPr>
        <w:footnoteReference w:id="41"/>
      </w:r>
      <w:r>
        <w:rPr>
          <w:noProof/>
          <w:color w:val="000000" w:themeColor="text1"/>
        </w:rPr>
        <w:t xml:space="preserve"> on kõrgemate prokuröride ametist vabastamise menetlusele lisatud halduskohtus läbivaatamise menetlus</w:t>
      </w:r>
      <w:r>
        <w:rPr>
          <w:rStyle w:val="FootnoteReference"/>
          <w:rFonts w:eastAsia="Times New Roman" w:cs="Times New Roman"/>
          <w:noProof/>
          <w:color w:val="000000" w:themeColor="text1"/>
          <w:lang w:eastAsia="fr-FR"/>
        </w:rPr>
        <w:footnoteReference w:id="42"/>
      </w:r>
      <w:r>
        <w:rPr>
          <w:noProof/>
          <w:color w:val="000000" w:themeColor="text1"/>
        </w:rPr>
        <w:t>. Valitsus esitas oma tegevuskava kohtuotsuse täitmiseks 2021. aasta veebruaris ning Euroopa Nõukogu ministrite komitee hindas selle rakendamist 2021. aasta juunis</w:t>
      </w:r>
      <w:r>
        <w:rPr>
          <w:rStyle w:val="FootnoteReference"/>
          <w:rFonts w:eastAsia="Times New Roman" w:cs="Times New Roman"/>
          <w:noProof/>
          <w:color w:val="000000" w:themeColor="text1"/>
          <w:lang w:eastAsia="fr-FR"/>
        </w:rPr>
        <w:footnoteReference w:id="43"/>
      </w:r>
      <w:r>
        <w:rPr>
          <w:noProof/>
          <w:color w:val="000000" w:themeColor="text1"/>
        </w:rPr>
        <w:t>.</w:t>
      </w:r>
    </w:p>
    <w:p>
      <w:pPr>
        <w:pStyle w:val="Heading2"/>
        <w:rPr>
          <w:noProof/>
          <w:color w:val="000000" w:themeColor="text1"/>
        </w:rPr>
      </w:pPr>
      <w:r>
        <w:rPr>
          <w:noProof/>
          <w:color w:val="000000" w:themeColor="text1"/>
        </w:rPr>
        <w:t xml:space="preserve">Kvaliteet </w:t>
      </w:r>
    </w:p>
    <w:p>
      <w:pPr>
        <w:rPr>
          <w:rFonts w:eastAsia="Times New Roman" w:cs="Times New Roman"/>
          <w:noProof/>
        </w:rPr>
      </w:pPr>
      <w:r>
        <w:rPr>
          <w:b/>
          <w:bCs/>
          <w:noProof/>
          <w:color w:val="000000" w:themeColor="text1"/>
        </w:rPr>
        <w:t>Kohtusüsteemis valmistab järjest enam muret personalipuudus</w:t>
      </w:r>
      <w:r>
        <w:rPr>
          <w:noProof/>
          <w:color w:val="000000" w:themeColor="text1"/>
        </w:rPr>
        <w:t>. 2020. aasta detsembris oli endiselt täitmata ligi 10 % kohtunikukohtadest ja ligi 16 % prokurörikohtadest</w:t>
      </w:r>
      <w:r>
        <w:rPr>
          <w:rStyle w:val="FootnoteReference"/>
          <w:rFonts w:eastAsia="Times New Roman" w:cs="Times New Roman"/>
          <w:noProof/>
          <w:color w:val="000000" w:themeColor="text1"/>
          <w:lang w:eastAsia="fr-FR"/>
        </w:rPr>
        <w:footnoteReference w:id="44"/>
      </w:r>
      <w:r>
        <w:rPr>
          <w:noProof/>
          <w:color w:val="000000" w:themeColor="text1"/>
        </w:rPr>
        <w:t xml:space="preserve"> ning sellel on mõju ka kohtusüsteemi tõhususele. Kuigi parlament tühistas 2021. aasta märtsis nii Veneetsia komisjoni kui ka GRECO soovitustel alusel kohtunike ennetähtaegselt pensionile jäämise kava, mis oli kehtestatud 2018. aastal ja mis võimaldas pärast 20-aastast teenistust pensionile jääda, jäi 2020. aastal pensionile ligi 300 kohtunikku</w:t>
      </w:r>
      <w:r>
        <w:rPr>
          <w:rStyle w:val="FootnoteReference"/>
          <w:rFonts w:eastAsia="Times New Roman" w:cs="Times New Roman"/>
          <w:noProof/>
          <w:color w:val="000000" w:themeColor="text1"/>
          <w:lang w:eastAsia="fr-FR"/>
        </w:rPr>
        <w:footnoteReference w:id="45"/>
      </w:r>
      <w:r>
        <w:rPr>
          <w:noProof/>
          <w:color w:val="000000" w:themeColor="text1"/>
        </w:rPr>
        <w:t xml:space="preserve"> ja 2021. aasta esimeses kvartalis ligi 150 kohtunikku,</w:t>
      </w:r>
      <w:r>
        <w:rPr>
          <w:rStyle w:val="FootnoteReference"/>
          <w:rFonts w:eastAsia="Times New Roman" w:cs="Times New Roman"/>
          <w:noProof/>
          <w:color w:val="000000" w:themeColor="text1"/>
          <w:lang w:eastAsia="fr-FR"/>
        </w:rPr>
        <w:footnoteReference w:id="46"/>
      </w:r>
      <w:r>
        <w:rPr>
          <w:noProof/>
          <w:color w:val="000000" w:themeColor="text1"/>
        </w:rPr>
        <w:t xml:space="preserve"> mis suurendas veelgi personalipuudust. Konstitutsioonikohtu otsus, millega tunnistati põhiseadusevastaseks säte, mille kohaselt kõrgem kohtunike nõukogu peab heaks kiitma kohtunikukonkursi korralduse ja elluviimise eeskirjad,</w:t>
      </w:r>
      <w:r>
        <w:rPr>
          <w:rStyle w:val="FootnoteReference"/>
          <w:rFonts w:eastAsia="Times New Roman" w:cs="Times New Roman"/>
          <w:noProof/>
          <w:color w:val="000000" w:themeColor="text1"/>
          <w:lang w:eastAsia="fr-FR"/>
        </w:rPr>
        <w:footnoteReference w:id="47"/>
      </w:r>
      <w:r>
        <w:rPr>
          <w:noProof/>
          <w:color w:val="000000" w:themeColor="text1"/>
        </w:rPr>
        <w:t xml:space="preserve"> tekitas õigusliku lünga, mille tõttu ei korraldatud 2020. aastal ühtegi konkurssi uute kohtunike värbamiseks. Selle õigusliku lünga täitmiseks esitas justiitsministeerium 22. juunil 2020 avalikule arutelule riiklikku kohtunike instituuti vastuvõttu käsitleva seaduseelnõu, mille Senat võttis vastu 3. veebruaril 2021. Siiski tunnistas konstitutsioonikohus parlamendiliikmete rühma eelneva taotluse alusel kõnealuse seaduse põhiseadusega vastuolus olevaks</w:t>
      </w:r>
      <w:r>
        <w:rPr>
          <w:rStyle w:val="FootnoteReference"/>
          <w:rFonts w:eastAsia="Times New Roman" w:cs="Times New Roman"/>
          <w:noProof/>
          <w:color w:val="000000" w:themeColor="text1"/>
          <w:lang w:eastAsia="fr-FR"/>
        </w:rPr>
        <w:footnoteReference w:id="48"/>
      </w:r>
      <w:r>
        <w:rPr>
          <w:noProof/>
          <w:color w:val="000000" w:themeColor="text1"/>
        </w:rPr>
        <w:t>. Selle tulemusena ei võimaldanud kehtivad õigusaktid korraldada kohtunikukonkursse ning see tõi kaasa uusi viivitusi uute töötajate värbamisel ning kohtunike ja prokuröride töökoormuse suurenemise, mis omakorda suurendas survet kohtunikele ja prokuröridele ning mõjutas õigusemõistmise kvaliteeti ja tõhusust</w:t>
      </w:r>
      <w:r>
        <w:rPr>
          <w:rStyle w:val="FootnoteReference"/>
          <w:rFonts w:eastAsia="Times New Roman" w:cs="Times New Roman"/>
          <w:noProof/>
          <w:lang w:eastAsia="fr-FR"/>
        </w:rPr>
        <w:footnoteReference w:id="49"/>
      </w:r>
      <w:r>
        <w:rPr>
          <w:noProof/>
        </w:rPr>
        <w:t>. Uue seadusega, mille parlament võttis vastu 28. juunil 2021, kaotati eespool nimetatud õiguslik lünk ning tänu sellele on 2021. ja 2022. aastal võimalik korraldada kohtunikukonkursse. 14. juuli 2021. aasta otsusega tunnistas konstitutsioonikohus põhiseadusevastaseks selle seaduse sätted, mis oleksid vähendanud DNA ja DIICOTi prokurörikonkurssidel osalemiseks vajalikku ametis oldud aega kümnelt aastalt seitsmele aastale.</w:t>
      </w:r>
    </w:p>
    <w:p>
      <w:pPr>
        <w:rPr>
          <w:rFonts w:eastAsia="Times New Roman" w:cs="Times New Roman"/>
          <w:noProof/>
          <w:color w:val="000000" w:themeColor="text1"/>
        </w:rPr>
      </w:pPr>
      <w:r>
        <w:rPr>
          <w:b/>
          <w:bCs/>
          <w:noProof/>
          <w:color w:val="000000" w:themeColor="text1"/>
        </w:rPr>
        <w:t>Strateegiline kohtute juhtkond ei ole suutnud tulemuslikult tegutseda</w:t>
      </w:r>
      <w:r>
        <w:rPr>
          <w:noProof/>
          <w:color w:val="000000" w:themeColor="text1"/>
        </w:rPr>
        <w:t>.</w:t>
      </w:r>
      <w:r>
        <w:rPr>
          <w:b/>
          <w:bCs/>
          <w:noProof/>
          <w:color w:val="000000" w:themeColor="text1"/>
        </w:rPr>
        <w:t xml:space="preserve"> </w:t>
      </w:r>
      <w:r>
        <w:rPr>
          <w:noProof/>
          <w:color w:val="000000" w:themeColor="text1"/>
        </w:rPr>
        <w:t>See moodustati 2017. aastal eesmärgiga käsitleda kohtusüsteemi jaoks olulisi strateegilisi küsimusi, tuues kokku peamised kohtusüsteemi toimimise eest vastutavad institutsioonid</w:t>
      </w:r>
      <w:r>
        <w:rPr>
          <w:rStyle w:val="FootnoteReference"/>
          <w:rFonts w:eastAsia="Times New Roman" w:cs="Times New Roman"/>
          <w:noProof/>
          <w:color w:val="000000" w:themeColor="text1"/>
          <w:lang w:eastAsia="fr-FR"/>
        </w:rPr>
        <w:footnoteReference w:id="50"/>
      </w:r>
      <w:r>
        <w:rPr>
          <w:noProof/>
          <w:color w:val="000000" w:themeColor="text1"/>
        </w:rPr>
        <w:t>. Koostöö- ja jälgimiskorra 2021. aasta aruanne kinnitas varasemaid järeldusi, et strateegiline kohtute juhtkond ei olnud kavandatud viisil toiminud ning et tegevuskava jäi suures osas rakendamata</w:t>
      </w:r>
      <w:r>
        <w:rPr>
          <w:rStyle w:val="FootnoteReference"/>
          <w:rFonts w:cs="Times New Roman"/>
          <w:noProof/>
          <w:color w:val="000000" w:themeColor="text1"/>
        </w:rPr>
        <w:footnoteReference w:id="51"/>
      </w:r>
      <w:r>
        <w:rPr>
          <w:noProof/>
          <w:color w:val="000000" w:themeColor="text1"/>
        </w:rPr>
        <w:t>. Kuigi 2019. aasta lõpus toimus mitu strateegilise kohtute juhtkonna koosolekut ning professionaalne institutsiooniline koostöö sai jätkuda, ei saavutatud käegakatsutavaid tulemusi. 2021. aasta alguses alustas justiitsminister uuesti koosolekute kokkukutsumist ning toimusid esimesed arutelud strateegilise kohtute juhtkonna toimimise ja 2021.–2022. aasta inimressursside strateegia üle.</w:t>
      </w:r>
    </w:p>
    <w:p>
      <w:pPr>
        <w:rPr>
          <w:noProof/>
        </w:rPr>
      </w:pPr>
      <w:r>
        <w:rPr>
          <w:b/>
          <w:bCs/>
          <w:noProof/>
          <w:color w:val="000000" w:themeColor="text1"/>
        </w:rPr>
        <w:t>Konstitutsioonikohus leidis, et kriminaalasjades tehtud kohtuotsused peavad olema nende väljakuulutamise ajal faktiliselt ja õiguslikult põhjendatud</w:t>
      </w:r>
      <w:r>
        <w:rPr>
          <w:noProof/>
          <w:color w:val="000000" w:themeColor="text1"/>
        </w:rPr>
        <w:t>. Kriminaalmenetluse seadustiku sätted võimaldasid koostada sellised kohtuotsused hiljemalt 30 päeva jooksul pärast nende väljakuulutamist, mis tõi kaasa olukorra, kus lõplik kohtuotsus tuli täita, samas kui süüdimõistetu ei olnud veel teadlik karistuse põhjustest. 7. aprillil 2021 leidis konstitutsioonikohus, et kriminaalasjas tehtud kohtuotsuse koostamine pärast selle väljakuulutamist jätab süüdimõistetud isiku ilma õigusest kaitsele ja õigusest õiglasele kohtumenetlusele</w:t>
      </w:r>
      <w:r>
        <w:rPr>
          <w:rStyle w:val="FootnoteReference"/>
          <w:rFonts w:eastAsia="Times New Roman" w:cs="Times New Roman"/>
          <w:noProof/>
          <w:color w:val="000000" w:themeColor="text1"/>
          <w:lang w:eastAsia="fr-FR"/>
        </w:rPr>
        <w:footnoteReference w:id="52"/>
      </w:r>
      <w:r>
        <w:rPr>
          <w:noProof/>
          <w:color w:val="000000" w:themeColor="text1"/>
        </w:rPr>
        <w:t>. Seda erinevust otsuste ja põhjenduste esitamise aegade vahel on juba rõhutatud pikaajalise probleemina</w:t>
      </w:r>
      <w:r>
        <w:rPr>
          <w:rStyle w:val="FootnoteReference"/>
          <w:rFonts w:eastAsia="Times New Roman" w:cs="Times New Roman"/>
          <w:noProof/>
          <w:color w:val="000000" w:themeColor="text1"/>
          <w:lang w:eastAsia="fr-FR"/>
        </w:rPr>
        <w:footnoteReference w:id="53"/>
      </w:r>
      <w:r>
        <w:rPr>
          <w:noProof/>
          <w:color w:val="000000" w:themeColor="text1"/>
        </w:rPr>
        <w:t>.</w:t>
      </w:r>
      <w:r>
        <w:rPr>
          <w:noProof/>
        </w:rPr>
        <w:t xml:space="preserve"> 12. mail 2021 jõustus uus seadus, milles nõutakse, et kriminaalasjades tehtavate kohtuotsuste põhjendused kuulutataks välja ja avaldataks kindlaksmääratud tähtaja jooksul kohtuistungi lõppemise järel samal ajal.</w:t>
      </w:r>
    </w:p>
    <w:p>
      <w:pPr>
        <w:rPr>
          <w:rFonts w:cs="Times New Roman"/>
          <w:noProof/>
          <w:color w:val="000000" w:themeColor="text1"/>
          <w:szCs w:val="24"/>
        </w:rPr>
      </w:pPr>
      <w:r>
        <w:rPr>
          <w:b/>
          <w:bCs/>
          <w:noProof/>
          <w:color w:val="000000" w:themeColor="text1"/>
        </w:rPr>
        <w:t>Andmed näitavad, et kohtusüsteemi üldine digitaliseerituse tase on hea</w:t>
      </w:r>
      <w:r>
        <w:rPr>
          <w:noProof/>
          <w:color w:val="000000" w:themeColor="text1"/>
        </w:rPr>
        <w:t>. 2020. aastal on üldsusele veebis kättesaadav suur hulk teavet kohtusüsteemi kohta</w:t>
      </w:r>
      <w:r>
        <w:rPr>
          <w:rStyle w:val="FootnoteReference"/>
          <w:rFonts w:cs="Times New Roman"/>
          <w:noProof/>
          <w:color w:val="000000" w:themeColor="text1"/>
        </w:rPr>
        <w:footnoteReference w:id="54"/>
      </w:r>
      <w:r>
        <w:rPr>
          <w:noProof/>
          <w:color w:val="000000" w:themeColor="text1"/>
        </w:rPr>
        <w:t>. Kohtud kasutavad laialdaselt digitehnoloogiat, näiteks elektroonilist kohtuasjade haldamise süsteemi, kohtuasjade elektroonilist jaotamist ja kommunikatsioonitehnoloogiat</w:t>
      </w:r>
      <w:r>
        <w:rPr>
          <w:rStyle w:val="FootnoteReference"/>
          <w:rFonts w:cs="Times New Roman"/>
          <w:noProof/>
          <w:color w:val="000000" w:themeColor="text1"/>
        </w:rPr>
        <w:footnoteReference w:id="55"/>
      </w:r>
      <w:r>
        <w:rPr>
          <w:noProof/>
          <w:color w:val="000000" w:themeColor="text1"/>
        </w:rPr>
        <w:t>. Samuti on kehtestatud kord masinloetavate kohtuotsuste tegemiseks tsiviil-, kaubandus- ja haldusasjades</w:t>
      </w:r>
      <w:r>
        <w:rPr>
          <w:rStyle w:val="FootnoteReference"/>
          <w:rFonts w:cs="Times New Roman"/>
          <w:noProof/>
          <w:color w:val="000000" w:themeColor="text1"/>
        </w:rPr>
        <w:footnoteReference w:id="56"/>
      </w:r>
      <w:r>
        <w:rPr>
          <w:noProof/>
          <w:color w:val="000000" w:themeColor="text1"/>
        </w:rPr>
        <w:t>. Sidusrühmad on siiski teatanud, et vaja on teha veel täiustusi</w:t>
      </w:r>
      <w:r>
        <w:rPr>
          <w:rStyle w:val="FootnoteReference"/>
          <w:rFonts w:cs="Times New Roman"/>
          <w:noProof/>
          <w:color w:val="000000" w:themeColor="text1"/>
        </w:rPr>
        <w:footnoteReference w:id="57"/>
      </w:r>
      <w:r>
        <w:rPr>
          <w:noProof/>
          <w:color w:val="000000" w:themeColor="text1"/>
        </w:rPr>
        <w:t>.</w:t>
      </w:r>
    </w:p>
    <w:p>
      <w:pPr>
        <w:rPr>
          <w:rFonts w:cs="Times New Roman"/>
          <w:noProof/>
          <w:color w:val="000000" w:themeColor="text1"/>
          <w:szCs w:val="24"/>
        </w:rPr>
      </w:pPr>
      <w:r>
        <w:rPr>
          <w:b/>
          <w:bCs/>
          <w:noProof/>
          <w:color w:val="000000" w:themeColor="text1"/>
        </w:rPr>
        <w:t>COVID-19 pandeemia tõi kohtusüsteemis kaasa digitaalsete vahendite laialdasema kasutamise.</w:t>
      </w:r>
      <w:r>
        <w:rPr>
          <w:noProof/>
          <w:color w:val="000000" w:themeColor="text1"/>
        </w:rPr>
        <w:t xml:space="preserve"> 2020. aastal suurenes kohtutes videokonverentsisüsteemide arv, tuues kaasa videokonverentsi teel toimunud istungite suurema arvu</w:t>
      </w:r>
      <w:r>
        <w:rPr>
          <w:rStyle w:val="FootnoteReference"/>
          <w:rFonts w:cs="Times New Roman"/>
          <w:noProof/>
          <w:color w:val="000000" w:themeColor="text1"/>
        </w:rPr>
        <w:footnoteReference w:id="58"/>
      </w:r>
      <w:r>
        <w:rPr>
          <w:noProof/>
          <w:color w:val="000000" w:themeColor="text1"/>
        </w:rPr>
        <w:t>. Sidusrühmad on aga teatanud, et kaugistungite arv on endiselt piiratud, sest kohtunikud eelistavad pidada kohtuistungeid pigem kohapeal kui videokonverentsi teel</w:t>
      </w:r>
      <w:r>
        <w:rPr>
          <w:rStyle w:val="FootnoteReference"/>
          <w:rFonts w:cs="Times New Roman"/>
          <w:noProof/>
          <w:color w:val="000000" w:themeColor="text1"/>
        </w:rPr>
        <w:footnoteReference w:id="59"/>
      </w:r>
      <w:r>
        <w:rPr>
          <w:noProof/>
          <w:color w:val="000000" w:themeColor="text1"/>
        </w:rPr>
        <w:t>. 2020. aasta septembris teatas justiitsministeerium seaduseelnõust, mis käsitleb kaugmeetodil õigusemõistmist COVID-19 pandeemia ajal ja mis laiendaks võimalust pidada istungeid videokonverentsi teel</w:t>
      </w:r>
      <w:r>
        <w:rPr>
          <w:rStyle w:val="FootnoteReference"/>
          <w:rFonts w:cs="Times New Roman"/>
          <w:noProof/>
          <w:color w:val="000000" w:themeColor="text1"/>
        </w:rPr>
        <w:footnoteReference w:id="60"/>
      </w:r>
      <w:r>
        <w:rPr>
          <w:noProof/>
          <w:color w:val="000000" w:themeColor="text1"/>
        </w:rPr>
        <w:t>. Kriminaalasjade puhul nähakse seaduseelnõus ette võimalus, et isikud, kellelt on võetud vabadus,</w:t>
      </w:r>
      <w:r>
        <w:rPr>
          <w:rStyle w:val="FootnoteReference"/>
          <w:rFonts w:cs="Times New Roman"/>
          <w:noProof/>
          <w:color w:val="000000" w:themeColor="text1"/>
        </w:rPr>
        <w:footnoteReference w:id="61"/>
      </w:r>
      <w:r>
        <w:rPr>
          <w:noProof/>
          <w:color w:val="000000" w:themeColor="text1"/>
        </w:rPr>
        <w:t xml:space="preserve"> kuulatakse üle videokonverentsi teel kinnipidamise kohas ilma nende nõusolekuta, kui kohus leiab, et see ei piira menetluse nõuetekohast elluviimist ega poolte õigusi ja huve. Seaduseelnõus on ette nähtud ka võimalus, et muud isikuid peale nende, kellelt on võetud vabadus, kuulatakse üle videokonverentsi teel, kuid ainult nende nõusolekul. Parlament võttis seaduseelnõu vastu 28. aprillil 2021</w:t>
      </w:r>
      <w:r>
        <w:rPr>
          <w:rStyle w:val="FootnoteReference"/>
          <w:rFonts w:cs="Times New Roman"/>
          <w:noProof/>
          <w:color w:val="000000" w:themeColor="text1"/>
        </w:rPr>
        <w:footnoteReference w:id="62"/>
      </w:r>
      <w:r>
        <w:rPr>
          <w:noProof/>
          <w:color w:val="000000" w:themeColor="text1"/>
        </w:rPr>
        <w:t>.</w:t>
      </w:r>
    </w:p>
    <w:p>
      <w:pPr>
        <w:pStyle w:val="Heading2"/>
        <w:rPr>
          <w:noProof/>
          <w:color w:val="000000" w:themeColor="text1"/>
        </w:rPr>
      </w:pPr>
      <w:r>
        <w:rPr>
          <w:noProof/>
          <w:color w:val="000000" w:themeColor="text1"/>
        </w:rPr>
        <w:t>Tõhusus</w:t>
      </w:r>
    </w:p>
    <w:p>
      <w:pPr>
        <w:rPr>
          <w:rFonts w:eastAsia="Times New Roman" w:cs="Times New Roman"/>
          <w:noProof/>
          <w:color w:val="000000" w:themeColor="text1"/>
        </w:rPr>
      </w:pPr>
      <w:r>
        <w:rPr>
          <w:b/>
          <w:bCs/>
          <w:noProof/>
          <w:color w:val="000000" w:themeColor="text1"/>
        </w:rPr>
        <w:t>Tsiviil-, haldus- ja kaubandusasjade menetlemise üldine tõhusus on jäänud stabiilseks.</w:t>
      </w:r>
      <w:r>
        <w:rPr>
          <w:noProof/>
          <w:color w:val="000000" w:themeColor="text1"/>
        </w:rPr>
        <w:t xml:space="preserve"> Tsiviil- ja kaubandusvaidluste menetlemise aeg esimese astme kohtutes lühenes 2019. aastal veidi võrreldes 2018. aastaga,</w:t>
      </w:r>
      <w:r>
        <w:rPr>
          <w:rStyle w:val="FootnoteReference"/>
          <w:rFonts w:cs="Times New Roman"/>
          <w:noProof/>
          <w:color w:val="000000" w:themeColor="text1"/>
        </w:rPr>
        <w:footnoteReference w:id="63"/>
      </w:r>
      <w:r>
        <w:rPr>
          <w:noProof/>
          <w:color w:val="000000" w:themeColor="text1"/>
        </w:rPr>
        <w:t xml:space="preserve"> haldusasjade menetlemisel aga pikenes mõnevõrra</w:t>
      </w:r>
      <w:r>
        <w:rPr>
          <w:rStyle w:val="FootnoteReference"/>
          <w:rFonts w:cs="Times New Roman"/>
          <w:noProof/>
          <w:color w:val="000000" w:themeColor="text1"/>
        </w:rPr>
        <w:footnoteReference w:id="64"/>
      </w:r>
      <w:r>
        <w:rPr>
          <w:noProof/>
          <w:color w:val="000000" w:themeColor="text1"/>
        </w:rPr>
        <w:t>. Tsiviil-, kaubandus-, haldusasjades esimese astme kohtutes lõpuleviidud kohtumenetluste määr vähenes mõningal määral</w:t>
      </w:r>
      <w:r>
        <w:rPr>
          <w:rStyle w:val="FootnoteReference"/>
          <w:rFonts w:cs="Times New Roman"/>
          <w:noProof/>
          <w:color w:val="000000" w:themeColor="text1"/>
        </w:rPr>
        <w:footnoteReference w:id="65"/>
      </w:r>
      <w:r>
        <w:rPr>
          <w:noProof/>
          <w:color w:val="000000" w:themeColor="text1"/>
        </w:rPr>
        <w:t xml:space="preserve"> ja on nüüd 100 %. Konkreetseid liidu õiguse valdkondi käsitlevad menetlused on endiselt lühikesed,</w:t>
      </w:r>
      <w:r>
        <w:rPr>
          <w:rStyle w:val="FootnoteReference"/>
          <w:rFonts w:cs="Times New Roman"/>
          <w:noProof/>
          <w:color w:val="000000" w:themeColor="text1"/>
        </w:rPr>
        <w:footnoteReference w:id="66"/>
      </w:r>
      <w:r>
        <w:rPr>
          <w:noProof/>
          <w:color w:val="000000" w:themeColor="text1"/>
        </w:rPr>
        <w:t xml:space="preserve"> v.a rahapesujuhtumite korral, mille menetlemise aeg pikenes märkimisväärselt</w:t>
      </w:r>
      <w:r>
        <w:rPr>
          <w:rStyle w:val="FootnoteReference"/>
          <w:rFonts w:cs="Times New Roman"/>
          <w:noProof/>
          <w:color w:val="000000" w:themeColor="text1"/>
        </w:rPr>
        <w:footnoteReference w:id="67"/>
      </w:r>
      <w:r>
        <w:rPr>
          <w:noProof/>
          <w:color w:val="000000" w:themeColor="text1"/>
        </w:rPr>
        <w:t>. Töökoormusega seotud probleemid on eri kohtutes siiski ebaühtlased. Näiteks on madalama astme kohtud teatanud tsiviilasjade puhul eriti suurest töökoormusest</w:t>
      </w:r>
      <w:r>
        <w:rPr>
          <w:rStyle w:val="FootnoteReference"/>
          <w:rFonts w:cs="Times New Roman"/>
          <w:noProof/>
          <w:color w:val="000000" w:themeColor="text1"/>
        </w:rPr>
        <w:footnoteReference w:id="68"/>
      </w:r>
      <w:r>
        <w:rPr>
          <w:noProof/>
          <w:color w:val="000000" w:themeColor="text1"/>
        </w:rPr>
        <w:t xml:space="preserve"> ning kohtute tegevuse peatamine eriolukorra ajal halvendas olukorda. Euroopa Nõukogu ministrite komitee teeb Rumeenia üle jätkuvalt põhjalikku järelevalvet seoses meetmete võtmisega menetluste liiga pika kestuse probleemi lahendamiseks pärast Euroopa Inimõiguste Kohtu otsuseid</w:t>
      </w:r>
      <w:r>
        <w:rPr>
          <w:rStyle w:val="FootnoteReference"/>
          <w:rFonts w:eastAsia="Times New Roman" w:cs="Times New Roman"/>
          <w:noProof/>
          <w:color w:val="000000" w:themeColor="text1"/>
          <w:lang w:eastAsia="fr-FR"/>
        </w:rPr>
        <w:footnoteReference w:id="69"/>
      </w:r>
      <w:r>
        <w:rPr>
          <w:noProof/>
          <w:color w:val="000000" w:themeColor="text1"/>
        </w:rPr>
        <w:t>. Ministrite komitee on märkinud, et tsiviil- ja kriminaalmenetluse reform viidi kõigi andmete kohaselt edukalt ellu, kuid nende meetmete mõju hindamiseks tuleb veel koostada mõjuhinnang.</w:t>
      </w:r>
    </w:p>
    <w:p>
      <w:pPr>
        <w:pStyle w:val="Heading1"/>
        <w:rPr>
          <w:noProof/>
          <w:color w:val="000000" w:themeColor="text1"/>
        </w:rPr>
      </w:pPr>
      <w:r>
        <w:rPr>
          <w:noProof/>
          <w:color w:val="000000" w:themeColor="text1"/>
        </w:rPr>
        <w:t xml:space="preserve">Korruptsioonivastase võitluse raamistik </w:t>
      </w:r>
    </w:p>
    <w:p>
      <w:pPr>
        <w:rPr>
          <w:rFonts w:cs="Times New Roman"/>
          <w:noProof/>
          <w:color w:val="000000" w:themeColor="text1"/>
        </w:rPr>
      </w:pPr>
      <w:r>
        <w:rPr>
          <w:noProof/>
          <w:color w:val="000000" w:themeColor="text1"/>
        </w:rPr>
        <w:t>Üldjoontes on Rumeenias korruptsioonivastase võitluse õigus- ja institutsiooniline raamistik paigas. Alates 2016. aastast on olemas riiklik korruptsioonivastane strateegia ja selle rakendamist koordineerib justiitsministeerium. Institutsiooniline korruptsioonivastane raamistik on jäi samaks. Riikliku korruptsioonivastase võitluse direktoraadi (DNA) – korruptsioonivastase võitluse eriprokuratuuri – pädevusse kuulub keskmise ja suurkorruptsiooni juhtumite uurimine, samas kui kõiki muid korruptsioonijuhtumeid uurib peaprokuratuur. DNA uurib ka ELi finantshuve kahjustavaid kuritegusid ning teatud kategooriate majandus- ja finantskuritegusid. Siseministeeriumis tegutseb eraldi korruptsioonivastase võitluse direktoraat, mille pädevusse kuuluvad ministeeriumi töötajate, sh politsei eetika- ja korruptsiooniküsimused. Riiklik eetikaagentuur (ANI) viib ellu haldusuurimisi seoses huvide konfliktide, ametikohtade ühitamatuse ja alusetu rikastumisega ning vastutab varadeklaratsioonide järelevalve ja kontrollimise eest, sealhulgas kõigi valitud ametiisikute puhul. Arestitud vara haldamise riiklik agentuur (ANABI) haldab arestitud ja konfiskeeritud kuritegelikku vara ning hõlbustab tulu jälitamist ja tuvastamist.</w:t>
      </w:r>
    </w:p>
    <w:p>
      <w:pPr>
        <w:rPr>
          <w:noProof/>
        </w:rPr>
      </w:pPr>
      <w:r>
        <w:rPr>
          <w:b/>
          <w:noProof/>
        </w:rPr>
        <w:t>Eksperdid ja ärijuhid tajuvad avaliku sektori korruptsioonitaset endiselt kõrgena.</w:t>
      </w:r>
      <w:r>
        <w:rPr>
          <w:noProof/>
        </w:rPr>
        <w:t xml:space="preserve"> Rumeenia näitaja Transparency Internationali 2020. aasta korruptsiooni tajumise indeksis on 44/100 ning ta on Euroopa Liidus 19. ja maailmas 69. kohal</w:t>
      </w:r>
      <w:r>
        <w:rPr>
          <w:rStyle w:val="FootnoteReference"/>
          <w:bCs/>
          <w:noProof/>
        </w:rPr>
        <w:footnoteReference w:id="70"/>
      </w:r>
      <w:r>
        <w:rPr>
          <w:noProof/>
        </w:rPr>
        <w:t>. See näitaja on viimasel viiel aastal olnud suhteliselt stabiilne</w:t>
      </w:r>
      <w:r>
        <w:rPr>
          <w:noProof/>
          <w:vertAlign w:val="superscript"/>
        </w:rPr>
        <w:footnoteReference w:id="71"/>
      </w:r>
      <w:r>
        <w:rPr>
          <w:rStyle w:val="FootnoteReference"/>
          <w:noProof/>
        </w:rPr>
        <w:footnoteReference w:id="72"/>
      </w:r>
      <w:r>
        <w:rPr>
          <w:noProof/>
        </w:rPr>
        <w:t>.</w:t>
      </w:r>
    </w:p>
    <w:p>
      <w:pPr>
        <w:rPr>
          <w:rFonts w:cs="Times New Roman"/>
          <w:noProof/>
          <w:color w:val="000000" w:themeColor="text1"/>
          <w:szCs w:val="24"/>
        </w:rPr>
      </w:pPr>
      <w:r>
        <w:rPr>
          <w:b/>
          <w:bCs/>
          <w:noProof/>
          <w:color w:val="000000" w:themeColor="text1"/>
        </w:rPr>
        <w:t xml:space="preserve">Üks valitsuse põhieesmärke on võtta vastu uus riiklik korruptsioonivastane strateegia (2021–2025). </w:t>
      </w:r>
      <w:r>
        <w:rPr>
          <w:noProof/>
        </w:rPr>
        <w:t>Edusammude tegemine riikliku korruptsioonivastase strateegia elluviimisel on üks peamisi riiklikke eesmärke valitsuse poliitilises tegevuskavas. 2016.–2020. aasta riiklik korruptsioonivastane strateegia lõppes 2020. aastal. Praegu on pooleli sisehindamine ja välisaudit (korraldab OECD), mille eesmärk on ammutada teavet riikliku korruptsioonivastase strateegia (2021–2025) ettevalmistamiseks. Strateegiat koordineeriv justiitsministeerium on teatanud, et ta saavutas 2016.–2020. aasta strateegia rakendamisel edusamme paljudes osalevates haldusasutustes ja avaliku sektori asutustes, kuigi edusammud on olnud ebaühtlased, eelkõige sellistes suure riskiga valdkondades nagu tervishoid, haridus või riigihanked. Edusammud hõlmasid menetluste täiustamist tundlike küsimustega tegelemiseks, eetikanõuete rikkumise juhtumite märkimisväärset vähenemist, suuremat läbipaistvust ja kodanike paremat teenindamist, sealhulgas digiteerimise kaudu. Selle strateegia põhiomadusi, eelkõige vastastikusel hindamisel põhineva jälgimismehhanismi rakendamist ja kaasava otsustusprotsessi rakendamist viie korruptsioonivastase platvormi kaudu (mis koondavad sidusrühmi), peavad osalevad institutsioonid parimateks tavadeks ning nendega jätkatakse ka järgmises strateegias. Justiitsministeerium on siiski juhtinud tähelepanu sellele, et sihipärase rakendamise kõrval tugineb strateegia tulemuslikkus eelkõige poliitilisele tahtele anda tõuge meetmete rakendamiseks kõigis osalevates haldus- ja muudes avalik-õiguslikes asutustes, sealhulgas kohalikul tasandil. Hindamised viiakse lõpule ja justiitsministeerium algatas uue strateegia kohta avaliku konsultatsiooni viiel sidusrühmi koondaval korruptsioonivastasel platvormil ning loodab teha ettepaneku uue riikliku korruptsioonivastase strateegia vastuvõtmiseks 2021. aasta lõpuks.</w:t>
      </w:r>
      <w:r>
        <w:rPr>
          <w:noProof/>
          <w:color w:val="000000"/>
        </w:rPr>
        <w:t xml:space="preserve"> </w:t>
      </w:r>
    </w:p>
    <w:p>
      <w:pPr>
        <w:rPr>
          <w:rFonts w:eastAsia="Calibri" w:cs="Times New Roman"/>
          <w:noProof/>
          <w:color w:val="000000" w:themeColor="text1"/>
        </w:rPr>
      </w:pPr>
      <w:r>
        <w:rPr>
          <w:b/>
          <w:bCs/>
          <w:noProof/>
          <w:color w:val="000000" w:themeColor="text1"/>
        </w:rPr>
        <w:t xml:space="preserve">Keskmise ja suurkorruptsiooni uurimise ja selle eest karistamise tulemuslikkus on paranenud. </w:t>
      </w:r>
      <w:r>
        <w:rPr>
          <w:noProof/>
          <w:color w:val="000000" w:themeColor="text1"/>
        </w:rPr>
        <w:t>Riikliku korruptsioonivastase võitluse direktoraadi uue juhtivprokuröri ja muude juhtivametnike ametisse nimetamine 2020. aastal on andnud uue tõuke ja toonud institutsioonilise stabiilsuse. See on parandanud uurimiste ja kohtutoimikute kvaliteeti. 2020. aastal saavutas DNA paremaid tulemusi kui 2019. aastal, suurendades suurkorruptsiooni eest esitatud süüdistuste arvu ja vähendades kohtuasjade kuhjumist</w:t>
      </w:r>
      <w:r>
        <w:rPr>
          <w:rFonts w:eastAsia="Calibri" w:cs="Times New Roman"/>
          <w:noProof/>
          <w:color w:val="000000" w:themeColor="text1"/>
          <w:vertAlign w:val="superscript"/>
        </w:rPr>
        <w:footnoteReference w:id="73"/>
      </w:r>
      <w:r>
        <w:rPr>
          <w:noProof/>
          <w:color w:val="000000" w:themeColor="text1"/>
        </w:rPr>
        <w:t>. Toimus ka edasiminek kohtute tasandil, kohtuotsuste arv suurenes</w:t>
      </w:r>
      <w:r>
        <w:rPr>
          <w:rFonts w:eastAsia="Calibri" w:cs="Times New Roman"/>
          <w:noProof/>
          <w:color w:val="000000" w:themeColor="text1"/>
          <w:szCs w:val="24"/>
          <w:vertAlign w:val="superscript"/>
        </w:rPr>
        <w:footnoteReference w:id="74"/>
      </w:r>
      <w:r>
        <w:rPr>
          <w:noProof/>
          <w:color w:val="000000" w:themeColor="text1"/>
        </w:rPr>
        <w:t xml:space="preserve">. 2020. aastal on esitatud rohkem kodanike kaebusi ja </w:t>
      </w:r>
      <w:r>
        <w:rPr>
          <w:i/>
          <w:noProof/>
          <w:color w:val="000000" w:themeColor="text1"/>
          <w:szCs w:val="24"/>
        </w:rPr>
        <w:t>ex-officio</w:t>
      </w:r>
      <w:r>
        <w:rPr>
          <w:noProof/>
          <w:color w:val="000000" w:themeColor="text1"/>
        </w:rPr>
        <w:t xml:space="preserve">-kaebusi väidetavate korruptsioonikuritegude kohta, erinevalt alates 2015. aastast valitsenud langustrendist. DNA näeb seda kui märki, et avalikkuse usaldus selle institutsiooni ja rolli suhtes on taastunud pärast seda, kui rünnakud direktoraadi vastu aastatel 2017–2019 olid usaldust oluliselt vähendanud. 2020. aastal muudeti ka DNA teavituspoliitikat ja edaspidi uurimiste algatamisel enam pressiteadetes kahtlusaluste nimesid ei avaldata, et kahtlusaluseid avalikkuse eest rohkem varjul hoida. </w:t>
      </w:r>
    </w:p>
    <w:p>
      <w:pPr>
        <w:rPr>
          <w:noProof/>
          <w:szCs w:val="24"/>
        </w:rPr>
      </w:pPr>
      <w:r>
        <w:rPr>
          <w:b/>
          <w:bCs/>
          <w:noProof/>
          <w:color w:val="000000" w:themeColor="text1"/>
        </w:rPr>
        <w:t>Õigusemõistmist käsitlevate õigusaktide 2017.–2019. aasta muudatused avaldasid DNA tõhusale toimimisele olulist pärssivat mõju, mis kestab seni, kuni need on jõus</w:t>
      </w:r>
      <w:r>
        <w:rPr>
          <w:rStyle w:val="FootnoteReference"/>
          <w:rFonts w:eastAsia="Calibri" w:cs="Times New Roman"/>
          <w:b/>
          <w:bCs/>
          <w:noProof/>
          <w:color w:val="000000" w:themeColor="text1"/>
        </w:rPr>
        <w:footnoteReference w:id="75"/>
      </w:r>
      <w:r>
        <w:rPr>
          <w:b/>
          <w:bCs/>
          <w:noProof/>
          <w:color w:val="000000" w:themeColor="text1"/>
        </w:rPr>
        <w:t>.</w:t>
      </w:r>
      <w:r>
        <w:rPr>
          <w:noProof/>
          <w:color w:val="000000" w:themeColor="text1"/>
        </w:rPr>
        <w:t xml:space="preserve"> Üldised probleemid, millega kohtusüsteem silmitsi seisab (vt eespool), on olnud DNA jaoks eriti rasked</w:t>
      </w:r>
      <w:r>
        <w:rPr>
          <w:rFonts w:eastAsia="Calibri" w:cs="Times New Roman"/>
          <w:noProof/>
          <w:color w:val="000000" w:themeColor="text1"/>
          <w:vertAlign w:val="superscript"/>
        </w:rPr>
        <w:footnoteReference w:id="76"/>
      </w:r>
      <w:r>
        <w:rPr>
          <w:noProof/>
          <w:color w:val="000000" w:themeColor="text1"/>
        </w:rPr>
        <w:t xml:space="preserve">. </w:t>
      </w:r>
      <w:r>
        <w:rPr>
          <w:noProof/>
        </w:rPr>
        <w:t>DNA seisis silmitsi inimressursside puudusega,</w:t>
      </w:r>
      <w:r>
        <w:rPr>
          <w:noProof/>
          <w:szCs w:val="24"/>
          <w:vertAlign w:val="superscript"/>
        </w:rPr>
        <w:footnoteReference w:id="77"/>
      </w:r>
      <w:r>
        <w:rPr>
          <w:noProof/>
        </w:rPr>
        <w:t xml:space="preserve"> mis tähendas suuremat survet prokuröridele ajal, mil DNA-l oli vaja lisaks arendada oma tehnilist suutlikkust spetsiaalseid uurimisvõtteid kasutades kohtumäärusi rakendada</w:t>
      </w:r>
      <w:r>
        <w:rPr>
          <w:noProof/>
          <w:szCs w:val="24"/>
          <w:vertAlign w:val="superscript"/>
        </w:rPr>
        <w:footnoteReference w:id="78"/>
      </w:r>
      <w:r>
        <w:rPr>
          <w:noProof/>
        </w:rPr>
        <w:t xml:space="preserve">. </w:t>
      </w:r>
      <w:r>
        <w:rPr>
          <w:noProof/>
          <w:color w:val="000000" w:themeColor="text1"/>
        </w:rPr>
        <w:t xml:space="preserve">Lisaks mõjutab kohtunike ja prokuröride toimepandud süütegusid uuriv osakond (SIIJ) endiselt mõne suurkorruptsiooni juhtumi tulemuslikku käsitlemist negatiivselt, </w:t>
      </w:r>
      <w:r>
        <w:rPr>
          <w:noProof/>
        </w:rPr>
        <w:t xml:space="preserve">sest osakond sekkub jätkuvalt suurkorruptsiooni juhtumites DNA käes olevate toimikute uurimisse. </w:t>
      </w:r>
      <w:r>
        <w:rPr>
          <w:noProof/>
          <w:color w:val="000000" w:themeColor="text1"/>
        </w:rPr>
        <w:t>Pärast seda, kui konstitutsioonikohus otsustas 2020. aasta juulis, et apellatsioonkaebuste üleandmine SIIJile on põhiseadusevastane, lõpetati ka murettekitav suurkorruptsiooni juhtumite apellatsioonkaebuste tagasivõtmise praktika</w:t>
      </w:r>
      <w:r>
        <w:rPr>
          <w:rFonts w:eastAsia="Calibri" w:cs="Times New Roman"/>
          <w:noProof/>
          <w:color w:val="000000" w:themeColor="text1"/>
          <w:vertAlign w:val="superscript"/>
        </w:rPr>
        <w:footnoteReference w:id="79"/>
      </w:r>
      <w:r>
        <w:rPr>
          <w:noProof/>
          <w:color w:val="000000" w:themeColor="text1"/>
        </w:rPr>
        <w:t>. Samuti on suurenenud karistuseta jäämise oht suurkorruptsiooni juhtumite puhul, millega SIIJ tegeleb, eelkõige juhtumite aeglase menetlemise tõttu</w:t>
      </w:r>
      <w:r>
        <w:rPr>
          <w:rStyle w:val="FootnoteReference"/>
          <w:rFonts w:eastAsia="Calibri" w:cs="Times New Roman"/>
          <w:noProof/>
          <w:color w:val="000000" w:themeColor="text1"/>
        </w:rPr>
        <w:footnoteReference w:id="80"/>
      </w:r>
      <w:r>
        <w:rPr>
          <w:noProof/>
          <w:color w:val="000000" w:themeColor="text1"/>
        </w:rPr>
        <w:t xml:space="preserve">. DNA prokuröridele </w:t>
      </w:r>
      <w:r>
        <w:rPr>
          <w:noProof/>
        </w:rPr>
        <w:t>on avaldanud survet ka asjaolu, et SIIJ menetleb kaebusi, mille on prokuröride vastu on esitatud korruptsioonis süüdi mõistetud isikud. Õigusemõistmist käsitlevate õigusaktide käimasolev muutmine, sealhulgas SIIJ kaotamiseks, on oluline samm tagamaks, et DNA hea toimimine on jätkusuutlik.</w:t>
      </w:r>
    </w:p>
    <w:p>
      <w:pPr>
        <w:rPr>
          <w:rFonts w:eastAsia="Calibri" w:cs="Times New Roman"/>
          <w:noProof/>
          <w:color w:val="000000" w:themeColor="text1"/>
          <w:szCs w:val="24"/>
        </w:rPr>
      </w:pPr>
      <w:r>
        <w:rPr>
          <w:b/>
          <w:noProof/>
          <w:szCs w:val="24"/>
        </w:rPr>
        <w:t>Korruptsioonivastases võitluses tekitab endiselt suuri probleeme jätkuv ebakindlus kriminaalkoodeksi ja kriminaalmenetluse seadustiku muudatuste suhtes.</w:t>
      </w:r>
      <w:r>
        <w:rPr>
          <w:noProof/>
        </w:rPr>
        <w:t xml:space="preserve"> Nagu on rõhutatud 2020. aasta aruandes õigusriigi kohta ning 2021. aasta koostöö- ja jälgimiskorra aruandes,</w:t>
      </w:r>
      <w:r>
        <w:rPr>
          <w:rStyle w:val="FootnoteReference"/>
          <w:rFonts w:eastAsia="Calibri" w:cs="Times New Roman"/>
          <w:noProof/>
          <w:szCs w:val="24"/>
        </w:rPr>
        <w:footnoteReference w:id="81"/>
      </w:r>
      <w:r>
        <w:rPr>
          <w:noProof/>
        </w:rPr>
        <w:t xml:space="preserve"> seisneb veel üks oluline korruptsioonivastase võitlusega seotud probleem selles, et puuduvad poliitilised ja seadusandlikud lahendused üha uutele alates 2014. aastast vastu võetud kaugeleulatuvatele konstitutsioonikohtu otsustele, mille alusel kriminaalkoodeksi ja kriminaalmenetluse seadustiku sätteid tühistatakse või tõlgendatakse</w:t>
      </w:r>
      <w:r>
        <w:rPr>
          <w:rFonts w:eastAsia="Calibri" w:cs="Times New Roman"/>
          <w:noProof/>
          <w:vertAlign w:val="superscript"/>
        </w:rPr>
        <w:footnoteReference w:id="82"/>
      </w:r>
      <w:r>
        <w:rPr>
          <w:noProof/>
        </w:rPr>
        <w:t>.</w:t>
      </w:r>
      <w:r>
        <w:rPr>
          <w:b/>
          <w:bCs/>
          <w:noProof/>
        </w:rPr>
        <w:t xml:space="preserve"> </w:t>
      </w:r>
      <w:r>
        <w:rPr>
          <w:noProof/>
          <w:color w:val="000000" w:themeColor="text1"/>
        </w:rPr>
        <w:t>Endiselt on vaja muuta kriminaalkoodeksit ja kriminaalmenetluse seadustikku</w:t>
      </w:r>
      <w:r>
        <w:rPr>
          <w:rStyle w:val="FootnoteReference"/>
          <w:rFonts w:eastAsia="Calibri" w:cs="Times New Roman"/>
          <w:noProof/>
          <w:color w:val="000000" w:themeColor="text1"/>
        </w:rPr>
        <w:footnoteReference w:id="83"/>
      </w:r>
      <w:r>
        <w:rPr>
          <w:noProof/>
          <w:color w:val="000000" w:themeColor="text1"/>
        </w:rPr>
        <w:t>. See olukord on suurendanud takistusi ja õiguskindlusetust suurkorruptsiooni juhtumite uurimisel ja menetlemisel ning nende suhtes sanktsioonide kohaldamisel</w:t>
      </w:r>
      <w:r>
        <w:rPr>
          <w:rStyle w:val="FootnoteReference"/>
          <w:rFonts w:eastAsia="Calibri" w:cs="Times New Roman"/>
          <w:noProof/>
        </w:rPr>
        <w:footnoteReference w:id="84"/>
      </w:r>
      <w:r>
        <w:rPr>
          <w:noProof/>
        </w:rPr>
        <w:t xml:space="preserve">. </w:t>
      </w:r>
      <w:r>
        <w:rPr>
          <w:noProof/>
          <w:color w:val="000000" w:themeColor="text1"/>
        </w:rPr>
        <w:t>Sellega on kaasnenud kohtuvaidluste läbikukkumine kohtus, õiguskindlusetus tõendite lubatavuse suhtes, samuti uurimiste või kohtuprotsesside taasalgatamine</w:t>
      </w:r>
      <w:r>
        <w:rPr>
          <w:rFonts w:eastAsia="Calibri" w:cs="Times New Roman"/>
          <w:noProof/>
          <w:color w:val="000000" w:themeColor="text1"/>
          <w:vertAlign w:val="superscript"/>
        </w:rPr>
        <w:footnoteReference w:id="85"/>
      </w:r>
      <w:r>
        <w:rPr>
          <w:noProof/>
          <w:color w:val="000000" w:themeColor="text1"/>
        </w:rPr>
        <w:t>. Mõju menetluses olevatele suurkorruptsiooni juhtumitele seoses konstitutsioonikohtu otsustega, millega nähakse suurkorruptsiooni juhtumite puhul ette kolmest kohtunikust koosnev kolleegium ning kassatsioonikohtus viiest kohtunikust koosnev lõplik apellatsioonikolleegium, alles hakkab avalduma</w:t>
      </w:r>
      <w:r>
        <w:rPr>
          <w:rFonts w:eastAsia="Calibri" w:cs="Times New Roman"/>
          <w:noProof/>
          <w:color w:val="000000" w:themeColor="text1"/>
          <w:vertAlign w:val="superscript"/>
        </w:rPr>
        <w:footnoteReference w:id="86"/>
      </w:r>
      <w:r>
        <w:rPr>
          <w:noProof/>
          <w:color w:val="000000" w:themeColor="text1"/>
        </w:rPr>
        <w:t xml:space="preserve">. </w:t>
      </w:r>
      <w:r>
        <w:rPr>
          <w:noProof/>
        </w:rPr>
        <w:t>Oma hiljutises kohtuotsuses leidis Euroopa Kohus, et liidu õiguse ülimuslikkuse põhimõttega on vastuolus liikmesriigi põhiseadusliku tasandi õigusnormid, mille kohaselt madalama astme kohtul ei ole lubatud jätta omal algatusel kohaldamata riigisisest õigusnormi, mis kuulub koostöö- ja jälgimiskorra kohaldamisalasse ja mis on vastuolus liidu õigusega. Kui on tõendatud, et ELi lepingu või koostöö- ja jälgimiskorra otsust on rikutud, tuleneb liidu õiguse ülimuslikkuse põhimõttest, et eelotsusetaotluse esitanud kohus peab jätma kohaldamata kõnealused sätted, olgu need siis seadusandlikud või põhiseadusest tulenevad</w:t>
      </w:r>
      <w:r>
        <w:rPr>
          <w:rStyle w:val="FootnoteReference"/>
          <w:noProof/>
          <w:szCs w:val="24"/>
        </w:rPr>
        <w:footnoteReference w:id="87"/>
      </w:r>
      <w:r>
        <w:rPr>
          <w:noProof/>
        </w:rPr>
        <w:t>.</w:t>
      </w:r>
      <w:r>
        <w:rPr>
          <w:noProof/>
          <w:color w:val="000000" w:themeColor="text1"/>
        </w:rPr>
        <w:t xml:space="preserve"> 2021. aasta veebruaris astuti oluline poliitiline samm, kui parlament lükkas lõplikult tagasi koodeksi ja seadustiku 2018.–2019. aasta problemaatilised muudatusettepanekud, mille konstitutsioonikohus tunnistas täielikult põhiseadusevastaseks.</w:t>
      </w:r>
    </w:p>
    <w:p>
      <w:pPr>
        <w:rPr>
          <w:rFonts w:cs="Times New Roman"/>
          <w:b/>
          <w:noProof/>
          <w:color w:val="000000" w:themeColor="text1"/>
          <w:szCs w:val="24"/>
        </w:rPr>
      </w:pPr>
      <w:r>
        <w:rPr>
          <w:b/>
          <w:bCs/>
          <w:noProof/>
          <w:color w:val="000000" w:themeColor="text1"/>
        </w:rPr>
        <w:t xml:space="preserve">Saadikutekoda on kehtestanud kriteeriumid, mille alusel otsustada parlamendiliikmete puutumatuse äravõtmise taotluste üle, kuid Senat ei ole seda veel teinud. </w:t>
      </w:r>
      <w:r>
        <w:rPr>
          <w:noProof/>
        </w:rPr>
        <w:t>Saadikutekoda muutis 2019. aasta juunis oma kodukorda ja lisas konkreetse viite kriteeriumidele, mis on ette nähtud Veneetsia komisjoni aruandes (parlamendiliikme puutumatuse eesmärgi ja selle äravõtmise kohta)</w:t>
      </w:r>
      <w:r>
        <w:rPr>
          <w:rStyle w:val="FootnoteReference"/>
          <w:rFonts w:cs="Times New Roman"/>
          <w:noProof/>
          <w:color w:val="000000" w:themeColor="text1"/>
        </w:rPr>
        <w:footnoteReference w:id="88"/>
      </w:r>
      <w:r>
        <w:rPr>
          <w:noProof/>
          <w:color w:val="000000" w:themeColor="text1"/>
        </w:rPr>
        <w:t>. Senat ei ole selliseid eeskirju veel vastu võtnud.</w:t>
      </w:r>
    </w:p>
    <w:p>
      <w:pPr>
        <w:rPr>
          <w:rFonts w:cs="Times New Roman"/>
          <w:noProof/>
          <w:color w:val="000000" w:themeColor="text1"/>
          <w:szCs w:val="24"/>
        </w:rPr>
      </w:pPr>
      <w:r>
        <w:rPr>
          <w:b/>
          <w:bCs/>
          <w:noProof/>
          <w:color w:val="000000" w:themeColor="text1"/>
        </w:rPr>
        <w:t>Riiklik eetikaagentuur (ANI) jätkab ühitamatuse, huvide konfliktide ja aluseta rikastumise uurimist</w:t>
      </w:r>
      <w:r>
        <w:rPr>
          <w:rFonts w:cs="Times New Roman"/>
          <w:noProof/>
          <w:color w:val="000000" w:themeColor="text1"/>
          <w:vertAlign w:val="superscript"/>
        </w:rPr>
        <w:footnoteReference w:id="89"/>
      </w:r>
      <w:r>
        <w:rPr>
          <w:noProof/>
          <w:color w:val="000000" w:themeColor="text1"/>
        </w:rPr>
        <w:t>.</w:t>
      </w:r>
      <w:r>
        <w:rPr>
          <w:noProof/>
          <w:color w:val="000000" w:themeColor="text1"/>
          <w:szCs w:val="24"/>
        </w:rPr>
        <w:t xml:space="preserve"> </w:t>
      </w:r>
      <w:r>
        <w:rPr>
          <w:noProof/>
          <w:color w:val="000000" w:themeColor="text1"/>
        </w:rPr>
        <w:t>ANI tööd peaks hõlbustama ka 2020. aasta juuli muudatus, mis võimaldab kasutada elektroonilist varade ja huvide avalikustamise süsteemi,</w:t>
      </w:r>
      <w:r>
        <w:rPr>
          <w:rFonts w:cs="Times New Roman"/>
          <w:noProof/>
          <w:color w:val="000000" w:themeColor="text1"/>
          <w:vertAlign w:val="superscript"/>
        </w:rPr>
        <w:footnoteReference w:id="90"/>
      </w:r>
      <w:r>
        <w:rPr>
          <w:noProof/>
          <w:color w:val="000000" w:themeColor="text1"/>
        </w:rPr>
        <w:t xml:space="preserve"> mis võeti kasutusele 2021. aasta mais. ANI on andnud teada, et tema 2020. aasta eelarve oli tema ülesannete täitmiseks piisav, kuna esialgselt vähendatud eelarvet aasta jooksul suurendati</w:t>
      </w:r>
      <w:r>
        <w:rPr>
          <w:rFonts w:cs="Times New Roman"/>
          <w:noProof/>
          <w:color w:val="000000" w:themeColor="text1"/>
          <w:vertAlign w:val="superscript"/>
        </w:rPr>
        <w:footnoteReference w:id="91"/>
      </w:r>
      <w:r>
        <w:rPr>
          <w:noProof/>
          <w:color w:val="000000" w:themeColor="text1"/>
        </w:rPr>
        <w:t xml:space="preserve">. ANIs esineb juhtivate ametikohtade osas mõningast ebakindlust. </w:t>
      </w:r>
      <w:r>
        <w:rPr>
          <w:noProof/>
          <w:color w:val="000000" w:themeColor="text1"/>
          <w:szCs w:val="24"/>
        </w:rPr>
        <w:t>Presidendi ametikoht on olnud alates 2019. aasta detsembrist täitmata ja asepresidendi volitused lõpevad hiljem käesoleval aastal</w:t>
      </w:r>
      <w:r>
        <w:rPr>
          <w:rStyle w:val="FootnoteReference"/>
          <w:rFonts w:cs="Times New Roman"/>
          <w:noProof/>
          <w:color w:val="000000" w:themeColor="text1"/>
        </w:rPr>
        <w:footnoteReference w:id="92"/>
      </w:r>
      <w:r>
        <w:rPr>
          <w:noProof/>
          <w:color w:val="000000" w:themeColor="text1"/>
        </w:rPr>
        <w:t xml:space="preserve">. Valikumenetlus algatati lõpuks aprillis 2021. </w:t>
      </w:r>
    </w:p>
    <w:p>
      <w:pPr>
        <w:rPr>
          <w:noProof/>
          <w:color w:val="000000" w:themeColor="text1"/>
        </w:rPr>
      </w:pPr>
      <w:r>
        <w:rPr>
          <w:b/>
          <w:bCs/>
          <w:noProof/>
          <w:color w:val="000000" w:themeColor="text1"/>
        </w:rPr>
        <w:t xml:space="preserve">Eetikavaldkonna õigusraamistik on endiselt killustatud. </w:t>
      </w:r>
      <w:r>
        <w:rPr>
          <w:noProof/>
          <w:color w:val="000000" w:themeColor="text1"/>
        </w:rPr>
        <w:t>2020. aasta aruandes õigusriigi kohta on juhitud tähelepanu eetikavaldkonna õigusraamistikku jätkuvalt ohustavatele probleemidele ning vajadusele suurendada stabiilsust ja selgust ning kehtestada tugev raamistik. Hulk muudatusi, millega muudeti eetikaalaseid õigusakte, eriti aastatel 2017–2019, nõrgestasid ANI suutlikkust oma tööd teha ning süvendasid õigusmaastiku killustatust. Eelkõige suurendasid kaks 2019. aastal jõustunud ettepanekut veelgi õiguskindlusetust kohaldatava eetikakorra ja karistuste kohaldamise suhtes</w:t>
      </w:r>
      <w:r>
        <w:rPr>
          <w:rStyle w:val="FootnoteReference"/>
          <w:rFonts w:eastAsia="Calibri" w:cs="Times New Roman"/>
          <w:noProof/>
          <w:color w:val="000000" w:themeColor="text1"/>
        </w:rPr>
        <w:footnoteReference w:id="93"/>
      </w:r>
      <w:r>
        <w:rPr>
          <w:noProof/>
          <w:color w:val="000000" w:themeColor="text1"/>
        </w:rPr>
        <w:t>. Aastatel 2020 ja 2021 selgitas kõrgem kassatsioonikohus seaduse tõlgendamist. Kohus otsustas, et karistust kohaldatakse ka juhul, kui ühitamatus on seotud varasema mandaadiga, ja et kolmeaastane aegumistähtaeg peaks osutama ANI kohustusele viia uurimine lõpule kolme aasta jooksul alates sellest, kui ilmnevad asjaolud, mille alusel määratakse kindlaks huvide konflikt või ametikohtade ühitamatuse fakt (mitte sellele, et karistust kolme aasta möödudes ei kohaldata)</w:t>
      </w:r>
      <w:r>
        <w:rPr>
          <w:rFonts w:eastAsia="Calibri" w:cs="Times New Roman"/>
          <w:noProof/>
          <w:color w:val="000000" w:themeColor="text1"/>
          <w:vertAlign w:val="superscript"/>
        </w:rPr>
        <w:footnoteReference w:id="94"/>
      </w:r>
      <w:r>
        <w:rPr>
          <w:noProof/>
          <w:color w:val="000000" w:themeColor="text1"/>
        </w:rPr>
        <w:t xml:space="preserve">. ANI on avaldanud nende otsuste üle heameelt, kuna need taastavad selguse ja kindluse võimaluses kohaldada sanktsioone pärast lõpliku kohtuotsuse tegemist. Eetikat, ametikohtade ühitamatust ja huvide konflikte käsitlevate õigusaktide konsolideerimine võimaldaks võtta arvesse kohtupraktikat ja korruptsiooni ennetamise põhimõtteid ning luua tulevikuks stabiilse vundamendi. </w:t>
      </w:r>
    </w:p>
    <w:p>
      <w:pPr>
        <w:rPr>
          <w:rFonts w:cs="Times New Roman"/>
          <w:noProof/>
          <w:color w:val="000000" w:themeColor="text1"/>
        </w:rPr>
      </w:pPr>
      <w:r>
        <w:rPr>
          <w:b/>
          <w:bCs/>
          <w:noProof/>
          <w:color w:val="000000" w:themeColor="text1"/>
        </w:rPr>
        <w:t xml:space="preserve">2020. aasta kohalikel ja riiklikel valimistel suurendas ANI varasemast intensiivsemalt teadlikkust kandidaatide eetika-eeskirjadest; samuti on ta andnud asjaomastele ametiasutustele teavet kandidaatide kohta, kelle suhtes kohaldatakse keeldu töötada avalikus teenistuses. </w:t>
      </w:r>
      <w:r>
        <w:rPr>
          <w:noProof/>
          <w:color w:val="000000" w:themeColor="text1"/>
        </w:rPr>
        <w:t>Enne 20. septembri 2020. aasta kohalikke valimisi pöördus ANI kesk- ja kohaliku tasandi valimisasutuste poole, et anda teada kandidaatidest, kellel võis olla keelatud töötada avalikus teenistuses pärast seda, kui eelmisel ametiajal oli määratud karistus ühitamatuse või huvide konflikti eest</w:t>
      </w:r>
      <w:r>
        <w:rPr>
          <w:rFonts w:cs="Times New Roman"/>
          <w:noProof/>
          <w:color w:val="000000" w:themeColor="text1"/>
          <w:vertAlign w:val="superscript"/>
        </w:rPr>
        <w:footnoteReference w:id="95"/>
      </w:r>
      <w:r>
        <w:rPr>
          <w:noProof/>
          <w:color w:val="000000" w:themeColor="text1"/>
        </w:rPr>
        <w:t>. Peale selle saatis ANI pärast valimisi neile kohtutele, kellel on pädevus kinnitada vastvalitud ametiisikute mandaate, nimekirja kandidaatidest, kelle suhtes kehtib kolmeaastane keeld töötada avalikus teenistuses. Kuigi mitmel kandidaadil ei lastud kandideerida ja mõne teise puhul on keeldutud ametikohale määramisest, otsustasid kohtud umbes poolte selliste kandidaatide puhul, kelle suhtes keeld kehtis, et neil lubatakse valitaval ametikohal töötada</w:t>
      </w:r>
      <w:r>
        <w:rPr>
          <w:rFonts w:cs="Times New Roman"/>
          <w:noProof/>
          <w:color w:val="000000" w:themeColor="text1"/>
          <w:vertAlign w:val="superscript"/>
        </w:rPr>
        <w:footnoteReference w:id="96"/>
      </w:r>
      <w:r>
        <w:rPr>
          <w:noProof/>
          <w:color w:val="000000" w:themeColor="text1"/>
        </w:rPr>
        <w:t>. Riiklike valimiste puhul palus Rumeenia Senati valideerimiskomitee valimistele järgnenud valideerimisprotsessi osana ANI-l teatada lõplikud ja edasikaebamisele mittekuuluvad otsused, mille kohtud olid teinud valitud senaatorite ametikohtade ühitamatuse või huvide konflikti kohta. ANI leidis, et ühegi valitud senaatori suhtes ametisse asumise keeldu ei kehtinud. Saadikutekoda on küsinud mitme saadiku esitatud teabe kohta ANI arvamust seoses võimaliku ametikohtade ühitamatusega</w:t>
      </w:r>
      <w:r>
        <w:rPr>
          <w:rFonts w:eastAsia="Calibri" w:cs="Times New Roman"/>
          <w:noProof/>
          <w:color w:val="000000" w:themeColor="text1"/>
          <w:vertAlign w:val="superscript"/>
        </w:rPr>
        <w:footnoteReference w:id="97"/>
      </w:r>
      <w:r>
        <w:rPr>
          <w:noProof/>
          <w:color w:val="000000" w:themeColor="text1"/>
        </w:rPr>
        <w:t>.</w:t>
      </w:r>
    </w:p>
    <w:p>
      <w:pPr>
        <w:rPr>
          <w:rFonts w:cs="Times New Roman"/>
          <w:noProof/>
          <w:color w:val="000000" w:themeColor="text1"/>
        </w:rPr>
      </w:pPr>
      <w:r>
        <w:rPr>
          <w:b/>
          <w:bCs/>
          <w:noProof/>
          <w:color w:val="000000" w:themeColor="text1"/>
        </w:rPr>
        <w:t>Riigihangetes huvide konfliktide vältimiseks kasutatav elektrooniline süsteem PREVENT on tõhus, kuna avastatud huvide konfliktide arv</w:t>
      </w:r>
      <w:r>
        <w:rPr>
          <w:noProof/>
          <w:color w:val="000000" w:themeColor="text1"/>
        </w:rPr>
        <w:t xml:space="preserve"> </w:t>
      </w:r>
      <w:r>
        <w:rPr>
          <w:b/>
          <w:bCs/>
          <w:noProof/>
          <w:color w:val="000000" w:themeColor="text1"/>
        </w:rPr>
        <w:t xml:space="preserve">on märkimisväärselt vähenenud. </w:t>
      </w:r>
      <w:r>
        <w:rPr>
          <w:noProof/>
          <w:color w:val="000000" w:themeColor="text1"/>
        </w:rPr>
        <w:t xml:space="preserve">2020. aastal analüüsiti võimalike huvide konfliktide tuvastamiseks süsteemi PREVENT abil 19 140 hankemenetlust. 2020. aastal andsid eetikainspektorid eetikanõuete kohta välja kümme hoiatust, millega seotud rahaline väärtus on ligikaudu 11,1 miljonit eurot. COVID-19 pandeemiaga seotud eriolukorra ajal lubati avaliku sektori asutustel ja juriidilistel isikutel, milles riik on enamusaktsionär, osta pandeemia vastu võitlemiseks otse materjale ja seadmeid, avaldamata hankeid elektroonilises riigihangete süsteemis ning ületades elektroonilises süsteemis avaldamiseks ette nähtud piirmäära (ligikaudu 27 000 eurot). See tähendas, et neid otseoste ei tehtud elektroonilise süsteemi kaudu ja seega ei ole neid PREVENT-süsteemi abil kontrollitud. Et lahendada otsehangetega seoses elluviidavate menetluste kontrollimise probleem, on ANI töötanud välja mehhanismi, mis on mõeldud neid menetlusi käsitlevate andmekogumite analüüsimiseks avalikest allikatest kättesaadava teabe põhjal. Selle mehhanismi eesmärk on tuvastada huvide konfliktid nendes hankemenetlustes, mille puhul ei kohaldatud PREVENTi kontrolli. 2021. aasta jaanuari lõpuks oli ANI riskimaatriksi abil kontrollinud 580 otsehankemenetlust, mis korraldati 2020. aasta esimeses pooles, ning tuvastanud 64 võimalikku eetikanõuete rikkumise juhtumit (11 % menetlustest), mida analüüsitakse põhjalikumalt ja mille puhul võidakse algatada </w:t>
      </w:r>
      <w:r>
        <w:rPr>
          <w:i/>
          <w:noProof/>
          <w:color w:val="000000" w:themeColor="text1"/>
          <w:szCs w:val="24"/>
        </w:rPr>
        <w:t>ex officio</w:t>
      </w:r>
      <w:r>
        <w:rPr>
          <w:noProof/>
          <w:color w:val="000000" w:themeColor="text1"/>
        </w:rPr>
        <w:t xml:space="preserve"> menetlus juhtumite hindamiseks.</w:t>
      </w:r>
    </w:p>
    <w:p>
      <w:pPr>
        <w:rPr>
          <w:rFonts w:eastAsia="Calibri" w:cs="Times New Roman"/>
          <w:noProof/>
          <w:color w:val="000000" w:themeColor="text1"/>
        </w:rPr>
      </w:pPr>
      <w:r>
        <w:rPr>
          <w:b/>
          <w:bCs/>
          <w:noProof/>
          <w:color w:val="000000" w:themeColor="text1"/>
        </w:rPr>
        <w:t>Arestitud vara haldamise riiklik agentuur (ANABI) toimib endiselt täielikult.</w:t>
      </w:r>
      <w:r>
        <w:rPr>
          <w:noProof/>
          <w:color w:val="000000" w:themeColor="text1"/>
        </w:rPr>
        <w:t xml:space="preserve"> ANABI ülesanne on tagada kriminaalasjades tehtud konfiskeerimisotsuste tulemuslik täitmisele pööramine prokuröride ja kohtunike poolt agentuuri saadetud arestitud vara tõhusa haldamise kaudu. 2021. aastal alustas ANABI oma viiendat tegevusaastat ja laiendab oma tegevust. Saadud kogemuste põhjal algatas agentuur justiitsministeeriumi toetusel avaliku mõttevahetuse, et edendada riiklikku varade sissenõudmise süsteemi tugevdamise strateegiat. See strateegia ja tegevuskava hõlmab 2021.–2025. aastat ning </w:t>
      </w:r>
      <w:r>
        <w:rPr>
          <w:noProof/>
        </w:rPr>
        <w:t xml:space="preserve">sisaldab eesmärke seoses </w:t>
      </w:r>
      <w:r>
        <w:rPr>
          <w:noProof/>
          <w:color w:val="000000" w:themeColor="text1"/>
        </w:rPr>
        <w:t>suurema suutlikkusega vara jälitamiseks nii riiklikul kui ka rahvusvahelisel tasandil ja tõhustatud koostöömehhanismidega kõigi asjaomaste sidusrühmade vahel ning sätteid riikliku kuritegevuse ennetamise fondi loomise kohta. Sellest fondist toetatakse ohvrite kaitse, kuritegevuse ennetamise ja haridusmeetmeid</w:t>
      </w:r>
      <w:r>
        <w:rPr>
          <w:rStyle w:val="FootnoteReference"/>
          <w:rFonts w:eastAsia="Calibri" w:cs="Times New Roman"/>
          <w:noProof/>
          <w:color w:val="000000" w:themeColor="text1"/>
        </w:rPr>
        <w:footnoteReference w:id="98"/>
      </w:r>
      <w:r>
        <w:rPr>
          <w:noProof/>
          <w:color w:val="000000" w:themeColor="text1"/>
        </w:rPr>
        <w:t>.</w:t>
      </w:r>
    </w:p>
    <w:p>
      <w:pPr>
        <w:rPr>
          <w:rFonts w:cs="Times New Roman"/>
          <w:noProof/>
          <w:color w:val="000000" w:themeColor="text1"/>
        </w:rPr>
      </w:pPr>
      <w:r>
        <w:rPr>
          <w:b/>
          <w:bCs/>
          <w:noProof/>
          <w:color w:val="000000" w:themeColor="text1"/>
        </w:rPr>
        <w:t>Seaduses 161/200360 ja järjestikustes riiklikes korruptsioonivastastes strateegiates on seoses riigiteenistujatega kehtestatud pöördukse efekti kohta piiratud sätteid.</w:t>
      </w:r>
      <w:r>
        <w:rPr>
          <w:noProof/>
          <w:color w:val="000000" w:themeColor="text1"/>
        </w:rPr>
        <w:t xml:space="preserve"> Riigiteenistujaid, kes on oma ülesannete täitmisel teinud järelevalvet ja kontrolli riigile kuuluvate ettevõtete üle, ei saa kolme aasta jooksul pärast avalikust teenistusest lahkumist tööle võtta ja nad ei saa selle aja jooksul neile ettevõtetele erialase nõustamise teenuseid osutada. Peamiste poliitikakujundajate puhul puuduvad aga eeskirjad ooteaja kohta.</w:t>
      </w:r>
    </w:p>
    <w:p>
      <w:pPr>
        <w:rPr>
          <w:rFonts w:cs="Times New Roman"/>
          <w:noProof/>
          <w:color w:val="000000" w:themeColor="text1"/>
        </w:rPr>
      </w:pPr>
      <w:r>
        <w:rPr>
          <w:b/>
          <w:bCs/>
          <w:noProof/>
          <w:color w:val="000000" w:themeColor="text1"/>
        </w:rPr>
        <w:t xml:space="preserve">Endiselt on probleemiks käitumisjuhendi täitmise tagamine ja parlamendiliikmete lobitöö eeskirjade puudumine. </w:t>
      </w:r>
      <w:r>
        <w:rPr>
          <w:noProof/>
          <w:color w:val="000000" w:themeColor="text1"/>
        </w:rPr>
        <w:t>Seoses parlamendiliikmete käitumisjuhenditega on GRECO hiljuti juhtinud tähelepanu puudulikule käitumisjuhendi täitmise tagamisele, samuti sellele, et puuduvad eeskirjad selle kohta, kuidas parlamendiliikmed lobistidega suhtlevad, samuti selgelt kindlaks määratud piirangud seoses kingituste, külalislahkuse, teenete ja muude hüvedega</w:t>
      </w:r>
      <w:r>
        <w:rPr>
          <w:rStyle w:val="FootnoteReference"/>
          <w:rFonts w:cs="Times New Roman"/>
          <w:noProof/>
          <w:color w:val="000000" w:themeColor="text1"/>
          <w:szCs w:val="24"/>
        </w:rPr>
        <w:footnoteReference w:id="99"/>
      </w:r>
      <w:r>
        <w:rPr>
          <w:noProof/>
          <w:color w:val="000000" w:themeColor="text1"/>
        </w:rPr>
        <w:t>. Et parandada pöördukse efekti nappi regulatsiooni, töötati ELi rahastatud projekti raames välja näidismenetlus, mida saavad kasutada kõik asjaomased avaliku sektori asutused</w:t>
      </w:r>
      <w:r>
        <w:rPr>
          <w:rStyle w:val="FootnoteReference"/>
          <w:rFonts w:cs="Times New Roman"/>
          <w:noProof/>
          <w:color w:val="000000" w:themeColor="text1"/>
        </w:rPr>
        <w:footnoteReference w:id="100"/>
      </w:r>
      <w:r>
        <w:rPr>
          <w:noProof/>
          <w:color w:val="000000" w:themeColor="text1"/>
        </w:rPr>
        <w:t>.</w:t>
      </w:r>
    </w:p>
    <w:p>
      <w:pPr>
        <w:rPr>
          <w:rFonts w:cs="Times New Roman"/>
          <w:noProof/>
          <w:color w:val="000000" w:themeColor="text1"/>
          <w:szCs w:val="24"/>
        </w:rPr>
      </w:pPr>
      <w:r>
        <w:rPr>
          <w:b/>
          <w:noProof/>
          <w:color w:val="000000" w:themeColor="text1"/>
          <w:szCs w:val="24"/>
        </w:rPr>
        <w:t>Rumeenias on alates 2004. aastast kehtinud rikkumisest teatajate kaitset käsitlev seadus, kuid praktikas on selle rakendamine suhteliselt piiratud</w:t>
      </w:r>
      <w:r>
        <w:rPr>
          <w:noProof/>
          <w:color w:val="000000" w:themeColor="text1"/>
          <w:szCs w:val="24"/>
        </w:rPr>
        <w:t>. Justiitsministeerium teatas 2020. aasta lõpus, et koostamisel on rikkumisest teatajate kaitse direktiivi ülevõtmiseks mõeldud seaduse eelnõu. 5. märtsil 2021 esitati seaduseelnõu ja selle seletuskiri justiitsministeeriumi veebisaidil avalikuks mõttevahetuseks.</w:t>
      </w:r>
    </w:p>
    <w:p>
      <w:pPr>
        <w:rPr>
          <w:rFonts w:eastAsia="Times New Roman" w:cs="Times New Roman"/>
          <w:noProof/>
          <w:color w:val="000000" w:themeColor="text1"/>
          <w:szCs w:val="20"/>
        </w:rPr>
      </w:pPr>
      <w:r>
        <w:rPr>
          <w:b/>
          <w:noProof/>
          <w:color w:val="000000" w:themeColor="text1"/>
          <w:szCs w:val="24"/>
        </w:rPr>
        <w:t>Hoolimata COVID-19 pandeemiast oli korruptsioonisüüdistuste esitamine endiselt tulemuslik</w:t>
      </w:r>
      <w:r>
        <w:rPr>
          <w:noProof/>
          <w:color w:val="000000" w:themeColor="text1"/>
          <w:szCs w:val="24"/>
        </w:rPr>
        <w:t>. Peaprokuratuurid ja DNA pöörasid COVID-19 pandeemia ajal erilist tähelepanu võimalikele korruptsiooniga seotud probleemidele riigihangete valdkonnas. DNAs tuvastatud mustrid on seotud riigihanke-eeskirjade rikkumisega, hankemenetlustes osalevatele ametiisikutele pakutava altkäemaksuga ning võltsitud toodete ostmisega.</w:t>
      </w:r>
    </w:p>
    <w:p>
      <w:pPr>
        <w:pStyle w:val="Heading1"/>
        <w:rPr>
          <w:noProof/>
          <w:color w:val="000000" w:themeColor="text1"/>
        </w:rPr>
      </w:pPr>
      <w:r>
        <w:rPr>
          <w:noProof/>
          <w:color w:val="000000" w:themeColor="text1"/>
        </w:rPr>
        <w:t>Meedia mitmekesisus ja meediavabadus</w:t>
      </w:r>
    </w:p>
    <w:p>
      <w:pPr>
        <w:rPr>
          <w:rFonts w:cs="Times New Roman"/>
          <w:noProof/>
          <w:color w:val="000000" w:themeColor="text1"/>
        </w:rPr>
      </w:pPr>
      <w:r>
        <w:rPr>
          <w:noProof/>
          <w:color w:val="000000" w:themeColor="text1"/>
        </w:rPr>
        <w:t>Õigus väljendusvabadusele ja õigus avalikku huvi pakkuva teabe kättesaadavusele on sätestatud põhiseaduses. Meediat reguleeriva asutuse ülesanded ja koosseis on sätestatud audiovisuaalseaduses. Ametiasutused kaaluvad kõnealuse seaduse muutmist audiovisuaalmeedia teenuste direktiivi ülevõtmise kontekstis</w:t>
      </w:r>
      <w:r>
        <w:rPr>
          <w:rStyle w:val="FootnoteReference"/>
          <w:rFonts w:cs="Times New Roman"/>
          <w:noProof/>
          <w:color w:val="000000" w:themeColor="text1"/>
        </w:rPr>
        <w:footnoteReference w:id="101"/>
      </w:r>
      <w:r>
        <w:rPr>
          <w:noProof/>
          <w:color w:val="000000" w:themeColor="text1"/>
        </w:rPr>
        <w:t xml:space="preserve">. </w:t>
      </w:r>
    </w:p>
    <w:p>
      <w:pPr>
        <w:rPr>
          <w:rFonts w:cs="Times New Roman"/>
          <w:noProof/>
          <w:color w:val="000000" w:themeColor="text1"/>
        </w:rPr>
      </w:pPr>
      <w:r>
        <w:rPr>
          <w:b/>
          <w:bCs/>
          <w:noProof/>
          <w:color w:val="000000" w:themeColor="text1"/>
        </w:rPr>
        <w:t>Endiselt tekitab muret riikliku audiovisuaalmeedia nõukogu toimimine ja eelarve</w:t>
      </w:r>
      <w:r>
        <w:rPr>
          <w:rStyle w:val="FootnoteReference"/>
          <w:rFonts w:cs="Times New Roman"/>
          <w:b/>
          <w:bCs/>
          <w:noProof/>
          <w:color w:val="000000" w:themeColor="text1"/>
        </w:rPr>
        <w:footnoteReference w:id="102"/>
      </w:r>
      <w:r>
        <w:rPr>
          <w:b/>
          <w:bCs/>
          <w:noProof/>
          <w:color w:val="000000" w:themeColor="text1"/>
        </w:rPr>
        <w:t xml:space="preserve">. </w:t>
      </w:r>
      <w:r>
        <w:rPr>
          <w:noProof/>
          <w:color w:val="000000" w:themeColor="text1"/>
        </w:rPr>
        <w:t>Riiklik audiovisuaalmeedia nõukogu (CNA) on asutus, mille ülesanne on kaitsta avalikku huvi audiovisuaalprogrammide valdkonnas ja mis on seadusega loodud parlamendi kontrolli all oleva autonoomse avaliku sektori asutusena. CNA tegevus oli häiritud alates 2021. aasta veebruarist, mil aegusid 11st liikmest nelja volitused,</w:t>
      </w:r>
      <w:r>
        <w:rPr>
          <w:rStyle w:val="FootnoteReference"/>
          <w:rFonts w:cs="Times New Roman"/>
          <w:noProof/>
          <w:color w:val="000000" w:themeColor="text1"/>
        </w:rPr>
        <w:footnoteReference w:id="103"/>
      </w:r>
      <w:r>
        <w:rPr>
          <w:noProof/>
          <w:color w:val="000000" w:themeColor="text1"/>
        </w:rPr>
        <w:t xml:space="preserve"> kuni 11. maini, mil parlament hääletas uute liikmete nimetamise üle</w:t>
      </w:r>
      <w:r>
        <w:rPr>
          <w:rStyle w:val="FootnoteReference"/>
          <w:rFonts w:cs="Times New Roman"/>
          <w:noProof/>
          <w:color w:val="000000" w:themeColor="text1"/>
        </w:rPr>
        <w:footnoteReference w:id="104"/>
      </w:r>
      <w:r>
        <w:rPr>
          <w:noProof/>
          <w:color w:val="000000" w:themeColor="text1"/>
        </w:rPr>
        <w:t>. Paistab, et eelarveprobleemid, millele osutati 2020. aasta aruandes õigusriigi kohta, püsivad endiselt</w:t>
      </w:r>
      <w:r>
        <w:rPr>
          <w:rStyle w:val="FootnoteReference"/>
          <w:rFonts w:cs="Times New Roman"/>
          <w:noProof/>
          <w:color w:val="000000" w:themeColor="text1"/>
        </w:rPr>
        <w:footnoteReference w:id="105"/>
      </w:r>
      <w:r>
        <w:rPr>
          <w:noProof/>
          <w:color w:val="000000" w:themeColor="text1"/>
        </w:rPr>
        <w:t>. Seaduseelnõu direktiivi (EL) 2018/1808 (audiovisuaalmeedia teenuste direktiiv) ülevõtmiseks, mis eeldab piisavaid rahalisi ja eelarvevahendeid, avaldati avalikuks mõttevahetuseks 2021. aasta märtsis. Seaduseelnõus nähakse ette, et asutusel peab olema vajalik eelarve.</w:t>
      </w:r>
    </w:p>
    <w:p>
      <w:pPr>
        <w:rPr>
          <w:rFonts w:cs="Times New Roman"/>
          <w:noProof/>
          <w:color w:val="000000" w:themeColor="text1"/>
        </w:rPr>
      </w:pPr>
      <w:r>
        <w:rPr>
          <w:b/>
          <w:bCs/>
          <w:noProof/>
          <w:color w:val="000000" w:themeColor="text1"/>
        </w:rPr>
        <w:t xml:space="preserve">Jätkuvalt tekitab muret toimetusliku sõltumatuse konkreetsete kaitsemeetmete ja toimetusnormide puudumine. </w:t>
      </w:r>
      <w:r>
        <w:rPr>
          <w:noProof/>
          <w:color w:val="000000" w:themeColor="text1"/>
        </w:rPr>
        <w:t>Ajakirjandussektori eneseregulatsiooni seisukohast ei ole toimunud muutusi pärast seda, kui avaldati õigusriigi olukorda käsitlev 2020. aasta aruanne, milles väljendati muret toimetusliku sõltumatuse kaitsemeetmete ja kas õigusaktide või eneseregulatsiooniga kehtestatud kutsenormide puudumise pärast. COVID-19 pandeemia halvendas juba niigi raskustes trüki- ja kohaliku ajakirjanduse majanduslikku olukorda</w:t>
      </w:r>
      <w:r>
        <w:rPr>
          <w:rStyle w:val="FootnoteReference"/>
          <w:rFonts w:cs="Times New Roman"/>
          <w:noProof/>
          <w:color w:val="000000" w:themeColor="text1"/>
        </w:rPr>
        <w:footnoteReference w:id="106"/>
      </w:r>
      <w:r>
        <w:rPr>
          <w:noProof/>
          <w:color w:val="000000" w:themeColor="text1"/>
        </w:rPr>
        <w:t xml:space="preserve"> ning muutis kvaliteedistandardite järgimise tagamise vähetähtsaks</w:t>
      </w:r>
      <w:r>
        <w:rPr>
          <w:rStyle w:val="FootnoteReference"/>
          <w:rFonts w:cs="Times New Roman"/>
          <w:noProof/>
          <w:color w:val="000000" w:themeColor="text1"/>
        </w:rPr>
        <w:footnoteReference w:id="107"/>
      </w:r>
      <w:r>
        <w:rPr>
          <w:noProof/>
          <w:color w:val="000000" w:themeColor="text1"/>
        </w:rPr>
        <w:t xml:space="preserve">. 2021. aasta meedia mitmekesisuse seire aruandes </w:t>
      </w:r>
      <w:r>
        <w:rPr>
          <w:noProof/>
        </w:rPr>
        <w:t>osutatakse olulisele jätkuvale probleemile, milleks on „ajakirjanike ebakindlad olud ja halvad töötingimused“,</w:t>
      </w:r>
      <w:r>
        <w:rPr>
          <w:noProof/>
          <w:color w:val="000000" w:themeColor="text1"/>
        </w:rPr>
        <w:t xml:space="preserve"> ning hinnatakse </w:t>
      </w:r>
      <w:r>
        <w:rPr>
          <w:noProof/>
        </w:rPr>
        <w:t>risk seoses ärilise ja omanike mõjuga toimetatavale sisule väga suureks</w:t>
      </w:r>
      <w:r>
        <w:rPr>
          <w:rStyle w:val="FootnoteReference"/>
          <w:noProof/>
        </w:rPr>
        <w:footnoteReference w:id="108"/>
      </w:r>
      <w:r>
        <w:rPr>
          <w:noProof/>
        </w:rPr>
        <w:t xml:space="preserve">. </w:t>
      </w:r>
    </w:p>
    <w:p>
      <w:pPr>
        <w:rPr>
          <w:rFonts w:eastAsia="Times New Roman" w:cs="Times New Roman"/>
          <w:noProof/>
          <w:szCs w:val="24"/>
        </w:rPr>
      </w:pPr>
      <w:r>
        <w:rPr>
          <w:b/>
          <w:bCs/>
          <w:noProof/>
          <w:color w:val="000000" w:themeColor="text1"/>
        </w:rPr>
        <w:t>Meediaomandi läbipaistvus ei ole endiselt täielik</w:t>
      </w:r>
      <w:r>
        <w:rPr>
          <w:rStyle w:val="FootnoteReference"/>
          <w:rFonts w:cs="Times New Roman"/>
          <w:noProof/>
          <w:color w:val="000000" w:themeColor="text1"/>
        </w:rPr>
        <w:footnoteReference w:id="109"/>
      </w:r>
      <w:r>
        <w:rPr>
          <w:noProof/>
          <w:color w:val="000000" w:themeColor="text1"/>
        </w:rPr>
        <w:t>. Nagu on märgitud 2020. aasta aruandes õigusriigi kohta, on audiovisuaalmeedia seadusega ette nähtud, et riiklik audiovisuaalmeedia nõukogu peab tagama audiovisuaalsektoris massimeedia korralduse, tegevuse ja rahastamise läbipaistvuse. Trüki- ja digimeedia suhtes kohaldatakse äriühinguõiguses sätestatud omandi läbipaistvust käsitlevaid üldeeskirju, aga mitte konkreetselt meedia kohta kehtestatud eeskirju. Samuti juhitakse meedia mitmekesisuse seire aruandes tähelepanu sellele, et esineb seaduselünki</w:t>
      </w:r>
      <w:r>
        <w:rPr>
          <w:rStyle w:val="FootnoteReference"/>
          <w:rFonts w:cs="Times New Roman"/>
          <w:noProof/>
          <w:color w:val="000000" w:themeColor="text1"/>
        </w:rPr>
        <w:footnoteReference w:id="110"/>
      </w:r>
      <w:r>
        <w:rPr>
          <w:noProof/>
          <w:color w:val="000000" w:themeColor="text1"/>
        </w:rPr>
        <w:t xml:space="preserve">. </w:t>
      </w:r>
      <w:r>
        <w:rPr>
          <w:noProof/>
          <w:color w:val="000000" w:themeColor="text1"/>
          <w:shd w:val="clear" w:color="auto" w:fill="FFFFFF"/>
        </w:rPr>
        <w:t>Peale selle tuginetakse andmekaitse-eeskirjadele, et vältida avalikustamist teatava meediaomandit</w:t>
      </w:r>
      <w:r>
        <w:rPr>
          <w:rStyle w:val="FootnoteReference"/>
          <w:noProof/>
          <w:color w:val="000000" w:themeColor="text1"/>
          <w:shd w:val="clear" w:color="auto" w:fill="FFFFFF"/>
        </w:rPr>
        <w:t xml:space="preserve"> </w:t>
      </w:r>
      <w:r>
        <w:rPr>
          <w:noProof/>
          <w:color w:val="000000" w:themeColor="text1"/>
          <w:shd w:val="clear" w:color="auto" w:fill="FFFFFF"/>
        </w:rPr>
        <w:t>käsitleva teabe puhul, mida audiovisuaalmeedia nõukogu on varem avalikustanud</w:t>
      </w:r>
      <w:r>
        <w:rPr>
          <w:rStyle w:val="FootnoteReference"/>
          <w:rFonts w:cs="Times New Roman"/>
          <w:noProof/>
          <w:color w:val="000000" w:themeColor="text1"/>
          <w:shd w:val="clear" w:color="auto" w:fill="FFFFFF"/>
        </w:rPr>
        <w:footnoteReference w:id="111"/>
      </w:r>
      <w:r>
        <w:rPr>
          <w:noProof/>
          <w:color w:val="000000" w:themeColor="text1"/>
          <w:shd w:val="clear" w:color="auto" w:fill="FFFFFF"/>
        </w:rPr>
        <w:t>.</w:t>
      </w:r>
      <w:r>
        <w:rPr>
          <w:noProof/>
        </w:rPr>
        <w:t xml:space="preserve"> 2021. aasta meedia mitmekesisuse seire aruandes hinnatakse uudistemeedia koondumist suureks, eriti trükiuudiste turusektoris, mis on väga väike nii nõudluse kui ka väljaannete arvu poolest</w:t>
      </w:r>
      <w:r>
        <w:rPr>
          <w:rStyle w:val="FootnoteReference"/>
          <w:rFonts w:eastAsia="Times New Roman" w:cs="Times New Roman"/>
          <w:noProof/>
        </w:rPr>
        <w:footnoteReference w:id="112"/>
      </w:r>
      <w:r>
        <w:rPr>
          <w:noProof/>
        </w:rPr>
        <w:t>.</w:t>
      </w:r>
    </w:p>
    <w:p>
      <w:pPr>
        <w:rPr>
          <w:rFonts w:cs="Times New Roman"/>
          <w:b/>
          <w:bCs/>
          <w:noProof/>
          <w:color w:val="000000" w:themeColor="text1"/>
        </w:rPr>
      </w:pPr>
      <w:r>
        <w:rPr>
          <w:b/>
          <w:bCs/>
          <w:noProof/>
          <w:color w:val="000000" w:themeColor="text1"/>
        </w:rPr>
        <w:t>Riiklik reklaam on jätkuvalt meediasektori</w:t>
      </w:r>
      <w:r>
        <w:rPr>
          <w:noProof/>
          <w:color w:val="000000" w:themeColor="text1"/>
        </w:rPr>
        <w:t xml:space="preserve"> </w:t>
      </w:r>
      <w:r>
        <w:rPr>
          <w:b/>
          <w:bCs/>
          <w:noProof/>
          <w:color w:val="000000" w:themeColor="text1"/>
        </w:rPr>
        <w:t>oluline rahastamisallikas.</w:t>
      </w:r>
      <w:r>
        <w:rPr>
          <w:noProof/>
          <w:color w:val="000000" w:themeColor="text1"/>
        </w:rPr>
        <w:t xml:space="preserve"> Ärireklaami vähenemine on toonud kaasa meediakanalite tulu vähenemise, samas kui riikliku reklaami lepingud näivad tekitavat muret seoses toimetusliku autonoomiaga</w:t>
      </w:r>
      <w:r>
        <w:rPr>
          <w:rStyle w:val="FootnoteReference"/>
          <w:rFonts w:cs="Times New Roman"/>
          <w:noProof/>
          <w:color w:val="000000" w:themeColor="text1"/>
        </w:rPr>
        <w:footnoteReference w:id="113"/>
      </w:r>
      <w:r>
        <w:rPr>
          <w:noProof/>
          <w:color w:val="000000" w:themeColor="text1"/>
        </w:rPr>
        <w:t>.</w:t>
      </w:r>
      <w:r>
        <w:rPr>
          <w:b/>
          <w:bCs/>
          <w:noProof/>
          <w:color w:val="000000" w:themeColor="text1"/>
        </w:rPr>
        <w:t xml:space="preserve"> </w:t>
      </w:r>
      <w:r>
        <w:rPr>
          <w:noProof/>
          <w:color w:val="000000" w:themeColor="text1"/>
        </w:rPr>
        <w:t>Sidusrühmad on väljendanud muret ka seoses rahaliste vahendite eraldamisega ning maininud näiteks COVID-19 pandeemia ajal toimunud üritustega seotud reklaamilepinguid, kuigi eeldatavalt poleks olnud võimalik selliseid üritusi korraldada</w:t>
      </w:r>
      <w:r>
        <w:rPr>
          <w:rStyle w:val="FootnoteReference"/>
          <w:rFonts w:cs="Times New Roman"/>
          <w:noProof/>
          <w:color w:val="000000" w:themeColor="text1"/>
        </w:rPr>
        <w:footnoteReference w:id="114"/>
      </w:r>
      <w:r>
        <w:rPr>
          <w:noProof/>
          <w:color w:val="000000" w:themeColor="text1"/>
        </w:rPr>
        <w:t>.</w:t>
      </w:r>
      <w:r>
        <w:rPr>
          <w:b/>
          <w:bCs/>
          <w:noProof/>
          <w:color w:val="000000" w:themeColor="text1"/>
        </w:rPr>
        <w:t xml:space="preserve"> </w:t>
      </w:r>
    </w:p>
    <w:p>
      <w:pPr>
        <w:rPr>
          <w:noProof/>
        </w:rPr>
      </w:pPr>
      <w:r>
        <w:rPr>
          <w:b/>
          <w:bCs/>
          <w:noProof/>
          <w:color w:val="000000" w:themeColor="text1"/>
        </w:rPr>
        <w:t xml:space="preserve">Riiklike teavituskampaaniate jaoks ette nähtud rahalised vahendid on olnud COVID-19 pandeemia ajal meediale oluliseks toetusvahendiks. </w:t>
      </w:r>
      <w:r>
        <w:rPr>
          <w:noProof/>
          <w:color w:val="000000" w:themeColor="text1"/>
        </w:rPr>
        <w:t>7. mai 2020. aasta erakorralise määrusega nr 63</w:t>
      </w:r>
      <w:r>
        <w:rPr>
          <w:rStyle w:val="FootnoteReference"/>
          <w:rFonts w:cs="Times New Roman"/>
          <w:noProof/>
          <w:color w:val="000000" w:themeColor="text1"/>
        </w:rPr>
        <w:footnoteReference w:id="115"/>
      </w:r>
      <w:r>
        <w:rPr>
          <w:noProof/>
          <w:color w:val="000000" w:themeColor="text1"/>
        </w:rPr>
        <w:t xml:space="preserve"> eraldati ligikaudu 50 miljonit eurot valitsuse meediakampaaniate jaoks, mille eesmärk oli tõkestada COVID-19 levikut. Suurem osa eelarvest (53 %) oli seadusega ette nähtud telekampaaniatele. Kava alusel sai toetust kokku 364 taotlejat</w:t>
      </w:r>
      <w:r>
        <w:rPr>
          <w:rStyle w:val="FootnoteReference"/>
          <w:rFonts w:cs="Times New Roman"/>
          <w:noProof/>
          <w:color w:val="000000" w:themeColor="text1"/>
        </w:rPr>
        <w:footnoteReference w:id="116"/>
      </w:r>
      <w:r>
        <w:rPr>
          <w:noProof/>
          <w:color w:val="000000" w:themeColor="text1"/>
        </w:rPr>
        <w:t>. Kava kritiseerisid mõned meediakanalid ja muud sidusrühmad, kes leidsid, et taotlemiskriteeriumid soosivad suuri meediaettevõtteid ja soodustavad klõpsusööda kasutamist. Nad juhtisid tähelepanu ka ohule, et kodanike usaldus meedia vastu väheneb, ning poliitilise surve ja enesetsensuuri ohule</w:t>
      </w:r>
      <w:r>
        <w:rPr>
          <w:rStyle w:val="FootnoteReference"/>
          <w:rFonts w:cs="Times New Roman"/>
          <w:noProof/>
          <w:color w:val="000000" w:themeColor="text1"/>
        </w:rPr>
        <w:footnoteReference w:id="117"/>
      </w:r>
      <w:r>
        <w:rPr>
          <w:noProof/>
          <w:color w:val="000000" w:themeColor="text1"/>
        </w:rPr>
        <w:t>.</w:t>
      </w:r>
    </w:p>
    <w:p>
      <w:pPr>
        <w:rPr>
          <w:rFonts w:cs="Times New Roman"/>
          <w:noProof/>
          <w:color w:val="000000" w:themeColor="text1"/>
        </w:rPr>
      </w:pPr>
      <w:r>
        <w:rPr>
          <w:b/>
          <w:bCs/>
          <w:noProof/>
          <w:color w:val="000000" w:themeColor="text1"/>
        </w:rPr>
        <w:t xml:space="preserve">Endiselt tekitab muret teabele juurdepääsu käsitleva õigusraamistiku rakendamine. </w:t>
      </w:r>
      <w:r>
        <w:rPr>
          <w:noProof/>
          <w:color w:val="000000" w:themeColor="text1"/>
        </w:rPr>
        <w:t>Seadusega</w:t>
      </w:r>
      <w:r>
        <w:rPr>
          <w:rStyle w:val="FootnoteReference"/>
          <w:rFonts w:cs="Times New Roman"/>
          <w:noProof/>
          <w:color w:val="000000" w:themeColor="text1"/>
        </w:rPr>
        <w:footnoteReference w:id="118"/>
      </w:r>
      <w:r>
        <w:rPr>
          <w:noProof/>
          <w:color w:val="000000" w:themeColor="text1"/>
        </w:rPr>
        <w:t xml:space="preserve"> on tagatud massimeedia juurdepääs avalikku huvi pakkuvale teabele, sealhulgas pressikonverentside kaudu, mida avaliku sektori asutused peavad korrapäraselt korraldama</w:t>
      </w:r>
      <w:r>
        <w:rPr>
          <w:rStyle w:val="FootnoteReference"/>
          <w:rFonts w:cs="Times New Roman"/>
          <w:noProof/>
          <w:color w:val="000000" w:themeColor="text1"/>
        </w:rPr>
        <w:footnoteReference w:id="119"/>
      </w:r>
      <w:r>
        <w:rPr>
          <w:noProof/>
          <w:color w:val="000000" w:themeColor="text1"/>
        </w:rPr>
        <w:t>. Sellele vaatamata märgitakse endiselt, et juurdepääsu puudumine teabele on ajakirjanike jaoks oluline probleem. Probleemid, millest jätkuvalt teatatakse, sealhulgas COVID-19 pandeemia kontekstis, hõlmavad viivitusi teabe andmisel või selle andmisest keeldumist, pressikonverentside vähesust</w:t>
      </w:r>
      <w:r>
        <w:rPr>
          <w:rStyle w:val="FootnoteReference"/>
          <w:rFonts w:cs="Times New Roman"/>
          <w:noProof/>
          <w:color w:val="000000" w:themeColor="text1"/>
        </w:rPr>
        <w:footnoteReference w:id="120"/>
      </w:r>
      <w:r>
        <w:rPr>
          <w:noProof/>
          <w:color w:val="000000" w:themeColor="text1"/>
        </w:rPr>
        <w:t xml:space="preserve"> ja andmekaitse-eeskirjade kasutamist teabele juurdepääsu piiramiseks</w:t>
      </w:r>
      <w:r>
        <w:rPr>
          <w:rStyle w:val="FootnoteReference"/>
          <w:rFonts w:cs="Times New Roman"/>
          <w:noProof/>
          <w:color w:val="000000" w:themeColor="text1"/>
        </w:rPr>
        <w:footnoteReference w:id="121"/>
      </w:r>
      <w:r>
        <w:rPr>
          <w:noProof/>
          <w:color w:val="000000" w:themeColor="text1"/>
        </w:rPr>
        <w:t>. Kui ametiasutuste otsused teabe andmisest keeldumise kohta kohtus vaidlustatakse, kohaldatakse sarnastes olukordades erinevaid tõlgendusi</w:t>
      </w:r>
      <w:r>
        <w:rPr>
          <w:rStyle w:val="FootnoteReference"/>
          <w:rFonts w:cs="Times New Roman"/>
          <w:noProof/>
          <w:color w:val="000000" w:themeColor="text1"/>
        </w:rPr>
        <w:footnoteReference w:id="122"/>
      </w:r>
      <w:r>
        <w:rPr>
          <w:noProof/>
          <w:color w:val="000000" w:themeColor="text1"/>
        </w:rPr>
        <w:t>. Lisaks üldisele statistikale tegid ametiasutused alates 2021. aasta märtsist iga päev kättesaadavaks COVID-19 pandeemiat käsitlevad toorandmed</w:t>
      </w:r>
      <w:r>
        <w:rPr>
          <w:rStyle w:val="FootnoteReference"/>
          <w:rFonts w:cs="Times New Roman"/>
          <w:noProof/>
          <w:color w:val="000000" w:themeColor="text1"/>
        </w:rPr>
        <w:footnoteReference w:id="123"/>
      </w:r>
      <w:r>
        <w:rPr>
          <w:noProof/>
          <w:color w:val="000000" w:themeColor="text1"/>
        </w:rPr>
        <w:t xml:space="preserve"> ja ajakohastasid neid. Hoolimata neist jõupingutustest näib, et juurdepääs teabele on COVID-19 pandeemia ajal muutunud veelgi raskemaks, mistõttu kodanikuühiskond ja ajakirjanikud nõuavad suuremat läbipaistvust</w:t>
      </w:r>
      <w:r>
        <w:rPr>
          <w:rStyle w:val="FootnoteReference"/>
          <w:rFonts w:cs="Times New Roman"/>
          <w:noProof/>
          <w:color w:val="000000" w:themeColor="text1"/>
        </w:rPr>
        <w:footnoteReference w:id="124"/>
      </w:r>
      <w:r>
        <w:rPr>
          <w:noProof/>
          <w:color w:val="000000" w:themeColor="text1"/>
        </w:rPr>
        <w:t>. Rumeenia ametiasutuste korrapärase järelevalve tulemustest nähtub, et haldusasutused rakendavad õigusraamistikku erinevalt ning ametiasutused ei pea läbipaistvusmeetmeid piisavalt prioriteetseks, kusjuures kohalikes valitsusüksustes on olukord nõuete täitmisega kõige halvem</w:t>
      </w:r>
      <w:r>
        <w:rPr>
          <w:rStyle w:val="FootnoteReference"/>
          <w:rFonts w:cs="Times New Roman"/>
          <w:noProof/>
          <w:color w:val="000000" w:themeColor="text1"/>
        </w:rPr>
        <w:footnoteReference w:id="125"/>
      </w:r>
      <w:r>
        <w:rPr>
          <w:noProof/>
          <w:color w:val="000000" w:themeColor="text1"/>
        </w:rPr>
        <w:t>. 2021. aasta meedia mitmekesisuse seire aruandes märgitakse riskiteguritena ära ametiasutuste reageerimisvõime, mis on endiselt ebajärjekindel, ning asjaolu, et õiguskaitse kättesaadavus on raskendatud</w:t>
      </w:r>
      <w:r>
        <w:rPr>
          <w:rStyle w:val="FootnoteReference"/>
          <w:rFonts w:cs="Times New Roman"/>
          <w:noProof/>
          <w:color w:val="000000" w:themeColor="text1"/>
        </w:rPr>
        <w:footnoteReference w:id="126"/>
      </w:r>
      <w:r>
        <w:rPr>
          <w:noProof/>
          <w:color w:val="000000" w:themeColor="text1"/>
        </w:rPr>
        <w:t>. 2020. aasta augustis tehti ettepanekud õigusraamistiku rakendussätete muutmiseks, et mõni probleem lahendada. Mõnda kavandatud sätet on siiski kritiseeritud, väites, et need võivad raskendada juurdepääsu teatavale teabele</w:t>
      </w:r>
      <w:r>
        <w:rPr>
          <w:rStyle w:val="FootnoteReference"/>
          <w:rFonts w:cs="Times New Roman"/>
          <w:noProof/>
          <w:color w:val="000000" w:themeColor="text1"/>
        </w:rPr>
        <w:footnoteReference w:id="127"/>
      </w:r>
      <w:r>
        <w:rPr>
          <w:noProof/>
          <w:color w:val="000000" w:themeColor="text1"/>
        </w:rPr>
        <w:t>. Valitsuse teavitustegevuse juhtimise strateegia projekt käivitati 2021. aasta märtsis</w:t>
      </w:r>
      <w:r>
        <w:rPr>
          <w:rStyle w:val="FootnoteReference"/>
          <w:rFonts w:cs="Times New Roman"/>
          <w:noProof/>
          <w:color w:val="000000" w:themeColor="text1"/>
        </w:rPr>
        <w:footnoteReference w:id="128"/>
      </w:r>
      <w:r>
        <w:rPr>
          <w:noProof/>
          <w:color w:val="000000" w:themeColor="text1"/>
        </w:rPr>
        <w:t>.</w:t>
      </w:r>
    </w:p>
    <w:p>
      <w:pPr>
        <w:rPr>
          <w:noProof/>
          <w:color w:val="000000" w:themeColor="text1"/>
        </w:rPr>
      </w:pPr>
      <w:r>
        <w:rPr>
          <w:b/>
          <w:bCs/>
          <w:noProof/>
          <w:color w:val="000000" w:themeColor="text1"/>
        </w:rPr>
        <w:t xml:space="preserve">Jätkuvalt teatatakse uurivate ajakirjanike vastu laimu eest algatatud kohtuasjadest. </w:t>
      </w:r>
      <w:r>
        <w:rPr>
          <w:noProof/>
          <w:color w:val="000000" w:themeColor="text1"/>
        </w:rPr>
        <w:t>Kaks hiljutist hoiatust Euroopa Nõukogu ajakirjanduse kaitse ja ajakirjanike turvalisuse edendamise platvormil puudutavad ajakirjanike ahistamist ja hirmutamist</w:t>
      </w:r>
      <w:r>
        <w:rPr>
          <w:rStyle w:val="FootnoteReference"/>
          <w:rFonts w:eastAsia="Times New Roman" w:cs="Times New Roman"/>
          <w:noProof/>
          <w:color w:val="000000" w:themeColor="text1"/>
        </w:rPr>
        <w:footnoteReference w:id="129"/>
      </w:r>
      <w:r>
        <w:rPr>
          <w:noProof/>
          <w:color w:val="000000" w:themeColor="text1"/>
          <w:shd w:val="clear" w:color="auto" w:fill="FFFFFF"/>
        </w:rPr>
        <w:t>. Rumeenia</w:t>
      </w:r>
      <w:r>
        <w:rPr>
          <w:noProof/>
          <w:color w:val="000000" w:themeColor="text1"/>
        </w:rPr>
        <w:t xml:space="preserve"> </w:t>
      </w:r>
      <w:r>
        <w:rPr>
          <w:noProof/>
          <w:color w:val="000000" w:themeColor="text1"/>
          <w:shd w:val="clear" w:color="auto" w:fill="FFFFFF"/>
        </w:rPr>
        <w:t>asjaomane kohus lükkas 2021. aasta alguses tagasi veel ühe kohtuasja uurivate ajakirjanike vastu laimu eest esitatud hagi, mis oli seotud ülemaailmset jalgpallitööstust käsitlevate artiklitega. Hiljutises kohtuotsuses, mille esimese astme kohus tegi pärast seda, kui Bukaresti piirkonna linnapea esitas ühe suure ajalehe vastu laimuhagi, asus kohus seisukohale, et mitu selle ajalehe avaldatud artiklit tuleb kõrvaldada</w:t>
      </w:r>
      <w:r>
        <w:rPr>
          <w:rStyle w:val="FootnoteReference"/>
          <w:rFonts w:cs="Times New Roman"/>
          <w:noProof/>
          <w:color w:val="000000" w:themeColor="text1"/>
          <w:shd w:val="clear" w:color="auto" w:fill="FFFFFF"/>
        </w:rPr>
        <w:footnoteReference w:id="130"/>
      </w:r>
      <w:r>
        <w:rPr>
          <w:noProof/>
          <w:color w:val="000000" w:themeColor="text1"/>
          <w:shd w:val="clear" w:color="auto" w:fill="FFFFFF"/>
        </w:rPr>
        <w:t>. On teatatud, et see linnapea on esitanud ka mitme väljaande ajakirjanike vastu nii kuritegeliku organisatsiooni moodustamise kui ka väljapressimise eest kuriteokaebuse, mida uurib organiseeritud kuritegevuse ja terrorismi uurimise direktoraat</w:t>
      </w:r>
      <w:r>
        <w:rPr>
          <w:rStyle w:val="FootnoteReference"/>
          <w:rFonts w:cs="Times New Roman"/>
          <w:noProof/>
          <w:color w:val="000000" w:themeColor="text1"/>
          <w:shd w:val="clear" w:color="auto" w:fill="FFFFFF"/>
        </w:rPr>
        <w:footnoteReference w:id="131"/>
      </w:r>
      <w:r>
        <w:rPr>
          <w:noProof/>
          <w:color w:val="000000" w:themeColor="text1"/>
          <w:shd w:val="clear" w:color="auto" w:fill="FFFFFF"/>
        </w:rPr>
        <w:t xml:space="preserve">. </w:t>
      </w:r>
      <w:r>
        <w:rPr>
          <w:noProof/>
          <w:color w:val="000000" w:themeColor="text1"/>
        </w:rPr>
        <w:t>Lisaks teatas kodanikuühiskond juhtumitest, kus avalik-õiguslikud asutused või ettevõtjad on esitanud ajakirjanike, meedia või kodanikuühiskonna vastu üldsuse osalemise vastase strateegilise hagi</w:t>
      </w:r>
      <w:r>
        <w:rPr>
          <w:rFonts w:cs="Times New Roman"/>
          <w:noProof/>
          <w:color w:val="000000" w:themeColor="text1"/>
          <w:shd w:val="clear" w:color="auto" w:fill="FFFFFF"/>
          <w:vertAlign w:val="superscript"/>
        </w:rPr>
        <w:footnoteReference w:id="132"/>
      </w:r>
      <w:r>
        <w:rPr>
          <w:noProof/>
          <w:color w:val="000000" w:themeColor="text1"/>
        </w:rPr>
        <w:t>.</w:t>
      </w:r>
    </w:p>
    <w:p>
      <w:pPr>
        <w:pStyle w:val="Heading1"/>
        <w:rPr>
          <w:noProof/>
          <w:color w:val="000000" w:themeColor="text1"/>
        </w:rPr>
      </w:pPr>
      <w:r>
        <w:rPr>
          <w:noProof/>
          <w:color w:val="000000" w:themeColor="text1"/>
        </w:rPr>
        <w:t>Muud kontrolli- ja tasakaalustussüsteemiga seotud institutsioonilised küsimused</w:t>
      </w:r>
    </w:p>
    <w:p>
      <w:pPr>
        <w:rPr>
          <w:rFonts w:cs="Times New Roman"/>
          <w:noProof/>
          <w:color w:val="000000" w:themeColor="text1"/>
          <w:szCs w:val="24"/>
        </w:rPr>
      </w:pPr>
      <w:r>
        <w:rPr>
          <w:noProof/>
          <w:color w:val="000000" w:themeColor="text1"/>
        </w:rPr>
        <w:t>Rumeenia on poolpresidentaalne esindusdemokraatiaga vabariik. Rumeenia parlament on kahekojaline ning koosneb senatist (ülemkoda) ja saadikutekojast (alamkoda). Õigus teha seadusandlikke algatusi on valitsusel, parlamendisaadikutel, senaatoritel või vähemalt 100 000 kodanikust koosneval rühmal</w:t>
      </w:r>
      <w:r>
        <w:rPr>
          <w:rStyle w:val="FootnoteReference"/>
          <w:rFonts w:cs="Times New Roman"/>
          <w:noProof/>
          <w:color w:val="000000" w:themeColor="text1"/>
        </w:rPr>
        <w:footnoteReference w:id="133"/>
      </w:r>
      <w:r>
        <w:rPr>
          <w:noProof/>
          <w:color w:val="000000" w:themeColor="text1"/>
        </w:rPr>
        <w:t>. Konstitutsioonikohus on põhiseaduse ülimuslikkuse tagaja ja vastutab seaduste läbivaatamise eest</w:t>
      </w:r>
      <w:r>
        <w:rPr>
          <w:rStyle w:val="FootnoteReference"/>
          <w:rFonts w:cs="Times New Roman"/>
          <w:noProof/>
          <w:color w:val="000000" w:themeColor="text1"/>
        </w:rPr>
        <w:footnoteReference w:id="134"/>
      </w:r>
      <w:r>
        <w:rPr>
          <w:noProof/>
          <w:color w:val="000000" w:themeColor="text1"/>
        </w:rPr>
        <w:t>.</w:t>
      </w:r>
    </w:p>
    <w:p>
      <w:pPr>
        <w:rPr>
          <w:rFonts w:eastAsia="Times New Roman" w:cs="Times New Roman"/>
          <w:noProof/>
          <w:color w:val="000000" w:themeColor="text1"/>
        </w:rPr>
      </w:pPr>
      <w:r>
        <w:rPr>
          <w:b/>
          <w:bCs/>
          <w:noProof/>
          <w:color w:val="000000" w:themeColor="text1"/>
        </w:rPr>
        <w:t xml:space="preserve">Endiselt tekitab muret õigusaktide stabiilsus ja prognoositavus. </w:t>
      </w:r>
      <w:r>
        <w:rPr>
          <w:bCs/>
          <w:noProof/>
          <w:color w:val="000000" w:themeColor="text1"/>
        </w:rPr>
        <w:t>Tavapärane õigusaktide ettevalmistamise ja täitmise tagamise protsess on hästi reguleeritud ning olemas on laiendatud institutsionaalne kontrolli- ja tasakaalustussüsteem.</w:t>
      </w:r>
      <w:r>
        <w:rPr>
          <w:b/>
          <w:bCs/>
          <w:noProof/>
          <w:color w:val="000000" w:themeColor="text1"/>
        </w:rPr>
        <w:t xml:space="preserve"> </w:t>
      </w:r>
      <w:r>
        <w:rPr>
          <w:noProof/>
          <w:color w:val="000000" w:themeColor="text1"/>
        </w:rPr>
        <w:t>Nagu aga märgitud 2020. aasta aruandes õigusriigi kohta,</w:t>
      </w:r>
      <w:r>
        <w:rPr>
          <w:rStyle w:val="FootnoteReference"/>
          <w:rFonts w:eastAsia="Times New Roman" w:cs="Times New Roman"/>
          <w:noProof/>
          <w:color w:val="000000" w:themeColor="text1"/>
          <w:lang w:eastAsia="fr-FR"/>
        </w:rPr>
        <w:footnoteReference w:id="135"/>
      </w:r>
      <w:r>
        <w:rPr>
          <w:noProof/>
          <w:color w:val="000000" w:themeColor="text1"/>
        </w:rPr>
        <w:t xml:space="preserve"> muudetakse õigusakte liiga sageli ning seejuures jääb muudatuste eesmärk tihti ebaselgeks ja muutmise tulemuseks võivad olla vastuolulised õigusaktid. Mitmes poliitikavaldkonnas on parlament algatanud ja vastu võtnud samade seaduste arvukaid muudatusi, mis vahel on olnud ka vastuolulised. Seadusandlusnõukogu</w:t>
      </w:r>
      <w:r>
        <w:rPr>
          <w:rStyle w:val="FootnoteReference"/>
          <w:rFonts w:eastAsia="Times New Roman" w:cs="Times New Roman"/>
          <w:noProof/>
          <w:color w:val="000000" w:themeColor="text1"/>
        </w:rPr>
        <w:footnoteReference w:id="136"/>
      </w:r>
      <w:r>
        <w:rPr>
          <w:noProof/>
          <w:color w:val="000000" w:themeColor="text1"/>
        </w:rPr>
        <w:t xml:space="preserve"> on teatanud, et korduvad ebasidusad muudatused ning mitu korda muudetud õigusaktide kodifitseerimata jätmine raskendasid õiguse hetkeseisuga kursis püsimist isegi õiguspraktikute jaoks. Ettevõtted leiavad, et stabiilsete ja prognoositavate õigusaktide puudumine on probleem</w:t>
      </w:r>
      <w:r>
        <w:rPr>
          <w:rStyle w:val="FootnoteReference"/>
          <w:rFonts w:eastAsia="Times New Roman" w:cs="Times New Roman"/>
          <w:noProof/>
          <w:color w:val="000000" w:themeColor="text1"/>
          <w:lang w:eastAsia="fr-FR"/>
        </w:rPr>
        <w:footnoteReference w:id="137"/>
      </w:r>
      <w:r>
        <w:rPr>
          <w:noProof/>
          <w:color w:val="000000" w:themeColor="text1"/>
        </w:rPr>
        <w:t>. Seetõttu nõuab seadusandlusnõukogu nüüd, et kehtestataks kohustus avaldada õigusakti konsolideeritud versioon iga kord, kui seda muudetakse. Vastavalt seadusele nr 24 seadusandliku tehnika kohta võib seaduse algataja otsustada avaldada seaduse uuesti konsolideeritud kujul, kuid seda võimalust kasutatakse harva. Seadusandlusnõukogu on algatanud ka õigusaktide kodifitseerimise projekti</w:t>
      </w:r>
      <w:r>
        <w:rPr>
          <w:rStyle w:val="FootnoteReference"/>
          <w:rFonts w:eastAsia="Times New Roman" w:cs="Times New Roman"/>
          <w:noProof/>
          <w:color w:val="000000" w:themeColor="text1"/>
        </w:rPr>
        <w:footnoteReference w:id="138"/>
      </w:r>
      <w:r>
        <w:rPr>
          <w:noProof/>
          <w:color w:val="000000" w:themeColor="text1"/>
        </w:rPr>
        <w:t>. Parlamendi menetlus, mille kohaselt muudatusettepanekud jäävad ootele seniks, kuni need konkreetselt kõrvale jäetakse, tähendab aga seda, et mitme ammuse muudatusettepaneku ja menetluse kohta pole parlamendis endiselt otsust tehtud. Positiivseks sammuks peeti seda, et parlament lükkas uue ametiaja esimestel kuudel lõplikult tagasi problemaatilised põhivaldkondades tehtud muudatusettepanekud, mille menetlemine jäi eelmisel ametiajal pooleli</w:t>
      </w:r>
      <w:r>
        <w:rPr>
          <w:rStyle w:val="FootnoteReference"/>
          <w:rFonts w:eastAsia="Times New Roman" w:cs="Times New Roman"/>
          <w:noProof/>
          <w:color w:val="000000" w:themeColor="text1"/>
        </w:rPr>
        <w:footnoteReference w:id="139"/>
      </w:r>
      <w:r>
        <w:rPr>
          <w:noProof/>
          <w:color w:val="000000" w:themeColor="text1"/>
        </w:rPr>
        <w:t>.</w:t>
      </w:r>
    </w:p>
    <w:p>
      <w:pPr>
        <w:rPr>
          <w:rFonts w:eastAsia="Calibri" w:cs="Times New Roman"/>
          <w:noProof/>
          <w:color w:val="000000" w:themeColor="text1"/>
        </w:rPr>
      </w:pPr>
      <w:r>
        <w:rPr>
          <w:b/>
          <w:bCs/>
          <w:noProof/>
          <w:color w:val="000000" w:themeColor="text1"/>
        </w:rPr>
        <w:t>Pärast viimast õigusemõistmise valdkonna aruannet pole võetud vastu ühtegi olulist valitsuse erakorralist määrust</w:t>
      </w:r>
      <w:r>
        <w:rPr>
          <w:noProof/>
          <w:color w:val="000000" w:themeColor="text1"/>
        </w:rPr>
        <w:t>. 2019. aasta mais toimunud konsultatiivreferendumil toetas enamik kodanikke valitsuse erakorraliste määruste vastuvõtmise keelamist õigusemõistmise valdkonnas</w:t>
      </w:r>
      <w:r>
        <w:rPr>
          <w:rStyle w:val="FootnoteReference"/>
          <w:rFonts w:eastAsia="Calibri" w:cs="Times New Roman"/>
          <w:noProof/>
          <w:color w:val="000000" w:themeColor="text1"/>
        </w:rPr>
        <w:footnoteReference w:id="140"/>
      </w:r>
      <w:r>
        <w:rPr>
          <w:noProof/>
          <w:color w:val="000000" w:themeColor="text1"/>
        </w:rPr>
        <w:t>. See näitas muret valitsuse erakorraliste määruste ülemäärase kasutamise pärast selles valdkonnas ning alates 2019. aasta novembrist on neid vähe kasutatud</w:t>
      </w:r>
      <w:r>
        <w:rPr>
          <w:rFonts w:eastAsia="Calibri" w:cs="Times New Roman"/>
          <w:noProof/>
          <w:color w:val="000000" w:themeColor="text1"/>
          <w:vertAlign w:val="superscript"/>
        </w:rPr>
        <w:footnoteReference w:id="141"/>
      </w:r>
      <w:r>
        <w:rPr>
          <w:noProof/>
          <w:color w:val="000000" w:themeColor="text1"/>
        </w:rPr>
        <w:t>.</w:t>
      </w:r>
      <w:r>
        <w:rPr>
          <w:noProof/>
          <w:color w:val="000000" w:themeColor="text1"/>
          <w:vertAlign w:val="superscript"/>
        </w:rPr>
        <w:t xml:space="preserve"> </w:t>
      </w:r>
      <w:r>
        <w:rPr>
          <w:noProof/>
          <w:color w:val="000000" w:themeColor="text1"/>
        </w:rPr>
        <w:t>Väljaspool õigusemõistmise valdkonda anti 2020. aastal enamik valitsuse erakorralisi määrusi välja COVID-19 pandeemia kontekstis</w:t>
      </w:r>
      <w:r>
        <w:rPr>
          <w:rStyle w:val="FootnoteReference"/>
          <w:rFonts w:eastAsia="Calibri" w:cs="Times New Roman"/>
          <w:noProof/>
          <w:color w:val="000000" w:themeColor="text1"/>
        </w:rPr>
        <w:footnoteReference w:id="142"/>
      </w:r>
      <w:r>
        <w:rPr>
          <w:noProof/>
          <w:color w:val="000000" w:themeColor="text1"/>
        </w:rPr>
        <w:t>. Kui vaadata menetlusi parlamendis, siis vähenes peamiste õigusemõistmise ja korruptsioonivastase võitluse küsimustega seotud erakorraliste menetluste arv 2020. aastal märkimisväärselt. 2021. aasta veebruaris lükkas parlament tagasi ettepaneku analüüsida seaduseelnõu, mis näeb ette SIIJ likvideerimise parlamendi erakorralise menetlusega.</w:t>
      </w:r>
    </w:p>
    <w:p>
      <w:pPr>
        <w:rPr>
          <w:rFonts w:cs="Times New Roman"/>
          <w:noProof/>
          <w:color w:val="000000" w:themeColor="text1"/>
        </w:rPr>
      </w:pPr>
      <w:r>
        <w:rPr>
          <w:b/>
          <w:bCs/>
          <w:noProof/>
          <w:color w:val="000000" w:themeColor="text1"/>
        </w:rPr>
        <w:t xml:space="preserve">Õigusaktide vastuvõtmisele eelnevate mõjuhindamiste ja avalike konsultatsioonide arv on endiselt piiratud. </w:t>
      </w:r>
      <w:r>
        <w:rPr>
          <w:noProof/>
          <w:color w:val="000000" w:themeColor="text1"/>
        </w:rPr>
        <w:t>Vaatamata valitsuse peasekretariaadi jõupingutustele selleks, et tugevdada kesk- ja kohaliku tasandi ametiasutuste suutlikkust põhjendada avalikke otsuseid,</w:t>
      </w:r>
      <w:r>
        <w:rPr>
          <w:rStyle w:val="FootnoteReference"/>
          <w:rFonts w:eastAsia="Times New Roman" w:cs="Times New Roman"/>
          <w:noProof/>
          <w:color w:val="000000" w:themeColor="text1"/>
          <w:lang w:eastAsia="fr-FR"/>
        </w:rPr>
        <w:footnoteReference w:id="143"/>
      </w:r>
      <w:r>
        <w:rPr>
          <w:noProof/>
          <w:color w:val="000000" w:themeColor="text1"/>
        </w:rPr>
        <w:t xml:space="preserve"> on tõenditel põhinevate vahendite kasutamine poliitikakujundamisel endiselt ebaühtlane ning paljud regulatiivse mõju hindamised on pealiskaudsed</w:t>
      </w:r>
      <w:r>
        <w:rPr>
          <w:rStyle w:val="FootnoteReference"/>
          <w:rFonts w:eastAsia="Times New Roman" w:cs="Times New Roman"/>
          <w:noProof/>
          <w:color w:val="000000" w:themeColor="text1"/>
          <w:lang w:eastAsia="fr-FR"/>
        </w:rPr>
        <w:footnoteReference w:id="144"/>
      </w:r>
      <w:r>
        <w:rPr>
          <w:noProof/>
          <w:color w:val="000000" w:themeColor="text1"/>
        </w:rPr>
        <w:t>. Kodanikuühiskond teatas, et paljudel seaduseelnõudel, mille üle toimub avalik konsultatsioon, ei ole mõju eelarvele. 2020. aastal võeti valitsuse peasekretariaadi tasandil vastu 65 normatiivakti, millest ainult 12 kuulutati avalikult välja. Saadud 47 soovitusest kiideti heaks ainult üks. 12st avaldatud normatiivaktist 11 jäid muutmata</w:t>
      </w:r>
      <w:r>
        <w:rPr>
          <w:rStyle w:val="FootnoteReference"/>
          <w:rFonts w:cs="Times New Roman"/>
          <w:noProof/>
          <w:color w:val="000000" w:themeColor="text1"/>
        </w:rPr>
        <w:footnoteReference w:id="145"/>
      </w:r>
      <w:r>
        <w:rPr>
          <w:noProof/>
          <w:color w:val="000000" w:themeColor="text1"/>
        </w:rPr>
        <w:t>. Valitsusvälise sektori ja meedia esindajate osalemine poliitikakujundamise protsessis on juhuslik,</w:t>
      </w:r>
      <w:r>
        <w:rPr>
          <w:rFonts w:eastAsia="Times New Roman" w:cs="Times New Roman"/>
          <w:noProof/>
          <w:color w:val="000000" w:themeColor="text1"/>
          <w:vertAlign w:val="superscript"/>
        </w:rPr>
        <w:footnoteReference w:id="146"/>
      </w:r>
      <w:r>
        <w:rPr>
          <w:noProof/>
          <w:color w:val="000000" w:themeColor="text1"/>
        </w:rPr>
        <w:t xml:space="preserve"> kuigi veebitaristu on paigas. Veebipõhise konsultatsiooniplatvormi kasutajate arv on endiselt piiratud</w:t>
      </w:r>
      <w:r>
        <w:rPr>
          <w:rStyle w:val="FootnoteReference"/>
          <w:rFonts w:eastAsia="Times New Roman" w:cs="Times New Roman"/>
          <w:noProof/>
          <w:color w:val="000000" w:themeColor="text1"/>
        </w:rPr>
        <w:footnoteReference w:id="147"/>
      </w:r>
      <w:r>
        <w:rPr>
          <w:noProof/>
          <w:color w:val="000000" w:themeColor="text1"/>
        </w:rPr>
        <w:t>. Valitsuse peasekretariaat koostab nimekirja valitsusvälistest organisatsioonidest, kes on huvitatud otsustusprotsessis osalemisest.</w:t>
      </w:r>
    </w:p>
    <w:p>
      <w:pPr>
        <w:rPr>
          <w:rFonts w:cs="Times New Roman"/>
          <w:noProof/>
          <w:color w:val="000000" w:themeColor="text1"/>
        </w:rPr>
      </w:pPr>
      <w:r>
        <w:rPr>
          <w:b/>
          <w:bCs/>
          <w:noProof/>
          <w:color w:val="000000" w:themeColor="text1"/>
        </w:rPr>
        <w:t xml:space="preserve">COVID-19 pandeemia tõttu välja kuulutatud eriolukorrale järgnes häireolukord ning erakorralisi meetmeid kontrolliti kohtulikult. </w:t>
      </w:r>
      <w:r>
        <w:rPr>
          <w:noProof/>
          <w:color w:val="000000" w:themeColor="text1"/>
        </w:rPr>
        <w:t>COVID-19 pandeemia tõttu välja kuulutatud eriolukord tühistati 14. mail 2020.</w:t>
      </w:r>
      <w:r>
        <w:rPr>
          <w:b/>
          <w:bCs/>
          <w:noProof/>
          <w:color w:val="000000" w:themeColor="text1"/>
        </w:rPr>
        <w:t xml:space="preserve"> </w:t>
      </w:r>
      <w:r>
        <w:rPr>
          <w:noProof/>
          <w:color w:val="000000" w:themeColor="text1"/>
        </w:rPr>
        <w:t>Pärast eriolukorra lõppu kuulutati 15. mail välja häireolukord,</w:t>
      </w:r>
      <w:r>
        <w:rPr>
          <w:rStyle w:val="FootnoteReference"/>
          <w:rFonts w:eastAsia="Times New Roman" w:cs="Times New Roman"/>
          <w:noProof/>
          <w:color w:val="000000" w:themeColor="text1"/>
          <w:lang w:eastAsia="fr-FR"/>
        </w:rPr>
        <w:footnoteReference w:id="148"/>
      </w:r>
      <w:r>
        <w:rPr>
          <w:noProof/>
          <w:color w:val="000000" w:themeColor="text1"/>
        </w:rPr>
        <w:t xml:space="preserve"> mille valitsus kinnitas 18. mail,</w:t>
      </w:r>
      <w:r>
        <w:rPr>
          <w:rStyle w:val="FootnoteReference"/>
          <w:rFonts w:eastAsia="Times New Roman" w:cs="Times New Roman"/>
          <w:noProof/>
          <w:color w:val="000000" w:themeColor="text1"/>
          <w:lang w:eastAsia="fr-FR"/>
        </w:rPr>
        <w:footnoteReference w:id="149"/>
      </w:r>
      <w:r>
        <w:rPr>
          <w:noProof/>
          <w:color w:val="000000" w:themeColor="text1"/>
        </w:rPr>
        <w:t xml:space="preserve"> esialgu 30 päevaks. Seejärel pikendati seda valitsuse järjestikuste otsustega, iga kord 30 päeva võrra. Häireolukord kestab endiselt. Pärast konstitutsioonikohtu otsuseid, milles seati kahtluse alla eriolukorra õiguslik alus, kiitis parlament heaks valitsuse väljakuulutatud häireolukorra</w:t>
      </w:r>
      <w:r>
        <w:rPr>
          <w:rStyle w:val="FootnoteReference"/>
          <w:rFonts w:eastAsia="Times New Roman" w:cs="Times New Roman"/>
          <w:noProof/>
          <w:color w:val="000000" w:themeColor="text1"/>
          <w:lang w:eastAsia="fr-FR"/>
        </w:rPr>
        <w:footnoteReference w:id="150"/>
      </w:r>
      <w:r>
        <w:rPr>
          <w:noProof/>
          <w:color w:val="000000" w:themeColor="text1"/>
        </w:rPr>
        <w:t>. 2020. ja 2021. aastal tegi kassatsioonikohtu haldus- ja maksuvaidluste koda viimases kohtuastmes lõpliku otsuse 12 kohtuasja kohta, mis käsitlesid COVID-19 pandeemia kontekstis kohaldatava seaduse nr 136/2020</w:t>
      </w:r>
      <w:r>
        <w:rPr>
          <w:noProof/>
        </w:rPr>
        <w:t xml:space="preserve"> </w:t>
      </w:r>
      <w:r>
        <w:rPr>
          <w:noProof/>
          <w:color w:val="000000" w:themeColor="text1"/>
        </w:rPr>
        <w:t>(millega kehtestatakse epidemioloogilise ja bioloogilise ohu korral võetavad rahvatervise meetmed) artikli 15 alusel välja antud haldusakte. Kahel juhul andis kohus korralduse haldusaktid tühistada</w:t>
      </w:r>
      <w:r>
        <w:rPr>
          <w:rStyle w:val="FootnoteReference"/>
          <w:rFonts w:eastAsia="Times New Roman" w:cs="Times New Roman"/>
          <w:noProof/>
          <w:color w:val="000000" w:themeColor="text1"/>
          <w:lang w:eastAsia="fr-FR"/>
        </w:rPr>
        <w:footnoteReference w:id="151"/>
      </w:r>
      <w:r>
        <w:rPr>
          <w:noProof/>
          <w:color w:val="000000" w:themeColor="text1"/>
        </w:rPr>
        <w:t>.</w:t>
      </w:r>
    </w:p>
    <w:p>
      <w:pPr>
        <w:rPr>
          <w:rFonts w:eastAsia="Times New Roman" w:cs="Times New Roman"/>
          <w:noProof/>
          <w:color w:val="000000" w:themeColor="text1"/>
        </w:rPr>
      </w:pPr>
      <w:r>
        <w:rPr>
          <w:b/>
          <w:bCs/>
          <w:noProof/>
          <w:color w:val="000000" w:themeColor="text1"/>
        </w:rPr>
        <w:t>Meetmeid, mille eesmärk on lahendada kohtuotsuste täitmata jätmise ja avaliku halduse asutuste poolt kohtuotsuste kohaldamisega seotud küsimused, ei ole veel rakendatud.</w:t>
      </w:r>
      <w:r>
        <w:rPr>
          <w:noProof/>
          <w:color w:val="000000" w:themeColor="text1"/>
        </w:rPr>
        <w:t xml:space="preserve"> Pärast seda, kui leiti, et Rumeenia on rikkunud Euroopa inimõiguste konventsiooni artikli 6 lõiget 1, kuna riik või riigi vastutusalasse kuuluvad juriidilised isikud on jätnud riiklikud kohtuotsused täitmata või on seda teinud märkimisväärse hilinemisega,</w:t>
      </w:r>
      <w:r>
        <w:rPr>
          <w:rStyle w:val="FootnoteReference"/>
          <w:rFonts w:eastAsia="Times New Roman" w:cs="Times New Roman"/>
          <w:noProof/>
          <w:color w:val="000000" w:themeColor="text1"/>
          <w:lang w:eastAsia="fr-FR"/>
        </w:rPr>
        <w:footnoteReference w:id="152"/>
      </w:r>
      <w:r>
        <w:rPr>
          <w:noProof/>
          <w:color w:val="000000" w:themeColor="text1"/>
        </w:rPr>
        <w:t xml:space="preserve"> on Rumeenia seoses selle kohtuotsuse täitmisega Euroopa Nõukogu ministrite komitee teravdatud järelevalve all</w:t>
      </w:r>
      <w:r>
        <w:rPr>
          <w:rStyle w:val="FootnoteReference"/>
          <w:rFonts w:eastAsia="Times New Roman" w:cs="Times New Roman"/>
          <w:noProof/>
          <w:color w:val="000000" w:themeColor="text1"/>
          <w:lang w:eastAsia="fr-FR"/>
        </w:rPr>
        <w:footnoteReference w:id="153"/>
      </w:r>
      <w:r>
        <w:rPr>
          <w:noProof/>
          <w:color w:val="000000" w:themeColor="text1"/>
        </w:rPr>
        <w:t>. Sellega seoses esitas Rumeenia 2019. aastal Euroopa Nõukogu ministrite komiteele tegevuskava ja kiitis heaks tegevuskava täitmiseks vajalike meetmete loetelu</w:t>
      </w:r>
      <w:r>
        <w:rPr>
          <w:rStyle w:val="FootnoteReference"/>
          <w:rFonts w:eastAsia="Times New Roman" w:cs="Times New Roman"/>
          <w:noProof/>
          <w:color w:val="000000" w:themeColor="text1"/>
          <w:lang w:eastAsia="fr-FR"/>
        </w:rPr>
        <w:footnoteReference w:id="154"/>
      </w:r>
      <w:r>
        <w:rPr>
          <w:noProof/>
          <w:color w:val="000000" w:themeColor="text1"/>
        </w:rPr>
        <w:t>. Neid meetmeid ei ole aga rakendatud</w:t>
      </w:r>
      <w:r>
        <w:rPr>
          <w:rStyle w:val="FootnoteReference"/>
          <w:rFonts w:eastAsia="Times New Roman" w:cs="Times New Roman"/>
          <w:noProof/>
          <w:color w:val="000000" w:themeColor="text1"/>
          <w:lang w:eastAsia="fr-FR"/>
        </w:rPr>
        <w:footnoteReference w:id="155"/>
      </w:r>
      <w:r>
        <w:rPr>
          <w:noProof/>
          <w:color w:val="000000" w:themeColor="text1"/>
        </w:rPr>
        <w:t>. 27. novembri 2020. aasta memorandumis otsustas valitsus teha töörühmale ülesandeks pakkuda välja uusi õiguslikke lahendusi tegevuskava kõigi nõuete täitmiseks, sealhulgas seoses selliste kohtuotsuste täitmisega, millega kohustatakse riiki või riigi vastutusalasse kuuluvaid juriidilisi isikuid tegema konkreetset toimingut (mitterahaline kohustus).</w:t>
      </w:r>
    </w:p>
    <w:p>
      <w:pPr>
        <w:rPr>
          <w:rFonts w:eastAsia="Times New Roman" w:cs="Times New Roman"/>
          <w:noProof/>
          <w:color w:val="000000" w:themeColor="text1"/>
          <w:szCs w:val="20"/>
        </w:rPr>
      </w:pPr>
      <w:r>
        <w:rPr>
          <w:b/>
          <w:noProof/>
          <w:color w:val="000000" w:themeColor="text1"/>
          <w:szCs w:val="20"/>
        </w:rPr>
        <w:t>Konstitutsioonikohtu 8. juuni 2021. aasta otsus tekitab suurt muret, kuna selles seatakse kahtluse alla liidu õiguse ülimuslikkuse põhimõtte.</w:t>
      </w:r>
      <w:r>
        <w:rPr>
          <w:noProof/>
          <w:color w:val="000000" w:themeColor="text1"/>
          <w:szCs w:val="20"/>
        </w:rPr>
        <w:t xml:space="preserve"> Selles kohtuotsuses</w:t>
      </w:r>
      <w:r>
        <w:rPr>
          <w:rFonts w:eastAsia="Times New Roman" w:cs="Times New Roman"/>
          <w:noProof/>
          <w:color w:val="000000" w:themeColor="text1"/>
          <w:szCs w:val="20"/>
          <w:vertAlign w:val="superscript"/>
          <w:lang w:eastAsia="fr-FR"/>
        </w:rPr>
        <w:footnoteReference w:id="156"/>
      </w:r>
      <w:r>
        <w:rPr>
          <w:noProof/>
          <w:color w:val="000000" w:themeColor="text1"/>
          <w:szCs w:val="20"/>
        </w:rPr>
        <w:t xml:space="preserve"> ei nõustunud konstitutsioonikohus Euroopa Kohtu 18. mai 2021. aasta eelotsuse järeldustega ja seadis üldisemalt kahtluse alla liidu õiguse ülimuslikkuse põhimõtte</w:t>
      </w:r>
      <w:r>
        <w:rPr>
          <w:rFonts w:eastAsia="Times New Roman" w:cs="Times New Roman"/>
          <w:noProof/>
          <w:color w:val="000000" w:themeColor="text1"/>
          <w:szCs w:val="20"/>
          <w:vertAlign w:val="superscript"/>
          <w:lang w:eastAsia="fr-FR"/>
        </w:rPr>
        <w:footnoteReference w:id="157"/>
      </w:r>
      <w:r>
        <w:rPr>
          <w:noProof/>
          <w:color w:val="000000" w:themeColor="text1"/>
          <w:szCs w:val="20"/>
        </w:rPr>
        <w:t>. Konstitutsioonikohus leidis, et liikmesriikide kohtutel ei ole õigust kontrollida selliste siseriiklike õigusnormide kooskõla liidu õigusega, mille konstitutsioonikohus on tunnistanud põhiseadusega kooskõlas olevaks, ning et koostöö- ja jälgimiskorra otsusest tulenevad kohustused ei kehti liikmesriikide kohtutele</w:t>
      </w:r>
      <w:r>
        <w:rPr>
          <w:rFonts w:eastAsia="Times New Roman" w:cs="Times New Roman"/>
          <w:noProof/>
          <w:color w:val="000000" w:themeColor="text1"/>
          <w:szCs w:val="20"/>
          <w:vertAlign w:val="superscript"/>
          <w:lang w:eastAsia="fr-FR"/>
        </w:rPr>
        <w:footnoteReference w:id="158"/>
      </w:r>
      <w:r>
        <w:rPr>
          <w:noProof/>
          <w:color w:val="000000" w:themeColor="text1"/>
          <w:szCs w:val="20"/>
        </w:rPr>
        <w:t>. See võib kujutada endast olulist takistust nende kohtute jaoks, kellel palutakse asja lahendamisel kohaldada eelmainitud eelotsuses sätestatud liidu õiguse nõudeid, eelkõige seoses SIIJiga.</w:t>
      </w:r>
    </w:p>
    <w:p>
      <w:pPr>
        <w:rPr>
          <w:rFonts w:eastAsia="Times New Roman" w:cs="Times New Roman"/>
          <w:noProof/>
          <w:color w:val="000000" w:themeColor="text1"/>
        </w:rPr>
      </w:pPr>
      <w:r>
        <w:rPr>
          <w:b/>
          <w:bCs/>
          <w:noProof/>
          <w:color w:val="000000" w:themeColor="text1"/>
        </w:rPr>
        <w:t>Sõltumatud asutused jätkasid tegutsemist kogu COVID-19 pandeemia vältel</w:t>
      </w:r>
      <w:r>
        <w:rPr>
          <w:noProof/>
          <w:color w:val="000000" w:themeColor="text1"/>
        </w:rPr>
        <w:t>. 2020. aastal tegi ombudsman</w:t>
      </w:r>
      <w:r>
        <w:rPr>
          <w:rStyle w:val="FootnoteReference"/>
          <w:rFonts w:eastAsia="Times New Roman" w:cs="Times New Roman"/>
          <w:noProof/>
          <w:color w:val="000000" w:themeColor="text1"/>
          <w:lang w:eastAsia="fr-FR"/>
        </w:rPr>
        <w:footnoteReference w:id="159"/>
      </w:r>
      <w:r>
        <w:rPr>
          <w:noProof/>
          <w:color w:val="000000" w:themeColor="text1"/>
        </w:rPr>
        <w:t xml:space="preserve"> kokku 18 põhiseadusevastasust käsitlevat esildist (vastuväited ja kaebused), millest üksteist võeti vastu kas täielikult või osaliselt, kaks lükati tagasi ja nelja veel menetletakse. Kuus põhiseadusevastasust käsitlevat kaebust, mis konstitutsioonikohtule esitati, puudutasid eriolukorra ja häireolukorra kontekstis võetud meetmeid. Samuti saatis ombudsman eri ministritele kokku 65 kirja ja soovitust seoses nende otsustega eriolukorra ja häireolukorra kohta. Olles lükanud viimasel kolmel aastal tagasi ombudsmani tegevusaruanded, vabastas parlament ombudsmani 16. juunil 2021 ametist. 29. juunil 2021 otsustas konstitutsioonikohus, et ombudsmani ametist vabastamine parlamendi poolt on põhiseadusevastane, sest ametist vabastamist reguleerivas seaduses ei olnud konkreetselt sätestatud selle karistuse aluseks olevaid juhtumeid ega õigust esitada kaebus sõltumatule ja erapooletule kohtule. Ametist vabastamise otsus tühistati seega ja ombudsman ennistati tööle.</w:t>
      </w:r>
    </w:p>
    <w:p>
      <w:pPr>
        <w:rPr>
          <w:rFonts w:cs="Times New Roman"/>
          <w:noProof/>
          <w:color w:val="000000" w:themeColor="text1"/>
        </w:rPr>
      </w:pPr>
      <w:r>
        <w:rPr>
          <w:b/>
          <w:bCs/>
          <w:noProof/>
          <w:color w:val="000000" w:themeColor="text1"/>
        </w:rPr>
        <w:t>Parlamendis arutatakse ettepanekut ühendada Rumeenia Inimõiguste Instituut ja riiklik diskrimineerimisvastase võitluse nõukogu.</w:t>
      </w:r>
      <w:r>
        <w:rPr>
          <w:noProof/>
          <w:color w:val="000000" w:themeColor="text1"/>
        </w:rPr>
        <w:t xml:space="preserve"> Pärast seda, kui võeti vastu seadus, millega muudetakse Rumeenia Inimõiguste Instituudi mandaati ja ülesandeid,</w:t>
      </w:r>
      <w:r>
        <w:rPr>
          <w:rStyle w:val="FootnoteReference"/>
          <w:rFonts w:eastAsia="Times New Roman" w:cs="Times New Roman"/>
          <w:noProof/>
          <w:color w:val="000000" w:themeColor="text1"/>
          <w:lang w:eastAsia="fr-FR"/>
        </w:rPr>
        <w:footnoteReference w:id="160"/>
      </w:r>
      <w:r>
        <w:rPr>
          <w:noProof/>
          <w:color w:val="000000" w:themeColor="text1"/>
        </w:rPr>
        <w:t xml:space="preserve"> esitas Rumeenia president põhiseadusevastaseks tunnistamise taotluse. Sellega seoses kuulutas konstitutsioonikohus seaduse tervikuna põhiseadusevastaseks. Senatis arutatakse seadusandlikku ettepanekut Rumeenia Inimõiguste Instituudi ühendamiseks riikliku diskrimineerimisvastase võitluse nõukoguga. Siiski tekitavad suured erinevused nende kahe institutsiooni õiguslikus seisundis, ülesannetes ja volitustes</w:t>
      </w:r>
      <w:r>
        <w:rPr>
          <w:rStyle w:val="FootnoteReference"/>
          <w:rFonts w:eastAsia="Times New Roman" w:cs="Times New Roman"/>
          <w:noProof/>
          <w:color w:val="000000" w:themeColor="text1"/>
          <w:lang w:eastAsia="fr-FR"/>
        </w:rPr>
        <w:footnoteReference w:id="161"/>
      </w:r>
      <w:r>
        <w:rPr>
          <w:rStyle w:val="FootnoteReference"/>
          <w:rFonts w:eastAsia="Times New Roman" w:cs="Times New Roman"/>
          <w:noProof/>
          <w:color w:val="000000" w:themeColor="text1"/>
          <w:vertAlign w:val="baseline"/>
          <w:lang w:eastAsia="fr-FR"/>
        </w:rPr>
        <w:t xml:space="preserve"> </w:t>
      </w:r>
      <w:r>
        <w:rPr>
          <w:noProof/>
          <w:color w:val="000000" w:themeColor="text1"/>
        </w:rPr>
        <w:t>ebakindlust kavandatava ühinemise suhtes</w:t>
      </w:r>
      <w:r>
        <w:rPr>
          <w:rStyle w:val="FootnoteReference"/>
          <w:rFonts w:eastAsia="Times New Roman" w:cs="Times New Roman"/>
          <w:noProof/>
          <w:color w:val="000000" w:themeColor="text1"/>
          <w:lang w:eastAsia="fr-FR"/>
        </w:rPr>
        <w:footnoteReference w:id="162"/>
      </w:r>
      <w:r>
        <w:rPr>
          <w:noProof/>
          <w:color w:val="000000" w:themeColor="text1"/>
        </w:rPr>
        <w:t>.</w:t>
      </w:r>
    </w:p>
    <w:p>
      <w:pPr>
        <w:rPr>
          <w:rStyle w:val="eop"/>
          <w:rFonts w:cs="Times New Roman"/>
          <w:noProof/>
          <w:color w:val="000000" w:themeColor="text1"/>
          <w:shd w:val="clear" w:color="auto" w:fill="FFFFFF"/>
        </w:rPr>
      </w:pPr>
      <w:r>
        <w:rPr>
          <w:b/>
          <w:bCs/>
          <w:noProof/>
          <w:color w:val="000000" w:themeColor="text1"/>
        </w:rPr>
        <w:t xml:space="preserve">2020. aastal jõustusid uued muudatused ühingute ja sihtasutuste loomise lihtsustamiseks. </w:t>
      </w:r>
      <w:r>
        <w:rPr>
          <w:noProof/>
          <w:color w:val="000000" w:themeColor="text1"/>
        </w:rPr>
        <w:t>Valitsuse määruse 26/2000 muudatuste eesmärk on hõlbustada ühinemisõiguse kasutamist ja vähendada valitsusväliste organisatsioonide halduskoormust</w:t>
      </w:r>
      <w:r>
        <w:rPr>
          <w:rFonts w:eastAsia="Times New Roman" w:cs="Times New Roman"/>
          <w:noProof/>
          <w:color w:val="000000" w:themeColor="text1"/>
          <w:vertAlign w:val="superscript"/>
          <w:lang w:eastAsia="fr-FR"/>
        </w:rPr>
        <w:footnoteReference w:id="163"/>
      </w:r>
      <w:r>
        <w:rPr>
          <w:noProof/>
          <w:color w:val="000000" w:themeColor="text1"/>
        </w:rPr>
        <w:t xml:space="preserve">. Eelkõige eelistatakse uute sätetega digitaalsete dokumentide kasutamist </w:t>
      </w:r>
      <w:r>
        <w:rPr>
          <w:rStyle w:val="normaltextrun"/>
          <w:noProof/>
          <w:color w:val="000000" w:themeColor="text1"/>
          <w:shd w:val="clear" w:color="auto" w:fill="FFFFFF"/>
        </w:rPr>
        <w:t xml:space="preserve">ning menetluste ja </w:t>
      </w:r>
      <w:r>
        <w:rPr>
          <w:noProof/>
          <w:color w:val="000000" w:themeColor="text1"/>
        </w:rPr>
        <w:t>registreerimiseeskirjade ühtlustamist. Kuigi mitu kodanikuühiskonna organisatsiooni pidasid neid muudatusi edusammudeks, esineb ka kriitikat, eelkõige seoses muudatuste sidususe puudumisega</w:t>
      </w:r>
      <w:r>
        <w:rPr>
          <w:rStyle w:val="FootnoteReference"/>
          <w:rFonts w:eastAsia="Times New Roman" w:cs="Times New Roman"/>
          <w:noProof/>
          <w:color w:val="000000" w:themeColor="text1"/>
          <w:lang w:eastAsia="fr-FR"/>
        </w:rPr>
        <w:footnoteReference w:id="164"/>
      </w:r>
      <w:r>
        <w:rPr>
          <w:noProof/>
          <w:color w:val="000000" w:themeColor="text1"/>
        </w:rPr>
        <w:t>. Sidusrühmad on teatanud, et kodanikuühiskonna organisatsioone mõjutasid negatiivselt COVID-19 pandeemia tõttu</w:t>
      </w:r>
      <w:r>
        <w:rPr>
          <w:noProof/>
        </w:rPr>
        <w:t xml:space="preserve"> </w:t>
      </w:r>
      <w:r>
        <w:rPr>
          <w:noProof/>
          <w:color w:val="000000" w:themeColor="text1"/>
        </w:rPr>
        <w:t>kehtestatud kogunemis- ja ühinemisvabaduse piirangud</w:t>
      </w:r>
      <w:r>
        <w:rPr>
          <w:rStyle w:val="FootnoteReference"/>
          <w:rFonts w:eastAsia="Times New Roman" w:cs="Times New Roman"/>
          <w:noProof/>
          <w:color w:val="000000" w:themeColor="text1"/>
          <w:lang w:eastAsia="fr-FR"/>
        </w:rPr>
        <w:footnoteReference w:id="165"/>
      </w:r>
      <w:r>
        <w:rPr>
          <w:noProof/>
          <w:color w:val="000000" w:themeColor="text1"/>
        </w:rPr>
        <w:t>. Kodanikuühiskonna tegutsemisruumi peetakse jätkuvalt kitsendatuks</w:t>
      </w:r>
      <w:r>
        <w:rPr>
          <w:rStyle w:val="FootnoteReference"/>
          <w:rFonts w:cs="Times New Roman"/>
          <w:noProof/>
          <w:color w:val="000000" w:themeColor="text1"/>
        </w:rPr>
        <w:footnoteReference w:id="166"/>
      </w:r>
      <w:r>
        <w:rPr>
          <w:noProof/>
          <w:color w:val="000000" w:themeColor="text1"/>
        </w:rPr>
        <w:t>.</w:t>
      </w:r>
      <w:r>
        <w:rPr>
          <w:noProof/>
          <w:color w:val="000000" w:themeColor="text1"/>
        </w:rPr>
        <w:br w:type="page"/>
      </w:r>
    </w:p>
    <w:p>
      <w:pPr>
        <w:spacing w:after="120"/>
        <w:rPr>
          <w:rFonts w:eastAsia="Times New Roman" w:cs="Times New Roman"/>
          <w:noProof/>
          <w:color w:val="000000" w:themeColor="text1"/>
          <w:sz w:val="22"/>
        </w:rPr>
      </w:pPr>
      <w:r>
        <w:rPr>
          <w:b/>
          <w:noProof/>
          <w:color w:val="000000" w:themeColor="text1"/>
          <w:sz w:val="22"/>
        </w:rPr>
        <w:t>I lisa – Allikate loetelu tähestikulises järjekorras.</w:t>
      </w:r>
      <w:r>
        <w:rPr>
          <w:noProof/>
          <w:color w:val="000000" w:themeColor="text1"/>
          <w:sz w:val="22"/>
        </w:rPr>
        <w:t>*</w:t>
      </w:r>
    </w:p>
    <w:p>
      <w:pPr>
        <w:spacing w:after="120"/>
        <w:rPr>
          <w:rFonts w:eastAsia="Times New Roman" w:cs="Times New Roman"/>
          <w:i/>
          <w:noProof/>
          <w:color w:val="000000" w:themeColor="text1"/>
          <w:sz w:val="22"/>
        </w:rPr>
      </w:pPr>
      <w:r>
        <w:rPr>
          <w:i/>
          <w:noProof/>
          <w:color w:val="000000" w:themeColor="text1"/>
          <w:sz w:val="22"/>
        </w:rPr>
        <w:t xml:space="preserve">* Loetelu õigusriigi olukorda käsitleva 2021. aasta aruande konsultatsiooni raames antud vastustest on esitatud veebisaidil </w:t>
      </w:r>
      <w:hyperlink r:id="rId16" w:history="1">
        <w:r>
          <w:rPr>
            <w:rStyle w:val="Hyperlink"/>
            <w:i/>
            <w:noProof/>
            <w:sz w:val="22"/>
          </w:rPr>
          <w:t>https://ec.europa.eu/info/policies/justice-and-fundamental-rights/upholding-rule-law/rule-law/rule-law-mechanism/2021-rule-law-report-targeted-stakeholder-consultation</w:t>
        </w:r>
      </w:hyperlink>
      <w:r>
        <w:rPr>
          <w:i/>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Agerpres, „DIICOT kuulab üle ajakirjanik Cătălin Tolontani pärast 4. sektori linnapea kaebust“ („Jurnalistul Cătălin Tolontan, audiat la DIICOT în urma unei plângeri depuse de primarul Sectorului 4“), 20. mai 2021 (</w:t>
      </w:r>
      <w:hyperlink r:id="rId17" w:history="1">
        <w:r>
          <w:rPr>
            <w:rStyle w:val="Hyperlink"/>
            <w:noProof/>
            <w:sz w:val="22"/>
          </w:rPr>
          <w:t>https://www.agerpres.ro/justitie/2021/05/20/jurnalistul-catalin-tolontan-audiat-la-diicot-in-urma-unei-plangeri-depuse-de-primarul-sectorului-4--716788</w:t>
        </w:r>
      </w:hyperlink>
      <w:r>
        <w:rPr>
          <w:noProof/>
          <w:color w:val="000000" w:themeColor="text1"/>
          <w:sz w:val="22"/>
          <w:u w:val="single"/>
        </w:rPr>
        <w:t>).</w:t>
      </w:r>
    </w:p>
    <w:p>
      <w:pPr>
        <w:spacing w:after="120"/>
        <w:rPr>
          <w:rFonts w:eastAsia="Times New Roman" w:cs="Times New Roman"/>
          <w:noProof/>
          <w:color w:val="000000" w:themeColor="text1"/>
          <w:sz w:val="22"/>
        </w:rPr>
      </w:pPr>
      <w:r>
        <w:rPr>
          <w:noProof/>
          <w:color w:val="000000" w:themeColor="text1"/>
          <w:sz w:val="22"/>
        </w:rPr>
        <w:t xml:space="preserve">Bertelsmanni sihtasutus, </w:t>
      </w:r>
      <w:r>
        <w:rPr>
          <w:i/>
          <w:noProof/>
          <w:color w:val="000000" w:themeColor="text1"/>
          <w:sz w:val="22"/>
        </w:rPr>
        <w:t>Sustainable Governance Indicators 2020, Romania Report</w:t>
      </w:r>
      <w:r>
        <w:rPr>
          <w:noProof/>
          <w:color w:val="000000" w:themeColor="text1"/>
          <w:sz w:val="22"/>
        </w:rPr>
        <w:t xml:space="preserve"> (</w:t>
      </w:r>
      <w:hyperlink r:id="rId18" w:history="1">
        <w:r>
          <w:rPr>
            <w:rStyle w:val="Hyperlink"/>
            <w:noProof/>
            <w:sz w:val="22"/>
          </w:rPr>
          <w:t>https://www.sgi-network.org/docs/2020/country/SGI2020_Romania.pdf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Dumitrita Holdis, „ReportIt:</w:t>
      </w:r>
      <w:r>
        <w:rPr>
          <w:i/>
          <w:noProof/>
          <w:color w:val="000000" w:themeColor="text1"/>
          <w:sz w:val="22"/>
        </w:rPr>
        <w:t xml:space="preserve"> </w:t>
      </w:r>
      <w:r>
        <w:rPr>
          <w:noProof/>
          <w:color w:val="000000" w:themeColor="text1"/>
          <w:sz w:val="22"/>
        </w:rPr>
        <w:t>When state funding discredits the press – The Romanian media is facing a financial and moral dilemma“, 2020 (</w:t>
      </w:r>
      <w:hyperlink r:id="rId19"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bCs/>
          <w:noProof/>
          <w:color w:val="000000" w:themeColor="text1"/>
          <w:sz w:val="22"/>
          <w:u w:val="single"/>
        </w:rPr>
      </w:pPr>
      <w:r>
        <w:rPr>
          <w:bCs/>
          <w:noProof/>
          <w:color w:val="000000" w:themeColor="text1"/>
          <w:sz w:val="22"/>
        </w:rPr>
        <w:t>Euroopa Komisjon, 2020. aasta aruanne õigusriigi kohta – õigusriigi olukord Euroopa Liidus, 2020.</w:t>
      </w:r>
    </w:p>
    <w:p>
      <w:pPr>
        <w:spacing w:after="120"/>
        <w:rPr>
          <w:rFonts w:eastAsia="Times New Roman" w:cs="Times New Roman"/>
          <w:noProof/>
          <w:color w:val="000000" w:themeColor="text1"/>
          <w:sz w:val="22"/>
        </w:rPr>
      </w:pPr>
      <w:r>
        <w:rPr>
          <w:noProof/>
          <w:color w:val="000000" w:themeColor="text1"/>
          <w:sz w:val="22"/>
        </w:rPr>
        <w:t>Euroopa Komisjon, ELi õigusemõistmise tulemustabel, 2021.</w:t>
      </w:r>
    </w:p>
    <w:p>
      <w:pPr>
        <w:spacing w:after="120"/>
        <w:rPr>
          <w:rFonts w:eastAsia="Times New Roman" w:cs="Times New Roman"/>
          <w:noProof/>
          <w:color w:val="000000" w:themeColor="text1"/>
          <w:sz w:val="22"/>
        </w:rPr>
      </w:pPr>
      <w:r>
        <w:rPr>
          <w:noProof/>
          <w:color w:val="000000" w:themeColor="text1"/>
          <w:sz w:val="22"/>
        </w:rPr>
        <w:t xml:space="preserve">Euroopa Komisjon, </w:t>
      </w:r>
      <w:r>
        <w:rPr>
          <w:i/>
          <w:noProof/>
          <w:color w:val="000000" w:themeColor="text1"/>
          <w:sz w:val="22"/>
        </w:rPr>
        <w:t>Public administration characteristics and performance in EU28</w:t>
      </w:r>
      <w:r>
        <w:rPr>
          <w:noProof/>
          <w:color w:val="000000" w:themeColor="text1"/>
          <w:sz w:val="22"/>
        </w:rPr>
        <w:t>, 2018 (</w:t>
      </w:r>
      <w:hyperlink r:id="rId20" w:history="1">
        <w:r>
          <w:rPr>
            <w:rStyle w:val="Hyperlink"/>
            <w:noProof/>
            <w:sz w:val="22"/>
          </w:rPr>
          <w:t>https://ec.europa.eu/social/main.jsp?catId=738&amp;langId=en&amp;pubId=8123&amp;furtherPubs=yes</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Euroopa Nõukogu. Ajakirjanduse kaitse ja ajakirjanike turvalisuse edendamise platvorm – Rumeenia (</w:t>
      </w:r>
      <w:hyperlink r:id="rId21" w:history="1">
        <w:r>
          <w:rPr>
            <w:rStyle w:val="Hyperlink"/>
            <w:noProof/>
            <w:sz w:val="22"/>
          </w:rPr>
          <w:t>https://www.coe.int/en/web/media-freedom/romania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Expert Forum, õigusriigi olukorda käsitleva 2021. aasta aruande koostamiseks saadud tagasiside, 2021.</w:t>
      </w:r>
    </w:p>
    <w:p>
      <w:pPr>
        <w:spacing w:after="120"/>
        <w:rPr>
          <w:rFonts w:eastAsia="Times New Roman" w:cs="Times New Roman"/>
          <w:noProof/>
          <w:color w:val="000000" w:themeColor="text1"/>
          <w:sz w:val="22"/>
        </w:rPr>
      </w:pPr>
      <w:r>
        <w:rPr>
          <w:noProof/>
          <w:color w:val="000000" w:themeColor="text1"/>
          <w:sz w:val="22"/>
        </w:rPr>
        <w:t>Funky Citizens, õigusriigi olukorda käsitleva 2021. aasta aruande koostamiseks saadud tagasiside, 2021.</w:t>
      </w:r>
    </w:p>
    <w:p>
      <w:pPr>
        <w:spacing w:after="120"/>
        <w:rPr>
          <w:rFonts w:eastAsia="Times New Roman" w:cs="Times New Roman"/>
          <w:noProof/>
          <w:color w:val="000000" w:themeColor="text1"/>
          <w:sz w:val="22"/>
        </w:rPr>
      </w:pPr>
      <w:r>
        <w:rPr>
          <w:noProof/>
          <w:color w:val="000000" w:themeColor="text1"/>
          <w:sz w:val="22"/>
        </w:rPr>
        <w:t>Holdis, Dumitrita, „ReportIt:</w:t>
      </w:r>
      <w:r>
        <w:rPr>
          <w:i/>
          <w:noProof/>
          <w:color w:val="000000" w:themeColor="text1"/>
          <w:sz w:val="22"/>
        </w:rPr>
        <w:t xml:space="preserve"> </w:t>
      </w:r>
      <w:r>
        <w:rPr>
          <w:noProof/>
          <w:color w:val="000000" w:themeColor="text1"/>
          <w:sz w:val="22"/>
        </w:rPr>
        <w:t>When state funding discredits the press – The Romanian media is facing a financial and moral dilemma“, 2020 (</w:t>
      </w:r>
      <w:hyperlink r:id="rId22"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Kommunikatsiooni peadirektoraat (2019), Eurobaromeetri kiiruuring nr 482:</w:t>
      </w:r>
      <w:r>
        <w:rPr>
          <w:i/>
          <w:iCs/>
          <w:noProof/>
          <w:color w:val="000000" w:themeColor="text1"/>
          <w:sz w:val="22"/>
        </w:rPr>
        <w:t xml:space="preserve"> </w:t>
      </w:r>
      <w:r>
        <w:rPr>
          <w:noProof/>
          <w:color w:val="000000" w:themeColor="text1"/>
          <w:sz w:val="22"/>
        </w:rPr>
        <w:t>ettevõtjate suhtumine korruptsiooni ELis, 2019.</w:t>
      </w:r>
    </w:p>
    <w:p>
      <w:pPr>
        <w:spacing w:after="120"/>
        <w:rPr>
          <w:rFonts w:eastAsia="Times New Roman" w:cs="Times New Roman"/>
          <w:noProof/>
          <w:color w:val="000000" w:themeColor="text1"/>
          <w:sz w:val="22"/>
        </w:rPr>
      </w:pPr>
      <w:r>
        <w:rPr>
          <w:noProof/>
          <w:color w:val="000000" w:themeColor="text1"/>
          <w:sz w:val="22"/>
        </w:rPr>
        <w:t>Kommunikatsiooni peadirektoraat, 2020, Eurobaromeetri eriuuring 502:</w:t>
      </w:r>
      <w:r>
        <w:rPr>
          <w:i/>
          <w:iCs/>
          <w:noProof/>
          <w:color w:val="000000" w:themeColor="text1"/>
          <w:sz w:val="22"/>
        </w:rPr>
        <w:t xml:space="preserve"> </w:t>
      </w:r>
      <w:r>
        <w:rPr>
          <w:noProof/>
          <w:color w:val="000000" w:themeColor="text1"/>
          <w:sz w:val="22"/>
        </w:rPr>
        <w:t>korruptsioon, 2020.</w:t>
      </w:r>
    </w:p>
    <w:p>
      <w:pPr>
        <w:spacing w:after="120"/>
        <w:rPr>
          <w:rFonts w:eastAsia="Times New Roman" w:cs="Times New Roman"/>
          <w:noProof/>
          <w:color w:val="000000" w:themeColor="text1"/>
          <w:sz w:val="22"/>
        </w:rPr>
      </w:pPr>
      <w:r>
        <w:rPr>
          <w:noProof/>
          <w:color w:val="000000" w:themeColor="text1"/>
          <w:sz w:val="22"/>
        </w:rPr>
        <w:t>Libertatea, „Teine ringkonnakohus tegi tsiviilkohtumenetluses otsuse linnapea Baluta kasuks ning otsustas kustutada artiklid Goleaci kohta!</w:t>
      </w:r>
      <w:r>
        <w:rPr>
          <w:i/>
          <w:noProof/>
          <w:color w:val="000000" w:themeColor="text1"/>
          <w:sz w:val="22"/>
        </w:rPr>
        <w:t xml:space="preserve"> </w:t>
      </w:r>
      <w:r>
        <w:rPr>
          <w:noProof/>
          <w:color w:val="000000" w:themeColor="text1"/>
          <w:sz w:val="22"/>
        </w:rPr>
        <w:t>Otsus ei ole lõplik“, 24. mai 2021.</w:t>
      </w:r>
      <w:r>
        <w:rPr>
          <w:noProof/>
          <w:color w:val="000000" w:themeColor="text1"/>
          <w:sz w:val="22"/>
        </w:rPr>
        <w:br/>
        <w:t>(</w:t>
      </w:r>
      <w:hyperlink r:id="rId23" w:history="1">
        <w:r>
          <w:rPr>
            <w:rStyle w:val="Hyperlink"/>
            <w:noProof/>
            <w:sz w:val="22"/>
          </w:rPr>
          <w:t>https://www.libertatea.ro/stiri/in-procesul-civil-judecatoria-sectorului-2-a-dat-dreptate-primarului-baluta-si-a-decis-si-stergerea-articolelor-despre-goleac-3566580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Liberties, EU 2020:</w:t>
      </w:r>
      <w:r>
        <w:rPr>
          <w:i/>
          <w:noProof/>
          <w:color w:val="000000" w:themeColor="text1"/>
          <w:sz w:val="22"/>
        </w:rPr>
        <w:t xml:space="preserve"> </w:t>
      </w:r>
      <w:r>
        <w:rPr>
          <w:noProof/>
          <w:color w:val="000000" w:themeColor="text1"/>
          <w:sz w:val="22"/>
        </w:rPr>
        <w:t>Demanding on Democracy, 2021 (</w:t>
      </w:r>
      <w:hyperlink r:id="rId24" w:history="1">
        <w:r>
          <w:rPr>
            <w:rStyle w:val="Hyperlink"/>
            <w:noProof/>
            <w:sz w:val="22"/>
          </w:rPr>
          <w:t>https://www.liberties.eu/en/stories/rule-of-law-report-2021-democracy-demanding-on-democracy/43362</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Meedia mitmekesisuse ja meediavabaduse keskus, 2021. aasta meedia mitmekesisuse seire – Rumeenia riigiaruanne, 2021.</w:t>
      </w:r>
    </w:p>
    <w:p>
      <w:pPr>
        <w:spacing w:after="120"/>
        <w:rPr>
          <w:rFonts w:eastAsia="Times New Roman" w:cs="Times New Roman"/>
          <w:noProof/>
          <w:color w:val="000000" w:themeColor="text1"/>
          <w:sz w:val="22"/>
        </w:rPr>
      </w:pPr>
      <w:r>
        <w:rPr>
          <w:noProof/>
          <w:color w:val="000000" w:themeColor="text1"/>
          <w:sz w:val="22"/>
        </w:rPr>
        <w:t>Piirideta Reporterid ja Active Watch, Rumeenia ametiasutustele saadetud avalik kiri, milles palutakse uurida, kuidas kuriteokaebust menetleti, 2021 (</w:t>
      </w:r>
      <w:hyperlink r:id="rId25" w:history="1">
        <w:r>
          <w:rPr>
            <w:rStyle w:val="Hyperlink"/>
            <w:noProof/>
            <w:sz w:val="22"/>
          </w:rPr>
          <w:t>https://rsf.org/en/news/romania-open-letter-rsf-and-activewatch-denounce-judicial-pressures-investigative-journalists</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Piirideta Reporterid– Rumeenia (</w:t>
      </w:r>
      <w:hyperlink r:id="rId26" w:history="1">
        <w:r>
          <w:rPr>
            <w:rStyle w:val="Hyperlink"/>
            <w:noProof/>
            <w:sz w:val="22"/>
          </w:rPr>
          <w:t>https://rsf.org/en/romania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Riiklik audiovisuaalnõukogu (CNA), pressi infotund riikliku audiovisuaalnõukogu avalike koosolekute kohta, 10. veebruar 2021 (https://www.cna.ro/article11090,11090.html)</w:t>
      </w:r>
    </w:p>
    <w:p>
      <w:pPr>
        <w:spacing w:after="120"/>
        <w:rPr>
          <w:rFonts w:eastAsia="Times New Roman" w:cs="Times New Roman"/>
          <w:noProof/>
          <w:color w:val="000000" w:themeColor="text1"/>
          <w:sz w:val="22"/>
        </w:rPr>
      </w:pPr>
      <w:r>
        <w:rPr>
          <w:noProof/>
          <w:color w:val="000000" w:themeColor="text1"/>
          <w:sz w:val="22"/>
        </w:rPr>
        <w:t>Riiklik eetikaagentuur (ANI), „Pressiteade ennetus- ja teavitusmeetmete kohta, mille riiklik eetikaagentuur on vastu võtnud 2020. aasta kohalike valimiste korraldamise kontekstis“ (</w:t>
      </w:r>
      <w:hyperlink r:id="rId27" w:history="1">
        <w:r>
          <w:rPr>
            <w:rStyle w:val="Hyperlink"/>
            <w:noProof/>
            <w:sz w:val="22"/>
          </w:rPr>
          <w:t>https://www.integritate.eu/Comunicate.aspx?Action=1&amp;NewsId=3005&amp;currentPage=4&amp;M=NewsV2&amp;PID=20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Riiklik korruptsioonivastase võitluse direktoraat (DNA), 2020. aasta tegevusaruanne (</w:t>
      </w:r>
      <w:hyperlink r:id="rId28" w:history="1">
        <w:r>
          <w:rPr>
            <w:rStyle w:val="Hyperlink"/>
            <w:noProof/>
            <w:sz w:val="22"/>
          </w:rPr>
          <w:t>http://www.pna.ro/obiect2.jsp?id=489</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Rumeenia konstitutsioonikohus, 7. aprilli 2021. aasta pressiteade (</w:t>
      </w:r>
      <w:hyperlink r:id="rId29" w:history="1">
        <w:r>
          <w:rPr>
            <w:rStyle w:val="Hyperlink"/>
            <w:noProof/>
            <w:sz w:val="22"/>
          </w:rPr>
          <w:t>https://www.ccr.ro/comunicat-de-presa-7-aprilie-2021/</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Rumeenia valitsus, Rumeenialt õigusriigi olukorda käsitleva 2021. aasta aruande koostamiseks saadud teave, 2021.</w:t>
      </w:r>
    </w:p>
    <w:p>
      <w:pPr>
        <w:spacing w:after="120"/>
        <w:rPr>
          <w:rFonts w:eastAsia="Times New Roman" w:cs="Times New Roman"/>
          <w:noProof/>
          <w:color w:val="000000" w:themeColor="text1"/>
          <w:sz w:val="22"/>
        </w:rPr>
      </w:pPr>
      <w:r>
        <w:rPr>
          <w:noProof/>
          <w:color w:val="000000" w:themeColor="text1"/>
          <w:sz w:val="22"/>
        </w:rPr>
        <w:t xml:space="preserve">Sõltumatu ajakirjanduse keskus, </w:t>
      </w:r>
      <w:r>
        <w:rPr>
          <w:i/>
          <w:noProof/>
          <w:color w:val="000000" w:themeColor="text1"/>
          <w:sz w:val="22"/>
        </w:rPr>
        <w:t>Fundamental Rights under Siege 2020</w:t>
      </w:r>
      <w:r>
        <w:rPr>
          <w:noProof/>
          <w:color w:val="000000" w:themeColor="text1"/>
          <w:sz w:val="22"/>
        </w:rPr>
        <w:t>, 2020.</w:t>
      </w:r>
    </w:p>
    <w:p>
      <w:pPr>
        <w:spacing w:after="120"/>
        <w:rPr>
          <w:rFonts w:eastAsia="Times New Roman" w:cs="Times New Roman"/>
          <w:noProof/>
          <w:color w:val="000000" w:themeColor="text1"/>
          <w:sz w:val="22"/>
        </w:rPr>
      </w:pPr>
      <w:r>
        <w:rPr>
          <w:noProof/>
          <w:color w:val="000000" w:themeColor="text1"/>
          <w:sz w:val="22"/>
        </w:rPr>
        <w:t xml:space="preserve">Sõltumatu ajakirjanduse keskus, </w:t>
      </w:r>
      <w:r>
        <w:rPr>
          <w:i/>
          <w:noProof/>
          <w:color w:val="000000" w:themeColor="text1"/>
          <w:sz w:val="22"/>
        </w:rPr>
        <w:t>Fundamental Rights under Siege 2020</w:t>
      </w:r>
      <w:r>
        <w:rPr>
          <w:noProof/>
          <w:color w:val="000000" w:themeColor="text1"/>
          <w:sz w:val="22"/>
        </w:rPr>
        <w:t>, 2020, lk 18 (</w:t>
      </w:r>
      <w:hyperlink r:id="rId30" w:history="1">
        <w:r>
          <w:rPr>
            <w:rStyle w:val="Hyperlink"/>
            <w:noProof/>
            <w:sz w:val="22"/>
          </w:rPr>
          <w:t>https://cji.ro/wp-content/uploads/2020/09/Freedom-of-expression-report_final.pdf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Valitsuse peasekretariaat, aastaaruanne otsuste läbipaistvuse kohta (1. jaanuar 2020 – 31. detsember 2020), lisa nr 20 – PS 14/2019 valitsuse peasekretariaadi tasandil, 2020 (</w:t>
      </w:r>
      <w:hyperlink r:id="rId31" w:history="1">
        <w:r>
          <w:rPr>
            <w:rStyle w:val="Hyperlink"/>
            <w:noProof/>
            <w:sz w:val="22"/>
          </w:rPr>
          <w:t>http://sgg.gov.ro/1/wp-content/uploads/2021/02/19022021-SGG-Raportul-de-evaluare-a-implementarii-Legii-nr.-52_2003-in-anul-2020-.pdf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Valitsuse peasekretariaat,</w:t>
      </w:r>
      <w:r>
        <w:rPr>
          <w:noProof/>
        </w:rPr>
        <w:t xml:space="preserve"> projekti „Rumeenia valitsuse teavitustegevuse juhtimise strateegia“ avakonverents, 2021</w:t>
      </w:r>
      <w:r>
        <w:rPr>
          <w:noProof/>
          <w:color w:val="000000" w:themeColor="text1"/>
          <w:sz w:val="22"/>
        </w:rPr>
        <w:t xml:space="preserve"> (</w:t>
      </w:r>
      <w:hyperlink r:id="rId32" w:history="1">
        <w:r>
          <w:rPr>
            <w:rStyle w:val="Hyperlink"/>
            <w:noProof/>
            <w:sz w:val="22"/>
          </w:rPr>
          <w:t>http://sgg.gov.ro/1/conferinta-de-deschidere-a-proiectului-strategia-pentru-managementul-comunicarii-guvernamentale-a-romaniei-cod-sipoca-754/</w:t>
        </w:r>
      </w:hyperlink>
      <w:r>
        <w:rPr>
          <w:noProof/>
          <w:color w:val="000000" w:themeColor="text1"/>
          <w:sz w:val="22"/>
        </w:rPr>
        <w:t xml:space="preserve">). </w:t>
      </w:r>
    </w:p>
    <w:p>
      <w:pPr>
        <w:pageBreakBefore/>
        <w:spacing w:after="120" w:line="264" w:lineRule="auto"/>
        <w:rPr>
          <w:rFonts w:eastAsia="Times New Roman" w:cs="Times New Roman"/>
          <w:b/>
          <w:noProof/>
          <w:color w:val="000000" w:themeColor="text1"/>
          <w:sz w:val="22"/>
          <w:szCs w:val="20"/>
        </w:rPr>
      </w:pPr>
      <w:r>
        <w:rPr>
          <w:b/>
          <w:noProof/>
          <w:color w:val="000000" w:themeColor="text1"/>
          <w:sz w:val="22"/>
          <w:szCs w:val="20"/>
        </w:rPr>
        <w:t>II lisa. Rumeenia riigikülastus</w:t>
      </w:r>
    </w:p>
    <w:p>
      <w:pPr>
        <w:spacing w:after="120" w:line="264" w:lineRule="auto"/>
        <w:rPr>
          <w:rFonts w:eastAsia="Times New Roman" w:cs="Times New Roman"/>
          <w:noProof/>
          <w:color w:val="000000" w:themeColor="text1"/>
          <w:sz w:val="22"/>
          <w:szCs w:val="20"/>
          <w:shd w:val="clear" w:color="auto" w:fill="FFFFFF"/>
        </w:rPr>
      </w:pPr>
      <w:r>
        <w:rPr>
          <w:noProof/>
          <w:color w:val="000000" w:themeColor="text1"/>
          <w:sz w:val="22"/>
          <w:szCs w:val="20"/>
        </w:rPr>
        <w:t>Komisjoni talitused korraldasid 2021. aasta aprillis virtuaalsed kohtumised järgmiste asutuste ja organisatsioonidega: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 xml:space="preserve">arestitud vara haldamise riiklik agentuur </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Expertforum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Freedom House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Funky Citizens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justiitsministeerium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kassatsioonikohtu juurde kuuluv prokuratuur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kassatsioonikohus</w:t>
      </w:r>
    </w:p>
    <w:p>
      <w:pPr>
        <w:numPr>
          <w:ilvl w:val="0"/>
          <w:numId w:val="3"/>
        </w:numPr>
        <w:spacing w:after="0" w:line="256" w:lineRule="auto"/>
        <w:contextualSpacing/>
        <w:rPr>
          <w:rFonts w:cs="Times New Roman"/>
          <w:noProof/>
          <w:color w:val="000000" w:themeColor="text1"/>
          <w:sz w:val="22"/>
          <w:szCs w:val="24"/>
          <w:shd w:val="clear" w:color="auto" w:fill="FFFFFF"/>
        </w:rPr>
      </w:pPr>
      <w:r>
        <w:rPr>
          <w:noProof/>
          <w:color w:val="000000" w:themeColor="text1"/>
          <w:sz w:val="22"/>
          <w:szCs w:val="24"/>
          <w:bdr w:val="none" w:sz="0" w:space="0" w:color="auto" w:frame="1"/>
        </w:rPr>
        <w:t>kõrgem kohtunike nõukogu</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meediaühendus – Cluj</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ombudsman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riiklik audiovisuaalmeedia nõukogu</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riiklik eetikaagentuur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riiklik korruptsioonivastase võitluse direktoraat</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riiklik korruptsioonivastase võitluse strateegia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Rumeenia kohtunike foorum</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Rumeenia kohtunike riiklik ühendus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Rumeenia kohtunike ühendus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Saadikutekoja õiguskomisjon</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seadusandlusnõukogu</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sõltumatu ajakirjanduse keskus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valitsuse peasekretariaat</w:t>
      </w:r>
    </w:p>
    <w:p>
      <w:pPr>
        <w:numPr>
          <w:ilvl w:val="0"/>
          <w:numId w:val="3"/>
        </w:numPr>
        <w:spacing w:after="0" w:line="256" w:lineRule="auto"/>
        <w:contextualSpacing/>
        <w:rPr>
          <w:noProof/>
          <w:color w:val="000000" w:themeColor="text1"/>
          <w:sz w:val="22"/>
          <w:bdr w:val="none" w:sz="0" w:space="0" w:color="auto" w:frame="1"/>
        </w:rPr>
      </w:pPr>
      <w:r>
        <w:rPr>
          <w:noProof/>
          <w:color w:val="000000" w:themeColor="text1"/>
          <w:sz w:val="22"/>
          <w:bdr w:val="none" w:sz="0" w:space="0" w:color="auto" w:frame="1"/>
        </w:rPr>
        <w:t>ühendus „Mișcarea pentru apărarea statutului procurorilor“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ühendus „Õigusemõistmise algatus“</w:t>
      </w:r>
    </w:p>
    <w:p>
      <w:pPr>
        <w:spacing w:after="0" w:line="256" w:lineRule="auto"/>
        <w:ind w:left="720"/>
        <w:contextualSpacing/>
        <w:rPr>
          <w:rFonts w:cs="Times New Roman"/>
          <w:noProof/>
          <w:color w:val="000000" w:themeColor="text1"/>
          <w:sz w:val="22"/>
          <w:szCs w:val="24"/>
          <w:shd w:val="clear" w:color="auto" w:fill="FFFFFF"/>
        </w:rPr>
      </w:pPr>
    </w:p>
    <w:p>
      <w:pPr>
        <w:rPr>
          <w:rFonts w:cs="Times New Roman"/>
          <w:noProof/>
          <w:sz w:val="22"/>
        </w:rPr>
      </w:pPr>
      <w:r>
        <w:rPr>
          <w:noProof/>
          <w:sz w:val="22"/>
        </w:rPr>
        <w:t>* Komisjon arutas õigusriigi üldküsimusi ka mitmel kohtumisel järgmiste organisatsioonidega:</w:t>
      </w:r>
    </w:p>
    <w:p>
      <w:pPr>
        <w:pStyle w:val="ListParagraph"/>
        <w:numPr>
          <w:ilvl w:val="0"/>
          <w:numId w:val="15"/>
        </w:numPr>
        <w:spacing w:after="160" w:line="259" w:lineRule="auto"/>
        <w:contextualSpacing/>
        <w:rPr>
          <w:noProof/>
          <w:sz w:val="22"/>
        </w:rPr>
      </w:pPr>
      <w:r>
        <w:rPr>
          <w:noProof/>
          <w:sz w:val="22"/>
        </w:rPr>
        <w:t>Amnesty International</w:t>
      </w:r>
    </w:p>
    <w:p>
      <w:pPr>
        <w:pStyle w:val="ListParagraph"/>
        <w:numPr>
          <w:ilvl w:val="0"/>
          <w:numId w:val="15"/>
        </w:numPr>
        <w:spacing w:after="160" w:line="259" w:lineRule="auto"/>
        <w:contextualSpacing/>
        <w:rPr>
          <w:noProof/>
          <w:sz w:val="22"/>
        </w:rPr>
      </w:pPr>
      <w:r>
        <w:rPr>
          <w:noProof/>
          <w:sz w:val="22"/>
        </w:rPr>
        <w:t>Center for Reproductive Rights (reproduktiivõiguste keskus)</w:t>
      </w:r>
    </w:p>
    <w:p>
      <w:pPr>
        <w:pStyle w:val="ListParagraph"/>
        <w:numPr>
          <w:ilvl w:val="0"/>
          <w:numId w:val="15"/>
        </w:numPr>
        <w:spacing w:after="160" w:line="259" w:lineRule="auto"/>
        <w:contextualSpacing/>
        <w:rPr>
          <w:noProof/>
          <w:sz w:val="22"/>
        </w:rPr>
      </w:pPr>
      <w:r>
        <w:rPr>
          <w:noProof/>
          <w:sz w:val="22"/>
        </w:rPr>
        <w:t>CIVICUS (Ülemaailmne Kodanikualgatuse Ühendus)</w:t>
      </w:r>
    </w:p>
    <w:p>
      <w:pPr>
        <w:pStyle w:val="ListParagraph"/>
        <w:numPr>
          <w:ilvl w:val="0"/>
          <w:numId w:val="15"/>
        </w:numPr>
        <w:spacing w:after="160" w:line="259" w:lineRule="auto"/>
        <w:contextualSpacing/>
        <w:rPr>
          <w:noProof/>
          <w:sz w:val="22"/>
        </w:rPr>
      </w:pPr>
      <w:r>
        <w:rPr>
          <w:noProof/>
          <w:sz w:val="22"/>
        </w:rPr>
        <w:t>Civil Liberties Union for Europe (Euroopa kodanikuvabaduste liit)</w:t>
      </w:r>
    </w:p>
    <w:p>
      <w:pPr>
        <w:pStyle w:val="ListParagraph"/>
        <w:numPr>
          <w:ilvl w:val="0"/>
          <w:numId w:val="15"/>
        </w:numPr>
        <w:spacing w:after="160" w:line="259" w:lineRule="auto"/>
        <w:contextualSpacing/>
        <w:rPr>
          <w:noProof/>
          <w:sz w:val="22"/>
        </w:rPr>
      </w:pPr>
      <w:r>
        <w:rPr>
          <w:noProof/>
          <w:sz w:val="22"/>
        </w:rPr>
        <w:t>Civil Society Europe</w:t>
      </w:r>
    </w:p>
    <w:p>
      <w:pPr>
        <w:pStyle w:val="ListParagraph"/>
        <w:numPr>
          <w:ilvl w:val="0"/>
          <w:numId w:val="15"/>
        </w:numPr>
        <w:spacing w:after="160" w:line="259" w:lineRule="auto"/>
        <w:contextualSpacing/>
        <w:rPr>
          <w:noProof/>
          <w:sz w:val="22"/>
        </w:rPr>
      </w:pPr>
      <w:r>
        <w:rPr>
          <w:noProof/>
          <w:sz w:val="22"/>
        </w:rPr>
        <w:t>Conference of European Churches (Euroopa kirikute konverents)</w:t>
      </w:r>
    </w:p>
    <w:p>
      <w:pPr>
        <w:pStyle w:val="ListParagraph"/>
        <w:numPr>
          <w:ilvl w:val="0"/>
          <w:numId w:val="15"/>
        </w:numPr>
        <w:spacing w:after="160" w:line="259" w:lineRule="auto"/>
        <w:contextualSpacing/>
        <w:rPr>
          <w:noProof/>
          <w:sz w:val="22"/>
        </w:rPr>
      </w:pPr>
      <w:r>
        <w:rPr>
          <w:noProof/>
          <w:sz w:val="22"/>
        </w:rPr>
        <w:t>EuroCommerce</w:t>
      </w:r>
    </w:p>
    <w:p>
      <w:pPr>
        <w:pStyle w:val="ListParagraph"/>
        <w:numPr>
          <w:ilvl w:val="0"/>
          <w:numId w:val="15"/>
        </w:numPr>
        <w:spacing w:after="160" w:line="259" w:lineRule="auto"/>
        <w:contextualSpacing/>
        <w:rPr>
          <w:noProof/>
          <w:sz w:val="22"/>
        </w:rPr>
      </w:pPr>
      <w:r>
        <w:rPr>
          <w:noProof/>
          <w:sz w:val="22"/>
        </w:rPr>
        <w:t>Euroopa Ajakirjandus- ja Meediavabaduse Keskus</w:t>
      </w:r>
    </w:p>
    <w:p>
      <w:pPr>
        <w:pStyle w:val="ListParagraph"/>
        <w:numPr>
          <w:ilvl w:val="0"/>
          <w:numId w:val="15"/>
        </w:numPr>
        <w:spacing w:after="160" w:line="259" w:lineRule="auto"/>
        <w:contextualSpacing/>
        <w:rPr>
          <w:noProof/>
          <w:sz w:val="22"/>
        </w:rPr>
      </w:pPr>
      <w:r>
        <w:rPr>
          <w:noProof/>
          <w:sz w:val="22"/>
        </w:rPr>
        <w:t>Euroopa Ajakirjanike Liit</w:t>
      </w:r>
    </w:p>
    <w:p>
      <w:pPr>
        <w:pStyle w:val="ListParagraph"/>
        <w:numPr>
          <w:ilvl w:val="0"/>
          <w:numId w:val="15"/>
        </w:numPr>
        <w:spacing w:after="160" w:line="259" w:lineRule="auto"/>
        <w:contextualSpacing/>
        <w:rPr>
          <w:noProof/>
          <w:sz w:val="22"/>
        </w:rPr>
      </w:pPr>
      <w:r>
        <w:rPr>
          <w:noProof/>
          <w:sz w:val="22"/>
        </w:rPr>
        <w:t>Euroopa Noortefoorum</w:t>
      </w:r>
    </w:p>
    <w:p>
      <w:pPr>
        <w:pStyle w:val="ListParagraph"/>
        <w:numPr>
          <w:ilvl w:val="0"/>
          <w:numId w:val="15"/>
        </w:numPr>
        <w:spacing w:after="160" w:line="259" w:lineRule="auto"/>
        <w:contextualSpacing/>
        <w:rPr>
          <w:noProof/>
          <w:sz w:val="22"/>
        </w:rPr>
      </w:pPr>
      <w:r>
        <w:rPr>
          <w:noProof/>
          <w:sz w:val="22"/>
        </w:rPr>
        <w:t>European Center for Not-for-Profit Law (Euroopa mittetulundusõiguse keskus)</w:t>
      </w:r>
    </w:p>
    <w:p>
      <w:pPr>
        <w:pStyle w:val="ListParagraph"/>
        <w:numPr>
          <w:ilvl w:val="0"/>
          <w:numId w:val="15"/>
        </w:numPr>
        <w:spacing w:after="160" w:line="259" w:lineRule="auto"/>
        <w:contextualSpacing/>
        <w:rPr>
          <w:noProof/>
          <w:sz w:val="22"/>
        </w:rPr>
      </w:pPr>
      <w:r>
        <w:rPr>
          <w:noProof/>
          <w:sz w:val="22"/>
        </w:rPr>
        <w:t>European Civic Forum (Euroopa kodanike foorum)</w:t>
      </w:r>
    </w:p>
    <w:p>
      <w:pPr>
        <w:pStyle w:val="ListParagraph"/>
        <w:numPr>
          <w:ilvl w:val="0"/>
          <w:numId w:val="15"/>
        </w:numPr>
        <w:spacing w:after="160" w:line="259" w:lineRule="auto"/>
        <w:contextualSpacing/>
        <w:rPr>
          <w:noProof/>
          <w:sz w:val="22"/>
        </w:rPr>
      </w:pPr>
      <w:r>
        <w:rPr>
          <w:noProof/>
          <w:sz w:val="22"/>
        </w:rPr>
        <w:t xml:space="preserve">European Partnership for Democracy (Euroopa demokraatia tugivõrgustik) </w:t>
      </w:r>
    </w:p>
    <w:p>
      <w:pPr>
        <w:pStyle w:val="ListParagraph"/>
        <w:numPr>
          <w:ilvl w:val="0"/>
          <w:numId w:val="15"/>
        </w:numPr>
        <w:spacing w:after="160" w:line="259" w:lineRule="auto"/>
        <w:contextualSpacing/>
        <w:rPr>
          <w:noProof/>
          <w:sz w:val="22"/>
        </w:rPr>
      </w:pPr>
      <w:r>
        <w:rPr>
          <w:noProof/>
          <w:sz w:val="22"/>
        </w:rPr>
        <w:t>Front Line Defenders</w:t>
      </w:r>
    </w:p>
    <w:p>
      <w:pPr>
        <w:pStyle w:val="ListParagraph"/>
        <w:numPr>
          <w:ilvl w:val="0"/>
          <w:numId w:val="15"/>
        </w:numPr>
        <w:spacing w:after="160" w:line="259" w:lineRule="auto"/>
        <w:contextualSpacing/>
        <w:rPr>
          <w:noProof/>
          <w:sz w:val="22"/>
        </w:rPr>
      </w:pPr>
      <w:r>
        <w:rPr>
          <w:noProof/>
          <w:sz w:val="22"/>
        </w:rPr>
        <w:t xml:space="preserve">Human Rights House Foundation </w:t>
      </w:r>
    </w:p>
    <w:p>
      <w:pPr>
        <w:pStyle w:val="ListParagraph"/>
        <w:numPr>
          <w:ilvl w:val="0"/>
          <w:numId w:val="15"/>
        </w:numPr>
        <w:spacing w:after="160" w:line="259" w:lineRule="auto"/>
        <w:contextualSpacing/>
        <w:rPr>
          <w:noProof/>
          <w:sz w:val="22"/>
        </w:rPr>
      </w:pPr>
      <w:r>
        <w:rPr>
          <w:noProof/>
          <w:sz w:val="22"/>
        </w:rPr>
        <w:t xml:space="preserve">Human Rights Watch </w:t>
      </w:r>
    </w:p>
    <w:p>
      <w:pPr>
        <w:pStyle w:val="ListParagraph"/>
        <w:numPr>
          <w:ilvl w:val="0"/>
          <w:numId w:val="15"/>
        </w:numPr>
        <w:spacing w:after="160" w:line="259" w:lineRule="auto"/>
        <w:contextualSpacing/>
        <w:rPr>
          <w:noProof/>
          <w:sz w:val="22"/>
        </w:rPr>
      </w:pPr>
      <w:r>
        <w:rPr>
          <w:noProof/>
          <w:sz w:val="22"/>
        </w:rPr>
        <w:t>ILGA-Europe</w:t>
      </w:r>
    </w:p>
    <w:p>
      <w:pPr>
        <w:pStyle w:val="ListParagraph"/>
        <w:numPr>
          <w:ilvl w:val="0"/>
          <w:numId w:val="15"/>
        </w:numPr>
        <w:spacing w:after="160" w:line="259" w:lineRule="auto"/>
        <w:contextualSpacing/>
        <w:rPr>
          <w:noProof/>
          <w:sz w:val="22"/>
        </w:rPr>
      </w:pPr>
      <w:r>
        <w:rPr>
          <w:noProof/>
          <w:sz w:val="22"/>
        </w:rPr>
        <w:t>International Planned Parenthood Federation European Network (IPPF EN) (rahvusvahelise pereplaneerimise föderatsiooni Euroopa võrgustik)</w:t>
      </w:r>
    </w:p>
    <w:p>
      <w:pPr>
        <w:pStyle w:val="ListParagraph"/>
        <w:numPr>
          <w:ilvl w:val="0"/>
          <w:numId w:val="15"/>
        </w:numPr>
        <w:spacing w:after="160" w:line="259" w:lineRule="auto"/>
        <w:contextualSpacing/>
        <w:rPr>
          <w:noProof/>
          <w:sz w:val="22"/>
        </w:rPr>
      </w:pPr>
      <w:r>
        <w:rPr>
          <w:noProof/>
          <w:sz w:val="22"/>
        </w:rPr>
        <w:t xml:space="preserve">Madalmaade Helsingi komitee </w:t>
      </w:r>
    </w:p>
    <w:p>
      <w:pPr>
        <w:pStyle w:val="ListParagraph"/>
        <w:numPr>
          <w:ilvl w:val="0"/>
          <w:numId w:val="15"/>
        </w:numPr>
        <w:spacing w:after="160" w:line="259" w:lineRule="auto"/>
        <w:contextualSpacing/>
        <w:rPr>
          <w:noProof/>
          <w:sz w:val="22"/>
        </w:rPr>
      </w:pPr>
      <w:r>
        <w:rPr>
          <w:noProof/>
          <w:sz w:val="22"/>
        </w:rPr>
        <w:t>Open Society European Policy Institute</w:t>
      </w:r>
    </w:p>
    <w:p>
      <w:pPr>
        <w:pStyle w:val="ListParagraph"/>
        <w:numPr>
          <w:ilvl w:val="0"/>
          <w:numId w:val="15"/>
        </w:numPr>
        <w:spacing w:after="160" w:line="259" w:lineRule="auto"/>
        <w:contextualSpacing/>
        <w:rPr>
          <w:noProof/>
          <w:sz w:val="22"/>
        </w:rPr>
      </w:pPr>
      <w:r>
        <w:rPr>
          <w:noProof/>
          <w:sz w:val="22"/>
        </w:rPr>
        <w:t>Philanthropy Advocacy</w:t>
      </w:r>
    </w:p>
    <w:p>
      <w:pPr>
        <w:pStyle w:val="ListParagraph"/>
        <w:numPr>
          <w:ilvl w:val="0"/>
          <w:numId w:val="15"/>
        </w:numPr>
        <w:spacing w:after="160" w:line="259" w:lineRule="auto"/>
        <w:contextualSpacing/>
        <w:rPr>
          <w:noProof/>
          <w:sz w:val="22"/>
        </w:rPr>
      </w:pPr>
      <w:r>
        <w:rPr>
          <w:noProof/>
          <w:sz w:val="22"/>
        </w:rPr>
        <w:t>Piirideta Reporterid</w:t>
      </w:r>
    </w:p>
    <w:p>
      <w:pPr>
        <w:pStyle w:val="ListParagraph"/>
        <w:numPr>
          <w:ilvl w:val="0"/>
          <w:numId w:val="15"/>
        </w:numPr>
        <w:spacing w:after="160" w:line="259" w:lineRule="auto"/>
        <w:contextualSpacing/>
        <w:rPr>
          <w:noProof/>
          <w:sz w:val="22"/>
        </w:rPr>
      </w:pPr>
      <w:r>
        <w:rPr>
          <w:noProof/>
          <w:sz w:val="22"/>
        </w:rPr>
        <w:t xml:space="preserve">Protection International </w:t>
      </w:r>
    </w:p>
    <w:p>
      <w:pPr>
        <w:pStyle w:val="ListParagraph"/>
        <w:numPr>
          <w:ilvl w:val="0"/>
          <w:numId w:val="15"/>
        </w:numPr>
        <w:spacing w:after="160" w:line="259" w:lineRule="auto"/>
        <w:contextualSpacing/>
        <w:rPr>
          <w:noProof/>
          <w:sz w:val="22"/>
        </w:rPr>
      </w:pPr>
      <w:r>
        <w:rPr>
          <w:noProof/>
          <w:sz w:val="22"/>
        </w:rPr>
        <w:t>Rahvusvaheline Inimõiguste Föderatsioon</w:t>
      </w:r>
    </w:p>
    <w:p>
      <w:pPr>
        <w:pStyle w:val="ListParagraph"/>
        <w:numPr>
          <w:ilvl w:val="0"/>
          <w:numId w:val="15"/>
        </w:numPr>
        <w:spacing w:after="160" w:line="259" w:lineRule="auto"/>
        <w:contextualSpacing/>
        <w:rPr>
          <w:noProof/>
          <w:sz w:val="22"/>
        </w:rPr>
      </w:pPr>
      <w:r>
        <w:rPr>
          <w:noProof/>
          <w:sz w:val="22"/>
        </w:rPr>
        <w:t>Rahvusvaheline Juristide Komisjon</w:t>
      </w:r>
    </w:p>
    <w:p>
      <w:pPr>
        <w:pStyle w:val="ListParagraph"/>
        <w:numPr>
          <w:ilvl w:val="0"/>
          <w:numId w:val="15"/>
        </w:numPr>
        <w:spacing w:after="160" w:line="259" w:lineRule="auto"/>
        <w:contextualSpacing/>
        <w:rPr>
          <w:noProof/>
          <w:sz w:val="22"/>
        </w:rPr>
      </w:pPr>
      <w:r>
        <w:rPr>
          <w:noProof/>
          <w:sz w:val="22"/>
        </w:rPr>
        <w:t>rahvusvaheline võrgustik International Press Institute</w:t>
      </w:r>
    </w:p>
    <w:p>
      <w:pPr>
        <w:pStyle w:val="ListParagraph"/>
        <w:numPr>
          <w:ilvl w:val="0"/>
          <w:numId w:val="15"/>
        </w:numPr>
        <w:spacing w:after="160" w:line="259" w:lineRule="auto"/>
        <w:contextualSpacing/>
        <w:rPr>
          <w:noProof/>
          <w:sz w:val="22"/>
        </w:rPr>
      </w:pPr>
      <w:r>
        <w:rPr>
          <w:noProof/>
          <w:sz w:val="22"/>
        </w:rPr>
        <w:t>Transparency International EU</w:t>
      </w:r>
    </w:p>
    <w:p>
      <w:pPr>
        <w:rPr>
          <w:rFonts w:cs="Times New Roman"/>
          <w:noProof/>
          <w:color w:val="000000" w:themeColor="text1"/>
          <w:sz w:val="22"/>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79B58D" w16cex:dateUtc="2021-06-14T18:06:28.933Z"/>
  <w16cex:commentExtensible w16cex:durableId="5E64553A" w16cex:dateUtc="2021-06-14T18:11:22.119Z"/>
  <w16cex:commentExtensible w16cex:durableId="404FEB9B" w16cex:dateUtc="2021-07-01T09:09:57.972Z"/>
</w16cex:commentsExtensible>
</file>

<file path=word/commentsIds.xml><?xml version="1.0" encoding="utf-8"?>
<w16cid:commentsIds xmlns:mc="http://schemas.openxmlformats.org/markup-compatibility/2006" xmlns:w16cid="http://schemas.microsoft.com/office/word/2016/wordml/cid" mc:Ignorable="w16cid">
  <w16cid:commentId w16cid:paraId="26962DD6" w16cid:durableId="379EB904"/>
  <w16cid:commentId w16cid:paraId="313CFD1F" w16cid:durableId="69F3B465"/>
  <w16cid:commentId w16cid:paraId="2266371B" w16cid:durableId="0FF55C36"/>
  <w16cid:commentId w16cid:paraId="51324E32" w16cid:durableId="66CB34BC"/>
  <w16cid:commentId w16cid:paraId="48E6D96E" w16cid:durableId="4BDA7D47"/>
  <w16cid:commentId w16cid:paraId="6648C270" w16cid:durableId="7477C61A"/>
  <w16cid:commentId w16cid:paraId="2D80F6BA" w16cid:durableId="4B8F0398"/>
  <w16cid:commentId w16cid:paraId="439821F3" w16cid:durableId="30D4C9EC"/>
  <w16cid:commentId w16cid:paraId="23521AC1" w16cid:durableId="4A2E83FF"/>
  <w16cid:commentId w16cid:paraId="326AE022" w16cid:durableId="6E3EF293"/>
  <w16cid:commentId w16cid:paraId="613E16C4" w16cid:durableId="5E79B58D"/>
  <w16cid:commentId w16cid:paraId="42CCA4A4" w16cid:durableId="5E64553A"/>
  <w16cid:commentId w16cid:paraId="0686F762" w16cid:durableId="404FEB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438953654"/>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7543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r>
      <w:r>
        <w:rPr>
          <w:szCs w:val="19"/>
          <w:shd w:val="clear" w:color="auto" w:fill="FFFFFF"/>
        </w:rPr>
        <w:t>Koostöö- ja jälgimiskord loodi ELi nõukogu 17. oktoobri 2006. aasta järelduste (13339/06) alusel komisjoni 13. detsembri 2006. aasta otsusega (K(2006) 928).</w:t>
      </w:r>
    </w:p>
  </w:footnote>
  <w:footnote w:id="3">
    <w:p>
      <w:pPr>
        <w:pStyle w:val="FootnoteText"/>
      </w:pPr>
      <w:r>
        <w:rPr>
          <w:rStyle w:val="FootnoteReference"/>
        </w:rPr>
        <w:footnoteRef/>
      </w:r>
      <w:r>
        <w:tab/>
        <w:t>Komisjoni aruanne Euroopa Parlamendile ja nõukogule Rumeenias koostöö- ja jälgimiskorra raames saavutatud edusammude kohta, COM(2021) 370 final.</w:t>
      </w:r>
    </w:p>
  </w:footnote>
  <w:footnote w:id="4">
    <w:p>
      <w:pPr>
        <w:pStyle w:val="FootnoteText"/>
      </w:pPr>
      <w:r>
        <w:rPr>
          <w:rStyle w:val="FootnoteReference"/>
        </w:rPr>
        <w:footnoteRef/>
      </w:r>
      <w:r>
        <w:tab/>
        <w:t>Apellatsioonikohtud vaatavad läbi madalamate kohtute lahendite kohta esitatud kaebusi nii esimese (keerukamad juhtumid) kui ka teise astme kohtuna.</w:t>
      </w:r>
    </w:p>
  </w:footnote>
  <w:footnote w:id="5">
    <w:p>
      <w:pPr>
        <w:pStyle w:val="FootnoteText"/>
      </w:pPr>
      <w:r>
        <w:rPr>
          <w:rStyle w:val="FootnoteReference"/>
        </w:rPr>
        <w:footnoteRef/>
      </w:r>
      <w:r>
        <w:tab/>
        <w:t>Kassatsioonikohtu kriminaalkolleegium arutab esimese astme kohtuna Senati ja Saadikutekoja liikmete ning Rumeeniast valitud Euroopa Parlamendi liikmete, valitsuse liikmete, konstitutsioonikohtu kohtunike, kõrgema kohtunike nõukogu liikmete, kassatsioonikohtu kohtunike ning selle kohtu juurde kuuluva prokuratuuri prokuröride toimepandud õigusrikkumisi.</w:t>
      </w:r>
    </w:p>
  </w:footnote>
  <w:footnote w:id="6">
    <w:p>
      <w:pPr>
        <w:pStyle w:val="FootnoteText"/>
      </w:pPr>
      <w:r>
        <w:rPr>
          <w:rStyle w:val="FootnoteReference"/>
        </w:rPr>
        <w:footnoteRef/>
      </w:r>
      <w:r>
        <w:tab/>
        <w:t>Apellatsioonikohtute juures tegutsevaid prokuratuure juhivad peaprokurörid ning tribunalide ja maakonnakohtute juures tegutsevaid prokuratuure vanemprokurörid.</w:t>
      </w:r>
    </w:p>
  </w:footnote>
  <w:footnote w:id="7">
    <w:p>
      <w:pPr>
        <w:pStyle w:val="FootnoteText"/>
      </w:pPr>
      <w:r>
        <w:rPr>
          <w:rStyle w:val="FootnoteReference"/>
        </w:rPr>
        <w:footnoteRef/>
      </w:r>
      <w:r>
        <w:tab/>
        <w:t>Kohtusüsteemis toimepandud õigusrikkumisi uuriva eriprokuratuuri juhtivprokurör määratakse erimenetlusega, milles osalevad üksnes kõrgema kohtunike nõukogu liikmed.</w:t>
      </w:r>
    </w:p>
  </w:footnote>
  <w:footnote w:id="8">
    <w:p>
      <w:pPr>
        <w:pStyle w:val="FootnoteText"/>
      </w:pPr>
      <w:r>
        <w:rPr>
          <w:rStyle w:val="FootnoteReference"/>
        </w:rPr>
        <w:footnoteRef/>
      </w:r>
      <w:r>
        <w:tab/>
        <w:t>2021. aasta ELi õigusemõistmise tulemustabel, joonis 48. Kohtusüsteemi tajutava sõltumatuse tasemeid liigitatakse järgmiselt: väga madal (alla 30 % vastanutest peab kohtusüsteemi sõltumatust võrdlemisi või väga suureks); madal (30–39 %), keskmine (40–59 %), kõrge (60–75 %), väga kõrge (üle 75 %).</w:t>
      </w:r>
    </w:p>
  </w:footnote>
  <w:footnote w:id="9">
    <w:p>
      <w:pPr>
        <w:pStyle w:val="FootnoteText"/>
      </w:pPr>
      <w:r>
        <w:rPr>
          <w:rStyle w:val="FootnoteReference"/>
        </w:rPr>
        <w:footnoteRef/>
      </w:r>
      <w:r>
        <w:tab/>
        <w:t>2021. aasta ELi õigusemõistmise tulemustabel, joonis 50.</w:t>
      </w:r>
    </w:p>
  </w:footnote>
  <w:footnote w:id="10">
    <w:p>
      <w:pPr>
        <w:pStyle w:val="FootnoteText"/>
      </w:pPr>
      <w:r>
        <w:rPr>
          <w:rStyle w:val="FootnoteReference"/>
        </w:rPr>
        <w:footnoteRef/>
      </w:r>
      <w:r>
        <w:tab/>
        <w:t>2021. aasta ELi õigusemõistmise tulemustabel, joonised 49 ja 51.</w:t>
      </w:r>
    </w:p>
  </w:footnote>
  <w:footnote w:id="11">
    <w:p>
      <w:pPr>
        <w:pStyle w:val="FootnoteText"/>
      </w:pPr>
      <w:r>
        <w:rPr>
          <w:rStyle w:val="FootnoteReference"/>
        </w:rPr>
        <w:footnoteRef/>
      </w:r>
      <w:r>
        <w:tab/>
        <w:t>Seadus nr 303/2004 kohtunike ja prokuröride staatuse kohta, seadus nr 304/2004 kohtukorralduse kohta ja seadus nr 317/2004 kõrgema kohtunike nõukogu kohta.</w:t>
      </w:r>
    </w:p>
  </w:footnote>
  <w:footnote w:id="12">
    <w:p>
      <w:pPr>
        <w:pStyle w:val="FootnoteText"/>
      </w:pPr>
      <w:r>
        <w:rPr>
          <w:rStyle w:val="FootnoteReference"/>
        </w:rPr>
        <w:footnoteRef/>
      </w:r>
      <w:r>
        <w:tab/>
        <w:t>Komisjoni aruanne Euroopa Parlamendile ja nõukogule Rumeenias koostöö- ja jälgimiskorra raames saavutatud edusammude kohta, COM(2021) 370 final. õigusriigi olukorda käsitleva 2020. aasta aruande peatükis õigusriigi olukorra kohta Rumeenias (lk 3) märgiti, et 2018.–2019. aasta õigusemõistmist käsitlevate õigusaktide rakendamine pikema aja jooksul põhjustab suuremat ja püsivat ebakindlust kohtusüsteemi kui terviku toimimises ning annab ka igale kohtunikule põhjust muretseda oma sõltumatuse, statuudi ja karjääri pärast.</w:t>
      </w:r>
    </w:p>
  </w:footnote>
  <w:footnote w:id="13">
    <w:p>
      <w:pPr>
        <w:pStyle w:val="FootnoteText"/>
      </w:pPr>
      <w:r>
        <w:rPr>
          <w:rStyle w:val="FootnoteReference"/>
        </w:rPr>
        <w:footnoteRef/>
      </w:r>
      <w:r>
        <w:tab/>
        <w:t>2020. aasta aruanne õigusriigi kohta, peatükk õigusriigi olukorra kohta Rumeenias, lk 5. Komisjoni aruanne Euroopa Parlamendile ja nõukogule Rumeenias koostöö- ja jälgimiskorra raames saavutatud edusammude kohta, COM(2021) 370 final.</w:t>
      </w:r>
    </w:p>
  </w:footnote>
  <w:footnote w:id="14">
    <w:p>
      <w:pPr>
        <w:pStyle w:val="FootnoteText"/>
      </w:pPr>
      <w:r>
        <w:rPr>
          <w:rStyle w:val="FootnoteReference"/>
        </w:rPr>
        <w:footnoteRef/>
      </w:r>
      <w:r>
        <w:tab/>
      </w:r>
      <w:r>
        <w:rPr>
          <w:i/>
        </w:rPr>
        <w:t>Ibid.</w:t>
      </w:r>
      <w:r>
        <w:t>, lk 3.</w:t>
      </w:r>
    </w:p>
  </w:footnote>
  <w:footnote w:id="15">
    <w:p>
      <w:pPr>
        <w:pStyle w:val="FootnoteText"/>
      </w:pPr>
      <w:r>
        <w:rPr>
          <w:rStyle w:val="FootnoteReference"/>
        </w:rPr>
        <w:footnoteRef/>
      </w:r>
      <w:r>
        <w:tab/>
        <w:t>Eelkõige seoses heidutava mõjuga kohtunikele ja prokuröridele (kohtuotsus, Euroopa Kohus, 18. mai 2021, Asociaţia „Forumul Judecătorilor Din România“ jt, liidetud kohtuasjad C-83/19, C-127/19, C-195/19, C-294/19, C-355/19 ja C-379/19, punkt 219).</w:t>
      </w:r>
    </w:p>
  </w:footnote>
  <w:footnote w:id="16">
    <w:p>
      <w:pPr>
        <w:pStyle w:val="FootnoteText"/>
      </w:pPr>
      <w:r>
        <w:rPr>
          <w:rStyle w:val="FootnoteReference"/>
        </w:rPr>
        <w:footnoteRef/>
      </w:r>
      <w:r>
        <w:tab/>
        <w:t>Vt joonealune märkus </w:t>
      </w:r>
      <w:r>
        <w:fldChar w:fldCharType="begin"/>
      </w:r>
      <w:r>
        <w:instrText xml:space="preserve"> NOTEREF _Ref73295779 \h  \* MERGEFORMAT </w:instrText>
      </w:r>
      <w:r>
        <w:fldChar w:fldCharType="separate"/>
      </w:r>
      <w:r>
        <w:t>10</w:t>
      </w:r>
      <w:r>
        <w:fldChar w:fldCharType="end"/>
      </w:r>
      <w:r>
        <w:t>.</w:t>
      </w:r>
    </w:p>
  </w:footnote>
  <w:footnote w:id="17">
    <w:p>
      <w:pPr>
        <w:pStyle w:val="FootnoteText"/>
        <w:contextualSpacing/>
      </w:pPr>
      <w:r>
        <w:rPr>
          <w:rStyle w:val="FootnoteReference"/>
        </w:rPr>
        <w:footnoteRef/>
      </w:r>
      <w:r>
        <w:tab/>
        <w:t>Kohtuotsus, Euroopa Kohus, 18. mai 2021, Asociaţia“Forumul Judecătorilor Din România“ jt, liidetud kohtuasjad C-83/19, C-127/19, C-195/19, C-294/19, C-355/19 ja C-379/19, punktid 179–241.</w:t>
      </w:r>
    </w:p>
  </w:footnote>
  <w:footnote w:id="18">
    <w:p>
      <w:pPr>
        <w:pStyle w:val="FootnoteText"/>
        <w:tabs>
          <w:tab w:val="left" w:pos="851"/>
        </w:tabs>
        <w:contextualSpacing/>
      </w:pPr>
      <w:r>
        <w:rPr>
          <w:rStyle w:val="FootnoteReference"/>
        </w:rPr>
        <w:footnoteRef/>
      </w:r>
      <w:r>
        <w:tab/>
      </w:r>
      <w:r>
        <w:rPr>
          <w:i/>
        </w:rPr>
        <w:t>Ibid.</w:t>
      </w:r>
      <w:r>
        <w:t xml:space="preserve">, punkt 162. Vt ka kohtuotsus, Euroopa Kohus, 20. aprill 2021, Repubblika </w:t>
      </w:r>
      <w:r>
        <w:rPr>
          <w:i/>
        </w:rPr>
        <w:t>vs.</w:t>
      </w:r>
      <w:r>
        <w:t xml:space="preserve"> Il-Prim Ministru, C-896/19, punkt 64.</w:t>
      </w:r>
    </w:p>
  </w:footnote>
  <w:footnote w:id="19">
    <w:p>
      <w:pPr>
        <w:pStyle w:val="FootnoteText"/>
      </w:pPr>
      <w:r>
        <w:rPr>
          <w:rStyle w:val="FootnoteReference"/>
        </w:rPr>
        <w:footnoteRef/>
      </w:r>
      <w:r>
        <w:tab/>
        <w:t>Kõrgem kohtunike nõukogu väidab, et pakutud lahendusega ei kaasne kohtusüsteemi sõltumatuse põhimõtte rakendamise tagatisi, mis tagaksid kohtunike ja prokuröride piisava kaitse surve eest, ning märgib ära seadusandja üldise kohustuse tagada kohtusüsteemi käsitlevate õigusaktide vastuvõtmisel asjakohased tagatised kohtusüsteemi tegeliku sõltumatuse tagamiseks.</w:t>
      </w:r>
    </w:p>
  </w:footnote>
  <w:footnote w:id="20">
    <w:p>
      <w:pPr>
        <w:pStyle w:val="FootnoteText"/>
      </w:pPr>
      <w:r>
        <w:rPr>
          <w:rStyle w:val="FootnoteReference"/>
        </w:rPr>
        <w:footnoteRef/>
      </w:r>
      <w:r>
        <w:tab/>
        <w:t>Kavandatud muudatuse kohaselt saab kohtunikele süüdistusi esitada ainult õigusemõistmise vastaste süütegude, korruptsiooni, ametiseisundi kuritarvitamise või korruptsiooniga võrdsustatud kuritegude eest, kui kõrgema kohtunike nõukogu kohtunike või prokuröride kolleegium on selleks eelnevalt loa andnud.</w:t>
      </w:r>
    </w:p>
  </w:footnote>
  <w:footnote w:id="21">
    <w:p>
      <w:pPr>
        <w:pStyle w:val="FootnoteText"/>
      </w:pPr>
      <w:r>
        <w:rPr>
          <w:rStyle w:val="FootnoteReference"/>
        </w:rPr>
        <w:footnoteRef/>
      </w:r>
      <w:r>
        <w:tab/>
        <w:t>Kõrgemas kohtunike nõukogus on SIIJi kaotamise, tagatiste vajaduse ja Saadikutekoja pakutud tagatiste asjakohasuse suhtes lahknevaid arvamusi.</w:t>
      </w:r>
    </w:p>
  </w:footnote>
  <w:footnote w:id="22">
    <w:p>
      <w:pPr>
        <w:pStyle w:val="FootnoteText"/>
      </w:pPr>
      <w:r>
        <w:rPr>
          <w:rStyle w:val="FootnoteReference"/>
        </w:rPr>
        <w:footnoteRef/>
      </w:r>
      <w:r>
        <w:tab/>
        <w:t>Veneetsia komisjon märgib, et nende muudatustega „kehtestatakse väga tundlikus valdkonnas (kriminaalmenetlus) kohtunike ja prokuröride uut liiki puutumatus, mis läheb palju kaugemale ametialasest puutumatusest“ ning et „[k]riminaalmenetlused, mis ei kuulu ametialase puutumatuse alla, ei peaks kuuluma kõrgema kohtunike nõukogu pädevusse ning need tuleks ilma kõrgema kohtunike nõukogu eelneva kontrollita algatada otse kohtus“. Veneetsia komisjoni arvamus (CDL-AD(2021)019), lk 14.</w:t>
      </w:r>
    </w:p>
  </w:footnote>
  <w:footnote w:id="23">
    <w:p>
      <w:pPr>
        <w:pStyle w:val="FootnoteText"/>
      </w:pPr>
      <w:r>
        <w:rPr>
          <w:rStyle w:val="FootnoteReference"/>
        </w:rPr>
        <w:footnoteRef/>
      </w:r>
      <w:r>
        <w:tab/>
      </w:r>
      <w:r>
        <w:rPr>
          <w:color w:val="000000" w:themeColor="text1"/>
        </w:rPr>
        <w:t>Euroopa Kohus lisas, et SIIJi tegevust puudutavad elulised näited kinnitavad, et realiseerunud on risk, et see osakond on poliitilise surve vahend ning et ta kasutab oma pädevust selleks, et muuta teatud kriminaal- või kohtumenetluste käiku muu hulgas kõrgetasemelistes korruptsioonijuhtumites, mis tekitab kahtlusi selle osakonna objektiivsuses (</w:t>
      </w:r>
      <w:r>
        <w:t>kohtuotsus, Euroopa Kohus, 18. mai 2021, Asociaţia „Forumul Judecătorilor Din România“ jt, liidetud kohtuasjad C-83/19, C-127/19, C-195/19, C-294/19, C-355/19 ja C-379/19, punktid 219 ja 223).</w:t>
      </w:r>
    </w:p>
  </w:footnote>
  <w:footnote w:id="24">
    <w:p>
      <w:pPr>
        <w:pStyle w:val="FootnoteText"/>
      </w:pPr>
      <w:r>
        <w:rPr>
          <w:rStyle w:val="FootnoteReference"/>
        </w:rPr>
        <w:footnoteRef/>
      </w:r>
      <w:r>
        <w:tab/>
        <w:t>23. juunil 2021 alustas kohtunike uurimisorgan distsiplinaaruurimist Pitești apellatsioonikohtu kohtuniku suhtes, kes tegi eespool nimetatud otsuse, tuues põhjenduseks, et see kohtunik täitis oma ülesandeid pahauskselt või raske hooletusega, kui ta tugines prokuratuuri osakonna pädevuse hindamisel Euroopa Kohtu otsusele.</w:t>
      </w:r>
    </w:p>
  </w:footnote>
  <w:footnote w:id="25">
    <w:p>
      <w:pPr>
        <w:pStyle w:val="FootnoteText"/>
      </w:pPr>
      <w:r>
        <w:rPr>
          <w:rStyle w:val="FootnoteReference"/>
        </w:rPr>
        <w:footnoteRef/>
      </w:r>
      <w:r>
        <w:t xml:space="preserve"> </w:t>
      </w:r>
      <w:r>
        <w:tab/>
      </w:r>
      <w:r>
        <w:rPr>
          <w:i/>
        </w:rPr>
        <w:t>Ibid.</w:t>
      </w:r>
    </w:p>
  </w:footnote>
  <w:footnote w:id="26">
    <w:p>
      <w:pPr>
        <w:pStyle w:val="FootnoteText"/>
      </w:pPr>
      <w:r>
        <w:rPr>
          <w:rStyle w:val="FootnoteReference"/>
        </w:rPr>
        <w:footnoteRef/>
      </w:r>
      <w:r>
        <w:tab/>
        <w:t>2020. aasta aruanne õigusriigi kohta, peatükk õigusriigi olukorra kohta Rumeenias, lk 3.</w:t>
      </w:r>
    </w:p>
  </w:footnote>
  <w:footnote w:id="27">
    <w:p>
      <w:pPr>
        <w:pStyle w:val="FootnoteText"/>
      </w:pPr>
      <w:r>
        <w:rPr>
          <w:rStyle w:val="FootnoteReference"/>
        </w:rPr>
        <w:footnoteRef/>
      </w:r>
      <w:r>
        <w:tab/>
        <w:t xml:space="preserve">Vt eelkõige Veneetsia komisjoni arvamus (CDL-AD(2018)017); GRECO, Rumeeniat käsitlev (eeskirja nr 34 kohane) </w:t>
      </w:r>
      <w:r>
        <w:rPr>
          <w:i/>
          <w:iCs/>
        </w:rPr>
        <w:t>ad hoc</w:t>
      </w:r>
      <w:r>
        <w:t xml:space="preserve"> aruanne AdHocRep(2018)2); Euroopa kohtunike konsultatiivnõukogu (CCJE), CCJE büroo arvamus vastuseks Rumeenia kohtunike ühenduse järelepärimisele seoses Rumeenia kohtusüsteemi sõltumatusega; Euroopa prokuröride konsultatiivnõukogu (CCPE), CCPE büroo arvamus vastuseks Rumeenia prokuröride staatust kaitsva liikumise järelepärimisele seoses prokuröride sõltumatusega Rumeenias.</w:t>
      </w:r>
    </w:p>
  </w:footnote>
  <w:footnote w:id="28">
    <w:p>
      <w:pPr>
        <w:pStyle w:val="FootnoteText"/>
      </w:pPr>
      <w:r>
        <w:rPr>
          <w:rStyle w:val="FootnoteReference"/>
        </w:rPr>
        <w:footnoteRef/>
      </w:r>
      <w:r>
        <w:tab/>
        <w:t>Veneetsia komisjoni arvamus (CDL-AD(2018)017), punktid 117 ja 164.</w:t>
      </w:r>
    </w:p>
  </w:footnote>
  <w:footnote w:id="29">
    <w:p>
      <w:pPr>
        <w:pStyle w:val="FootnoteText"/>
      </w:pPr>
      <w:r>
        <w:rPr>
          <w:rStyle w:val="FootnoteReference"/>
        </w:rPr>
        <w:footnoteRef/>
      </w:r>
      <w:r>
        <w:tab/>
        <w:t>Kohtuotsus, Euroopa Kohus, 18. mai 2021, Asociaţia „Forumul Judecătorilor Din România“ jt, liidetud kohtuasjad C-83/19, C-127/19, C-195/19, C-294/19, C-355/19 ja C-379/19.</w:t>
      </w:r>
    </w:p>
  </w:footnote>
  <w:footnote w:id="30">
    <w:p>
      <w:pPr>
        <w:pStyle w:val="FootnoteText"/>
      </w:pPr>
      <w:r>
        <w:rPr>
          <w:rStyle w:val="FootnoteReference"/>
        </w:rPr>
        <w:footnoteRef/>
      </w:r>
      <w:r>
        <w:tab/>
      </w:r>
      <w:r>
        <w:rPr>
          <w:color w:val="000000" w:themeColor="text1"/>
        </w:rPr>
        <w:t>Kohus lisas, et kohtunike kaitseõigusi tuleb täielikult austada ja kohus peaks tegema otsuse kohtunike isikliku vastutuse kohta</w:t>
      </w:r>
      <w:r>
        <w:t xml:space="preserve"> (kohtuotsus, Euroopa Kohus, 18. mai 2021, Asociaţia „Forumul Judecătorilor Din România“ jt, liidetud kohtuasjad C-83/19, C-127/19, C-195/19, C-294/19, C-355/19 ja C-379/19, punktid 241).</w:t>
      </w:r>
    </w:p>
  </w:footnote>
  <w:footnote w:id="31">
    <w:p>
      <w:pPr>
        <w:pStyle w:val="FootnoteText"/>
      </w:pPr>
      <w:r>
        <w:rPr>
          <w:rStyle w:val="FootnoteReference"/>
        </w:rPr>
        <w:footnoteRef/>
      </w:r>
      <w:r>
        <w:tab/>
        <w:t>Euroopa Nõukogu ministrite komitee soovitus CM/Rec(2010)12, punktid 66–71.</w:t>
      </w:r>
    </w:p>
  </w:footnote>
  <w:footnote w:id="32">
    <w:p>
      <w:pPr>
        <w:pStyle w:val="FootnoteText"/>
      </w:pPr>
      <w:r>
        <w:rPr>
          <w:rStyle w:val="FootnoteReference"/>
        </w:rPr>
        <w:footnoteRef/>
      </w:r>
      <w:r>
        <w:tab/>
      </w:r>
      <w:r>
        <w:rPr>
          <w:color w:val="000000" w:themeColor="text1"/>
        </w:rPr>
        <w:t>Kohus leidis, et riigisisesed õigusnormid võivad tekitada selliseid kahtlusi, kui nende normide toimel saab asjaomase liikmesriigi valitsus kas või ajutiselt nimetada isikuid ametisse sellise organi juhtivatele ametikohtadele, mille ülesanne on viia läbi distsiplinaaruurimisi ja võtta distsiplinaarmeetmeid kohtunike ja prokuröride suhtes, eirates liikmesriigi õiguses ette nähtud tavapärast ametisse nimetamise menetlust (</w:t>
      </w:r>
      <w:r>
        <w:t>kohtuotsus, Euroopa Kohus, 18. mai 2021, Asociaţia „Forumul Judecătorilor Din România“ jt, liidetud kohtuasjad C-83/19, C-127/19, C-195/19, C-294/19, C-355/19 ja C-379/19, punkt 207).</w:t>
      </w:r>
    </w:p>
  </w:footnote>
  <w:footnote w:id="33">
    <w:p>
      <w:pPr>
        <w:pStyle w:val="FootnoteText"/>
        <w:contextualSpacing/>
      </w:pPr>
      <w:r>
        <w:rPr>
          <w:rStyle w:val="FootnoteReference"/>
        </w:rPr>
        <w:footnoteRef/>
      </w:r>
      <w:r>
        <w:tab/>
        <w:t>Peainspektori suhtes on võimalik vaid välisaudit, mille tellib kõrgem kohtunike nõukogu ise, ning seejärel vaatavad auditiaruande läbi ainult mõned valitud nõukoguliikmed.</w:t>
      </w:r>
    </w:p>
  </w:footnote>
  <w:footnote w:id="34">
    <w:p>
      <w:pPr>
        <w:pStyle w:val="FootnoteText"/>
        <w:contextualSpacing/>
      </w:pPr>
      <w:r>
        <w:rPr>
          <w:rStyle w:val="FootnoteReference"/>
        </w:rPr>
        <w:footnoteRef/>
      </w:r>
      <w:r>
        <w:tab/>
        <w:t xml:space="preserve">Kuni 2018. aastani oli seaduses 317/2004 oli sätestatud, et nii peainspektori kui ka peainspektori asetäitja valib kõrgema kohtunike nõukogu üldkogu konkursi korras, mis hõlmab kirjalikku testi, intervjuud ja juhtimisprojekti esitamist. Kehtiva seaduse kohaselt nimetab peainspektori ametisse kõrgem kohtunike nõukogu pärast intervjuud komisjonis, kuhu kuulub kolm kohtunikku, üks prokurör ja üks kodanikuühiskonna liige. Kõrgema kohtunike nõukogu üldkogu nimetab ametlikult kandidaadi ametisse, kuid saab esitada vastuväiteid üksnes põhjendusel, et eeskirju ei järgitud. Peainspektori asetäitja ja vastavate osakondade direktorid valib peainspektor, kelle volitusi inspektsiooni korraldamiseks on samuti suurendatud. </w:t>
      </w:r>
    </w:p>
  </w:footnote>
  <w:footnote w:id="35">
    <w:p>
      <w:pPr>
        <w:pStyle w:val="FootnoteText"/>
        <w:contextualSpacing/>
      </w:pPr>
      <w:r>
        <w:rPr>
          <w:rStyle w:val="FootnoteReference"/>
        </w:rPr>
        <w:footnoteRef/>
      </w:r>
      <w:r>
        <w:tab/>
        <w:t>2020. aasta aruanne õigusriigi kohta, peatükk õigusriigi olukorra kohta Rumeenias, lk 5.</w:t>
      </w:r>
    </w:p>
  </w:footnote>
  <w:footnote w:id="36">
    <w:p>
      <w:pPr>
        <w:pStyle w:val="FootnoteText"/>
        <w:contextualSpacing/>
      </w:pPr>
      <w:r>
        <w:rPr>
          <w:rStyle w:val="FootnoteReference"/>
        </w:rPr>
        <w:footnoteRef/>
      </w:r>
      <w:r>
        <w:tab/>
        <w:t>Komisjoni aruanne Euroopa Parlamendile ja nõukogule Rumeenias koostöö- ja jälgimiskorra raames saavutatud edusammude kohta, COM(2021) 370 final. Koostöö- ja jälgimiskorra aruannetes soovitati juhtivprokuröri ametisse nimetamise protsess uuesti käivitada ning austada kõrgema kohtunike nõukogu negatiivseid arvamusi juhtivtöötajate ametisse nimetamiste või ametist vabastamiste kohta nii kaua, kui kooskõlas 2017. aasta jaanuari soovitusega 1 kinnitatakse uus õigusraamistik.</w:t>
      </w:r>
    </w:p>
  </w:footnote>
  <w:footnote w:id="37">
    <w:p>
      <w:pPr>
        <w:pStyle w:val="FootnoteText"/>
        <w:contextualSpacing/>
      </w:pPr>
      <w:r>
        <w:rPr>
          <w:rStyle w:val="FootnoteReference"/>
        </w:rPr>
        <w:footnoteRef/>
      </w:r>
      <w:r>
        <w:tab/>
        <w:t>Eelkõige soovitas Veneetsia komisjon „töötada välja ametisse nimetamise kava, mis annaks kõrgema kohtunike nõukogu prokuröride kolleegiumile olulise ja ennetava rolli kandidaatide ametisse nimetamisel mis tahes kõrgemale ametikohale prokuratuurisüsteemis“. Veneetsia komisjoni arvamus (CDL-AD(2019)014-e), punkt 38.</w:t>
      </w:r>
    </w:p>
  </w:footnote>
  <w:footnote w:id="38">
    <w:p>
      <w:pPr>
        <w:pStyle w:val="FootnoteText"/>
      </w:pPr>
      <w:r>
        <w:rPr>
          <w:rStyle w:val="FootnoteReference"/>
        </w:rPr>
        <w:footnoteRef/>
      </w:r>
      <w:r>
        <w:tab/>
        <w:t>Üks neist oli organiseeritud kuritegevuse ja terrorismi uurimise direktoraadi (DIICOT) juhtivprokurör. Pärast tema tagasiastumist 2020. aasta septembris on sellel institutsioonil ajutine juht.</w:t>
      </w:r>
    </w:p>
  </w:footnote>
  <w:footnote w:id="39">
    <w:p>
      <w:pPr>
        <w:pStyle w:val="FootnoteText"/>
      </w:pPr>
      <w:r>
        <w:rPr>
          <w:rStyle w:val="FootnoteReference"/>
        </w:rPr>
        <w:footnoteRef/>
      </w:r>
      <w:r>
        <w:tab/>
        <w:t>Veneetsia komisjoni arvamus (CDL-AD(2018)017), punkt 52.</w:t>
      </w:r>
    </w:p>
  </w:footnote>
  <w:footnote w:id="40">
    <w:p>
      <w:pPr>
        <w:pStyle w:val="FootnoteText"/>
        <w:contextualSpacing/>
        <w:rPr>
          <w:rFonts w:cs="Times New Roman"/>
        </w:rPr>
      </w:pPr>
      <w:r>
        <w:rPr>
          <w:rStyle w:val="FootnoteReference"/>
          <w:rFonts w:cs="Times New Roman"/>
        </w:rPr>
        <w:footnoteRef/>
      </w:r>
      <w:r>
        <w:tab/>
        <w:t xml:space="preserve">Euroopa Inimõiguste Kohtu 5. mai 2020. aasta otsus kohtuasjas Kövesi </w:t>
      </w:r>
      <w:r>
        <w:rPr>
          <w:i/>
        </w:rPr>
        <w:t>vs.</w:t>
      </w:r>
      <w:r>
        <w:t xml:space="preserve"> Rumeenia, 3594/19, punkt 157. Leiti, et Rumeenia on korruptsioonivastase võitluse direktoraadi endise juhtivprokuröri ametist vabastamisel rikkunud Euroopa inimõiguste konventsiooni artikli 6 („Õigus õiglasele kohtumenetlusele“) lõiget 1 ja artiklit 10 („Sõnavabadus“). Euroopa Inimõiguste Kohus juhtis tähelepanu asjaolule, et järjest suuremat tähtsust omistatakse täidesaatvast ja seadusandlikust võimust sõltumatu asutuse sekkumisele otsustesse, mis mõjutavad prokuröride ametisse nimetamist ja ametist vabastamist. Väljendusvabaduse teemal rõhutas Euroopa Inimõiguste Kohus veel seda, et ametist vabastamisel võib olla heidutav mõju, mille tagajärjel ka teised prokurörid ja kohtunikud ei julge osaleda avalikus mõttevahetuses kohtusüsteemi mõjutavate õigusreformide üle ja üldisemalt kohtusüsteemi sõltumatust käsitlevate küsimuste üle.</w:t>
      </w:r>
    </w:p>
  </w:footnote>
  <w:footnote w:id="41">
    <w:p>
      <w:pPr>
        <w:pStyle w:val="FootnoteText"/>
      </w:pPr>
      <w:r>
        <w:rPr>
          <w:rStyle w:val="FootnoteReference"/>
        </w:rPr>
        <w:footnoteRef/>
      </w:r>
      <w:r>
        <w:tab/>
        <w:t>Vt joonealune märkus 36.</w:t>
      </w:r>
    </w:p>
  </w:footnote>
  <w:footnote w:id="42">
    <w:p>
      <w:pPr>
        <w:pStyle w:val="FootnoteText"/>
      </w:pPr>
      <w:r>
        <w:rPr>
          <w:rStyle w:val="FootnoteReference"/>
        </w:rPr>
        <w:footnoteRef/>
      </w:r>
      <w:r>
        <w:tab/>
        <w:t>Komisjoni aruanne Euroopa Parlamendile ja nõukogule Rumeenias koostöö- ja jälgimiskorra raames saavutatud edusammude kohta, COM(2021) 370 final, lk 9.</w:t>
      </w:r>
    </w:p>
  </w:footnote>
  <w:footnote w:id="43">
    <w:p>
      <w:pPr>
        <w:pStyle w:val="FootnoteText"/>
        <w:rPr>
          <w:rFonts w:cs="Times New Roman"/>
        </w:rPr>
      </w:pPr>
      <w:r>
        <w:rPr>
          <w:rStyle w:val="FootnoteReference"/>
        </w:rPr>
        <w:footnoteRef/>
      </w:r>
      <w:r>
        <w:tab/>
        <w:t>Euroopa Nõukogu ministrite komitee kutsus oma 9. juuni 2021. aasta otsuses Rumeenia ametiasutusi üles hoidma komiteed nõuetekohaselt kursis õigusloomeprotsessi muutustega ja mis tahes muudatustega, mida võidakse veel teha asjaomastes kavandatavates sätetes, eelkõige nendes, millega nähakse ette kõrgemate prokuröride ametist vabastamise menetlus ja kaasnevad kaitsemeetmed (CM/Del/Dec(2021)1406/H46-21).</w:t>
      </w:r>
    </w:p>
  </w:footnote>
  <w:footnote w:id="44">
    <w:p>
      <w:pPr>
        <w:pStyle w:val="FootnoteText"/>
      </w:pPr>
      <w:r>
        <w:rPr>
          <w:rStyle w:val="FootnoteReference"/>
        </w:rPr>
        <w:footnoteRef/>
      </w:r>
      <w:r>
        <w:tab/>
        <w:t>Väike langus võrreldes 2019. aastaga (2020. aasta aruanne õigusriigi kohta, peatükk õigusriigi olukorra kohta Rumeenias, lk 7).</w:t>
      </w:r>
    </w:p>
  </w:footnote>
  <w:footnote w:id="45">
    <w:p>
      <w:pPr>
        <w:pStyle w:val="FootnoteText"/>
      </w:pPr>
      <w:r>
        <w:rPr>
          <w:rStyle w:val="FootnoteReference"/>
        </w:rPr>
        <w:footnoteRef/>
      </w:r>
      <w:r>
        <w:tab/>
        <w:t xml:space="preserve">2020. aastal rahuldas kõrgema kohtunike nõukogu kohtunike kolleegium 168 pensionile jäämise taotlust, samas kui prokuröride kolleegium rahuldas 126 sellist taotlust. Vt </w:t>
      </w:r>
      <w:hyperlink r:id="rId1" w:history="1">
        <w:r>
          <w:rPr>
            <w:rStyle w:val="Hyperlink"/>
          </w:rPr>
          <w:t>old.csm1909.ro/csm/index.php?cmd=0301&amp;tc=s</w:t>
        </w:r>
      </w:hyperlink>
      <w:r>
        <w:t xml:space="preserve">. </w:t>
      </w:r>
    </w:p>
  </w:footnote>
  <w:footnote w:id="46">
    <w:p>
      <w:pPr>
        <w:pStyle w:val="FootnoteText"/>
      </w:pPr>
      <w:r>
        <w:rPr>
          <w:rStyle w:val="FootnoteReference"/>
        </w:rPr>
        <w:footnoteRef/>
      </w:r>
      <w:r>
        <w:tab/>
        <w:t>2021. aasta esimese kolme kuu jooksul jäi pensionile 145 kohtunikku ja prokuröri (106 kohtunikku ja 39 prokuröri), mis näitab kasvavat suundumust.</w:t>
      </w:r>
    </w:p>
  </w:footnote>
  <w:footnote w:id="47">
    <w:p>
      <w:pPr>
        <w:pStyle w:val="FootnoteText"/>
      </w:pPr>
      <w:r>
        <w:rPr>
          <w:rStyle w:val="FootnoteReference"/>
        </w:rPr>
        <w:footnoteRef/>
      </w:r>
      <w:r>
        <w:tab/>
        <w:t>9. juuni 2020. aasta otsus nr 121/2020, mis käsitleb kaebust kohtunike ja prokuröride staatust käsitleva seaduse nr 303/2004 artikli 106 punktide a ja d põhiseadusevastasuse kohta.</w:t>
      </w:r>
    </w:p>
  </w:footnote>
  <w:footnote w:id="48">
    <w:p>
      <w:pPr>
        <w:pStyle w:val="FootnoteText"/>
      </w:pPr>
      <w:r>
        <w:rPr>
          <w:rStyle w:val="FootnoteReference"/>
        </w:rPr>
        <w:footnoteRef/>
      </w:r>
      <w:r>
        <w:tab/>
        <w:t>Konstitutsioonikohtu 17. märts 2021. aasta otsus.</w:t>
      </w:r>
    </w:p>
  </w:footnote>
  <w:footnote w:id="49">
    <w:p>
      <w:pPr>
        <w:pStyle w:val="FootnoteText"/>
      </w:pPr>
      <w:r>
        <w:rPr>
          <w:rStyle w:val="FootnoteReference"/>
        </w:rPr>
        <w:footnoteRef/>
      </w:r>
      <w:r>
        <w:tab/>
        <w:t>Euroopa Nõukogu ministrite komitee soovitus CM/Rec(2010)12, punkt 35: „kohtutesse tuleb määrata piisav arv kohtunikke ja sobiva kvalifikatsiooniga tugipersonali“.</w:t>
      </w:r>
    </w:p>
  </w:footnote>
  <w:footnote w:id="50">
    <w:p>
      <w:pPr>
        <w:pStyle w:val="FootnoteText"/>
      </w:pPr>
      <w:r>
        <w:rPr>
          <w:rStyle w:val="FootnoteReference"/>
        </w:rPr>
        <w:footnoteRef/>
      </w:r>
      <w:r>
        <w:tab/>
        <w:t>See koosneb justiitsministrist, kõrgema kohtunike nõukogu presidendist, kassatsioonikohtu presidendist ja kassatsioonikohtu juurde kuuluva prokuratuuri peaprokurörist.</w:t>
      </w:r>
    </w:p>
  </w:footnote>
  <w:footnote w:id="51">
    <w:p>
      <w:pPr>
        <w:pStyle w:val="FootnoteText"/>
      </w:pPr>
      <w:r>
        <w:rPr>
          <w:rStyle w:val="FootnoteReference"/>
        </w:rPr>
        <w:footnoteRef/>
      </w:r>
      <w:r>
        <w:tab/>
        <w:t>Komisjoni aruanne Euroopa Parlamendile ja nõukogule Rumeenias koostöö- ja jälgimiskorra raames saavutatud edusammude kohta, COM(2021) 370 final, lk 13–14.</w:t>
      </w:r>
    </w:p>
  </w:footnote>
  <w:footnote w:id="52">
    <w:p>
      <w:pPr>
        <w:pStyle w:val="FootnoteText"/>
      </w:pPr>
      <w:r>
        <w:rPr>
          <w:rStyle w:val="FootnoteReference"/>
        </w:rPr>
        <w:footnoteRef/>
      </w:r>
      <w:r>
        <w:tab/>
        <w:t xml:space="preserve">Vt Rumeenia konstitutsioonikohtu 7. aprilli 2021. aasta otsus nr 233. Riiklik advokatuuride ühendus on osutanud põhjendustega viivitamisele kui olulisele probleemile. </w:t>
      </w:r>
    </w:p>
  </w:footnote>
  <w:footnote w:id="53">
    <w:p>
      <w:pPr>
        <w:pStyle w:val="FootnoteText"/>
      </w:pPr>
      <w:r>
        <w:rPr>
          <w:rStyle w:val="FootnoteReference"/>
        </w:rPr>
        <w:footnoteRef/>
      </w:r>
      <w:r>
        <w:tab/>
        <w:t>COM(2017) 33 ning komisjoni aruanne Euroopa Parlamendile ja nõukogule Rumeenias koostöö- ja jälgimiskorra raames saavutatud edusammude kohta (SWD(2017) 25), lk 20. „Otsuse ja põhjenduste esitamise erinev aeg võib mõjutada kahjulikult ka otsuste ühtsust ja kvaliteeti ning põhjustada spekulatsioone otsuse põhjuste teemal ning umbusaldust või kriitikat kohtuasutuste suhtes.“ Veel üks koostöö- ja jälgimiskorra aruande soovitus on, et strateegiline kohtute juhtkond leiaks lahendused otsuste põhjendustega viivitamise probleemile; komisjoni aruanne Euroopa Parlamendile ja nõukogule Rumeenias koostöö- ja jälgimiskorra raames saavutatud edusammude kohta, COM(2021) 370 final, lk 13.</w:t>
      </w:r>
    </w:p>
  </w:footnote>
  <w:footnote w:id="54">
    <w:p>
      <w:pPr>
        <w:pStyle w:val="FootnoteText"/>
        <w:rPr>
          <w:rFonts w:cs="Times New Roman"/>
        </w:rPr>
      </w:pPr>
      <w:r>
        <w:rPr>
          <w:rStyle w:val="FootnoteReference"/>
          <w:rFonts w:cs="Times New Roman"/>
        </w:rPr>
        <w:footnoteRef/>
      </w:r>
      <w:r>
        <w:tab/>
        <w:t>2021. aasta ELi õigusemõistmise tulemustabel, joonis 38.</w:t>
      </w:r>
    </w:p>
  </w:footnote>
  <w:footnote w:id="55">
    <w:p>
      <w:pPr>
        <w:pStyle w:val="FootnoteText"/>
        <w:rPr>
          <w:rFonts w:cs="Times New Roman"/>
        </w:rPr>
      </w:pPr>
      <w:r>
        <w:rPr>
          <w:rStyle w:val="FootnoteReference"/>
          <w:rFonts w:cs="Times New Roman"/>
        </w:rPr>
        <w:footnoteRef/>
      </w:r>
      <w:r>
        <w:tab/>
        <w:t>2021. aasta ELi õigusemõistmise tulemustabel, joonis 40.</w:t>
      </w:r>
    </w:p>
  </w:footnote>
  <w:footnote w:id="56">
    <w:p>
      <w:pPr>
        <w:pStyle w:val="FootnoteText"/>
        <w:rPr>
          <w:rFonts w:cs="Times New Roman"/>
        </w:rPr>
      </w:pPr>
      <w:r>
        <w:rPr>
          <w:rStyle w:val="FootnoteReference"/>
          <w:rFonts w:cs="Times New Roman"/>
        </w:rPr>
        <w:footnoteRef/>
      </w:r>
      <w:r>
        <w:tab/>
        <w:t>2021. aasta ELi õigusemõistmise tulemustabel, joonis 46.</w:t>
      </w:r>
    </w:p>
  </w:footnote>
  <w:footnote w:id="57">
    <w:p>
      <w:pPr>
        <w:pStyle w:val="FootnoteText"/>
        <w:rPr>
          <w:rFonts w:cs="Times New Roman"/>
        </w:rPr>
      </w:pPr>
      <w:r>
        <w:rPr>
          <w:rStyle w:val="FootnoteReference"/>
          <w:rFonts w:cs="Times New Roman"/>
        </w:rPr>
        <w:footnoteRef/>
      </w:r>
      <w:r>
        <w:tab/>
        <w:t>Organisatsioonilt Funky Citizens õigusriigi olukorda käsitleva 2021. aasta aruande koostamiseks saadud tagasiside, lk 13; organisatsioonilt Expert Forum õigusriigi olukorda käsitleva 2021. aasta aruande koostamiseks saadud tagasiside, lk 2.</w:t>
      </w:r>
    </w:p>
  </w:footnote>
  <w:footnote w:id="58">
    <w:p>
      <w:pPr>
        <w:pStyle w:val="FootnoteText"/>
        <w:rPr>
          <w:rFonts w:cs="Times New Roman"/>
        </w:rPr>
      </w:pPr>
      <w:r>
        <w:rPr>
          <w:rStyle w:val="FootnoteReference"/>
          <w:rFonts w:cs="Times New Roman"/>
        </w:rPr>
        <w:footnoteRef/>
      </w:r>
      <w:r>
        <w:tab/>
        <w:t>Rumeenialt õigusriigi olukorda käsitleva 2021. aasta aruande koostamiseks saadud teave, lk 19.</w:t>
      </w:r>
    </w:p>
  </w:footnote>
  <w:footnote w:id="59">
    <w:p>
      <w:pPr>
        <w:pStyle w:val="FootnoteText"/>
        <w:rPr>
          <w:rFonts w:cs="Times New Roman"/>
        </w:rPr>
      </w:pPr>
      <w:r>
        <w:rPr>
          <w:rStyle w:val="FootnoteReference"/>
          <w:rFonts w:cs="Times New Roman"/>
        </w:rPr>
        <w:footnoteRef/>
      </w:r>
      <w:r>
        <w:tab/>
        <w:t>Organisatsioonilt APADOR ehk Helsingi komiteelt õigusriigi olukorda käsitleva 2021. aasta aruande koostamiseks saadud tagasiside, lk 9.</w:t>
      </w:r>
    </w:p>
  </w:footnote>
  <w:footnote w:id="60">
    <w:p>
      <w:pPr>
        <w:pStyle w:val="FootnoteText"/>
        <w:rPr>
          <w:rFonts w:cs="Times New Roman"/>
        </w:rPr>
      </w:pPr>
      <w:r>
        <w:rPr>
          <w:rStyle w:val="FootnoteReference"/>
          <w:rFonts w:cs="Times New Roman"/>
        </w:rPr>
        <w:footnoteRef/>
      </w:r>
      <w:r>
        <w:tab/>
        <w:t>Vt justiitsministeerium, seaduseelnõu, mis käsitleb mõningaid õigusemõistmise valdkonna meetmeid seoses COVID-19 pandeemiaga.</w:t>
      </w:r>
    </w:p>
  </w:footnote>
  <w:footnote w:id="61">
    <w:p>
      <w:pPr>
        <w:pStyle w:val="FootnoteText"/>
        <w:rPr>
          <w:rFonts w:cs="Times New Roman"/>
        </w:rPr>
      </w:pPr>
      <w:r>
        <w:rPr>
          <w:rStyle w:val="FootnoteReference"/>
          <w:rFonts w:cs="Times New Roman"/>
        </w:rPr>
        <w:footnoteRef/>
      </w:r>
      <w:r>
        <w:tab/>
        <w:t>Eelvangistus, vabadusekaotuslik karistus või hariduslik vabadust piirav meede.</w:t>
      </w:r>
    </w:p>
  </w:footnote>
  <w:footnote w:id="62">
    <w:p>
      <w:pPr>
        <w:pStyle w:val="FootnoteText"/>
      </w:pPr>
      <w:r>
        <w:rPr>
          <w:rStyle w:val="FootnoteReference"/>
        </w:rPr>
        <w:footnoteRef/>
      </w:r>
      <w:r>
        <w:tab/>
        <w:t>Seadus nr 114/2021, mis käsitleb õigusemõistmise valdkonna meetmeid seoses COVID-19 pandeemiaga.</w:t>
      </w:r>
    </w:p>
  </w:footnote>
  <w:footnote w:id="63">
    <w:p>
      <w:pPr>
        <w:pStyle w:val="FootnoteText"/>
        <w:rPr>
          <w:rFonts w:cs="Times New Roman"/>
        </w:rPr>
      </w:pPr>
      <w:r>
        <w:rPr>
          <w:rStyle w:val="FootnoteReference"/>
          <w:rFonts w:cs="Times New Roman"/>
        </w:rPr>
        <w:footnoteRef/>
      </w:r>
      <w:r>
        <w:tab/>
        <w:t>2021. aasta ELi õigusemõistmise tulemustabel, joonis 6.</w:t>
      </w:r>
    </w:p>
  </w:footnote>
  <w:footnote w:id="64">
    <w:p>
      <w:pPr>
        <w:pStyle w:val="FootnoteText"/>
        <w:rPr>
          <w:rFonts w:cs="Times New Roman"/>
        </w:rPr>
      </w:pPr>
      <w:r>
        <w:rPr>
          <w:rStyle w:val="FootnoteReference"/>
          <w:rFonts w:cs="Times New Roman"/>
        </w:rPr>
        <w:footnoteRef/>
      </w:r>
      <w:r>
        <w:tab/>
        <w:t>2021. aasta ELi õigusemõistmise tulemustabel, joonis 8.</w:t>
      </w:r>
    </w:p>
  </w:footnote>
  <w:footnote w:id="65">
    <w:p>
      <w:pPr>
        <w:pStyle w:val="FootnoteText"/>
        <w:rPr>
          <w:rFonts w:cs="Times New Roman"/>
        </w:rPr>
      </w:pPr>
      <w:r>
        <w:rPr>
          <w:rStyle w:val="FootnoteReference"/>
          <w:rFonts w:cs="Times New Roman"/>
        </w:rPr>
        <w:footnoteRef/>
      </w:r>
      <w:r>
        <w:tab/>
        <w:t>2021. aasta ELi õigusemõistmise tulemustabel, joonis 10.</w:t>
      </w:r>
    </w:p>
  </w:footnote>
  <w:footnote w:id="66">
    <w:p>
      <w:pPr>
        <w:pStyle w:val="FootnoteText"/>
        <w:rPr>
          <w:rFonts w:cs="Times New Roman"/>
        </w:rPr>
      </w:pPr>
      <w:r>
        <w:rPr>
          <w:rStyle w:val="FootnoteReference"/>
          <w:rFonts w:cs="Times New Roman"/>
        </w:rPr>
        <w:footnoteRef/>
      </w:r>
      <w:r>
        <w:tab/>
        <w:t>2021. aasta ELi õigusemõistmise tulemustabel, joonised 16, 17, 18, 19 ja 20.</w:t>
      </w:r>
    </w:p>
  </w:footnote>
  <w:footnote w:id="67">
    <w:p>
      <w:pPr>
        <w:pStyle w:val="FootnoteText"/>
        <w:rPr>
          <w:rFonts w:cs="Times New Roman"/>
        </w:rPr>
      </w:pPr>
      <w:r>
        <w:rPr>
          <w:rStyle w:val="FootnoteReference"/>
          <w:rFonts w:cs="Times New Roman"/>
        </w:rPr>
        <w:footnoteRef/>
      </w:r>
      <w:r>
        <w:tab/>
        <w:t>2021. aasta ELi õigusemõistmise tulemustabel, joonis 21.</w:t>
      </w:r>
    </w:p>
  </w:footnote>
  <w:footnote w:id="68">
    <w:p>
      <w:pPr>
        <w:pStyle w:val="FootnoteText"/>
      </w:pPr>
      <w:r>
        <w:rPr>
          <w:rStyle w:val="FootnoteReference"/>
        </w:rPr>
        <w:footnoteRef/>
      </w:r>
      <w:r>
        <w:tab/>
        <w:t>Rumeeniasse tehtud riigikülastuse käigus saadud teave.</w:t>
      </w:r>
    </w:p>
  </w:footnote>
  <w:footnote w:id="69">
    <w:p>
      <w:pPr>
        <w:pStyle w:val="FootnoteText"/>
      </w:pPr>
      <w:r>
        <w:rPr>
          <w:rStyle w:val="FootnoteReference"/>
        </w:rPr>
        <w:footnoteRef/>
      </w:r>
      <w:r>
        <w:tab/>
        <w:t xml:space="preserve">Nt seoses selle kohtuotsuse täitmisega, mis tehti 26. novembri 2013. aasta kohtuasjas Vlad </w:t>
      </w:r>
      <w:r>
        <w:rPr>
          <w:i/>
        </w:rPr>
        <w:t>vs.</w:t>
      </w:r>
      <w:r>
        <w:t xml:space="preserve"> Rumeenia (hagiavaldus nr 40756/06), mis on pretsedentjuhtum seoses tsiviil- ja kriminaalmenetluse ülemäärase pikkusega ja tõhusa õiguskaitsevahendi puudumisega.</w:t>
      </w:r>
    </w:p>
  </w:footnote>
  <w:footnote w:id="70">
    <w:p>
      <w:pPr>
        <w:pStyle w:val="FootnoteText"/>
      </w:pPr>
      <w:r>
        <w:rPr>
          <w:rStyle w:val="FootnoteReference"/>
        </w:rPr>
        <w:footnoteRef/>
      </w:r>
      <w:r>
        <w:tab/>
        <w:t>Transparency Internationali 2020. aasta korruptsiooni tajumise indeks, lk 2–3. Tajutava korruptsiooni tasemeid liigitatakse järgmiselt: madal (ekspertide ja ärijuhtide hinnangute alusel saab tajutav avaliku sektori korruptsioon</w:t>
      </w:r>
      <w:r>
        <w:rPr>
          <w:sz w:val="22"/>
          <w:szCs w:val="22"/>
        </w:rPr>
        <w:t xml:space="preserve"> </w:t>
      </w:r>
      <w:r>
        <w:t>kõrgema hinde kui 79); suhteliselt madal (hinne 79–60), suhteliselt kõrge (hinne 59–50), kõrge (hinne alla 50).</w:t>
      </w:r>
    </w:p>
  </w:footnote>
  <w:footnote w:id="71">
    <w:p>
      <w:pPr>
        <w:pStyle w:val="FootnoteText"/>
      </w:pPr>
      <w:r>
        <w:rPr>
          <w:rStyle w:val="FootnoteReference"/>
        </w:rPr>
        <w:footnoteRef/>
      </w:r>
      <w:r>
        <w:tab/>
        <w:t>2015. aastal oli see hinne 46 ning 2020. aastal 44. Hinne tõuseb/langeb oluliselt, kui see muutub enam kui viie punkti võrra; paraneb/halveneb, kui muutus on vahemikus 4–5 punkti; on suhteliselt püsiv, kui muutus on vahemikus 1–3 punkti (viimase viie aasta jooksul).</w:t>
      </w:r>
    </w:p>
  </w:footnote>
  <w:footnote w:id="72">
    <w:p>
      <w:pPr>
        <w:pStyle w:val="FootnoteText"/>
      </w:pPr>
      <w:r>
        <w:rPr>
          <w:rStyle w:val="FootnoteReference"/>
        </w:rPr>
        <w:footnoteRef/>
      </w:r>
      <w:r>
        <w:tab/>
        <w:t>Eurobaromeetri andmeid korruptsiooni tajumise ja kogemise kohta kodanike ja ettevõtjate seas (mis põhinevad eelnenud aastal esitatud teabel) ajakohastatakse iga kahe aasta tagant. Viimased andmed pärinevad Eurobaromeetri eriuuringust nr 502 (2020) ja Eurobaromeetri kiiruuringust nr 482 (2019).</w:t>
      </w:r>
    </w:p>
  </w:footnote>
  <w:footnote w:id="73">
    <w:p>
      <w:pPr>
        <w:pStyle w:val="FootnoteText"/>
        <w:rPr>
          <w:rFonts w:cs="Times New Roman"/>
        </w:rPr>
      </w:pPr>
      <w:r>
        <w:rPr>
          <w:rStyle w:val="FootnoteReference"/>
          <w:rFonts w:cs="Times New Roman"/>
        </w:rPr>
        <w:footnoteRef/>
      </w:r>
      <w:r>
        <w:tab/>
      </w:r>
      <w:r>
        <w:rPr>
          <w:color w:val="000000" w:themeColor="text1"/>
        </w:rPr>
        <w:t>Riiklik korruptsioonivastase võitluse direktoraat (</w:t>
      </w:r>
      <w:r>
        <w:t>DNA), 2020. aasta tegevusaruanne. 2020. aasta toimikutes käsitleti peamiselt riigihankeid, altkäemaksu, ELi fondide petturlikku kasutamist. DNA registreeris ka 105 toimikut, mis käsitlesid COVID-19 pandeemiaga võitlemisega seotud korruptsiooni.</w:t>
      </w:r>
    </w:p>
  </w:footnote>
  <w:footnote w:id="74">
    <w:p>
      <w:pPr>
        <w:pStyle w:val="FootnoteText"/>
        <w:rPr>
          <w:rFonts w:cs="Times New Roman"/>
        </w:rPr>
      </w:pPr>
      <w:r>
        <w:rPr>
          <w:rStyle w:val="FootnoteReference"/>
          <w:rFonts w:cs="Times New Roman"/>
        </w:rPr>
        <w:footnoteRef/>
      </w:r>
      <w:r>
        <w:tab/>
        <w:t>Suurenemise taga on kõigi DNA juhtumitega tegelevate kohtute tulemused. 2020. aasta kohta on kassatsioonikohus teatanud, et vähem kohtuasju on lahendatud, mitu kohtuasja on peatatud ja vähem kohtuasju on registreeritud. DNA andmetel oli ka õigeksmõistmiste osakaal 2020. aastal väiksem, kuid 2019. aastal paisutas seda arvu õigusrikkumiste dekriminaliseerimine.</w:t>
      </w:r>
    </w:p>
  </w:footnote>
  <w:footnote w:id="75">
    <w:p>
      <w:pPr>
        <w:pStyle w:val="FootnoteText"/>
      </w:pPr>
      <w:r>
        <w:rPr>
          <w:rStyle w:val="FootnoteReference"/>
        </w:rPr>
        <w:footnoteRef/>
      </w:r>
      <w:r>
        <w:tab/>
        <w:t>2020. aasta aruanne õigusriigi kohta, peatükk õigusriigi olukorra kohta Rumeenias, lk 10–11.</w:t>
      </w:r>
    </w:p>
  </w:footnote>
  <w:footnote w:id="76">
    <w:p>
      <w:pPr>
        <w:pStyle w:val="FootnoteText"/>
      </w:pPr>
      <w:r>
        <w:rPr>
          <w:rStyle w:val="FootnoteReference"/>
        </w:rPr>
        <w:footnoteRef/>
      </w:r>
      <w:r>
        <w:tab/>
        <w:t>Kohtusüsteemi inimressurssidega seotud üldistest probleemidest mõjutavad ka DNAd sellised probleemid nagu delegatsioonide piirangud ja pensionile jääjate märkimisväärne arv. Spetsiaalselt DNAd puudutavad murekohad on muu hulgas see, et DNAs töötamise staažinõue asendati ootamatult kümne aastaga, ning see, et mittejuhtivate ametikohtade puhul nõutakse (erinevalt muudest prokuratuuriosakondadest) kõrgemas kohtunike nõukogus tehtava suulise eksami ülekandmist, mis kandidaate heidutab. Osakonnajuhtide staažinõue on 15 aastat.</w:t>
      </w:r>
    </w:p>
  </w:footnote>
  <w:footnote w:id="77">
    <w:p>
      <w:pPr>
        <w:pStyle w:val="FootnoteText"/>
      </w:pPr>
      <w:r>
        <w:rPr>
          <w:rStyle w:val="FootnoteReference"/>
        </w:rPr>
        <w:footnoteRef/>
      </w:r>
      <w:r>
        <w:tab/>
        <w:t>DNA 2021. aasta märtsis esitatud andmete põhjal oli täidetud ainult 75 % ametikohtadest (145 ametikoha kohta oli tehtud 131 nimetamist ja 14 delegeerimist) ning kaks juhtkonnaametikohta olid täitmata. 9. juunil 2021 kuulutas DNA välja kandideerimiskutse 42 prokuröri töölevõtmiseks nii keskasutuses kui ka piirkondlikes asutustes.</w:t>
      </w:r>
    </w:p>
  </w:footnote>
  <w:footnote w:id="78">
    <w:p>
      <w:pPr>
        <w:pStyle w:val="FootnoteText"/>
      </w:pPr>
      <w:r>
        <w:rPr>
          <w:rStyle w:val="FootnoteReference"/>
        </w:rPr>
        <w:footnoteRef/>
      </w:r>
      <w:r>
        <w:tab/>
        <w:t xml:space="preserve">Valitsuse otsusega sai DNA juurde 90 politseinikku. </w:t>
      </w:r>
    </w:p>
  </w:footnote>
  <w:footnote w:id="79">
    <w:p>
      <w:pPr>
        <w:pStyle w:val="FootnoteText"/>
        <w:contextualSpacing/>
      </w:pPr>
      <w:r>
        <w:rPr>
          <w:rStyle w:val="FootnoteReference"/>
        </w:rPr>
        <w:footnoteRef/>
      </w:r>
      <w:r>
        <w:tab/>
        <w:t>Konstitutsioonikohtu 7. juuli 2020. aasta otsus.</w:t>
      </w:r>
    </w:p>
  </w:footnote>
  <w:footnote w:id="80">
    <w:p>
      <w:pPr>
        <w:pStyle w:val="FootnoteText"/>
      </w:pPr>
      <w:r>
        <w:rPr>
          <w:rStyle w:val="FootnoteReference"/>
        </w:rPr>
        <w:footnoteRef/>
      </w:r>
      <w:r>
        <w:tab/>
        <w:t>SIIJi tegevusaruanne: muret valmistab ka SIIJi tõhusus, võttes arvesse, et menetluses on 6 600 juhtumit ja 2020. aastal lõpetati vähe juhtumeid (500 lõpetati ja kaks saadeti kohtusse). Asjaolu, et suurkorruptsiooni juhtumeid ei uurita piisavalt tõhusalt, suurendab riski, et korruptsioon levib karistamatult</w:t>
      </w:r>
    </w:p>
  </w:footnote>
  <w:footnote w:id="81">
    <w:p>
      <w:pPr>
        <w:pStyle w:val="FootnoteText"/>
      </w:pPr>
      <w:r>
        <w:rPr>
          <w:rStyle w:val="FootnoteReference"/>
        </w:rPr>
        <w:footnoteRef/>
      </w:r>
      <w:r>
        <w:tab/>
        <w:t>Komisjoni aruanne Euroopa Parlamendile ja nõukogule Rumeenias koostöö- ja jälgimiskorra raames saavutatud edusammude kohta, COM(2021) 370 final.</w:t>
      </w:r>
    </w:p>
  </w:footnote>
  <w:footnote w:id="82">
    <w:p>
      <w:pPr>
        <w:pStyle w:val="FootnoteText"/>
        <w:tabs>
          <w:tab w:val="left" w:pos="851"/>
        </w:tabs>
        <w:contextualSpacing/>
      </w:pPr>
      <w:r>
        <w:rPr>
          <w:rStyle w:val="FootnoteReference"/>
        </w:rPr>
        <w:footnoteRef/>
      </w:r>
      <w:r>
        <w:t xml:space="preserve"> </w:t>
      </w:r>
      <w:r>
        <w:tab/>
      </w:r>
      <w:r>
        <w:rPr>
          <w:i/>
        </w:rPr>
        <w:t>Ibid</w:t>
      </w:r>
      <w:r>
        <w:t>.</w:t>
      </w:r>
    </w:p>
  </w:footnote>
  <w:footnote w:id="83">
    <w:p>
      <w:pPr>
        <w:pStyle w:val="FootnoteText"/>
      </w:pPr>
      <w:r>
        <w:rPr>
          <w:rStyle w:val="FootnoteReference"/>
        </w:rPr>
        <w:footnoteRef/>
      </w:r>
      <w:r>
        <w:tab/>
      </w:r>
      <w:r>
        <w:rPr>
          <w:i/>
        </w:rPr>
        <w:t>Ibid.</w:t>
      </w:r>
      <w:r>
        <w:t>, lk 10.</w:t>
      </w:r>
    </w:p>
  </w:footnote>
  <w:footnote w:id="84">
    <w:p>
      <w:pPr>
        <w:pStyle w:val="FootnoteText"/>
      </w:pPr>
      <w:r>
        <w:rPr>
          <w:rStyle w:val="FootnoteReference"/>
        </w:rPr>
        <w:footnoteRef/>
      </w:r>
      <w:r>
        <w:tab/>
        <w:t xml:space="preserve">DNA hinnangu kohaselt mõisteti 2020. aastal konstitutsioonikohtu otsuste tagajärjel õigeks vähemalt 45 kahtlusalust. </w:t>
      </w:r>
    </w:p>
  </w:footnote>
  <w:footnote w:id="85">
    <w:p>
      <w:pPr>
        <w:pStyle w:val="FootnoteText"/>
        <w:tabs>
          <w:tab w:val="left" w:pos="851"/>
        </w:tabs>
        <w:contextualSpacing/>
        <w:rPr>
          <w:rFonts w:cs="Times New Roman"/>
        </w:rPr>
      </w:pPr>
      <w:r>
        <w:rPr>
          <w:rStyle w:val="FootnoteReference"/>
          <w:rFonts w:cs="Times New Roman"/>
        </w:rPr>
        <w:footnoteRef/>
      </w:r>
      <w:r>
        <w:tab/>
        <w:t>Hiljutine, konstitutsioonikohtu 6. aprilli 2021. aasta otsus mõjutab veel vähemalt 67 menetluses olevat DNA uurimist, kuna uurimisi tuleb uuesti alustada.</w:t>
      </w:r>
    </w:p>
  </w:footnote>
  <w:footnote w:id="86">
    <w:p>
      <w:pPr>
        <w:pStyle w:val="FootnoteText"/>
        <w:tabs>
          <w:tab w:val="left" w:pos="851"/>
        </w:tabs>
        <w:contextualSpacing/>
        <w:rPr>
          <w:rFonts w:cs="Times New Roman"/>
        </w:rPr>
      </w:pPr>
      <w:r>
        <w:rPr>
          <w:rStyle w:val="FootnoteReference"/>
          <w:rFonts w:cs="Times New Roman"/>
        </w:rPr>
        <w:footnoteRef/>
      </w:r>
      <w:r>
        <w:tab/>
        <w:t>Olgugi et konstitutsioonikohtu otsused ei kehti varasemate kohtuasjade suhtes, mille puhul on tehtud lõplik kohtuotsus, võivad need mõjutada menetluses olevaid kohtuasju. Otsus viiest kohtunikust koosneva kolleegiumi kohta võimaldab teatud tingimustel lõplike kohtuasjade erakorralist apellatsioonimenetlust ning otsus kolmest kohtunikust koosneva kolleegiumi kohta võib tähendada, et kohtumenetlust alustatakse uuesti uue määratud kolleegiumiga. DNA andmetel on 41 kostjat puudutava kaheksa juhtumi menetlemine praegu kassatsioonikohtus peatatud, 107 kostjat puudutava kümne juhtumi menetlemist on alustatud uuesti esimese astme kohtus ning 90 kostjat puudutava viie juhtumi menetlemist on alustatud uuesti eelkojas. Eelotsusetaotlused on Euroopa Kohtus menetlemisel.</w:t>
      </w:r>
    </w:p>
  </w:footnote>
  <w:footnote w:id="87">
    <w:p>
      <w:pPr>
        <w:pStyle w:val="FootnoteText"/>
        <w:tabs>
          <w:tab w:val="left" w:pos="851"/>
        </w:tabs>
        <w:contextualSpacing/>
      </w:pPr>
      <w:r>
        <w:rPr>
          <w:rStyle w:val="FootnoteReference"/>
        </w:rPr>
        <w:footnoteRef/>
      </w:r>
      <w:r>
        <w:tab/>
        <w:t>Kohtuotsus, Euroopa Kohus, 18. mai 2021, Asociaţia“Forumul Judecătorilor Din România“ jt, liidetud kohtuasjad C-83/19, C-127/19, C-195/19, C-294/19, C-355/19 ja C-379/19, punktid 251-252.</w:t>
      </w:r>
    </w:p>
  </w:footnote>
  <w:footnote w:id="88">
    <w:p>
      <w:pPr>
        <w:pStyle w:val="FootnoteText"/>
        <w:tabs>
          <w:tab w:val="left" w:pos="851"/>
        </w:tabs>
        <w:contextualSpacing/>
      </w:pPr>
      <w:r>
        <w:rPr>
          <w:rStyle w:val="FootnoteReference"/>
        </w:rPr>
        <w:footnoteRef/>
      </w:r>
      <w:r>
        <w:tab/>
        <w:t xml:space="preserve">Veneetsia komisjoni arvamus (CDL-AD(2014)011). See on kooskõlas koostöö- ja jälgimiskorra ning GRECO soovitustega. Oma 2021. aasta märtsi aruandes märkis GRECO, et mitteametlik nõue, mille kohaselt prokuratuurid esitavad kogu toimiku, kui süüdistatav on minister või endine minister, kes on ühtlasi parlamendi liige, näib olevat tühistatud. GRECO neljas hindamisvoor – teine vastavuse vahearuanne, sealhulgas (eeskirja nr 34 kohase) </w:t>
      </w:r>
      <w:r>
        <w:rPr>
          <w:i/>
          <w:iCs/>
        </w:rPr>
        <w:t>ad hoc</w:t>
      </w:r>
      <w:r>
        <w:t xml:space="preserve"> aruande jätkuaruanne.</w:t>
      </w:r>
    </w:p>
  </w:footnote>
  <w:footnote w:id="89">
    <w:p>
      <w:pPr>
        <w:pStyle w:val="FootnoteText"/>
        <w:tabs>
          <w:tab w:val="left" w:pos="851"/>
        </w:tabs>
        <w:contextualSpacing/>
      </w:pPr>
      <w:r>
        <w:rPr>
          <w:rStyle w:val="FootnoteReference"/>
        </w:rPr>
        <w:footnoteRef/>
      </w:r>
      <w:r>
        <w:tab/>
        <w:t>2020. aastal lõpetas riiklik eetikaagentuur 1 143 juhtumit ning 175 juhtumit on jäänud lõplikuks ja edasikaebamisele mittekuuluvaks. Samal aastal kohaldati 204 haldustrahvi varade ja huvide õiguslikust seisukohast deklareerimata jätmise eest, muu kui distsiplinaarkaristusena, mida kohaldati pärast seda, kui tuvastamisakt tunnistati lõplikuks, ning õigusaktide sätete täitmata jätmise eest.</w:t>
      </w:r>
    </w:p>
  </w:footnote>
  <w:footnote w:id="90">
    <w:p>
      <w:pPr>
        <w:pStyle w:val="FootnoteText"/>
        <w:tabs>
          <w:tab w:val="left" w:pos="851"/>
        </w:tabs>
        <w:contextualSpacing/>
      </w:pPr>
      <w:r>
        <w:rPr>
          <w:rStyle w:val="FootnoteReference"/>
        </w:rPr>
        <w:footnoteRef/>
      </w:r>
      <w:r>
        <w:tab/>
        <w:t xml:space="preserve">Avalikus teenistuses ametikohutuste täitmisega seotud eetikat ja väärikust käsitleva seaduse nr 176/2010 muudatus. Alates 2022. aastast on elektrooniline esitamine kohustuslik. </w:t>
      </w:r>
    </w:p>
  </w:footnote>
  <w:footnote w:id="91">
    <w:p>
      <w:pPr>
        <w:pStyle w:val="FootnoteText"/>
        <w:tabs>
          <w:tab w:val="left" w:pos="851"/>
        </w:tabs>
        <w:contextualSpacing/>
      </w:pPr>
      <w:r>
        <w:rPr>
          <w:rStyle w:val="FootnoteReference"/>
        </w:rPr>
        <w:footnoteRef/>
      </w:r>
      <w:r>
        <w:tab/>
        <w:t xml:space="preserve">Esialgne eelarve oli 34 802 000 Rumeenia leud, lõplik eelarve aga 37 432 000 Rumeenia leud. </w:t>
      </w:r>
    </w:p>
  </w:footnote>
  <w:footnote w:id="92">
    <w:p>
      <w:pPr>
        <w:pStyle w:val="FootnoteText"/>
      </w:pPr>
      <w:r>
        <w:rPr>
          <w:rStyle w:val="FootnoteReference"/>
        </w:rPr>
        <w:footnoteRef/>
      </w:r>
      <w:r>
        <w:tab/>
        <w:t>2020. aastal ei korraldatud ühtegi konkurssi, kuna riiklik eetikanõukogu (CNI), kes ANI tegevust kontrollib ja kelle pädevuses on korraldada selle presidendi ja asepresidendi valimise konkursse, ei jõudnud kvoorumini, sest senat polnud alates 2018. aastast uusi liikmeid nimetanud. Lõpuks nimetas senat 2020. aasta märtsis ametisse kümme riikliku eetikanõukogu liiget ja esimene koosolek toimus vahetult pärast seda.</w:t>
      </w:r>
    </w:p>
  </w:footnote>
  <w:footnote w:id="93">
    <w:p>
      <w:pPr>
        <w:pStyle w:val="FootnoteText"/>
      </w:pPr>
      <w:r>
        <w:rPr>
          <w:rStyle w:val="FootnoteReference"/>
        </w:rPr>
        <w:footnoteRef/>
      </w:r>
      <w:r>
        <w:tab/>
        <w:t>Esimese muudatusega kehtestati kolmeaastane aegumistähtaeg alates sellest, kui ilmnevad asjaolud, mille alusel huvide konflikt või ametikohtade ühitamatus kindlaks määratakse; selle tulemusena lõpetati suur arv menetluses olevaid juhtumeid ning see tekitas kahtlusi karistuste kohaldamise võimalikkuses. Teise muudatusega nähti ette kergemad karistused kohalike valitavate ametikohtadega seotud huvide konfliktide korral, mis ANI arvates ei võimalda hoiatavate karistuste kohaldamist.</w:t>
      </w:r>
    </w:p>
  </w:footnote>
  <w:footnote w:id="94">
    <w:p>
      <w:pPr>
        <w:pStyle w:val="FootnoteText"/>
        <w:tabs>
          <w:tab w:val="left" w:pos="851"/>
        </w:tabs>
        <w:contextualSpacing/>
      </w:pPr>
      <w:r>
        <w:rPr>
          <w:rStyle w:val="FootnoteReference"/>
        </w:rPr>
        <w:footnoteRef/>
      </w:r>
      <w:r>
        <w:tab/>
        <w:t>16. novembri 2020. aasta otsus 74/2020 ja kõrgema kassatsioonikohtu 18. jaanuari 2021. aasta otsus 1/2021.</w:t>
      </w:r>
    </w:p>
  </w:footnote>
  <w:footnote w:id="95">
    <w:p>
      <w:pPr>
        <w:pStyle w:val="FootnoteText"/>
        <w:rPr>
          <w:rFonts w:cs="Times New Roman"/>
        </w:rPr>
      </w:pPr>
      <w:r>
        <w:rPr>
          <w:rStyle w:val="FootnoteReference"/>
          <w:rFonts w:cs="Times New Roman"/>
        </w:rPr>
        <w:footnoteRef/>
      </w:r>
      <w:r>
        <w:tab/>
        <w:t xml:space="preserve">Enam kui 500 isiku suhtes kehtis keeld; riiklik eetikaagentuur (ANI), „Pressiteade ennetus- ja teavitusmeetmete kohta, mille riiklik eetikaagentuur on vastu võtnud 2020. aasta kohalike valimiste korraldamise kontekstis“. </w:t>
      </w:r>
    </w:p>
  </w:footnote>
  <w:footnote w:id="96">
    <w:p>
      <w:pPr>
        <w:pStyle w:val="FootnoteText"/>
        <w:rPr>
          <w:rFonts w:cs="Times New Roman"/>
        </w:rPr>
      </w:pPr>
      <w:r>
        <w:rPr>
          <w:rStyle w:val="FootnoteReference"/>
          <w:rFonts w:cs="Times New Roman"/>
        </w:rPr>
        <w:footnoteRef/>
      </w:r>
      <w:r>
        <w:tab/>
        <w:t>103st kohalike valimiste kandidaadist, kelle suhtes keeld kehtib, on vastavalt ametlike allikate andmetele valitud 65 kandidaati: 15 valitud ametiisikul on keelatud valitavale ametikohale asuda, samas kui 49 valitud ametiisikul on lubatud valitavale ametikohale asuda.</w:t>
      </w:r>
    </w:p>
  </w:footnote>
  <w:footnote w:id="97">
    <w:p>
      <w:pPr>
        <w:pStyle w:val="FootnoteText"/>
        <w:tabs>
          <w:tab w:val="left" w:pos="851"/>
        </w:tabs>
        <w:contextualSpacing/>
      </w:pPr>
      <w:r>
        <w:rPr>
          <w:rStyle w:val="FootnoteReference"/>
        </w:rPr>
        <w:footnoteRef/>
      </w:r>
      <w:r>
        <w:tab/>
        <w:t>Saadikute ja senaatorite põhikirjas on sätestatud, et parlamendiliige peab avalikustama oma ametikohtade ühitamatusega seotud teabe 15 päeva jooksul ning loobuma seejärel ühest nendest ühitamatutest ametikohtadest 30 päeva jooksul.</w:t>
      </w:r>
    </w:p>
  </w:footnote>
  <w:footnote w:id="98">
    <w:p>
      <w:pPr>
        <w:pStyle w:val="FootnoteText"/>
      </w:pPr>
      <w:r>
        <w:rPr>
          <w:rStyle w:val="FootnoteReference"/>
        </w:rPr>
        <w:footnoteRef/>
      </w:r>
      <w:r>
        <w:tab/>
        <w:t>Sarnased sätted kehtisid enne 2018. aasta detsembrit, kuid need tunnistati kehtetuks erakorralise määrusega nr 114/2018.</w:t>
      </w:r>
      <w:r>
        <w:rPr>
          <w:color w:val="000000" w:themeColor="text1"/>
        </w:rPr>
        <w:t xml:space="preserve"> Strateegiale lisatud tegevuskava sisaldab seadusandlikke meetmeid agentuuri volituste laiendamiseks ning sätteid uute vahendite kohta, mis on politseile ja prokuröridele vajalikud finantsuurimiste paremaks korraldamiseks. Neid meetmeid toetatakse kohtusüsteemi ja ANABI ladustamismahu suurendamiseks mõeldud investeerimiskavaga ning koolitusprogrammide ja läbipaistvusmeetmetega. Strateegia peamiste sätete rakendamise seadusandlik pakett avalikustatakse eeldatavasti 2021. aasta teises pooles.</w:t>
      </w:r>
    </w:p>
  </w:footnote>
  <w:footnote w:id="99">
    <w:p>
      <w:pPr>
        <w:pStyle w:val="FootnoteText"/>
      </w:pPr>
      <w:r>
        <w:rPr>
          <w:rStyle w:val="FootnoteReference"/>
        </w:rPr>
        <w:footnoteRef/>
      </w:r>
      <w:r>
        <w:tab/>
        <w:t>GRECO neljas hindamisvoor – teine vastavuse vahearuanne, sealhulgas (eeskirja nr 34 kohase) ad hoc aruande jätkuaruanne.</w:t>
      </w:r>
    </w:p>
  </w:footnote>
  <w:footnote w:id="100">
    <w:p>
      <w:pPr>
        <w:pStyle w:val="FootnoteText"/>
      </w:pPr>
      <w:r>
        <w:rPr>
          <w:rStyle w:val="FootnoteReference"/>
        </w:rPr>
        <w:footnoteRef/>
      </w:r>
      <w:r>
        <w:tab/>
        <w:t>Näidis laaditi üles riikliku korruptsioonivastase strateegia veebisaidile 18. märtsil 2021.</w:t>
      </w:r>
      <w:r>
        <w:rPr>
          <w:color w:val="000000" w:themeColor="text1"/>
        </w:rPr>
        <w:t xml:space="preserve"> Näidismenetluse rakendamist avaliku sektori asutustes hinnatakse 2022. aastal.</w:t>
      </w:r>
    </w:p>
  </w:footnote>
  <w:footnote w:id="101">
    <w:p>
      <w:pPr>
        <w:pStyle w:val="FootnoteText"/>
      </w:pPr>
      <w:r>
        <w:rPr>
          <w:rStyle w:val="FootnoteReference"/>
        </w:rPr>
        <w:footnoteRef/>
      </w:r>
      <w:r>
        <w:tab/>
        <w:t>Rumeenia on ajakirjandusvabaduse indeksis maailmas 48. kohal ja ELis 21. kohal. Viimastel aastatel on olukord jäänud suhteliselt muutumatuks, kuna Rumeenia on alates 2016. aastast olnud 44.–49. kohal.</w:t>
      </w:r>
    </w:p>
  </w:footnote>
  <w:footnote w:id="102">
    <w:p>
      <w:pPr>
        <w:pStyle w:val="FootnoteText"/>
      </w:pPr>
      <w:r>
        <w:rPr>
          <w:rStyle w:val="FootnoteReference"/>
        </w:rPr>
        <w:footnoteRef/>
      </w:r>
      <w:r>
        <w:tab/>
        <w:t>2020. aasta aruanne õigusriigi kohta, peatükk õigusriigi olukorra kohta Rumeenias, lk 13.</w:t>
      </w:r>
    </w:p>
  </w:footnote>
  <w:footnote w:id="103">
    <w:p>
      <w:pPr>
        <w:pStyle w:val="FootnoteText"/>
        <w:rPr>
          <w:rStyle w:val="FootnoteReference"/>
        </w:rPr>
      </w:pPr>
      <w:r>
        <w:rPr>
          <w:rStyle w:val="FootnoteReference"/>
        </w:rPr>
        <w:footnoteRef/>
      </w:r>
      <w:r>
        <w:rPr>
          <w:rStyle w:val="FootnoteReference"/>
        </w:rPr>
        <w:t xml:space="preserve"> </w:t>
      </w:r>
      <w:r>
        <w:rPr>
          <w:rStyle w:val="FootnoteReference"/>
        </w:rPr>
        <w:tab/>
      </w:r>
      <w:r>
        <w:t>10. veebruari 2021. aasta avalikus avalduses teatatakse, et nõukogu avalikud istungid jätkuvad pärast seda, kui parlament on nimetanud liikmed neljale vabale kohale; Vt riiklik audiovisuaalnõukogu, pressi infotund riikliku audiovisuaalnõukogu avalike koosolekute kohta, 10. veebruar 2021.</w:t>
      </w:r>
    </w:p>
  </w:footnote>
  <w:footnote w:id="104">
    <w:p>
      <w:pPr>
        <w:pStyle w:val="FootnoteText"/>
      </w:pPr>
      <w:r>
        <w:rPr>
          <w:rStyle w:val="FootnoteReference"/>
        </w:rPr>
        <w:footnoteRef/>
      </w:r>
      <w:r>
        <w:tab/>
        <w:t>Pagina de media, „Official. Parliament voted for new CNA members: Mircea Toma, one of them“, 11. mai 2021.</w:t>
      </w:r>
    </w:p>
  </w:footnote>
  <w:footnote w:id="105">
    <w:p>
      <w:pPr>
        <w:pStyle w:val="FootnoteText"/>
        <w:rPr>
          <w:rStyle w:val="FootnoteReference"/>
        </w:rPr>
      </w:pPr>
      <w:r>
        <w:rPr>
          <w:rStyle w:val="FootnoteReference"/>
        </w:rPr>
        <w:footnoteRef/>
      </w:r>
      <w:r>
        <w:rPr>
          <w:rStyle w:val="FootnoteReference"/>
        </w:rPr>
        <w:t xml:space="preserve"> </w:t>
      </w:r>
      <w:r>
        <w:rPr>
          <w:rStyle w:val="FootnoteReference"/>
        </w:rPr>
        <w:tab/>
      </w:r>
      <w:r>
        <w:t>Rumeeniasse tehtud riigikülastuse käigus saadud teave. 2021. aasta meedia mitmekesisuse seire Rumeenia riigiaruandes (lk 13) märgitakse ühtlasi, et riikliku audiovisuaalnõukogu rahalised vahendid on piiratud.</w:t>
      </w:r>
    </w:p>
  </w:footnote>
  <w:footnote w:id="106">
    <w:p>
      <w:pPr>
        <w:pStyle w:val="FootnoteText"/>
        <w:rPr>
          <w:rStyle w:val="FootnoteReference"/>
        </w:rPr>
      </w:pPr>
      <w:r>
        <w:rPr>
          <w:rStyle w:val="FootnoteReference"/>
        </w:rPr>
        <w:footnoteRef/>
      </w:r>
      <w:r>
        <w:rPr>
          <w:rStyle w:val="FootnoteReference"/>
        </w:rPr>
        <w:t xml:space="preserve"> </w:t>
      </w:r>
      <w:r>
        <w:tab/>
        <w:t xml:space="preserve">Sõltumatu ajakirjanduse keskus, </w:t>
      </w:r>
      <w:r>
        <w:rPr>
          <w:i/>
          <w:iCs/>
        </w:rPr>
        <w:t>Fundamental Rights under Siege 2020</w:t>
      </w:r>
      <w:r>
        <w:t xml:space="preserve">, 2020, lk 18. </w:t>
      </w:r>
    </w:p>
  </w:footnote>
  <w:footnote w:id="107">
    <w:p>
      <w:pPr>
        <w:pStyle w:val="FootnoteText"/>
        <w:rPr>
          <w:rStyle w:val="FootnoteReference"/>
        </w:rPr>
      </w:pPr>
      <w:r>
        <w:rPr>
          <w:rStyle w:val="FootnoteReference"/>
        </w:rPr>
        <w:footnoteRef/>
      </w:r>
      <w:r>
        <w:rPr>
          <w:rStyle w:val="FootnoteReference"/>
        </w:rPr>
        <w:t xml:space="preserve"> </w:t>
      </w:r>
      <w:r>
        <w:tab/>
        <w:t xml:space="preserve">Rumeeniasse tehtud riigikülastuse käigus saadud teave. </w:t>
      </w:r>
    </w:p>
  </w:footnote>
  <w:footnote w:id="108">
    <w:p>
      <w:pPr>
        <w:pStyle w:val="FootnoteText"/>
      </w:pPr>
      <w:r>
        <w:rPr>
          <w:rStyle w:val="FootnoteReference"/>
        </w:rPr>
        <w:footnoteRef/>
      </w:r>
      <w:r>
        <w:tab/>
        <w:t>2021. aasta meedia mitmekesisuse seire, Rumeenia riigiaruanne, lk 15; Vt ka Piirideta Reporterid – Rumeenia.</w:t>
      </w:r>
    </w:p>
  </w:footnote>
  <w:footnote w:id="109">
    <w:p>
      <w:pPr>
        <w:pStyle w:val="FootnoteText"/>
      </w:pPr>
      <w:r>
        <w:rPr>
          <w:rStyle w:val="FootnoteReference"/>
        </w:rPr>
        <w:footnoteRef/>
      </w:r>
      <w:r>
        <w:tab/>
        <w:t>2020. aasta aruanne õigusriigi kohta, peatükk õigusriigi olukorra kohta Rumeenias, lk 14.</w:t>
      </w:r>
    </w:p>
  </w:footnote>
  <w:footnote w:id="110">
    <w:p>
      <w:pPr>
        <w:pStyle w:val="FootnoteText"/>
      </w:pPr>
      <w:r>
        <w:rPr>
          <w:rStyle w:val="FootnoteReference"/>
        </w:rPr>
        <w:footnoteRef/>
      </w:r>
      <w:r>
        <w:tab/>
        <w:t>2021. aasta meedia mitmekesisuse seire Rumeenia riigiaruandes (lk 14) märgiti näitena, et „digitaalmeediaettevõte võib kuuluda teisele ettevõttele, mis omakorda kuulub välisriigis asuvale üksusele, mille omanike nimesid ei ole avalikustatud“.</w:t>
      </w:r>
    </w:p>
  </w:footnote>
  <w:footnote w:id="111">
    <w:p>
      <w:pPr>
        <w:pStyle w:val="FootnoteText"/>
        <w:rPr>
          <w:rStyle w:val="FootnoteReference"/>
        </w:rPr>
      </w:pPr>
      <w:r>
        <w:rPr>
          <w:rStyle w:val="FootnoteReference"/>
        </w:rPr>
        <w:footnoteRef/>
      </w:r>
      <w:r>
        <w:rPr>
          <w:rStyle w:val="FootnoteReference"/>
        </w:rPr>
        <w:t xml:space="preserve"> </w:t>
      </w:r>
      <w:r>
        <w:tab/>
        <w:t xml:space="preserve">Piirideta Reporterid– Rumeenia. </w:t>
      </w:r>
    </w:p>
  </w:footnote>
  <w:footnote w:id="112">
    <w:p>
      <w:pPr>
        <w:pStyle w:val="FootnoteText"/>
      </w:pPr>
      <w:r>
        <w:rPr>
          <w:rStyle w:val="FootnoteReference"/>
        </w:rPr>
        <w:footnoteRef/>
      </w:r>
      <w:r>
        <w:tab/>
        <w:t>2021. aasta meedia mitmekesisuse seire Rumeenia riigiaruandes (lk 14) märgitakse, et trükiuudiste turg on lugejate ja väljaannete arvu poolest väga väike ning seda iseloomustab „nelja suurima väljaande peaaegu 100 % koondumine“. Lisaks sellele märgitakse, et „digitaalsete uudiste turg on väga killustatud (37 % koondumine), samal ajal kui koondumine on mõõdukam tele- ja raadiovaldkonnas, kus nelja peamise omaniku kanalite tarbijad moodustavad vastavalt 65 % ja 59 % kõigist tarbijatest“. Meedia mitmekesisuse seire aruandes hoiatatakse, et andmete puudumine takistab jätkuvalt turuosade hindamist veebikeskkonnas, märkides siiski, et enamik rumeenlasi kasutab endiselt televisiooni oma peamise uudisteallikana.</w:t>
      </w:r>
    </w:p>
  </w:footnote>
  <w:footnote w:id="113">
    <w:p>
      <w:pPr>
        <w:pStyle w:val="FootnoteText"/>
        <w:rPr>
          <w:rStyle w:val="FootnoteReference"/>
        </w:rPr>
      </w:pPr>
      <w:r>
        <w:rPr>
          <w:rStyle w:val="FootnoteReference"/>
        </w:rPr>
        <w:footnoteRef/>
      </w:r>
      <w:r>
        <w:rPr>
          <w:rStyle w:val="FootnoteReference"/>
        </w:rPr>
        <w:t xml:space="preserve">  </w:t>
      </w:r>
      <w:r>
        <w:tab/>
        <w:t xml:space="preserve">Sõltumatu ajakirjanduse keskus, </w:t>
      </w:r>
      <w:r>
        <w:rPr>
          <w:i/>
          <w:iCs/>
        </w:rPr>
        <w:t>Fundamental Rights under Siege</w:t>
      </w:r>
      <w:r>
        <w:t>, 2020, lk 17–18.</w:t>
      </w:r>
    </w:p>
  </w:footnote>
  <w:footnote w:id="114">
    <w:p>
      <w:pPr>
        <w:pStyle w:val="FootnoteText"/>
      </w:pPr>
      <w:r>
        <w:rPr>
          <w:rStyle w:val="FootnoteReference"/>
        </w:rPr>
        <w:footnoteRef/>
      </w:r>
      <w:r>
        <w:tab/>
      </w:r>
      <w:r>
        <w:rPr>
          <w:i/>
        </w:rPr>
        <w:t>Ibid.</w:t>
      </w:r>
      <w:r>
        <w:t>, lk 19.</w:t>
      </w:r>
    </w:p>
  </w:footnote>
  <w:footnote w:id="115">
    <w:p>
      <w:pPr>
        <w:pStyle w:val="FootnoteText"/>
      </w:pPr>
      <w:r>
        <w:rPr>
          <w:rStyle w:val="FootnoteReference"/>
        </w:rPr>
        <w:footnoteRef/>
      </w:r>
      <w:r>
        <w:rPr>
          <w:rStyle w:val="FootnoteReference"/>
        </w:rPr>
        <w:t xml:space="preserve">  </w:t>
      </w:r>
      <w:r>
        <w:tab/>
        <w:t>Erakorraline määrus üldsuse teavitamise kampaaniate korraldamise ja elluviimise kohta seoses COVID-19 levikust põhjustatud epidemioloogilise olukorraga, 7. mai 2020, nr 63.</w:t>
      </w:r>
    </w:p>
  </w:footnote>
  <w:footnote w:id="116">
    <w:p>
      <w:pPr>
        <w:pStyle w:val="FootnoteText"/>
      </w:pPr>
      <w:r>
        <w:rPr>
          <w:rStyle w:val="FootnoteReference"/>
        </w:rPr>
        <w:footnoteRef/>
      </w:r>
      <w:r>
        <w:rPr>
          <w:rStyle w:val="FootnoteReference"/>
        </w:rPr>
        <w:t xml:space="preserve"> </w:t>
      </w:r>
      <w:r>
        <w:tab/>
        <w:t>Valitsuse peasekretariaadi 6. juulil 2020 avaldatud teave (</w:t>
      </w:r>
      <w:hyperlink r:id="rId2" w:history="1">
        <w:r>
          <w:rPr>
            <w:rStyle w:val="Hyperlink"/>
          </w:rPr>
          <w:t>https://sgg.gov.ro/new/06-07-2020-anunt/</w:t>
        </w:r>
      </w:hyperlink>
      <w:r>
        <w:t>).</w:t>
      </w:r>
    </w:p>
  </w:footnote>
  <w:footnote w:id="117">
    <w:p>
      <w:pPr>
        <w:pStyle w:val="FootnoteText"/>
        <w:rPr>
          <w:rFonts w:cs="Times New Roman"/>
          <w:color w:val="373E46"/>
          <w:shd w:val="clear" w:color="auto" w:fill="FFFFFF"/>
        </w:rPr>
      </w:pPr>
      <w:r>
        <w:rPr>
          <w:rStyle w:val="FootnoteReference"/>
          <w:rFonts w:cs="Times New Roman"/>
        </w:rPr>
        <w:footnoteRef/>
      </w:r>
      <w:r>
        <w:tab/>
        <w:t xml:space="preserve">Sõltumatu ajakirjanduse keskus, </w:t>
      </w:r>
      <w:r>
        <w:rPr>
          <w:i/>
          <w:szCs w:val="24"/>
        </w:rPr>
        <w:t>Fundamental Rights under Siege</w:t>
      </w:r>
      <w:r>
        <w:t>, 2020, lk 21; organisatsioonidelt Funky Citizens ja Expert Forum õigusriigi olukorda käsitleva 2021. aasta aruande koostamiseks saadud tagasiside; Dumitrita Holdis, „ReportIt: When state funding discredits the press – The Romanian media is facing a financial and moral dilemma“, 2020.</w:t>
      </w:r>
    </w:p>
  </w:footnote>
  <w:footnote w:id="118">
    <w:p>
      <w:pPr>
        <w:pStyle w:val="FootnoteText"/>
        <w:rPr>
          <w:rFonts w:cs="Times New Roman"/>
        </w:rPr>
      </w:pPr>
      <w:r>
        <w:rPr>
          <w:rStyle w:val="FootnoteReference"/>
          <w:rFonts w:cs="Times New Roman"/>
        </w:rPr>
        <w:footnoteRef/>
      </w:r>
      <w:r>
        <w:tab/>
        <w:t>Seadus nr 544/2001 teabele juurdepääsu kohta, artikkel 17.</w:t>
      </w:r>
    </w:p>
  </w:footnote>
  <w:footnote w:id="119">
    <w:p>
      <w:pPr>
        <w:pStyle w:val="FootnoteText"/>
      </w:pPr>
      <w:r>
        <w:rPr>
          <w:rStyle w:val="FootnoteReference"/>
        </w:rPr>
        <w:footnoteRef/>
      </w:r>
      <w:r>
        <w:tab/>
        <w:t>16. märtsi 2020. aasta dekreet nr 195, millega kehtestatakse Rumeenia territooriumil eriolukord.</w:t>
      </w:r>
    </w:p>
  </w:footnote>
  <w:footnote w:id="120">
    <w:p>
      <w:pPr>
        <w:pStyle w:val="FootnoteText"/>
      </w:pPr>
      <w:r>
        <w:rPr>
          <w:rStyle w:val="FootnoteReference"/>
          <w:rFonts w:cs="Times New Roman"/>
        </w:rPr>
        <w:footnoteRef/>
      </w:r>
      <w:r>
        <w:tab/>
        <w:t xml:space="preserve">Sõltumatu ajakirjanduse keskus, </w:t>
      </w:r>
      <w:r>
        <w:rPr>
          <w:i/>
          <w:szCs w:val="24"/>
        </w:rPr>
        <w:t>Fundamental Rights under Siege</w:t>
      </w:r>
      <w:r>
        <w:t>, 2020, lk 10; Liberties, EU 2020: Demanding on Democracy, 2021; organisatsioonilt Funky Citizens õigusriigi olukorda käsitleva 2021. aasta aruande koostamiseks saadud tagasiside; riigikülastuste ajal mainiti ka raskusi teabe hankimisel pressiesindajate kohta.</w:t>
      </w:r>
    </w:p>
  </w:footnote>
  <w:footnote w:id="121">
    <w:p>
      <w:pPr>
        <w:pStyle w:val="FootnoteText"/>
        <w:rPr>
          <w:rFonts w:cs="Times New Roman"/>
        </w:rPr>
      </w:pPr>
      <w:r>
        <w:rPr>
          <w:rStyle w:val="FootnoteReference"/>
          <w:rFonts w:cs="Times New Roman"/>
        </w:rPr>
        <w:footnoteRef/>
      </w:r>
      <w:r>
        <w:tab/>
        <w:t>Liberties, EU 2020: Demanding on Democracy, lk. 157–158; organisatsioonilt Funky Citizens õigusriigi olukorda käsitleva 2021. aasta aruande koostamiseks saadud tagasiside.</w:t>
      </w:r>
    </w:p>
  </w:footnote>
  <w:footnote w:id="122">
    <w:p>
      <w:pPr>
        <w:pStyle w:val="FootnoteText"/>
        <w:rPr>
          <w:rFonts w:cs="Times New Roman"/>
        </w:rPr>
      </w:pPr>
      <w:r>
        <w:rPr>
          <w:rStyle w:val="FootnoteReference"/>
          <w:rFonts w:cs="Times New Roman"/>
        </w:rPr>
        <w:footnoteRef/>
      </w:r>
      <w:r>
        <w:tab/>
        <w:t>Vastavalt ühenduselt Expert Forum õigusriigi olukorda käsitleva 2021. aasta aruande koostamiseks saadud tagasisidele langetati 42 politseiringkonna vastu esitatud hagide puhul, mis käsitlesid andmeid COVID-19 pandeemia ajal kohaldatavate trahvide ja karistuste kohta, erinevaid otsuseid esimeses astmes (kus 21 otsust tehti hageja ja 20 politsei kasuks) ja apellatsiooniastmes.</w:t>
      </w:r>
    </w:p>
  </w:footnote>
  <w:footnote w:id="123">
    <w:p>
      <w:pPr>
        <w:pStyle w:val="FootnoteText"/>
        <w:rPr>
          <w:rFonts w:cs="Times New Roman"/>
        </w:rPr>
      </w:pPr>
      <w:r>
        <w:rPr>
          <w:rStyle w:val="FootnoteReference"/>
          <w:rFonts w:cs="Times New Roman"/>
        </w:rPr>
        <w:footnoteRef/>
      </w:r>
      <w:r>
        <w:tab/>
        <w:t xml:space="preserve">Tervishoiuministeerium, läbipaistvus seoses COVID-19ga, https://data.gov.ro/dataset/transparenta-covid. </w:t>
      </w:r>
    </w:p>
  </w:footnote>
  <w:footnote w:id="124">
    <w:p>
      <w:pPr>
        <w:pStyle w:val="FootnoteText"/>
      </w:pPr>
      <w:r>
        <w:rPr>
          <w:rStyle w:val="FootnoteReference"/>
        </w:rPr>
        <w:footnoteRef/>
      </w:r>
      <w:r>
        <w:tab/>
        <w:t>Organisatsioonilt Funky Citizens õigusriigi olukorda käsitleva 2021. aasta aruande koostamiseks saadud tagasiside; vt ka Piirideta Reporterid – Rumeenia.</w:t>
      </w:r>
    </w:p>
  </w:footnote>
  <w:footnote w:id="125">
    <w:p>
      <w:pPr>
        <w:pStyle w:val="FootnoteText"/>
        <w:rPr>
          <w:rFonts w:cs="Times New Roman"/>
        </w:rPr>
      </w:pPr>
      <w:r>
        <w:rPr>
          <w:rStyle w:val="FootnoteReference"/>
          <w:rFonts w:cs="Times New Roman"/>
        </w:rPr>
        <w:footnoteRef/>
      </w:r>
      <w:r>
        <w:tab/>
        <w:t>Rumeeniasse tehtud riigikülastuse käigus saadud teave.</w:t>
      </w:r>
    </w:p>
  </w:footnote>
  <w:footnote w:id="126">
    <w:p>
      <w:pPr>
        <w:pStyle w:val="FootnoteText"/>
      </w:pPr>
      <w:r>
        <w:rPr>
          <w:rStyle w:val="FootnoteReference"/>
        </w:rPr>
        <w:footnoteRef/>
      </w:r>
      <w:r>
        <w:tab/>
        <w:t>2021. aasta meedia mitmekesisuse seire, Rumeenia riigiaruanne, lk 12.</w:t>
      </w:r>
    </w:p>
  </w:footnote>
  <w:footnote w:id="127">
    <w:p>
      <w:pPr>
        <w:pStyle w:val="FootnoteText"/>
        <w:rPr>
          <w:rFonts w:cs="Times New Roman"/>
        </w:rPr>
      </w:pPr>
      <w:r>
        <w:rPr>
          <w:rStyle w:val="FootnoteReference"/>
          <w:rFonts w:cs="Times New Roman"/>
        </w:rPr>
        <w:footnoteRef/>
      </w:r>
      <w:r>
        <w:tab/>
        <w:t xml:space="preserve">Organisatsioonilt Funky Citizens õigusriigi olukorda käsitleva 2021. aasta aruande koostamiseks saadud tagasiside. </w:t>
      </w:r>
    </w:p>
  </w:footnote>
  <w:footnote w:id="128">
    <w:p>
      <w:pPr>
        <w:pStyle w:val="FootnoteText"/>
        <w:rPr>
          <w:rFonts w:cs="Times New Roman"/>
        </w:rPr>
      </w:pPr>
      <w:r>
        <w:rPr>
          <w:rStyle w:val="FootnoteReference"/>
          <w:rFonts w:cs="Times New Roman"/>
        </w:rPr>
        <w:footnoteRef/>
      </w:r>
      <w:r>
        <w:tab/>
        <w:t>Valitsuse peasekretariaat, 22. märts 2021, projekti „Rumeenia valitsuse teavitustegevuse juhtimise strateegia“ avakonverents.</w:t>
      </w:r>
    </w:p>
  </w:footnote>
  <w:footnote w:id="129">
    <w:p>
      <w:pPr>
        <w:pStyle w:val="FootnoteText"/>
      </w:pPr>
      <w:r>
        <w:rPr>
          <w:rStyle w:val="FootnoteReference"/>
        </w:rPr>
        <w:footnoteRef/>
      </w:r>
      <w:r>
        <w:tab/>
        <w:t>Esimene hoiatus puudutab 2020. aasta novembris esitatud hagi milles nõutakse uurivatelt ajakirjanikelt üle 488 000 euro suurust kahjuhüvitist seoses artikliga defektseks peetavate maskide müügi kohta. Teine hoiatus puudutab hagi, mis esitati ajakirjanike ja meediakanalite vastu 2021. aasta märtsis pärast seda, kui ilmusid artiklid seksuaalse kuritarvitamise ja vägistamise kohta õigeusu keskkoolis. Vastuses, mille Rumeenia ametiasutused esitasid viimati nimetatud juhtumi kohta ja mis on kättesaadav ka platvormil „Euroopa Nõukogu – Rumeenia“, on täpsustatud, et nimetatud juhtum ootab praegu tsiviilseadustiku alusel kohtumenetlust ja et hageja esitas hagi iseenda nimel.</w:t>
      </w:r>
    </w:p>
  </w:footnote>
  <w:footnote w:id="130">
    <w:p>
      <w:pPr>
        <w:pStyle w:val="FootnoteText"/>
      </w:pPr>
      <w:r>
        <w:rPr>
          <w:rStyle w:val="FootnoteReference"/>
        </w:rPr>
        <w:footnoteRef/>
      </w:r>
      <w:r>
        <w:tab/>
        <w:t>Libertatea, „Teine ringkonnakohus tegi tsiviilkohtumenetluses otsuse linnapea Baluta kasuks ning otsustas kustutada artiklid Goleaci kohta! Otsus ei ole lõplik“, 24. mai 2021.</w:t>
      </w:r>
    </w:p>
  </w:footnote>
  <w:footnote w:id="131">
    <w:p>
      <w:pPr>
        <w:pStyle w:val="FootnoteText"/>
        <w:rPr>
          <w:rFonts w:eastAsia="Calibri"/>
        </w:rPr>
      </w:pPr>
      <w:r>
        <w:rPr>
          <w:rStyle w:val="FootnoteReference"/>
        </w:rPr>
        <w:footnoteRef/>
      </w:r>
      <w:r>
        <w:tab/>
        <w:t>Agerpres, „DIICOT kuulab üle ajakirjanik Cătălin Tolontani pärast 4. sektori linnapea kaebust“, 20. mai 2021; Piirideta Reporterid ja Active Watch saatsid Rumeenia ametiasutustele avaliku kirja, milles nad palusid uurida, kuidas kuriteokaebust menetleti, ning on teatanud, et „</w:t>
      </w:r>
      <w:r>
        <w:rPr>
          <w:iCs/>
          <w:color w:val="000000" w:themeColor="text1"/>
        </w:rPr>
        <w:t>Rumeenia organiseeritud kuritegevuse ja terrorismi uurimise direktoraat (DIICOT) on algatanud siseuurimise“.</w:t>
      </w:r>
    </w:p>
  </w:footnote>
  <w:footnote w:id="132">
    <w:p>
      <w:pPr>
        <w:pStyle w:val="FootnoteText"/>
      </w:pPr>
      <w:r>
        <w:rPr>
          <w:rStyle w:val="FootnoteReference"/>
        </w:rPr>
        <w:footnoteRef/>
      </w:r>
      <w:r>
        <w:tab/>
        <w:t>Rumeeniasse tehtud riigikülastuse käigus saadud teave. Teatati ka vähemalt viiest juhtumist, kus avaliku sektori raha kasutati kohtukulude katmiseks. Meedia mitmekesisuse seire aruandes märgitakse, et on „üksikuid juhtumeid, mida võiks pidada selle [st üldsuse osalemise vastase strateegilise hagi] fenomeni näideteks“.</w:t>
      </w:r>
    </w:p>
  </w:footnote>
  <w:footnote w:id="133">
    <w:p>
      <w:pPr>
        <w:pStyle w:val="FootnoteText"/>
      </w:pPr>
      <w:r>
        <w:rPr>
          <w:rStyle w:val="FootnoteReference"/>
        </w:rPr>
        <w:footnoteRef/>
      </w:r>
      <w:r>
        <w:tab/>
        <w:t>Rumeenia põhiseadus, artikkel 74. Kodanikud, kes soovivad kasutada seadusandliku algatuse tegemise õigust, peavad esindama vähemalt üht neljandikku riigi maakondadest ning igast esindatud maakonnast või Bukaresti linnast peab olema algatuse toetuseks antud vähemalt 5 000 allkirja.</w:t>
      </w:r>
    </w:p>
  </w:footnote>
  <w:footnote w:id="134">
    <w:p>
      <w:pPr>
        <w:pStyle w:val="FootnoteText"/>
      </w:pPr>
      <w:r>
        <w:rPr>
          <w:rStyle w:val="FootnoteReference"/>
          <w:color w:val="000000" w:themeColor="text1"/>
        </w:rPr>
        <w:footnoteRef/>
      </w:r>
      <w:r>
        <w:rPr>
          <w:color w:val="000000" w:themeColor="text1"/>
        </w:rPr>
        <w:t xml:space="preserve"> </w:t>
      </w:r>
      <w:r>
        <w:rPr>
          <w:color w:val="000000" w:themeColor="text1"/>
        </w:rPr>
        <w:tab/>
      </w:r>
      <w:r>
        <w:rPr>
          <w:color w:val="000000" w:themeColor="text1"/>
          <w:shd w:val="clear" w:color="auto" w:fill="FFFFFF"/>
        </w:rPr>
        <w:t>Rumeenia põhiseadus, artikkel 142.</w:t>
      </w:r>
    </w:p>
  </w:footnote>
  <w:footnote w:id="135">
    <w:p>
      <w:pPr>
        <w:pStyle w:val="FootnoteText"/>
      </w:pPr>
      <w:r>
        <w:rPr>
          <w:rStyle w:val="FootnoteReference"/>
        </w:rPr>
        <w:footnoteRef/>
      </w:r>
      <w:r>
        <w:tab/>
        <w:t>2020. aasta aruanne õigusriigi kohta, peatükk õigusriigi olukorra kohta Rumeenias, lk 16–17.</w:t>
      </w:r>
    </w:p>
  </w:footnote>
  <w:footnote w:id="136">
    <w:p>
      <w:pPr>
        <w:pStyle w:val="FootnoteText"/>
      </w:pPr>
      <w:r>
        <w:rPr>
          <w:rStyle w:val="FootnoteReference"/>
        </w:rPr>
        <w:footnoteRef/>
      </w:r>
      <w:r>
        <w:tab/>
        <w:t>Seadusandlusnõukogu on parlamenti nõustav eksperdikogu, mis annab iga uue õigusakti kohta arvamuse ning tagab kogu õigustiku süstemaatilise ühtlustamise ja kooskõlastamise.</w:t>
      </w:r>
    </w:p>
  </w:footnote>
  <w:footnote w:id="137">
    <w:p>
      <w:pPr>
        <w:pStyle w:val="FootnoteText"/>
      </w:pPr>
      <w:r>
        <w:rPr>
          <w:rStyle w:val="FootnoteReference"/>
        </w:rPr>
        <w:footnoteRef/>
      </w:r>
      <w:r>
        <w:tab/>
        <w:t>Austria föderaalselt majanduskojalt õigusriigi olukorda käsitleva 2021. aasta aruande koostamiseks saadud tagasiside, lk 24. Õiguskindluse puudumist on rõhutatud ka Euroopa poolaasta kontekstis; Euroopa poolaasta aruanne Rumeenia kohta, 2020, SWD(2020) 522 final. Õigusaktide stabiilsus ja juurdepääsetavus on Rumeenias ELi keskmisest kehvemad ning sidusrühmad on teatanud, et ebakindlus poliitiliste ja seadusandlike otsuste suhtes on tinginud üldmulje, et olukord on ettearvamatu.</w:t>
      </w:r>
    </w:p>
  </w:footnote>
  <w:footnote w:id="138">
    <w:p>
      <w:pPr>
        <w:pStyle w:val="FootnoteText"/>
      </w:pPr>
      <w:r>
        <w:rPr>
          <w:rStyle w:val="FootnoteReference"/>
        </w:rPr>
        <w:footnoteRef/>
      </w:r>
      <w:r>
        <w:tab/>
        <w:t>Rumeeniasse tehtud riigikülastuse käigus saadud teave.</w:t>
      </w:r>
    </w:p>
  </w:footnote>
  <w:footnote w:id="139">
    <w:p>
      <w:pPr>
        <w:pStyle w:val="FootnoteText"/>
      </w:pPr>
      <w:r>
        <w:rPr>
          <w:rStyle w:val="FootnoteReference"/>
        </w:rPr>
        <w:footnoteRef/>
      </w:r>
      <w:r>
        <w:tab/>
        <w:t xml:space="preserve">Komisjoni aruanne Euroopa Parlamendile ja nõukogule Rumeenias koostöö- ja jälgimiskorra raames saavutatud edusammude kohta, COM(2021) 370 final. </w:t>
      </w:r>
    </w:p>
  </w:footnote>
  <w:footnote w:id="140">
    <w:p>
      <w:pPr>
        <w:pStyle w:val="FootnoteText"/>
      </w:pPr>
      <w:r>
        <w:rPr>
          <w:rStyle w:val="FootnoteReference"/>
        </w:rPr>
        <w:footnoteRef/>
      </w:r>
      <w:r>
        <w:tab/>
        <w:t>2020. aasta aruanne õigusriigi kohta, peatükk õigusriigi olukorra kohta Rumeenias, lk 16.</w:t>
      </w:r>
    </w:p>
  </w:footnote>
  <w:footnote w:id="141">
    <w:p>
      <w:pPr>
        <w:pStyle w:val="FootnoteText"/>
      </w:pPr>
      <w:r>
        <w:rPr>
          <w:rStyle w:val="FootnoteReference"/>
        </w:rPr>
        <w:footnoteRef/>
      </w:r>
      <w:r>
        <w:tab/>
        <w:t>Erandid hõlmavad järgmist: i) meetmed, mis võetakse seoses kohtusüsteemi toimimise tagamisega COVID-19 pandeemia ajal; ii) 2020. aasta veebruari õigusakt avalike omandamiste kohta, millega nähti kohtunikele ette potentsiaalne uus distsiplinaarmenetlus ja mis tunnistati põhiseadusevastaseks; iii) valitsuse 30. detsembri 2020. aasta erakorraline määrus, millega lükatakse edasi selliste sätete jõustumine, millega suurendatakse teatavates kohtukolleegiumides nõutavat kohtunike arvu ning mis jäetakse käimasoleva õigusemõistmist käsitlevate õigusaktide läbivaatamise tulemusel eeldatavasti välja.</w:t>
      </w:r>
    </w:p>
  </w:footnote>
  <w:footnote w:id="142">
    <w:p>
      <w:pPr>
        <w:pStyle w:val="FootnoteText"/>
      </w:pPr>
      <w:r>
        <w:rPr>
          <w:rStyle w:val="FootnoteReference"/>
        </w:rPr>
        <w:footnoteRef/>
      </w:r>
      <w:r>
        <w:tab/>
        <w:t>COVID-19 pandeemia kontekstis anti välja 159 valitsuse erakorralist määrust, ülejäänud 68 võeti vastu muude meetmete reguleerimiseks.</w:t>
      </w:r>
    </w:p>
  </w:footnote>
  <w:footnote w:id="143">
    <w:p>
      <w:pPr>
        <w:pStyle w:val="FootnoteText"/>
      </w:pPr>
      <w:r>
        <w:rPr>
          <w:rStyle w:val="FootnoteReference"/>
        </w:rPr>
        <w:footnoteRef/>
      </w:r>
      <w:r>
        <w:tab/>
        <w:t>Seaduses nr 24/2000 õigusaktide koostamise kohta nähti ette esialgne kohustus teha kindlaks määruste eelnõude mõju ning regulatiivse mõju hindamise nõudeid on täpsustatud valitsuse 2006. aasta otsuses nr 1361. Nende sätete kohaselt tuleb kõigile määrustele lisada seletuskiri, milles kirjeldatakse ettepaneku eelnõu põhjendusi ja hinnatakse selle mõju.</w:t>
      </w:r>
    </w:p>
  </w:footnote>
  <w:footnote w:id="144">
    <w:p>
      <w:pPr>
        <w:pStyle w:val="FootnoteText"/>
      </w:pPr>
      <w:r>
        <w:rPr>
          <w:rStyle w:val="FootnoteReference"/>
        </w:rPr>
        <w:footnoteRef/>
      </w:r>
      <w:r>
        <w:tab/>
        <w:t xml:space="preserve">Vt </w:t>
      </w:r>
      <w:r>
        <w:rPr>
          <w:i/>
          <w:szCs w:val="24"/>
        </w:rPr>
        <w:t>Sustainable Governance Indicators 2020, Romania Report</w:t>
      </w:r>
      <w:r>
        <w:t>, lk 28–29.</w:t>
      </w:r>
    </w:p>
  </w:footnote>
  <w:footnote w:id="145">
    <w:p>
      <w:pPr>
        <w:pStyle w:val="FootnoteText"/>
      </w:pPr>
      <w:r>
        <w:rPr>
          <w:rStyle w:val="FootnoteReference"/>
        </w:rPr>
        <w:footnoteRef/>
      </w:r>
      <w:r>
        <w:tab/>
        <w:t>Aastaaruanne otsuste läbipaistvuse kohta (1. jaanuar 2020 – 31. detsember 2020), lisa nr 20 – PS 14/2019 valitsuse peasekretariaadi tasandil (I lisa).</w:t>
      </w:r>
    </w:p>
  </w:footnote>
  <w:footnote w:id="146">
    <w:p>
      <w:pPr>
        <w:pStyle w:val="FootnoteText"/>
      </w:pPr>
      <w:r>
        <w:rPr>
          <w:vertAlign w:val="superscript"/>
        </w:rPr>
        <w:footnoteRef/>
      </w:r>
      <w:r>
        <w:tab/>
        <w:t xml:space="preserve">Euroopa Komisjon, </w:t>
      </w:r>
      <w:r>
        <w:rPr>
          <w:i/>
          <w:szCs w:val="24"/>
        </w:rPr>
        <w:t>Public administration characteristics and performance in EU28</w:t>
      </w:r>
      <w:r>
        <w:t>, aprill 2018.</w:t>
      </w:r>
    </w:p>
  </w:footnote>
  <w:footnote w:id="147">
    <w:p>
      <w:pPr>
        <w:pStyle w:val="FootnoteText"/>
      </w:pPr>
      <w:r>
        <w:rPr>
          <w:rStyle w:val="FootnoteReference"/>
        </w:rPr>
        <w:footnoteRef/>
      </w:r>
      <w:r>
        <w:tab/>
        <w:t>Platvormil consultare.gov.ro oli 2020. aastal 202 kasutajat.</w:t>
      </w:r>
    </w:p>
  </w:footnote>
  <w:footnote w:id="148">
    <w:p>
      <w:pPr>
        <w:pStyle w:val="FootnoteText"/>
      </w:pPr>
      <w:r>
        <w:rPr>
          <w:rStyle w:val="FootnoteReference"/>
        </w:rPr>
        <w:footnoteRef/>
      </w:r>
      <w:r>
        <w:tab/>
        <w:t>Riikliku eriolukordade komitee otsus nr 24, millega kiidetakse heaks riikliku häireolukorra ning nakkuste ennetamise ja tõrje meetmete kehtestamine COVID-19 viirusest tuleneva epidemioloogilise olukorra kontekstis.</w:t>
      </w:r>
    </w:p>
  </w:footnote>
  <w:footnote w:id="149">
    <w:p>
      <w:pPr>
        <w:pStyle w:val="FootnoteText"/>
      </w:pPr>
      <w:r>
        <w:rPr>
          <w:rStyle w:val="FootnoteReference"/>
        </w:rPr>
        <w:footnoteRef/>
      </w:r>
      <w:r>
        <w:tab/>
        <w:t>Valitsuse 18. mai 2020. aasta otsus nr 394, mis käsitleb häireolukorra väljakuulutamist ning meetmeid, mida kohaldatakse selle kestuse jooksul COVID-19 pandeemia mõju ennetamiseks ja selle vastu võitlemiseks.</w:t>
      </w:r>
    </w:p>
  </w:footnote>
  <w:footnote w:id="150">
    <w:p>
      <w:pPr>
        <w:pStyle w:val="FootnoteText"/>
      </w:pPr>
      <w:r>
        <w:rPr>
          <w:rStyle w:val="FootnoteReference"/>
        </w:rPr>
        <w:footnoteRef/>
      </w:r>
      <w:r>
        <w:tab/>
        <w:t>15. mai 2020. aasta seadus nr 55/2020 meetmete kohta, mida kohaldatakse COVID-19 pandeemia mõju ennetamiseks ja selle vastu võitlemiseks.</w:t>
      </w:r>
    </w:p>
  </w:footnote>
  <w:footnote w:id="151">
    <w:p>
      <w:pPr>
        <w:pStyle w:val="FootnoteText"/>
      </w:pPr>
      <w:r>
        <w:rPr>
          <w:rStyle w:val="FootnoteReference"/>
        </w:rPr>
        <w:footnoteRef/>
      </w:r>
      <w:r>
        <w:tab/>
        <w:t>Rumeenialt õigusriigi olukorda käsitleva 2021. aasta aruande koostamiseks saadud teave, lk 44–45.</w:t>
      </w:r>
    </w:p>
  </w:footnote>
  <w:footnote w:id="152">
    <w:p>
      <w:pPr>
        <w:pStyle w:val="FootnoteText"/>
      </w:pPr>
      <w:r>
        <w:rPr>
          <w:rStyle w:val="FootnoteReference"/>
        </w:rPr>
        <w:footnoteRef/>
      </w:r>
      <w:r>
        <w:tab/>
        <w:t xml:space="preserve">Euroopa Inimõiguste Kohtu 6. septembri 2005. aasta otsus kohtuasjas Săcăleanu group </w:t>
      </w:r>
      <w:r>
        <w:rPr>
          <w:i/>
        </w:rPr>
        <w:t>vs.</w:t>
      </w:r>
      <w:r>
        <w:t xml:space="preserve"> Rumeenia (kaebus nr 73970/01).</w:t>
      </w:r>
    </w:p>
  </w:footnote>
  <w:footnote w:id="153">
    <w:p>
      <w:pPr>
        <w:pStyle w:val="FootnoteText"/>
      </w:pPr>
      <w:r>
        <w:rPr>
          <w:rStyle w:val="FootnoteReference"/>
        </w:rPr>
        <w:footnoteRef/>
      </w:r>
      <w:r>
        <w:tab/>
        <w:t>Euroopa Inimõiguste Kohtu otsuste täitmise osakond, otsus CM/Del/Dec(2021)1398/H46-23, 11. märts 2021.</w:t>
      </w:r>
    </w:p>
  </w:footnote>
  <w:footnote w:id="154">
    <w:p>
      <w:pPr>
        <w:pStyle w:val="FootnoteText"/>
      </w:pPr>
      <w:r>
        <w:rPr>
          <w:rStyle w:val="FootnoteReference"/>
        </w:rPr>
        <w:footnoteRef/>
      </w:r>
      <w:r>
        <w:tab/>
        <w:t xml:space="preserve">Need meetmed hõlmasid õigusraamistikku muudatuste tegemist, et tagada õigeaegne täitmine, ning justiitsministeeriumi egiidi all loodavat mehhanismi, millega jälgida ja vältida selliste kohtuotsuste hilinenud täitmist, mille puhul on riik võlgnik. </w:t>
      </w:r>
    </w:p>
  </w:footnote>
  <w:footnote w:id="155">
    <w:p>
      <w:pPr>
        <w:pStyle w:val="FootnoteText"/>
      </w:pPr>
      <w:r>
        <w:rPr>
          <w:rStyle w:val="FootnoteReference"/>
        </w:rPr>
        <w:footnoteRef/>
      </w:r>
      <w:r>
        <w:tab/>
        <w:t>Euroopa Nõukogu ministrite komitee „kutsus ametiasutusi taas üles esitama hiljemalt 15. juuniks 2021 oma analüüsi võimaliku vastuolu kohta võimaluste vahel, mida uuriti, et tagada rahatrahvide rakendamine juhul, kui võlgnik on riigi kontrolli all olev äriühing, ja riigi muude rahvusvaheliste kohustuste vahel; samuti palus ministrite komitee neil teda teavitada edasistest edusammudest selles valdkonnas vajalike meetmete kaalumisel“ ning „väljendas sügavat muret selle pärast, et kaua ei ole tehtud konkreetseid edusamme ja kutsus ametiasutusi üles oma jõupingutusi suurendama, et see protsess kiiresti lõpule viia“. Vt CM/Del/Dec(2021)1398/H46-23, punktid 6–7.</w:t>
      </w:r>
    </w:p>
  </w:footnote>
  <w:footnote w:id="156">
    <w:p>
      <w:pPr>
        <w:pStyle w:val="FootnoteText"/>
      </w:pPr>
      <w:r>
        <w:rPr>
          <w:rStyle w:val="FootnoteReference"/>
        </w:rPr>
        <w:footnoteRef/>
      </w:r>
      <w:r>
        <w:tab/>
        <w:t>Konstitutsioonikohtu 8. juuni 2021. aasta otsus nr 390, mis käsitleb kaebust seaduse nr 304/2004 (kohtukorralduse kohta) artiklite 881–889 ja valitsuse erakorralise määruse nr 90/2018 (mis käsitleb teatavaid meetmeid seoses kohtunike ja prokuröride toimepandud süütegusid uuriva osakonna toimimisega) sätete põhiseadusevastasuse kohta.</w:t>
      </w:r>
    </w:p>
  </w:footnote>
  <w:footnote w:id="157">
    <w:p>
      <w:pPr>
        <w:pStyle w:val="FootnoteText"/>
      </w:pPr>
      <w:r>
        <w:rPr>
          <w:rStyle w:val="FootnoteReference"/>
        </w:rPr>
        <w:footnoteRef/>
      </w:r>
      <w:r>
        <w:tab/>
        <w:t>Oma 18. mai 2021. aasta otsuses kohtuasjas Asociaţia „Forumul Judecătorilor Din România“ jt (liidetud kohtuasjad C-83/19, C-127/19, C-195/19, C-294/19, C-355/19 ja C-379/19, punktid 251 ja 252), tuletas Euroopa Kohus meelde, et „liidu õiguse esimuse põhimõttest [tuleneb], et eelotsusetaotluse esitanud kohus peab jätma kohaldamata kõnealused sätted, olgu need siis seadusandlikud või põhiseadusest tulenevad“ ja et seda põhimõtet „tuleb tõlgendada nii, et sellega on vastuolus liikmesriigi põhiseadusliku tasandi õigusnormid, nii nagu neid on tõlgendanud liikmesriigi konstitutsioonikohus ja mille kohaselt madalama astme kohtul ei ole lubatud jätta omal algatusel kohaldamata riigisisest õigusnormi, mis kuulub otsuse 2006/928 kohaldamisalasse ja mille puhul viimane leiab Euroopa Kohtu otsusest lähtuvalt, et see riigisisene õigusnorm on vastuolus selle otsusega või ELL artikli 19 lõike 1 teise lõiguga“.</w:t>
      </w:r>
    </w:p>
  </w:footnote>
  <w:footnote w:id="158">
    <w:p>
      <w:pPr>
        <w:pStyle w:val="FootnoteText"/>
      </w:pPr>
      <w:r>
        <w:rPr>
          <w:rStyle w:val="FootnoteReference"/>
        </w:rPr>
        <w:footnoteRef/>
      </w:r>
      <w:r>
        <w:tab/>
        <w:t xml:space="preserve">Oma 18. mai 2021. aasta otsuses selgitas Euroopa Kohus, et Rumeenia peab võtma sobivad meetmed koostöö- ja jälgimiskorra eesmärkide saavutamiseks, „võttes ELL artikli 4 lõikes 3 sätestatud lojaalse koostöö põhimõttest juhinduvalt nõuetekohaselt arvesse nimetatud otsuse alusel komisjoni koostatud aruandeid, eelkõige nendes aruannetes sõnastatud soovitusi“, kusjuures selline kohustus on „igal asjaomase liikmesriigi asutusel“. </w:t>
      </w:r>
      <w:r>
        <w:rPr>
          <w:i/>
        </w:rPr>
        <w:t>Ibid.</w:t>
      </w:r>
      <w:r>
        <w:t>, punktid 176–178.</w:t>
      </w:r>
    </w:p>
  </w:footnote>
  <w:footnote w:id="159">
    <w:p>
      <w:pPr>
        <w:pStyle w:val="FootnoteText"/>
      </w:pPr>
      <w:r>
        <w:rPr>
          <w:rStyle w:val="FootnoteReference"/>
        </w:rPr>
        <w:footnoteRef/>
      </w:r>
      <w:r>
        <w:tab/>
        <w:t>Euroopa riiklike inimõiguste asutuste võrgustikule (ENNHR) 2020. aastal esitatud ombudsmani akrediteerimistaotlus on veel läbivaatamisel.</w:t>
      </w:r>
    </w:p>
  </w:footnote>
  <w:footnote w:id="160">
    <w:p>
      <w:pPr>
        <w:pStyle w:val="FootnoteText"/>
      </w:pPr>
      <w:r>
        <w:rPr>
          <w:rStyle w:val="FootnoteReference"/>
        </w:rPr>
        <w:footnoteRef/>
      </w:r>
      <w:r>
        <w:tab/>
        <w:t>2020. aasta aruanne õigusriigi kohta, peatükk õigusriigi olukorra kohta Rumeenias, lk 17.</w:t>
      </w:r>
    </w:p>
  </w:footnote>
  <w:footnote w:id="161">
    <w:p>
      <w:pPr>
        <w:pStyle w:val="FootnoteText"/>
      </w:pPr>
      <w:r>
        <w:rPr>
          <w:rStyle w:val="FootnoteReference"/>
        </w:rPr>
        <w:footnoteRef/>
      </w:r>
      <w:r>
        <w:tab/>
        <w:t>Rumeenia Inimõiguste Instituut on iseseisev juriidiline isik, samas kui riiklik diskrimineerimisvastase võitluse nõukogu loodi juriidilise isiku staatusega riigiasutusena; Rumeenia Inimõiguste Instituudi ülesanne on tagada, et avalik-õiguslikel asutustel, valitsusvälistel organisatsioonidel ja Rumeenia kodanikel oleksid paremad teadmised inimõiguste teemadest, samas kui riikliku diskrimineerimisvastase võitluse nõukogu ülesanne on rakendada kodanike võrdsuse põhimõtet, mis on sätestatud Rumeenia põhiseaduses, riiklikes ja rahvusvahelistes õigusaktides; lisaks on Rumeenia Inimõiguste Instituudil üldvolitus viia inimõiguste valdkonnas ellu teadus-, teavitus-, koolitus- ja haridustegevust; riikliku diskrimineerimisvastase võitluse nõukogu volitused piirduvad võrdõiguslikkuse ja mittediskrimineerimise põhimõtete rakendamisega.</w:t>
      </w:r>
    </w:p>
  </w:footnote>
  <w:footnote w:id="162">
    <w:p>
      <w:pPr>
        <w:pStyle w:val="FootnoteText"/>
      </w:pPr>
      <w:r>
        <w:rPr>
          <w:rStyle w:val="FootnoteReference"/>
        </w:rPr>
        <w:footnoteRef/>
      </w:r>
      <w:r>
        <w:tab/>
        <w:t xml:space="preserve">Euroopa riiklike inimõiguste asutuste võrgustikult õigusriigi olukorda käsitleva 2021. aasta aruande koostamiseks saadud tagasiside, lk 272–273. </w:t>
      </w:r>
    </w:p>
  </w:footnote>
  <w:footnote w:id="163">
    <w:p>
      <w:pPr>
        <w:pStyle w:val="FootnoteText"/>
      </w:pPr>
      <w:r>
        <w:rPr>
          <w:rStyle w:val="FootnoteReference"/>
        </w:rPr>
        <w:footnoteRef/>
      </w:r>
      <w:r>
        <w:tab/>
        <w:t>Põhiõiguste Ametilt õigusriigi olukorda käsitleva 2021. aasta aruande koostamiseks saadud tagasiside, lk 7; organisatsioonilt APADOR ehk Helsingi komiteelt õigusriigi olukorda käsitleva 2021. aasta aruande koostamiseks saadud tagasiside, lk 20.</w:t>
      </w:r>
    </w:p>
  </w:footnote>
  <w:footnote w:id="164">
    <w:p>
      <w:pPr>
        <w:pStyle w:val="FootnoteText"/>
      </w:pPr>
      <w:r>
        <w:rPr>
          <w:rStyle w:val="FootnoteReference"/>
        </w:rPr>
        <w:footnoteRef/>
      </w:r>
      <w:r>
        <w:tab/>
        <w:t>Organisatsioonilt Funky Citizens õigusriigi olukorda käsitleva 2021. aasta aruande koostamiseks saadud teave, lk 30, ja Rumeeniasse tehtud riigikülastuse käigus saadud teave.</w:t>
      </w:r>
    </w:p>
  </w:footnote>
  <w:footnote w:id="165">
    <w:p>
      <w:pPr>
        <w:pStyle w:val="FootnoteText"/>
      </w:pPr>
      <w:r>
        <w:rPr>
          <w:rStyle w:val="FootnoteReference"/>
        </w:rPr>
        <w:footnoteRef/>
      </w:r>
      <w:r>
        <w:tab/>
        <w:t>Organisatsioonilt APADOR ehk Helsingi komiteelt õigusriigi olukorda käsitleva 2021. aasta aruande koostamiseks saadud tagasiside, lk 20.</w:t>
      </w:r>
    </w:p>
  </w:footnote>
  <w:footnote w:id="166">
    <w:p>
      <w:pPr>
        <w:pStyle w:val="FootnoteText"/>
      </w:pPr>
      <w:r>
        <w:rPr>
          <w:rStyle w:val="FootnoteReference"/>
        </w:rPr>
        <w:footnoteRef/>
      </w:r>
      <w:r>
        <w:tab/>
        <w:t>CIVICUSe antud hinnangud; hinnangud antakse järgmiste kategooriatega viieastmelisel skaalal: avatud, kitsendatud, takistatud, allasurutud ja suletud.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D97"/>
    <w:multiLevelType w:val="hybridMultilevel"/>
    <w:tmpl w:val="6F7AFCBA"/>
    <w:lvl w:ilvl="0" w:tplc="F9E09A28">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0C7BDF"/>
    <w:multiLevelType w:val="hybridMultilevel"/>
    <w:tmpl w:val="7D0E0E44"/>
    <w:lvl w:ilvl="0" w:tplc="D09EBDD0">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5C0859"/>
    <w:multiLevelType w:val="hybridMultilevel"/>
    <w:tmpl w:val="93A00EDC"/>
    <w:lvl w:ilvl="0" w:tplc="113EB5F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023B18"/>
    <w:multiLevelType w:val="hybridMultilevel"/>
    <w:tmpl w:val="9E0222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6507AAB"/>
    <w:multiLevelType w:val="hybridMultilevel"/>
    <w:tmpl w:val="6FBCE5B0"/>
    <w:lvl w:ilvl="0" w:tplc="45764D90">
      <w:start w:val="1"/>
      <w:numFmt w:val="decimal"/>
      <w:lvlText w:val="%1."/>
      <w:lvlJc w:val="left"/>
      <w:pPr>
        <w:ind w:left="720" w:hanging="360"/>
      </w:pPr>
    </w:lvl>
    <w:lvl w:ilvl="1" w:tplc="0D26CE84">
      <w:start w:val="1"/>
      <w:numFmt w:val="lowerLetter"/>
      <w:lvlText w:val="%2."/>
      <w:lvlJc w:val="left"/>
      <w:pPr>
        <w:ind w:left="1440" w:hanging="360"/>
      </w:pPr>
    </w:lvl>
    <w:lvl w:ilvl="2" w:tplc="5BB0C7A2">
      <w:start w:val="1"/>
      <w:numFmt w:val="lowerRoman"/>
      <w:lvlText w:val="%3."/>
      <w:lvlJc w:val="right"/>
      <w:pPr>
        <w:ind w:left="2160" w:hanging="180"/>
      </w:pPr>
    </w:lvl>
    <w:lvl w:ilvl="3" w:tplc="4ABEDB06">
      <w:start w:val="1"/>
      <w:numFmt w:val="decimal"/>
      <w:lvlText w:val="%4."/>
      <w:lvlJc w:val="left"/>
      <w:pPr>
        <w:ind w:left="2880" w:hanging="360"/>
      </w:pPr>
    </w:lvl>
    <w:lvl w:ilvl="4" w:tplc="2CC4A546">
      <w:start w:val="1"/>
      <w:numFmt w:val="lowerLetter"/>
      <w:lvlText w:val="%5."/>
      <w:lvlJc w:val="left"/>
      <w:pPr>
        <w:ind w:left="3600" w:hanging="360"/>
      </w:pPr>
    </w:lvl>
    <w:lvl w:ilvl="5" w:tplc="E8FA3C32">
      <w:start w:val="1"/>
      <w:numFmt w:val="lowerRoman"/>
      <w:lvlText w:val="%6."/>
      <w:lvlJc w:val="right"/>
      <w:pPr>
        <w:ind w:left="4320" w:hanging="180"/>
      </w:pPr>
    </w:lvl>
    <w:lvl w:ilvl="6" w:tplc="B528626A">
      <w:start w:val="1"/>
      <w:numFmt w:val="decimal"/>
      <w:lvlText w:val="%7."/>
      <w:lvlJc w:val="left"/>
      <w:pPr>
        <w:ind w:left="5040" w:hanging="360"/>
      </w:pPr>
    </w:lvl>
    <w:lvl w:ilvl="7" w:tplc="F9C0EDCA">
      <w:start w:val="1"/>
      <w:numFmt w:val="lowerLetter"/>
      <w:lvlText w:val="%8."/>
      <w:lvlJc w:val="left"/>
      <w:pPr>
        <w:ind w:left="5760" w:hanging="360"/>
      </w:pPr>
    </w:lvl>
    <w:lvl w:ilvl="8" w:tplc="FF0869F0">
      <w:start w:val="1"/>
      <w:numFmt w:val="lowerRoman"/>
      <w:lvlText w:val="%9."/>
      <w:lvlJc w:val="right"/>
      <w:pPr>
        <w:ind w:left="6480" w:hanging="180"/>
      </w:pPr>
    </w:lvl>
  </w:abstractNum>
  <w:abstractNum w:abstractNumId="6">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7">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E50E69"/>
    <w:multiLevelType w:val="hybridMultilevel"/>
    <w:tmpl w:val="C6B24984"/>
    <w:lvl w:ilvl="0" w:tplc="F51CFE4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06CFB"/>
    <w:multiLevelType w:val="hybridMultilevel"/>
    <w:tmpl w:val="3D0683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A9924AC"/>
    <w:multiLevelType w:val="multilevel"/>
    <w:tmpl w:val="38B6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C910AB2"/>
    <w:multiLevelType w:val="hybridMultilevel"/>
    <w:tmpl w:val="E52AF936"/>
    <w:lvl w:ilvl="0" w:tplc="A8681ED2">
      <w:start w:val="7"/>
      <w:numFmt w:val="bullet"/>
      <w:lvlText w:val=""/>
      <w:lvlJc w:val="left"/>
      <w:pPr>
        <w:ind w:left="720" w:hanging="360"/>
      </w:pPr>
      <w:rPr>
        <w:rFonts w:ascii="Wingdings" w:eastAsia="Times New Roman" w:hAnsi="Wingdings"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986AB5"/>
    <w:multiLevelType w:val="multilevel"/>
    <w:tmpl w:val="FB2C8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9"/>
  </w:num>
  <w:num w:numId="6">
    <w:abstractNumId w:val="11"/>
  </w:num>
  <w:num w:numId="7">
    <w:abstractNumId w:val="3"/>
  </w:num>
  <w:num w:numId="8">
    <w:abstractNumId w:val="1"/>
  </w:num>
  <w:num w:numId="9">
    <w:abstractNumId w:val="13"/>
  </w:num>
  <w:num w:numId="10">
    <w:abstractNumId w:val="8"/>
  </w:num>
  <w:num w:numId="11">
    <w:abstractNumId w:val="0"/>
  </w:num>
  <w:num w:numId="12">
    <w:abstractNumId w:val="12"/>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isatud dokumendile:"/>
    <w:docVar w:name="LW_CORRIGENDUM" w:val="&lt;UNUSED&gt;"/>
    <w:docVar w:name="LW_COVERPAGE_EXISTS" w:val="True"/>
    <w:docVar w:name="LW_COVERPAGE_GUID" w:val="F4BB8ECB-01AA-4C0D-B1AD-7F3F0C5530DB"/>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5 final} - {SWD(2021) 726 final} - {SWD(2021) 727 final}"/>
    <w:docVar w:name="LW_DocType" w:val="NORMAL"/>
    <w:docVar w:name="LW_EMISSION" w:val="20.7.2021"/>
    <w:docVar w:name="LW_EMISSION_ISODATE" w:val="2021-07-20"/>
    <w:docVar w:name="LW_EMISSION_LOCATION" w:val="BRX"/>
    <w:docVar w:name="LW_EMISSION_PREFIX" w:val="Brüssel,"/>
    <w:docVar w:name="LW_EMISSION_SUFFIX" w:val=" "/>
    <w:docVar w:name="LW_ID_DOCTYPE_NONLW" w:val="CP-025"/>
    <w:docVar w:name="LW_LANGUE" w:val="ET"/>
    <w:docVar w:name="LW_LEVEL_OF_SENSITIVITY" w:val="Standard treatment"/>
    <w:docVar w:name="LW_NOM.INST" w:val="EUROOPA KOMISJON"/>
    <w:docVar w:name="LW_NOM.INST_JOINTDOC" w:val="&lt;EMPTY&gt;"/>
    <w:docVar w:name="LW_OBJETACTEPRINCIPAL.CP" w:val="2021. aasta aruanne õigusriigi kohta_x000d__x000d__x000d__x000d__x000b_Õigusriigi olukord Euroopa Liidus"/>
    <w:docVar w:name="LW_PART_NBR" w:val="1"/>
    <w:docVar w:name="LW_PART_NBR_TOTAL" w:val="1"/>
    <w:docVar w:name="LW_REF.INST.NEW" w:val="SWD"/>
    <w:docVar w:name="LW_REF.INST.NEW_ADOPTED" w:val="final"/>
    <w:docVar w:name="LW_REF.INST.NEW_TEXT" w:val="(2021)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aasta aruanne õigusriigi kohta_x000d__x000d__x000d__x000d__x000b__x000d__x000d__x000d__x000d__x000d__x000d_Peatükk õigusriigi olukorra kohta Rumeenias"/>
    <w:docVar w:name="LW_TYPE.DOC.CP" w:val="KOMISJONI TALITUSTE TÖÖDOKUMENT"/>
    <w:docVar w:name="LW_TYPEACTEPRINCIPAL.CP" w:val="EUROOPA KOMISJONI TEATIS EUROOPA PARLAMENDILE, NÕUKOGULE, EUROOPA MAJANDUS- JA SOTSIAALKOMITEELE NING REGIOONIDE KOMITEEL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t-E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t-E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t-EE"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t-E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981">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320080095">
      <w:bodyDiv w:val="1"/>
      <w:marLeft w:val="0"/>
      <w:marRight w:val="0"/>
      <w:marTop w:val="0"/>
      <w:marBottom w:val="0"/>
      <w:divBdr>
        <w:top w:val="none" w:sz="0" w:space="0" w:color="auto"/>
        <w:left w:val="none" w:sz="0" w:space="0" w:color="auto"/>
        <w:bottom w:val="none" w:sz="0" w:space="0" w:color="auto"/>
        <w:right w:val="none" w:sz="0" w:space="0" w:color="auto"/>
      </w:divBdr>
    </w:div>
    <w:div w:id="362830946">
      <w:bodyDiv w:val="1"/>
      <w:marLeft w:val="0"/>
      <w:marRight w:val="0"/>
      <w:marTop w:val="0"/>
      <w:marBottom w:val="0"/>
      <w:divBdr>
        <w:top w:val="none" w:sz="0" w:space="0" w:color="auto"/>
        <w:left w:val="none" w:sz="0" w:space="0" w:color="auto"/>
        <w:bottom w:val="none" w:sz="0" w:space="0" w:color="auto"/>
        <w:right w:val="none" w:sz="0" w:space="0" w:color="auto"/>
      </w:divBdr>
    </w:div>
    <w:div w:id="405030362">
      <w:bodyDiv w:val="1"/>
      <w:marLeft w:val="0"/>
      <w:marRight w:val="0"/>
      <w:marTop w:val="0"/>
      <w:marBottom w:val="0"/>
      <w:divBdr>
        <w:top w:val="none" w:sz="0" w:space="0" w:color="auto"/>
        <w:left w:val="none" w:sz="0" w:space="0" w:color="auto"/>
        <w:bottom w:val="none" w:sz="0" w:space="0" w:color="auto"/>
        <w:right w:val="none" w:sz="0" w:space="0" w:color="auto"/>
      </w:divBdr>
    </w:div>
    <w:div w:id="496001915">
      <w:bodyDiv w:val="1"/>
      <w:marLeft w:val="0"/>
      <w:marRight w:val="0"/>
      <w:marTop w:val="0"/>
      <w:marBottom w:val="0"/>
      <w:divBdr>
        <w:top w:val="none" w:sz="0" w:space="0" w:color="auto"/>
        <w:left w:val="none" w:sz="0" w:space="0" w:color="auto"/>
        <w:bottom w:val="none" w:sz="0" w:space="0" w:color="auto"/>
        <w:right w:val="none" w:sz="0" w:space="0" w:color="auto"/>
      </w:divBdr>
    </w:div>
    <w:div w:id="567620488">
      <w:bodyDiv w:val="1"/>
      <w:marLeft w:val="0"/>
      <w:marRight w:val="0"/>
      <w:marTop w:val="0"/>
      <w:marBottom w:val="0"/>
      <w:divBdr>
        <w:top w:val="none" w:sz="0" w:space="0" w:color="auto"/>
        <w:left w:val="none" w:sz="0" w:space="0" w:color="auto"/>
        <w:bottom w:val="none" w:sz="0" w:space="0" w:color="auto"/>
        <w:right w:val="none" w:sz="0" w:space="0" w:color="auto"/>
      </w:divBdr>
    </w:div>
    <w:div w:id="601498009">
      <w:bodyDiv w:val="1"/>
      <w:marLeft w:val="0"/>
      <w:marRight w:val="0"/>
      <w:marTop w:val="0"/>
      <w:marBottom w:val="0"/>
      <w:divBdr>
        <w:top w:val="none" w:sz="0" w:space="0" w:color="auto"/>
        <w:left w:val="none" w:sz="0" w:space="0" w:color="auto"/>
        <w:bottom w:val="none" w:sz="0" w:space="0" w:color="auto"/>
        <w:right w:val="none" w:sz="0" w:space="0" w:color="auto"/>
      </w:divBdr>
    </w:div>
    <w:div w:id="736977242">
      <w:bodyDiv w:val="1"/>
      <w:marLeft w:val="0"/>
      <w:marRight w:val="0"/>
      <w:marTop w:val="0"/>
      <w:marBottom w:val="0"/>
      <w:divBdr>
        <w:top w:val="none" w:sz="0" w:space="0" w:color="auto"/>
        <w:left w:val="none" w:sz="0" w:space="0" w:color="auto"/>
        <w:bottom w:val="none" w:sz="0" w:space="0" w:color="auto"/>
        <w:right w:val="none" w:sz="0" w:space="0" w:color="auto"/>
      </w:divBdr>
    </w:div>
    <w:div w:id="757797948">
      <w:bodyDiv w:val="1"/>
      <w:marLeft w:val="0"/>
      <w:marRight w:val="0"/>
      <w:marTop w:val="0"/>
      <w:marBottom w:val="0"/>
      <w:divBdr>
        <w:top w:val="none" w:sz="0" w:space="0" w:color="auto"/>
        <w:left w:val="none" w:sz="0" w:space="0" w:color="auto"/>
        <w:bottom w:val="none" w:sz="0" w:space="0" w:color="auto"/>
        <w:right w:val="none" w:sz="0" w:space="0" w:color="auto"/>
      </w:divBdr>
    </w:div>
    <w:div w:id="818303248">
      <w:bodyDiv w:val="1"/>
      <w:marLeft w:val="0"/>
      <w:marRight w:val="0"/>
      <w:marTop w:val="0"/>
      <w:marBottom w:val="0"/>
      <w:divBdr>
        <w:top w:val="none" w:sz="0" w:space="0" w:color="auto"/>
        <w:left w:val="none" w:sz="0" w:space="0" w:color="auto"/>
        <w:bottom w:val="none" w:sz="0" w:space="0" w:color="auto"/>
        <w:right w:val="none" w:sz="0" w:space="0" w:color="auto"/>
      </w:divBdr>
    </w:div>
    <w:div w:id="887760360">
      <w:bodyDiv w:val="1"/>
      <w:marLeft w:val="0"/>
      <w:marRight w:val="0"/>
      <w:marTop w:val="0"/>
      <w:marBottom w:val="0"/>
      <w:divBdr>
        <w:top w:val="none" w:sz="0" w:space="0" w:color="auto"/>
        <w:left w:val="none" w:sz="0" w:space="0" w:color="auto"/>
        <w:bottom w:val="none" w:sz="0" w:space="0" w:color="auto"/>
        <w:right w:val="none" w:sz="0" w:space="0" w:color="auto"/>
      </w:divBdr>
    </w:div>
    <w:div w:id="985090978">
      <w:bodyDiv w:val="1"/>
      <w:marLeft w:val="0"/>
      <w:marRight w:val="0"/>
      <w:marTop w:val="0"/>
      <w:marBottom w:val="0"/>
      <w:divBdr>
        <w:top w:val="none" w:sz="0" w:space="0" w:color="auto"/>
        <w:left w:val="none" w:sz="0" w:space="0" w:color="auto"/>
        <w:bottom w:val="none" w:sz="0" w:space="0" w:color="auto"/>
        <w:right w:val="none" w:sz="0" w:space="0" w:color="auto"/>
      </w:divBdr>
    </w:div>
    <w:div w:id="1020082724">
      <w:bodyDiv w:val="1"/>
      <w:marLeft w:val="0"/>
      <w:marRight w:val="0"/>
      <w:marTop w:val="0"/>
      <w:marBottom w:val="0"/>
      <w:divBdr>
        <w:top w:val="none" w:sz="0" w:space="0" w:color="auto"/>
        <w:left w:val="none" w:sz="0" w:space="0" w:color="auto"/>
        <w:bottom w:val="none" w:sz="0" w:space="0" w:color="auto"/>
        <w:right w:val="none" w:sz="0" w:space="0" w:color="auto"/>
      </w:divBdr>
    </w:div>
    <w:div w:id="1043944403">
      <w:bodyDiv w:val="1"/>
      <w:marLeft w:val="0"/>
      <w:marRight w:val="0"/>
      <w:marTop w:val="0"/>
      <w:marBottom w:val="0"/>
      <w:divBdr>
        <w:top w:val="none" w:sz="0" w:space="0" w:color="auto"/>
        <w:left w:val="none" w:sz="0" w:space="0" w:color="auto"/>
        <w:bottom w:val="none" w:sz="0" w:space="0" w:color="auto"/>
        <w:right w:val="none" w:sz="0" w:space="0" w:color="auto"/>
      </w:divBdr>
    </w:div>
    <w:div w:id="1114400171">
      <w:bodyDiv w:val="1"/>
      <w:marLeft w:val="0"/>
      <w:marRight w:val="0"/>
      <w:marTop w:val="0"/>
      <w:marBottom w:val="0"/>
      <w:divBdr>
        <w:top w:val="none" w:sz="0" w:space="0" w:color="auto"/>
        <w:left w:val="none" w:sz="0" w:space="0" w:color="auto"/>
        <w:bottom w:val="none" w:sz="0" w:space="0" w:color="auto"/>
        <w:right w:val="none" w:sz="0" w:space="0" w:color="auto"/>
      </w:divBdr>
    </w:div>
    <w:div w:id="1222986735">
      <w:bodyDiv w:val="1"/>
      <w:marLeft w:val="0"/>
      <w:marRight w:val="0"/>
      <w:marTop w:val="0"/>
      <w:marBottom w:val="0"/>
      <w:divBdr>
        <w:top w:val="none" w:sz="0" w:space="0" w:color="auto"/>
        <w:left w:val="none" w:sz="0" w:space="0" w:color="auto"/>
        <w:bottom w:val="none" w:sz="0" w:space="0" w:color="auto"/>
        <w:right w:val="none" w:sz="0" w:space="0" w:color="auto"/>
      </w:divBdr>
    </w:div>
    <w:div w:id="1292983523">
      <w:bodyDiv w:val="1"/>
      <w:marLeft w:val="0"/>
      <w:marRight w:val="0"/>
      <w:marTop w:val="0"/>
      <w:marBottom w:val="0"/>
      <w:divBdr>
        <w:top w:val="none" w:sz="0" w:space="0" w:color="auto"/>
        <w:left w:val="none" w:sz="0" w:space="0" w:color="auto"/>
        <w:bottom w:val="none" w:sz="0" w:space="0" w:color="auto"/>
        <w:right w:val="none" w:sz="0" w:space="0" w:color="auto"/>
      </w:divBdr>
    </w:div>
    <w:div w:id="1329596984">
      <w:bodyDiv w:val="1"/>
      <w:marLeft w:val="0"/>
      <w:marRight w:val="0"/>
      <w:marTop w:val="0"/>
      <w:marBottom w:val="0"/>
      <w:divBdr>
        <w:top w:val="none" w:sz="0" w:space="0" w:color="auto"/>
        <w:left w:val="none" w:sz="0" w:space="0" w:color="auto"/>
        <w:bottom w:val="none" w:sz="0" w:space="0" w:color="auto"/>
        <w:right w:val="none" w:sz="0" w:space="0" w:color="auto"/>
      </w:divBdr>
    </w:div>
    <w:div w:id="1391462974">
      <w:bodyDiv w:val="1"/>
      <w:marLeft w:val="0"/>
      <w:marRight w:val="0"/>
      <w:marTop w:val="0"/>
      <w:marBottom w:val="0"/>
      <w:divBdr>
        <w:top w:val="none" w:sz="0" w:space="0" w:color="auto"/>
        <w:left w:val="none" w:sz="0" w:space="0" w:color="auto"/>
        <w:bottom w:val="none" w:sz="0" w:space="0" w:color="auto"/>
        <w:right w:val="none" w:sz="0" w:space="0" w:color="auto"/>
      </w:divBdr>
    </w:div>
    <w:div w:id="1404719952">
      <w:bodyDiv w:val="1"/>
      <w:marLeft w:val="0"/>
      <w:marRight w:val="0"/>
      <w:marTop w:val="0"/>
      <w:marBottom w:val="0"/>
      <w:divBdr>
        <w:top w:val="none" w:sz="0" w:space="0" w:color="auto"/>
        <w:left w:val="none" w:sz="0" w:space="0" w:color="auto"/>
        <w:bottom w:val="none" w:sz="0" w:space="0" w:color="auto"/>
        <w:right w:val="none" w:sz="0" w:space="0" w:color="auto"/>
      </w:divBdr>
    </w:div>
    <w:div w:id="1555385469">
      <w:bodyDiv w:val="1"/>
      <w:marLeft w:val="0"/>
      <w:marRight w:val="0"/>
      <w:marTop w:val="0"/>
      <w:marBottom w:val="0"/>
      <w:divBdr>
        <w:top w:val="none" w:sz="0" w:space="0" w:color="auto"/>
        <w:left w:val="none" w:sz="0" w:space="0" w:color="auto"/>
        <w:bottom w:val="none" w:sz="0" w:space="0" w:color="auto"/>
        <w:right w:val="none" w:sz="0" w:space="0" w:color="auto"/>
      </w:divBdr>
    </w:div>
    <w:div w:id="1560559007">
      <w:bodyDiv w:val="1"/>
      <w:marLeft w:val="0"/>
      <w:marRight w:val="0"/>
      <w:marTop w:val="0"/>
      <w:marBottom w:val="0"/>
      <w:divBdr>
        <w:top w:val="none" w:sz="0" w:space="0" w:color="auto"/>
        <w:left w:val="none" w:sz="0" w:space="0" w:color="auto"/>
        <w:bottom w:val="none" w:sz="0" w:space="0" w:color="auto"/>
        <w:right w:val="none" w:sz="0" w:space="0" w:color="auto"/>
      </w:divBdr>
    </w:div>
    <w:div w:id="1624800666">
      <w:bodyDiv w:val="1"/>
      <w:marLeft w:val="0"/>
      <w:marRight w:val="0"/>
      <w:marTop w:val="0"/>
      <w:marBottom w:val="0"/>
      <w:divBdr>
        <w:top w:val="none" w:sz="0" w:space="0" w:color="auto"/>
        <w:left w:val="none" w:sz="0" w:space="0" w:color="auto"/>
        <w:bottom w:val="none" w:sz="0" w:space="0" w:color="auto"/>
        <w:right w:val="none" w:sz="0" w:space="0" w:color="auto"/>
      </w:divBdr>
    </w:div>
    <w:div w:id="1687051791">
      <w:bodyDiv w:val="1"/>
      <w:marLeft w:val="0"/>
      <w:marRight w:val="0"/>
      <w:marTop w:val="0"/>
      <w:marBottom w:val="0"/>
      <w:divBdr>
        <w:top w:val="none" w:sz="0" w:space="0" w:color="auto"/>
        <w:left w:val="none" w:sz="0" w:space="0" w:color="auto"/>
        <w:bottom w:val="none" w:sz="0" w:space="0" w:color="auto"/>
        <w:right w:val="none" w:sz="0" w:space="0" w:color="auto"/>
      </w:divBdr>
    </w:div>
    <w:div w:id="2064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gi-network.org/docs/2020/country/SGI2020_Romania.pdf" TargetMode="External"/><Relationship Id="rId26" Type="http://schemas.openxmlformats.org/officeDocument/2006/relationships/hyperlink" Target="https://rsf.org/en/rom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e.int/en/web/media-freedom/romania" TargetMode="External"/><Relationship Id="rId34" Type="http://schemas.openxmlformats.org/officeDocument/2006/relationships/header" Target="header5.xml"/><Relationship Id="R5dd1a75ecc5742a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gerpres.ro/justitie/2021/05/20/jurnalistul-catalin-tolontan-audiat-la-diicot-in-urma-unei-plangeri-depuse-de-primarul-sectorului-4--716788" TargetMode="External"/><Relationship Id="rId25" Type="http://schemas.openxmlformats.org/officeDocument/2006/relationships/hyperlink" Target="https://rsf.org/en/news/romania-open-letter-rsf-and-activewatch-denounce-judicial-pressures-investigative-journalists"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ec.europa.eu/social/main.jsp?catId=738&amp;langId=en&amp;pubId=8123&amp;furtherPubs=yes" TargetMode="External"/><Relationship Id="rId29" Type="http://schemas.openxmlformats.org/officeDocument/2006/relationships/hyperlink" Target="https://www.ccr.ro/comunicat-de-presa-7-aprilie-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liberties.eu/en/stories/rule-of-law-report-2021-democracy-demanding-on-democracy/43362" TargetMode="External"/><Relationship Id="rId32" Type="http://schemas.openxmlformats.org/officeDocument/2006/relationships/hyperlink" Target="http://sgg.gov.ro/1/conferinta-de-deschidere-a-proiectului-strategia-pentru-managementul-comunicarii-guvernamentale-a-romaniei-cod-sipoca-754/"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libertatea.ro/stiri/in-procesul-civil-judecatoria-sectorului-2-a-dat-dreptate-primarului-baluta-si-a-decis-si-stergerea-articolelor-despre-goleac-3566580" TargetMode="External"/><Relationship Id="rId28" Type="http://schemas.openxmlformats.org/officeDocument/2006/relationships/hyperlink" Target="http://www.pna.ro/obiect2.jsp?id=489"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mappingmediafreedom.org/2020/10/30/reportit-when-state-funding-discredits-the-press-the-romanian-media-is-facing-a-financial-and-moral-dilemma/" TargetMode="External"/><Relationship Id="rId31" Type="http://schemas.openxmlformats.org/officeDocument/2006/relationships/hyperlink" Target="http://sgg.gov.ro/1/wp-content/uploads/2021/02/19022021-SGG-Raportul-de-evaluare-a-implementarii-Legii-nr.-52_2003-in-anul-2020-.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mappingmediafreedom.org/2020/10/30/reportit-when-state-funding-discredits-the-press-the-romanian-media-is-facing-a-financial-and-moral-dilemma/" TargetMode="External"/><Relationship Id="rId27" Type="http://schemas.openxmlformats.org/officeDocument/2006/relationships/hyperlink" Target="https://www.integritate.eu/Comunicate.aspx?Action=1&amp;NewsId=3005&amp;currentPage=4&amp;M=NewsV2&amp;PID=20" TargetMode="External"/><Relationship Id="rId30" Type="http://schemas.openxmlformats.org/officeDocument/2006/relationships/hyperlink" Target="https://cji.ro/wp-content/uploads/2020/09/Freedom-of-expression-report_final.pdf" TargetMode="External"/><Relationship Id="rId35" Type="http://schemas.openxmlformats.org/officeDocument/2006/relationships/footer" Target="footer4.xml"/><Relationship Id="R893152f621d4416a"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sgg.gov.ro/new/06-07-2020-anunt/" TargetMode="External"/><Relationship Id="rId1" Type="http://schemas.openxmlformats.org/officeDocument/2006/relationships/hyperlink" Target="http://old.csm1909.ro/csm/index.php?cmd=0301&amp;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F32F-B6B9-462E-A597-E2AEB1E4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7696</Words>
  <Characters>61112</Characters>
  <Application>Microsoft Office Word</Application>
  <DocSecurity>0</DocSecurity>
  <Lines>873</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2021-07-18T10:23:00Z</dcterms:created>
  <dcterms:modified xsi:type="dcterms:W3CDTF">2021-09-15T10:56:00Z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