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7C6EB3E-0C55-40CB-8F1C-BDF24B7C8191" style="width:455.65pt;height:559.1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Tiivistelmä</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Merkittävät toimet Slovakian oikeuslaitoksen riippumattomuuden, lahjomattomuuden, laadun ja tehokkuuden parantamiseksi ovat jatkuneet, kuten jo vuoden 2020 oikeusvaltiokertomuksessa todetaan. Parlamentti hyväksyi joulukuussa 2020 laajan oikeuslaitosta, erityisesti perustuslakituomioistuinta ja tuomarineuvostoa, koskevan perustuslain uudistuksen ja täytäntöönpanolainsäädännön. Viranomaiset ovat myös tehostaneet toimia oikeuslaitoksen korruption torjumiseksi. Parhaillaan valmistellaan oikeuslaitosrakenteen uudistamista, johon Euroopan neuvosto osallistuu ja joka on saanut useita kommentteja sidosryhmiltä. Ylimmäksi hallintotuomioistuimeksi on perustettu korkein hallinto-oikeus. Uusi valtakunnansyyttäjä ja erityissyyttäjä valittiin uuden avoimen menettelyn mukaisesti. Nämä uudistukset heijastavat pyrkimyksiä parantaa oikeuslaitosta, ja on tärkeää, että niiden täytäntöönpanossa otetaan huomioon asiaankuuluvat eurooppalaiset normit oikeuslaitoksen riippumattomuuden turvaamiseksi. Tämä on tärkeää myös siksi, että vaikka käsitys oikeuslaitoksen riippumattomuudesta onkin parantunut yritysten keskuudessa, se on edelleen hyvin alhainen suuren yleisön keskuudessa.</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Slovakian pyrkimykset korruption tukahduttamiseksi ovat lisääntyneet huomattavasti, ja ne ovat osoittaneet, että useita korkean tason korruptiotapauksia tutkitaan ja niistä nostetaan syyte. Lisäksi valittiin ja nimitettiin johtavia virkamiehiä, muun muassa uuden väärinkäytösten paljastajien suojeluviraston johtaja, joka aloittaa tehtävässään 1 päivänä syyskuuta 2021. Korruptiorikosten havaitsemis- ja tutkintavalmiuksia voidaan edelleen vahvistaa investoimalla erikoistumiseen, analyyttiseen asiantuntemukseen ja lahjomattomuutta koskeviin koulutuksiin kansallisessa rikostorjuntavirastossa. Korruption torjunnassa on edistytty hitaasti. Monet yritykset säännellä lobbausta ovat tähän mennessä epäonnistuneet. Lobbausta, pyöröovi-ilmiötä, varallisuusilmoituksia, parlamentin jäsenten eturistiriitoja ja julkisten hankintojen tekemistä koskevia lainsäädäntöehdotuksia kuitenkin suunnitellaan tai ne ovat jo alkuvaiheessa.</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Slovakian perustuslaki ja johdettu oikeus muodostavat oikeudellisen kehyksen sananvapauden suojelulle, oikeudelle saada julkista tietoa sekä tiedotusvälineiden moniarvoisuudelle ja lehdistön oikeuksille. Keskusteltavana olevan ja syyskuussa 2021 hyväksyttäväksi suunnitellun lakiehdotuksen odotetaan antavan puitteet tiedotusvälineiden omistajuuden avoimuuden varmistamiseksi. Hallituksen suunnitelmia ehdottaa lainsäädäntöä, jolla pyritään varmistamaan suotuisampi ympäristö journalisteille, on lykätty. Valtion mainonnan jakaminen on edelleen sääntelemätöntä. Vuonna 2018 annettiin useita tuomioita tutkivan toimittajan Ján Kuciakin ja hänen kihlattunsa murhaan osallistuneille henkilöille. Korkein oikeus kumosi murhan väitettyjen toimeenpanijoiden vapauttamisen, mikä palautti asian erityisrikostuomioistuimeen. Yksi tuomio vahvistettiin. Mitään uutismedian tukiohjelmaa ei otettu käyttöön covid-19-pandemian vaikutusten torjumiseksi.</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Lainsäädäntöprosessia on edelleen tarpeen parantaa hallitusjärjestelmän osien keskinäisen valvonnan osalta lisäämällä sidosryhmien ja kansalaisyhteiskunnan osallistumista, kuten todettiin jo vuoden 2020 oikeusvaltiokertomuksessa. Joulukuun 2020 perustuslakiuudistuksessa suljetaan nimenomaisesti pois perustuslakituomioistuimen toimivalta valvoa perustuslaillisia lakeja. Perustuslakituomioistuin on sen vuoksi tarkistanut tätä säännöstä. Covid-19-pandemiaan liittyvä poikkeustila kesti suurimman osan vuodesta 2020 ja päättyi toukokuussa 2021. Lainsäädäntöä oli muutettu joulukuussa 2020 poikkeustilan pidentämiseksi. Oikeusasiamies ja kansallinen ihmisoikeuskeskus ottivat </w:t>
      </w:r>
      <w:r>
        <w:rPr>
          <w:noProof/>
        </w:rPr>
        <w:lastRenderedPageBreak/>
        <w:t>aktiivisen roolin perusoikeuksien puolustamisessa pandemian aikana. Huoli joidenkin kansalaisjärjestöjen rahoituksesta kasvaa, erityisesti liittyen rajoituksiin, jotka kohdistuvat sukupuolten tasa-arvon alalla toimiviin kansalaisjärjestöihin.</w:t>
      </w:r>
      <w:r>
        <w:rPr>
          <w:noProof/>
        </w:rPr>
        <w:br w:type="page"/>
      </w:r>
    </w:p>
    <w:p>
      <w:pPr>
        <w:pStyle w:val="Heading1"/>
        <w:rPr>
          <w:noProof/>
        </w:rPr>
      </w:pPr>
      <w:r>
        <w:rPr>
          <w:noProof/>
        </w:rPr>
        <w:t xml:space="preserve">Oikeuslaitos </w:t>
      </w:r>
    </w:p>
    <w:p>
      <w:pPr>
        <w:rPr>
          <w:rFonts w:eastAsia="Times New Roman" w:cs="Times New Roman"/>
          <w:noProof/>
          <w:szCs w:val="20"/>
        </w:rPr>
      </w:pPr>
      <w:r>
        <w:rPr>
          <w:noProof/>
        </w:rPr>
        <w:t>Slovakian tuomioistuinjärjestelmä koostuu 54 piirituomioistuimesta, kahdeksasta alueellisesta tuomioistuimesta, erityisrikostuomioistuimesta, korkeimmasta oikeudesta, korkeimmasta hallinto-oikeudesta ja perustuslakituomioistuimesta</w:t>
      </w:r>
      <w:r>
        <w:rPr>
          <w:rFonts w:eastAsia="Times New Roman" w:cs="Times New Roman"/>
          <w:noProof/>
          <w:vertAlign w:val="superscript"/>
          <w:lang w:eastAsia="fr-FR"/>
        </w:rPr>
        <w:footnoteReference w:id="2"/>
      </w:r>
      <w:r>
        <w:rPr>
          <w:noProof/>
        </w:rPr>
        <w:t>. Alueelliset tuomioistuimet toimivat muutoksenhakutuomioistuimina siviili-, kauppa- ja rikosoikeudellisissa asioissa ja samalla ensimmäisen oikeusasteen tuomioistuimina hallinnollisissa asioissa. Erityisrikostuomioistuimella on toimivalta ratkaista vakavia rikosasioita, jotka luetellaan rikosprosessilaissa</w:t>
      </w:r>
      <w:r>
        <w:rPr>
          <w:rFonts w:eastAsia="Times New Roman" w:cs="Times New Roman"/>
          <w:noProof/>
          <w:vertAlign w:val="superscript"/>
          <w:lang w:eastAsia="fr-FR"/>
        </w:rPr>
        <w:footnoteReference w:id="3"/>
      </w:r>
      <w:r>
        <w:rPr>
          <w:noProof/>
        </w:rPr>
        <w:t>. Tuomarineuvostolla on keskeinen rooli oikeuslaitoksen itsehallinnossa, tuomareiden nimittämisessä, virantoimituksesta pidättämisessä ja erottamisessa sekä oikeusetiikan ylläpitämisessä. Puolet sen jäsenistä (9 jäsentä 18:sta) on kollegoidensa valitsemia tuomareita. Muut tuomarineuvoston jäsenet nimittää Slovakian presidentti, parlamentti ja hallitus</w:t>
      </w:r>
      <w:r>
        <w:rPr>
          <w:rFonts w:eastAsia="Times New Roman" w:cs="Times New Roman"/>
          <w:noProof/>
          <w:vertAlign w:val="superscript"/>
          <w:lang w:eastAsia="fr-FR"/>
        </w:rPr>
        <w:footnoteReference w:id="4"/>
      </w:r>
      <w:r>
        <w:rPr>
          <w:noProof/>
        </w:rPr>
        <w:t>. Slovakian syyttäjälaitos on riippumaton valtion viranomainen, jota johtaa valtakunnansyyttäjä</w:t>
      </w:r>
      <w:r>
        <w:rPr>
          <w:rFonts w:eastAsia="Times New Roman" w:cs="Times New Roman"/>
          <w:noProof/>
          <w:vertAlign w:val="superscript"/>
          <w:lang w:eastAsia="fr-FR"/>
        </w:rPr>
        <w:footnoteReference w:id="5"/>
      </w:r>
      <w:r>
        <w:rPr>
          <w:noProof/>
        </w:rPr>
        <w:t>.</w:t>
      </w:r>
      <w:r>
        <w:rPr>
          <w:i/>
          <w:iCs/>
          <w:noProof/>
        </w:rPr>
        <w:t xml:space="preserve"> </w:t>
      </w:r>
      <w:r>
        <w:rPr>
          <w:noProof/>
        </w:rPr>
        <w:t>Slovakia osallistuu Euroopan syyttäjänviraston toimintaan. Slovakian asianajajaliitto on riippumaton itsehallinnollinen ammattialajärjestö</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Riippumattomuus </w:t>
      </w:r>
    </w:p>
    <w:p>
      <w:pPr>
        <w:rPr>
          <w:rFonts w:eastAsia="Times New Roman" w:cs="Times New Roman"/>
          <w:noProof/>
          <w:szCs w:val="20"/>
        </w:rPr>
      </w:pPr>
      <w:r>
        <w:rPr>
          <w:b/>
          <w:bCs/>
          <w:noProof/>
        </w:rPr>
        <w:t xml:space="preserve">Käsitys oikeuslaitoksen riippumattomuuden tasosta on parantunut yritysten keskuudessa, mutta se on edelleen alhainen ja hyvin alhainen suuren yleisön keskuudessa. </w:t>
      </w:r>
      <w:r>
        <w:rPr>
          <w:noProof/>
        </w:rPr>
        <w:t>30 prosenttia yrityksistä pitää oikeuslaitoksen riippumattomuutta "melko tai erittäin hyvänä", mikä on huomattava parannus vuoteen 2020 verrattuna (15 prosenttia)</w:t>
      </w:r>
      <w:r>
        <w:rPr>
          <w:rStyle w:val="FootnoteReference"/>
          <w:rFonts w:eastAsia="Times New Roman" w:cs="Times New Roman"/>
          <w:noProof/>
          <w:lang w:eastAsia="fr-FR"/>
        </w:rPr>
        <w:footnoteReference w:id="7"/>
      </w:r>
      <w:r>
        <w:rPr>
          <w:noProof/>
        </w:rPr>
        <w:t>. Sitä vastoin kansalaisten käsitys tuomioistuinten ja tuomarien riippumattomuudesta ei ole parantunut, sillä 28 prosenttia pitää oikeuslaitoksen riippumattomuutta ”melko tai erittäin hyvänä” ja 65 prosenttia ”melko tai hyvin huonona”</w:t>
      </w:r>
      <w:r>
        <w:rPr>
          <w:rStyle w:val="FootnoteReference"/>
          <w:rFonts w:eastAsia="Times New Roman" w:cs="Times New Roman"/>
          <w:noProof/>
          <w:lang w:eastAsia="fr-FR"/>
        </w:rPr>
        <w:footnoteReference w:id="8"/>
      </w:r>
      <w:r>
        <w:rPr>
          <w:noProof/>
        </w:rPr>
        <w:t xml:space="preserve"> pitkän aikavälin suuntauksen mukaisesti, joka on jo mainittu oikeusvaltiota koskevassa vuosikertomuksessa 2020</w:t>
      </w:r>
      <w:r>
        <w:rPr>
          <w:rStyle w:val="FootnoteReference"/>
          <w:rFonts w:eastAsia="Times New Roman" w:cs="Times New Roman"/>
          <w:noProof/>
          <w:lang w:eastAsia="fr-FR"/>
        </w:rPr>
        <w:footnoteReference w:id="9"/>
      </w:r>
      <w:r>
        <w:rPr>
          <w:noProof/>
        </w:rPr>
        <w:t>. Yleisimmät syyt käsitykseen riippumattomuuden puutteesta liittyvät lähes yhtä lailla siihen, että hallitus ja poliitikot yrittävät vaikuttaa oikeuslaitoksen toimintaan tai painostavat sitä kuin siihen, että vaikuttamisyritys tai painostus aiheutuu taloudellisista tai muista erityisistä intressiryhmistä</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Viranomaiset ovat ryhtyneet toimiin puuttuakseen syytöksiin korruptiosta ja virka-aseman väärinkäytöstä oikeuslaitoksessa. </w:t>
      </w:r>
      <w:r>
        <w:rPr>
          <w:noProof/>
        </w:rPr>
        <w:t>Oikeusvaltiota koskevassa vuosikertomuksessa 2020</w:t>
      </w:r>
      <w:r>
        <w:rPr>
          <w:rStyle w:val="FootnoteReference"/>
          <w:noProof/>
        </w:rPr>
        <w:footnoteReference w:id="11"/>
      </w:r>
      <w:r>
        <w:rPr>
          <w:noProof/>
        </w:rPr>
        <w:t xml:space="preserve"> mainittujen korkean profiilin poliisioperaatioiden jälkeen käynnistettiin lisäoperaatioita. Tällä hetkellä 20 tuomaria</w:t>
      </w:r>
      <w:r>
        <w:rPr>
          <w:rStyle w:val="FootnoteReference"/>
          <w:rFonts w:cs="Times New Roman"/>
          <w:noProof/>
        </w:rPr>
        <w:footnoteReference w:id="12"/>
      </w:r>
      <w:r>
        <w:rPr>
          <w:noProof/>
        </w:rPr>
        <w:t xml:space="preserve"> ja muuta oikeuden ja lainvalvonnan edustajaa</w:t>
      </w:r>
      <w:r>
        <w:rPr>
          <w:rStyle w:val="FootnoteReference"/>
          <w:rFonts w:cs="Times New Roman"/>
          <w:noProof/>
        </w:rPr>
        <w:footnoteReference w:id="13"/>
      </w:r>
      <w:r>
        <w:rPr>
          <w:noProof/>
        </w:rPr>
        <w:t xml:space="preserve"> joutuvat rikosoikeudellisiin menettelyihin, jotka liittyvät vakaviin korruptioon ja virka-aseman väärinkäyttöön liittyviin väitteisiin, viranomaisten pyrkiessä entistä tehokkaammin vähentämään oikeuslaitoksen korruptiota. Yksi tuomari on tuomittu. Syytteen nostamisen ja ajamisen seurauksena useat tuomarit erosivat virastaan tai heidän tehtävänsä keskeytettiin väliaikaisesti</w:t>
      </w:r>
      <w:r>
        <w:rPr>
          <w:rStyle w:val="FootnoteReference"/>
          <w:rFonts w:cs="Times New Roman"/>
          <w:noProof/>
        </w:rPr>
        <w:footnoteReference w:id="14"/>
      </w:r>
      <w:r>
        <w:rPr>
          <w:noProof/>
        </w:rPr>
        <w:t>. EU-ohjausjakson yhteydessä on myös tuotu esiin tarve jatkaa oikeuslaitoksen yleiseen koskemattomuuteen liittyvien erityisten huolenaiheiden käsittelyä, ja Slovakialle on annettu tätä koskeva maakohtainen suositus</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Perustuslain ja täytäntöönpanolainsäädännön muutoksista koostuva kattava oikeuslaitoksen uudistus on hyväksytty. </w:t>
      </w:r>
      <w:r>
        <w:rPr>
          <w:noProof/>
        </w:rPr>
        <w:t>Tämä on seurausta hallituksen ilmoituksesta jatkaa uudistusta, jonka tavoitteena on lisätä kansalaisten luottamusta oikeusvaltioon</w:t>
      </w:r>
      <w:r>
        <w:rPr>
          <w:rStyle w:val="FootnoteReference"/>
          <w:rFonts w:eastAsia="Times New Roman" w:cs="Times New Roman"/>
          <w:noProof/>
          <w:lang w:eastAsia="fr-FR"/>
        </w:rPr>
        <w:footnoteReference w:id="16"/>
      </w:r>
      <w:r>
        <w:rPr>
          <w:noProof/>
        </w:rPr>
        <w:t>, kuten oikeusvaltiota koskevassa vuosikertomuksessa 2020 todetaan</w:t>
      </w:r>
      <w:r>
        <w:rPr>
          <w:rStyle w:val="FootnoteReference"/>
          <w:rFonts w:eastAsia="Times New Roman" w:cs="Times New Roman"/>
          <w:noProof/>
          <w:lang w:eastAsia="fr-FR"/>
        </w:rPr>
        <w:footnoteReference w:id="17"/>
      </w:r>
      <w:r>
        <w:rPr>
          <w:noProof/>
        </w:rPr>
        <w:t>. Joulukuussa 2020 hyväksyttiin perustuslain muutos ja täytäntöönpanolainsäädäntö, joilla perustettiin erityisesti korkein hallinto-oikeus, muutettiin</w:t>
      </w:r>
      <w:r>
        <w:rPr>
          <w:rStyle w:val="FootnoteReference"/>
          <w:rFonts w:eastAsia="Times New Roman" w:cs="Times New Roman"/>
          <w:noProof/>
          <w:lang w:eastAsia="fr-FR"/>
        </w:rPr>
        <w:footnoteReference w:id="18"/>
      </w:r>
      <w:r>
        <w:rPr>
          <w:noProof/>
        </w:rPr>
        <w:t xml:space="preserve"> perustuslakituomioistuimen tuomarien valintaa ja nimittämistä sekä muutettiin useita tuomarineuvostoa koskevia säännöksiä. Sidosryhmät totesivat, että uudistus heijastaa pyrkimyksiä parantaa oikeuslaitosta ja vahvistaa sen riippumattomuutta</w:t>
      </w:r>
      <w:r>
        <w:rPr>
          <w:rStyle w:val="FootnoteReference"/>
          <w:rFonts w:eastAsia="Times New Roman" w:cs="Times New Roman"/>
          <w:noProof/>
          <w:lang w:eastAsia="fr-FR"/>
        </w:rPr>
        <w:footnoteReference w:id="19"/>
      </w:r>
      <w:r>
        <w:rPr>
          <w:noProof/>
        </w:rPr>
        <w:t xml:space="preserve">, vaikka joitain uudistuksen osia vastustettiin (ks. jäljempänä). </w:t>
      </w:r>
    </w:p>
    <w:p>
      <w:pPr>
        <w:rPr>
          <w:rFonts w:eastAsia="Times New Roman" w:cs="Times New Roman"/>
          <w:noProof/>
          <w:szCs w:val="20"/>
        </w:rPr>
      </w:pPr>
      <w:r>
        <w:rPr>
          <w:b/>
          <w:bCs/>
          <w:noProof/>
        </w:rPr>
        <w:t>Vaikka joitakin tuomarineuvostoa koskevan uudistuksen piirteitä pidettiin myönteisinä, on esitetty huolenaiheita, jotka koskevat sen jäsenten erottamisjärjestelmää.</w:t>
      </w:r>
      <w:r>
        <w:rPr>
          <w:noProof/>
        </w:rPr>
        <w:t xml:space="preserve"> Perustuslakiuudistuksessa muutettiin tuomarineuvoston jäsenten nimitysmenetelmää, laajennettiin neuvoston valtuuksia ja muutettiin sen jäsenten erottamissäännöstä</w:t>
      </w:r>
      <w:r>
        <w:rPr>
          <w:rStyle w:val="FootnoteReference"/>
          <w:rFonts w:eastAsia="Times New Roman" w:cs="Times New Roman"/>
          <w:noProof/>
          <w:lang w:eastAsia="fr-FR"/>
        </w:rPr>
        <w:footnoteReference w:id="20"/>
      </w:r>
      <w:r>
        <w:rPr>
          <w:noProof/>
        </w:rPr>
        <w:t>. Uudistuksessa otettiin käyttöön sääntö, jonka mukaan neuvoston tuomarijäsenet valittaisiin useista vaalipiireistä</w:t>
      </w:r>
      <w:r>
        <w:rPr>
          <w:rStyle w:val="FootnoteReference"/>
          <w:rFonts w:eastAsia="Times New Roman" w:cs="Times New Roman"/>
          <w:noProof/>
          <w:lang w:eastAsia="fr-FR"/>
        </w:rPr>
        <w:footnoteReference w:id="21"/>
      </w:r>
      <w:r>
        <w:rPr>
          <w:noProof/>
        </w:rPr>
        <w:t>. Hallituksen mukaan muutoksen tavoitteena on lisätä neuvoston legitimiteettiä varmistamalla, että tuomareita on entistä monimuotoisemmin edustettuna. Tämä tavoite on Euroopan neuvoston suositusten mukainen</w:t>
      </w:r>
      <w:r>
        <w:rPr>
          <w:rStyle w:val="FootnoteReference"/>
          <w:rFonts w:eastAsia="Times New Roman" w:cs="Times New Roman"/>
          <w:noProof/>
          <w:lang w:eastAsia="fr-FR"/>
        </w:rPr>
        <w:footnoteReference w:id="22"/>
      </w:r>
      <w:r>
        <w:rPr>
          <w:noProof/>
        </w:rPr>
        <w:t>. Uudistuksella laajennetaan myös tuomarineuvoston toimivaltaa</w:t>
      </w:r>
      <w:r>
        <w:rPr>
          <w:rStyle w:val="FootnoteReference"/>
          <w:rFonts w:eastAsia="Times New Roman" w:cs="Times New Roman"/>
          <w:noProof/>
          <w:lang w:eastAsia="fr-FR"/>
        </w:rPr>
        <w:footnoteReference w:id="23"/>
      </w:r>
      <w:r>
        <w:rPr>
          <w:noProof/>
        </w:rPr>
        <w:t>. Lisäksi uudistuksen yhteydessä nimenomaisesti säädetään, että nimittävä viranomainen voi milloin tahansa erottaa tuomarineuvoston jäsenen, myös sen puheenjohtajan ja varapuheenjohtajan</w:t>
      </w:r>
      <w:r>
        <w:rPr>
          <w:rStyle w:val="FootnoteReference"/>
          <w:rFonts w:eastAsia="Times New Roman" w:cs="Times New Roman"/>
          <w:noProof/>
          <w:lang w:eastAsia="fr-FR"/>
        </w:rPr>
        <w:footnoteReference w:id="24"/>
      </w:r>
      <w:r>
        <w:rPr>
          <w:noProof/>
        </w:rPr>
        <w:t>. Uudistuksen perustelujen</w:t>
      </w:r>
      <w:r>
        <w:rPr>
          <w:rStyle w:val="FootnoteReference"/>
          <w:rFonts w:eastAsia="Times New Roman" w:cs="Times New Roman"/>
          <w:noProof/>
          <w:lang w:eastAsia="fr-FR"/>
        </w:rPr>
        <w:footnoteReference w:id="25"/>
      </w:r>
      <w:r>
        <w:rPr>
          <w:noProof/>
        </w:rPr>
        <w:t xml:space="preserve"> mukaan tämä tarkoittaa, että erottamisehdotuksen ei tarvitse perustua mihinkään oikeudellisesti määrätyistä perusteista</w:t>
      </w:r>
      <w:r>
        <w:rPr>
          <w:rStyle w:val="FootnoteReference"/>
          <w:rFonts w:eastAsia="Times New Roman" w:cs="Times New Roman"/>
          <w:noProof/>
          <w:lang w:eastAsia="fr-FR"/>
        </w:rPr>
        <w:footnoteReference w:id="26"/>
      </w:r>
      <w:r>
        <w:rPr>
          <w:noProof/>
        </w:rPr>
        <w:t>, vaan sen perusteena voi olla luottamuksen puute</w:t>
      </w:r>
      <w:r>
        <w:rPr>
          <w:rStyle w:val="FootnoteReference"/>
          <w:rFonts w:eastAsia="Times New Roman" w:cs="Times New Roman"/>
          <w:noProof/>
          <w:lang w:eastAsia="fr-FR"/>
        </w:rPr>
        <w:footnoteReference w:id="27"/>
      </w:r>
      <w:r>
        <w:rPr>
          <w:noProof/>
        </w:rPr>
        <w:t>. Sidosryhmät ovat ilmaisseet huolensa siitä, että tämä uudistuksen osa-alue voi vaikuttaa haitallisesti tuomarineuvoston riippumattomuuteen</w:t>
      </w:r>
      <w:r>
        <w:rPr>
          <w:rStyle w:val="FootnoteReference"/>
          <w:rFonts w:eastAsia="Times New Roman" w:cs="Times New Roman"/>
          <w:noProof/>
          <w:lang w:eastAsia="fr-FR"/>
        </w:rPr>
        <w:footnoteReference w:id="28"/>
      </w:r>
      <w:r>
        <w:rPr>
          <w:noProof/>
        </w:rPr>
        <w:t>. Nämä huolenaiheet on otettu huomioon myös eurooppalaisten tuomareiden konsultatiivisen neuvoston (CCJE) puheenjohtajiston 9.12.2020 antamassa lausunnossa</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Irtisanottu jäsen voi riitauttaa erottamispäätöksen perustuslakituomioistuimessa tekemällä perustuslakivalituksen</w:t>
      </w:r>
      <w:r>
        <w:rPr>
          <w:rStyle w:val="FootnoteReference"/>
          <w:rFonts w:eastAsia="Times New Roman" w:cs="Times New Roman"/>
          <w:noProof/>
          <w:lang w:eastAsia="fr-FR"/>
        </w:rPr>
        <w:footnoteReference w:id="30"/>
      </w:r>
      <w:r>
        <w:rPr>
          <w:noProof/>
        </w:rPr>
        <w:t>. On tärkeää, että tuomarineuvoston riippumattomuudesta suhteessa lainsäätäjään ja täytäntöönpanoviranomaiseen on riittäviä takeita, myös siitä, miten sen jäsenet voidaan erottaa</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Tuomareiden eläkeikä on otettu käyttöön varmuuden takaamiseksi</w:t>
      </w:r>
      <w:r>
        <w:rPr>
          <w:rStyle w:val="FootnoteReference"/>
          <w:rFonts w:eastAsia="Times New Roman" w:cs="Times New Roman"/>
          <w:b/>
          <w:noProof/>
          <w:szCs w:val="20"/>
          <w:lang w:eastAsia="fr-FR"/>
        </w:rPr>
        <w:footnoteReference w:id="32"/>
      </w:r>
      <w:r>
        <w:rPr>
          <w:b/>
          <w:noProof/>
          <w:szCs w:val="20"/>
        </w:rPr>
        <w:t>.</w:t>
      </w:r>
      <w:r>
        <w:rPr>
          <w:noProof/>
        </w:rPr>
        <w:t xml:space="preserve"> Perustuslain muutosten jälkeen tuomarit jäävät eläkkeelle, kun he ovat 67-vuotiaita</w:t>
      </w:r>
      <w:r>
        <w:rPr>
          <w:rStyle w:val="FootnoteReference"/>
          <w:rFonts w:eastAsia="Times New Roman" w:cs="Times New Roman"/>
          <w:noProof/>
          <w:szCs w:val="20"/>
          <w:lang w:eastAsia="fr-FR"/>
        </w:rPr>
        <w:footnoteReference w:id="33"/>
      </w:r>
      <w:r>
        <w:rPr>
          <w:noProof/>
        </w:rPr>
        <w:t xml:space="preserve">. Koska uudistus poisti tuomarineuvoston harkintavallan ehdottaa yli 65-vuotiaan tuomarin siirtymistä eläkkeelle, muutoksella parannetaan oikeusvarmuutta ja vakautta tuomareiden osalta. </w:t>
      </w:r>
    </w:p>
    <w:p>
      <w:pPr>
        <w:rPr>
          <w:noProof/>
          <w:sz w:val="22"/>
        </w:rPr>
      </w:pPr>
      <w:r>
        <w:rPr>
          <w:b/>
          <w:noProof/>
        </w:rPr>
        <w:t xml:space="preserve">Tuomareiden rikosoikeudellista vastuuta koskevaa järjestelmää on muutettu. </w:t>
      </w:r>
      <w:r>
        <w:rPr>
          <w:noProof/>
        </w:rPr>
        <w:t>Lokakuussa 2020 hyväksyttiin rikoslain muutos</w:t>
      </w:r>
      <w:r>
        <w:rPr>
          <w:rStyle w:val="FootnoteReference"/>
          <w:rFonts w:eastAsia="Times New Roman" w:cs="Times New Roman"/>
          <w:noProof/>
          <w:szCs w:val="20"/>
          <w:lang w:eastAsia="fr-FR"/>
        </w:rPr>
        <w:footnoteReference w:id="34"/>
      </w:r>
      <w:r>
        <w:rPr>
          <w:noProof/>
        </w:rPr>
        <w:t>, jonka jälkeen muutettiin tuomareiden koskemattomuutta koskevaa perustuslaillista säännöstä. Uudistusten mukaan</w:t>
      </w:r>
      <w:r>
        <w:rPr>
          <w:b/>
          <w:noProof/>
        </w:rPr>
        <w:t xml:space="preserve"> </w:t>
      </w:r>
      <w:r>
        <w:rPr>
          <w:noProof/>
        </w:rPr>
        <w:t>tuomareita</w:t>
      </w:r>
      <w:r>
        <w:rPr>
          <w:rStyle w:val="FootnoteReference"/>
          <w:rFonts w:eastAsia="Times New Roman" w:cs="Times New Roman"/>
          <w:noProof/>
          <w:lang w:eastAsia="fr-FR"/>
        </w:rPr>
        <w:footnoteReference w:id="35"/>
      </w:r>
      <w:r>
        <w:rPr>
          <w:noProof/>
        </w:rPr>
        <w:t xml:space="preserve"> ei voida asettaa vastuuseen päätöksenteossa ilmaistusta mielipiteestä, ellei tuomarin päätöksentekoa voida pitää rikoksena</w:t>
      </w:r>
      <w:r>
        <w:rPr>
          <w:rStyle w:val="FootnoteReference"/>
          <w:rFonts w:eastAsia="Times New Roman" w:cs="Times New Roman"/>
          <w:noProof/>
          <w:lang w:eastAsia="fr-FR"/>
        </w:rPr>
        <w:footnoteReference w:id="36"/>
      </w:r>
      <w:r>
        <w:rPr>
          <w:noProof/>
        </w:rPr>
        <w:t>. Rikoslakiin sisällytettiin tältä osin uusi rikos, joka koskee ”lainsäädännön väärinkäyttöä”</w:t>
      </w:r>
      <w:r>
        <w:rPr>
          <w:rStyle w:val="FootnoteReference"/>
          <w:rFonts w:eastAsia="Times New Roman" w:cs="Times New Roman"/>
          <w:noProof/>
          <w:lang w:eastAsia="fr-FR"/>
        </w:rPr>
        <w:footnoteReference w:id="37"/>
      </w:r>
      <w:r>
        <w:rPr>
          <w:noProof/>
        </w:rPr>
        <w:t>. Tämän säännöksen mukaan tuomareita</w:t>
      </w:r>
      <w:r>
        <w:rPr>
          <w:rStyle w:val="FootnoteReference"/>
          <w:rFonts w:eastAsia="Times New Roman" w:cs="Times New Roman"/>
          <w:noProof/>
          <w:lang w:eastAsia="fr-FR"/>
        </w:rPr>
        <w:footnoteReference w:id="38"/>
      </w:r>
      <w:r>
        <w:rPr>
          <w:noProof/>
        </w:rPr>
        <w:t xml:space="preserve"> voidaan asettaa syytteeseen mielivaltaisista päätöksistä, jotka aiheuttavat vahinkoa toiselle henkilölle tai suosivat toista henkilöä</w:t>
      </w:r>
      <w:r>
        <w:rPr>
          <w:rStyle w:val="FootnoteReference"/>
          <w:rFonts w:eastAsia="Times New Roman" w:cs="Times New Roman"/>
          <w:noProof/>
          <w:lang w:eastAsia="fr-FR"/>
        </w:rPr>
        <w:footnoteReference w:id="39"/>
      </w:r>
      <w:r>
        <w:rPr>
          <w:noProof/>
        </w:rPr>
        <w:t>. Säännöstä on tarkoitus käyttää ainoastaan tapauksissa, joissa päätökset ovat ilmeisen mielivaltaisia ja virheellisiä</w:t>
      </w:r>
      <w:r>
        <w:rPr>
          <w:rStyle w:val="FootnoteReference"/>
          <w:rFonts w:eastAsia="Times New Roman" w:cs="Times New Roman"/>
          <w:noProof/>
          <w:lang w:eastAsia="fr-FR"/>
        </w:rPr>
        <w:footnoteReference w:id="40"/>
      </w:r>
      <w:r>
        <w:rPr>
          <w:noProof/>
        </w:rPr>
        <w:t>. Rikosoikeudenkäyntiä johtaa erityissyyttäjä ja erityisrikostuomioistuin. Tästä rikoksesta syytetyllä tuomarilla on oikeus pyytää tuomarineuvostoa ilmaisemaan erimielisyytensä rikosoikeudenkäynnin jatkamisesta, mikä, jos se myönnetään, merkitsee samaa kuin menettelyn päättäminen</w:t>
      </w:r>
      <w:r>
        <w:rPr>
          <w:rStyle w:val="FootnoteReference"/>
          <w:rFonts w:eastAsia="Times New Roman" w:cs="Times New Roman"/>
          <w:noProof/>
          <w:lang w:eastAsia="fr-FR"/>
        </w:rPr>
        <w:footnoteReference w:id="41"/>
      </w:r>
      <w:r>
        <w:rPr>
          <w:noProof/>
        </w:rPr>
        <w:t>. Syytetty tuomari voidaan väliaikaisesti pidättää virantoimituksesta ainoastaan kurinpitotuomioistuimen päätöksellä</w:t>
      </w:r>
      <w:r>
        <w:rPr>
          <w:rStyle w:val="FootnoteReference"/>
          <w:rFonts w:eastAsia="Times New Roman" w:cs="Times New Roman"/>
          <w:noProof/>
          <w:lang w:eastAsia="fr-FR"/>
        </w:rPr>
        <w:footnoteReference w:id="42"/>
      </w:r>
      <w:r>
        <w:rPr>
          <w:noProof/>
        </w:rPr>
        <w:t>. Eurooppalaisissa normeissa määrätään, että tuomareiden vastuuvelvollisuus heidän päätöksenteossaan voi syntyä poikkeuksellisissa tapauksissa, joissa on kyse rikollisesta tarkoituksesta ja törkeästä huolimattomuudesta. Näin ollen minkä tahansa tuomareiden vastuuvelvollisuutta säätelevän järjestelmän on annettava selkeästi ja täsmällisesti tarvittavat takeet, jotta vältetään täysin vaara siitä, että tällaista järjestelmää käytetään tuomioistuimen toiminnan painostuskeinona tai tuomioistuinratkaisujen sisällön poliittisen valvonnan järjestelmänä</w:t>
      </w:r>
      <w:r>
        <w:rPr>
          <w:rStyle w:val="FootnoteReference"/>
          <w:rFonts w:eastAsia="Times New Roman" w:cs="Times New Roman"/>
          <w:noProof/>
          <w:lang w:eastAsia="fr-FR"/>
        </w:rPr>
        <w:footnoteReference w:id="43"/>
      </w:r>
      <w:r>
        <w:rPr>
          <w:noProof/>
        </w:rPr>
        <w:t>. On tärkeää, että sovellettaessa näitä uusia säännöksiä käytännössä, näitä suojatoimenpiteitä noudatetaan asianmukaisesti eurooppalaisten normien mukaisesti. Eräät sidosryhmät ovat ilmaisseet huolensa tuomareiden koskemattomuutta koskevasta perustuslain muutoksesta ja huomauttaneet, että sen laaja ja epämääräinen sanamuoto voi aiheuttaa mahdollisen väärinkäytön vaaran</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Äskettäinen perustuslakiuudistus muutti järjestelmää tuomareiden siirtämisestä ilman heidän suostumustaan. </w:t>
      </w:r>
      <w:r>
        <w:rPr>
          <w:noProof/>
        </w:rPr>
        <w:t>Viimeaikainen perustuslakiuudistus, jonka mukaan tuomareita voidaan siirtää ilman heidän suostumustaan, jos oikeuslaitosrakennetta muutetaan, jos tällainen siirto on tarpeen oikeuslaitoksen moitteettoman toiminnan varmistamiseksi</w:t>
      </w:r>
      <w:r>
        <w:rPr>
          <w:rStyle w:val="FootnoteReference"/>
          <w:rFonts w:eastAsia="Times New Roman" w:cs="Times New Roman"/>
          <w:noProof/>
          <w:lang w:eastAsia="fr-FR"/>
        </w:rPr>
        <w:footnoteReference w:id="45"/>
      </w:r>
      <w:r>
        <w:rPr>
          <w:noProof/>
        </w:rPr>
        <w:t>. Eurooppalaisten normien mukaan poikkeustapauksissa on mahdollista siirtää tuomareita ilman heidän suostumustaan edellyttäen, että riittävät suojatoimet ovat käytössä. Näihin suojatoimiin sisältyy vaatimus, jonka mukaan tuomaria ei saa siirtää alemman oikeusasteen tuomioistuimeen ja että hän voi hakea muutosta</w:t>
      </w:r>
      <w:r>
        <w:rPr>
          <w:rStyle w:val="FootnoteReference"/>
          <w:rFonts w:eastAsia="Times New Roman" w:cs="Times New Roman"/>
          <w:noProof/>
          <w:lang w:eastAsia="fr-FR"/>
        </w:rPr>
        <w:footnoteReference w:id="46"/>
      </w:r>
      <w:r>
        <w:rPr>
          <w:noProof/>
        </w:rPr>
        <w:t>. On tärkeää, että täytäntöönpanolainsäädännössä</w:t>
      </w:r>
      <w:r>
        <w:rPr>
          <w:rStyle w:val="FootnoteReference"/>
          <w:rFonts w:eastAsia="Times New Roman" w:cs="Times New Roman"/>
          <w:noProof/>
          <w:lang w:eastAsia="fr-FR"/>
        </w:rPr>
        <w:footnoteReference w:id="47"/>
      </w:r>
      <w:r>
        <w:rPr>
          <w:noProof/>
        </w:rPr>
        <w:t xml:space="preserve"> säädetään riittävistä suojatoimista, joissa otetaan huomioon eurooppalaiset normit.</w:t>
      </w:r>
    </w:p>
    <w:p>
      <w:pPr>
        <w:rPr>
          <w:rFonts w:eastAsia="Times New Roman" w:cs="Times New Roman"/>
          <w:noProof/>
        </w:rPr>
      </w:pPr>
      <w:r>
        <w:rPr>
          <w:b/>
          <w:bCs/>
          <w:noProof/>
        </w:rPr>
        <w:t xml:space="preserve">Luonnosta oikeuslaitosrakenteen uudistuksesta valmistellaan parhaillaan. </w:t>
      </w:r>
      <w:r>
        <w:rPr>
          <w:noProof/>
        </w:rPr>
        <w:t>Oikeuslaitoksen toimivuutta tarkastelevan Euroopan neuvoston pysyvän komitean (CEPEJ) raportissa esitettyjen suositusten perusteella</w:t>
      </w:r>
      <w:r>
        <w:rPr>
          <w:rStyle w:val="FootnoteReference"/>
          <w:rFonts w:eastAsia="Times New Roman" w:cs="Times New Roman"/>
          <w:noProof/>
          <w:lang w:eastAsia="fr-FR"/>
        </w:rPr>
        <w:footnoteReference w:id="48"/>
      </w:r>
      <w:r>
        <w:rPr>
          <w:noProof/>
        </w:rPr>
        <w:t>, muun muassa pohtia tuomarien erikoistumisen lisäämistä ja oikeuslaitosrakenteen muuttamista, erityisesti piirituomioistuimien määrän vähentämistä</w:t>
      </w:r>
      <w:r>
        <w:rPr>
          <w:rStyle w:val="FootnoteReference"/>
          <w:rFonts w:eastAsia="Times New Roman" w:cs="Times New Roman"/>
          <w:noProof/>
          <w:lang w:eastAsia="fr-FR"/>
        </w:rPr>
        <w:footnoteReference w:id="49"/>
      </w:r>
      <w:r>
        <w:rPr>
          <w:noProof/>
        </w:rPr>
        <w:t>, oikeusministeriö on järjestänyt työryhmiä, jotka koostuvat muun muassa tuomareista, valmistellakseen luonnoksen tuomioistuiverkoston uudistamiseksi</w:t>
      </w:r>
      <w:r>
        <w:rPr>
          <w:rStyle w:val="FootnoteReference"/>
          <w:rFonts w:eastAsia="Times New Roman" w:cs="Times New Roman"/>
          <w:noProof/>
          <w:lang w:eastAsia="fr-FR"/>
        </w:rPr>
        <w:footnoteReference w:id="50"/>
      </w:r>
      <w:r>
        <w:rPr>
          <w:noProof/>
        </w:rPr>
        <w:t>. Uudistuksen tavoitteena on lisätä kansalaisten luottamusta oikeuslaitokseen ja parantaa sen tehokkuutta ja laatua</w:t>
      </w:r>
      <w:r>
        <w:rPr>
          <w:rStyle w:val="FootnoteReference"/>
          <w:rFonts w:eastAsia="Times New Roman" w:cs="Times New Roman"/>
          <w:noProof/>
          <w:lang w:eastAsia="fr-FR"/>
        </w:rPr>
        <w:footnoteReference w:id="51"/>
      </w:r>
      <w:r>
        <w:rPr>
          <w:noProof/>
        </w:rPr>
        <w:t>. Verkostoluonnos perustuu tarpeeseen luoda riittävän suuria tuomioistuimia, jotta tuomarit voisivat erikoistua enemmän kussakin tuomioistuimessa, jotta kulttuuri- ja alueellisia identiteettejä kunnioitettaisiin ja jotta oikeus olisi saatavilla</w:t>
      </w:r>
      <w:r>
        <w:rPr>
          <w:rStyle w:val="FootnoteReference"/>
          <w:rFonts w:eastAsia="Times New Roman" w:cs="Times New Roman"/>
          <w:noProof/>
          <w:lang w:eastAsia="fr-FR"/>
        </w:rPr>
        <w:footnoteReference w:id="52"/>
      </w:r>
      <w:r>
        <w:rPr>
          <w:noProof/>
        </w:rPr>
        <w:t>. Uudistusluonnoksessa ehdotetaan nykyisten tuomioistuinten työmäärää sekä infrastruktuuria ja tuomioistuinten saatavuutta koskevien tietojen perusteella, että piirituomioistuimien määrää vähennetään 54:stä 30:een ja alueellisten tuomioistuimien määrää 8:sta 3:een</w:t>
      </w:r>
      <w:r>
        <w:rPr>
          <w:rStyle w:val="FootnoteReference"/>
          <w:rFonts w:eastAsia="Times New Roman" w:cs="Times New Roman"/>
          <w:noProof/>
          <w:lang w:eastAsia="fr-FR"/>
        </w:rPr>
        <w:footnoteReference w:id="53"/>
      </w:r>
      <w:r>
        <w:rPr>
          <w:noProof/>
        </w:rPr>
        <w:t>. Tuomarit, oikeuslaitoksen henkilöstö ja lakkautettujen tuomioistuinten asiat siirretään jäljellä oleville seuraajatuomioistuimille</w:t>
      </w:r>
      <w:r>
        <w:rPr>
          <w:rStyle w:val="FootnoteReference"/>
          <w:rFonts w:eastAsia="Times New Roman" w:cs="Times New Roman"/>
          <w:noProof/>
          <w:lang w:eastAsia="fr-FR"/>
        </w:rPr>
        <w:footnoteReference w:id="54"/>
      </w:r>
      <w:r>
        <w:rPr>
          <w:noProof/>
        </w:rPr>
        <w:t>. Syyskuun ja joulukuun 2020 välisenä aikana uudistusluonnos esiteltiin tuomareille ja muille sidosryhmille, ja keskusteluja jatkettiin tammi-helmikuussa 2021</w:t>
      </w:r>
      <w:r>
        <w:rPr>
          <w:rStyle w:val="FootnoteReference"/>
          <w:rFonts w:eastAsia="Times New Roman" w:cs="Times New Roman"/>
          <w:noProof/>
          <w:lang w:eastAsia="fr-FR"/>
        </w:rPr>
        <w:footnoteReference w:id="55"/>
      </w:r>
      <w:r>
        <w:rPr>
          <w:noProof/>
        </w:rPr>
        <w:t>. Oikeusministeriö arvioi parhaillaan huomautuksia, jotka toimitettiin joulukuun 2020 puolivälistä maaliskuun 2021 alkuun järjestetyssä julkisessa kuulemisessa</w:t>
      </w:r>
      <w:r>
        <w:rPr>
          <w:rStyle w:val="FootnoteReference"/>
          <w:rFonts w:eastAsia="Times New Roman" w:cs="Times New Roman"/>
          <w:noProof/>
          <w:lang w:eastAsia="fr-FR"/>
        </w:rPr>
        <w:footnoteReference w:id="56"/>
      </w:r>
      <w:r>
        <w:rPr>
          <w:noProof/>
        </w:rPr>
        <w:t>. Useat sidosryhmät arvostelivat uudistusluonnosta ja ilmoittivat muun muassa osallistumisen puutteesta valmisteluprosessin aikana sekä ilmaisivat huolensa oikeuden saatavuudesta</w:t>
      </w:r>
      <w:r>
        <w:rPr>
          <w:rStyle w:val="FootnoteReference"/>
          <w:rFonts w:eastAsia="Times New Roman" w:cs="Times New Roman"/>
          <w:noProof/>
          <w:lang w:eastAsia="fr-FR"/>
        </w:rPr>
        <w:footnoteReference w:id="57"/>
      </w:r>
      <w:r>
        <w:rPr>
          <w:noProof/>
        </w:rPr>
        <w:t>. Arvostelun jälkeen oikeusministeriö päätti jatkaa tuomareiden kuulemista syyskuuhun 2021 asti, minkä jälkeen uudelleen laadittuun oikeuslaitosrakenteen uudistusehdotukseen sovelletaan jälleen julkista kuulemismenettelyä</w:t>
      </w:r>
      <w:r>
        <w:rPr>
          <w:rStyle w:val="FootnoteReference"/>
          <w:rFonts w:eastAsia="Times New Roman" w:cs="Times New Roman"/>
          <w:noProof/>
          <w:lang w:eastAsia="fr-FR"/>
        </w:rPr>
        <w:footnoteReference w:id="58"/>
      </w:r>
      <w:r>
        <w:rPr>
          <w:noProof/>
        </w:rPr>
        <w:t>. Koska uudistukseen kuuluu tuomarien siirtäminen</w:t>
      </w:r>
      <w:r>
        <w:rPr>
          <w:rStyle w:val="FootnoteReference"/>
          <w:rFonts w:eastAsia="Times New Roman" w:cs="Times New Roman"/>
          <w:noProof/>
          <w:lang w:eastAsia="fr-FR"/>
        </w:rPr>
        <w:footnoteReference w:id="59"/>
      </w:r>
      <w:r>
        <w:rPr>
          <w:noProof/>
        </w:rPr>
        <w:t>, on huomattava, että eurooppalaisten normien mukaan tuomarien, jotka siirretään uudistuksen aikana ilman heidän suostumustaan, olisi saatava menettelylliset takeet sen varmistamiseksi, ettei heidän riippumattomuuttaan vaaranneta (ks. edellä). Uudistusehdotuksen CEPEJ:n tarkastelussa todettiin, että käytetty menetelmä on sen suuntaviivojen ja arviointiraportin mukainen, ja korostettiin Slovakian viranomaisten omaksumaa näyttöön perustuvaa lähestymistapaa</w:t>
      </w:r>
      <w:r>
        <w:rPr>
          <w:rStyle w:val="FootnoteReference"/>
          <w:rFonts w:eastAsia="Times New Roman" w:cs="Times New Roman"/>
          <w:noProof/>
          <w:lang w:eastAsia="fr-FR"/>
        </w:rPr>
        <w:footnoteReference w:id="60"/>
      </w:r>
      <w:r>
        <w:rPr>
          <w:noProof/>
        </w:rPr>
        <w:t>. Se antoi myös muita suosituksia, kuten uudistuksen täytäntöönpanon lykkäämisen</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Korkein hallinto-oikeus on perustettu ja suunnitteilla on hallinnollisia tuomioistuimia</w:t>
      </w:r>
      <w:r>
        <w:rPr>
          <w:rStyle w:val="FootnoteReference"/>
          <w:noProof/>
        </w:rPr>
        <w:footnoteReference w:id="62"/>
      </w:r>
      <w:r>
        <w:rPr>
          <w:noProof/>
        </w:rPr>
        <w:t>.</w:t>
      </w:r>
      <w:r>
        <w:rPr>
          <w:b w:val="0"/>
          <w:noProof/>
        </w:rPr>
        <w:t xml:space="preserve"> Uuden hallintotuomioistuinjärjestelmän odotetaan muodostuvan kolmesta hallinto-oikeudesta, joiden perustamista ehdotetaan oikeuslaitosrakenteen uudistamista koskevassa ehdotuksessa, ja korkeimmasta hallinto-oikeudesta, joka on perustettu hiljattain toteutetun perustuslakiuudistuksen myötä, ja sen odotetaan tulevan käyttöön elokuussa 2021</w:t>
      </w:r>
      <w:r>
        <w:rPr>
          <w:rStyle w:val="FootnoteReference"/>
          <w:b w:val="0"/>
          <w:noProof/>
        </w:rPr>
        <w:footnoteReference w:id="63"/>
      </w:r>
      <w:r>
        <w:rPr>
          <w:b w:val="0"/>
          <w:noProof/>
        </w:rPr>
        <w:t>. Korkeimman hallinto-oikeuden presidentti nimitettiin</w:t>
      </w:r>
      <w:r>
        <w:rPr>
          <w:rStyle w:val="FootnoteReference"/>
          <w:b w:val="0"/>
          <w:noProof/>
        </w:rPr>
        <w:footnoteReference w:id="64"/>
      </w:r>
      <w:r>
        <w:rPr>
          <w:b w:val="0"/>
          <w:noProof/>
        </w:rPr>
        <w:t xml:space="preserve"> toukokuussa 2020, ja tuomareiden valintaprosessi on käynnissä. Tuomarineuvosto valitsee tuomioistuimen tuomarit</w:t>
      </w:r>
      <w:r>
        <w:rPr>
          <w:rStyle w:val="FootnoteReference"/>
          <w:b w:val="0"/>
          <w:noProof/>
        </w:rPr>
        <w:footnoteReference w:id="65"/>
      </w:r>
      <w:r>
        <w:rPr>
          <w:b w:val="0"/>
          <w:noProof/>
        </w:rPr>
        <w:t>. Oikeuslaitosrakenteen uudistamista koskevassa ehdotuksessa (ks. edellä) esitetään kolmen erillisen hallinto-oikeuden perustamista. On suunniteltu,</w:t>
      </w:r>
      <w:r>
        <w:rPr>
          <w:rStyle w:val="FootnoteReference"/>
          <w:b w:val="0"/>
          <w:noProof/>
        </w:rPr>
        <w:footnoteReference w:id="66"/>
      </w:r>
      <w:r>
        <w:rPr>
          <w:b w:val="0"/>
          <w:noProof/>
        </w:rPr>
        <w:t xml:space="preserve"> että näiden uusien hallinto-oikeuksien puheenjohtajat valitsee viiden jäsenen komitea, jonka valitsee oikeusministeri, ja näistä kaksi on tuomarineuvoston nimeämiä ehdokkaita</w:t>
      </w:r>
      <w:r>
        <w:rPr>
          <w:rStyle w:val="FootnoteReference"/>
          <w:b w:val="0"/>
          <w:noProof/>
        </w:rPr>
        <w:footnoteReference w:id="67"/>
      </w:r>
      <w:r>
        <w:rPr>
          <w:b w:val="0"/>
          <w:noProof/>
        </w:rPr>
        <w:t>. Mitä tulee tuomarien valintaan hallinto-oikeuksiin, ehdotetaan,</w:t>
      </w:r>
      <w:r>
        <w:rPr>
          <w:rStyle w:val="FootnoteReference"/>
          <w:b w:val="0"/>
          <w:noProof/>
        </w:rPr>
        <w:footnoteReference w:id="68"/>
      </w:r>
      <w:r>
        <w:rPr>
          <w:b w:val="0"/>
          <w:noProof/>
        </w:rPr>
        <w:t xml:space="preserve"> että oikeusministeri</w:t>
      </w:r>
      <w:r>
        <w:rPr>
          <w:rStyle w:val="FootnoteReference"/>
          <w:b w:val="0"/>
          <w:noProof/>
        </w:rPr>
        <w:footnoteReference w:id="69"/>
      </w:r>
      <w:r>
        <w:rPr>
          <w:b w:val="0"/>
          <w:noProof/>
        </w:rPr>
        <w:t xml:space="preserve"> määrittää, mitkä virat täytetään tuomarien siirrolla</w:t>
      </w:r>
      <w:r>
        <w:rPr>
          <w:rStyle w:val="FootnoteReference"/>
          <w:b w:val="0"/>
          <w:noProof/>
        </w:rPr>
        <w:footnoteReference w:id="70"/>
      </w:r>
      <w:r>
        <w:rPr>
          <w:b w:val="0"/>
          <w:noProof/>
        </w:rPr>
        <w:t xml:space="preserve"> ja mitkä valintamenettelyllä</w:t>
      </w:r>
      <w:r>
        <w:rPr>
          <w:rStyle w:val="FootnoteReference"/>
          <w:b w:val="0"/>
          <w:noProof/>
        </w:rPr>
        <w:footnoteReference w:id="71"/>
      </w:r>
      <w:r>
        <w:rPr>
          <w:b w:val="0"/>
          <w:noProof/>
        </w:rPr>
        <w:t>. On tärkeää, että näiden tuomioistuinten perustamisen ja niihin sovellettavan järjestelmän yhteydessä otetaan huomioon eurooppalaiset normit</w:t>
      </w:r>
      <w:r>
        <w:rPr>
          <w:rStyle w:val="FootnoteReference"/>
          <w:b w:val="0"/>
          <w:noProof/>
        </w:rPr>
        <w:footnoteReference w:id="72"/>
      </w:r>
      <w:r>
        <w:rPr>
          <w:b w:val="0"/>
          <w:noProof/>
        </w:rPr>
        <w:t>.</w:t>
      </w:r>
    </w:p>
    <w:p>
      <w:pPr>
        <w:rPr>
          <w:rFonts w:eastAsia="Times New Roman" w:cs="Times New Roman"/>
          <w:noProof/>
        </w:rPr>
      </w:pPr>
      <w:r>
        <w:rPr>
          <w:b/>
          <w:noProof/>
        </w:rPr>
        <w:t>Valtakunnansyyttäjä ja erityissyyttäjä valittiin uuden menettelyn mukaisesti.</w:t>
      </w:r>
      <w:r>
        <w:rPr>
          <w:noProof/>
        </w:rPr>
        <w:t xml:space="preserve"> Parlamentti hyväksyi syyskuussa 2020 lain,</w:t>
      </w:r>
      <w:r>
        <w:rPr>
          <w:rStyle w:val="FootnoteReference"/>
          <w:rFonts w:eastAsia="Times New Roman" w:cs="Times New Roman"/>
          <w:noProof/>
          <w:szCs w:val="20"/>
          <w:lang w:eastAsia="fr-FR"/>
        </w:rPr>
        <w:footnoteReference w:id="73"/>
      </w:r>
      <w:r>
        <w:rPr>
          <w:noProof/>
        </w:rPr>
        <w:t xml:space="preserve"> jolla tehtiin useita muutoksia valtakunnansyyttäjän ja erityissyyttäjän valintamenettelyyn</w:t>
      </w:r>
      <w:r>
        <w:rPr>
          <w:rStyle w:val="FootnoteReference"/>
          <w:rFonts w:eastAsia="Times New Roman" w:cs="Times New Roman"/>
          <w:noProof/>
          <w:lang w:eastAsia="fr-FR"/>
        </w:rPr>
        <w:footnoteReference w:id="74"/>
      </w:r>
      <w:r>
        <w:rPr>
          <w:noProof/>
        </w:rPr>
        <w:t>. Laissa laajennettiin luetteloa henkilöistä, joilla on oikeus ehdottaa ehdokasta valtakunnansyyttäjän virkaan</w:t>
      </w:r>
      <w:r>
        <w:rPr>
          <w:rStyle w:val="FootnoteReference"/>
          <w:rFonts w:eastAsia="Times New Roman" w:cs="Times New Roman"/>
          <w:noProof/>
          <w:szCs w:val="20"/>
          <w:lang w:eastAsia="fr-FR"/>
        </w:rPr>
        <w:footnoteReference w:id="75"/>
      </w:r>
      <w:r>
        <w:rPr>
          <w:noProof/>
        </w:rPr>
        <w:t>, ja se avasi ehdokkuuden myös muille kuin syyttäjille. Lisäksi siinä vaaditaan, että ehdokkaat sekä valtakunnansyyttäjäksi että erityissyyttäjäksi osallistuvat julkiseen kuulemistilaisuuteen parlamentissa</w:t>
      </w:r>
      <w:r>
        <w:rPr>
          <w:rStyle w:val="FootnoteReference"/>
          <w:rFonts w:eastAsia="Times New Roman" w:cs="Times New Roman"/>
          <w:noProof/>
          <w:lang w:eastAsia="fr-FR"/>
        </w:rPr>
        <w:footnoteReference w:id="76"/>
      </w:r>
      <w:r>
        <w:rPr>
          <w:noProof/>
        </w:rPr>
        <w:t>. Uusia sääntöjä sovellettiin joulukuussa 2020 ja helmikuussa 2021, kun valittiin ehdokkaat valtakunnansyyttäjäksi ja erityissyyttäjäksi. Tiedotusvälineet seurasivat tiiviisti molempia vaaleja, ja sidosryhmät panivat merkille menettelyn avoimuuden lisääntymisen</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Laatu </w:t>
      </w:r>
    </w:p>
    <w:p>
      <w:pPr>
        <w:rPr>
          <w:b/>
          <w:noProof/>
        </w:rPr>
      </w:pPr>
      <w:r>
        <w:rPr>
          <w:b/>
          <w:noProof/>
        </w:rPr>
        <w:t>Digitalisoinnin edistämiseksi on saatu aikaan tuloksia, mutta käytännössä on puutteita.</w:t>
      </w:r>
      <w:r>
        <w:rPr>
          <w:noProof/>
        </w:rPr>
        <w:t xml:space="preserve"> Aktiivinen sitoutuminen oikeuslaitoksen digitalisoinnin edistämiseksi viime vuosina</w:t>
      </w:r>
      <w:r>
        <w:rPr>
          <w:rStyle w:val="FootnoteReference"/>
          <w:noProof/>
          <w:lang w:eastAsia="en-GB"/>
        </w:rPr>
        <w:footnoteReference w:id="78"/>
      </w:r>
      <w:r>
        <w:rPr>
          <w:noProof/>
        </w:rPr>
        <w:t xml:space="preserve"> on alkanut tuottaa tuloksia. Slovakialla on tarvittavat menettelysäännöt, jotka mahdollistavat digitaaliteknologian käytön tuomioistuimissa</w:t>
      </w:r>
      <w:r>
        <w:rPr>
          <w:rStyle w:val="FootnoteReference"/>
          <w:noProof/>
          <w:lang w:eastAsia="en-GB"/>
        </w:rPr>
        <w:footnoteReference w:id="79"/>
      </w:r>
      <w:r>
        <w:rPr>
          <w:noProof/>
        </w:rPr>
        <w:t>, sekä monenlaisia välineitä ja infrastruktuuri, jotka mahdollistavat etäviestinnän ja turvallisen etäyhteyden työpaikalle,</w:t>
      </w:r>
      <w:r>
        <w:rPr>
          <w:rStyle w:val="FootnoteReference"/>
          <w:noProof/>
          <w:lang w:eastAsia="en-GB"/>
        </w:rPr>
        <w:footnoteReference w:id="80"/>
      </w:r>
      <w:r>
        <w:rPr>
          <w:noProof/>
        </w:rPr>
        <w:t>suojattu sähköinen viestintä tuomioistuinten ja oikeusalan ammattilaisten ja laitosten välillä</w:t>
      </w:r>
      <w:r>
        <w:rPr>
          <w:rStyle w:val="FootnoteReference"/>
          <w:noProof/>
          <w:lang w:eastAsia="en-GB"/>
        </w:rPr>
        <w:footnoteReference w:id="81"/>
      </w:r>
      <w:r>
        <w:rPr>
          <w:noProof/>
        </w:rPr>
        <w:t xml:space="preserve"> tai käyttäjien mahdollisuudet käynnistää ja seurata oikeudenkäyntejä siviili-, kauppa- ja hallinnollisissa asioissa</w:t>
      </w:r>
      <w:r>
        <w:rPr>
          <w:rStyle w:val="FootnoteReference"/>
          <w:noProof/>
          <w:lang w:eastAsia="en-GB"/>
        </w:rPr>
        <w:footnoteReference w:id="82"/>
      </w:r>
      <w:r>
        <w:rPr>
          <w:noProof/>
        </w:rPr>
        <w:t>. Puutteita on erityisesti syyttäjänlaitoksessa</w:t>
      </w:r>
      <w:r>
        <w:rPr>
          <w:rStyle w:val="FootnoteReference"/>
          <w:noProof/>
          <w:lang w:eastAsia="en-GB"/>
        </w:rPr>
        <w:footnoteReference w:id="83"/>
      </w:r>
      <w:r>
        <w:rPr>
          <w:noProof/>
        </w:rPr>
        <w:t xml:space="preserve"> ja oikeuskäsittelyjen digitaalisissa ratkaisuissa rikosoikeudellisissa asioissa</w:t>
      </w:r>
      <w:r>
        <w:rPr>
          <w:rStyle w:val="FootnoteReference"/>
          <w:noProof/>
          <w:lang w:eastAsia="en-GB"/>
        </w:rPr>
        <w:footnoteReference w:id="84"/>
      </w:r>
      <w:r>
        <w:rPr>
          <w:noProof/>
        </w:rPr>
        <w:t>. On kuitenkin merkkejä siitä, että vaikka käytössä on välineitä ja infrastruktuureja, niiden käyttöä voi käytännössä vaikeuttaa esteet kuten huono käyttäjäystävällisyys, käytettyjen eri tietojärjestelmien yhteensopimattomuus tai käyttäjien taitojen puute</w:t>
      </w:r>
      <w:r>
        <w:rPr>
          <w:rStyle w:val="FootnoteReference"/>
          <w:noProof/>
          <w:lang w:eastAsia="en-GB"/>
        </w:rPr>
        <w:footnoteReference w:id="85"/>
      </w:r>
      <w:r>
        <w:rPr>
          <w:noProof/>
        </w:rPr>
        <w:t>. Vaikka COVID-19-pandemia on yleisesti edistänyt digitalisointiprosessia, se on myös paljastanut joitakin näistä käytännön puutteista</w:t>
      </w:r>
      <w:r>
        <w:rPr>
          <w:rStyle w:val="FootnoteReference"/>
          <w:noProof/>
          <w:lang w:eastAsia="en-GB"/>
        </w:rPr>
        <w:footnoteReference w:id="86"/>
      </w:r>
      <w:r>
        <w:rPr>
          <w:noProof/>
        </w:rPr>
        <w:t>. Oikeusministeriön uuden tietotekniikkaosaston alaisuudessa on käynnissä useita hankkeita, joilla pyritään vastaamaan oikeuslaitoksen tarpeisiin, mukaan lukien uuden asianhallintajärjestelmän ja uuden kaupparekisterin kehittäminen, jotka sisällytettiin myös Slovakian elpymis- ja palautumissuunnitelmaan</w:t>
      </w:r>
      <w:r>
        <w:rPr>
          <w:rStyle w:val="FootnoteReference"/>
          <w:noProof/>
          <w:lang w:eastAsia="en-GB"/>
        </w:rPr>
        <w:footnoteReference w:id="87"/>
      </w:r>
      <w:r>
        <w:rPr>
          <w:noProof/>
        </w:rPr>
        <w:t xml:space="preserve">. </w:t>
      </w:r>
    </w:p>
    <w:p>
      <w:pPr>
        <w:rPr>
          <w:noProof/>
        </w:rPr>
      </w:pPr>
      <w:r>
        <w:rPr>
          <w:b/>
          <w:noProof/>
        </w:rPr>
        <w:t>Vaikka pandemialla oli huomattavaa vaikutusta oikeuslaitokseen, kaiken kaikkiaan tuomioistuimet ja asianajajat pystyivät jatkamaan työtään.</w:t>
      </w:r>
      <w:r>
        <w:rPr>
          <w:noProof/>
        </w:rPr>
        <w:t xml:space="preserve"> Piirituomioistuimien ja alueellisten tuomioistuinten järjestämien käsittelyjen määrä väheni. Pidetyt käsittelyt järjestettiin videokokouksina tai tarvittaessa henkilökohtaisesti turvallisuustoimenpiteitä noudattaen. Vaikutus korkeimpaan oikeuteen on ollut vähäisempää, myös siksi, että useimmat sen oikeudenkäyntimenettelyistä ovat kirjallisia</w:t>
      </w:r>
      <w:r>
        <w:rPr>
          <w:rStyle w:val="FootnoteReference"/>
          <w:noProof/>
        </w:rPr>
        <w:footnoteReference w:id="88"/>
      </w:r>
      <w:r>
        <w:rPr>
          <w:noProof/>
        </w:rPr>
        <w:t>. Pandemia vaikutti myös asianajajiin, mutta heidän työssään ei ollut huomattavia esteitä</w:t>
      </w:r>
      <w:r>
        <w:rPr>
          <w:rStyle w:val="FootnoteReference"/>
          <w:noProof/>
        </w:rPr>
        <w:footnoteReference w:id="89"/>
      </w:r>
      <w:r>
        <w:rPr>
          <w:noProof/>
        </w:rPr>
        <w:t>. Tuomarineuvosto on seurannut tiiviisti tilannetta tuomioistuimissa. Oikeusministeriö on julkaissut rajoituksia koskevia ohjeita ja tietoja, joita tuomioistuimissa on arvostettu</w:t>
      </w:r>
      <w:r>
        <w:rPr>
          <w:rStyle w:val="FootnoteReference"/>
          <w:noProof/>
        </w:rPr>
        <w:footnoteReference w:id="90"/>
      </w:r>
      <w:r>
        <w:rPr>
          <w:noProof/>
        </w:rPr>
        <w:t>.</w:t>
      </w:r>
    </w:p>
    <w:p>
      <w:pPr>
        <w:pStyle w:val="Heading2"/>
        <w:rPr>
          <w:noProof/>
        </w:rPr>
      </w:pPr>
      <w:r>
        <w:rPr>
          <w:noProof/>
        </w:rPr>
        <w:t>Tehokkuus</w:t>
      </w:r>
    </w:p>
    <w:p>
      <w:pPr>
        <w:rPr>
          <w:rFonts w:eastAsia="Times New Roman" w:cs="Times New Roman"/>
          <w:b/>
          <w:smallCaps/>
          <w:noProof/>
          <w:szCs w:val="24"/>
          <w:u w:val="single"/>
        </w:rPr>
      </w:pPr>
      <w:r>
        <w:rPr>
          <w:b/>
          <w:noProof/>
        </w:rPr>
        <w:t>Hallinnollisten asioiden oikeudenkäyntien tehokkuus on edelleen heikentynyt.</w:t>
      </w:r>
      <w:r>
        <w:rPr>
          <w:noProof/>
        </w:rPr>
        <w:t xml:space="preserve"> Hallinnollisten asioiden käsittelyaika, joka on EU:n näkökulmasta verrattain pitkä, jatkoi kasvuaan vuonna 2019, ja se oli 518 päivää, kun se vuonna 2018 oli 157 päivää</w:t>
      </w:r>
      <w:r>
        <w:rPr>
          <w:rStyle w:val="FootnoteReference"/>
          <w:noProof/>
        </w:rPr>
        <w:footnoteReference w:id="91"/>
      </w:r>
      <w:r>
        <w:rPr>
          <w:noProof/>
        </w:rPr>
        <w:t>. Samaan aikaan myös selvitysaste on edelleen laskenut 81,4 prosenttiin vuonna 2019 (verrattuna 96,1 prosenttiin vuonna 2018)</w:t>
      </w:r>
      <w:r>
        <w:rPr>
          <w:rStyle w:val="FootnoteReference"/>
          <w:noProof/>
        </w:rPr>
        <w:footnoteReference w:id="92"/>
      </w:r>
      <w:r>
        <w:rPr>
          <w:noProof/>
        </w:rPr>
        <w:t>. Tämä viittaa siihen, että järjestelmä ei pysty käsittelemään työtaakkaa tehokkaasti hallinnollisissa tapauksissa. Siviili- ja kauppaoikeudellisissa riita-asioissa oikeudenkäynnin arvioitu kesto kohosi vuonna 2019 vuoteen 2018 verrattuna ja oli 170 päivää (verrattuna 157 päivään vuonna 2018)</w:t>
      </w:r>
      <w:r>
        <w:rPr>
          <w:rStyle w:val="FootnoteReference"/>
          <w:noProof/>
        </w:rPr>
        <w:footnoteReference w:id="93"/>
      </w:r>
      <w:r>
        <w:rPr>
          <w:noProof/>
        </w:rPr>
        <w:t>. Euroopan neuvosto on tutkinut useita riita-asioiden ryhmiä koskien siviiliasioiden käsittelyn liiallista kestoa</w:t>
      </w:r>
      <w:r>
        <w:rPr>
          <w:rStyle w:val="FootnoteReference"/>
          <w:noProof/>
        </w:rPr>
        <w:footnoteReference w:id="94"/>
      </w:r>
      <w:r>
        <w:rPr>
          <w:noProof/>
        </w:rPr>
        <w:t xml:space="preserve">. </w:t>
      </w:r>
    </w:p>
    <w:p>
      <w:pPr>
        <w:pStyle w:val="Heading1"/>
        <w:rPr>
          <w:noProof/>
        </w:rPr>
      </w:pPr>
      <w:r>
        <w:rPr>
          <w:noProof/>
        </w:rPr>
        <w:t xml:space="preserve">Korruptiontorjunnan kehys </w:t>
      </w:r>
    </w:p>
    <w:p>
      <w:pPr>
        <w:rPr>
          <w:rFonts w:cstheme="minorHAnsi"/>
          <w:noProof/>
          <w:color w:val="000000"/>
          <w:shd w:val="clear" w:color="auto" w:fill="FFFFFF"/>
        </w:rPr>
      </w:pPr>
      <w:r>
        <w:rPr>
          <w:noProof/>
          <w:color w:val="000000"/>
          <w:bdr w:val="none" w:sz="0" w:space="0" w:color="auto" w:frame="1"/>
        </w:rPr>
        <w:t>Slovakiassa korruption ehkäisemistä, paljastamista ja syytteeseenpanoa koskeva toimivalta on jaettu useiden viranomaisten kesken. Keskeinen elin korruption torjunnan koordinoinnissa on valtioneuvoston kanslia, joka raportoi suoraan pääministerin toimistoon. Poliisivoimien ylijohdon kansallinen rikostorjuntavirasto vastaa korruptiorikosten havaitsemisesta ja tutkinnasta lukuun ottamatta korruptiorikoksia, joihin syyllistyvät poliisin omat jäsenet ja tietyt tarkastusviraston alaisuuteen kuuluvat lainvalvontaviranomaiset</w:t>
      </w:r>
      <w:r>
        <w:rPr>
          <w:rStyle w:val="FootnoteReference"/>
          <w:rFonts w:cstheme="minorHAnsi"/>
          <w:noProof/>
          <w:color w:val="000000"/>
          <w:bdr w:val="none" w:sz="0" w:space="0" w:color="auto" w:frame="1"/>
        </w:rPr>
        <w:footnoteReference w:id="95"/>
      </w:r>
      <w:r>
        <w:rPr>
          <w:noProof/>
          <w:color w:val="000000"/>
          <w:bdr w:val="none" w:sz="0" w:space="0" w:color="auto" w:frame="1"/>
        </w:rPr>
        <w:t xml:space="preserve">. </w:t>
      </w:r>
      <w:r>
        <w:rPr>
          <w:noProof/>
        </w:rPr>
        <w:t>Erityissyyttäjänvirastolla</w:t>
      </w:r>
      <w:r>
        <w:rPr>
          <w:rStyle w:val="FootnoteReference"/>
          <w:rFonts w:cstheme="minorHAnsi"/>
          <w:noProof/>
          <w:color w:val="000000"/>
          <w:bdr w:val="none" w:sz="0" w:space="0" w:color="auto" w:frame="1"/>
        </w:rPr>
        <w:footnoteReference w:id="96"/>
      </w:r>
      <w:r>
        <w:rPr>
          <w:noProof/>
        </w:rPr>
        <w:t xml:space="preserve"> on yksinomainen toimivalta tutkia erityisrikostuomioistuimen asialliseen toimivaltaan kuuluvia rikoksia, mukaan lukien korruptiorikokset</w:t>
      </w:r>
      <w:r>
        <w:rPr>
          <w:rStyle w:val="FootnoteReference"/>
          <w:rFonts w:cstheme="minorHAnsi"/>
          <w:noProof/>
          <w:color w:val="000000"/>
          <w:bdr w:val="none" w:sz="0" w:space="0" w:color="auto" w:frame="1"/>
        </w:rPr>
        <w:footnoteReference w:id="97"/>
      </w:r>
      <w:r>
        <w:rPr>
          <w:noProof/>
        </w:rPr>
        <w:t>.</w:t>
      </w:r>
      <w:r>
        <w:rPr>
          <w:noProof/>
          <w:color w:val="000000"/>
          <w:bdr w:val="none" w:sz="0" w:space="0" w:color="auto" w:frame="1"/>
        </w:rPr>
        <w:t xml:space="preserve"> </w:t>
      </w:r>
    </w:p>
    <w:p>
      <w:pPr>
        <w:rPr>
          <w:rFonts w:cs="Times New Roman"/>
          <w:noProof/>
          <w:szCs w:val="24"/>
        </w:rPr>
      </w:pPr>
      <w:r>
        <w:rPr>
          <w:b/>
          <w:bCs/>
          <w:noProof/>
        </w:rPr>
        <w:t xml:space="preserve">Asiantuntijoiden ja yritysjohtajien käsityksen mukaan korruptio on edelleen yleistä julkisella sektorilla. </w:t>
      </w:r>
      <w:r>
        <w:rPr>
          <w:noProof/>
        </w:rPr>
        <w:t xml:space="preserve">Transparency International -järjestön vuoden 2020 korruptioindeksissä Slovakia sai 49/100 pistettä ja on Euroopan unionissa 17. sijalla ja maailmanlaajuisesti 60. sijalla </w:t>
      </w:r>
      <w:r>
        <w:rPr>
          <w:rFonts w:cs="Times New Roman"/>
          <w:bCs/>
          <w:noProof/>
          <w:szCs w:val="24"/>
          <w:vertAlign w:val="superscript"/>
        </w:rPr>
        <w:footnoteReference w:id="98"/>
      </w:r>
      <w:r>
        <w:rPr>
          <w:noProof/>
        </w:rPr>
        <w:t>. Tämä käsitys on ollut suhteellisen vakaa</w:t>
      </w:r>
      <w:r>
        <w:rPr>
          <w:rFonts w:cs="Times New Roman"/>
          <w:noProof/>
          <w:szCs w:val="24"/>
          <w:vertAlign w:val="superscript"/>
        </w:rPr>
        <w:footnoteReference w:id="99"/>
      </w:r>
      <w:r>
        <w:rPr>
          <w:noProof/>
        </w:rPr>
        <w:t xml:space="preserve"> viimeisten viiden vuoden aikana</w:t>
      </w:r>
      <w:r>
        <w:rPr>
          <w:rFonts w:cs="Times New Roman"/>
          <w:noProof/>
          <w:szCs w:val="24"/>
          <w:vertAlign w:val="superscript"/>
        </w:rPr>
        <w:footnoteReference w:id="100"/>
      </w:r>
      <w:r>
        <w:rPr>
          <w:noProof/>
        </w:rPr>
        <w:t>.</w:t>
      </w:r>
    </w:p>
    <w:p>
      <w:pPr>
        <w:rPr>
          <w:rFonts w:cs="Times New Roman"/>
          <w:noProof/>
        </w:rPr>
      </w:pPr>
      <w:r>
        <w:rPr>
          <w:b/>
          <w:bCs/>
          <w:noProof/>
        </w:rPr>
        <w:t xml:space="preserve">Korruption torjunnan strategiset puitteet on annettu korruptiontorjuntapolitiikassa 2019–2023. </w:t>
      </w:r>
      <w:r>
        <w:rPr>
          <w:noProof/>
        </w:rPr>
        <w:t>Politiikassa</w:t>
      </w:r>
      <w:r>
        <w:rPr>
          <w:rFonts w:cs="Times New Roman"/>
          <w:noProof/>
          <w:vertAlign w:val="superscript"/>
        </w:rPr>
        <w:footnoteReference w:id="101"/>
      </w:r>
      <w:r>
        <w:rPr>
          <w:noProof/>
        </w:rPr>
        <w:t xml:space="preserve"> keskitytään pääasiassa ennaltaehkäisyyn pehmeiden toimenpiteiden avulla, ja siihen liittyy toimintasuunnitelma, kansallinen korruptiontorjuntaohjelma</w:t>
      </w:r>
      <w:r>
        <w:rPr>
          <w:rFonts w:cs="Times New Roman"/>
          <w:noProof/>
          <w:vertAlign w:val="superscript"/>
        </w:rPr>
        <w:footnoteReference w:id="102"/>
      </w:r>
      <w:r>
        <w:rPr>
          <w:noProof/>
        </w:rPr>
        <w:t>ja useita alakohtaisia ohjelmia</w:t>
      </w:r>
      <w:r>
        <w:rPr>
          <w:rFonts w:cs="Times New Roman"/>
          <w:noProof/>
          <w:vertAlign w:val="superscript"/>
        </w:rPr>
        <w:footnoteReference w:id="103"/>
      </w:r>
      <w:r>
        <w:rPr>
          <w:noProof/>
        </w:rPr>
        <w:t>. Koska nykyinen toimintasuunnitelma on olennaisilta osiltaan samanlainen kuin toimintapoliittinen asiakirja, siinä ei esitetä konkreettisia operatiivisia toimia politiikan painopisteiden täytäntöönpanon helpottamiseksi. Kansallista korruptiontorjuntaohjelmaa päivitetään parhaillaan</w:t>
      </w:r>
      <w:r>
        <w:rPr>
          <w:rFonts w:cs="Times New Roman"/>
          <w:noProof/>
          <w:vertAlign w:val="superscript"/>
        </w:rPr>
        <w:footnoteReference w:id="104"/>
      </w:r>
      <w:r>
        <w:rPr>
          <w:noProof/>
        </w:rPr>
        <w:t>. Valtioneuvoston kanslian korruptiontorjuntaosasto valvoo politiikan ja toimintasuunnitelman täytäntöönpanoa. Alakohtaisten ohjelmien täytäntöönpanon valvonta kuuluu asianomaisten keskushallinnon elinten toimivaltaan</w:t>
      </w:r>
      <w:r>
        <w:rPr>
          <w:rFonts w:cs="Times New Roman"/>
          <w:noProof/>
          <w:vertAlign w:val="superscript"/>
        </w:rPr>
        <w:footnoteReference w:id="105"/>
      </w:r>
      <w:r>
        <w:rPr>
          <w:noProof/>
        </w:rPr>
        <w:t xml:space="preserve">. </w:t>
      </w:r>
    </w:p>
    <w:p>
      <w:pPr>
        <w:rPr>
          <w:rFonts w:cs="Times New Roman"/>
          <w:noProof/>
        </w:rPr>
      </w:pPr>
      <w:r>
        <w:rPr>
          <w:b/>
          <w:bCs/>
          <w:noProof/>
        </w:rPr>
        <w:t>Rikosoikeudellista kehystä on täydennetty uudella omaisuuden takavarikointia koskevan lain voimaantulolla.</w:t>
      </w:r>
      <w:r>
        <w:rPr>
          <w:noProof/>
        </w:rPr>
        <w:t xml:space="preserve"> Tammikuussa 2021 voimaan tullut omaisuuden takavarikointia koskeva laki</w:t>
      </w:r>
      <w:r>
        <w:rPr>
          <w:rFonts w:cs="Times New Roman"/>
          <w:noProof/>
          <w:vertAlign w:val="superscript"/>
        </w:rPr>
        <w:footnoteReference w:id="106"/>
      </w:r>
      <w:r>
        <w:rPr>
          <w:noProof/>
        </w:rPr>
        <w:t xml:space="preserve"> estää muun muassa rikosoikeudellisten varojen laillistamisen kolmansille henkilöille tehtävien siirtojen avulla. Se myös muuttaa rikoslakia, jossa otetaan käyttöön uusia rikoksia, kuten rikos, joka koskee perusteettomien etuuksien tai perusteettomien etujen vastaanottamista tai tarjoamista, ja epäsuoraa korruptiota koskeva rikos</w:t>
      </w:r>
      <w:r>
        <w:rPr>
          <w:rFonts w:cs="Times New Roman"/>
          <w:noProof/>
          <w:vertAlign w:val="superscript"/>
        </w:rPr>
        <w:footnoteReference w:id="107"/>
      </w:r>
      <w:r>
        <w:rPr>
          <w:noProof/>
        </w:rPr>
        <w:t>. Lisäksi laissa määritellään rikoksen tuottama hyöty. Lailla perustetaan uusi virasto takavarikoidun omaisuuden hallinnointia varten</w:t>
      </w:r>
      <w:r>
        <w:rPr>
          <w:rFonts w:cs="Times New Roman"/>
          <w:noProof/>
          <w:vertAlign w:val="superscript"/>
        </w:rPr>
        <w:footnoteReference w:id="108"/>
      </w:r>
      <w:r>
        <w:rPr>
          <w:noProof/>
        </w:rPr>
        <w:t>. Lainsäädännössä on puutteita, jotka koskevat poliisin lupaa pyytää pankeilta epäiltyjen taloudellisia tietoja näiden rikosten tutkintavaiheessa</w:t>
      </w:r>
      <w:r>
        <w:rPr>
          <w:rFonts w:cs="Times New Roman"/>
          <w:noProof/>
          <w:vertAlign w:val="superscript"/>
        </w:rPr>
        <w:footnoteReference w:id="109"/>
      </w:r>
      <w:r>
        <w:rPr>
          <w:noProof/>
        </w:rPr>
        <w:t>sekä oletetun vaikutusvallan kaupankäynnin kriminalisointia</w:t>
      </w:r>
      <w:r>
        <w:rPr>
          <w:rFonts w:cs="Times New Roman"/>
          <w:noProof/>
          <w:vertAlign w:val="superscript"/>
        </w:rPr>
        <w:footnoteReference w:id="110"/>
      </w:r>
      <w:r>
        <w:rPr>
          <w:noProof/>
        </w:rPr>
        <w:t>.</w:t>
      </w:r>
    </w:p>
    <w:p>
      <w:pPr>
        <w:rPr>
          <w:rFonts w:cs="Times New Roman"/>
          <w:bCs/>
          <w:noProof/>
          <w:szCs w:val="24"/>
        </w:rPr>
      </w:pPr>
      <w:r>
        <w:rPr>
          <w:b/>
          <w:bCs/>
          <w:noProof/>
          <w:szCs w:val="24"/>
        </w:rPr>
        <w:t>Parhaillaan toteutetaan toimia, joilla lisätään erityissyyttäjänviraston resursseja</w:t>
      </w:r>
      <w:r>
        <w:rPr>
          <w:b/>
          <w:noProof/>
          <w:szCs w:val="24"/>
        </w:rPr>
        <w:t xml:space="preserve"> sen valmiuksien vahvistamiseksi.</w:t>
      </w:r>
      <w:r>
        <w:rPr>
          <w:noProof/>
        </w:rPr>
        <w:t xml:space="preserve"> Hallitus hyväksyi 10 päivänä helmikuuta 2021 ehdotuksen erityissyyttäjänviraston resurssien ja erityishenkilöstön määrän lisäämisestä</w:t>
      </w:r>
      <w:r>
        <w:rPr>
          <w:rFonts w:cs="Times New Roman"/>
          <w:bCs/>
          <w:noProof/>
          <w:szCs w:val="24"/>
          <w:vertAlign w:val="superscript"/>
        </w:rPr>
        <w:footnoteReference w:id="111"/>
      </w:r>
      <w:r>
        <w:rPr>
          <w:noProof/>
        </w:rPr>
        <w:t>. Syyttäjien määrä kasvoi 35:stä kaikkiaan 38:aan vuonna 2021. Korruptiota ja korruptioon liittyviä rikoksia käsittelevään erityisjaostoon liittyvänä tavoitteena on puuttua huoliin, jotka koskevat rajallisia resursseja ja kykyä nostaa syytteitä korkean tason korruptiosta</w:t>
      </w:r>
      <w:r>
        <w:rPr>
          <w:rFonts w:cs="Times New Roman"/>
          <w:bCs/>
          <w:noProof/>
          <w:szCs w:val="24"/>
          <w:vertAlign w:val="superscript"/>
        </w:rPr>
        <w:footnoteReference w:id="112"/>
      </w:r>
      <w:r>
        <w:rPr>
          <w:noProof/>
        </w:rPr>
        <w:t>, minkä vuoksi jaoston henkilöstömäärä on kaksinkertaistunut viidestä nykyiseen kymmeneen syyttäjään erityissyyttäjävirastossa</w:t>
      </w:r>
      <w:r>
        <w:rPr>
          <w:rFonts w:cs="Times New Roman"/>
          <w:bCs/>
          <w:noProof/>
          <w:szCs w:val="24"/>
          <w:vertAlign w:val="superscript"/>
        </w:rPr>
        <w:footnoteReference w:id="113"/>
      </w:r>
      <w:r>
        <w:rPr>
          <w:noProof/>
        </w:rPr>
        <w:t>. Uudelleenjärjestely tapahtui vuoden 2021 aikana</w:t>
      </w:r>
      <w:r>
        <w:rPr>
          <w:rFonts w:cs="Times New Roman"/>
          <w:bCs/>
          <w:noProof/>
          <w:szCs w:val="24"/>
          <w:vertAlign w:val="superscript"/>
        </w:rPr>
        <w:footnoteReference w:id="114"/>
      </w:r>
      <w:r>
        <w:rPr>
          <w:noProof/>
        </w:rPr>
        <w:t>. Lisäksi sovittiin erityissyyttäjänviraston määrärahojen huomattavasta lisäämisestä</w:t>
      </w:r>
      <w:r>
        <w:rPr>
          <w:rFonts w:cs="Times New Roman"/>
          <w:bCs/>
          <w:noProof/>
          <w:szCs w:val="24"/>
          <w:vertAlign w:val="superscript"/>
        </w:rPr>
        <w:footnoteReference w:id="115"/>
      </w:r>
      <w:r>
        <w:rPr>
          <w:noProof/>
        </w:rPr>
        <w:t>. Huolta herättää edelleen poliisin luottamuksen taso sekä poliisin erikoistuminen ja digitalisoituminen, jotka vaikuttavat syyttäjälaitoksen yhteistyöhön poliisin kanssa sekä korruption ja korruptioon liittyvien rikosten havaitsemiseen</w:t>
      </w:r>
      <w:r>
        <w:rPr>
          <w:rFonts w:cs="Times New Roman"/>
          <w:bCs/>
          <w:noProof/>
          <w:szCs w:val="24"/>
          <w:vertAlign w:val="superscript"/>
        </w:rPr>
        <w:footnoteReference w:id="116"/>
      </w:r>
      <w:r>
        <w:rPr>
          <w:noProof/>
        </w:rPr>
        <w:t>. Kuten oikeusvaltiota koskevassa vuosikertomuksessa 2020 todetaan, kansallisen rikosviraston rikosteknisten ja analyyttisten valmiuksien vahvistaminen tehostaisi talousrikostutkimuksia</w:t>
      </w:r>
      <w:r>
        <w:rPr>
          <w:rStyle w:val="FootnoteReference"/>
          <w:rFonts w:cs="Times New Roman"/>
          <w:bCs/>
          <w:noProof/>
          <w:szCs w:val="24"/>
        </w:rPr>
        <w:footnoteReference w:id="117"/>
      </w:r>
      <w:r>
        <w:rPr>
          <w:noProof/>
        </w:rPr>
        <w:t>. Poliisivoimien kattavaa uudistusta suunnitellaan poliisin nykyaikaistamiseksi kesäkuuhun 2022 mennessä</w:t>
      </w:r>
      <w:r>
        <w:rPr>
          <w:rFonts w:cs="Times New Roman"/>
          <w:bCs/>
          <w:noProof/>
          <w:szCs w:val="24"/>
          <w:vertAlign w:val="superscript"/>
        </w:rPr>
        <w:footnoteReference w:id="118"/>
      </w:r>
      <w:r>
        <w:rPr>
          <w:noProof/>
        </w:rPr>
        <w:t>.</w:t>
      </w:r>
    </w:p>
    <w:p>
      <w:pPr>
        <w:rPr>
          <w:rFonts w:cs="Times New Roman"/>
          <w:noProof/>
        </w:rPr>
      </w:pPr>
      <w:r>
        <w:rPr>
          <w:b/>
          <w:bCs/>
          <w:noProof/>
        </w:rPr>
        <w:t xml:space="preserve">Korkean tason korruption torjunta on lisääntynyt merkittävästi Slovakiassa raportointijakson aikana. </w:t>
      </w:r>
      <w:r>
        <w:rPr>
          <w:noProof/>
        </w:rPr>
        <w:t>Valmiudet tutkia ja nostaa syytteitä korkean tason korruptiosta ovat parantuneet huomattavasti julkisten joukkomielenosoitusten jälkeen, joissa vastustettiin korkean tason korruption rankaisematta jättämistä mikä käsitys perustui toimittaja Ján Kuciakin ja hänen kihlattunsa Martina Kušnírován murhan yhteydessä vuonna 2018 tehtyihin paljastuksiin. Lokakuusta 2020 lähtien useita poliisin, syyttäjälaitoksen ja oikeuslaitoksen sekä yksityisen sektorin entisiä korkean tason edustajia on syytetty korruptiosta ja korruptioon liittyvistä rikoksista</w:t>
      </w:r>
      <w:r>
        <w:rPr>
          <w:rFonts w:cs="Times New Roman"/>
          <w:noProof/>
          <w:vertAlign w:val="superscript"/>
        </w:rPr>
        <w:footnoteReference w:id="119"/>
      </w:r>
      <w:r>
        <w:rPr>
          <w:noProof/>
        </w:rPr>
        <w:t>. Vuonna 2020 kansallinen rikosvirasto aloitti oikeudenkäyntimenettelyn 158:ssa korruptiotapauksessa</w:t>
      </w:r>
      <w:r>
        <w:rPr>
          <w:rFonts w:cs="Times New Roman"/>
          <w:noProof/>
          <w:vertAlign w:val="superscript"/>
        </w:rPr>
        <w:footnoteReference w:id="120"/>
      </w:r>
      <w:r>
        <w:rPr>
          <w:noProof/>
        </w:rPr>
        <w:t>. Korruptiorikoksista tuomittujen määrä yli kaksinkertaistui vuodesta 2019 (62 tuomiota) vuoteen 2020 (128 tuomiota)</w:t>
      </w:r>
      <w:r>
        <w:rPr>
          <w:rFonts w:cs="Times New Roman"/>
          <w:noProof/>
          <w:vertAlign w:val="superscript"/>
        </w:rPr>
        <w:footnoteReference w:id="121"/>
      </w:r>
      <w:r>
        <w:rPr>
          <w:noProof/>
        </w:rPr>
        <w:t>. Äskettäin toukokuussa 2021 kansallinen rikosvirasto myös pidätti useita maarahaston korkean tason virkamiehiä,</w:t>
      </w:r>
      <w:r>
        <w:rPr>
          <w:rFonts w:cs="Times New Roman"/>
          <w:noProof/>
          <w:vertAlign w:val="superscript"/>
        </w:rPr>
        <w:footnoteReference w:id="122"/>
      </w:r>
      <w:r>
        <w:rPr>
          <w:noProof/>
        </w:rPr>
        <w:t xml:space="preserve"> joiden väitettiin osallistuneen korruptiojärjestelmiin vuosina 2016–2020</w:t>
      </w:r>
      <w:r>
        <w:rPr>
          <w:rFonts w:cs="Times New Roman"/>
          <w:noProof/>
          <w:vertAlign w:val="superscript"/>
        </w:rPr>
        <w:footnoteReference w:id="123"/>
      </w:r>
      <w:r>
        <w:rPr>
          <w:noProof/>
        </w:rPr>
        <w:t>. Tässä yhteydessä Euroopan petostentorjuntavirasto (OLAF) oli jo vuonna 2020 esittänyt epäilyjä maatalousmaksuja koskevien kolmen hallinnollisen tutkimuksen jälkeen, jotka koskivat puutteita maarahastossa avoimuuden, vuokrahakijoiden tasapuolisen kohtelun ja sisäisten menettelyjen oikeusvarmuuden osalta</w:t>
      </w:r>
      <w:r>
        <w:rPr>
          <w:rFonts w:cs="Times New Roman"/>
          <w:noProof/>
          <w:vertAlign w:val="superscript"/>
        </w:rPr>
        <w:footnoteReference w:id="124"/>
      </w:r>
      <w:r>
        <w:rPr>
          <w:noProof/>
        </w:rPr>
        <w:t>. Yhteistyö kansallisen rikosviraston, kansallisen turvallisuusviraston, korkeimman tarkastusviraston ja rahanpesun selvittelykeskuksen välillä voisi kuitenkin vielä parantua ja tiivistyä korruption havaitsemiseksi ja dokumentoimiseksi paremmin</w:t>
      </w:r>
      <w:r>
        <w:rPr>
          <w:rFonts w:cs="Times New Roman"/>
          <w:noProof/>
          <w:vertAlign w:val="superscript"/>
        </w:rPr>
        <w:footnoteReference w:id="125"/>
      </w:r>
      <w:r>
        <w:rPr>
          <w:noProof/>
        </w:rPr>
        <w:t>. Myös ulkomaisen lahjonnan tehokas toteutuminen on edelleen huolenaihe</w:t>
      </w:r>
      <w:r>
        <w:rPr>
          <w:rFonts w:cs="Times New Roman"/>
          <w:noProof/>
          <w:vertAlign w:val="superscript"/>
        </w:rPr>
        <w:footnoteReference w:id="126"/>
      </w:r>
      <w:r>
        <w:rPr>
          <w:noProof/>
        </w:rPr>
        <w:t>.</w:t>
      </w:r>
    </w:p>
    <w:p>
      <w:pPr>
        <w:rPr>
          <w:rFonts w:cs="Times New Roman"/>
          <w:noProof/>
        </w:rPr>
      </w:pPr>
      <w:r>
        <w:rPr>
          <w:b/>
          <w:noProof/>
        </w:rPr>
        <w:t>Slovakian parlamentti on nimittänyt väärinkäytösten paljastajien  suojeluviraston johtajan helmikuussa 2021</w:t>
      </w:r>
      <w:r>
        <w:rPr>
          <w:noProof/>
        </w:rPr>
        <w:t>. Tämän nimityksen jälkeen</w:t>
      </w:r>
      <w:r>
        <w:rPr>
          <w:rFonts w:cs="Times New Roman"/>
          <w:noProof/>
          <w:szCs w:val="24"/>
          <w:vertAlign w:val="superscript"/>
        </w:rPr>
        <w:footnoteReference w:id="127"/>
      </w:r>
      <w:r>
        <w:rPr>
          <w:noProof/>
        </w:rPr>
        <w:t xml:space="preserve"> virasto aloittaa toimintansa kuuden kuukauden kuluessa</w:t>
      </w:r>
      <w:r>
        <w:rPr>
          <w:rFonts w:cs="Times New Roman"/>
          <w:noProof/>
          <w:vertAlign w:val="superscript"/>
        </w:rPr>
        <w:footnoteReference w:id="128"/>
      </w:r>
      <w:r>
        <w:rPr>
          <w:noProof/>
        </w:rPr>
        <w:t>. Viraston johtajan toimikausi on seitsemän vuotta. Virasto on riippumaton muista osastoista</w:t>
      </w:r>
      <w:r>
        <w:rPr>
          <w:rFonts w:cs="Times New Roman"/>
          <w:noProof/>
          <w:vertAlign w:val="superscript"/>
        </w:rPr>
        <w:footnoteReference w:id="129"/>
      </w:r>
      <w:r>
        <w:rPr>
          <w:noProof/>
        </w:rPr>
        <w:t>. Viraston toimeksiannossa keskitytään lainrikkomuksiin ja väärinkäytösilmoituksen kohteena olevan laitoksen toteuttamilta vastatoimilta suojautumiseen, ja viraston toiminta perustuu luottamuksellisuuden ja nimettömyyden periaatteisiin</w:t>
      </w:r>
      <w:r>
        <w:rPr>
          <w:rFonts w:cs="Times New Roman"/>
          <w:noProof/>
          <w:vertAlign w:val="superscript"/>
        </w:rPr>
        <w:footnoteReference w:id="130"/>
      </w:r>
      <w:r>
        <w:rPr>
          <w:noProof/>
        </w:rPr>
        <w:t xml:space="preserve">. Viraston tehtävänä on antaa neuvoja, koulutusta, metodologista ohjausta ja lisätä yleistä tietoisuutta ilmiantamisesta, myös korruptiotapauksissa. Virasto on tilivelvollinen parlamentille ja antaa vuosikertomuksen. Viraston kohderyhmänä ovat sekä julkinen että yksityinen sektori. </w:t>
      </w:r>
    </w:p>
    <w:p>
      <w:pPr>
        <w:rPr>
          <w:rFonts w:cs="Times New Roman"/>
          <w:noProof/>
          <w:szCs w:val="24"/>
        </w:rPr>
      </w:pPr>
      <w:r>
        <w:rPr>
          <w:b/>
          <w:bCs/>
          <w:noProof/>
        </w:rPr>
        <w:t>Slovakia sitoutui esittämään lobbausta koskevan lakiehdotuksen marraskuussa 2021.</w:t>
      </w:r>
      <w:r>
        <w:rPr>
          <w:noProof/>
        </w:rPr>
        <w:t xml:space="preserve"> Valtioneuvoston kanslian johtama prosessi</w:t>
      </w:r>
      <w:r>
        <w:rPr>
          <w:rFonts w:cs="Times New Roman"/>
          <w:noProof/>
          <w:vertAlign w:val="superscript"/>
        </w:rPr>
        <w:footnoteReference w:id="131"/>
      </w:r>
      <w:r>
        <w:rPr>
          <w:noProof/>
        </w:rPr>
        <w:t xml:space="preserve"> on alustavassa valmisteluvaiheessa</w:t>
      </w:r>
      <w:r>
        <w:rPr>
          <w:rFonts w:cs="Times New Roman"/>
          <w:noProof/>
          <w:vertAlign w:val="superscript"/>
        </w:rPr>
        <w:footnoteReference w:id="132"/>
      </w:r>
      <w:r>
        <w:rPr>
          <w:noProof/>
        </w:rPr>
        <w:t>. Lainsäädäntöä on yritetty antaa useita kertoja, mutta toistaiseksi lobbausta ei ole säännelty Slovakiassa</w:t>
      </w:r>
      <w:r>
        <w:rPr>
          <w:rStyle w:val="FootnoteReference"/>
          <w:rFonts w:cs="Times New Roman"/>
          <w:noProof/>
        </w:rPr>
        <w:footnoteReference w:id="133"/>
      </w:r>
      <w:r>
        <w:rPr>
          <w:noProof/>
        </w:rPr>
        <w:t>. Näin ollen lobbaajia, lobbaustoimintaa ja lobbauksen kohteita koskevia oikeudellisia määritelmiä ei ole, eikä käytössä ole tehokkaita seuraamuksia asiattomasta lobbauksesta tai lainsäädäntöjalanjälkeä lobbauksen avoimuudesta</w:t>
      </w:r>
      <w:r>
        <w:rPr>
          <w:rFonts w:cs="Times New Roman"/>
          <w:noProof/>
          <w:vertAlign w:val="superscript"/>
        </w:rPr>
        <w:footnoteReference w:id="134"/>
      </w:r>
      <w:r>
        <w:rPr>
          <w:noProof/>
        </w:rPr>
        <w:t>. Asiaan liittyvän lainsäädännön ja välineiden avulla voidaan kuitenkin seurata sidosryhmien kommentteja ja sitä, missä määrin ne ovat löytäneet lainsäädäntöehdotuksen</w:t>
      </w:r>
      <w:r>
        <w:rPr>
          <w:rFonts w:cs="Times New Roman"/>
          <w:noProof/>
          <w:vertAlign w:val="superscript"/>
        </w:rPr>
        <w:footnoteReference w:id="135"/>
      </w:r>
      <w:r>
        <w:rPr>
          <w:noProof/>
        </w:rPr>
        <w:t>. Vuonna 2021 on tarkoitus antaa myös parlamentin jäsenten eettiset säännöt</w:t>
      </w:r>
      <w:r>
        <w:rPr>
          <w:rFonts w:cs="Times New Roman"/>
          <w:noProof/>
          <w:vertAlign w:val="superscript"/>
        </w:rPr>
        <w:footnoteReference w:id="136"/>
      </w:r>
      <w:r>
        <w:rPr>
          <w:noProof/>
        </w:rPr>
        <w:t xml:space="preserve"> ja säädös työsuhteen päättymisen jälkeisistä säännöistä (nk. pyöröovisäännöt)</w:t>
      </w:r>
      <w:r>
        <w:rPr>
          <w:rFonts w:cs="Times New Roman"/>
          <w:noProof/>
          <w:vertAlign w:val="superscript"/>
        </w:rPr>
        <w:footnoteReference w:id="137"/>
      </w:r>
      <w:r>
        <w:rPr>
          <w:noProof/>
        </w:rPr>
        <w:t>. Yleisen edun suojaa koskevaan lakiin tehdyt muutokset ovat tulleet voimaan, ja niissä säädetään velvollisuudesta ilmoittaa lahjat tai muut etuudet sekä irtaimen tai kiinteän omaisuuden käyttö</w:t>
      </w:r>
      <w:r>
        <w:rPr>
          <w:rFonts w:cs="Times New Roman"/>
          <w:noProof/>
          <w:vertAlign w:val="superscript"/>
        </w:rPr>
        <w:footnoteReference w:id="138"/>
      </w:r>
      <w:r>
        <w:rPr>
          <w:noProof/>
        </w:rPr>
        <w:t>.</w:t>
      </w:r>
    </w:p>
    <w:p>
      <w:pPr>
        <w:rPr>
          <w:rFonts w:cs="Times New Roman"/>
          <w:noProof/>
          <w:szCs w:val="24"/>
        </w:rPr>
      </w:pPr>
      <w:r>
        <w:rPr>
          <w:b/>
          <w:noProof/>
        </w:rPr>
        <w:t>Hallitus aikoo perustaa uuden keskitetyn viraston, joka valvoo ja tarkastaa myös ylimmän johdon virkamiesten varoja.</w:t>
      </w:r>
      <w:r>
        <w:rPr>
          <w:noProof/>
        </w:rPr>
        <w:t xml:space="preserve"> Valtioneuvoston kanslia on yhteistyössä parlamentin kanssa ensimmäisessä vaiheessa muodostamassa käsitystä lainsäädäntöehdotuksesta yhtenäisen viraston perustamiseksi</w:t>
      </w:r>
      <w:r>
        <w:rPr>
          <w:rFonts w:cs="Times New Roman"/>
          <w:noProof/>
          <w:vertAlign w:val="superscript"/>
        </w:rPr>
        <w:footnoteReference w:id="139"/>
      </w:r>
      <w:r>
        <w:rPr>
          <w:noProof/>
        </w:rPr>
        <w:t>. Parlamentin jäsenten, tuomareiden, syyttäjien ja virkamiesten varallisuusilmoitusten järjestelmä on toistaiseksi hajautettu. Vuoden 2021 alussa kerrottiin parlamentin jäsenten vuoden 2019 varallisuusilmoitusten julkaisussa, minkä piti tapahtua elokuussa 2020, tapahtuneista merkittävistä viivästyksistä COVID-19-pandemiaan liittyvistä syistä ja käynnissä olevista menettelyistä sakkojen määräämiseksi noudattamatta jättämisestä</w:t>
      </w:r>
      <w:r>
        <w:rPr>
          <w:rFonts w:cs="Times New Roman"/>
          <w:noProof/>
          <w:vertAlign w:val="superscript"/>
        </w:rPr>
        <w:footnoteReference w:id="140"/>
      </w:r>
      <w:r>
        <w:rPr>
          <w:noProof/>
        </w:rPr>
        <w:t>.</w:t>
      </w:r>
    </w:p>
    <w:p>
      <w:pPr>
        <w:rPr>
          <w:rFonts w:cs="Times New Roman"/>
          <w:noProof/>
        </w:rPr>
      </w:pPr>
      <w:r>
        <w:rPr>
          <w:b/>
          <w:bCs/>
          <w:noProof/>
        </w:rPr>
        <w:t>Poliittisten puolueiden rahoitus on avointa, mutta valvontaa voitaisiin tehostaa</w:t>
      </w:r>
      <w:r>
        <w:rPr>
          <w:noProof/>
        </w:rPr>
        <w:t>. Slovakian poliittisten puolueiden rahoitusta sääntelevä pääasiallinen laki on laki poliittisista puolueista ja liikkeistä</w:t>
      </w:r>
      <w:r>
        <w:rPr>
          <w:rFonts w:cs="Times New Roman"/>
          <w:noProof/>
          <w:vertAlign w:val="superscript"/>
        </w:rPr>
        <w:footnoteReference w:id="141"/>
      </w:r>
      <w:r>
        <w:rPr>
          <w:noProof/>
        </w:rPr>
        <w:t>. Lahjoitukset poliittisille puolueille on rajoitettu enintään 5,000 euroon käteistä kalenterivuodessa. Tällaista rajoitusta ei ole vaalikaudella. Lahjoitukset ulkomaisilta yhteisöiltä ja nimettömiltä lahjoittajilta ovat kiellettyjä. Jos määräyksiä ei noudateta, poliittisten puolueiden rahoituksen valitsemisen ja valvonnan lautakunta voi määrätä sakkoa, joka on kaksinkertainen lahjoituksesta tai maksuttomasta palvelusta saatuihin tuloihin verrattuna. Osapuolten on raportoitava rahatalouksistaan vuosittain puoluerahoitusta valvovalle lautakunnalle. Tilinpäätöskertomukset asetetaan julkisesti saataville. Slovakian tasavallan kansallinen neuvosto valvoo kertomuksia, ja niissä on paljastettava vaalikampanjoihin liittyviä taloudellisia tietoja ja lahjoittajien henkilöllisyys</w:t>
      </w:r>
      <w:r>
        <w:rPr>
          <w:rFonts w:cs="Times New Roman"/>
          <w:noProof/>
          <w:vertAlign w:val="superscript"/>
        </w:rPr>
        <w:footnoteReference w:id="142"/>
      </w:r>
      <w:r>
        <w:rPr>
          <w:noProof/>
        </w:rPr>
        <w:t>. Valvontaelinten henkilöresurssit ovat rajalliset, ja on esitetty huolenaiheita niissä tapahtuvista poliittisista nimityksistä</w:t>
      </w:r>
      <w:r>
        <w:rPr>
          <w:rFonts w:cs="Times New Roman"/>
          <w:noProof/>
          <w:vertAlign w:val="superscript"/>
        </w:rPr>
        <w:footnoteReference w:id="143"/>
      </w:r>
      <w:r>
        <w:rPr>
          <w:noProof/>
        </w:rPr>
        <w:t>. Kahden päivän kuluessa hyväksytty lakiehdotus, jolla tiukennetaan vuoden 2020 vaalien kampanjarahoitussääntöjä rajoittamalla lahjoituksia</w:t>
      </w:r>
      <w:r>
        <w:rPr>
          <w:rFonts w:cs="Times New Roman"/>
          <w:noProof/>
          <w:vertAlign w:val="superscript"/>
        </w:rPr>
        <w:footnoteReference w:id="144"/>
      </w:r>
      <w:r>
        <w:rPr>
          <w:noProof/>
        </w:rPr>
        <w:t>, on vaikuttanut erityisesti äskettäin perustettuihin puolueisiin, minkä vuoksi uudet puolueet, kansalaisyhteiskunta ja tiedotusvälineet ovat huolissaan osapuolten välisen kilpailun oikeudenmukaisuudesta.</w:t>
      </w:r>
    </w:p>
    <w:p>
      <w:pPr>
        <w:rPr>
          <w:rFonts w:cs="Times New Roman"/>
          <w:noProof/>
        </w:rPr>
      </w:pPr>
      <w:r>
        <w:rPr>
          <w:b/>
          <w:bCs/>
          <w:noProof/>
        </w:rPr>
        <w:t>Syyttäjänlaitoksen mukaan COVID-19-pandemialla ei ollut saatujen tietojen mukaan erityistä vaikutusta korruption esiintymiseen, havaitsemiseen tai torjuntatoimiin Slovakiassa.</w:t>
      </w:r>
      <w:r>
        <w:rPr>
          <w:noProof/>
        </w:rPr>
        <w:t xml:space="preserve"> Joitakin kokeita on lykätty, koska COVID-19-pandemia on vaikuttanut tapausten ruuhkautumiseen</w:t>
      </w:r>
      <w:r>
        <w:rPr>
          <w:rFonts w:cs="Times New Roman"/>
          <w:noProof/>
          <w:vertAlign w:val="superscript"/>
        </w:rPr>
        <w:footnoteReference w:id="145"/>
      </w:r>
      <w:r>
        <w:rPr>
          <w:noProof/>
        </w:rPr>
        <w:t>. Suuririskiset alat, jotka olivat alttiita korruptiolle ennen pandemiaa, enimmäkseen pysyivät korruptiolle alttiina pandemian aikana, muun muassa julkiset hankinnat ja terveydenhuoltoala. Pandemiaan liittyvien tukipetosten riski ja esiintyminen jälkimmäisellä alalla kasvoi</w:t>
      </w:r>
      <w:r>
        <w:rPr>
          <w:rFonts w:cs="Times New Roman"/>
          <w:noProof/>
          <w:vertAlign w:val="superscript"/>
        </w:rPr>
        <w:footnoteReference w:id="146"/>
      </w:r>
      <w:r>
        <w:rPr>
          <w:noProof/>
        </w:rPr>
        <w:t>. Terveysministeriön alakohtaisen korruptiontorjuntaohjelman puitteissa</w:t>
      </w:r>
      <w:r>
        <w:rPr>
          <w:rFonts w:cs="Times New Roman"/>
          <w:noProof/>
          <w:vertAlign w:val="superscript"/>
        </w:rPr>
        <w:footnoteReference w:id="147"/>
      </w:r>
      <w:r>
        <w:rPr>
          <w:noProof/>
        </w:rPr>
        <w:t>perustettiin erityinen työryhmä arvioimaan korruptioriskejä COVID-19-pandemian yhteydessä. Se löysi kaksi riskialuetta, jotka liittyvät tukikelvottomiin kustannuspyyntöihin ja korvaushakemusten päällekkäisyyteen</w:t>
      </w:r>
      <w:r>
        <w:rPr>
          <w:rFonts w:cs="Times New Roman"/>
          <w:noProof/>
          <w:vertAlign w:val="superscript"/>
        </w:rPr>
        <w:footnoteReference w:id="148"/>
      </w:r>
      <w:r>
        <w:rPr>
          <w:noProof/>
        </w:rPr>
        <w:t>. Hallitus laati lainsäädäntöehdotuksen,</w:t>
      </w:r>
      <w:r>
        <w:rPr>
          <w:rFonts w:cs="Times New Roman"/>
          <w:noProof/>
          <w:vertAlign w:val="superscript"/>
        </w:rPr>
        <w:footnoteReference w:id="149"/>
      </w:r>
      <w:r>
        <w:rPr>
          <w:noProof/>
        </w:rPr>
        <w:t xml:space="preserve"> jolla muutetaan sen julkisia hankintoja koskevaa lainsäädäntöä, jotta voitaisiin lyhentää tavaroiden, palvelujen ja rakennustyön hankintaan tarvittavaa aikaa pandemian aikana. Ehdotusta tarkistettiin kuitenkin toukokuussa 2021 julkisen vetoomuksen ja kritiikin seurauksena, koska julkisten hankintojen virasto suljettiin alun perin suunnitellun tarkastusmenettelyn ulkopuolelle näin ollen sulkien arvokkaat toimeksiannot julkisen valvonnan ulkopuolelle</w:t>
      </w:r>
      <w:r>
        <w:rPr>
          <w:rFonts w:cs="Times New Roman"/>
          <w:noProof/>
          <w:vertAlign w:val="superscript"/>
        </w:rPr>
        <w:footnoteReference w:id="150"/>
      </w:r>
      <w:r>
        <w:rPr>
          <w:noProof/>
        </w:rPr>
        <w:t>. Kansalaisyhteiskunnan mukaan tarkistetussa lainsäädäntöehdotuksessa käsitellään vetoomuksessa esiin tuotuja huolenaiheita, jotka lisäävät avoimuutta ja julkista valvontaa ja vähentävät siten korruptioriskejä</w:t>
      </w:r>
      <w:r>
        <w:rPr>
          <w:rFonts w:cs="Times New Roman"/>
          <w:noProof/>
          <w:vertAlign w:val="superscript"/>
        </w:rPr>
        <w:footnoteReference w:id="151"/>
      </w:r>
      <w:r>
        <w:rPr>
          <w:noProof/>
        </w:rPr>
        <w:t>.</w:t>
      </w:r>
    </w:p>
    <w:p>
      <w:pPr>
        <w:pStyle w:val="Heading1"/>
        <w:rPr>
          <w:noProof/>
        </w:rPr>
      </w:pPr>
      <w:r>
        <w:rPr>
          <w:noProof/>
        </w:rPr>
        <w:t xml:space="preserve">Tiedotusvälineiden moniarvoisuus ja vapaus </w:t>
      </w:r>
    </w:p>
    <w:p>
      <w:pPr>
        <w:rPr>
          <w:rFonts w:cs="Times New Roman"/>
          <w:noProof/>
          <w:szCs w:val="24"/>
        </w:rPr>
      </w:pPr>
      <w:r>
        <w:rPr>
          <w:noProof/>
        </w:rPr>
        <w:t>Slovakian perustuslaissa vahvistetaan oikeus ilmaista mielipiteitä suullisesti, kirjallisesti, kuvalla tai muulla tavoin, oikeus etsiä, vastaanottaa ja levittää ideoita ja tietoa sekä oikeus saada tietoa. Tiedonsaantioikeudesta säädetään tiedonvapauslaissa</w:t>
      </w:r>
      <w:r>
        <w:rPr>
          <w:rFonts w:cs="Times New Roman"/>
          <w:noProof/>
          <w:vertAlign w:val="superscript"/>
        </w:rPr>
        <w:footnoteReference w:id="152"/>
      </w:r>
      <w:r>
        <w:rPr>
          <w:noProof/>
        </w:rPr>
        <w:t>. Lähetys- ja edelleenlähetystoiminnasta annetun lain</w:t>
      </w:r>
      <w:r>
        <w:rPr>
          <w:rFonts w:cs="Times New Roman"/>
          <w:noProof/>
          <w:vertAlign w:val="superscript"/>
        </w:rPr>
        <w:footnoteReference w:id="153"/>
      </w:r>
      <w:r>
        <w:rPr>
          <w:noProof/>
        </w:rPr>
        <w:t xml:space="preserve"> tarkoituksena on varmistaa tiedonvälityksen moniarvoisuus, kun taas lehdistölaissa</w:t>
      </w:r>
      <w:r>
        <w:rPr>
          <w:rFonts w:cs="Times New Roman"/>
          <w:noProof/>
          <w:vertAlign w:val="superscript"/>
        </w:rPr>
        <w:footnoteReference w:id="154"/>
      </w:r>
      <w:r>
        <w:rPr>
          <w:noProof/>
        </w:rPr>
        <w:t xml:space="preserve"> vahvistetaan lehdistöä ja toimittajia koskevat säännöt</w:t>
      </w:r>
      <w:r>
        <w:rPr>
          <w:rStyle w:val="FootnoteReference"/>
          <w:rFonts w:cs="Times New Roman"/>
          <w:noProof/>
        </w:rPr>
        <w:footnoteReference w:id="155"/>
      </w:r>
      <w:r>
        <w:rPr>
          <w:noProof/>
        </w:rPr>
        <w:t>. Lähetys- ja edelleenlähetystoimintaa koskeva laki on tarkoitus saattaa audiovisuaalisia mediapalveluja koskevan direktiivin mukaiseksi</w:t>
      </w:r>
      <w:r>
        <w:rPr>
          <w:rStyle w:val="FootnoteReference"/>
          <w:rFonts w:cs="Times New Roman"/>
          <w:noProof/>
        </w:rPr>
        <w:footnoteReference w:id="156"/>
      </w:r>
      <w:r>
        <w:rPr>
          <w:noProof/>
        </w:rPr>
        <w:t xml:space="preserve">. </w:t>
      </w:r>
    </w:p>
    <w:p>
      <w:pPr>
        <w:rPr>
          <w:rFonts w:cs="Times New Roman"/>
          <w:noProof/>
          <w:szCs w:val="24"/>
        </w:rPr>
      </w:pPr>
      <w:r>
        <w:rPr>
          <w:b/>
          <w:noProof/>
          <w:szCs w:val="24"/>
        </w:rPr>
        <w:t>Lähetys- ja edelleenlähetystoiminnasta vastaava neuvosto toimii itsenäisesti</w:t>
      </w:r>
      <w:r>
        <w:rPr>
          <w:rStyle w:val="FootnoteReference"/>
          <w:rFonts w:cs="Times New Roman"/>
          <w:b/>
          <w:noProof/>
          <w:szCs w:val="24"/>
        </w:rPr>
        <w:footnoteReference w:id="157"/>
      </w:r>
      <w:r>
        <w:rPr>
          <w:b/>
          <w:noProof/>
          <w:szCs w:val="24"/>
        </w:rPr>
        <w:t xml:space="preserve">. </w:t>
      </w:r>
      <w:r>
        <w:rPr>
          <w:noProof/>
        </w:rPr>
        <w:t>Koska lähetystoiminnasta vastaava neuvosto määrää omasta talousarviostaan, sille osoitetut varat katsotaan riittäviksi sen tehtävien hoitamiseen,</w:t>
      </w:r>
      <w:r>
        <w:rPr>
          <w:rFonts w:cs="Times New Roman"/>
          <w:noProof/>
          <w:szCs w:val="24"/>
          <w:vertAlign w:val="superscript"/>
        </w:rPr>
        <w:footnoteReference w:id="158"/>
      </w:r>
      <w:r>
        <w:rPr>
          <w:noProof/>
        </w:rPr>
        <w:t xml:space="preserve"> ja neuvoston jäsenten nimittämistä ja erottamista koskevat selkeät säännöt vahvistetaan lailla</w:t>
      </w:r>
      <w:r>
        <w:rPr>
          <w:rFonts w:cs="Times New Roman"/>
          <w:noProof/>
          <w:szCs w:val="24"/>
          <w:vertAlign w:val="superscript"/>
        </w:rPr>
        <w:footnoteReference w:id="159"/>
      </w:r>
      <w:r>
        <w:rPr>
          <w:noProof/>
        </w:rPr>
        <w:t>, MPM 2021</w:t>
      </w:r>
      <w:r>
        <w:rPr>
          <w:rFonts w:cs="Times New Roman"/>
          <w:noProof/>
          <w:szCs w:val="24"/>
          <w:vertAlign w:val="superscript"/>
        </w:rPr>
        <w:footnoteReference w:id="160"/>
      </w:r>
      <w:r>
        <w:rPr>
          <w:noProof/>
        </w:rPr>
        <w:t xml:space="preserve"> vahvistaa, että neuvoston riippumattomuus on yleisesti taattu, vaikka satunnaiset poliittiset nimitykset ovat edelleen ongelma. </w:t>
      </w:r>
    </w:p>
    <w:p>
      <w:pPr>
        <w:rPr>
          <w:rFonts w:cs="Times New Roman"/>
          <w:noProof/>
        </w:rPr>
      </w:pPr>
      <w:r>
        <w:rPr>
          <w:b/>
          <w:bCs/>
          <w:noProof/>
        </w:rPr>
        <w:t>Lähetys- ja edelleenlähetystoiminnasta annetun lain muuttamisesta annetun lakiehdotuksen odotetaan antavan puitteet tiedotusvälineiden omistuksen avoimuuden varmistamiseksi</w:t>
      </w:r>
      <w:r>
        <w:rPr>
          <w:noProof/>
        </w:rPr>
        <w:t>. Odottaessaan kyseisen lain hyväksymistä, joka on määrä hyväksyä vuoden 2021 loppuun mennessä</w:t>
      </w:r>
      <w:r>
        <w:rPr>
          <w:rStyle w:val="FootnoteReference"/>
          <w:rFonts w:cs="Times New Roman"/>
          <w:noProof/>
        </w:rPr>
        <w:footnoteReference w:id="161"/>
      </w:r>
      <w:r>
        <w:rPr>
          <w:noProof/>
        </w:rPr>
        <w:t>, ja jonka odotetaan antavan säännökset omistusrakenteen ja tosiasiallisen omistuksen avoimuudesta, kuten audiovisuaalisia mediapalveluja koskevassa direktiivissä ennakoidaan, MPM 2021 katsoo jälleen</w:t>
      </w:r>
      <w:r>
        <w:rPr>
          <w:rStyle w:val="FootnoteReference"/>
          <w:rFonts w:cs="Times New Roman"/>
          <w:noProof/>
        </w:rPr>
        <w:footnoteReference w:id="162"/>
      </w:r>
      <w:r>
        <w:rPr>
          <w:noProof/>
        </w:rPr>
        <w:t xml:space="preserve"> sääntelyn puutteen merkitsevän sitä, että tämä on edelleen suuren riskin ala</w:t>
      </w:r>
      <w:r>
        <w:rPr>
          <w:rStyle w:val="FootnoteReference"/>
          <w:noProof/>
        </w:rPr>
        <w:t xml:space="preserve"> </w:t>
      </w:r>
      <w:r>
        <w:rPr>
          <w:rStyle w:val="FootnoteReference"/>
          <w:rFonts w:cs="Times New Roman"/>
          <w:noProof/>
        </w:rPr>
        <w:footnoteReference w:id="163"/>
      </w:r>
      <w:r>
        <w:rPr>
          <w:noProof/>
        </w:rPr>
        <w:t>. Lähetys- ja edelleenlähetystoiminnasta annettuun lakiin sisältyy enimmäismääriä ja rajoituksia, joilla estetään laaja horisontaalinen omistuskeskittymä televisio- ja radiomarkkinoilla. Tuloja ja yleisön markkinaosuuksia koskevien tietojen puuttuminen vaikeuttaa kuitenkin todellisen tilanteen arviointia</w:t>
      </w:r>
      <w:r>
        <w:rPr>
          <w:rStyle w:val="FootnoteReference"/>
          <w:noProof/>
        </w:rPr>
        <w:footnoteReference w:id="164"/>
      </w:r>
      <w:r>
        <w:rPr>
          <w:noProof/>
        </w:rPr>
        <w:t>.</w:t>
      </w:r>
    </w:p>
    <w:p>
      <w:pPr>
        <w:rPr>
          <w:rFonts w:eastAsia="Calibri"/>
          <w:noProof/>
          <w:szCs w:val="24"/>
        </w:rPr>
      </w:pPr>
      <w:r>
        <w:rPr>
          <w:b/>
          <w:bCs/>
          <w:noProof/>
        </w:rPr>
        <w:t xml:space="preserve">Tutkivan toimittajan Ján Kuciakin ja hänen kihlattunsa Martina Kušnírován murhaan vuonna 2018 osallistuneille henkilöille annettiin useita tuomioita. </w:t>
      </w:r>
      <w:r>
        <w:rPr>
          <w:noProof/>
        </w:rPr>
        <w:t>Erityisrikostuomioistuin tuomitsi kolme henkilöä 15–25 vuodeksi vankeuteen. Yhdestä tuomiosta syytetty on valittanut. Yleinen syyttäjä valitti murhan väitettyjen toimeenpanijoiden ensimmäisen oikeusasteen tuomioistuimesta saamista vapauttavista tuomioista</w:t>
      </w:r>
      <w:r>
        <w:rPr>
          <w:rStyle w:val="FootnoteReference"/>
          <w:rFonts w:cs="Times New Roman"/>
          <w:noProof/>
        </w:rPr>
        <w:footnoteReference w:id="165"/>
      </w:r>
      <w:r>
        <w:rPr>
          <w:noProof/>
        </w:rPr>
        <w:t>. Korkein oikeus kumosi 15 päivänä kesäkuuta 2021 erityisrikostuomioistuimen ensimmäisenä oikeusasteena määräämät vapauttavat tuomiot ja palautti asian viimeksi mainittuun tuomioistuimeen. Korkein oikeus vahvisti myös yhdelle syytetyistä määrätyn 25-vuotisen vankeusrangaistuksen</w:t>
      </w:r>
      <w:r>
        <w:rPr>
          <w:rStyle w:val="FootnoteReference"/>
          <w:rFonts w:eastAsia="Times New Roman" w:cs="Times New Roman"/>
          <w:noProof/>
          <w:lang w:eastAsia="fr-FR"/>
        </w:rPr>
        <w:footnoteReference w:id="166"/>
      </w:r>
      <w:r>
        <w:rPr>
          <w:noProof/>
        </w:rPr>
        <w:t>.</w:t>
      </w:r>
    </w:p>
    <w:p>
      <w:pPr>
        <w:rPr>
          <w:noProof/>
        </w:rPr>
      </w:pPr>
      <w:r>
        <w:rPr>
          <w:b/>
          <w:bCs/>
          <w:noProof/>
        </w:rPr>
        <w:t xml:space="preserve">Sekä hallituksen että oppositiopoliitikkojen toimittajiin ja tiedotusvälineisiin kohdistamista sanallisista hyökkäyksistä on raportoitu. </w:t>
      </w:r>
      <w:r>
        <w:rPr>
          <w:noProof/>
        </w:rPr>
        <w:t>Toimittajia on syytetty ’kiusaamisesta’ ja hallituksen työn heikentämisestä COVID-19-pandemian aikana.</w:t>
      </w:r>
      <w:r>
        <w:rPr>
          <w:b/>
          <w:bCs/>
          <w:noProof/>
        </w:rPr>
        <w:t xml:space="preserve"> </w:t>
      </w:r>
      <w:r>
        <w:rPr>
          <w:noProof/>
        </w:rPr>
        <w:t>Syyskuusta 2020 lähtien Euroopan neuvoston journalismin suojelua ja toimittajien turvallisuutta edistävä foorumi on julkaissut yhden Slovakiaa koskevan varoituksen,</w:t>
      </w:r>
      <w:r>
        <w:rPr>
          <w:rFonts w:cs="Times New Roman"/>
          <w:noProof/>
          <w:vertAlign w:val="superscript"/>
        </w:rPr>
        <w:footnoteReference w:id="167"/>
      </w:r>
      <w:r>
        <w:rPr>
          <w:noProof/>
        </w:rPr>
        <w:t xml:space="preserve"> jossa oli kyse tunnistamattomien henkilöiden sanomalehden toimittajaan kohdistamasta valvonnasta</w:t>
      </w:r>
      <w:r>
        <w:rPr>
          <w:rStyle w:val="FootnoteReference"/>
          <w:rFonts w:cs="Times New Roman"/>
          <w:noProof/>
        </w:rPr>
        <w:footnoteReference w:id="168"/>
      </w:r>
      <w:r>
        <w:rPr>
          <w:noProof/>
        </w:rPr>
        <w:t>. Ehdotettua lainsäädäntöä, jolla pyritään lisäämään toimittajien suojelua, on lykätty COVID-19-pandemian vuoksi</w:t>
      </w:r>
      <w:r>
        <w:rPr>
          <w:rStyle w:val="FootnoteReference"/>
          <w:rFonts w:cs="Times New Roman"/>
          <w:noProof/>
        </w:rPr>
        <w:footnoteReference w:id="169"/>
      </w:r>
      <w:r>
        <w:rPr>
          <w:noProof/>
        </w:rPr>
        <w:t>. Ehdotuksiin sisältyy toimittajien aseman määrittely, toimittajien lähteiden suojelu sekä tiedonsaannin parantaminen. Lisäksi hallitus valmistelee parhaillaan muutoksia Slovakian tällä hetkellä tiukkoihin rikosoikeudellisiin kunnianloukkauslakeihin toimittajien suojaamiseksi. Mitään uutismedioihin kohdistuvaa tukijärjestelmää ei otettu käyttöön COVID-19-pandemian vaikutusten torjumiseksi</w:t>
      </w:r>
      <w:r>
        <w:rPr>
          <w:rStyle w:val="FootnoteReference"/>
          <w:rFonts w:cs="Times New Roman"/>
          <w:noProof/>
        </w:rPr>
        <w:footnoteReference w:id="170"/>
      </w:r>
      <w:r>
        <w:rPr>
          <w:noProof/>
        </w:rPr>
        <w:t xml:space="preserve">. </w:t>
      </w:r>
    </w:p>
    <w:p>
      <w:pPr>
        <w:pStyle w:val="Heading1"/>
        <w:rPr>
          <w:noProof/>
        </w:rPr>
      </w:pPr>
      <w:r>
        <w:rPr>
          <w:noProof/>
        </w:rPr>
        <w:t>Muut hallitusjärjestelmän osien keskinäiseen valvontaan liittyvät institutionaaliset kysymykset</w:t>
      </w:r>
    </w:p>
    <w:p>
      <w:pPr>
        <w:rPr>
          <w:rFonts w:cs="Times New Roman"/>
          <w:noProof/>
          <w:szCs w:val="24"/>
        </w:rPr>
      </w:pPr>
      <w:r>
        <w:rPr>
          <w:noProof/>
        </w:rPr>
        <w:t>Slovakia on parlamentaarinen tasavalta, jossa parlamentti on ainoa perustuslaillinen lainsäädäntöelin</w:t>
      </w:r>
      <w:r>
        <w:rPr>
          <w:rFonts w:cs="Times New Roman"/>
          <w:noProof/>
          <w:szCs w:val="24"/>
          <w:vertAlign w:val="superscript"/>
        </w:rPr>
        <w:footnoteReference w:id="171"/>
      </w:r>
      <w:r>
        <w:rPr>
          <w:noProof/>
        </w:rPr>
        <w:t>. Oikeus esittää lainsäädäntöehdotuksia kuuluu parlamentin valiokunnille, parlamentin yksittäisille jäsenille ja hallitukselle</w:t>
      </w:r>
      <w:r>
        <w:rPr>
          <w:rFonts w:cs="Times New Roman"/>
          <w:noProof/>
          <w:szCs w:val="24"/>
          <w:vertAlign w:val="superscript"/>
        </w:rPr>
        <w:footnoteReference w:id="172"/>
      </w:r>
      <w:r>
        <w:rPr>
          <w:noProof/>
        </w:rPr>
        <w:t xml:space="preserve">. Perustuslakituomioistuin päättää lakien yhteensopivuudesta perustuslain, perustuslain tasoisten lakien ja kansainvälisten sopimusten kanssa ja varmistaa perusoikeuksien ja perustuslaillisten oikeuksien kunnioittamisen. Myös riippumattomilla viranomaisilla on tehtävänsä perusoikeuksien turvaamisessa. </w:t>
      </w:r>
    </w:p>
    <w:p>
      <w:pPr>
        <w:rPr>
          <w:rFonts w:eastAsia="Times New Roman" w:cs="Times New Roman"/>
          <w:noProof/>
          <w:szCs w:val="20"/>
        </w:rPr>
      </w:pPr>
      <w:r>
        <w:rPr>
          <w:b/>
          <w:bCs/>
          <w:noProof/>
        </w:rPr>
        <w:t xml:space="preserve">Lainsäädäntöprosessin osallistavuus on herättänyt huolta. </w:t>
      </w:r>
      <w:r>
        <w:rPr>
          <w:noProof/>
        </w:rPr>
        <w:t>Äskettäinen perustuslakiuudistus (ks. I jakso) ilmoitettiin tiedoksi huhtikuussa 2020 annetussa hallituksen ohjelmajulistuksessa. Sen jälkeen kun se oli esitetty useille sidosryhmille</w:t>
      </w:r>
      <w:r>
        <w:rPr>
          <w:rStyle w:val="FootnoteReference"/>
          <w:rFonts w:eastAsia="Times New Roman" w:cs="Times New Roman"/>
          <w:noProof/>
          <w:lang w:eastAsia="fr-FR"/>
        </w:rPr>
        <w:footnoteReference w:id="173"/>
      </w:r>
      <w:r>
        <w:rPr>
          <w:noProof/>
        </w:rPr>
        <w:t xml:space="preserve"> ja siitä oli järjestetty kirjallinen julkinen kuuleminen heinäkuussa 2020, se toimitettiin parlamentille lokakuun alussa 2020 ja hyväksyttiin joulukuussa 2020. Uudistuksen laajuuden ja merkityksen vuoksi sidosryhmät olivat huolissaan siitä, ettei uudistuksen pääpiirteitä koskevaa laajaa ja asiantuntevaa keskustelua ole käyty, sekä siitä, ettei Venetsian komissiota ole kuultu</w:t>
      </w:r>
      <w:r>
        <w:rPr>
          <w:rStyle w:val="FootnoteReference"/>
          <w:rFonts w:eastAsia="Times New Roman" w:cs="Times New Roman"/>
          <w:noProof/>
          <w:lang w:eastAsia="fr-FR"/>
        </w:rPr>
        <w:footnoteReference w:id="174"/>
      </w:r>
      <w:r>
        <w:rPr>
          <w:noProof/>
        </w:rPr>
        <w:t>. Sidosryhmät ovat korostaneet, että perustuslailliset muutokset seuraavat avointa ja oikea-aikaista julkista keskustelua, johon sidosryhmät ja kansalaisyhteiskunta osallistuvat eurooppalaisten normien mukaisesti</w:t>
      </w:r>
      <w:r>
        <w:rPr>
          <w:rStyle w:val="FootnoteReference"/>
          <w:rFonts w:eastAsia="Times New Roman" w:cs="Times New Roman"/>
          <w:noProof/>
          <w:lang w:eastAsia="fr-FR"/>
        </w:rPr>
        <w:footnoteReference w:id="175"/>
      </w:r>
      <w:r>
        <w:rPr>
          <w:noProof/>
        </w:rPr>
        <w:t>. Sidosryhmät ovat myös ilmaisseet huolensa siitä, että ne eivät ole osallistuneet muihin lainsäädäntöprosesseihin,</w:t>
      </w:r>
      <w:r>
        <w:rPr>
          <w:rStyle w:val="FootnoteReference"/>
          <w:rFonts w:eastAsia="Times New Roman" w:cs="Times New Roman"/>
          <w:noProof/>
          <w:lang w:eastAsia="fr-FR"/>
        </w:rPr>
        <w:footnoteReference w:id="176"/>
      </w:r>
      <w:r>
        <w:rPr>
          <w:noProof/>
        </w:rPr>
        <w:t xml:space="preserve"> ja siitä, että parlamentissa käytetään nopeutettuja menettelyjä, joita noudatettiin myös lainsäädännössä, joka ei tiukasti liittynyt pandemiaan</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Vuonna 2020 julkistetut suunnitelmat lainsäädäntöprosessin parantamiseksi ja julkishallinnon avoimuuden, tehokkuuden ja vastuullisuuden lisäämiseksi eivät ole vielä toteutuneet</w:t>
      </w:r>
      <w:r>
        <w:rPr>
          <w:rStyle w:val="FootnoteReference"/>
          <w:b/>
          <w:bCs/>
          <w:noProof/>
        </w:rPr>
        <w:footnoteReference w:id="178"/>
      </w:r>
      <w:r>
        <w:rPr>
          <w:b/>
          <w:bCs/>
          <w:noProof/>
        </w:rPr>
        <w:t xml:space="preserve">. </w:t>
      </w:r>
      <w:r>
        <w:rPr>
          <w:noProof/>
        </w:rPr>
        <w:t>Huhtikuussa 2021 toimintansa aloittanut uusi hallitus sisällytti ohjelmajulistukseensa edellisen hallituksen sitoumukset</w:t>
      </w:r>
      <w:r>
        <w:rPr>
          <w:rStyle w:val="FootnoteReference"/>
          <w:noProof/>
        </w:rPr>
        <w:footnoteReference w:id="179"/>
      </w:r>
      <w:r>
        <w:rPr>
          <w:noProof/>
        </w:rPr>
        <w:t xml:space="preserve"> parantaa lainsäädännön valmistelu- ja täytäntöönpanoprosessia, lisätä julkishallinnon avoimuutta, tehokkuutta ja vastuullisuutta, laajentaa tiedonsaantia ja laajentaa avoimen hallinnon soveltamista. Se on myös ottanut vastuulleen korkeimman tarkastusviraston toimivallan lisäämisen</w:t>
      </w:r>
      <w:r>
        <w:rPr>
          <w:rStyle w:val="FootnoteReference"/>
          <w:noProof/>
        </w:rPr>
        <w:footnoteReference w:id="180"/>
      </w:r>
      <w:r>
        <w:rPr>
          <w:noProof/>
        </w:rPr>
        <w:t>. Näitä tavoitteita koskevia ehdotuksia ei ole vielä esitetty tai sidosryhmien kuulemisia käynnistetty. Tietojen vapaata saatavuutta koskevan lain muutos on hallituksen valmisteluvaiheessa</w:t>
      </w:r>
      <w:r>
        <w:rPr>
          <w:rStyle w:val="FootnoteReference"/>
          <w:noProof/>
        </w:rPr>
        <w:footnoteReference w:id="181"/>
      </w:r>
      <w:r>
        <w:rPr>
          <w:noProof/>
        </w:rPr>
        <w:t xml:space="preserve">. </w:t>
      </w:r>
    </w:p>
    <w:p>
      <w:pPr>
        <w:rPr>
          <w:rFonts w:eastAsia="Times New Roman" w:cs="Times New Roman"/>
          <w:noProof/>
          <w:szCs w:val="20"/>
        </w:rPr>
      </w:pPr>
      <w:r>
        <w:rPr>
          <w:b/>
          <w:bCs/>
          <w:noProof/>
        </w:rPr>
        <w:t>Perustuslakiuudistuksessa säädetään nimenomaisesti, että perustuslakituomioistuimella ei ole toimivaltaa tarkistaa perustuslain tasoisia lakeja</w:t>
      </w:r>
      <w:r>
        <w:rPr>
          <w:noProof/>
        </w:rPr>
        <w:t>. Perustuslakituomioistuin on aiemmin vahvistanut, että sillä on valtuudet arvioida perustuslain tasoisten lakien perustuslaillisuutta, jota se on käyttänyt kerran suojellakseen oikeuslaitoksen riippumattomuutta</w:t>
      </w:r>
      <w:r>
        <w:rPr>
          <w:rStyle w:val="FootnoteReference"/>
          <w:rFonts w:eastAsia="Times New Roman" w:cs="Times New Roman"/>
          <w:noProof/>
          <w:lang w:eastAsia="fr-FR"/>
        </w:rPr>
        <w:footnoteReference w:id="182"/>
      </w:r>
      <w:r>
        <w:rPr>
          <w:noProof/>
        </w:rPr>
        <w:t>. Äskettäinen perustuslakiuudistus (ks. I jakso) on muuttanut perustuslain sanamuotoa siten, että siinä nimenomaisesti kielletään tuomioistuinta tarkastelemasta uudelleen tällaisten lakien perustuslaillisuutta. Sidosryhmät ovat arvostelleet muutosta</w:t>
      </w:r>
      <w:r>
        <w:rPr>
          <w:rStyle w:val="FootnoteReference"/>
          <w:rFonts w:eastAsia="Times New Roman" w:cs="Times New Roman"/>
          <w:noProof/>
          <w:lang w:eastAsia="fr-FR"/>
        </w:rPr>
        <w:footnoteReference w:id="183"/>
      </w:r>
      <w:r>
        <w:rPr>
          <w:noProof/>
        </w:rPr>
        <w:t>. Tämän muutoksen perustuslainmukaisuus on asetettu kyseenalaiseksi perustuslakituomioistuimessa, jossa asia on edelleen vireillä</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Parlamentti muutti poikkeustilaa koskevaa lainsäädäntöä siten, että sen voimassaoloa voidaan jatkaa yli 90 päivän ajan</w:t>
      </w:r>
      <w:r>
        <w:rPr>
          <w:noProof/>
        </w:rPr>
        <w:t>. Parlamentti jatkoi toimintaansa poikkeustilassa ilman suuria häiriöitä</w:t>
      </w:r>
      <w:r>
        <w:rPr>
          <w:rStyle w:val="FootnoteReference"/>
          <w:rFonts w:eastAsia="Times New Roman" w:cs="Times New Roman"/>
          <w:noProof/>
          <w:lang w:eastAsia="fr-FR"/>
        </w:rPr>
        <w:footnoteReference w:id="185"/>
      </w:r>
      <w:r>
        <w:rPr>
          <w:noProof/>
        </w:rPr>
        <w:t>. Poikkeustila antaa hallitukselle mahdollisuuden hyväksyä asetuksia, jotka rajoittavat erinäisiä oikeuksia ja vapauksia, kuten liikkumisvapautta</w:t>
      </w:r>
      <w:r>
        <w:rPr>
          <w:rStyle w:val="FootnoteReference"/>
          <w:rFonts w:eastAsia="Times New Roman" w:cs="Times New Roman"/>
          <w:noProof/>
          <w:lang w:eastAsia="fr-FR"/>
        </w:rPr>
        <w:footnoteReference w:id="186"/>
      </w:r>
      <w:r>
        <w:rPr>
          <w:noProof/>
        </w:rPr>
        <w:t>. Hallitus voi julistaa poikkeustilan enintään 90 päiväksi perustuslaillisessa laissa säädetyin edellytyksin</w:t>
      </w:r>
      <w:r>
        <w:rPr>
          <w:rStyle w:val="FootnoteReference"/>
          <w:rFonts w:eastAsia="Times New Roman" w:cs="Times New Roman"/>
          <w:noProof/>
          <w:lang w:eastAsia="fr-FR"/>
        </w:rPr>
        <w:footnoteReference w:id="187"/>
      </w:r>
      <w:r>
        <w:rPr>
          <w:noProof/>
        </w:rPr>
        <w:t>. Sen jälkeen kun poikkeustilaa oli sovellettu 16 päivästä maaliskuuta 2020 13 päivään kesäkuuta 2020</w:t>
      </w:r>
      <w:r>
        <w:rPr>
          <w:rStyle w:val="FootnoteReference"/>
          <w:rFonts w:eastAsia="Times New Roman" w:cs="Times New Roman"/>
          <w:noProof/>
          <w:lang w:eastAsia="fr-FR"/>
        </w:rPr>
        <w:footnoteReference w:id="188"/>
      </w:r>
      <w:r>
        <w:rPr>
          <w:noProof/>
        </w:rPr>
        <w:t>, hallitus julisti uuden poikkeustilan 1 päivästä lokakuuta 2020 alkaen. Parlamentti muutti joulukuussa 2020 asiaa koskevaa lainsäädäntöä, jotta hallitus voisi uudelleen jatkaa poikkeustilaa 40 päivällä ja parlamentti voi hyväksyä sen myöhemmin</w:t>
      </w:r>
      <w:r>
        <w:rPr>
          <w:rStyle w:val="FootnoteReference"/>
          <w:rFonts w:eastAsia="Times New Roman" w:cs="Times New Roman"/>
          <w:noProof/>
          <w:lang w:eastAsia="fr-FR"/>
        </w:rPr>
        <w:footnoteReference w:id="189"/>
      </w:r>
      <w:r>
        <w:rPr>
          <w:noProof/>
        </w:rPr>
        <w:t>. Poikkeustila päättyi 15. toukokuuta 2021. Perustuslakituomioistuimella on toimivalta tarkastella uudelleen poikkeustilan julistamisen ja pidentämisen perustuslainmukaisuutta</w:t>
      </w:r>
      <w:r>
        <w:rPr>
          <w:rStyle w:val="FootnoteReference"/>
          <w:rFonts w:eastAsia="Times New Roman" w:cs="Times New Roman"/>
          <w:noProof/>
          <w:lang w:eastAsia="fr-FR"/>
        </w:rPr>
        <w:footnoteReference w:id="190"/>
      </w:r>
      <w:r>
        <w:rPr>
          <w:noProof/>
        </w:rPr>
        <w:t>. Sidosryhmät ovat kuitenkin todenneet, että tarkistuksen määräajat ovat lyhyet</w:t>
      </w:r>
      <w:r>
        <w:rPr>
          <w:rStyle w:val="FootnoteReference"/>
          <w:rFonts w:eastAsia="Times New Roman" w:cs="Times New Roman"/>
          <w:noProof/>
          <w:lang w:eastAsia="fr-FR"/>
        </w:rPr>
        <w:footnoteReference w:id="191"/>
      </w:r>
      <w:r>
        <w:rPr>
          <w:noProof/>
        </w:rPr>
        <w:t>. Perustuslakituomioistuinta pyydettiin tarkastelemaan julistuksen ja yhden pidentämisjakson perustuslainmukaisuutta, ja se totesi molemmissa tapauksissa, että asiaa koskevaa lainsäädäntöä oli noudatettu</w:t>
      </w:r>
      <w:r>
        <w:rPr>
          <w:rStyle w:val="FootnoteReference"/>
          <w:rFonts w:eastAsia="Times New Roman" w:cs="Times New Roman"/>
          <w:noProof/>
          <w:lang w:eastAsia="fr-FR"/>
        </w:rPr>
        <w:footnoteReference w:id="192"/>
      </w:r>
      <w:r>
        <w:rPr>
          <w:noProof/>
        </w:rPr>
        <w:t>. Perustuslakituomioistuin on myös tarkastellut useita pandemian yhteydessä hyväksyttyjä toimenpiteitä ja selventänyt kysymyksiä, jotka koskevat yleisten tuomioistuinten toimivaltaa ratkaista tällaisia toimenpiteitä. Lainsäädännön myöhempien muutosten jälkeen</w:t>
      </w:r>
      <w:r>
        <w:rPr>
          <w:rStyle w:val="FootnoteReference"/>
          <w:rFonts w:eastAsia="Times New Roman" w:cs="Times New Roman"/>
          <w:noProof/>
          <w:lang w:eastAsia="fr-FR"/>
        </w:rPr>
        <w:footnoteReference w:id="193"/>
      </w:r>
      <w:r>
        <w:rPr>
          <w:noProof/>
        </w:rPr>
        <w:t xml:space="preserve"> on kuitenkin tuotu esiin huoli siitä, että oikeutta erinäisten toimenpiteiden oikeudelliseen uudelleentarkasteluun ei voida taata riittävästi</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Oikeusasiamies ja kansallinen ihmisoikeuskeskus ottivat aktiivisen roolin kansalaisten oikeuksien puolustamisessa pandemian aikana. </w:t>
      </w:r>
      <w:r>
        <w:rPr>
          <w:noProof/>
        </w:rPr>
        <w:t>Oikeusasiamies on riippumaton elin, jonka tehtävänä on suojella perusoikeuksia ja -vapauksia julkisessa hallinnossa ja muissa julkisissa elimissä tapahtuvissa menettelyissä. Slovakian kansallinen ihmisoikeuskeskus on toimivaltainen kansallinen ihmisoikeusinstituutio ja Slovakian tasa-arvoelin</w:t>
      </w:r>
      <w:r>
        <w:rPr>
          <w:rStyle w:val="FootnoteReference"/>
          <w:rFonts w:eastAsia="Times New Roman" w:cs="Times New Roman"/>
          <w:noProof/>
          <w:lang w:eastAsia="fr-FR"/>
        </w:rPr>
        <w:footnoteReference w:id="195"/>
      </w:r>
      <w:r>
        <w:rPr>
          <w:noProof/>
        </w:rPr>
        <w:t>. COVID-19-pandemian aikana oikeusasiamiehelle tehtyjen kantelujen määrä nousi lähes 50 prosenttia ja kansalaisten esittämät ohjeistuspyynnöt lisääntyivät pandemiaan liittyvien toimenpiteiden osalta</w:t>
      </w:r>
      <w:r>
        <w:rPr>
          <w:rStyle w:val="FootnoteReference"/>
          <w:rFonts w:eastAsia="Times New Roman" w:cs="Times New Roman"/>
          <w:noProof/>
          <w:lang w:eastAsia="fr-FR"/>
        </w:rPr>
        <w:footnoteReference w:id="196"/>
      </w:r>
      <w:r>
        <w:rPr>
          <w:noProof/>
        </w:rPr>
        <w:t>. Kansallisen ihmisoikeuskeskuksen työmäärä oli verrattavissa viime vuosien työmäärään, mutta valitusten sisältö muuttui, ja suurin osa niistä koski pandemiaan liittyviä toimenpiteitä</w:t>
      </w:r>
      <w:r>
        <w:rPr>
          <w:rStyle w:val="FootnoteReference"/>
          <w:rFonts w:eastAsia="Times New Roman" w:cs="Times New Roman"/>
          <w:noProof/>
          <w:lang w:eastAsia="fr-FR"/>
        </w:rPr>
        <w:footnoteReference w:id="197"/>
      </w:r>
      <w:r>
        <w:rPr>
          <w:noProof/>
        </w:rPr>
        <w:t>. Toimielimet ovat havainneet rikkomuksia useilla aloilla, kuten ulkomailta palaavien henkilöiden valtion määräämissä karanteeneissa, erinäisten romaniyhteisöjen eristämisessä kokonaisuudessaan sekä hoitoon pääsyn ja koulutusoikeuden rajoittamiseen liittyen</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Kansalaisjärjestöille on edelleen olemassa suotuisa oikeudellinen kehys, mutta erinäisten kansalaisjärjestöjen rahoituksen rajoittamisesta on tullut esiin huolenaiheita</w:t>
      </w:r>
      <w:r>
        <w:rPr>
          <w:rStyle w:val="FootnoteReference"/>
          <w:rFonts w:eastAsia="Times New Roman" w:cs="Times New Roman"/>
          <w:b/>
          <w:bCs/>
          <w:noProof/>
          <w:lang w:eastAsia="fr-FR"/>
        </w:rPr>
        <w:footnoteReference w:id="199"/>
      </w:r>
      <w:r>
        <w:rPr>
          <w:b/>
          <w:bCs/>
          <w:noProof/>
        </w:rPr>
        <w:t xml:space="preserve">. </w:t>
      </w:r>
      <w:r>
        <w:rPr>
          <w:noProof/>
        </w:rPr>
        <w:t>Uusi hallitus on ottanut vastuulleen kansalaisyhteiskunnan vahvistamista koskevan sitoumuksen</w:t>
      </w:r>
      <w:r>
        <w:rPr>
          <w:rStyle w:val="FootnoteReference"/>
          <w:rFonts w:eastAsia="Times New Roman" w:cs="Times New Roman"/>
          <w:noProof/>
          <w:lang w:eastAsia="fr-FR"/>
        </w:rPr>
        <w:footnoteReference w:id="200"/>
      </w:r>
      <w:r>
        <w:rPr>
          <w:noProof/>
        </w:rPr>
        <w:t>. Joulukuussa 2020 perustettiin uusi voittoa tavoittelemattomien kansalaisjärjestöjen rekisteri.</w:t>
      </w:r>
      <w:r>
        <w:rPr>
          <w:rStyle w:val="FootnoteReference"/>
          <w:rFonts w:eastAsia="Times New Roman" w:cs="Times New Roman"/>
          <w:noProof/>
          <w:lang w:eastAsia="fr-FR"/>
        </w:rPr>
        <w:footnoteReference w:id="201"/>
      </w:r>
      <w:r>
        <w:rPr>
          <w:noProof/>
        </w:rPr>
        <w:t xml:space="preserve"> Se on yksi julkinen rekisteri kaikista Slovakiassa toimivista, asiaan liittyvässä laissa määritellyistä, järjestöistä ja sen tavoitteena on lisätä avoimuutta entisestään. Sidosryhmät ovat tuoneet esiin huolensa viranomaisten ja poliitikkojen suullisista hyökkäyksistä aktivisteja ja kansalaisjärjestöjä kohtaan</w:t>
      </w:r>
      <w:r>
        <w:rPr>
          <w:rStyle w:val="FootnoteReference"/>
          <w:rFonts w:eastAsia="Times New Roman" w:cs="Times New Roman"/>
          <w:noProof/>
          <w:lang w:eastAsia="fr-FR"/>
        </w:rPr>
        <w:footnoteReference w:id="202"/>
      </w:r>
      <w:r>
        <w:rPr>
          <w:noProof/>
        </w:rPr>
        <w:t xml:space="preserve"> sekä sukupuolten välistä tasa-arvoa edistävien järjestöjen julkisten varojen tahallisesta rajoittamisesta</w:t>
      </w:r>
      <w:r>
        <w:rPr>
          <w:rStyle w:val="FootnoteReference"/>
          <w:rFonts w:eastAsia="Times New Roman" w:cs="Times New Roman"/>
          <w:noProof/>
          <w:lang w:eastAsia="fr-FR"/>
        </w:rPr>
        <w:footnoteReference w:id="203"/>
      </w:r>
      <w:r>
        <w:rPr>
          <w:noProof/>
        </w:rPr>
        <w:t>. Lisäksi COVID-19-pandemia on rasittanut useiden kansalaisjärjestöjen toimintaa, ja sidosryhmät ilmaisivat huolensa pandemian yleisistä vaikutuksista kansalaisjärjestöjen taloudelliseen tilanteeseen</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Liite I: Lähteet aakkosjärjestyksessä*</w:t>
      </w:r>
    </w:p>
    <w:p>
      <w:pPr>
        <w:spacing w:after="120"/>
        <w:rPr>
          <w:rFonts w:eastAsia="Times New Roman" w:cs="Times New Roman"/>
          <w:i/>
          <w:iCs/>
          <w:noProof/>
          <w:sz w:val="22"/>
        </w:rPr>
      </w:pPr>
      <w:r>
        <w:rPr>
          <w:noProof/>
        </w:rPr>
        <w:t xml:space="preserve">* Luettelo oikeusvaltiokertomukseen 2021 liittyvän kuulemisen yhteydessä saaduista vastauksista on saatavilla osoitteessa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iCs/>
          <w:noProof/>
          <w:sz w:val="22"/>
        </w:rPr>
        <w:t xml:space="preserve">Aktuality.sk (2021), </w:t>
      </w:r>
      <w:r>
        <w:rPr>
          <w:i/>
          <w:iCs/>
          <w:noProof/>
          <w:sz w:val="22"/>
        </w:rPr>
        <w:t xml:space="preserve">NAKA jälleen pidätti rahoittaja Kvietikin ja useita henkilöitä Slovakian maarahastosta </w:t>
      </w:r>
      <w:r>
        <w:rPr>
          <w:iCs/>
          <w:noProof/>
          <w:sz w:val="22"/>
        </w:rPr>
        <w:t>(</w:t>
      </w:r>
      <w:r>
        <w:rPr>
          <w:i/>
          <w:iCs/>
          <w:noProof/>
          <w:sz w:val="22"/>
        </w:rPr>
        <w:t>NAKA opäť zadržala finančníka Kvietika aj viacero ľudí zo Slovenského pozemkového fondu</w:t>
      </w:r>
      <w:r>
        <w:rPr>
          <w:iCs/>
          <w:noProof/>
          <w:sz w:val="22"/>
        </w:rPr>
        <w:t>)</w:t>
      </w:r>
      <w:r>
        <w:rPr>
          <w:noProof/>
          <w:sz w:val="22"/>
        </w:rPr>
        <w:t xml:space="preserve"> (</w:t>
      </w:r>
      <w:hyperlink r:id="rId20" w:history="1">
        <w:r>
          <w:rPr>
            <w:rStyle w:val="Hyperlink"/>
            <w:noProof/>
            <w:sz w:val="22"/>
          </w:rPr>
          <w:t>https://www.aktuality.sk/clanok/892385/naka-opat-zadrzala-financnika-martina-kvietika</w:t>
        </w:r>
      </w:hyperlink>
      <w:r>
        <w:rPr>
          <w:noProof/>
          <w:sz w:val="22"/>
        </w:rPr>
        <w:t>).</w:t>
      </w:r>
    </w:p>
    <w:p>
      <w:pPr>
        <w:spacing w:after="120"/>
        <w:rPr>
          <w:rFonts w:eastAsia="Times New Roman" w:cs="Times New Roman"/>
          <w:noProof/>
          <w:sz w:val="22"/>
        </w:rPr>
      </w:pPr>
      <w:r>
        <w:rPr>
          <w:noProof/>
          <w:sz w:val="22"/>
        </w:rPr>
        <w:t>Euroopan ihmisoikeustuomioistuin, tuomio 15.9.2015, Javor ja Javorova</w:t>
      </w:r>
      <w:r>
        <w:rPr>
          <w:iCs/>
          <w:noProof/>
          <w:sz w:val="22"/>
        </w:rPr>
        <w:t xml:space="preserve">, 42360/10, </w:t>
      </w:r>
      <w:r>
        <w:rPr>
          <w:noProof/>
          <w:sz w:val="22"/>
        </w:rPr>
        <w:t>täytäntöönpanotilanne (</w:t>
      </w:r>
      <w:hyperlink r:id="rId21"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Euroopan ihmisoikeustuomioistuin, tuomio 24.7.2012, Maxian ja Maxianova, 44482/09, täytäntöönpanotilanne (</w:t>
      </w:r>
      <w:hyperlink r:id="rId22"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Euroopan ihmisoikeustuomioistuin, tuomio 27.6.2017, Ivan, 57405/15, täytäntöönpanotilanne (</w:t>
      </w:r>
      <w:hyperlink r:id="rId23"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Euroopan ihmisoikeustuomioistuin, tuomio 31.8.2018, Balogh ym., 35142/15, täytäntöönpanotilanne (</w:t>
      </w:r>
      <w:hyperlink r:id="rId24"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Euroopan ihmisoikeustuomioistuin, tuomio 9.3.2021, Bilgen v Turkki, 1571/07.</w:t>
      </w:r>
    </w:p>
    <w:p>
      <w:pPr>
        <w:spacing w:after="120"/>
        <w:rPr>
          <w:rFonts w:eastAsia="Times New Roman" w:cs="Times New Roman"/>
          <w:i/>
          <w:iCs/>
          <w:noProof/>
          <w:sz w:val="22"/>
        </w:rPr>
      </w:pPr>
      <w:r>
        <w:rPr>
          <w:noProof/>
          <w:sz w:val="22"/>
        </w:rPr>
        <w:t>Euroopan kansalaisvapauksien liitto (2021), oikeusvaltiota koskevaan vuosikertomukseen 2021 Euroopan osalta annetut tiedot.</w:t>
      </w:r>
    </w:p>
    <w:p>
      <w:pPr>
        <w:spacing w:after="120"/>
        <w:rPr>
          <w:rFonts w:eastAsia="Times New Roman" w:cs="Times New Roman"/>
          <w:noProof/>
          <w:sz w:val="22"/>
        </w:rPr>
      </w:pPr>
      <w:r>
        <w:rPr>
          <w:noProof/>
          <w:sz w:val="22"/>
        </w:rPr>
        <w:t>Euroopan kansallisten ihmisoikeusinstituutioiden verkoston (2021) antamat tiedot oikeusvaltiota koskevaan vuosikertomukseen 2021.</w:t>
      </w:r>
    </w:p>
    <w:p>
      <w:pPr>
        <w:spacing w:after="120"/>
        <w:rPr>
          <w:rFonts w:eastAsia="Times New Roman" w:cs="Times New Roman"/>
          <w:noProof/>
          <w:sz w:val="22"/>
        </w:rPr>
      </w:pPr>
      <w:r>
        <w:rPr>
          <w:noProof/>
          <w:sz w:val="22"/>
        </w:rPr>
        <w:t xml:space="preserve">Euroopan komissio (2020), oikeusvaltiokertomus, maakohtainen luku oikeusvaltiotilanteesta Slovakiassa. </w:t>
      </w:r>
    </w:p>
    <w:p>
      <w:pPr>
        <w:spacing w:after="120"/>
        <w:rPr>
          <w:rFonts w:eastAsia="Times New Roman" w:cs="Times New Roman"/>
          <w:noProof/>
          <w:sz w:val="22"/>
        </w:rPr>
      </w:pPr>
      <w:r>
        <w:rPr>
          <w:noProof/>
          <w:sz w:val="22"/>
        </w:rPr>
        <w:t>Euroopan komissio (2021), EU:n oikeusalan tulostaulu.</w:t>
      </w:r>
    </w:p>
    <w:p>
      <w:pPr>
        <w:spacing w:after="120"/>
        <w:rPr>
          <w:rFonts w:eastAsia="Times New Roman" w:cs="Times New Roman"/>
          <w:noProof/>
          <w:color w:val="0563C1"/>
          <w:sz w:val="22"/>
          <w:u w:val="single"/>
        </w:rPr>
      </w:pPr>
      <w:r>
        <w:rPr>
          <w:noProof/>
          <w:sz w:val="22"/>
        </w:rPr>
        <w:t>Euroopan komissio (2021), lehdistötiedote nro 03/2021, OLAF lopettaa EU:n maatalousrahastoja koskevat tapaukset Slovakiassa (</w:t>
      </w:r>
      <w:hyperlink r:id="rId25"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Euroopan komissio, jonka on toteuttanut oikeuslaitoksen toimivuutta tarkasteleva Euroopan neuvoston pysyvä komitea (2017), Slovakian oikeuslaitoksen tehokkuus ja laatu, arviointi ja suositukset CEPEJ:n välineiden perusteella, CEPEJ-COOP(2017)14.</w:t>
      </w:r>
    </w:p>
    <w:p>
      <w:pPr>
        <w:spacing w:after="120"/>
        <w:rPr>
          <w:rFonts w:eastAsia="Times New Roman" w:cs="Times New Roman"/>
          <w:noProof/>
          <w:sz w:val="22"/>
        </w:rPr>
      </w:pPr>
      <w:r>
        <w:rPr>
          <w:noProof/>
          <w:sz w:val="22"/>
        </w:rPr>
        <w:t>Euroopan komissio, jonka on toteuttanut oikeuslaitoksen toimivuutta tarkasteleva Euroopan neuvoston pysyvä komitea (2020), CEPEJ:n asiantuntijoiden katsaus Slovakian tasavallan oikeuslaitosrakenteen uudistukseen.</w:t>
      </w:r>
    </w:p>
    <w:p>
      <w:pPr>
        <w:spacing w:after="120"/>
        <w:rPr>
          <w:rFonts w:eastAsia="Times New Roman" w:cs="Times New Roman"/>
          <w:noProof/>
          <w:sz w:val="22"/>
        </w:rPr>
      </w:pPr>
      <w:r>
        <w:rPr>
          <w:noProof/>
          <w:sz w:val="22"/>
        </w:rPr>
        <w:t>Euroopan komissio, jonka on toteuttanut oikeuslaitoksen toimivuutta tarkasteleva Euroopan neuvoston pysyvä komitea, vuosittainen tutkimus.</w:t>
      </w:r>
    </w:p>
    <w:p>
      <w:pPr>
        <w:spacing w:after="120"/>
        <w:rPr>
          <w:rFonts w:eastAsia="Times New Roman" w:cs="Times New Roman"/>
          <w:i/>
          <w:iCs/>
          <w:noProof/>
          <w:sz w:val="22"/>
        </w:rPr>
      </w:pPr>
      <w:r>
        <w:rPr>
          <w:noProof/>
          <w:sz w:val="22"/>
        </w:rPr>
        <w:t xml:space="preserve">Euroopan neuvosto (2020): </w:t>
      </w:r>
      <w:r>
        <w:rPr>
          <w:i/>
          <w:iCs/>
          <w:noProof/>
          <w:sz w:val="22"/>
        </w:rPr>
        <w:t>suositus, annettu 20.5.2020, Slovakian vuoden 2020 kansallisesta uudistusohjelmasta sekä samassa yhteydessä annettu Slovakian vuoden 2020 vakausohjelmaa koskeva neuvoston lausunto COM(2020) 525 final.</w:t>
      </w:r>
    </w:p>
    <w:p>
      <w:pPr>
        <w:spacing w:after="120"/>
        <w:rPr>
          <w:rFonts w:eastAsia="Times New Roman" w:cs="Times New Roman"/>
          <w:i/>
          <w:iCs/>
          <w:noProof/>
          <w:sz w:val="22"/>
        </w:rPr>
      </w:pPr>
      <w:r>
        <w:rPr>
          <w:noProof/>
          <w:sz w:val="22"/>
        </w:rPr>
        <w:t>Euroopan neuvosto, Venetsian komissio (2013)</w:t>
      </w:r>
      <w:r>
        <w:rPr>
          <w:i/>
          <w:iCs/>
          <w:noProof/>
          <w:sz w:val="22"/>
        </w:rPr>
        <w:t xml:space="preserve">, </w:t>
      </w:r>
      <w:r>
        <w:rPr>
          <w:noProof/>
          <w:sz w:val="22"/>
        </w:rPr>
        <w:t>lausunto muutosehdotuksista Georgian yleisten tuomioistuimien toimivallasta annettuun valtiosääntöä täydentävään lakiin (CDL-AD)(2013)007-e.</w:t>
      </w:r>
    </w:p>
    <w:p>
      <w:pPr>
        <w:spacing w:after="120"/>
        <w:jc w:val="left"/>
        <w:rPr>
          <w:noProof/>
          <w:sz w:val="22"/>
        </w:rPr>
      </w:pPr>
      <w:r>
        <w:rPr>
          <w:noProof/>
          <w:sz w:val="22"/>
        </w:rPr>
        <w:t xml:space="preserve">Euroopan neuvosto: Ministerikomitea (2010), </w:t>
      </w:r>
      <w:r>
        <w:rPr>
          <w:i/>
          <w:iCs/>
          <w:noProof/>
          <w:sz w:val="22"/>
        </w:rPr>
        <w:t>Ministerikomitean suositus CM/Rec(2010)12 jäsenvaltioille tuomareiden riippumattomuudesta, tehokkuudesta ja vastuualueista.</w:t>
      </w:r>
    </w:p>
    <w:p>
      <w:pPr>
        <w:spacing w:after="120"/>
        <w:rPr>
          <w:rFonts w:eastAsia="Times New Roman" w:cs="Times New Roman"/>
          <w:noProof/>
          <w:sz w:val="22"/>
        </w:rPr>
      </w:pPr>
      <w:r>
        <w:rPr>
          <w:noProof/>
          <w:sz w:val="22"/>
        </w:rPr>
        <w:t>Euroopan neuvosto: Venetsian komissio (2005), Toinen väliaikainen lausunto perustuslain uudistuksista Armenian tasavallassa, CDL-AD(2005)016.</w:t>
      </w:r>
    </w:p>
    <w:p>
      <w:pPr>
        <w:spacing w:after="120"/>
        <w:rPr>
          <w:rFonts w:eastAsia="Times New Roman" w:cs="Times New Roman"/>
          <w:noProof/>
          <w:sz w:val="22"/>
        </w:rPr>
      </w:pPr>
      <w:r>
        <w:rPr>
          <w:noProof/>
          <w:sz w:val="22"/>
        </w:rPr>
        <w:t>Euroopan neuvosto: Venetsian komissio (2010), Raportti perustuslain muuttamisesta, CDL-AD(2010)001.</w:t>
      </w:r>
    </w:p>
    <w:p>
      <w:pPr>
        <w:spacing w:after="120"/>
        <w:rPr>
          <w:rFonts w:eastAsia="Times New Roman" w:cs="Times New Roman"/>
          <w:noProof/>
          <w:sz w:val="22"/>
        </w:rPr>
      </w:pPr>
      <w:r>
        <w:rPr>
          <w:noProof/>
          <w:sz w:val="22"/>
        </w:rPr>
        <w:t>Euroopan tuomarineuvostojen verkosto (2012-2013), raportti ammatillisen suorituskyvyn arviointia koskevista vähimmäisvaatimuksista ja tuomareiden erottamattomuudesta.</w:t>
      </w:r>
    </w:p>
    <w:p>
      <w:pPr>
        <w:spacing w:after="120"/>
        <w:rPr>
          <w:rFonts w:eastAsia="Times New Roman" w:cs="Times New Roman"/>
          <w:noProof/>
          <w:sz w:val="22"/>
        </w:rPr>
      </w:pPr>
      <w:r>
        <w:rPr>
          <w:noProof/>
          <w:sz w:val="22"/>
        </w:rPr>
        <w:t>Euroopan unionin tuomioistuin, tuomio 18.5.2021, yhdistetyt Romanian asiat, C-83/19, C-127/19, C-195/19, C-291/19, C-355/19 ja C-397/19.</w:t>
      </w:r>
    </w:p>
    <w:p>
      <w:pPr>
        <w:spacing w:after="120"/>
        <w:rPr>
          <w:rFonts w:eastAsia="Times New Roman" w:cs="Times New Roman"/>
          <w:noProof/>
          <w:sz w:val="22"/>
        </w:rPr>
      </w:pPr>
      <w:r>
        <w:rPr>
          <w:noProof/>
          <w:sz w:val="22"/>
        </w:rPr>
        <w:t>Euroopan unionin tuomioistuin, tuomio 20.4.2021, Repubblika, C-896/19.</w:t>
      </w:r>
    </w:p>
    <w:p>
      <w:pPr>
        <w:spacing w:after="120"/>
        <w:rPr>
          <w:rFonts w:eastAsia="Times New Roman" w:cs="Times New Roman"/>
          <w:noProof/>
          <w:sz w:val="22"/>
        </w:rPr>
      </w:pPr>
      <w:r>
        <w:rPr>
          <w:noProof/>
          <w:sz w:val="22"/>
        </w:rPr>
        <w:t xml:space="preserve">Euroopan unionin tuomioistuin, tuomio 25.7.2018, LM, C‑216/18 PPU. </w:t>
      </w:r>
    </w:p>
    <w:p>
      <w:pPr>
        <w:spacing w:after="120"/>
        <w:rPr>
          <w:rFonts w:eastAsia="Times New Roman" w:cs="Times New Roman"/>
          <w:i/>
          <w:iCs/>
          <w:noProof/>
          <w:sz w:val="22"/>
        </w:rPr>
      </w:pPr>
      <w:r>
        <w:rPr>
          <w:noProof/>
          <w:sz w:val="22"/>
        </w:rPr>
        <w:t>Eurooppalaisten tuomareiden konsultatiivinen neuvosto (CCJE) (2007), lausunto nro 10.</w:t>
      </w:r>
    </w:p>
    <w:p>
      <w:pPr>
        <w:spacing w:after="120"/>
        <w:rPr>
          <w:rFonts w:eastAsia="Times New Roman" w:cs="Times New Roman"/>
          <w:noProof/>
          <w:sz w:val="22"/>
        </w:rPr>
      </w:pPr>
      <w:r>
        <w:rPr>
          <w:noProof/>
          <w:sz w:val="22"/>
        </w:rPr>
        <w:t>Eurooppalaisten tuomareiden konsultatiivinen neuvosto (CCJE) (2016), lausunto nro 19.</w:t>
      </w:r>
    </w:p>
    <w:p>
      <w:pPr>
        <w:spacing w:after="120"/>
        <w:jc w:val="left"/>
        <w:rPr>
          <w:noProof/>
          <w:sz w:val="22"/>
        </w:rPr>
      </w:pPr>
      <w:r>
        <w:rPr>
          <w:noProof/>
          <w:sz w:val="22"/>
        </w:rPr>
        <w:t>Eurooppalaisten tuomareiden konsultatiivisen neuvoston puheenjohtajisto (2020), lausunto annettu 9.12.2020, CCJE-BU(2020)3.</w:t>
      </w:r>
    </w:p>
    <w:p>
      <w:pPr>
        <w:spacing w:after="120"/>
        <w:rPr>
          <w:rFonts w:eastAsia="Times New Roman" w:cs="Times New Roman"/>
          <w:noProof/>
          <w:sz w:val="22"/>
        </w:rPr>
      </w:pPr>
      <w:r>
        <w:rPr>
          <w:noProof/>
          <w:sz w:val="22"/>
        </w:rPr>
        <w:t>GRECO (2019), neljäs arviointikierros, lisäys toiseen vaatimustenmukaisuuskertomukseen, Slovakian tasavalta.</w:t>
      </w:r>
    </w:p>
    <w:p>
      <w:pPr>
        <w:spacing w:after="120"/>
        <w:rPr>
          <w:rFonts w:eastAsia="Times New Roman" w:cs="Times New Roman"/>
          <w:noProof/>
          <w:sz w:val="22"/>
        </w:rPr>
      </w:pPr>
      <w:r>
        <w:rPr>
          <w:noProof/>
          <w:sz w:val="22"/>
        </w:rPr>
        <w:t>GRECO (2019), viides arviointikierros – arviointikertomus, Slovakian tasavalta.</w:t>
      </w:r>
    </w:p>
    <w:p>
      <w:pPr>
        <w:spacing w:after="120"/>
        <w:rPr>
          <w:rFonts w:eastAsia="Times New Roman" w:cs="Times New Roman"/>
          <w:i/>
          <w:iCs/>
          <w:noProof/>
          <w:sz w:val="22"/>
        </w:rPr>
      </w:pPr>
      <w:r>
        <w:rPr>
          <w:noProof/>
          <w:sz w:val="22"/>
        </w:rPr>
        <w:t>GRECO (2021), neljäs arviointikierros, lisäys toiseen vaatimustenmukaisuuskertomukseen, Slovakian tasavalta</w:t>
      </w:r>
      <w:r>
        <w:rPr>
          <w:i/>
          <w:iCs/>
          <w:noProof/>
          <w:sz w:val="22"/>
        </w:rPr>
        <w:t>.</w:t>
      </w:r>
    </w:p>
    <w:p>
      <w:pPr>
        <w:spacing w:after="120"/>
        <w:rPr>
          <w:rFonts w:eastAsia="Times New Roman" w:cs="Times New Roman"/>
          <w:noProof/>
          <w:color w:val="0563C1"/>
          <w:sz w:val="22"/>
          <w:u w:val="single"/>
        </w:rPr>
      </w:pPr>
      <w:r>
        <w:rPr>
          <w:noProof/>
          <w:sz w:val="22"/>
        </w:rPr>
        <w:t>GRECO (2021), Slovakia: GRECO pahoittelee parlamentin jäsenten, tuomareiden ja syyttäjien korruption torjunnan hidasta edistymistä (</w:t>
      </w:r>
      <w:hyperlink r:id="rId26" w:history="1">
        <w:r>
          <w:rPr>
            <w:rStyle w:val="Hyperlink"/>
            <w:noProof/>
            <w:sz w:val="22"/>
          </w:rPr>
          <w:t>https://www.coe.int/en/web/portal/-/slovakia-greco-regrets-slow-progress-in-preventing-corruption-of-parliamentarians-judges-and-prosecutors</w:t>
        </w:r>
      </w:hyperlink>
      <w:r>
        <w:rPr>
          <w:noProof/>
          <w:sz w:val="22"/>
        </w:rPr>
        <w:t>).</w:t>
      </w:r>
    </w:p>
    <w:p>
      <w:pPr>
        <w:spacing w:after="120"/>
        <w:rPr>
          <w:rFonts w:eastAsia="Times New Roman" w:cs="Times New Roman"/>
          <w:noProof/>
          <w:sz w:val="22"/>
        </w:rPr>
      </w:pPr>
      <w:r>
        <w:rPr>
          <w:noProof/>
          <w:sz w:val="22"/>
        </w:rPr>
        <w:t>OECD (2012), lahjonnan vastaisen OECD:n yleissopimuksen täytäntöönpano, vaihe 3:</w:t>
      </w:r>
      <w:r>
        <w:rPr>
          <w:i/>
          <w:iCs/>
          <w:noProof/>
          <w:sz w:val="22"/>
        </w:rPr>
        <w:t xml:space="preserve"> </w:t>
      </w:r>
      <w:r>
        <w:rPr>
          <w:noProof/>
          <w:sz w:val="22"/>
        </w:rPr>
        <w:t>Slovakian tasavalta.</w:t>
      </w:r>
    </w:p>
    <w:p>
      <w:pPr>
        <w:spacing w:after="120"/>
        <w:rPr>
          <w:rFonts w:eastAsia="Times New Roman" w:cs="Times New Roman"/>
          <w:noProof/>
          <w:sz w:val="22"/>
        </w:rPr>
      </w:pPr>
      <w:r>
        <w:rPr>
          <w:noProof/>
          <w:sz w:val="22"/>
        </w:rPr>
        <w:t>OECD (2014), lahjonnan vastaisen OECD:n yleissopimuksen täytäntöönpano, vaiheen 3 raportin ja suosituksen seuranta:</w:t>
      </w:r>
      <w:r>
        <w:rPr>
          <w:i/>
          <w:iCs/>
          <w:noProof/>
          <w:sz w:val="22"/>
        </w:rPr>
        <w:t xml:space="preserve"> </w:t>
      </w:r>
      <w:r>
        <w:rPr>
          <w:noProof/>
          <w:sz w:val="22"/>
        </w:rPr>
        <w:t>Slovakian tasavalta.</w:t>
      </w:r>
    </w:p>
    <w:p>
      <w:pPr>
        <w:spacing w:after="120"/>
        <w:rPr>
          <w:rFonts w:eastAsia="Times New Roman" w:cs="Times New Roman"/>
          <w:noProof/>
          <w:sz w:val="22"/>
        </w:rPr>
      </w:pPr>
      <w:r>
        <w:rPr>
          <w:noProof/>
          <w:sz w:val="22"/>
        </w:rPr>
        <w:t>OECD (2017), lahjonnan vastaisen OECD:n yleissopimuksen täytäntöönpano, vaihe 1bis raportti:</w:t>
      </w:r>
      <w:r>
        <w:rPr>
          <w:i/>
          <w:iCs/>
          <w:noProof/>
          <w:sz w:val="22"/>
        </w:rPr>
        <w:t xml:space="preserve"> </w:t>
      </w:r>
      <w:r>
        <w:rPr>
          <w:noProof/>
          <w:sz w:val="22"/>
        </w:rPr>
        <w:t>Slovakian tasavalta.</w:t>
      </w:r>
    </w:p>
    <w:p>
      <w:pPr>
        <w:spacing w:after="120"/>
        <w:rPr>
          <w:rFonts w:eastAsia="Times New Roman" w:cs="Times New Roman"/>
          <w:noProof/>
          <w:sz w:val="22"/>
        </w:rPr>
      </w:pPr>
      <w:r>
        <w:rPr>
          <w:noProof/>
          <w:sz w:val="22"/>
        </w:rPr>
        <w:t>Oikeusasiamies (2020), Oikeusasiamiehen toimintaa koskeva vuosikertomus (</w:t>
      </w:r>
      <w:r>
        <w:rPr>
          <w:i/>
          <w:noProof/>
          <w:sz w:val="22"/>
        </w:rPr>
        <w:t>Správa o činnosti verejného ochrancu práv za obdobie roka 2020</w:t>
      </w:r>
      <w:r>
        <w:rPr>
          <w:noProof/>
          <w:sz w:val="22"/>
        </w:rPr>
        <w:t>), (</w:t>
      </w:r>
      <w:hyperlink r:id="rId27"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noProof/>
          <w:sz w:val="22"/>
        </w:rPr>
      </w:pPr>
      <w:r>
        <w:rPr>
          <w:noProof/>
          <w:sz w:val="22"/>
        </w:rPr>
        <w:t>Slovakialaiset lakimiehet, avoin julkilausuma ja osallistuminen oikeusvaltiota koskevaan vuosikertomukseen 2021, (</w:t>
      </w:r>
      <w:hyperlink r:id="rId28" w:history="1">
        <w:r>
          <w:rPr>
            <w:rStyle w:val="Hyperlink"/>
            <w:noProof/>
            <w:sz w:val="22"/>
          </w:rPr>
          <w:t>https://pravnystat.eu/en/</w:t>
        </w:r>
      </w:hyperlink>
      <w:r>
        <w:rPr>
          <w:noProof/>
          <w:sz w:val="22"/>
        </w:rPr>
        <w:t>).</w:t>
      </w:r>
    </w:p>
    <w:p>
      <w:pPr>
        <w:spacing w:after="120"/>
        <w:rPr>
          <w:rFonts w:eastAsia="Times New Roman" w:cs="Times New Roman"/>
          <w:noProof/>
          <w:color w:val="0563C1"/>
          <w:sz w:val="22"/>
          <w:u w:val="single"/>
        </w:rPr>
      </w:pPr>
      <w:r>
        <w:rPr>
          <w:noProof/>
          <w:sz w:val="22"/>
        </w:rPr>
        <w:t xml:space="preserve">Slovakian aluekehitysministeriö (2020), lehdistötiedote, </w:t>
      </w:r>
      <w:r>
        <w:rPr>
          <w:i/>
          <w:noProof/>
          <w:sz w:val="22"/>
        </w:rPr>
        <w:t>Varapääministeri Remišová: 1.1 miljoonaa euroa kansalaisjärjestöjen avustamiseen taistelussa Covid-19:ää vastaan (Vicepremiérka Remišová: 1,1 milióna eur na pomoc mimovládnym organizáciám v boji s Covid–19</w:t>
      </w:r>
      <w:r>
        <w:rPr>
          <w:noProof/>
          <w:sz w:val="22"/>
        </w:rPr>
        <w:t>)</w:t>
      </w:r>
      <w:r>
        <w:rPr>
          <w:noProof/>
          <w:sz w:val="22"/>
          <w:u w:val="single"/>
        </w:rPr>
        <w:t xml:space="preserve"> </w:t>
      </w:r>
      <w:r>
        <w:rPr>
          <w:noProof/>
          <w:sz w:val="22"/>
        </w:rPr>
        <w:t>(</w:t>
      </w:r>
      <w:hyperlink r:id="rId29"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color w:val="0563C1"/>
          <w:sz w:val="22"/>
          <w:u w:val="single"/>
        </w:rPr>
      </w:pPr>
      <w:r>
        <w:rPr>
          <w:noProof/>
          <w:sz w:val="22"/>
        </w:rPr>
        <w:t>Slovakian asianajajaliitto (2021), lehdistötiedote 23.3.2021</w:t>
      </w:r>
      <w:r>
        <w:rPr>
          <w:i/>
          <w:iCs/>
          <w:noProof/>
          <w:sz w:val="22"/>
        </w:rPr>
        <w:t>, Slovakian asianajajaliiton puheenjohtaja vieraili vankeinhoitolaitoksen uuden pääjohtajan luona</w:t>
      </w:r>
      <w:r>
        <w:rPr>
          <w:noProof/>
          <w:sz w:val="22"/>
        </w:rPr>
        <w:t xml:space="preserve"> (</w:t>
      </w:r>
      <w:r>
        <w:rPr>
          <w:i/>
          <w:iCs/>
          <w:noProof/>
          <w:sz w:val="22"/>
        </w:rPr>
        <w:t>Predseda SAK navštívil nového generálneho riaditeľa Zboru väzenskej a justičnej stráže</w:t>
      </w:r>
      <w:r>
        <w:rPr>
          <w:iCs/>
          <w:noProof/>
          <w:sz w:val="22"/>
        </w:rPr>
        <w:t>)</w:t>
      </w:r>
      <w:r>
        <w:rPr>
          <w:i/>
          <w:iCs/>
          <w:noProof/>
          <w:sz w:val="22"/>
        </w:rPr>
        <w:t xml:space="preserve">, </w:t>
      </w:r>
      <w:r>
        <w:rPr>
          <w:noProof/>
          <w:sz w:val="22"/>
        </w:rPr>
        <w:t>(</w:t>
      </w:r>
      <w:hyperlink r:id="rId30" w:history="1">
        <w:r>
          <w:rPr>
            <w:rStyle w:val="Hyperlink"/>
            <w:noProof/>
            <w:sz w:val="22"/>
          </w:rPr>
          <w:t>https://www.sak.sk/web/sk/cms/news/form/list/form/row/596497/_event</w:t>
        </w:r>
      </w:hyperlink>
      <w:r>
        <w:rPr>
          <w:noProof/>
          <w:sz w:val="22"/>
        </w:rPr>
        <w:t>).</w:t>
      </w:r>
    </w:p>
    <w:p>
      <w:pPr>
        <w:spacing w:after="120"/>
        <w:rPr>
          <w:rFonts w:eastAsia="Times New Roman" w:cs="Times New Roman"/>
          <w:noProof/>
          <w:sz w:val="22"/>
        </w:rPr>
      </w:pPr>
      <w:r>
        <w:rPr>
          <w:noProof/>
          <w:sz w:val="22"/>
        </w:rPr>
        <w:t>Slovakian asianajajaliitto (2021), panos oikeusvaltiota koskevaan vuosikertomukseen 2021.</w:t>
      </w:r>
    </w:p>
    <w:p>
      <w:pPr>
        <w:spacing w:after="120"/>
        <w:rPr>
          <w:rFonts w:eastAsia="Times New Roman" w:cs="Times New Roman"/>
          <w:noProof/>
          <w:color w:val="0563C1"/>
          <w:sz w:val="22"/>
          <w:u w:val="single"/>
        </w:rPr>
      </w:pPr>
      <w:r>
        <w:rPr>
          <w:noProof/>
          <w:sz w:val="22"/>
        </w:rPr>
        <w:t>Slovakian hallitus (2018), Slovakian tasavallan korruption vastainen politiikka vuonna 2019</w:t>
      </w:r>
      <w:r>
        <w:rPr>
          <w:i/>
          <w:iCs/>
          <w:noProof/>
          <w:sz w:val="22"/>
        </w:rPr>
        <w:t>–</w:t>
      </w:r>
      <w:r>
        <w:rPr>
          <w:noProof/>
          <w:sz w:val="22"/>
        </w:rPr>
        <w:t>2023</w:t>
      </w:r>
      <w:r>
        <w:rPr>
          <w:i/>
          <w:iCs/>
          <w:noProof/>
          <w:sz w:val="22"/>
        </w:rPr>
        <w:t xml:space="preserve"> </w:t>
      </w:r>
      <w:r>
        <w:rPr>
          <w:noProof/>
          <w:sz w:val="22"/>
        </w:rPr>
        <w:t>(</w:t>
      </w:r>
      <w:hyperlink r:id="rId31"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Slovakian hallitus (2019), Slovakian tasavallan kansallinen korruption vastainen ohjelma (</w:t>
      </w:r>
      <w:hyperlink r:id="rId32"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Slovakian hallitus (2020), Vuosikertomus oikeusasiamiehen toiminnasta</w:t>
      </w:r>
      <w:r>
        <w:rPr>
          <w:i/>
          <w:iCs/>
          <w:noProof/>
          <w:sz w:val="22"/>
        </w:rPr>
        <w:t xml:space="preserve"> </w:t>
      </w:r>
      <w:r>
        <w:rPr>
          <w:noProof/>
          <w:sz w:val="22"/>
        </w:rPr>
        <w:t>(</w:t>
      </w:r>
      <w:hyperlink r:id="rId33" w:history="1">
        <w:r>
          <w:rPr>
            <w:rStyle w:val="Hyperlink"/>
            <w:noProof/>
            <w:sz w:val="22"/>
          </w:rPr>
          <w:t>https://www.vop.gov.sk/files/VOP_VS20_SK_1.pdf</w:t>
        </w:r>
      </w:hyperlink>
      <w:r>
        <w:rPr>
          <w:noProof/>
          <w:sz w:val="22"/>
        </w:rPr>
        <w:t>).</w:t>
      </w:r>
    </w:p>
    <w:p>
      <w:pPr>
        <w:spacing w:after="120"/>
        <w:rPr>
          <w:rFonts w:eastAsia="Times New Roman" w:cs="Times New Roman"/>
          <w:noProof/>
          <w:color w:val="0563C1"/>
          <w:sz w:val="22"/>
          <w:u w:val="single"/>
        </w:rPr>
      </w:pPr>
      <w:r>
        <w:rPr>
          <w:noProof/>
          <w:color w:val="0563C1"/>
          <w:sz w:val="22"/>
          <w:u w:val="single"/>
        </w:rPr>
        <w:t xml:space="preserve">Slovakian hallitus (2021), </w:t>
      </w:r>
      <w:r>
        <w:rPr>
          <w:i/>
          <w:noProof/>
          <w:color w:val="0563C1"/>
          <w:sz w:val="22"/>
          <w:u w:val="single"/>
        </w:rPr>
        <w:t>Elpymis- ja palautumissuunnitelma</w:t>
      </w:r>
      <w:r>
        <w:rPr>
          <w:noProof/>
          <w:color w:val="0563C1"/>
          <w:sz w:val="22"/>
          <w:u w:val="single"/>
        </w:rPr>
        <w:t xml:space="preserve"> (</w:t>
      </w:r>
      <w:r>
        <w:rPr>
          <w:i/>
          <w:noProof/>
          <w:color w:val="0563C1"/>
          <w:sz w:val="22"/>
          <w:u w:val="single"/>
        </w:rPr>
        <w:t>Plán obnovy a odolnosti Slovenskej republiky)</w:t>
      </w:r>
      <w:r>
        <w:rPr>
          <w:noProof/>
          <w:color w:val="0563C1"/>
          <w:sz w:val="22"/>
          <w:u w:val="single"/>
        </w:rPr>
        <w:t>(https://www.planobnovy.sk/files/dokumenty/kompletny-plan_obnovy.pdf)</w:t>
      </w:r>
    </w:p>
    <w:p>
      <w:pPr>
        <w:spacing w:after="120"/>
        <w:rPr>
          <w:rFonts w:eastAsia="Times New Roman" w:cs="Times New Roman"/>
          <w:i/>
          <w:iCs/>
          <w:noProof/>
          <w:sz w:val="22"/>
        </w:rPr>
      </w:pPr>
      <w:r>
        <w:rPr>
          <w:noProof/>
          <w:sz w:val="22"/>
        </w:rPr>
        <w:t>Slovakian hallitus (2021), Slovakian panos oikeusvaltiota koskevaan vuosikertomukseen 2021.</w:t>
      </w:r>
    </w:p>
    <w:p>
      <w:pPr>
        <w:spacing w:after="120"/>
        <w:rPr>
          <w:rFonts w:eastAsia="Times New Roman" w:cs="Times New Roman"/>
          <w:noProof/>
          <w:color w:val="0563C1"/>
          <w:sz w:val="22"/>
          <w:u w:val="single"/>
        </w:rPr>
      </w:pPr>
      <w:r>
        <w:rPr>
          <w:noProof/>
          <w:sz w:val="22"/>
        </w:rPr>
        <w:t>Slovakian hallitus, ohjelmajulistus vuosiksi 2020–2024 (</w:t>
      </w:r>
      <w:hyperlink r:id="rId34"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Slovakian hallitus, ohjelmajulistus vuosiksi 2020–2024 (</w:t>
      </w:r>
      <w:hyperlink r:id="rId35" w:history="1">
        <w:r>
          <w:rPr>
            <w:rStyle w:val="Hyperlink"/>
            <w:noProof/>
            <w:sz w:val="22"/>
          </w:rPr>
          <w:t>https://www.nrsr.sk/web/Dynamic/DocumentPreview.aspx?DocID=494677</w:t>
        </w:r>
      </w:hyperlink>
      <w:r>
        <w:rPr>
          <w:noProof/>
          <w:sz w:val="22"/>
        </w:rPr>
        <w:t>).</w:t>
      </w:r>
    </w:p>
    <w:p>
      <w:pPr>
        <w:spacing w:after="120"/>
        <w:rPr>
          <w:rFonts w:eastAsia="Times New Roman" w:cs="Times New Roman"/>
          <w:noProof/>
          <w:color w:val="0563C1"/>
          <w:sz w:val="22"/>
          <w:u w:val="single"/>
        </w:rPr>
      </w:pPr>
      <w:r>
        <w:rPr>
          <w:noProof/>
          <w:sz w:val="22"/>
        </w:rPr>
        <w:t>Slovakian hallitus, Slovakian tasavallan hallituksen lainsäädäntötehtäviä koskeva suunnitelma vuodeksi 2021 (</w:t>
      </w:r>
      <w:hyperlink r:id="rId36"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color w:val="0563C1"/>
          <w:sz w:val="22"/>
          <w:u w:val="single"/>
        </w:rPr>
      </w:pPr>
      <w:r>
        <w:rPr>
          <w:noProof/>
          <w:sz w:val="22"/>
        </w:rPr>
        <w:t>Slovakian ihmisoikeuskeskus (2019), Vuosikertomus ihmisoikeuksien noudattamisesta</w:t>
      </w:r>
      <w:r>
        <w:rPr>
          <w:i/>
          <w:iCs/>
          <w:noProof/>
          <w:sz w:val="22"/>
        </w:rPr>
        <w:t xml:space="preserve"> </w:t>
      </w:r>
      <w:r>
        <w:rPr>
          <w:noProof/>
          <w:sz w:val="22"/>
        </w:rPr>
        <w:t>(</w:t>
      </w:r>
      <w:hyperlink r:id="rId37" w:history="1">
        <w:r>
          <w:rPr>
            <w:rStyle w:val="Hyperlink"/>
            <w:noProof/>
            <w:sz w:val="22"/>
          </w:rPr>
          <w:t>http://www.snslp.sk/wp-content/uploads/Sprava-o-LP-v-SR-za-rok-2020-.pdf</w:t>
        </w:r>
      </w:hyperlink>
      <w:r>
        <w:rPr>
          <w:noProof/>
          <w:sz w:val="22"/>
        </w:rPr>
        <w:t>).</w:t>
      </w:r>
    </w:p>
    <w:p>
      <w:pPr>
        <w:spacing w:after="120"/>
        <w:rPr>
          <w:rFonts w:eastAsia="Times New Roman" w:cs="Times New Roman"/>
          <w:noProof/>
          <w:color w:val="0563C1"/>
          <w:sz w:val="22"/>
          <w:u w:val="single"/>
        </w:rPr>
      </w:pPr>
      <w:r>
        <w:rPr>
          <w:noProof/>
          <w:sz w:val="22"/>
        </w:rPr>
        <w:t>Slovakian oikeusministeriö, Analyysikeskus (2020), Suositukset uuden oikeuslaitosrakenteen laatimista varten (</w:t>
      </w:r>
      <w:hyperlink r:id="rId38"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sz w:val="22"/>
        </w:rPr>
      </w:pPr>
      <w:r>
        <w:rPr>
          <w:noProof/>
          <w:sz w:val="22"/>
        </w:rPr>
        <w:t>Slovakian oikeusministeriö, Analyyttinen keskus</w:t>
      </w:r>
      <w:r>
        <w:rPr>
          <w:noProof/>
        </w:rPr>
        <w:t xml:space="preserve"> </w:t>
      </w:r>
      <w:r>
        <w:rPr>
          <w:noProof/>
          <w:sz w:val="22"/>
        </w:rPr>
        <w:t xml:space="preserve">(2020), </w:t>
      </w:r>
      <w:r>
        <w:rPr>
          <w:i/>
          <w:iCs/>
          <w:noProof/>
          <w:sz w:val="22"/>
        </w:rPr>
        <w:t>Odporúčania pre tvorbu novej súdnej mapy</w:t>
      </w:r>
      <w:r>
        <w:rPr>
          <w:noProof/>
          <w:sz w:val="22"/>
        </w:rPr>
        <w:t xml:space="preserve"> (</w:t>
      </w:r>
      <w:hyperlink r:id="rId39"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Slovakian oikeusministeriö, Analyyttinen keskus (2020), Oikeuslaitosrakenteen uudistaminen (</w:t>
      </w:r>
      <w:hyperlink r:id="rId40"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sz w:val="22"/>
        </w:rPr>
        <w:t>Slovakian oikeusministeriö, Oikeuslaitosrakenteen uudistuksen laatimisprosessin aikajana (</w:t>
      </w:r>
      <w:hyperlink r:id="rId41"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sz w:val="22"/>
        </w:rPr>
      </w:pPr>
      <w:r>
        <w:rPr>
          <w:noProof/>
          <w:sz w:val="22"/>
        </w:rPr>
        <w:t>Slovakian perustuslakituomioistuin, tuomio 14.10.2020, Pl ÚS 22/2020.</w:t>
      </w:r>
    </w:p>
    <w:p>
      <w:pPr>
        <w:spacing w:after="120"/>
        <w:rPr>
          <w:rFonts w:eastAsia="Times New Roman" w:cs="Times New Roman"/>
          <w:noProof/>
          <w:sz w:val="22"/>
        </w:rPr>
      </w:pPr>
      <w:r>
        <w:rPr>
          <w:noProof/>
          <w:sz w:val="22"/>
        </w:rPr>
        <w:t>Slovakian perustuslakituomioistuin, tuomio 30.1.2019, Pl ÚS 21/2014–96.</w:t>
      </w:r>
    </w:p>
    <w:p>
      <w:pPr>
        <w:spacing w:after="120"/>
        <w:rPr>
          <w:rFonts w:eastAsia="Times New Roman" w:cs="Times New Roman"/>
          <w:noProof/>
          <w:sz w:val="22"/>
        </w:rPr>
      </w:pPr>
      <w:r>
        <w:rPr>
          <w:noProof/>
          <w:sz w:val="22"/>
        </w:rPr>
        <w:t>Slovakian perustuslakituomioistuin, tuomio 31.3.2021, Pl ÚS 2/2021.</w:t>
      </w:r>
    </w:p>
    <w:p>
      <w:pPr>
        <w:spacing w:after="120"/>
        <w:rPr>
          <w:rFonts w:eastAsia="Times New Roman" w:cs="Times New Roman"/>
          <w:noProof/>
          <w:sz w:val="22"/>
        </w:rPr>
      </w:pPr>
      <w:r>
        <w:rPr>
          <w:noProof/>
          <w:sz w:val="22"/>
        </w:rPr>
        <w:t>Slovakian terveysministeriö, alakohtainen korruptiontorjuntaohjelma (</w:t>
      </w:r>
      <w:hyperlink r:id="rId42" w:history="1">
        <w:r>
          <w:rPr>
            <w:rStyle w:val="Hyperlink"/>
            <w:noProof/>
            <w:sz w:val="22"/>
          </w:rPr>
          <w:t>https://www.health.gov.sk/Zdroje?/dokumenty/mzsr/rezortny-protikorupcny-program.rtf</w:t>
        </w:r>
      </w:hyperlink>
      <w:r>
        <w:rPr>
          <w:noProof/>
          <w:sz w:val="22"/>
        </w:rPr>
        <w:t>).</w:t>
      </w:r>
    </w:p>
    <w:p>
      <w:pPr>
        <w:spacing w:after="120"/>
        <w:jc w:val="left"/>
        <w:rPr>
          <w:noProof/>
          <w:sz w:val="22"/>
        </w:rPr>
      </w:pPr>
      <w:r>
        <w:rPr>
          <w:noProof/>
          <w:sz w:val="22"/>
        </w:rPr>
        <w:t>Slovakian tuomareiden viestintäfoorumi ja Slovakian tuomariyhdistys (2021),</w:t>
      </w:r>
      <w:r>
        <w:rPr>
          <w:i/>
          <w:iCs/>
          <w:noProof/>
          <w:sz w:val="22"/>
        </w:rPr>
        <w:t xml:space="preserve"> </w:t>
      </w:r>
      <w:r>
        <w:rPr>
          <w:noProof/>
          <w:sz w:val="22"/>
        </w:rPr>
        <w:t>panos oikeusvaltiota koskevaan vuosikertomukseen 2021.</w:t>
      </w:r>
    </w:p>
    <w:p>
      <w:pPr>
        <w:spacing w:after="120"/>
        <w:rPr>
          <w:rFonts w:eastAsia="Times New Roman" w:cs="Times New Roman"/>
          <w:noProof/>
          <w:sz w:val="22"/>
        </w:rPr>
      </w:pPr>
      <w:r>
        <w:rPr>
          <w:noProof/>
          <w:sz w:val="22"/>
        </w:rPr>
        <w:t>Tiedotusvälineiden moniarvoisuuden ja vapauden keskus (2021), tiedotusvälineiden moniarvoisuuden seurantaväline 2021.</w:t>
      </w:r>
    </w:p>
    <w:p>
      <w:pPr>
        <w:spacing w:after="120"/>
        <w:rPr>
          <w:rFonts w:eastAsia="Times New Roman" w:cs="Times New Roman"/>
          <w:noProof/>
          <w:sz w:val="22"/>
        </w:rPr>
      </w:pPr>
      <w:r>
        <w:rPr>
          <w:noProof/>
          <w:sz w:val="22"/>
        </w:rPr>
        <w:t xml:space="preserve">Transparency International (2020), Korruption vienti. </w:t>
      </w:r>
    </w:p>
    <w:p>
      <w:pPr>
        <w:spacing w:after="120"/>
        <w:rPr>
          <w:rFonts w:eastAsia="Times New Roman" w:cs="Times New Roman"/>
          <w:noProof/>
          <w:sz w:val="22"/>
        </w:rPr>
      </w:pPr>
      <w:r>
        <w:rPr>
          <w:noProof/>
          <w:sz w:val="22"/>
        </w:rPr>
        <w:t xml:space="preserve">Transparency International (2021), Korruptioindeksi 2020. </w:t>
      </w:r>
    </w:p>
    <w:p>
      <w:pPr>
        <w:spacing w:after="120"/>
        <w:rPr>
          <w:rFonts w:eastAsia="Times New Roman" w:cs="Times New Roman"/>
          <w:noProof/>
          <w:sz w:val="22"/>
        </w:rPr>
      </w:pPr>
      <w:r>
        <w:rPr>
          <w:noProof/>
          <w:sz w:val="22"/>
        </w:rPr>
        <w:t>UNCAC, Täytäntöönpanon tarkastelu - 1 jakso (2010–2015), Slovakian tasavallan arviointikertomus (</w:t>
      </w:r>
      <w:hyperlink r:id="rId43" w:history="1">
        <w:r>
          <w:rPr>
            <w:rStyle w:val="Hyperlink"/>
            <w:noProof/>
            <w:sz w:val="22"/>
          </w:rPr>
          <w:t>https://www.unodc.org/documents/treaties/UNCAC/CountryVisitFinalReports/2013_07_11_Slovakia_Final_Country_Report.pdf</w:t>
        </w:r>
      </w:hyperlink>
      <w:r>
        <w:rPr>
          <w:noProof/>
          <w:sz w:val="22"/>
        </w:rPr>
        <w:t>).</w:t>
      </w:r>
    </w:p>
    <w:p>
      <w:pPr>
        <w:spacing w:after="120" w:line="254" w:lineRule="auto"/>
        <w:rPr>
          <w:rFonts w:eastAsia="Times New Roman" w:cs="Times New Roman"/>
          <w:noProof/>
          <w:sz w:val="22"/>
        </w:rPr>
      </w:pPr>
      <w:r>
        <w:rPr>
          <w:noProof/>
          <w:sz w:val="22"/>
        </w:rPr>
        <w:t>Viestinnän pääosasto (2019), Flash-eurobarometri 482:</w:t>
      </w:r>
      <w:r>
        <w:rPr>
          <w:i/>
          <w:iCs/>
          <w:noProof/>
          <w:sz w:val="22"/>
        </w:rPr>
        <w:t xml:space="preserve"> </w:t>
      </w:r>
      <w:r>
        <w:rPr>
          <w:noProof/>
          <w:sz w:val="22"/>
        </w:rPr>
        <w:t>yritysten suhtautuminen korruptioon EU:ssa.</w:t>
      </w:r>
    </w:p>
    <w:p>
      <w:pPr>
        <w:spacing w:after="120" w:line="254" w:lineRule="auto"/>
        <w:rPr>
          <w:rFonts w:eastAsia="Times New Roman" w:cs="Times New Roman"/>
          <w:noProof/>
          <w:sz w:val="22"/>
        </w:rPr>
      </w:pPr>
      <w:r>
        <w:rPr>
          <w:noProof/>
          <w:sz w:val="22"/>
        </w:rPr>
        <w:t>Viestinnän pääosasto (2020), erityiseurobarometri 502:</w:t>
      </w:r>
      <w:r>
        <w:rPr>
          <w:i/>
          <w:iCs/>
          <w:noProof/>
          <w:sz w:val="22"/>
        </w:rPr>
        <w:t xml:space="preserve"> </w:t>
      </w:r>
      <w:r>
        <w:rPr>
          <w:noProof/>
          <w:sz w:val="22"/>
        </w:rPr>
        <w:t>korruptio.</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Liite II: Maavierailu Slovakiaan</w:t>
      </w:r>
    </w:p>
    <w:p>
      <w:pPr>
        <w:spacing w:after="120" w:line="264" w:lineRule="auto"/>
        <w:rPr>
          <w:rFonts w:eastAsia="Times New Roman" w:cs="Times New Roman"/>
          <w:noProof/>
          <w:sz w:val="22"/>
          <w:szCs w:val="20"/>
          <w:shd w:val="clear" w:color="auto" w:fill="FFFFFF"/>
        </w:rPr>
      </w:pPr>
      <w:r>
        <w:rPr>
          <w:noProof/>
          <w:sz w:val="22"/>
          <w:szCs w:val="20"/>
        </w:rPr>
        <w:t>Komission yksiköt järjestivät huhtikuussa 2021 virtuaalikokouksia seuraavien tahojen kanssa:</w:t>
      </w:r>
    </w:p>
    <w:p>
      <w:pPr>
        <w:numPr>
          <w:ilvl w:val="0"/>
          <w:numId w:val="2"/>
        </w:numPr>
        <w:spacing w:after="0" w:line="264" w:lineRule="auto"/>
        <w:rPr>
          <w:rFonts w:eastAsia="Times New Roman" w:cs="Times New Roman"/>
          <w:noProof/>
          <w:sz w:val="22"/>
          <w:szCs w:val="20"/>
        </w:rPr>
      </w:pPr>
      <w:r>
        <w:rPr>
          <w:noProof/>
          <w:sz w:val="22"/>
          <w:szCs w:val="20"/>
        </w:rPr>
        <w:t>Ihmisoikeusliitto</w:t>
      </w:r>
    </w:p>
    <w:p>
      <w:pPr>
        <w:numPr>
          <w:ilvl w:val="0"/>
          <w:numId w:val="2"/>
        </w:numPr>
        <w:spacing w:after="0" w:line="264" w:lineRule="auto"/>
        <w:rPr>
          <w:rFonts w:eastAsia="Times New Roman" w:cs="Times New Roman"/>
          <w:noProof/>
          <w:sz w:val="22"/>
          <w:szCs w:val="20"/>
        </w:rPr>
      </w:pPr>
      <w:r>
        <w:rPr>
          <w:noProof/>
          <w:sz w:val="22"/>
          <w:szCs w:val="20"/>
        </w:rPr>
        <w:t>Kansallinen ihmisoikeuskeskus</w:t>
      </w:r>
    </w:p>
    <w:p>
      <w:pPr>
        <w:numPr>
          <w:ilvl w:val="0"/>
          <w:numId w:val="2"/>
        </w:numPr>
        <w:spacing w:after="0" w:line="264" w:lineRule="auto"/>
        <w:rPr>
          <w:rFonts w:eastAsia="Times New Roman" w:cs="Times New Roman"/>
          <w:noProof/>
          <w:sz w:val="22"/>
          <w:szCs w:val="20"/>
        </w:rPr>
      </w:pPr>
      <w:r>
        <w:rPr>
          <w:noProof/>
          <w:sz w:val="22"/>
          <w:szCs w:val="20"/>
        </w:rPr>
        <w:t>Korkein oikeus</w:t>
      </w:r>
    </w:p>
    <w:p>
      <w:pPr>
        <w:numPr>
          <w:ilvl w:val="0"/>
          <w:numId w:val="2"/>
        </w:numPr>
        <w:spacing w:after="0" w:line="264" w:lineRule="auto"/>
        <w:rPr>
          <w:rFonts w:eastAsia="Times New Roman" w:cs="Times New Roman"/>
          <w:noProof/>
          <w:sz w:val="22"/>
          <w:szCs w:val="20"/>
        </w:rPr>
      </w:pPr>
      <w:r>
        <w:rPr>
          <w:noProof/>
          <w:sz w:val="22"/>
          <w:szCs w:val="20"/>
        </w:rPr>
        <w:t>Kulttuuriministeriö</w:t>
      </w:r>
    </w:p>
    <w:p>
      <w:pPr>
        <w:numPr>
          <w:ilvl w:val="0"/>
          <w:numId w:val="2"/>
        </w:numPr>
        <w:spacing w:after="0" w:line="264" w:lineRule="auto"/>
        <w:rPr>
          <w:rFonts w:eastAsia="Times New Roman" w:cs="Times New Roman"/>
          <w:noProof/>
          <w:sz w:val="22"/>
          <w:szCs w:val="20"/>
        </w:rPr>
      </w:pPr>
      <w:r>
        <w:rPr>
          <w:noProof/>
          <w:sz w:val="22"/>
          <w:szCs w:val="20"/>
        </w:rPr>
        <w:t>Lähetys- ja edelleenlähetystoiminnasta vastaava neuvosto</w:t>
      </w:r>
    </w:p>
    <w:p>
      <w:pPr>
        <w:numPr>
          <w:ilvl w:val="0"/>
          <w:numId w:val="2"/>
        </w:numPr>
        <w:spacing w:after="0" w:line="264" w:lineRule="auto"/>
        <w:rPr>
          <w:rFonts w:eastAsia="Times New Roman" w:cs="Times New Roman"/>
          <w:noProof/>
          <w:sz w:val="22"/>
          <w:szCs w:val="20"/>
        </w:rPr>
      </w:pPr>
      <w:r>
        <w:rPr>
          <w:noProof/>
          <w:sz w:val="22"/>
          <w:szCs w:val="20"/>
        </w:rPr>
        <w:t>Oikeusasiamies</w:t>
      </w:r>
    </w:p>
    <w:p>
      <w:pPr>
        <w:numPr>
          <w:ilvl w:val="0"/>
          <w:numId w:val="2"/>
        </w:numPr>
        <w:spacing w:after="0" w:line="264" w:lineRule="auto"/>
        <w:rPr>
          <w:rFonts w:eastAsia="Times New Roman" w:cs="Times New Roman"/>
          <w:noProof/>
          <w:sz w:val="22"/>
          <w:szCs w:val="20"/>
        </w:rPr>
      </w:pPr>
      <w:r>
        <w:rPr>
          <w:noProof/>
          <w:sz w:val="22"/>
          <w:szCs w:val="20"/>
        </w:rPr>
        <w:t xml:space="preserve">Oikeusministeriö </w:t>
      </w:r>
    </w:p>
    <w:p>
      <w:pPr>
        <w:numPr>
          <w:ilvl w:val="0"/>
          <w:numId w:val="2"/>
        </w:numPr>
        <w:spacing w:after="0" w:line="264" w:lineRule="auto"/>
        <w:rPr>
          <w:rFonts w:eastAsia="Times New Roman" w:cs="Times New Roman"/>
          <w:noProof/>
          <w:sz w:val="22"/>
          <w:szCs w:val="20"/>
        </w:rPr>
      </w:pPr>
      <w:r>
        <w:rPr>
          <w:noProof/>
          <w:sz w:val="22"/>
          <w:szCs w:val="20"/>
        </w:rPr>
        <w:t>Open Government Partnership</w:t>
      </w:r>
    </w:p>
    <w:p>
      <w:pPr>
        <w:numPr>
          <w:ilvl w:val="0"/>
          <w:numId w:val="2"/>
        </w:numPr>
        <w:spacing w:after="0" w:line="264" w:lineRule="auto"/>
        <w:rPr>
          <w:rFonts w:eastAsia="Times New Roman" w:cs="Times New Roman"/>
          <w:noProof/>
          <w:sz w:val="22"/>
          <w:szCs w:val="20"/>
        </w:rPr>
      </w:pPr>
      <w:r>
        <w:rPr>
          <w:noProof/>
          <w:sz w:val="22"/>
          <w:szCs w:val="20"/>
        </w:rPr>
        <w:t>Poliisivoimien kansallinen rikostorjuntavirasto</w:t>
      </w:r>
    </w:p>
    <w:p>
      <w:pPr>
        <w:numPr>
          <w:ilvl w:val="0"/>
          <w:numId w:val="2"/>
        </w:numPr>
        <w:spacing w:after="0" w:line="264" w:lineRule="auto"/>
        <w:rPr>
          <w:rFonts w:eastAsia="Times New Roman" w:cs="Times New Roman"/>
          <w:noProof/>
          <w:sz w:val="22"/>
          <w:szCs w:val="20"/>
        </w:rPr>
      </w:pPr>
      <w:r>
        <w:rPr>
          <w:noProof/>
          <w:sz w:val="22"/>
          <w:szCs w:val="20"/>
        </w:rPr>
        <w:t>Sisäministeriö</w:t>
      </w:r>
    </w:p>
    <w:p>
      <w:pPr>
        <w:numPr>
          <w:ilvl w:val="0"/>
          <w:numId w:val="2"/>
        </w:numPr>
        <w:spacing w:after="0" w:line="264" w:lineRule="auto"/>
        <w:rPr>
          <w:rFonts w:eastAsia="Times New Roman" w:cs="Times New Roman"/>
          <w:noProof/>
          <w:sz w:val="22"/>
          <w:szCs w:val="20"/>
        </w:rPr>
      </w:pPr>
      <w:r>
        <w:rPr>
          <w:noProof/>
          <w:sz w:val="22"/>
          <w:szCs w:val="20"/>
        </w:rPr>
        <w:t>Slovakian Asianajajaliitto</w:t>
      </w:r>
    </w:p>
    <w:p>
      <w:pPr>
        <w:numPr>
          <w:ilvl w:val="0"/>
          <w:numId w:val="2"/>
        </w:numPr>
        <w:spacing w:after="0" w:line="264" w:lineRule="auto"/>
        <w:rPr>
          <w:rFonts w:eastAsia="Times New Roman" w:cs="Times New Roman"/>
          <w:noProof/>
          <w:sz w:val="22"/>
          <w:szCs w:val="20"/>
        </w:rPr>
      </w:pPr>
      <w:r>
        <w:rPr>
          <w:noProof/>
          <w:sz w:val="22"/>
          <w:szCs w:val="20"/>
        </w:rPr>
        <w:t>Terveysministeriö</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Tuomarineuvosto</w:t>
      </w:r>
    </w:p>
    <w:p>
      <w:pPr>
        <w:numPr>
          <w:ilvl w:val="0"/>
          <w:numId w:val="2"/>
        </w:numPr>
        <w:spacing w:after="0" w:line="264" w:lineRule="auto"/>
        <w:rPr>
          <w:rFonts w:eastAsia="Times New Roman" w:cs="Times New Roman"/>
          <w:noProof/>
          <w:sz w:val="22"/>
          <w:szCs w:val="20"/>
        </w:rPr>
      </w:pPr>
      <w:r>
        <w:rPr>
          <w:noProof/>
          <w:sz w:val="22"/>
          <w:szCs w:val="20"/>
        </w:rPr>
        <w:t>Tuomarit avoimen oikeuslaitoksen puolesta (Judges For Open Judiciary)</w:t>
      </w:r>
    </w:p>
    <w:p>
      <w:pPr>
        <w:numPr>
          <w:ilvl w:val="0"/>
          <w:numId w:val="2"/>
        </w:numPr>
        <w:spacing w:after="0" w:line="264" w:lineRule="auto"/>
        <w:rPr>
          <w:rFonts w:eastAsia="Times New Roman" w:cs="Times New Roman"/>
          <w:noProof/>
          <w:sz w:val="22"/>
          <w:szCs w:val="20"/>
        </w:rPr>
      </w:pPr>
      <w:r>
        <w:rPr>
          <w:noProof/>
          <w:sz w:val="22"/>
          <w:szCs w:val="20"/>
        </w:rPr>
        <w:t>Tuomariyhdistys</w:t>
      </w:r>
    </w:p>
    <w:p>
      <w:pPr>
        <w:numPr>
          <w:ilvl w:val="0"/>
          <w:numId w:val="2"/>
        </w:numPr>
        <w:spacing w:after="0" w:line="264" w:lineRule="auto"/>
        <w:rPr>
          <w:rFonts w:eastAsia="Times New Roman" w:cs="Times New Roman"/>
          <w:noProof/>
          <w:sz w:val="22"/>
          <w:szCs w:val="20"/>
        </w:rPr>
      </w:pPr>
      <w:r>
        <w:rPr>
          <w:noProof/>
          <w:sz w:val="22"/>
          <w:szCs w:val="20"/>
        </w:rPr>
        <w:t xml:space="preserve">Vakavia talousrikoksia käsittelevä yleinen syyttäjä </w:t>
      </w:r>
    </w:p>
    <w:p>
      <w:pPr>
        <w:numPr>
          <w:ilvl w:val="0"/>
          <w:numId w:val="2"/>
        </w:numPr>
        <w:spacing w:after="0" w:line="264" w:lineRule="auto"/>
        <w:rPr>
          <w:rFonts w:eastAsia="Times New Roman" w:cs="Times New Roman"/>
          <w:noProof/>
          <w:sz w:val="22"/>
          <w:szCs w:val="20"/>
        </w:rPr>
      </w:pPr>
      <w:r>
        <w:rPr>
          <w:noProof/>
          <w:sz w:val="22"/>
          <w:szCs w:val="20"/>
        </w:rPr>
        <w:t xml:space="preserve">Valtakunnansyyttäjän virasto </w:t>
      </w:r>
    </w:p>
    <w:p>
      <w:pPr>
        <w:numPr>
          <w:ilvl w:val="0"/>
          <w:numId w:val="2"/>
        </w:numPr>
        <w:spacing w:after="0" w:line="264" w:lineRule="auto"/>
        <w:rPr>
          <w:rFonts w:eastAsia="Times New Roman" w:cs="Times New Roman"/>
          <w:noProof/>
          <w:sz w:val="22"/>
          <w:szCs w:val="20"/>
        </w:rPr>
      </w:pPr>
      <w:r>
        <w:rPr>
          <w:noProof/>
          <w:sz w:val="22"/>
          <w:szCs w:val="20"/>
        </w:rPr>
        <w:t>Valtioneuvoston kanslia - korruptiontorjuntaosasto</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Lisäksi komissio tapasi seuraavien organisaatioiden edustajia useissa horisontaalisissa kokouksissa:</w:t>
      </w:r>
    </w:p>
    <w:p>
      <w:pPr>
        <w:pStyle w:val="ListParagraph"/>
        <w:numPr>
          <w:ilvl w:val="0"/>
          <w:numId w:val="9"/>
        </w:numPr>
        <w:spacing w:after="160" w:line="259" w:lineRule="auto"/>
        <w:jc w:val="left"/>
        <w:rPr>
          <w:rFonts w:cs="Times New Roman"/>
          <w:noProof/>
          <w:sz w:val="22"/>
        </w:rPr>
      </w:pPr>
      <w:r>
        <w:rPr>
          <w:noProof/>
          <w:sz w:val="22"/>
        </w:rPr>
        <w:t xml:space="preserve">Alankomaiden Helsinki-komitea </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Center for Reproductive Rights</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 xml:space="preserve">Demokratiaa koskeva eurooppalainen kumppanuus </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Euroopan journalistiliitto</w:t>
      </w:r>
    </w:p>
    <w:p>
      <w:pPr>
        <w:pStyle w:val="ListParagraph"/>
        <w:numPr>
          <w:ilvl w:val="0"/>
          <w:numId w:val="9"/>
        </w:numPr>
        <w:spacing w:after="160" w:line="259" w:lineRule="auto"/>
        <w:jc w:val="left"/>
        <w:rPr>
          <w:rFonts w:cs="Times New Roman"/>
          <w:noProof/>
          <w:sz w:val="22"/>
        </w:rPr>
      </w:pPr>
      <w:r>
        <w:rPr>
          <w:noProof/>
          <w:sz w:val="22"/>
        </w:rPr>
        <w:t>Euroopan kansalaisfoorumi (ECF)</w:t>
      </w:r>
    </w:p>
    <w:p>
      <w:pPr>
        <w:pStyle w:val="ListParagraph"/>
        <w:numPr>
          <w:ilvl w:val="0"/>
          <w:numId w:val="9"/>
        </w:numPr>
        <w:spacing w:after="160" w:line="259" w:lineRule="auto"/>
        <w:jc w:val="left"/>
        <w:rPr>
          <w:rFonts w:cs="Times New Roman"/>
          <w:noProof/>
          <w:sz w:val="22"/>
        </w:rPr>
      </w:pPr>
      <w:r>
        <w:rPr>
          <w:noProof/>
          <w:sz w:val="22"/>
        </w:rPr>
        <w:t>Euroopan kansalaisvapauksien liitto</w:t>
      </w:r>
    </w:p>
    <w:p>
      <w:pPr>
        <w:pStyle w:val="ListParagraph"/>
        <w:numPr>
          <w:ilvl w:val="0"/>
          <w:numId w:val="9"/>
        </w:numPr>
        <w:spacing w:after="160" w:line="259" w:lineRule="auto"/>
        <w:jc w:val="left"/>
        <w:rPr>
          <w:rFonts w:cs="Times New Roman"/>
          <w:noProof/>
          <w:sz w:val="22"/>
        </w:rPr>
      </w:pPr>
      <w:r>
        <w:rPr>
          <w:noProof/>
          <w:sz w:val="22"/>
        </w:rPr>
        <w:t>Euroopan kansalaisyhteiskunta</w:t>
      </w:r>
    </w:p>
    <w:p>
      <w:pPr>
        <w:pStyle w:val="ListParagraph"/>
        <w:numPr>
          <w:ilvl w:val="0"/>
          <w:numId w:val="9"/>
        </w:numPr>
        <w:spacing w:after="160" w:line="259" w:lineRule="auto"/>
        <w:jc w:val="left"/>
        <w:rPr>
          <w:rFonts w:cs="Times New Roman"/>
          <w:noProof/>
          <w:sz w:val="22"/>
        </w:rPr>
      </w:pPr>
      <w:r>
        <w:rPr>
          <w:noProof/>
          <w:sz w:val="22"/>
        </w:rPr>
        <w:t>Euroopan kirkkojen konferenssi</w:t>
      </w:r>
    </w:p>
    <w:p>
      <w:pPr>
        <w:pStyle w:val="ListParagraph"/>
        <w:numPr>
          <w:ilvl w:val="0"/>
          <w:numId w:val="9"/>
        </w:numPr>
        <w:spacing w:after="160" w:line="259" w:lineRule="auto"/>
        <w:jc w:val="left"/>
        <w:rPr>
          <w:rFonts w:cs="Times New Roman"/>
          <w:noProof/>
          <w:sz w:val="22"/>
        </w:rPr>
      </w:pPr>
      <w:r>
        <w:rPr>
          <w:noProof/>
          <w:sz w:val="22"/>
        </w:rPr>
        <w:t>Euroopan nuorisofoorumi</w:t>
      </w:r>
    </w:p>
    <w:p>
      <w:pPr>
        <w:pStyle w:val="ListParagraph"/>
        <w:numPr>
          <w:ilvl w:val="0"/>
          <w:numId w:val="9"/>
        </w:numPr>
        <w:spacing w:after="160" w:line="259" w:lineRule="auto"/>
        <w:jc w:val="left"/>
        <w:rPr>
          <w:rFonts w:cs="Times New Roman"/>
          <w:noProof/>
          <w:sz w:val="22"/>
          <w:lang w:val="en-GB"/>
        </w:rPr>
      </w:pPr>
      <w:r>
        <w:rPr>
          <w:noProof/>
          <w:sz w:val="22"/>
          <w:lang w:val="en-GB"/>
        </w:rPr>
        <w:t>European Center for Non-for-Profit Law</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Ihmisoikeusjärjestöjen kansainvälinen liitto (FIDH)</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lang w:val="en-GB"/>
        </w:rPr>
      </w:pPr>
      <w:r>
        <w:rPr>
          <w:noProof/>
          <w:sz w:val="22"/>
          <w:lang w:val="en-GB"/>
        </w:rPr>
        <w:t>International Planned Parenthood Federation European Network (IPPF EN)</w:t>
      </w:r>
    </w:p>
    <w:p>
      <w:pPr>
        <w:pStyle w:val="ListParagraph"/>
        <w:numPr>
          <w:ilvl w:val="0"/>
          <w:numId w:val="9"/>
        </w:numPr>
        <w:spacing w:after="160" w:line="259" w:lineRule="auto"/>
        <w:jc w:val="left"/>
        <w:rPr>
          <w:rFonts w:cs="Times New Roman"/>
          <w:noProof/>
          <w:sz w:val="22"/>
        </w:rPr>
      </w:pPr>
      <w:r>
        <w:rPr>
          <w:noProof/>
          <w:sz w:val="22"/>
        </w:rPr>
        <w:t>Kansainvälinen lakimieskomissio (ICJ)</w:t>
      </w:r>
    </w:p>
    <w:p>
      <w:pPr>
        <w:pStyle w:val="ListParagraph"/>
        <w:numPr>
          <w:ilvl w:val="0"/>
          <w:numId w:val="9"/>
        </w:numPr>
        <w:spacing w:after="160" w:line="259" w:lineRule="auto"/>
        <w:jc w:val="left"/>
        <w:rPr>
          <w:rFonts w:cs="Times New Roman"/>
          <w:noProof/>
          <w:sz w:val="22"/>
        </w:rPr>
      </w:pPr>
      <w:r>
        <w:rPr>
          <w:noProof/>
          <w:sz w:val="22"/>
        </w:rPr>
        <w:t>Kansainvälinen lehdistöinstituutti (IPI)</w:t>
      </w:r>
    </w:p>
    <w:p>
      <w:pPr>
        <w:pStyle w:val="ListParagraph"/>
        <w:numPr>
          <w:ilvl w:val="0"/>
          <w:numId w:val="9"/>
        </w:numPr>
        <w:spacing w:after="160" w:line="259" w:lineRule="auto"/>
        <w:jc w:val="left"/>
        <w:rPr>
          <w:rFonts w:cs="Times New Roman"/>
          <w:noProof/>
          <w:sz w:val="22"/>
        </w:rPr>
      </w:pPr>
      <w:r>
        <w:rPr>
          <w:noProof/>
          <w:sz w:val="22"/>
        </w:rPr>
        <w:t>Lehdistön ja tiedotusvälineiden vapauden eurooppalainen keskus</w:t>
      </w:r>
    </w:p>
    <w:p>
      <w:pPr>
        <w:pStyle w:val="ListParagraph"/>
        <w:numPr>
          <w:ilvl w:val="0"/>
          <w:numId w:val="9"/>
        </w:numPr>
        <w:spacing w:after="160" w:line="259" w:lineRule="auto"/>
        <w:jc w:val="left"/>
        <w:rPr>
          <w:rFonts w:cs="Times New Roman"/>
          <w:noProof/>
          <w:sz w:val="22"/>
          <w:lang w:val="en-US"/>
        </w:rPr>
      </w:pPr>
      <w:r>
        <w:rPr>
          <w:noProof/>
          <w:sz w:val="22"/>
          <w:lang w:val="en-US"/>
        </w:rPr>
        <w:t>Open Society European Policy Institute</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Toimittajat ilman rajoja</w:t>
      </w:r>
    </w:p>
    <w:p>
      <w:pPr>
        <w:pStyle w:val="ListParagraph"/>
        <w:numPr>
          <w:ilvl w:val="0"/>
          <w:numId w:val="9"/>
        </w:numPr>
        <w:spacing w:after="160" w:line="259" w:lineRule="auto"/>
        <w:jc w:val="left"/>
        <w:rPr>
          <w:rFonts w:cs="Times New Roman"/>
          <w:noProof/>
          <w:sz w:val="22"/>
        </w:rPr>
      </w:pPr>
      <w:r>
        <w:rPr>
          <w:noProof/>
          <w:sz w:val="22"/>
        </w:rPr>
        <w:t>Transparency International EU</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Oikeuslaitoksen rakennetta on kuvattu esimerkiksi oikeuslaitoksen toimivuutta tarkastelevan Euroopan neuvoston pysyvän komitean (CEPEJ) Euroopan komissiolle vuosittain tekemässä tutkimuksessa.</w:t>
      </w:r>
    </w:p>
  </w:footnote>
  <w:footnote w:id="3">
    <w:p>
      <w:pPr>
        <w:pStyle w:val="FootnoteText"/>
        <w:rPr>
          <w:rFonts w:cs="Times New Roman"/>
        </w:rPr>
      </w:pPr>
      <w:r>
        <w:rPr>
          <w:rStyle w:val="FootnoteReference"/>
          <w:rFonts w:cs="Times New Roman"/>
        </w:rPr>
        <w:footnoteRef/>
      </w:r>
      <w:r>
        <w:t xml:space="preserve"> </w:t>
      </w:r>
      <w:r>
        <w:tab/>
        <w:t>Slovakian rikosprosessilain 14 § (esim. harkittu murha, korruptio, terrorismi, järjestäytynyt rikollisuus, vakavat talousrikokset, EU:n taloudellisten etujen vahingoittaminen jne.).</w:t>
      </w:r>
    </w:p>
  </w:footnote>
  <w:footnote w:id="4">
    <w:p>
      <w:pPr>
        <w:pStyle w:val="FootnoteText"/>
        <w:rPr>
          <w:rFonts w:cs="Times New Roman"/>
        </w:rPr>
      </w:pPr>
      <w:r>
        <w:rPr>
          <w:rStyle w:val="FootnoteReference"/>
          <w:rFonts w:cs="Times New Roman"/>
        </w:rPr>
        <w:footnoteRef/>
      </w:r>
      <w:r>
        <w:t xml:space="preserve"> </w:t>
      </w:r>
      <w:r>
        <w:tab/>
        <w:t>Slovakian perustuslain 141a §.</w:t>
      </w:r>
    </w:p>
  </w:footnote>
  <w:footnote w:id="5">
    <w:p>
      <w:pPr>
        <w:pStyle w:val="FootnoteText"/>
        <w:rPr>
          <w:rFonts w:cs="Times New Roman"/>
        </w:rPr>
      </w:pPr>
      <w:r>
        <w:rPr>
          <w:rStyle w:val="FootnoteReference"/>
          <w:rFonts w:cs="Times New Roman"/>
        </w:rPr>
        <w:footnoteRef/>
      </w:r>
      <w:r>
        <w:t xml:space="preserve"> </w:t>
      </w:r>
      <w:r>
        <w:tab/>
        <w:t>Slovakian perustuslain 149–151 §; laki N:o 153/2001 syyttäjälaitoksesta.</w:t>
      </w:r>
    </w:p>
  </w:footnote>
  <w:footnote w:id="6">
    <w:p>
      <w:pPr>
        <w:pStyle w:val="FootnoteText"/>
        <w:rPr>
          <w:rFonts w:cs="Times New Roman"/>
        </w:rPr>
      </w:pPr>
      <w:r>
        <w:rPr>
          <w:rStyle w:val="FootnoteReference"/>
          <w:rFonts w:cs="Times New Roman"/>
        </w:rPr>
        <w:footnoteRef/>
      </w:r>
      <w:r>
        <w:t xml:space="preserve"> </w:t>
      </w:r>
      <w:r>
        <w:tab/>
        <w:t>Parlamentin laki N:o 586/2003, annettu 4. joulukuuta 2003, lakimiesammatista sekä yritystoiminnasta ja itsenäisestä ammatinharjoittamisesta annetun lain N:o 455/1991 muuttamisesta.</w:t>
      </w:r>
    </w:p>
  </w:footnote>
  <w:footnote w:id="7">
    <w:p>
      <w:pPr>
        <w:pStyle w:val="FootnoteText"/>
      </w:pPr>
      <w:r>
        <w:rPr>
          <w:rStyle w:val="FootnoteReference"/>
        </w:rPr>
        <w:footnoteRef/>
      </w:r>
      <w:r>
        <w:t xml:space="preserve"> </w:t>
      </w:r>
      <w:r>
        <w:tab/>
        <w:t>EU:n oikeusalan tulostaulu 2021, kaavio 50. Käsitys oikeuslaitoksen riippumattomuudesta on luokiteltu seuraavasti: erittäin huono (alle 30 % vastaajista pitää oikeuslaitoksen riippumattomuutta melko hyvänä ja erittäin hyvänä); huono (30–39 %), keskinkertainen (40–59 %), hyvä (60–75 %), erittäin hyvä (yli 75 %).</w:t>
      </w:r>
    </w:p>
  </w:footnote>
  <w:footnote w:id="8">
    <w:p>
      <w:pPr>
        <w:pStyle w:val="FootnoteText"/>
      </w:pPr>
      <w:r>
        <w:rPr>
          <w:rStyle w:val="FootnoteReference"/>
        </w:rPr>
        <w:footnoteRef/>
      </w:r>
      <w:r>
        <w:t xml:space="preserve"> </w:t>
      </w:r>
      <w:r>
        <w:tab/>
        <w:t xml:space="preserve">EU:n oikeusalan tulostaulu 2021, kaavio 49. </w:t>
      </w:r>
    </w:p>
  </w:footnote>
  <w:footnote w:id="9">
    <w:p>
      <w:pPr>
        <w:pStyle w:val="FootnoteText"/>
      </w:pPr>
      <w:r>
        <w:rPr>
          <w:rStyle w:val="FootnoteReference"/>
        </w:rPr>
        <w:footnoteRef/>
      </w:r>
      <w:r>
        <w:t xml:space="preserve"> </w:t>
      </w:r>
      <w:r>
        <w:tab/>
        <w:t>Oikeusvaltiokertomus 2020, luku oikeusvaltiotilanteesta Slovakiassa, s. 2–3.</w:t>
      </w:r>
    </w:p>
  </w:footnote>
  <w:footnote w:id="10">
    <w:p>
      <w:pPr>
        <w:pStyle w:val="FootnoteText"/>
      </w:pPr>
      <w:r>
        <w:rPr>
          <w:rStyle w:val="FootnoteReference"/>
        </w:rPr>
        <w:footnoteRef/>
      </w:r>
      <w:r>
        <w:t xml:space="preserve"> </w:t>
      </w:r>
      <w:r>
        <w:tab/>
        <w:t xml:space="preserve">EU:n oikeusalan tulostaulu 2021, kaaviot 49 ja 51. </w:t>
      </w:r>
    </w:p>
  </w:footnote>
  <w:footnote w:id="11">
    <w:p>
      <w:pPr>
        <w:pStyle w:val="FootnoteText"/>
      </w:pPr>
      <w:r>
        <w:rPr>
          <w:rStyle w:val="FootnoteReference"/>
        </w:rPr>
        <w:footnoteRef/>
      </w:r>
      <w:r>
        <w:t xml:space="preserve"> </w:t>
      </w:r>
      <w:r>
        <w:tab/>
        <w:t>Oikeusvaltiokertomus 2020, luku oikeusvaltiotilanteesta Slovakiassa, s. 2;</w:t>
      </w:r>
    </w:p>
  </w:footnote>
  <w:footnote w:id="12">
    <w:p>
      <w:pPr>
        <w:pStyle w:val="FootnoteText"/>
      </w:pPr>
      <w:r>
        <w:rPr>
          <w:rStyle w:val="FootnoteReference"/>
        </w:rPr>
        <w:footnoteRef/>
      </w:r>
      <w:r>
        <w:t xml:space="preserve"> </w:t>
      </w:r>
      <w:r>
        <w:tab/>
        <w:t>Toukokuusta 2021. Slovakian tuomarineuvoston toimittamat tiedot.</w:t>
      </w:r>
    </w:p>
  </w:footnote>
  <w:footnote w:id="13">
    <w:p>
      <w:pPr>
        <w:pStyle w:val="FootnoteText"/>
      </w:pPr>
      <w:r>
        <w:rPr>
          <w:rStyle w:val="FootnoteReference"/>
        </w:rPr>
        <w:footnoteRef/>
      </w:r>
      <w:r>
        <w:t xml:space="preserve"> </w:t>
      </w:r>
      <w:r>
        <w:tab/>
        <w:t xml:space="preserve">Syyttäjät, poliisit ja asianajajat, mukaan lukien korkean tason virkamiehet, kuten entinen poliisin ylijohtaja, valtakunnansyyttäjä, erityissyyttäjä tai entinen oikeusministeriön valtiosihteeri. </w:t>
      </w:r>
    </w:p>
  </w:footnote>
  <w:footnote w:id="14">
    <w:p>
      <w:pPr>
        <w:pStyle w:val="FootnoteText"/>
      </w:pPr>
      <w:r>
        <w:rPr>
          <w:rStyle w:val="FootnoteReference"/>
        </w:rPr>
        <w:footnoteRef/>
      </w:r>
      <w:r>
        <w:t xml:space="preserve"> </w:t>
      </w:r>
      <w:r>
        <w:tab/>
        <w:t>Slovakian viranomaisten toimittamat tiedot.</w:t>
      </w:r>
    </w:p>
  </w:footnote>
  <w:footnote w:id="15">
    <w:p>
      <w:pPr>
        <w:pStyle w:val="FootnoteText"/>
      </w:pPr>
      <w:r>
        <w:rPr>
          <w:rStyle w:val="FootnoteReference"/>
        </w:rPr>
        <w:footnoteRef/>
      </w:r>
      <w:r>
        <w:t xml:space="preserve"> </w:t>
      </w:r>
      <w:r>
        <w:tab/>
        <w:t>Neuvoston suositus, annettu 20 päivänä toukokuuta 2020, Slovakian vuoden 2020 kansallisesta uudistusohjelmasta sekä samassa yhteydessä annettu Slovakian vuoden 2020 vakausohjelmaa koskeva neuvoston lausunto COM(2020) 525 final.</w:t>
      </w:r>
    </w:p>
  </w:footnote>
  <w:footnote w:id="16">
    <w:p>
      <w:pPr>
        <w:pStyle w:val="FootnoteText"/>
      </w:pPr>
      <w:r>
        <w:rPr>
          <w:rStyle w:val="FootnoteReference"/>
        </w:rPr>
        <w:footnoteRef/>
      </w:r>
      <w:r>
        <w:t xml:space="preserve"> </w:t>
      </w:r>
      <w:r>
        <w:tab/>
        <w:t>Slovakian tasavallan hallituksen ohjelmajulistus vuosiksi 2020–2024, 19.4.2020, s. 8.</w:t>
      </w:r>
    </w:p>
  </w:footnote>
  <w:footnote w:id="17">
    <w:p>
      <w:pPr>
        <w:pStyle w:val="FootnoteText"/>
      </w:pPr>
      <w:r>
        <w:rPr>
          <w:rStyle w:val="FootnoteReference"/>
        </w:rPr>
        <w:footnoteRef/>
      </w:r>
      <w:r>
        <w:t xml:space="preserve"> </w:t>
      </w:r>
      <w:r>
        <w:tab/>
        <w:t>Oikeusvaltiokertomus 2020, luku oikeusvaltiotilanteesta Slovakiassa, s. 3.</w:t>
      </w:r>
    </w:p>
  </w:footnote>
  <w:footnote w:id="18">
    <w:p>
      <w:pPr>
        <w:pStyle w:val="FootnoteText"/>
      </w:pPr>
      <w:r>
        <w:rPr>
          <w:rStyle w:val="FootnoteReference"/>
        </w:rPr>
        <w:footnoteRef/>
      </w:r>
      <w:r>
        <w:t xml:space="preserve"> </w:t>
      </w:r>
      <w:r>
        <w:tab/>
        <w:t xml:space="preserve">Via Iuris (Civil Liberties Union) -kansalaisjärjestön panos oikeusvaltiota koskevaan vuosikertomukseen 2021, s. 3; Slovakiaan tehdyn vierailun yhteydessä saadut tiedot. </w:t>
      </w:r>
    </w:p>
  </w:footnote>
  <w:footnote w:id="19">
    <w:p>
      <w:pPr>
        <w:pStyle w:val="FootnoteText"/>
      </w:pPr>
      <w:r>
        <w:rPr>
          <w:rStyle w:val="FootnoteReference"/>
        </w:rPr>
        <w:footnoteRef/>
      </w:r>
      <w:r>
        <w:t xml:space="preserve"> </w:t>
      </w:r>
      <w:r>
        <w:tab/>
        <w:t>Via Iuris (Civil Liberties Union) -kansalaisjärjestön panos oikeusvaltiota koskevaan vuosikertomukseen 2021, s. 3; Slovakiaan tehdyn vierailun yhteydessä saadut tiedot.</w:t>
      </w:r>
    </w:p>
  </w:footnote>
  <w:footnote w:id="20">
    <w:p>
      <w:pPr>
        <w:pStyle w:val="FootnoteText"/>
      </w:pPr>
      <w:r>
        <w:rPr>
          <w:rStyle w:val="FootnoteReference"/>
        </w:rPr>
        <w:footnoteRef/>
      </w:r>
      <w:r>
        <w:t xml:space="preserve"> </w:t>
      </w:r>
      <w:r>
        <w:tab/>
        <w:t>Oikeusvaltiokertomus 2020, luku oikeusvaltiotilanteesta Slovakiassa, s. 4.</w:t>
      </w:r>
    </w:p>
  </w:footnote>
  <w:footnote w:id="21">
    <w:p>
      <w:pPr>
        <w:pStyle w:val="FootnoteText"/>
      </w:pPr>
      <w:r>
        <w:rPr>
          <w:rStyle w:val="FootnoteReference"/>
        </w:rPr>
        <w:footnoteRef/>
      </w:r>
      <w:r>
        <w:t xml:space="preserve"> </w:t>
      </w:r>
      <w:r>
        <w:tab/>
        <w:t>Neuvosto koostuu 18 jäsenestä, joista puolet on tuomareiden keskuudestaan valitsemia tuomareita. Lisäksi hallitus, parlamentti ja tasavallan presidentti valitsevat kukin kolme jäsentä. Kyseinen kokoonpano on yhdenmukainen Euroopan neuvoston ministerikomitean suosituksen  CM/REC(2010)12 kanssa, 26–27 kohta.</w:t>
      </w:r>
    </w:p>
  </w:footnote>
  <w:footnote w:id="22">
    <w:p>
      <w:pPr>
        <w:pStyle w:val="FootnoteText"/>
      </w:pPr>
      <w:r>
        <w:rPr>
          <w:rStyle w:val="FootnoteReference"/>
        </w:rPr>
        <w:footnoteRef/>
      </w:r>
      <w:r>
        <w:t xml:space="preserve"> </w:t>
      </w:r>
      <w:r>
        <w:tab/>
        <w:t>Euroopan neuvoston ministerikomitean suositus CM/Rec(2010)12, 27 kohta.</w:t>
      </w:r>
    </w:p>
  </w:footnote>
  <w:footnote w:id="23">
    <w:p>
      <w:pPr>
        <w:pStyle w:val="FootnoteText"/>
      </w:pPr>
      <w:r>
        <w:rPr>
          <w:rStyle w:val="FootnoteReference"/>
        </w:rPr>
        <w:footnoteRef/>
      </w:r>
      <w:r>
        <w:t xml:space="preserve"> </w:t>
      </w:r>
      <w:r>
        <w:tab/>
        <w:t xml:space="preserve">Muutoksella annetaan tuomarineuvostolle erityisesti oikeus arvioida tuomarien varallisuusilmoituksia. </w:t>
      </w:r>
    </w:p>
  </w:footnote>
  <w:footnote w:id="24">
    <w:p>
      <w:pPr>
        <w:pStyle w:val="FootnoteText"/>
      </w:pPr>
      <w:r>
        <w:rPr>
          <w:rStyle w:val="FootnoteReference"/>
        </w:rPr>
        <w:footnoteRef/>
      </w:r>
      <w:r>
        <w:t xml:space="preserve"> </w:t>
      </w:r>
      <w:r>
        <w:tab/>
        <w:t>Lisätietoja nimittämisestä on alaviitteessä 20. Perustuslain tasoisen lain N:o 422/20, s. 20 perusteluissa todetaan, että tämä mahdollisuus on aiemmin ollut olemassa perustuslaissa, ja muutoksessa nimenomaan vahvistetaan sen olemassaolo. Perustuslakituomioistuin kuitenkin yhdistävässä lausunnossaan 19.9.2018 PLz. ÚS 2/2018 päätti päinvastoin.</w:t>
      </w:r>
    </w:p>
  </w:footnote>
  <w:footnote w:id="25">
    <w:p>
      <w:pPr>
        <w:pStyle w:val="FootnoteText"/>
      </w:pPr>
      <w:r>
        <w:rPr>
          <w:rStyle w:val="FootnoteReference"/>
        </w:rPr>
        <w:footnoteRef/>
      </w:r>
      <w:r>
        <w:t xml:space="preserve"> </w:t>
      </w:r>
      <w:r>
        <w:tab/>
        <w:t>Perustelut perustuslain tasoiseen lakiin N:o 422/20, s. 24.</w:t>
      </w:r>
    </w:p>
  </w:footnote>
  <w:footnote w:id="26">
    <w:p>
      <w:pPr>
        <w:pStyle w:val="FootnoteText"/>
      </w:pPr>
      <w:r>
        <w:rPr>
          <w:rStyle w:val="FootnoteReference"/>
        </w:rPr>
        <w:footnoteRef/>
      </w:r>
      <w:r>
        <w:t xml:space="preserve"> </w:t>
      </w:r>
      <w:r>
        <w:tab/>
        <w:t>Kuten Slovakian hallituksen edustajat kertoivat, perustuslakituomioistuimen vakiintuneen oikeuskäytännön mukaisesti irtisanominen ei saa olla syrjivää tai mielivaltaista; Oikeusvaltiota koskevan vuosikertomuksen 2020 seurantakokouksen yhteydessä saadut tiedot.</w:t>
      </w:r>
    </w:p>
  </w:footnote>
  <w:footnote w:id="27">
    <w:p>
      <w:pPr>
        <w:pStyle w:val="FootnoteText"/>
      </w:pPr>
      <w:r>
        <w:rPr>
          <w:rStyle w:val="FootnoteReference"/>
        </w:rPr>
        <w:footnoteRef/>
      </w:r>
      <w:r>
        <w:t xml:space="preserve"> </w:t>
      </w:r>
      <w:r>
        <w:tab/>
        <w:t>Oikeusvaltiota koskevan vuosikertomuksen 2020 seurantakokouksen yhteydessä saadut tiedot.</w:t>
      </w:r>
    </w:p>
  </w:footnote>
  <w:footnote w:id="28">
    <w:p>
      <w:pPr>
        <w:pStyle w:val="FootnoteText"/>
      </w:pPr>
      <w:r>
        <w:rPr>
          <w:rStyle w:val="FootnoteReference"/>
        </w:rPr>
        <w:footnoteRef/>
      </w:r>
      <w:r>
        <w:t xml:space="preserve"> </w:t>
      </w:r>
      <w:r>
        <w:tab/>
        <w:t xml:space="preserve">Slovakialaisten asianajajien avoin julkilausuma, joka on saatavilla osoitteessa </w:t>
      </w:r>
      <w:hyperlink r:id="rId1" w:history="1">
        <w:r>
          <w:rPr>
            <w:rStyle w:val="Hyperlink"/>
          </w:rPr>
          <w:t>https://pravnystat.eu/en/</w:t>
        </w:r>
      </w:hyperlink>
      <w:r>
        <w:t xml:space="preserve"> ja joka on toimitettu sidosryhmien kuulemiseen liittyvänä tietona oikeusvaltiota koskevaan vuosikertomukseen 2021. Säännös on viety perustuslakituomioistuimen käsiteltäväksi, jossa se on edelleen vireillä, asiakirjan N:o 414/2021. </w:t>
      </w:r>
    </w:p>
  </w:footnote>
  <w:footnote w:id="29">
    <w:p>
      <w:pPr>
        <w:pStyle w:val="FootnoteText"/>
      </w:pPr>
      <w:r>
        <w:rPr>
          <w:rStyle w:val="FootnoteReference"/>
        </w:rPr>
        <w:footnoteRef/>
      </w:r>
      <w:r>
        <w:t xml:space="preserve"> </w:t>
      </w:r>
      <w:r>
        <w:tab/>
        <w:t>Eurooppalaisten tuomareiden konsultatiivisen neuvoston (CCJE) puheenjohtajisto antoi Slovakiaa edustavan CCJE:n jäsenen pyynnöstä maan oikeuslaitoksen uudistamiseen liittyen 9.12.2020 lausunnon CCJE-BU(2020)3 (ks.s. 2–3), jonka mukaan tuomarineuvoston jäsenillä olisi oltava takeet riippumattomuudesta ja ulkoiselta painostukselta suojaamiselta, muun muassa määräaikaiseksi toimikaudeksi nimittämisellä. Ks. Myös CCJE:n lausunto N:o 10 (2007), 36; Lausunto luonnoksesta Georgian yleisistä tuomioistuimista annetun valtiosääntöä täydentävän lain  muuttamiseksi (CDL-AD(2013)007-e), 71 kohta ”</w:t>
      </w:r>
      <w:r>
        <w:rPr>
          <w:i/>
          <w:iCs/>
        </w:rPr>
        <w:t>Venetsian komissio katsoo, että käyttäessään lainsäädäntövaltaansa oikeuslaitoksen tulevan organisaation ja toiminnan suunnitteluun, parlamentin olisi pidättäydyttävä toteuttamasta toimenpiteitä, jotka vaarantaisivat ylimmän tuomarineuvoston jäsenyyden jatkumisen</w:t>
      </w:r>
      <w:r>
        <w:t>”. Slovakian perustuslakituomioistuin on tehnyt vastaavanlaiset päätelmät 19.9.2018 antamassaan tuomiossa PLz. ÚS 2/2018, 12 kohta.</w:t>
      </w:r>
    </w:p>
  </w:footnote>
  <w:footnote w:id="30">
    <w:p>
      <w:pPr>
        <w:pStyle w:val="FootnoteText"/>
      </w:pPr>
      <w:r>
        <w:rPr>
          <w:rStyle w:val="FootnoteReference"/>
        </w:rPr>
        <w:footnoteRef/>
      </w:r>
      <w:r>
        <w:t xml:space="preserve"> </w:t>
      </w:r>
      <w:r>
        <w:tab/>
        <w:t xml:space="preserve">Ei ole selvää, missä määrin perustuslakituomioistuin voisi arvioida irtisanomista koskevaa päätöstä oikeudellisen riippumattomuuden näkökulmasta. Oikeusvaltiota koskevan vuosikertomuksen 2020 seurantakokouksen yhteydessä saadut tiedot. </w:t>
      </w:r>
    </w:p>
  </w:footnote>
  <w:footnote w:id="31">
    <w:p>
      <w:pPr>
        <w:pStyle w:val="FootnoteText"/>
      </w:pPr>
      <w:r>
        <w:rPr>
          <w:rStyle w:val="FootnoteReference"/>
        </w:rPr>
        <w:footnoteRef/>
      </w:r>
      <w:r>
        <w:t xml:space="preserve"> </w:t>
      </w:r>
      <w:r>
        <w:tab/>
        <w:t xml:space="preserve">Unionin tuomioistuin on muistuttanut, että tuomareiden nimitysprosessin osalta, jotta tuomarineuvosto voisi osaltaan edistää prosessin objektiivisempaa etenemistä, on tarpeen, että tällainen elin on riittävän riippumaton lainsäätäjästä, toimeenpanevasta viranomaisesta ja viranomaisesta, jolle sen on annettava lausunto oikeusvirkaan ehdokkaina olevien arvioinnista.  Ks. myös unionin tuomioistuimen tuomio 20.4.2021, </w:t>
      </w:r>
      <w:r>
        <w:rPr>
          <w:i/>
        </w:rPr>
        <w:t>Repubblika</w:t>
      </w:r>
      <w:r>
        <w:t>, asia C-896/19, 66 kohta.</w:t>
      </w:r>
    </w:p>
  </w:footnote>
  <w:footnote w:id="32">
    <w:p>
      <w:pPr>
        <w:pStyle w:val="FootnoteText"/>
      </w:pPr>
      <w:r>
        <w:rPr>
          <w:rStyle w:val="FootnoteReference"/>
        </w:rPr>
        <w:footnoteRef/>
      </w:r>
      <w:r>
        <w:t xml:space="preserve"> </w:t>
      </w:r>
      <w:r>
        <w:tab/>
        <w:t>Oikeusvaltiokertomus 2020, luku oikeusvaltiotilanteesta Slovakiassa, s. 4.</w:t>
      </w:r>
    </w:p>
  </w:footnote>
  <w:footnote w:id="33">
    <w:p>
      <w:pPr>
        <w:pStyle w:val="FootnoteText"/>
      </w:pPr>
      <w:r>
        <w:rPr>
          <w:rStyle w:val="FootnoteReference"/>
        </w:rPr>
        <w:footnoteRef/>
      </w:r>
      <w:r>
        <w:t xml:space="preserve"> </w:t>
      </w:r>
      <w:r>
        <w:tab/>
        <w:t xml:space="preserve">Siirtymäsäännöksessä määrättiin, että tuomarit, jotka olivat saavuttaneet 67 vuoden iän perustuslakimuutoksen voimaantulohetkellä (1.1.2021), jäävät eläkkeelle 1.2.2021 mennessä. Slovakian viranomaiset vahvistivat, että tällaista tuomaria ei ollut, minkä vuoksi säännöstä ei sovellettu. </w:t>
      </w:r>
    </w:p>
  </w:footnote>
  <w:footnote w:id="34">
    <w:p>
      <w:pPr>
        <w:pStyle w:val="FootnoteText"/>
      </w:pPr>
      <w:r>
        <w:rPr>
          <w:rStyle w:val="FootnoteReference"/>
        </w:rPr>
        <w:footnoteRef/>
      </w:r>
      <w:r>
        <w:t xml:space="preserve"> </w:t>
      </w:r>
      <w:r>
        <w:tab/>
        <w:t>Laki N:o 312/2020 omaisuuden takavarikoinnista ja takavarikoidun omaisuuden hallinnoinnista sekä eräiden säädösten muutoksista, voimassa 1 päivästä tammikuuta 2021 lähtien.</w:t>
      </w:r>
    </w:p>
  </w:footnote>
  <w:footnote w:id="35">
    <w:p>
      <w:pPr>
        <w:pStyle w:val="FootnoteText"/>
      </w:pPr>
      <w:r>
        <w:rPr>
          <w:rStyle w:val="FootnoteReference"/>
        </w:rPr>
        <w:footnoteRef/>
      </w:r>
      <w:r>
        <w:t xml:space="preserve"> </w:t>
      </w:r>
      <w:r>
        <w:tab/>
        <w:t>Säännös koskee myös maallikkotuomareita.</w:t>
      </w:r>
    </w:p>
  </w:footnote>
  <w:footnote w:id="36">
    <w:p>
      <w:pPr>
        <w:pStyle w:val="FootnoteText"/>
      </w:pPr>
      <w:r>
        <w:rPr>
          <w:rStyle w:val="FootnoteReference"/>
        </w:rPr>
        <w:footnoteRef/>
      </w:r>
      <w:r>
        <w:t xml:space="preserve"> </w:t>
      </w:r>
      <w:r>
        <w:tab/>
        <w:t>Perustuslain 148 §:n 4 momentti.</w:t>
      </w:r>
    </w:p>
  </w:footnote>
  <w:footnote w:id="37">
    <w:p>
      <w:pPr>
        <w:pStyle w:val="FootnoteText"/>
      </w:pPr>
      <w:r>
        <w:rPr>
          <w:rStyle w:val="FootnoteReference"/>
        </w:rPr>
        <w:footnoteRef/>
      </w:r>
      <w:r>
        <w:t xml:space="preserve"> </w:t>
      </w:r>
      <w:r>
        <w:tab/>
        <w:t>Rikoslain 326a §.</w:t>
      </w:r>
    </w:p>
  </w:footnote>
  <w:footnote w:id="38">
    <w:p>
      <w:pPr>
        <w:pStyle w:val="FootnoteText"/>
      </w:pPr>
      <w:r>
        <w:rPr>
          <w:rStyle w:val="FootnoteReference"/>
        </w:rPr>
        <w:footnoteRef/>
      </w:r>
      <w:r>
        <w:t xml:space="preserve"> </w:t>
      </w:r>
      <w:r>
        <w:tab/>
        <w:t>Säännös koskee myös maallikkotuomareita ja välimiehiä.</w:t>
      </w:r>
    </w:p>
  </w:footnote>
  <w:footnote w:id="39">
    <w:p>
      <w:pPr>
        <w:pStyle w:val="FootnoteText"/>
      </w:pPr>
      <w:r>
        <w:rPr>
          <w:rStyle w:val="FootnoteReference"/>
        </w:rPr>
        <w:footnoteRef/>
      </w:r>
      <w:r>
        <w:t xml:space="preserve"> </w:t>
      </w:r>
      <w:r>
        <w:tab/>
        <w:t>Lisätietoja löytyy Via Iuris (Civil Liberties Union) -kansalaisjärjestön antamista tiedoista oikeusvaltiota koskevaan vuosikertomukseen 2021, s. 8.</w:t>
      </w:r>
    </w:p>
  </w:footnote>
  <w:footnote w:id="40">
    <w:p>
      <w:pPr>
        <w:pStyle w:val="FootnoteText"/>
      </w:pPr>
      <w:r>
        <w:rPr>
          <w:rStyle w:val="FootnoteReference"/>
        </w:rPr>
        <w:footnoteRef/>
      </w:r>
      <w:r>
        <w:t xml:space="preserve"> </w:t>
      </w:r>
      <w:r>
        <w:tab/>
        <w:t>Lain N:o 312/2020 perustelut, s. 40; Oikeusvaltiota koskevan vuosikertomuksen 2020 seurantakokouksen yhteydessä saadut tiedot.</w:t>
      </w:r>
    </w:p>
  </w:footnote>
  <w:footnote w:id="41">
    <w:p>
      <w:pPr>
        <w:pStyle w:val="FootnoteText"/>
      </w:pPr>
      <w:r>
        <w:rPr>
          <w:rStyle w:val="FootnoteReference"/>
        </w:rPr>
        <w:footnoteRef/>
      </w:r>
      <w:r>
        <w:t xml:space="preserve"> </w:t>
      </w:r>
      <w:r>
        <w:tab/>
        <w:t>Vaikuttaa kuitenkin siltä, että tämä suoja on voimassa vain vuoteen 2024 asti, laki 423/2020, III, XXX §.</w:t>
      </w:r>
    </w:p>
  </w:footnote>
  <w:footnote w:id="42">
    <w:p>
      <w:pPr>
        <w:pStyle w:val="FootnoteText"/>
      </w:pPr>
      <w:r>
        <w:rPr>
          <w:rStyle w:val="FootnoteReference"/>
        </w:rPr>
        <w:footnoteRef/>
      </w:r>
      <w:r>
        <w:t xml:space="preserve"> </w:t>
      </w:r>
      <w:r>
        <w:tab/>
        <w:t>Laki tuomioistuimista 385/2000, 22 §. Pykälän 22a mukaan tuomari voidaan myös tilapäisesti pidättää virantoimituksesta tuomarineuvoston päätöksellä, jos on perusteltua epäillä, täyttääkö hän tuomarin soveltuvuusvaatimukset, tai jos oikeuslaitoksen uskottavuus tai maine saattavat vakavasti vaarantua. Perustuslain muutoksen hyväksymisen jälkeen joulukuussa 2021 perustuslakituomioistuimen hyväksyntä ei ole enää tarpeen, jotta tuomari voitaisiin pidättää. Lisätietoja löytyy Via Iuris (Civil Liberties Union) -kansalaisjärjestön antamista tiedoista oikeusvaltiota koskevaan vuosikertomukseen 2021, s. 8.</w:t>
      </w:r>
    </w:p>
  </w:footnote>
  <w:footnote w:id="43">
    <w:p>
      <w:pPr>
        <w:pStyle w:val="FootnoteText"/>
      </w:pPr>
      <w:r>
        <w:rPr>
          <w:rStyle w:val="FootnoteReference"/>
        </w:rPr>
        <w:footnoteRef/>
      </w:r>
      <w:r>
        <w:t xml:space="preserve"> </w:t>
      </w:r>
      <w:r>
        <w:tab/>
        <w:t>Euroopan neuvoston ministerikomitean suositus CM/Rec(2010)12, 68 kohta; ks. vastaavasti tuomareita vastaan nostettuihin kurinpitomenettelyihin liittyvät asiat: Euroopan unionin tuomioistuimen tuomio 19.11.2019, LM, C-216/18, 67 kohta, tuomareiden vastuuvelvollisuudesta ks. myös Euroopan unionin tuomioistuimen 18.5.2021 antama tuomio yhteisasioissa C-83/19, C-127/19, C-195/19, C-291/19, C-355/19 ja C-397/19, 228–239 kohta.</w:t>
      </w:r>
    </w:p>
  </w:footnote>
  <w:footnote w:id="44">
    <w:p>
      <w:pPr>
        <w:pStyle w:val="FootnoteText"/>
      </w:pPr>
      <w:r>
        <w:rPr>
          <w:rStyle w:val="FootnoteReference"/>
        </w:rPr>
        <w:footnoteRef/>
      </w:r>
      <w:r>
        <w:t xml:space="preserve"> </w:t>
      </w:r>
      <w:r>
        <w:tab/>
        <w:t xml:space="preserve">Eurooppalaisten tuomareiden konsultatiivisen neuvoston (CCJE) puheenjohtajiston 9.12.2020 antaman perustuslakiin liittyvän lausunnon mukaan (CCJE-BU(2020)3, s. 5) perustuslain uusi sanamuoto on epämääräinen ja saattaa aiheuttaa väärinkäytön vaaran, Slovakialaisten asianajajien avoin julkilausuma, joka on saatavilla osoitteessa </w:t>
      </w:r>
      <w:hyperlink r:id="rId2" w:history="1">
        <w:r>
          <w:rPr>
            <w:rStyle w:val="Hyperlink"/>
          </w:rPr>
          <w:t>https://pravnystat.eu/en/</w:t>
        </w:r>
      </w:hyperlink>
      <w:r>
        <w:t xml:space="preserve"> ja joka on toimitettu sidosryhmien kuulemiseen liittyvänä tietona oikeusvaltiota koskevaan vuosikertomukseen 2021.</w:t>
      </w:r>
    </w:p>
  </w:footnote>
  <w:footnote w:id="45">
    <w:p>
      <w:pPr>
        <w:pStyle w:val="FootnoteText"/>
      </w:pPr>
      <w:r>
        <w:rPr>
          <w:rStyle w:val="FootnoteReference"/>
        </w:rPr>
        <w:footnoteRef/>
      </w:r>
      <w:r>
        <w:t xml:space="preserve"> </w:t>
      </w:r>
      <w:r>
        <w:tab/>
        <w:t>Aiemmin tuomareita oli mahdollista siirtää ilman heidän suostumustaan ainoastaan oikeudenkäynnin seurauksena. Perustuslain 148 §:n 1 momentti.</w:t>
      </w:r>
    </w:p>
  </w:footnote>
  <w:footnote w:id="46">
    <w:p>
      <w:pPr>
        <w:pStyle w:val="FootnoteText"/>
      </w:pPr>
      <w:r>
        <w:rPr>
          <w:rStyle w:val="FootnoteReference"/>
        </w:rPr>
        <w:footnoteRef/>
      </w:r>
      <w:r>
        <w:t xml:space="preserve"> </w:t>
      </w:r>
      <w:r>
        <w:tab/>
        <w:t xml:space="preserve">Euroopan neuvoston ministerikomitean suositus CM/Rec(2010)12, 52 kohta; Euroopan unionin tuomareiden asemaa koskeva peruskirja, artiklat 1.4. ja 3.4. Euroopan tuomarineuvostojen verkoston raportti </w:t>
      </w:r>
      <w:r>
        <w:rPr>
          <w:rStyle w:val="sb8d990e2"/>
        </w:rPr>
        <w:t>ammatillisen suorituskyvyn arviointia koskevista vähimmäisvaatimuksista ja tuomarikunnan jäsenten erottamattomuudesta, ehdotus 4.21; Euroopan ihmisoikeustuomioistuimen tuomio 9.3.2021, Bilgen v Turkki, 1571/07, 96 kohta.</w:t>
      </w:r>
    </w:p>
  </w:footnote>
  <w:footnote w:id="47">
    <w:p>
      <w:pPr>
        <w:pStyle w:val="FootnoteText"/>
      </w:pPr>
      <w:r>
        <w:rPr>
          <w:rStyle w:val="FootnoteReference"/>
        </w:rPr>
        <w:footnoteRef/>
      </w:r>
      <w:r>
        <w:t xml:space="preserve"> </w:t>
      </w:r>
      <w:r>
        <w:tab/>
        <w:t>Perustuslain 148 §:n 1 momentin mukaan siirtoa oikeuslaitosrakenteen muuttuessa täsmennetään täytäntöönpanolaissa.</w:t>
      </w:r>
    </w:p>
  </w:footnote>
  <w:footnote w:id="48">
    <w:p>
      <w:pPr>
        <w:pStyle w:val="FootnoteText"/>
      </w:pPr>
      <w:r>
        <w:rPr>
          <w:rStyle w:val="FootnoteReference"/>
        </w:rPr>
        <w:footnoteRef/>
      </w:r>
      <w:r>
        <w:t xml:space="preserve"> </w:t>
      </w:r>
      <w:r>
        <w:tab/>
        <w:t>Oikeusvaltiokertomus 2020, luku oikeusvaltiotilanteesta Slovakiassa, s. 4.</w:t>
      </w:r>
    </w:p>
  </w:footnote>
  <w:footnote w:id="49">
    <w:p>
      <w:pPr>
        <w:pStyle w:val="FootnoteText"/>
      </w:pPr>
      <w:r>
        <w:rPr>
          <w:rStyle w:val="FootnoteReference"/>
        </w:rPr>
        <w:footnoteRef/>
      </w:r>
      <w:r>
        <w:t xml:space="preserve"> </w:t>
      </w:r>
      <w:r>
        <w:tab/>
        <w:t>CEPEJ (marraskuu 2017), Slovakian oikeuslaitoksen tehokkuus ja laatu, Arviointi ja suositukset perustuvat CEPEJ:n välineisiin, CEPEJ-COOP(2017)14, s. 20–28.</w:t>
      </w:r>
    </w:p>
  </w:footnote>
  <w:footnote w:id="50">
    <w:p>
      <w:pPr>
        <w:pStyle w:val="FootnoteText"/>
      </w:pPr>
      <w:r>
        <w:rPr>
          <w:rStyle w:val="FootnoteReference"/>
        </w:rPr>
        <w:footnoteRef/>
      </w:r>
      <w:r>
        <w:t xml:space="preserve"> </w:t>
      </w:r>
      <w:r>
        <w:tab/>
        <w:t xml:space="preserve">Laatimisprosessissa oli useita vaiheita. Ensimmäisessä vaiheessa työryhmä (jonka lähes 50 jäsenestä suurin osa oli tuomareita, mukaan lukien ensimmäisen ja toisen oikeusasteen tuomioistuinten presidentit, ja tuomarineuvoston jäseniä, mukaan lukien sen puheenjohtaja) sopi uudistuksen keskeisistä piirteistä. Toisessa vaiheessa vuoden 2020 ensimmäisellä puoliskolla uusi, pienempi työryhmä, jossa oli noin 10 jäsentä (joista 4 oli tuomareita), laati uudistuksen luonnoksen ensimmäisen työryhmän suositusten perusteella. Sidosryhmät kuitenkin kyseenalaistavat sen, missä määrin suositukset otettiin huomioon. Työryhmän ensimmäisessä vaiheessa pitämien kokousten pöytäkirjat ja läsnäololuettelot ovat saatavilla osoitteessa </w:t>
      </w:r>
      <w:hyperlink r:id="rId3" w:history="1">
        <w:r>
          <w:rPr>
            <w:rStyle w:val="Hyperlink"/>
          </w:rPr>
          <w:t>http://web.ac-mssr.sk/sudna-mapa-otazky-a-odpovede/</w:t>
        </w:r>
      </w:hyperlink>
      <w:r>
        <w:t xml:space="preserve">. Slovakiaan tehdyn vierailun yhteydessä saadut tiedot; Oikeusministeriön uuden oikeuslaitosrakenteen verkkosivulla julkaisemat tiedot, </w:t>
      </w:r>
      <w:hyperlink r:id="rId4" w:history="1">
        <w:r>
          <w:rPr>
            <w:rStyle w:val="Hyperlink"/>
          </w:rPr>
          <w:t>http://web.ac-mssr.sk/sudna-mapa-otazky-a-odpovede/</w:t>
        </w:r>
      </w:hyperlink>
      <w:r>
        <w:t>; Oikeusministeriön analyysikeskus (joulukuu 2020), suositukset uuden oikeuslaitosrakenteen laatimista varten, s. 15–17.</w:t>
      </w:r>
    </w:p>
  </w:footnote>
  <w:footnote w:id="51">
    <w:p>
      <w:pPr>
        <w:pStyle w:val="FootnoteText"/>
      </w:pPr>
      <w:r>
        <w:rPr>
          <w:rStyle w:val="FootnoteReference"/>
        </w:rPr>
        <w:footnoteRef/>
      </w:r>
      <w:r>
        <w:t xml:space="preserve"> </w:t>
      </w:r>
      <w:r>
        <w:tab/>
        <w:t>Oikeusministeriön analyysikeskus (marraskuu 2020), oikeuslaitosrakenteen uudistaminen, s. 4.</w:t>
      </w:r>
    </w:p>
  </w:footnote>
  <w:footnote w:id="52">
    <w:p>
      <w:pPr>
        <w:pStyle w:val="FootnoteText"/>
      </w:pPr>
      <w:r>
        <w:rPr>
          <w:rStyle w:val="FootnoteReference"/>
        </w:rPr>
        <w:footnoteRef/>
      </w:r>
      <w:r>
        <w:t xml:space="preserve"> </w:t>
      </w:r>
      <w:r>
        <w:tab/>
        <w:t xml:space="preserve">Oikeusministeriön analyysikeskus (marraskuu 2020), oikeuslaitosrakenteen uudistaminen, s. 20–21. Näiden kriteerien arviointi kunkin piirin osalta selostetaan oikeusministeriön analyysikeskuksessa (marraskuu 2020), Odporúčania pre tvorbu novej súdnej mapy,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 xml:space="preserve"> </w:t>
      </w:r>
      <w:r>
        <w:tab/>
        <w:t>Työryhmän tavoitteena oli luoda alueita, joilla on jokaiseen nykyiseen tuomioistuimeen keskimäärin saapuneiden asioiden määrän perusteella riittävästi tapauksia jokaisella asialistalla vähintään 3 erikoistuneelle tuomarille / 3 erikoistuneelle toimikunnalle. Uudistusehdotuksessa ehdotettiin myös erillisten hallinto-oikeuksien luomista (ks. jäljempänä). Oikeusministeriön analyysikeskus (marraskuu 2020), oikeuslaitosrakenteen uudistaminen, s. 20–21. Oikeusministeriön analyysikeskus (marraskuu 2020),Odporúčania pre tvorbu novej súdnej mapy, s. 20–21, 34, 43.</w:t>
      </w:r>
    </w:p>
  </w:footnote>
  <w:footnote w:id="54">
    <w:p>
      <w:pPr>
        <w:pStyle w:val="FootnoteText"/>
      </w:pPr>
      <w:r>
        <w:rPr>
          <w:rStyle w:val="FootnoteReference"/>
        </w:rPr>
        <w:footnoteRef/>
      </w:r>
      <w:r>
        <w:t xml:space="preserve"> </w:t>
      </w:r>
      <w:r>
        <w:tab/>
        <w:t>Lakiehdotus tuomioistuinten toimipaikoista ja alueellisesta toimivallasta, 10 §:n 2 momentti ja 11 §:n 2 momentti, saatavilla osoitteessa https://www.slov-lex.sk/legislativne-procesy/SK/LP/2020/587.</w:t>
      </w:r>
    </w:p>
  </w:footnote>
  <w:footnote w:id="55">
    <w:p>
      <w:pPr>
        <w:pStyle w:val="FootnoteText"/>
      </w:pPr>
      <w:r>
        <w:rPr>
          <w:rStyle w:val="FootnoteReference"/>
        </w:rPr>
        <w:footnoteRef/>
      </w:r>
      <w:r>
        <w:t xml:space="preserve"> </w:t>
      </w:r>
      <w:r>
        <w:tab/>
        <w:t xml:space="preserve">Oikeusministeriö, laatimisprosessin aikataulu, saatavilla osoitteessa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Tietoportaali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 xml:space="preserve"> </w:t>
      </w:r>
      <w:r>
        <w:tab/>
        <w:t xml:space="preserve">Slovakian tuomareiden viestintäfoorumin Sudnamoc.sk ja Slovakian tuomariliiton panos oikeusvaltiota koskevaan vuosikertomukseen 2021; Slovakiaan tehdyn vierailun yhteydessä saadut tiedot. Luonnoksessa on myös erilaisia vaihtoehtoja tuomioistuinten puheenjohtajien valitsemiseksi, mikä herättää kysymyksiä toimeenpanovallan käyttäjille annetusta harkintavallasta, lakiehdotus tuomioistuinten toimipaikoista ja alueellisesta toimivallasta, XVI §:n 35 kohta, jolla lisätään 101f §:n 4 momentti lakiin N:o 757/2004 tuomioistuimista. </w:t>
      </w:r>
    </w:p>
  </w:footnote>
  <w:footnote w:id="58">
    <w:p>
      <w:pPr>
        <w:pStyle w:val="FootnoteText"/>
      </w:pPr>
      <w:r>
        <w:rPr>
          <w:rStyle w:val="FootnoteReference"/>
        </w:rPr>
        <w:footnoteRef/>
      </w:r>
      <w:r>
        <w:t xml:space="preserve"> </w:t>
      </w:r>
      <w:r>
        <w:tab/>
        <w:t>Slovakian viranomaisilta saadut tiedot.</w:t>
      </w:r>
    </w:p>
  </w:footnote>
  <w:footnote w:id="59">
    <w:p>
      <w:pPr>
        <w:pStyle w:val="FootnoteText"/>
      </w:pPr>
      <w:r>
        <w:rPr>
          <w:rStyle w:val="FootnoteReference"/>
        </w:rPr>
        <w:footnoteRef/>
      </w:r>
      <w:r>
        <w:t xml:space="preserve"> </w:t>
      </w:r>
      <w:r>
        <w:tab/>
        <w:t xml:space="preserve">On huomattava, että uudistusehdotuksessa ehdotetaan, että tuomarit siirretään yleisseuraannon keinoin ilman, että sovelletaan määräystä tuomarien siirtämisestä, josta säädetty tuomioistuimista annetun lain 385/2000 14 §:ssä. EU:n siirtostandardeja sovelletaan joka tapauksessa. </w:t>
      </w:r>
    </w:p>
  </w:footnote>
  <w:footnote w:id="60">
    <w:p>
      <w:pPr>
        <w:pStyle w:val="FootnoteText"/>
      </w:pPr>
      <w:r>
        <w:rPr>
          <w:rStyle w:val="FootnoteReference"/>
        </w:rPr>
        <w:footnoteRef/>
      </w:r>
      <w:r>
        <w:t xml:space="preserve"> </w:t>
      </w:r>
      <w:r>
        <w:tab/>
        <w:t>CEPEJ (14.12.2020), CEPEJ Asiantuntijoiden tarkastus oikeuslaitosrakenteen uudistuksesta Slovakiassa, s. 8–9.</w:t>
      </w:r>
    </w:p>
  </w:footnote>
  <w:footnote w:id="61">
    <w:p>
      <w:pPr>
        <w:pStyle w:val="FootnoteText"/>
      </w:pPr>
      <w:r>
        <w:rPr>
          <w:rStyle w:val="FootnoteReference"/>
        </w:rPr>
        <w:footnoteRef/>
      </w:r>
      <w:r>
        <w:t xml:space="preserve"> </w:t>
      </w:r>
      <w:r>
        <w:tab/>
        <w:t>CEPEJ (14.12.2020), CEPEJ Asiantuntijoiden tarkastus oikeuslaitosrakenteen uudistuksesta Slovakiassa, s. 10–11.</w:t>
      </w:r>
    </w:p>
  </w:footnote>
  <w:footnote w:id="62">
    <w:p>
      <w:pPr>
        <w:pStyle w:val="FootnoteText"/>
      </w:pPr>
      <w:r>
        <w:rPr>
          <w:rStyle w:val="FootnoteReference"/>
        </w:rPr>
        <w:footnoteRef/>
      </w:r>
      <w:r>
        <w:rPr>
          <w:rStyle w:val="FootnoteReference"/>
        </w:rPr>
        <w:t xml:space="preserve"> </w:t>
      </w:r>
      <w:r>
        <w:tab/>
        <w:t>Korkein hallinto-oikeus on muun muassa toisen oikeusasteen hallintotuomioistuin. Hallintotoimikunta käsittelee parhaillaan ensimmäisen oikeusasteen hallinnollisia asioita alueellisissa tuomioistuimissa, ja ne siirretään uusiin hallinto-oikeuksiin niiden perustamisen jälkeen.</w:t>
      </w:r>
    </w:p>
  </w:footnote>
  <w:footnote w:id="63">
    <w:p>
      <w:pPr>
        <w:pStyle w:val="FootnoteText"/>
      </w:pPr>
      <w:r>
        <w:rPr>
          <w:rStyle w:val="FootnoteReference"/>
        </w:rPr>
        <w:footnoteRef/>
      </w:r>
      <w:r>
        <w:t xml:space="preserve"> </w:t>
      </w:r>
      <w:r>
        <w:tab/>
        <w:t>Oikeusministeriö on 2 päivänä kesäkuuta 2021 pyytänyt Venetsian komissiolta lausuntoa korkeimman hallinto-oikeuden mahdollisesta toimivallasta toimia muutoksenhakuelimenä, joka tutkii Slovakian asianajajaliiton lakimiehiä koskevia kurinpitopäätöksiä sekä asianajajien toimea ja asemaa Slovakian oikeusjärjestelmässä. Tällä hetkellä ei olla laatimassa lainsäädäntöä, jolla tuomioistuimelle myönnettäisiin tällainen toimivalta, mutta sitä ehdotetaan perustuslain tasoisen lain N:o 422/20, perusteluissa s. 28.</w:t>
      </w:r>
    </w:p>
  </w:footnote>
  <w:footnote w:id="64">
    <w:p>
      <w:pPr>
        <w:pStyle w:val="FootnoteText"/>
      </w:pPr>
      <w:r>
        <w:rPr>
          <w:rStyle w:val="FootnoteReference"/>
        </w:rPr>
        <w:footnoteRef/>
      </w:r>
      <w:r>
        <w:t xml:space="preserve"> </w:t>
      </w:r>
      <w:r>
        <w:tab/>
        <w:t>Tasavallan presidentti nimitti korkeimman oikeuden presidentin perustuslain 154g §:n 7 momentin siirtymäsäännökseen perustuvan tuomarineuvoston ehdotuksen perusteella.</w:t>
      </w:r>
    </w:p>
  </w:footnote>
  <w:footnote w:id="65">
    <w:p>
      <w:pPr>
        <w:pStyle w:val="FootnoteText"/>
      </w:pPr>
      <w:r>
        <w:rPr>
          <w:rStyle w:val="FootnoteReference"/>
        </w:rPr>
        <w:footnoteRef/>
      </w:r>
      <w:r>
        <w:t xml:space="preserve"> </w:t>
      </w:r>
      <w:r>
        <w:tab/>
        <w:t xml:space="preserve">Laki tuomioistuimista 385/2000, 151zf §. </w:t>
      </w:r>
    </w:p>
  </w:footnote>
  <w:footnote w:id="66">
    <w:p>
      <w:pPr>
        <w:pStyle w:val="FootnoteText"/>
      </w:pPr>
      <w:r>
        <w:rPr>
          <w:rStyle w:val="FootnoteReference"/>
        </w:rPr>
        <w:footnoteRef/>
      </w:r>
      <w:r>
        <w:t xml:space="preserve"> </w:t>
      </w:r>
      <w:r>
        <w:tab/>
        <w:t>Lakiehdotus tuomioistuinten toimipaikoista ja alueellisesta toimivallasta, XVI §:n 35 kohta, jolla lisätään 101f §:n 1 momentti lakiin N:o 757/2004 tuomioistuimista.</w:t>
      </w:r>
    </w:p>
  </w:footnote>
  <w:footnote w:id="67">
    <w:p>
      <w:pPr>
        <w:pStyle w:val="FootnoteText"/>
      </w:pPr>
      <w:r>
        <w:rPr>
          <w:rStyle w:val="FootnoteReference"/>
        </w:rPr>
        <w:footnoteRef/>
      </w:r>
      <w:r>
        <w:t xml:space="preserve"> </w:t>
      </w:r>
      <w:r>
        <w:tab/>
        <w:t xml:space="preserve">Tuomioistuinten puheenjohtajien tavanomaisessa nimittämismenettelyssä, kuten säädetään tuomioistuimista annetun lain 750/2004 36 ja 37 §:ssä, oikeusministeri valitsee neljä valintakomitean jäsentä ehdokasluettelosta siten, että yksi komitean jäsenistä on tuomarineuvoston nimittämä ja kolme ministerin nimittämiä. Tuomarineuvosto valitsee yhden valintakomitean jäsenen kyseisessä tuomioistuimessa. Ehdokasluettelo on julkaistu oikeusministeriön verkkosivuilla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Tuomioistuinten toimipaikoista ja alueellisesta toimivallasta annetun lakiesityksen IX §:n 17 kohta, jolla lisätään 151zg § tuomareita koskevaan lakiin N:o 385/2000.</w:t>
      </w:r>
    </w:p>
  </w:footnote>
  <w:footnote w:id="69">
    <w:p>
      <w:pPr>
        <w:pStyle w:val="FootnoteText"/>
      </w:pPr>
      <w:r>
        <w:rPr>
          <w:rStyle w:val="FootnoteReference"/>
        </w:rPr>
        <w:footnoteRef/>
      </w:r>
      <w:r>
        <w:t xml:space="preserve"> </w:t>
      </w:r>
      <w:r>
        <w:tab/>
        <w:t>Sen jälkeen kun asiasta on keskusteltu tuomarineuvoston kanssa.</w:t>
      </w:r>
    </w:p>
  </w:footnote>
  <w:footnote w:id="70">
    <w:p>
      <w:pPr>
        <w:pStyle w:val="FootnoteText"/>
      </w:pPr>
      <w:r>
        <w:rPr>
          <w:rStyle w:val="FootnoteReference"/>
        </w:rPr>
        <w:footnoteRef/>
      </w:r>
      <w:r>
        <w:t xml:space="preserve"> </w:t>
      </w:r>
      <w:r>
        <w:tab/>
        <w:t>Tuomarineuvosto hoitaa tuomarien siirron joko tuomarin pyynnöstä tai hänen suostumuksellaan tai kurinpitopäätöksen perusteella, laki 385/2000 tuomioistuimista, 14 §.</w:t>
      </w:r>
    </w:p>
  </w:footnote>
  <w:footnote w:id="71">
    <w:p>
      <w:pPr>
        <w:pStyle w:val="FootnoteText"/>
      </w:pPr>
      <w:r>
        <w:rPr>
          <w:rStyle w:val="FootnoteReference"/>
        </w:rPr>
        <w:footnoteRef/>
      </w:r>
      <w:r>
        <w:t xml:space="preserve"> </w:t>
      </w:r>
      <w:r>
        <w:tab/>
        <w:t>Valintamenettelyä johtaa valintakomitea, joka koostuu kahdesta oikeusministerin nimeämästä jäsenestä ja kolmesta tuomarineuvoston nimeämästä jäsenestä, laki 385/2000 tuomioistuimista, 29 §.</w:t>
      </w:r>
    </w:p>
  </w:footnote>
  <w:footnote w:id="72">
    <w:p>
      <w:pPr>
        <w:pStyle w:val="FootnoteText"/>
      </w:pPr>
      <w:r>
        <w:rPr>
          <w:rStyle w:val="FootnoteReference"/>
        </w:rPr>
        <w:footnoteRef/>
      </w:r>
      <w:r>
        <w:t xml:space="preserve"> </w:t>
      </w:r>
      <w:r>
        <w:tab/>
        <w:t>Eurooppalaisten tuomareiden konsultatiivinen neuvosto (2016) , lausunto N:o 19 tuomioistuinten presidenttien rooli, 53 kohta.</w:t>
      </w:r>
    </w:p>
  </w:footnote>
  <w:footnote w:id="73">
    <w:p>
      <w:pPr>
        <w:pStyle w:val="FootnoteText"/>
      </w:pPr>
      <w:r>
        <w:rPr>
          <w:rStyle w:val="FootnoteReference"/>
        </w:rPr>
        <w:footnoteRef/>
      </w:r>
      <w:r>
        <w:t xml:space="preserve"> </w:t>
      </w:r>
      <w:r>
        <w:tab/>
        <w:t>Laki (241/2020).</w:t>
      </w:r>
    </w:p>
  </w:footnote>
  <w:footnote w:id="74">
    <w:p>
      <w:pPr>
        <w:pStyle w:val="FootnoteText"/>
      </w:pPr>
      <w:r>
        <w:rPr>
          <w:rStyle w:val="FootnoteReference"/>
        </w:rPr>
        <w:footnoteRef/>
      </w:r>
      <w:r>
        <w:t xml:space="preserve"> </w:t>
      </w:r>
      <w:r>
        <w:tab/>
        <w:t>Perustuslain 150 §:n mukaan tasavallan presidentti nimittää valtakunnansyyttäjän parlamentin ehdotuksesta. Parlamentti valitsee erityissyyttäjän, laki N:o 154/2001 syyttäjistä, 24a §.</w:t>
      </w:r>
    </w:p>
  </w:footnote>
  <w:footnote w:id="75">
    <w:p>
      <w:pPr>
        <w:pStyle w:val="FootnoteText"/>
      </w:pPr>
      <w:r>
        <w:rPr>
          <w:rStyle w:val="FootnoteReference"/>
        </w:rPr>
        <w:footnoteRef/>
      </w:r>
      <w:r>
        <w:t xml:space="preserve"> </w:t>
      </w:r>
      <w:r>
        <w:tab/>
        <w:t>Ehdokkaita voivat nimittää parlamentin jäsen, oikeusministeri, oikeusasiamies,  syyttäjänneuvosto, asianajajien ammattijärjestö, oikeustieteellinen tiedekunta ja tiedeakatemia. Aiemmin vain parlamentin jäsenillä oli oikeus ehdottaa ehdokasta, laki N:o 153/2001 syyttäjälaitoksesta, 7 §:n 4 momentti.</w:t>
      </w:r>
    </w:p>
  </w:footnote>
  <w:footnote w:id="76">
    <w:p>
      <w:pPr>
        <w:pStyle w:val="FootnoteText"/>
      </w:pPr>
      <w:r>
        <w:rPr>
          <w:rStyle w:val="FootnoteReference"/>
        </w:rPr>
        <w:footnoteRef/>
      </w:r>
      <w:r>
        <w:t xml:space="preserve"> </w:t>
      </w:r>
      <w:r>
        <w:tab/>
        <w:t>Laki N:o 153/2001 syyttäjälaitoksesta, 125 §:n 2 momentti.</w:t>
      </w:r>
    </w:p>
  </w:footnote>
  <w:footnote w:id="77">
    <w:p>
      <w:pPr>
        <w:pStyle w:val="FootnoteText"/>
      </w:pPr>
      <w:r>
        <w:rPr>
          <w:rStyle w:val="FootnoteReference"/>
        </w:rPr>
        <w:footnoteRef/>
      </w:r>
      <w:r>
        <w:t xml:space="preserve"> </w:t>
      </w:r>
      <w:r>
        <w:tab/>
        <w:t>Via Iuris (Civil Liberties Union) -kansalaisjärjestön panos oikeusvaltiota koskevaan vuosikertomukseen 2021, s. 9; Slovakiaan tehdyn vierailun yhteydessä saadut tiedot.</w:t>
      </w:r>
    </w:p>
  </w:footnote>
  <w:footnote w:id="78">
    <w:p>
      <w:pPr>
        <w:pStyle w:val="FootnoteText"/>
      </w:pPr>
      <w:r>
        <w:rPr>
          <w:rStyle w:val="FootnoteReference"/>
        </w:rPr>
        <w:footnoteRef/>
      </w:r>
      <w:r>
        <w:t xml:space="preserve"> </w:t>
      </w:r>
      <w:r>
        <w:tab/>
        <w:t xml:space="preserve">Oikeusvaltiokertomus 2020, luku oikeusvaltiotilanteesta Slovakiassa, s. 5. </w:t>
      </w:r>
    </w:p>
  </w:footnote>
  <w:footnote w:id="79">
    <w:p>
      <w:pPr>
        <w:pStyle w:val="FootnoteText"/>
      </w:pPr>
      <w:r>
        <w:rPr>
          <w:rStyle w:val="FootnoteReference"/>
        </w:rPr>
        <w:footnoteRef/>
      </w:r>
      <w:r>
        <w:tab/>
        <w:t xml:space="preserve">EU:n oikeusalan tulostaulu 2021, kaavio 41. </w:t>
      </w:r>
    </w:p>
  </w:footnote>
  <w:footnote w:id="80">
    <w:p>
      <w:pPr>
        <w:pStyle w:val="FootnoteText"/>
      </w:pPr>
      <w:r>
        <w:rPr>
          <w:rStyle w:val="FootnoteReference"/>
        </w:rPr>
        <w:footnoteRef/>
      </w:r>
      <w:r>
        <w:tab/>
        <w:t xml:space="preserve">EU:n oikeusalan tulostaulu 2021, kaavio 42. </w:t>
      </w:r>
    </w:p>
  </w:footnote>
  <w:footnote w:id="81">
    <w:p>
      <w:pPr>
        <w:pStyle w:val="FootnoteText"/>
      </w:pPr>
      <w:r>
        <w:rPr>
          <w:rStyle w:val="FootnoteReference"/>
        </w:rPr>
        <w:footnoteRef/>
      </w:r>
      <w:r>
        <w:tab/>
        <w:t xml:space="preserve">EU:n oikeusalan tulostaulu 2021, kaavio 43. </w:t>
      </w:r>
    </w:p>
  </w:footnote>
  <w:footnote w:id="82">
    <w:p>
      <w:pPr>
        <w:pStyle w:val="FootnoteText"/>
      </w:pPr>
      <w:r>
        <w:rPr>
          <w:rStyle w:val="FootnoteReference"/>
        </w:rPr>
        <w:footnoteRef/>
      </w:r>
      <w:r>
        <w:tab/>
        <w:t xml:space="preserve">EU:n oikeusalan tulostaulu 2021, kaavio 45. </w:t>
      </w:r>
    </w:p>
  </w:footnote>
  <w:footnote w:id="83">
    <w:p>
      <w:pPr>
        <w:pStyle w:val="FootnoteText"/>
      </w:pPr>
      <w:r>
        <w:rPr>
          <w:rStyle w:val="FootnoteReference"/>
        </w:rPr>
        <w:footnoteRef/>
      </w:r>
      <w:r>
        <w:tab/>
        <w:t xml:space="preserve">EU:n oikeusalan tulostaulu 2021, kaavio 44. </w:t>
      </w:r>
    </w:p>
  </w:footnote>
  <w:footnote w:id="84">
    <w:p>
      <w:pPr>
        <w:pStyle w:val="FootnoteText"/>
      </w:pPr>
      <w:r>
        <w:rPr>
          <w:rStyle w:val="FootnoteReference"/>
        </w:rPr>
        <w:footnoteRef/>
      </w:r>
      <w:r>
        <w:tab/>
        <w:t xml:space="preserve">EU:n oikeusalan tulostaulu 2021, kaavio 46. </w:t>
      </w:r>
    </w:p>
  </w:footnote>
  <w:footnote w:id="85">
    <w:p>
      <w:pPr>
        <w:pStyle w:val="FootnoteText"/>
      </w:pPr>
      <w:r>
        <w:rPr>
          <w:rStyle w:val="FootnoteReference"/>
        </w:rPr>
        <w:footnoteRef/>
      </w:r>
      <w:r>
        <w:t xml:space="preserve"> </w:t>
      </w:r>
      <w:r>
        <w:tab/>
        <w:t>Slovakian asianajajaliiton panos oikeusvaltiota koskevaan vuosikertomukseen 2021.</w:t>
      </w:r>
    </w:p>
  </w:footnote>
  <w:footnote w:id="86">
    <w:p>
      <w:pPr>
        <w:pStyle w:val="FootnoteText"/>
      </w:pPr>
      <w:r>
        <w:rPr>
          <w:rStyle w:val="FootnoteReference"/>
        </w:rPr>
        <w:footnoteRef/>
      </w:r>
      <w:r>
        <w:t xml:space="preserve"> </w:t>
      </w:r>
      <w:r>
        <w:tab/>
        <w:t xml:space="preserve">Toinen COVID-19-pandemian jälkeen paljastunut esimerkki on digitalisoinnin tarve säilöönottomenettelyissä, jotta asianajajien ja heidän pidätettyjen asiakkaidensa välinen turvallinen digitaalinen viestintä olisi mahdollista. Slovakian asianajajaliiton panos oikeusvaltiota koskevaan vuosikertomukseen 2021. Ks. myös Slovakian asianajajaliiton 23.3.2021 julkaisema lehdistötiedote, Predseda SAK navštívil nového generálneho riaditeľa Zboru väzenskej a justičnej stráže. </w:t>
      </w:r>
    </w:p>
  </w:footnote>
  <w:footnote w:id="87">
    <w:p>
      <w:pPr>
        <w:pStyle w:val="FootnoteText"/>
      </w:pPr>
      <w:r>
        <w:rPr>
          <w:rStyle w:val="FootnoteReference"/>
        </w:rPr>
        <w:footnoteRef/>
      </w:r>
      <w:r>
        <w:t xml:space="preserve"> </w:t>
      </w:r>
      <w:r>
        <w:tab/>
        <w:t>Slovakian panos oikeusvaltiota koskevaan vuosikertomukseen 2021, s. 12;  Slovakian elpymis- ja palautumissuunnitelmassa suunnitellaan investointeja oikeuslaitoksen digitalisointiin ja analyyttisiin valmiuksiin, Slovakian elpymis- ja palautumissuunnitelman osa-alue 15.</w:t>
      </w:r>
    </w:p>
  </w:footnote>
  <w:footnote w:id="88">
    <w:p>
      <w:pPr>
        <w:pStyle w:val="FootnoteText"/>
      </w:pPr>
      <w:r>
        <w:rPr>
          <w:rStyle w:val="FootnoteReference"/>
        </w:rPr>
        <w:footnoteRef/>
      </w:r>
      <w:r>
        <w:t xml:space="preserve"> </w:t>
      </w:r>
      <w:r>
        <w:tab/>
        <w:t>Slovakiaan tehdyn vierailun yhteydessä saadut tiedot;</w:t>
      </w:r>
    </w:p>
  </w:footnote>
  <w:footnote w:id="89">
    <w:p>
      <w:pPr>
        <w:pStyle w:val="FootnoteText"/>
      </w:pPr>
      <w:r>
        <w:rPr>
          <w:rStyle w:val="FootnoteReference"/>
        </w:rPr>
        <w:footnoteRef/>
      </w:r>
      <w:r>
        <w:t xml:space="preserve"> </w:t>
      </w:r>
      <w:r>
        <w:tab/>
        <w:t>Slovakiaan tehdyn vierailun yhteydessä saadut tiedot;</w:t>
      </w:r>
    </w:p>
  </w:footnote>
  <w:footnote w:id="90">
    <w:p>
      <w:pPr>
        <w:pStyle w:val="FootnoteText"/>
      </w:pPr>
      <w:r>
        <w:rPr>
          <w:rStyle w:val="FootnoteReference"/>
        </w:rPr>
        <w:footnoteRef/>
      </w:r>
      <w:r>
        <w:t xml:space="preserve"> </w:t>
      </w:r>
      <w:r>
        <w:tab/>
        <w:t>Slovakiaan tehdyn vierailun yhteydessä saadut tiedot;</w:t>
      </w:r>
    </w:p>
  </w:footnote>
  <w:footnote w:id="91">
    <w:p>
      <w:pPr>
        <w:pStyle w:val="FootnoteText"/>
      </w:pPr>
      <w:r>
        <w:rPr>
          <w:rStyle w:val="FootnoteReference"/>
        </w:rPr>
        <w:footnoteRef/>
      </w:r>
      <w:r>
        <w:tab/>
        <w:t xml:space="preserve">EU:n oikeusalan tulostaulu 2021, kaavio 10. </w:t>
      </w:r>
    </w:p>
  </w:footnote>
  <w:footnote w:id="92">
    <w:p>
      <w:pPr>
        <w:pStyle w:val="FootnoteText"/>
      </w:pPr>
      <w:r>
        <w:rPr>
          <w:rStyle w:val="FootnoteReference"/>
        </w:rPr>
        <w:footnoteRef/>
      </w:r>
      <w:r>
        <w:tab/>
        <w:t xml:space="preserve">EU:n oikeusalan tulostaulu 2021, kaavio 13. </w:t>
      </w:r>
    </w:p>
  </w:footnote>
  <w:footnote w:id="93">
    <w:p>
      <w:pPr>
        <w:pStyle w:val="FootnoteText"/>
      </w:pPr>
      <w:r>
        <w:rPr>
          <w:rStyle w:val="FootnoteReference"/>
        </w:rPr>
        <w:footnoteRef/>
      </w:r>
      <w:r>
        <w:tab/>
        <w:t xml:space="preserve">EU:n oikeusalan tulostaulu 2021, kaavio 7. </w:t>
      </w:r>
    </w:p>
  </w:footnote>
  <w:footnote w:id="94">
    <w:p>
      <w:pPr>
        <w:pStyle w:val="FootnoteText"/>
      </w:pPr>
      <w:r>
        <w:rPr>
          <w:rStyle w:val="FootnoteReference"/>
        </w:rPr>
        <w:footnoteRef/>
      </w:r>
      <w:r>
        <w:t xml:space="preserve"> </w:t>
      </w:r>
      <w:r>
        <w:tab/>
        <w:t>Nämä oikeustapaukset koskevat siviilioikeudenkäyntien liiallista kestoa, rikosoikeudenkäyntiin liitetyn vahinkoa kärsineen osapuolen korvausvaatimusta koskevan menettelyn liian pitkää kestoa, oikeussuojakeinojen tehokkuutta liian pitkiin siviilioikeudenkäynteihin ja liian pitkiä maaomaisuuden palauttamista koskevia menettelyjä (kaksiportainen menettely, joka koostuu hallintovaiheesta maaomaisuuden virastossa ja muutoksenhakua koskevasta oikeudellisesta vaiheesta) ja tehokkaiden oikeussuojakeinojen puutteesta. Euroopan ihmisoikeustuomioistuin on antanut näitä tapauksia koskevat päätökset, ja Slovakian viranomaiset suorittavat näiden tuomioiden täytäntöönpanoa, jota Euroopan neuvosto valvoo vakiomenettelyn mukaisesti. Ks. Euroopan ihmisoikeustuomioistuimen antamien tuomioiden täytäntöönpanotilat: 24.7.2012 Maxian ja Maxianova</w:t>
      </w:r>
      <w:r>
        <w:rPr>
          <w:i/>
        </w:rPr>
        <w:t>,</w:t>
      </w:r>
      <w:r>
        <w:t xml:space="preserve"> 44482/09; 15.9.2015 Javor ja Javorova, 42360/10; 27.6.2017 Ivan, 57405/15; 31.8.2018 Balogh ym.,</w:t>
      </w:r>
      <w:r>
        <w:rPr>
          <w:rStyle w:val="Hyperlink"/>
        </w:rPr>
        <w:t xml:space="preserve"> </w:t>
      </w:r>
      <w:r>
        <w:t xml:space="preserve">35142/15. </w:t>
      </w:r>
    </w:p>
  </w:footnote>
  <w:footnote w:id="95">
    <w:p>
      <w:pPr>
        <w:pStyle w:val="FootnoteText"/>
      </w:pPr>
      <w:r>
        <w:rPr>
          <w:rStyle w:val="FootnoteReference"/>
        </w:rPr>
        <w:footnoteRef/>
      </w:r>
      <w:r>
        <w:t xml:space="preserve"> </w:t>
      </w:r>
      <w:r>
        <w:tab/>
        <w:t>Vrt. Laki Poliisivoimista N:o 171/1993 4 §:n 3 momentti.</w:t>
      </w:r>
    </w:p>
  </w:footnote>
  <w:footnote w:id="96">
    <w:p>
      <w:pPr>
        <w:pStyle w:val="FootnoteText"/>
      </w:pPr>
      <w:r>
        <w:rPr>
          <w:rStyle w:val="FootnoteReference"/>
        </w:rPr>
        <w:footnoteRef/>
      </w:r>
      <w:r>
        <w:t xml:space="preserve"> </w:t>
      </w:r>
      <w:r>
        <w:tab/>
        <w:t>Slovakian tasavallan kansallisen neuvoston laki N:o 458/2003 erityistuomioistuimen ja erityissyyttäjänviraston perustamisesta.</w:t>
      </w:r>
    </w:p>
  </w:footnote>
  <w:footnote w:id="97">
    <w:p>
      <w:pPr>
        <w:pStyle w:val="FootnoteText"/>
        <w:rPr>
          <w:rFonts w:cs="Arial"/>
          <w:szCs w:val="14"/>
        </w:rPr>
      </w:pPr>
      <w:r>
        <w:rPr>
          <w:rStyle w:val="FootnoteReference"/>
        </w:rPr>
        <w:footnoteRef/>
      </w:r>
      <w:r>
        <w:t xml:space="preserve"> Laki N:o 291/2009 erityisrikostuomioistuimesta.</w:t>
      </w:r>
    </w:p>
  </w:footnote>
  <w:footnote w:id="98">
    <w:p>
      <w:pPr>
        <w:pStyle w:val="FootnoteText"/>
      </w:pPr>
      <w:r>
        <w:rPr>
          <w:rStyle w:val="FootnoteReference"/>
        </w:rPr>
        <w:footnoteRef/>
      </w:r>
      <w:r>
        <w:t xml:space="preserve"> </w:t>
      </w:r>
      <w:r>
        <w:tab/>
        <w:t>Transparency International, korruptioindeksi 2020 (2021), s. 2–3. Käsitys korruption tasosta on luokiteltu seuraavasti: alhainen (asiantuntijoiden ja yritysjohtajien käsitys julkisen sektorin korruptiosta saa yli 79 pistettä), suhteellisen alhainen (79–60 pistettä), suhteellisen korkea (59–50 pistettä), korkea (alle 50 pistettä).</w:t>
      </w:r>
    </w:p>
  </w:footnote>
  <w:footnote w:id="99">
    <w:p>
      <w:pPr>
        <w:pStyle w:val="FootnoteText"/>
      </w:pPr>
      <w:r>
        <w:rPr>
          <w:rStyle w:val="FootnoteReference"/>
        </w:rPr>
        <w:footnoteRef/>
      </w:r>
      <w:r>
        <w:t xml:space="preserve"> </w:t>
      </w:r>
      <w:r>
        <w:tab/>
        <w:t>Vuonna 2015 pistemäärä oli 51, kun taas vuonna 2020 se oli 49. Pistemäärä nousee/laskee merkittävästi, kun se muuttuu yli viisi pistettä, paranee/heikentyy (muutos 4–5 pistettä), on suhteellisen vakaa (muutos 1–3 pistettä) viiden viime vuoden aikana.</w:t>
      </w:r>
    </w:p>
  </w:footnote>
  <w:footnote w:id="100">
    <w:p>
      <w:pPr>
        <w:pStyle w:val="FootnoteText"/>
      </w:pPr>
      <w:r>
        <w:rPr>
          <w:rStyle w:val="FootnoteReference"/>
        </w:rPr>
        <w:footnoteRef/>
      </w:r>
      <w:r>
        <w:t xml:space="preserve"> </w:t>
      </w:r>
      <w:r>
        <w:tab/>
        <w:t>Edelliseltä vuodelta raportoidut Eurobarometri-tiedot kansalaisten ja yritysten korruptiokäsityksistä ja -kokemuksista päivitetään joka toinen vuosi. Tuoreimmat tiedot ovat erityiseurobarometri 502 (2020) ja Flash-eurobarometri 482 (2019).</w:t>
      </w:r>
    </w:p>
  </w:footnote>
  <w:footnote w:id="101">
    <w:p>
      <w:pPr>
        <w:pStyle w:val="FootnoteText"/>
      </w:pPr>
      <w:r>
        <w:rPr>
          <w:rStyle w:val="FootnoteReference"/>
        </w:rPr>
        <w:footnoteRef/>
      </w:r>
      <w:r>
        <w:t xml:space="preserve"> </w:t>
      </w:r>
      <w:r>
        <w:tab/>
        <w:t>Slovakian tasavallan hallitus, Slovakian tasavallan korruptiontorjuntapolitiikka vuonna 2019–2023 (2018).</w:t>
      </w:r>
    </w:p>
  </w:footnote>
  <w:footnote w:id="102">
    <w:p>
      <w:pPr>
        <w:pStyle w:val="FootnoteText"/>
      </w:pPr>
      <w:r>
        <w:rPr>
          <w:rStyle w:val="FootnoteReference"/>
        </w:rPr>
        <w:footnoteRef/>
      </w:r>
      <w:r>
        <w:t xml:space="preserve"> </w:t>
      </w:r>
      <w:r>
        <w:tab/>
        <w:t>Slovakian tasavallan hallitus, Slovakian tasavallan kansallinen korruptiontorjuntaohjelma (2019).</w:t>
      </w:r>
    </w:p>
  </w:footnote>
  <w:footnote w:id="103">
    <w:p>
      <w:pPr>
        <w:pStyle w:val="FootnoteText"/>
      </w:pPr>
      <w:r>
        <w:rPr>
          <w:rStyle w:val="FootnoteReference"/>
        </w:rPr>
        <w:footnoteRef/>
      </w:r>
      <w:r>
        <w:t xml:space="preserve"> </w:t>
      </w:r>
      <w:r>
        <w:tab/>
        <w:t>Ministeriöt ja muut laitokset, muun muassa oikeusministeriö, talousministeriö, sisäministeriö, liikenne- ja rakennusministeriö, ympäristöministeriö, valtiovarainministeriö, ulko- ja Eurooppa-asioidenministeriö, terveysministeriö ja työministeriö hyväksyivät alakohtaiset ohjelmat. Hyväksytyt toimintasuunnitelmat sisältävät pääasiassa ennaltaehkäiseviä tekijöitä, kuten tietoisuuden lisäämistä, korruption vastaista koulutusta ja korruption riskinhallintaa.</w:t>
      </w:r>
    </w:p>
  </w:footnote>
  <w:footnote w:id="104">
    <w:p>
      <w:pPr>
        <w:pStyle w:val="FootnoteText"/>
      </w:pPr>
      <w:r>
        <w:rPr>
          <w:rStyle w:val="FootnoteReference"/>
        </w:rPr>
        <w:footnoteRef/>
      </w:r>
      <w:r>
        <w:t xml:space="preserve"> </w:t>
      </w:r>
      <w:r>
        <w:tab/>
        <w:t>Uusi kansallinen korruptiontorjuntaohjelma on valmisteluvaiheessa. Slovakian hallituksen mukaan julkisia kuulemisia on jo järjestetty. Slovakian lisäpanos oikeusvaltiota koskevaan vuosikertomukseen 2021, s. 7.</w:t>
      </w:r>
    </w:p>
  </w:footnote>
  <w:footnote w:id="105">
    <w:p>
      <w:pPr>
        <w:pStyle w:val="FootnoteText"/>
      </w:pPr>
      <w:r>
        <w:rPr>
          <w:rStyle w:val="FootnoteReference"/>
        </w:rPr>
        <w:footnoteRef/>
      </w:r>
      <w:r>
        <w:t xml:space="preserve"> </w:t>
      </w:r>
      <w:r>
        <w:tab/>
        <w:t>Valtioneuvoston kanslian korruptiontorjuntaosaston tehtävänä on ainoastaan tarkistaa, onko asianomainen ministeriö laatinut ohjelman, mutta se ei arvioi sen sisältöä. Korruptiontorjuntaosasto tekee kuitenkin yhteistyötä korruptiontorjuntakoordinaattoreiden neuvostossa olevien korruptiontorjunnan koordinaattoreiden kanssa. Slovakiaan tehdyn vierailun yhteydessä saadut tiedot.</w:t>
      </w:r>
    </w:p>
  </w:footnote>
  <w:footnote w:id="106">
    <w:p>
      <w:pPr>
        <w:pStyle w:val="FootnoteText"/>
      </w:pPr>
      <w:r>
        <w:rPr>
          <w:rStyle w:val="FootnoteReference"/>
        </w:rPr>
        <w:footnoteRef/>
      </w:r>
      <w:r>
        <w:t xml:space="preserve"> </w:t>
      </w:r>
      <w:r>
        <w:tab/>
        <w:t>Laki N:o 312/2020 omaisuuden takavarikoinnista ja takavarikoidun omaisuuden hallinnoinnista sekä tiettyjen säädösten muutoksista, voimassa 1 päivästä tammikuuta 2021 lähtien.</w:t>
      </w:r>
    </w:p>
  </w:footnote>
  <w:footnote w:id="107">
    <w:p>
      <w:pPr>
        <w:pStyle w:val="FootnoteText"/>
      </w:pPr>
      <w:r>
        <w:rPr>
          <w:rStyle w:val="FootnoteReference"/>
        </w:rPr>
        <w:footnoteRef/>
      </w:r>
      <w:r>
        <w:t xml:space="preserve"> </w:t>
      </w:r>
      <w:r>
        <w:tab/>
        <w:t>Laissa myös määriteltiin uudelleen rikollisesta toiminnasta saadun hyödyn rahanpesu ja otettiin käyttöön uusi rikos lain taivuttamisesta, ks. edellä I jakso. Kaikki aktiivisen, passiivisen, suoran ja epäsuoran korruption muodot oli jo kriminalisoitu ennen tätä Slovakiassa.</w:t>
      </w:r>
    </w:p>
  </w:footnote>
  <w:footnote w:id="108">
    <w:p>
      <w:pPr>
        <w:pStyle w:val="FootnoteText"/>
      </w:pPr>
      <w:r>
        <w:rPr>
          <w:rStyle w:val="FootnoteReference"/>
        </w:rPr>
        <w:footnoteRef/>
      </w:r>
      <w:r>
        <w:t xml:space="preserve"> </w:t>
      </w:r>
      <w:r>
        <w:tab/>
        <w:t>Valintamenettelyt johtajan määräämistä varten olivat käynnissä tämän kertomuksen laatimisen aikaan Slovakian oikeusvaltiota koskevaa vuosikertomusta 2021 varten antamien tietojen mukaan, s. 22. Useita muita korruptioon liittyviä muutoksia on tehty, mukaan lukien laki N:o 279/2020 suojasta rahanpesua ja terrorismin rahoitusta vastaan annetun lain N:o 297/2008 muuttamisesta ja täydentämisestä (syyskuu 2020).</w:t>
      </w:r>
    </w:p>
  </w:footnote>
  <w:footnote w:id="109">
    <w:p>
      <w:pPr>
        <w:pStyle w:val="FootnoteText"/>
      </w:pPr>
      <w:r>
        <w:rPr>
          <w:rStyle w:val="FootnoteReference"/>
        </w:rPr>
        <w:footnoteRef/>
      </w:r>
      <w:r>
        <w:t xml:space="preserve"> </w:t>
      </w:r>
      <w:r>
        <w:tab/>
        <w:t>Slovakian toimittamat tiedot oikeusvaltiota koskevaa vuosikertomusta 2021 varten, s. 24, viitaten poliisivoimia koskevan lain N:o 171/1993 29(a) §:n momenttiin 4, vaikka poliisilla on lupa saada tällaisia tietoja muiden rikosten yhteydessä, esimerkiksi veronkierto, laiton rahoitustoiminta tai rikoksen tuottaman hyödyn laillistaminen. Erityisesti pankkitilien keskusrekisteriä koskevan lakiehdotuksen odotetaan korjaavan nämä puutteet 1.12.2021 alkaen.</w:t>
      </w:r>
    </w:p>
  </w:footnote>
  <w:footnote w:id="110">
    <w:p>
      <w:pPr>
        <w:pStyle w:val="FootnoteText"/>
      </w:pPr>
      <w:r>
        <w:rPr>
          <w:rStyle w:val="FootnoteReference"/>
        </w:rPr>
        <w:footnoteRef/>
      </w:r>
      <w:r>
        <w:t xml:space="preserve"> </w:t>
      </w:r>
      <w:r>
        <w:tab/>
        <w:t>UNCAC Täytäntöönpanon tarkastelu  –  1 jakso (2010–2015), Slovakian tasavallan arviointikertomus, s. 22. Vaikutusvallan kauppa kriminalisoidaan rikoslain 336 §:n nojalla, mutta se ei kata tapauksia, joissa henkilö tarjoutui antamaan tai antoi lahjuksen toiselle henkilölle, jolla ei todellisuudessa ollut vaikutusvaltaa asiassa, jossa lahjus annettiin, UNCAC:n yleissopimuksen vaatimusten mukaisesti.</w:t>
      </w:r>
    </w:p>
  </w:footnote>
  <w:footnote w:id="111">
    <w:p>
      <w:pPr>
        <w:pStyle w:val="FootnoteText"/>
      </w:pPr>
      <w:r>
        <w:rPr>
          <w:rStyle w:val="FootnoteReference"/>
        </w:rPr>
        <w:footnoteRef/>
      </w:r>
      <w:r>
        <w:t xml:space="preserve"> </w:t>
      </w:r>
      <w:r>
        <w:tab/>
        <w:t xml:space="preserve">Päätös nro UV-1860/2021. Vrt. myös Slovakian tasavallan hallitus, Ehdotus Slovakian tasavallan valtakunnansyyttäjänviraston alaisen Slovakian tasavallan erityissyyttäjänviraston tehtäviä hoitamaan nimitettyjen henkilöiden määrän ja heidän toiminnallisen luokituksensa lisäämiseksi. </w:t>
      </w:r>
    </w:p>
  </w:footnote>
  <w:footnote w:id="112">
    <w:p>
      <w:pPr>
        <w:pStyle w:val="FootnoteText"/>
      </w:pPr>
      <w:r>
        <w:rPr>
          <w:rStyle w:val="FootnoteReference"/>
        </w:rPr>
        <w:footnoteRef/>
      </w:r>
      <w:r>
        <w:t xml:space="preserve"> </w:t>
      </w:r>
      <w:r>
        <w:tab/>
        <w:t>Slovakian panos oikeusvaltiota koskevaan vuosikertomukseen 2021, s. 15. Erityissyyttäjänvirasto on ilmaissut huolensa siitä, että kukin syyttäjä vastaa keskimäärin 80 tapauksesta kerrallaan, mikä herättää kysymyksiä siitä, missä määrin tutkintaa tosiasiallisesti valvotaan. Vrt. Oikeusvaltiota koskeva vuosikertomus (2020), s. 7.</w:t>
      </w:r>
    </w:p>
  </w:footnote>
  <w:footnote w:id="113">
    <w:p>
      <w:pPr>
        <w:pStyle w:val="FootnoteText"/>
      </w:pPr>
      <w:r>
        <w:rPr>
          <w:rStyle w:val="FootnoteReference"/>
        </w:rPr>
        <w:footnoteRef/>
      </w:r>
      <w:r>
        <w:t xml:space="preserve"> </w:t>
      </w:r>
      <w:r>
        <w:tab/>
        <w:t>Erityisyyttäjänviraston yleisen rikososaston nykyiseen yksikköön kuuluu yksi pääsyyttäjä ja 9 syyttäjää, Slovakian oikeusvaltiota koskevaan vuosikertomukseen 2021 antamien tietojen mukaan, s. 16.</w:t>
      </w:r>
    </w:p>
  </w:footnote>
  <w:footnote w:id="114">
    <w:p>
      <w:pPr>
        <w:pStyle w:val="FootnoteText"/>
      </w:pPr>
      <w:r>
        <w:rPr>
          <w:rStyle w:val="FootnoteReference"/>
        </w:rPr>
        <w:footnoteRef/>
      </w:r>
      <w:r>
        <w:t xml:space="preserve"> </w:t>
      </w:r>
      <w:r>
        <w:tab/>
        <w:t>Erityisyyttäjänviraston yleisen rikososaston nykyiseen yksikköön kuuluu yksi pääsyyttäjä ja 9 syyttäjää, Slovakian oikeusvaltiota koskevaan vuosikertomukseen 2021 antamien tietojen mukaan, s. 16.</w:t>
      </w:r>
    </w:p>
  </w:footnote>
  <w:footnote w:id="115">
    <w:p>
      <w:pPr>
        <w:pStyle w:val="FootnoteText"/>
      </w:pPr>
      <w:r>
        <w:rPr>
          <w:rStyle w:val="FootnoteReference"/>
        </w:rPr>
        <w:footnoteRef/>
      </w:r>
      <w:r>
        <w:t xml:space="preserve"> </w:t>
      </w:r>
      <w:r>
        <w:tab/>
        <w:t>Virasto saa 1.3 miljoonaa euroa lisää uudistuksen toteuttamiseksi.</w:t>
      </w:r>
    </w:p>
  </w:footnote>
  <w:footnote w:id="116">
    <w:p>
      <w:pPr>
        <w:pStyle w:val="FootnoteText"/>
      </w:pPr>
      <w:r>
        <w:rPr>
          <w:rStyle w:val="FootnoteReference"/>
        </w:rPr>
        <w:footnoteRef/>
      </w:r>
      <w:r>
        <w:t xml:space="preserve"> </w:t>
      </w:r>
      <w:r>
        <w:tab/>
        <w:t>Vrt. GRECO, viides arviointikierros – arviointikertomus Slovakian tasavalta (2019), s. 37–57.</w:t>
      </w:r>
    </w:p>
  </w:footnote>
  <w:footnote w:id="117">
    <w:p>
      <w:pPr>
        <w:pStyle w:val="FootnoteText"/>
      </w:pPr>
      <w:r>
        <w:rPr>
          <w:rStyle w:val="FootnoteReference"/>
        </w:rPr>
        <w:footnoteRef/>
      </w:r>
      <w:r>
        <w:t xml:space="preserve"> </w:t>
      </w:r>
      <w:r>
        <w:tab/>
        <w:t>Oikeusvaltiokertomus 2020, luku oikeusvaltiotilanteesta Slovakiassa, s. 7.</w:t>
      </w:r>
    </w:p>
  </w:footnote>
  <w:footnote w:id="118">
    <w:p>
      <w:pPr>
        <w:pStyle w:val="FootnoteText"/>
      </w:pPr>
      <w:r>
        <w:rPr>
          <w:rStyle w:val="FootnoteReference"/>
        </w:rPr>
        <w:footnoteRef/>
      </w:r>
      <w:r>
        <w:t xml:space="preserve"> </w:t>
      </w:r>
      <w:r>
        <w:tab/>
        <w:t>Vrt. Slovakian tasavallan elpymis- ja palautumissuunnitelma.</w:t>
      </w:r>
    </w:p>
  </w:footnote>
  <w:footnote w:id="119">
    <w:p>
      <w:pPr>
        <w:pStyle w:val="FootnoteText"/>
      </w:pPr>
      <w:r>
        <w:rPr>
          <w:rStyle w:val="FootnoteReference"/>
        </w:rPr>
        <w:footnoteRef/>
      </w:r>
      <w:r>
        <w:t xml:space="preserve"> </w:t>
      </w:r>
      <w:r>
        <w:tab/>
        <w:t>Slovakiaan tehdyn vierailun yhteydessä saadut tiedot. Katso myös I osa.</w:t>
      </w:r>
    </w:p>
  </w:footnote>
  <w:footnote w:id="120">
    <w:p>
      <w:pPr>
        <w:pStyle w:val="FootnoteText"/>
      </w:pPr>
      <w:r>
        <w:rPr>
          <w:rStyle w:val="FootnoteReference"/>
        </w:rPr>
        <w:footnoteRef/>
      </w:r>
      <w:r>
        <w:t xml:space="preserve"> </w:t>
      </w:r>
      <w:r>
        <w:tab/>
        <w:t>Käynnistetyistä 158 lahjontatapauksesta 73 oli lahjusten antamista, 71 lahjusten hyväksymistä, 8 epäsuoraa lahjontaa, 5 lahjontaa vaaleissa ja 1 urheilutulosten manipulointia koskeva tapaus Slovakiaan tehdyn vierailun yhteydessä saatujen tietojen mukaan.</w:t>
      </w:r>
    </w:p>
  </w:footnote>
  <w:footnote w:id="121">
    <w:p>
      <w:pPr>
        <w:pStyle w:val="FootnoteText"/>
        <w:rPr>
          <w:rFonts w:cs="Times New Roman"/>
        </w:rPr>
      </w:pPr>
      <w:r>
        <w:rPr>
          <w:rStyle w:val="FootnoteReference"/>
        </w:rPr>
        <w:footnoteRef/>
      </w:r>
      <w:r>
        <w:t xml:space="preserve"> </w:t>
      </w:r>
      <w:r>
        <w:tab/>
        <w:t xml:space="preserve">Tilastoihin sisältyvät rikokset ovat passiivinen korruptio (328 kohta), passiivinen korruptio – yleishyödyllisten tuotteiden hankinta (329 kohta), aktiivinen korruptio (332 kohta), aktiivinen korruptio – yleishyödyllisten tuotteiden hankinta (333 kohta), vaikutusvallan kauppa (336 kohta), vaalilahjonta (336a kohta), urheilukorruptio (336b kohta). Slovakian lisäpanos oikeusvaltiota koskevaan vuosikertomukseen 2021, saatavilla linkistä  </w:t>
      </w:r>
      <w:hyperlink r:id="rId9" w:history="1">
        <w:r>
          <w:rPr>
            <w:color w:val="0563C1" w:themeColor="hyperlink"/>
            <w:u w:val="single"/>
          </w:rPr>
          <w:t>http://web.ac-mssr.sk/wp-content/uploads/2020/rocenka2019/I.-Trestn%C3%A1-agenda_2019_pdf.pdf</w:t>
        </w:r>
      </w:hyperlink>
      <w:r>
        <w:rPr>
          <w:color w:val="0563C1" w:themeColor="hyperlink"/>
          <w:u w:val="single"/>
        </w:rPr>
        <w:t>.</w:t>
      </w:r>
      <w:r>
        <w:rPr>
          <w:color w:val="0563C1"/>
          <w:u w:val="single"/>
        </w:rPr>
        <w:t xml:space="preserve"> </w:t>
      </w:r>
      <w:r>
        <w:t>Lisäksi kansallisen rikosviraston vuosikertomuksissa on saatavilla korruptiotilastoja, jotka koskevat rikostutkinnan ja syytteeseenpanon määrää sekä korruptiorikoksista syytettyjen henkilöiden määrää. Myös sisäministeriö julkaisee kuukausittain rikostilastoja verkossa.</w:t>
      </w:r>
    </w:p>
  </w:footnote>
  <w:footnote w:id="122">
    <w:p>
      <w:pPr>
        <w:pStyle w:val="FootnoteText"/>
      </w:pPr>
      <w:r>
        <w:rPr>
          <w:rStyle w:val="FootnoteReference"/>
        </w:rPr>
        <w:footnoteRef/>
      </w:r>
      <w:r>
        <w:rPr>
          <w:rStyle w:val="FootnoteReference"/>
        </w:rPr>
        <w:t xml:space="preserve"> </w:t>
      </w:r>
      <w:r>
        <w:tab/>
        <w:t xml:space="preserve">Slovakian maarahasto vastaa valtion omistuksessa olevan maatalousmaan tai ilman tunnettua yksityistä omistajaa olevan maan hoidosta. Nämä lohkot kattavat noin 20 prosenttia Slovakian koko maatalousmaasta, ja ne ovat valtaosin oikeutettuja EU:n suoriin tukiin. </w:t>
      </w:r>
    </w:p>
  </w:footnote>
  <w:footnote w:id="123">
    <w:p>
      <w:pPr>
        <w:pStyle w:val="FootnoteText"/>
      </w:pPr>
      <w:r>
        <w:rPr>
          <w:rStyle w:val="FootnoteReference"/>
        </w:rPr>
        <w:footnoteRef/>
      </w:r>
      <w:r>
        <w:rPr>
          <w:rStyle w:val="FootnoteReference"/>
        </w:rPr>
        <w:t xml:space="preserve"> </w:t>
      </w:r>
      <w:r>
        <w:tab/>
        <w:t>Aktuality.sk (19.3.2021), NAKA pidätti jälleen rahoittaja Kvietikin ja useita Slovakian maarahastoon liittyneitä henkilöitä.</w:t>
      </w:r>
    </w:p>
  </w:footnote>
  <w:footnote w:id="124">
    <w:p>
      <w:pPr>
        <w:pStyle w:val="FootnoteText"/>
      </w:pPr>
      <w:r>
        <w:rPr>
          <w:rStyle w:val="FootnoteReference"/>
        </w:rPr>
        <w:footnoteRef/>
      </w:r>
      <w:r>
        <w:rPr>
          <w:rStyle w:val="FootnoteReference"/>
        </w:rPr>
        <w:t xml:space="preserve"> </w:t>
      </w:r>
      <w:r>
        <w:tab/>
        <w:t xml:space="preserve">\x{FDDF}Euroopan petostentorjuntaviraston lehdistötiedote (21.1.2021), OLAF päättää EU:n maatalousrahastoja koskevat tapaukset Slovakiassa. </w:t>
      </w:r>
    </w:p>
  </w:footnote>
  <w:footnote w:id="125">
    <w:p>
      <w:pPr>
        <w:pStyle w:val="FootnoteText"/>
        <w:rPr>
          <w:rFonts w:cs="Times New Roman"/>
        </w:rPr>
      </w:pPr>
      <w:r>
        <w:rPr>
          <w:rStyle w:val="FootnoteReference"/>
          <w:rFonts w:cs="Times New Roman"/>
        </w:rPr>
        <w:footnoteRef/>
      </w:r>
      <w:r>
        <w:t xml:space="preserve"> </w:t>
      </w:r>
      <w:r>
        <w:tab/>
        <w:t>Slovakian panos oikeusvaltiota koskevaan vuosikertomukseen 2021, s. 25.</w:t>
      </w:r>
    </w:p>
  </w:footnote>
  <w:footnote w:id="126">
    <w:p>
      <w:pPr>
        <w:pStyle w:val="FootnoteText"/>
      </w:pPr>
      <w:r>
        <w:rPr>
          <w:rStyle w:val="FootnoteReference"/>
          <w:rFonts w:cs="Times New Roman"/>
        </w:rPr>
        <w:footnoteRef/>
      </w:r>
      <w:r>
        <w:t xml:space="preserve"> </w:t>
      </w:r>
      <w:r>
        <w:tab/>
        <w:t>Slovakia aloitti vuosina 2016–2019 tuntemattoman määrän tutkimuksia, ei aloittanut eikä päättänyt yhtään tapausta Transparency International -järjestön mukaan, Transparency International, Exporting Corruption (2020), s. 102. Ulkomaisia lahjontarikoksia koskevia kansallisia säännöksiä on muutettu OECD:n (lahjonnan vastaisen OECD:n yleissopimuksen täytäntöönpano, vaihe 3) suositusten mukaisesti: Slovakian tasavalta (2012), ja OECD, vaiheen 3 raportin ja suosituksen seuranta: Slovakian tasavalta (2014). Oikeushenkilöiden vastuusta ulkomaisesta lahjonnasta, ks. OECD:n vaiheen 1bis raportti: Slovakian tasavalta (2017). Vuoden 2025 aikana Slovakian tasavallan on määrä käydä läpi vaiheen 4 tarkastelu yleissopimuksen täytäntöönpanosta, jolloin tarkastellaan toimenpiteitä, joita on toteutettu aiemmissa arvioinneissa ja täytäntöönpanon valvontatoimissa havaittujen puutteiden korjaamiseksi.</w:t>
      </w:r>
    </w:p>
  </w:footnote>
  <w:footnote w:id="127">
    <w:p>
      <w:pPr>
        <w:pStyle w:val="FootnoteText"/>
      </w:pPr>
      <w:r>
        <w:rPr>
          <w:rStyle w:val="FootnoteReference"/>
        </w:rPr>
        <w:footnoteRef/>
      </w:r>
      <w:r>
        <w:t xml:space="preserve"> </w:t>
      </w:r>
      <w:r>
        <w:tab/>
        <w:t>Slovakian panos oikeusvaltiota koskevaan vuosikertomukseen 2021, s. 19; Oikeusvaltiokertomus 2020, luku oikeusvaltiotilanteesta Slovakiassa, s. 8.</w:t>
      </w:r>
    </w:p>
  </w:footnote>
  <w:footnote w:id="128">
    <w:p>
      <w:pPr>
        <w:pStyle w:val="FootnoteText"/>
      </w:pPr>
      <w:r>
        <w:rPr>
          <w:rStyle w:val="FootnoteReference"/>
        </w:rPr>
        <w:footnoteRef/>
      </w:r>
      <w:r>
        <w:t xml:space="preserve"> </w:t>
      </w:r>
      <w:r>
        <w:tab/>
        <w:t>Väärinkäytösten paljastajien suojeluvirasto on perustettu vuoden 2019 maaliskuusta lähtien voimassa olleella lailla N:o 54/2019 väärinkäytösten paljastajien suojelusta.</w:t>
      </w:r>
    </w:p>
  </w:footnote>
  <w:footnote w:id="129">
    <w:p>
      <w:pPr>
        <w:pStyle w:val="FootnoteText"/>
      </w:pPr>
      <w:r>
        <w:rPr>
          <w:rStyle w:val="FootnoteReference"/>
        </w:rPr>
        <w:footnoteRef/>
      </w:r>
      <w:r>
        <w:t xml:space="preserve"> </w:t>
      </w:r>
      <w:r>
        <w:tab/>
        <w:t>Henkilöstö- ja juoksevat kustannukset ovat noin 1.1 miljoonaa euroa vuodessa.</w:t>
      </w:r>
    </w:p>
  </w:footnote>
  <w:footnote w:id="130">
    <w:p>
      <w:pPr>
        <w:pStyle w:val="FootnoteText"/>
      </w:pPr>
      <w:r>
        <w:rPr>
          <w:rStyle w:val="FootnoteReference"/>
        </w:rPr>
        <w:footnoteRef/>
      </w:r>
      <w:r>
        <w:t xml:space="preserve"> </w:t>
      </w:r>
      <w:r>
        <w:tab/>
        <w:t>Slovakialla on vuodesta 2019 alkaen ollut erillinen väärinkäytösten paljastajien suojelua koskeva laki, laki N:o 54/2019 väärinkäytösten paljastajien suojelusta.</w:t>
      </w:r>
    </w:p>
  </w:footnote>
  <w:footnote w:id="131">
    <w:p>
      <w:pPr>
        <w:pStyle w:val="FootnoteText"/>
      </w:pPr>
      <w:r>
        <w:rPr>
          <w:rStyle w:val="FootnoteReference"/>
        </w:rPr>
        <w:footnoteRef/>
      </w:r>
      <w:r>
        <w:t xml:space="preserve"> </w:t>
      </w:r>
      <w:r>
        <w:tab/>
        <w:t xml:space="preserve">Slovakian tasavallan hallitus, suunnitelma Slovakian tasavallan hallituksen lainsäädäntötehtävistä 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 xml:space="preserve"> </w:t>
      </w:r>
      <w:r>
        <w:tab/>
        <w:t>Hallitukselta Slovakiaan tehdyn vierailun yhteydessä saadut tiedot.</w:t>
      </w:r>
    </w:p>
  </w:footnote>
  <w:footnote w:id="133">
    <w:p>
      <w:pPr>
        <w:pStyle w:val="FootnoteText"/>
      </w:pPr>
      <w:r>
        <w:rPr>
          <w:rStyle w:val="FootnoteReference"/>
        </w:rPr>
        <w:footnoteRef/>
      </w:r>
      <w:r>
        <w:t xml:space="preserve"> </w:t>
      </w:r>
      <w:r>
        <w:tab/>
        <w:t>Oikeusvaltiokertomus 2020, luku oikeusvaltiotilanteesta Slovakiassa, s. 8.</w:t>
      </w:r>
    </w:p>
  </w:footnote>
  <w:footnote w:id="134">
    <w:p>
      <w:pPr>
        <w:pStyle w:val="FootnoteText"/>
      </w:pPr>
      <w:r>
        <w:rPr>
          <w:rStyle w:val="FootnoteReference"/>
        </w:rPr>
        <w:footnoteRef/>
      </w:r>
      <w:r>
        <w:t xml:space="preserve"> </w:t>
      </w:r>
      <w:r>
        <w:tab/>
        <w:t>Ks. GRECO, neljäs arviointikierros, Slovakian tasavalta – lisäys toiseen vaatimustenmukaisuuskertomukseen (2019), 8 kohta, ja GRECO, neljäs arviointikierros – Slovakian tasavallan arviointikertomus (2013), 25 kohta (parlamentin jäsenten osalta); GRECO, viides arviointikierros – arviointikertomus, Slovakian tasavalta (2019), 89 kohta (keskushallinnon / ylimmän johdon tehtävien osalta); GRECO, neljäs arviointikierros (2019), lisäys toiseen vaatimustenmukaisuuskertomukseen, Slovakian tasavalta.</w:t>
      </w:r>
    </w:p>
  </w:footnote>
  <w:footnote w:id="135">
    <w:p>
      <w:pPr>
        <w:pStyle w:val="FootnoteText"/>
      </w:pPr>
      <w:r>
        <w:rPr>
          <w:rStyle w:val="FootnoteReference"/>
        </w:rPr>
        <w:footnoteRef/>
      </w:r>
      <w:r>
        <w:t xml:space="preserve"> </w:t>
      </w:r>
      <w:r>
        <w:tab/>
        <w:t>Näitä ovat muun muassa vahva tiedonvapauslaki ja eturistiriitoja koskeva perustuslain tasoinen laki N:o 357/2004.</w:t>
      </w:r>
    </w:p>
  </w:footnote>
  <w:footnote w:id="136">
    <w:p>
      <w:pPr>
        <w:pStyle w:val="FootnoteText"/>
      </w:pPr>
      <w:r>
        <w:rPr>
          <w:rStyle w:val="FootnoteReference"/>
        </w:rPr>
        <w:footnoteRef/>
      </w:r>
      <w:r>
        <w:t xml:space="preserve"> </w:t>
      </w:r>
      <w:r>
        <w:tab/>
        <w:t>Parlamentin jäsenten eettiset säännöt ovat osa valtioneuvoston kanslian lobbausta koskevaa lakiehdotusta. Valtion työntekijöiden osalta vuoden 2019 lakimuutos virkamieslakiin sisälsi valtion työntekijän eettiset säännöt ja järjestelmän, jolla arvioidaan lain noudattamista, asetus N:o 400/2019 työntekijän eettisistä säännöistä. Parlamentin jäseniä koskevien toimintasääntöjen käyttöönotosta ks. myös GRECO, neljäs arviointikierros, toinen lisäys toiseen vaatimustenmukaisuuskertomukseen – Slovakian tasavalta (2021).</w:t>
      </w:r>
    </w:p>
  </w:footnote>
  <w:footnote w:id="137">
    <w:p>
      <w:pPr>
        <w:pStyle w:val="FootnoteText"/>
      </w:pPr>
      <w:r>
        <w:rPr>
          <w:rStyle w:val="FootnoteReference"/>
        </w:rPr>
        <w:footnoteRef/>
      </w:r>
      <w:r>
        <w:t xml:space="preserve"> </w:t>
      </w:r>
      <w:r>
        <w:tab/>
        <w:t>Slovakian panos oikeusvaltiota koskevaan vuosikertomukseen 2021, s. 19, ja hallituksen korruptiontorjuntaosastolta Slovakiaan tehdyn vierailun yhteydessä saadut tiedot. Toistaiseksi työsuhteen päättymisen jälkeiset säännöt on sisällytetty eturistiriitoja koskevaan lakiin, jota sovelletaan toimeenpanotehtäviä hoitaviin virkamiehiin tai yhteisen päätöksentekoelimen jäseneen, mutta niiden soveltamisala on todettu rajalliseksi. Vrt. GRECO, viides arviointikierros – arviointikertomus Slovakian tasavalta (2019), 127–128 kohta.</w:t>
      </w:r>
    </w:p>
  </w:footnote>
  <w:footnote w:id="138">
    <w:p>
      <w:pPr>
        <w:pStyle w:val="FootnoteText"/>
      </w:pPr>
      <w:r>
        <w:rPr>
          <w:rStyle w:val="FootnoteReference"/>
        </w:rPr>
        <w:footnoteRef/>
      </w:r>
      <w:r>
        <w:rPr>
          <w:rStyle w:val="FootnoteReference"/>
        </w:rPr>
        <w:t xml:space="preserve"> </w:t>
      </w:r>
      <w:r>
        <w:tab/>
        <w:t>Perustuslaillinen laki yleisen edun suojaamisesta virkamiesten tehtävien hoitamisessa N:o 357/2004, sellaisena kuin se on muutettuna perustuslaillisella lailla N:o 545/2005. Nykyisen hallituksen ohjelmassa on erityisesti tarkoitus tehdä uusia kattavia muutoksia tähän lakiin, erityisesti mitä tulee lahjoihin parlamentin jäsenille, jotta voitaisiin puuttua jäljellä olevaan huoleen kynnysarvoista suhteessa minimipalkkoihin. Vrt. GRECO, neljäs arviointikierros: Toinen lisäys toiseen vaatimustenmukaisuuskertomukseen – Slovakian tasavalta (2021), 20–21 kohta. Ks. myös GRECO, Slovakia: GRECO pahoittelee parlamentin jäsenten, tuomareiden ja syyttäjien korruption torjunnan hidasta edistymistä (2021)</w:t>
      </w:r>
      <w:r>
        <w:rPr>
          <w:rStyle w:val="Hyperlink"/>
          <w:color w:val="auto"/>
          <w:u w:val="none"/>
        </w:rPr>
        <w:t>.</w:t>
      </w:r>
    </w:p>
  </w:footnote>
  <w:footnote w:id="139">
    <w:p>
      <w:pPr>
        <w:pStyle w:val="FootnoteText"/>
      </w:pPr>
      <w:r>
        <w:rPr>
          <w:rStyle w:val="FootnoteReference"/>
        </w:rPr>
        <w:footnoteRef/>
      </w:r>
      <w:r>
        <w:t xml:space="preserve"> </w:t>
      </w:r>
      <w:r>
        <w:tab/>
        <w:t>Slovakiaan tehdyn vierailun yhteydessä saadut tiedot. Katso myös oikeusvaltiokertomus 2020, luku oikeusvaltiotilanteesta Slovakiassa, s. 8-9.</w:t>
      </w:r>
    </w:p>
  </w:footnote>
  <w:footnote w:id="140">
    <w:p>
      <w:pPr>
        <w:pStyle w:val="FootnoteText"/>
      </w:pPr>
      <w:r>
        <w:rPr>
          <w:rStyle w:val="FootnoteReference"/>
        </w:rPr>
        <w:footnoteRef/>
      </w:r>
      <w:r>
        <w:t xml:space="preserve"> </w:t>
      </w:r>
      <w:r>
        <w:tab/>
        <w:t>Slovakiaan tehdyn vierailun yhteydessä saadut tiedot. Neljäsosa parlamentin jäsenistä (381) ei ollut toimittanut varallisuusilmoituksiaan parlamentin valiokunnalle tammikuuhun 2021 mennessä.</w:t>
      </w:r>
    </w:p>
  </w:footnote>
  <w:footnote w:id="141">
    <w:p>
      <w:pPr>
        <w:pStyle w:val="FootnoteText"/>
      </w:pPr>
      <w:r>
        <w:rPr>
          <w:rStyle w:val="FootnoteReference"/>
        </w:rPr>
        <w:footnoteRef/>
      </w:r>
      <w:r>
        <w:t xml:space="preserve"> </w:t>
      </w:r>
      <w:r>
        <w:tab/>
        <w:t>Laki N:o 85 poliittisista puolueista ja liikkeistä, 2005 (vuoden 2019 muutoksineen).</w:t>
      </w:r>
    </w:p>
  </w:footnote>
  <w:footnote w:id="142">
    <w:p>
      <w:pPr>
        <w:pStyle w:val="FootnoteText"/>
      </w:pPr>
      <w:r>
        <w:rPr>
          <w:rStyle w:val="FootnoteReference"/>
        </w:rPr>
        <w:footnoteRef/>
      </w:r>
      <w:r>
        <w:t xml:space="preserve"> </w:t>
      </w:r>
      <w:r>
        <w:tab/>
        <w:t>Laki N:o 85 poliittisista puolueista ja liikkeistä, 2005, 22 §:n 5 momentti (vuoden 2019 muutoksineen).</w:t>
      </w:r>
    </w:p>
  </w:footnote>
  <w:footnote w:id="143">
    <w:p>
      <w:pPr>
        <w:pStyle w:val="FootnoteText"/>
      </w:pPr>
      <w:r>
        <w:rPr>
          <w:rStyle w:val="FootnoteReference"/>
        </w:rPr>
        <w:footnoteRef/>
      </w:r>
      <w:r>
        <w:t xml:space="preserve"> </w:t>
      </w:r>
      <w:r>
        <w:tab/>
        <w:t>Slovakiaan tehdyn vierailun yhteydessä saadut tiedot.</w:t>
      </w:r>
    </w:p>
  </w:footnote>
  <w:footnote w:id="144">
    <w:p>
      <w:pPr>
        <w:pStyle w:val="FootnoteText"/>
      </w:pPr>
      <w:r>
        <w:rPr>
          <w:rStyle w:val="FootnoteReference"/>
        </w:rPr>
        <w:footnoteRef/>
      </w:r>
      <w:r>
        <w:t xml:space="preserve"> </w:t>
      </w:r>
      <w:r>
        <w:tab/>
        <w:t xml:space="preserve">Laki N:o 85 poliittisista puolueista ja liikkeistä, 2005 (vuoden 2019 muutoksineen). Laki rajoitti puolueiden tulot lahjoituksista ja lainoista 3.5 miljoonaan euroon neljän vuoden ajanjaksolla, ja puolueen jäsenen tekemät vuotuiset lahjoitukset 10,000 euroon. </w:t>
      </w:r>
    </w:p>
  </w:footnote>
  <w:footnote w:id="145">
    <w:p>
      <w:pPr>
        <w:pStyle w:val="FootnoteText"/>
      </w:pPr>
      <w:r>
        <w:rPr>
          <w:rStyle w:val="FootnoteReference"/>
        </w:rPr>
        <w:footnoteRef/>
      </w:r>
      <w:r>
        <w:rPr>
          <w:rStyle w:val="FootnoteReference"/>
        </w:rPr>
        <w:t xml:space="preserve"> </w:t>
      </w:r>
      <w:r>
        <w:tab/>
        <w:t>Slovakiaan tehdyn vierailun yhteydessä saadut tiedot. Katso myös I osa.</w:t>
      </w:r>
    </w:p>
  </w:footnote>
  <w:footnote w:id="146">
    <w:p>
      <w:pPr>
        <w:pStyle w:val="FootnoteText"/>
      </w:pPr>
      <w:r>
        <w:rPr>
          <w:rStyle w:val="FootnoteReference"/>
        </w:rPr>
        <w:footnoteRef/>
      </w:r>
      <w:r>
        <w:rPr>
          <w:rStyle w:val="FootnoteReference"/>
        </w:rPr>
        <w:t xml:space="preserve"> </w:t>
      </w:r>
      <w:r>
        <w:tab/>
        <w:t>Slovakiaan tehdyn vierailun yhteydessä saadut tiedot.</w:t>
      </w:r>
    </w:p>
  </w:footnote>
  <w:footnote w:id="147">
    <w:p>
      <w:pPr>
        <w:pStyle w:val="FootnoteText"/>
      </w:pPr>
      <w:r>
        <w:rPr>
          <w:rStyle w:val="FootnoteReference"/>
        </w:rPr>
        <w:footnoteRef/>
      </w:r>
      <w:r>
        <w:rPr>
          <w:rStyle w:val="FootnoteReference"/>
        </w:rPr>
        <w:t xml:space="preserve"> </w:t>
      </w:r>
      <w:r>
        <w:tab/>
        <w:t xml:space="preserve">Ohjelma on saatavilla osoitteessa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Slovakiaan tehdyn vierailun yhteydessä saadut tiedot.</w:t>
      </w:r>
    </w:p>
  </w:footnote>
  <w:footnote w:id="149">
    <w:p>
      <w:pPr>
        <w:pStyle w:val="FootnoteText"/>
      </w:pPr>
      <w:r>
        <w:rPr>
          <w:rStyle w:val="FootnoteReference"/>
        </w:rPr>
        <w:footnoteRef/>
      </w:r>
      <w:r>
        <w:t xml:space="preserve"> </w:t>
      </w:r>
      <w:r>
        <w:tab/>
        <w:t xml:space="preserve">Slovakian tasavallan varapääministeri, lakiesitys julkisista hankinnoista ja tiettyjen säädösten muuttamisesta annetun lain nro 343/2015 muuttamisesta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 xml:space="preserve"> </w:t>
      </w:r>
      <w:r>
        <w:tab/>
        <w:t>Ehdotuksen mukaan julkisia hankintoja koskevan menettelyn tarkistaminen olisi sen sijaan suoraan tuomioistuintutkinnan kohteena. Esimerkiksi tarjouksen ehtojen vastustamisella ei olisi lykkäävää vaikutusta, jos ne tehtäisiin tuomioistuimessa ja sopimukset voitaisiin allekirjoittaa ennen kuin tuomioistuin tekee ratkaisunsa.</w:t>
      </w:r>
    </w:p>
  </w:footnote>
  <w:footnote w:id="151">
    <w:p>
      <w:pPr>
        <w:pStyle w:val="FootnoteText"/>
      </w:pPr>
      <w:r>
        <w:rPr>
          <w:rStyle w:val="FootnoteReference"/>
        </w:rPr>
        <w:footnoteRef/>
      </w:r>
      <w:r>
        <w:t xml:space="preserve"> </w:t>
      </w:r>
      <w:r>
        <w:tab/>
        <w:t xml:space="preserve">Transparency International-Slovakia, Slovakiaan tehdyn vierailun yhteydessä saadut tiedot. </w:t>
      </w:r>
    </w:p>
  </w:footnote>
  <w:footnote w:id="152">
    <w:p>
      <w:pPr>
        <w:pStyle w:val="FootnoteText"/>
        <w:rPr>
          <w:rFonts w:cs="Times New Roman"/>
        </w:rPr>
      </w:pPr>
      <w:r>
        <w:rPr>
          <w:rStyle w:val="FootnoteReference"/>
          <w:rFonts w:cs="Times New Roman"/>
        </w:rPr>
        <w:footnoteRef/>
      </w:r>
      <w:r>
        <w:t xml:space="preserve"> </w:t>
      </w:r>
      <w:r>
        <w:tab/>
        <w:t>Laki N:o 211/2000, tiedonvapauslaki.</w:t>
      </w:r>
    </w:p>
  </w:footnote>
  <w:footnote w:id="153">
    <w:p>
      <w:pPr>
        <w:pStyle w:val="FootnoteText"/>
        <w:rPr>
          <w:rFonts w:cs="Times New Roman"/>
        </w:rPr>
      </w:pPr>
      <w:r>
        <w:rPr>
          <w:rStyle w:val="FootnoteReference"/>
          <w:rFonts w:cs="Times New Roman"/>
        </w:rPr>
        <w:footnoteRef/>
      </w:r>
      <w:r>
        <w:t xml:space="preserve"> </w:t>
      </w:r>
      <w:r>
        <w:tab/>
        <w:t>Laki N:o 308/2000 lähetys- ja edelleenlähetystoiminnasta.</w:t>
      </w:r>
    </w:p>
  </w:footnote>
  <w:footnote w:id="154">
    <w:p>
      <w:pPr>
        <w:pStyle w:val="FootnoteText"/>
        <w:rPr>
          <w:rFonts w:cs="Times New Roman"/>
        </w:rPr>
      </w:pPr>
      <w:r>
        <w:rPr>
          <w:rStyle w:val="FootnoteReference"/>
          <w:rFonts w:cs="Times New Roman"/>
        </w:rPr>
        <w:footnoteRef/>
      </w:r>
      <w:r>
        <w:t xml:space="preserve"> </w:t>
      </w:r>
      <w:r>
        <w:tab/>
        <w:t>Laki N:o 167/2008, lehdistölaki.</w:t>
      </w:r>
    </w:p>
  </w:footnote>
  <w:footnote w:id="155">
    <w:p>
      <w:pPr>
        <w:pStyle w:val="FootnoteText"/>
      </w:pPr>
      <w:r>
        <w:rPr>
          <w:rStyle w:val="FootnoteReference"/>
        </w:rPr>
        <w:footnoteRef/>
      </w:r>
      <w:r>
        <w:rPr>
          <w:rStyle w:val="FootnoteReference"/>
        </w:rPr>
        <w:t xml:space="preserve"> </w:t>
      </w:r>
      <w:r>
        <w:tab/>
        <w:t xml:space="preserve">Slovakia putosi kaksi sijaa Toimittajat ilman rajoja -järjestön lehdistönvapausindeksissä ja on nyt maailmanlaajuisesti sijalle 35  ja EU:ssa sijalla 17. Tämä johtuu suurelta osin poliitikkojen suullisista hyökkäyksistä, jotka kohdistuvat toimittajiin ja tiedotusvälineisiin. </w:t>
      </w:r>
    </w:p>
  </w:footnote>
  <w:footnote w:id="156">
    <w:p>
      <w:pPr>
        <w:pStyle w:val="FootnoteText"/>
      </w:pPr>
      <w:r>
        <w:rPr>
          <w:rStyle w:val="FootnoteReference"/>
        </w:rPr>
        <w:footnoteRef/>
      </w:r>
      <w:r>
        <w:rPr>
          <w:rStyle w:val="FootnoteReference"/>
        </w:rPr>
        <w:t xml:space="preserve"> </w:t>
      </w:r>
      <w:r>
        <w:tab/>
        <w:t>Direktiivi (EU) 2018/1808, 14.11.2017.</w:t>
      </w:r>
    </w:p>
  </w:footnote>
  <w:footnote w:id="157">
    <w:p>
      <w:pPr>
        <w:pStyle w:val="FootnoteText"/>
      </w:pPr>
      <w:r>
        <w:rPr>
          <w:rStyle w:val="FootnoteReference"/>
        </w:rPr>
        <w:footnoteRef/>
      </w:r>
      <w:r>
        <w:t xml:space="preserve"> </w:t>
      </w:r>
      <w:r>
        <w:tab/>
        <w:t>Lisätietoja varten katso oikeusvaltiota koskeva vuosikertomus 2020, maakohtainen luku oikeusvaltiotilanteesta Slovakiassa, s. 9.</w:t>
      </w:r>
    </w:p>
  </w:footnote>
  <w:footnote w:id="158">
    <w:p>
      <w:pPr>
        <w:pStyle w:val="FootnoteText"/>
        <w:rPr>
          <w:rFonts w:cs="Times New Roman"/>
        </w:rPr>
      </w:pPr>
      <w:r>
        <w:rPr>
          <w:rStyle w:val="FootnoteReference"/>
          <w:rFonts w:cs="Times New Roman"/>
        </w:rPr>
        <w:footnoteRef/>
      </w:r>
      <w:r>
        <w:t xml:space="preserve"> </w:t>
      </w:r>
      <w:r>
        <w:tab/>
        <w:t>Slovakiaan tehdyn vierailun yhteydessä saadut tiedot.</w:t>
      </w:r>
    </w:p>
  </w:footnote>
  <w:footnote w:id="159">
    <w:p>
      <w:pPr>
        <w:pStyle w:val="FootnoteText"/>
        <w:rPr>
          <w:rFonts w:cs="Times New Roman"/>
        </w:rPr>
      </w:pPr>
      <w:r>
        <w:rPr>
          <w:rStyle w:val="FootnoteReference"/>
          <w:rFonts w:cs="Times New Roman"/>
        </w:rPr>
        <w:footnoteRef/>
      </w:r>
      <w:r>
        <w:t xml:space="preserve"> </w:t>
      </w:r>
      <w:r>
        <w:tab/>
        <w:t>Neuvostossa on yhdeksän jäsentä, jotka Slovakian tasavallan kansallinen neuvosto (parlamentti) valitsee ja vapauttaa tehtävistään.</w:t>
      </w:r>
    </w:p>
  </w:footnote>
  <w:footnote w:id="160">
    <w:p>
      <w:pPr>
        <w:pStyle w:val="FootnoteText"/>
        <w:rPr>
          <w:rFonts w:cs="Times New Roman"/>
        </w:rPr>
      </w:pPr>
      <w:r>
        <w:rPr>
          <w:rStyle w:val="FootnoteReference"/>
          <w:rFonts w:cs="Times New Roman"/>
        </w:rPr>
        <w:footnoteRef/>
      </w:r>
      <w:r>
        <w:t xml:space="preserve"> </w:t>
      </w:r>
      <w:r>
        <w:tab/>
        <w:t>Tiedotusvälineiden moniarvoisuuden seurantaväline 2021, Slovakiaa koskeva raportti, s. 10.</w:t>
      </w:r>
    </w:p>
  </w:footnote>
  <w:footnote w:id="161">
    <w:p>
      <w:pPr>
        <w:pStyle w:val="FootnoteText"/>
      </w:pPr>
      <w:r>
        <w:rPr>
          <w:rStyle w:val="FootnoteReference"/>
        </w:rPr>
        <w:footnoteRef/>
      </w:r>
      <w:r>
        <w:t xml:space="preserve"> </w:t>
      </w:r>
      <w:r>
        <w:tab/>
        <w:t>Slovakian panos oikeusvaltiota koskevaan vuosikertomukseen 2021, s. 26; Slovakiaan tehdyn vierailun yhteydessä saadut tiedot;</w:t>
      </w:r>
    </w:p>
  </w:footnote>
  <w:footnote w:id="162">
    <w:p>
      <w:pPr>
        <w:pStyle w:val="FootnoteText"/>
      </w:pPr>
      <w:r>
        <w:rPr>
          <w:rStyle w:val="FootnoteReference"/>
        </w:rPr>
        <w:footnoteRef/>
      </w:r>
      <w:r>
        <w:t xml:space="preserve"> </w:t>
      </w:r>
      <w:r>
        <w:tab/>
        <w:t>Oikeusvaltiokertomus 2020, luku oikeusvaltiotilanteesta Slovakiassa, s. 9.</w:t>
      </w:r>
    </w:p>
  </w:footnote>
  <w:footnote w:id="163">
    <w:p>
      <w:pPr>
        <w:pStyle w:val="FootnoteText"/>
      </w:pPr>
      <w:r>
        <w:rPr>
          <w:rStyle w:val="FootnoteReference"/>
        </w:rPr>
        <w:footnoteRef/>
      </w:r>
      <w:r>
        <w:t xml:space="preserve"> </w:t>
      </w:r>
      <w:r>
        <w:tab/>
        <w:t>MPM 2021, Slovakiaa koskeva raportti, s. 11-12.</w:t>
      </w:r>
    </w:p>
  </w:footnote>
  <w:footnote w:id="164">
    <w:p>
      <w:pPr>
        <w:pStyle w:val="FootnoteText"/>
      </w:pPr>
      <w:r>
        <w:rPr>
          <w:rStyle w:val="FootnoteReference"/>
        </w:rPr>
        <w:footnoteRef/>
      </w:r>
      <w:r>
        <w:rPr>
          <w:rStyle w:val="FootnoteReference"/>
        </w:rPr>
        <w:t xml:space="preserve"> </w:t>
      </w:r>
      <w:r>
        <w:tab/>
        <w:t xml:space="preserve">MPM 2021, Slovakiaa koskeva raportti, s. 12. </w:t>
      </w:r>
    </w:p>
  </w:footnote>
  <w:footnote w:id="165">
    <w:p>
      <w:pPr>
        <w:pStyle w:val="FootnoteText"/>
      </w:pPr>
      <w:r>
        <w:rPr>
          <w:rStyle w:val="FootnoteReference"/>
        </w:rPr>
        <w:footnoteRef/>
      </w:r>
      <w:r>
        <w:rPr>
          <w:rStyle w:val="FootnoteReference"/>
        </w:rPr>
        <w:t xml:space="preserve"> </w:t>
      </w:r>
      <w:r>
        <w:tab/>
        <w:t xml:space="preserve">Media Freedom Rapid Response Platform -foorumi kutsui vapauttavaa tuomiota oikeuden irvikuvaksi ja suhtautui myönteisesti yleisen syyttäjän päätökseen valittaa asiasta. </w:t>
      </w:r>
    </w:p>
  </w:footnote>
  <w:footnote w:id="166">
    <w:p>
      <w:pPr>
        <w:pStyle w:val="FootnoteText"/>
      </w:pPr>
      <w:r>
        <w:rPr>
          <w:rStyle w:val="FootnoteReference"/>
        </w:rPr>
        <w:footnoteRef/>
      </w:r>
      <w:r>
        <w:t xml:space="preserve"> Slovakian viranomaisilta saadut tiedot.</w:t>
      </w:r>
    </w:p>
  </w:footnote>
  <w:footnote w:id="167">
    <w:p>
      <w:pPr>
        <w:pStyle w:val="FootnoteText"/>
        <w:rPr>
          <w:rFonts w:cs="Times New Roman"/>
        </w:rPr>
      </w:pPr>
      <w:r>
        <w:rPr>
          <w:rStyle w:val="FootnoteReference"/>
          <w:rFonts w:cs="Times New Roman"/>
        </w:rPr>
        <w:footnoteRef/>
      </w:r>
      <w:r>
        <w:t xml:space="preserve"> </w:t>
      </w:r>
      <w:r>
        <w:tab/>
        <w:t xml:space="preserve">Euroopan neuvosto, journalismin suojelua ja toimittajien turvallisuutta edistävä foorumi. </w:t>
      </w:r>
    </w:p>
  </w:footnote>
  <w:footnote w:id="168">
    <w:p>
      <w:pPr>
        <w:pStyle w:val="FootnoteText"/>
      </w:pPr>
      <w:r>
        <w:rPr>
          <w:rStyle w:val="FootnoteReference"/>
        </w:rPr>
        <w:footnoteRef/>
      </w:r>
      <w:r>
        <w:t xml:space="preserve"> </w:t>
      </w:r>
      <w:r>
        <w:tab/>
        <w:t xml:space="preserve">Slovakia vastasi tähän ilmoitukseen ja totesi, että asiaa koskeva poliisitutkinta oli aloitettu viipymättä. </w:t>
      </w:r>
    </w:p>
  </w:footnote>
  <w:footnote w:id="169">
    <w:p>
      <w:pPr>
        <w:pStyle w:val="FootnoteText"/>
      </w:pPr>
      <w:r>
        <w:rPr>
          <w:rStyle w:val="FootnoteReference"/>
        </w:rPr>
        <w:footnoteRef/>
      </w:r>
      <w:r>
        <w:t xml:space="preserve"> </w:t>
      </w:r>
      <w:r>
        <w:tab/>
        <w:t>Tarkoitus hyväksyä vuoden 2021 loppuun mennessä. Maavierailun aikana 22.4.2021 toimitetut tiedot.</w:t>
      </w:r>
    </w:p>
  </w:footnote>
  <w:footnote w:id="170">
    <w:p>
      <w:pPr>
        <w:pStyle w:val="FootnoteText"/>
      </w:pPr>
      <w:r>
        <w:rPr>
          <w:rStyle w:val="FootnoteReference"/>
        </w:rPr>
        <w:footnoteRef/>
      </w:r>
      <w:r>
        <w:t xml:space="preserve"> </w:t>
      </w:r>
      <w:r>
        <w:tab/>
        <w:t>Slovakian viranomaisten mukaan toimittajat olivat oikeutettuja hakemaan taloudellista tukea nykyisestä kulttuurialoihin ja luoviin aloihin kohdistuvasta tukijärjestelmästä.</w:t>
      </w:r>
    </w:p>
  </w:footnote>
  <w:footnote w:id="171">
    <w:p>
      <w:pPr>
        <w:pStyle w:val="FootnoteText"/>
        <w:rPr>
          <w:rFonts w:cs="Times New Roman"/>
        </w:rPr>
      </w:pPr>
      <w:r>
        <w:rPr>
          <w:rStyle w:val="FootnoteReference"/>
          <w:rFonts w:cs="Times New Roman"/>
        </w:rPr>
        <w:footnoteRef/>
      </w:r>
      <w:r>
        <w:t xml:space="preserve"> </w:t>
      </w:r>
      <w:r>
        <w:tab/>
        <w:t>Slovakian perustuslain 72 §.</w:t>
      </w:r>
    </w:p>
  </w:footnote>
  <w:footnote w:id="172">
    <w:p>
      <w:pPr>
        <w:pStyle w:val="FootnoteText"/>
        <w:rPr>
          <w:rFonts w:cs="Times New Roman"/>
        </w:rPr>
      </w:pPr>
      <w:r>
        <w:rPr>
          <w:rStyle w:val="FootnoteReference"/>
          <w:rFonts w:cs="Times New Roman"/>
        </w:rPr>
        <w:footnoteRef/>
      </w:r>
      <w:r>
        <w:t xml:space="preserve"> </w:t>
      </w:r>
      <w:r>
        <w:tab/>
        <w:t>Slovakian perustuslain 87 §.</w:t>
      </w:r>
    </w:p>
  </w:footnote>
  <w:footnote w:id="173">
    <w:p>
      <w:pPr>
        <w:pStyle w:val="FootnoteText"/>
      </w:pPr>
      <w:r>
        <w:rPr>
          <w:rStyle w:val="FootnoteReference"/>
        </w:rPr>
        <w:footnoteRef/>
      </w:r>
      <w:r>
        <w:t xml:space="preserve"> </w:t>
      </w:r>
      <w:r>
        <w:tab/>
        <w:t>Uudistusehdotus esiteltiin tuomarineuvoston puheenjohtajalle, korkeimman oikeuden presidentille, perustuslakituomioistuimen presidentille, valtakunnansyyttäjän virastolle, oikeusasiamiehelle ja oikeudellisten järjestöjen edustajille.</w:t>
      </w:r>
    </w:p>
  </w:footnote>
  <w:footnote w:id="174">
    <w:p>
      <w:pPr>
        <w:pStyle w:val="FootnoteText"/>
      </w:pPr>
      <w:r>
        <w:rPr>
          <w:rStyle w:val="FootnoteReference"/>
        </w:rPr>
        <w:footnoteRef/>
      </w:r>
      <w:r>
        <w:t xml:space="preserve"> </w:t>
      </w:r>
      <w:r>
        <w:tab/>
        <w:t xml:space="preserve">Sidosryhmille annettiin tilaisuus kommentoida luonnosta kirjallisesti järjestetyissä julkisissa kuulemisissa, jotka kestivät kesäloman aikana 15 työpäivää. Sidosryhmät arvostelivat myös julkisen kuulemisen kestoa ja ajoitusta. Ks. yleisen syyttäjän viraston, Bratislavassa sijaitsevan Comenius-yliopiston oikeustieteellisen tiedekunnan, Slovakian asianajajaliiton ja tuomarineuvoston julkisessa kuulemisessa esittämät huomautukset, jotka ovat saatavilla osoitteessa https://www.slov-lex.sk/legislativne-procesy/SK/LP/2020/267; Slovakialaisten asianajajien avoin julkilausuma, joka on saatavilla osoitteessa </w:t>
      </w:r>
      <w:hyperlink r:id="rId12" w:history="1">
        <w:r>
          <w:rPr>
            <w:rStyle w:val="Hyperlink"/>
          </w:rPr>
          <w:t>https://pravnystat.eu/en/</w:t>
        </w:r>
      </w:hyperlink>
      <w:r>
        <w:t xml:space="preserve"> ja joka on toimitettu sidosryhmien kuulemiseen liittyvänä tietona oikeusvaltiota koskevaan vuosikertomukseen 2021.</w:t>
      </w:r>
    </w:p>
  </w:footnote>
  <w:footnote w:id="175">
    <w:p>
      <w:pPr>
        <w:pStyle w:val="FootnoteText"/>
      </w:pPr>
      <w:r>
        <w:rPr>
          <w:rStyle w:val="FootnoteReference"/>
        </w:rPr>
        <w:footnoteRef/>
      </w:r>
      <w:r>
        <w:t xml:space="preserve"> </w:t>
      </w:r>
      <w:r>
        <w:tab/>
        <w:t>Venetsian komissio (19.1.2010), raportti perustuslain muuttamisesta, CDL-AD(2010)001, 205 kohta; Venetsian komissio, toinen väliaikainen lausunto perustuslain uudistuksista Armenian tasavallassa, CDL-AD(2005)016, 31 kohta.</w:t>
      </w:r>
    </w:p>
  </w:footnote>
  <w:footnote w:id="176">
    <w:p>
      <w:pPr>
        <w:pStyle w:val="FootnoteText"/>
      </w:pPr>
      <w:r>
        <w:rPr>
          <w:rStyle w:val="FootnoteReference"/>
        </w:rPr>
        <w:footnoteRef/>
      </w:r>
      <w:r>
        <w:t xml:space="preserve"> </w:t>
      </w:r>
      <w:r>
        <w:tab/>
        <w:t>Via Iuris (Civil Liberties Union) -kansalaisjärjestön panos oikeusvaltiota koskevaan vuosikertomukseen 2021, s. 19; ENNHRI:n panos oikeusvaltiota koskevaan vuosikertomukseen 2021, s. 293.</w:t>
      </w:r>
    </w:p>
  </w:footnote>
  <w:footnote w:id="177">
    <w:p>
      <w:pPr>
        <w:pStyle w:val="FootnoteText"/>
      </w:pPr>
      <w:r>
        <w:rPr>
          <w:rStyle w:val="FootnoteReference"/>
        </w:rPr>
        <w:footnoteRef/>
      </w:r>
      <w:r>
        <w:t xml:space="preserve"> </w:t>
      </w:r>
      <w:r>
        <w:tab/>
        <w:t>ENNHRI:n panos oikeusvaltiota koskevaan vuosikertomukseen 2021, s. 298. Slovakian asianajajaliiton panos oikeusvaltiota koskevaan vuosikertomukseen 2021, s. 3. Slovakiaan tehdyn vierailun yhteydessä saadut tiedot.</w:t>
      </w:r>
    </w:p>
  </w:footnote>
  <w:footnote w:id="178">
    <w:p>
      <w:pPr>
        <w:pStyle w:val="FootnoteText"/>
      </w:pPr>
      <w:r>
        <w:rPr>
          <w:rStyle w:val="FootnoteReference"/>
        </w:rPr>
        <w:footnoteRef/>
      </w:r>
      <w:r>
        <w:t xml:space="preserve"> </w:t>
      </w:r>
      <w:r>
        <w:tab/>
        <w:t>Oikeusvaltiokertomus 2020, luku oikeusvaltiotilanteesta Slovakiassa, s. 11-13.</w:t>
      </w:r>
    </w:p>
  </w:footnote>
  <w:footnote w:id="179">
    <w:p>
      <w:pPr>
        <w:pStyle w:val="FootnoteText"/>
      </w:pPr>
      <w:r>
        <w:rPr>
          <w:rStyle w:val="FootnoteReference"/>
        </w:rPr>
        <w:footnoteRef/>
      </w:r>
      <w:r>
        <w:t xml:space="preserve"> </w:t>
      </w:r>
      <w:r>
        <w:tab/>
        <w:t xml:space="preserve">Slovakian tasavallan hallituksen ohjelmajulistus vuosiksi 2020–2024, 19.4.2020. </w:t>
      </w:r>
    </w:p>
  </w:footnote>
  <w:footnote w:id="180">
    <w:p>
      <w:pPr>
        <w:pStyle w:val="FootnoteText"/>
      </w:pPr>
      <w:r>
        <w:rPr>
          <w:rStyle w:val="FootnoteReference"/>
        </w:rPr>
        <w:footnoteRef/>
      </w:r>
      <w:r>
        <w:t xml:space="preserve"> </w:t>
      </w:r>
      <w:r>
        <w:tab/>
        <w:t xml:space="preserve">Slovakian tasavallan hallituksen ohjelmajulistus vuosiksi 2021–2024, s. 13–17. </w:t>
      </w:r>
    </w:p>
  </w:footnote>
  <w:footnote w:id="181">
    <w:p>
      <w:pPr>
        <w:pStyle w:val="FootnoteText"/>
      </w:pPr>
      <w:r>
        <w:rPr>
          <w:rStyle w:val="FootnoteReference"/>
        </w:rPr>
        <w:footnoteRef/>
      </w:r>
      <w:r>
        <w:t xml:space="preserve"> </w:t>
      </w:r>
      <w:r>
        <w:tab/>
        <w:t xml:space="preserve">Lakiehdotus N:o PI/2020/146 tietojen vapaasta saatavuudesta annetun lain N:o 211/2000 muuttamisesta ja muutoksista tiettyihin lakeihin (tiedonsaantioikeudesta annettu laki), muutoksineen, ja tiettyjen lakien muuttamisesta. </w:t>
      </w:r>
    </w:p>
  </w:footnote>
  <w:footnote w:id="182">
    <w:p>
      <w:pPr>
        <w:pStyle w:val="FootnoteText"/>
      </w:pPr>
      <w:r>
        <w:rPr>
          <w:rStyle w:val="FootnoteReference"/>
        </w:rPr>
        <w:footnoteRef/>
      </w:r>
      <w:r>
        <w:t xml:space="preserve"> </w:t>
      </w:r>
      <w:r>
        <w:tab/>
        <w:t>Ks. 30.1.2019 annettu tuomio asiassa Pl ÚS 21/2014–96. Muutos on reaktio tähän tuomioon, tiedot saatu oikeusvaltiota koskevan vuosikertomuksen 2020 seurantakokouksen yhteydessä.</w:t>
      </w:r>
    </w:p>
  </w:footnote>
  <w:footnote w:id="183">
    <w:p>
      <w:pPr>
        <w:pStyle w:val="FootnoteText"/>
      </w:pPr>
      <w:r>
        <w:rPr>
          <w:rStyle w:val="FootnoteReference"/>
        </w:rPr>
        <w:footnoteRef/>
      </w:r>
      <w:r>
        <w:t xml:space="preserve"> </w:t>
      </w:r>
      <w:r>
        <w:tab/>
        <w:t xml:space="preserve">Slovakialaisten asianajajien avoin julkilausuma, joka on saatavilla osoitteessa </w:t>
      </w:r>
      <w:hyperlink r:id="rId13" w:history="1">
        <w:r>
          <w:rPr>
            <w:rStyle w:val="Hyperlink"/>
          </w:rPr>
          <w:t>https://pravnystat.eu/en/</w:t>
        </w:r>
      </w:hyperlink>
      <w:r>
        <w:t xml:space="preserve"> ja joka on toimitettu sidosryhmien kuulemiseen liittyvänä tietona oikeusvaltiota koskevaan vuosikertomukseen 2021, 1 kohta; ks. myös perustuslakituomioistuimen presidentin 3.12.2020 antama lausunto parlamentissa, jossa hän ilmaisi huolensa muutoksesta ja pyysi parlamentin jäseniä pohtimaan asiaa tarkemmin, saatavilla osoitteessa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 xml:space="preserve"> </w:t>
      </w:r>
      <w:r>
        <w:tab/>
        <w:t>Tiedosto N:o 2879/2020.</w:t>
      </w:r>
    </w:p>
  </w:footnote>
  <w:footnote w:id="185">
    <w:p>
      <w:pPr>
        <w:pStyle w:val="FootnoteText"/>
      </w:pPr>
      <w:r>
        <w:rPr>
          <w:rStyle w:val="FootnoteReference"/>
        </w:rPr>
        <w:footnoteRef/>
      </w:r>
      <w:r>
        <w:t xml:space="preserve"> </w:t>
      </w:r>
      <w:r>
        <w:tab/>
        <w:t>Parlamentin jäsenet saivat osallistua istuntoihin henkilökohtaisesti, lukuun ottamatta jäseniä, joiden oli oltava omaehtoisessa eristäytymisessä COVID-19-pandemiaan liittyvien toimenpiteiden mukaisesti. Jotkin kokoukset järjestettiin yhdistetyssä muodossa, jossa useat parlamentin jäsenet olivat läsnä henkilökohtaisesti ja osa videoyhteyden kautta. Slovakian panos oikeusvaltiota koskevaan vuosikertomukseen 2021, s. 37.</w:t>
      </w:r>
    </w:p>
  </w:footnote>
  <w:footnote w:id="186">
    <w:p>
      <w:pPr>
        <w:pStyle w:val="FootnoteText"/>
      </w:pPr>
      <w:r>
        <w:rPr>
          <w:rStyle w:val="FootnoteReference"/>
        </w:rPr>
        <w:footnoteRef/>
      </w:r>
      <w:r>
        <w:t xml:space="preserve"> </w:t>
      </w:r>
      <w:r>
        <w:tab/>
        <w:t>Valtion turvallisuudesta annetun lain N:o 227/2002 5 §:n 3 momentti.</w:t>
      </w:r>
    </w:p>
  </w:footnote>
  <w:footnote w:id="187">
    <w:p>
      <w:pPr>
        <w:pStyle w:val="FootnoteText"/>
      </w:pPr>
      <w:r>
        <w:rPr>
          <w:rStyle w:val="FootnoteReference"/>
        </w:rPr>
        <w:footnoteRef/>
      </w:r>
      <w:r>
        <w:t xml:space="preserve"> </w:t>
      </w:r>
      <w:r>
        <w:tab/>
        <w:t>Valtion turvallisuudesta annetun lain N:o 227/2002 5 §:n 1 momentti.</w:t>
      </w:r>
    </w:p>
  </w:footnote>
  <w:footnote w:id="188">
    <w:p>
      <w:pPr>
        <w:pStyle w:val="FootnoteText"/>
      </w:pPr>
      <w:r>
        <w:rPr>
          <w:rStyle w:val="FootnoteReference"/>
        </w:rPr>
        <w:footnoteRef/>
      </w:r>
      <w:r>
        <w:t xml:space="preserve"> </w:t>
      </w:r>
      <w:r>
        <w:tab/>
        <w:t>Oikeusvaltiokertomus 2020, luku oikeusvaltiotilanteesta Slovakiassa, s. 12.</w:t>
      </w:r>
    </w:p>
  </w:footnote>
  <w:footnote w:id="189">
    <w:p>
      <w:pPr>
        <w:pStyle w:val="FootnoteText"/>
      </w:pPr>
      <w:r>
        <w:rPr>
          <w:rStyle w:val="FootnoteReference"/>
        </w:rPr>
        <w:footnoteRef/>
      </w:r>
      <w:r>
        <w:t xml:space="preserve"> </w:t>
      </w:r>
      <w:r>
        <w:tab/>
        <w:t xml:space="preserve">Valtion turvallisuudesta annetun lain N:o 227/2002 5 §:n 2 momentti. Parlamentin on hyväksyttävä pidennys 20 päivän kuluessa sen voimaantulosta, muuten poikkeustila lakkaa. Pidentäminen on sallittua vain, jos poikkeustila on julistettu pandemian yhteydessä. ENNHRI:n panos oikeusvaltiota koskevaan vuosikertomukseen 2021, s. 296–297. </w:t>
      </w:r>
    </w:p>
  </w:footnote>
  <w:footnote w:id="190">
    <w:p>
      <w:pPr>
        <w:pStyle w:val="FootnoteText"/>
      </w:pPr>
      <w:r>
        <w:rPr>
          <w:rStyle w:val="FootnoteReference"/>
        </w:rPr>
        <w:footnoteRef/>
      </w:r>
      <w:r>
        <w:t xml:space="preserve"> </w:t>
      </w:r>
      <w:r>
        <w:tab/>
        <w:t xml:space="preserve">Perustuslain 129 §:n 6 momentti. </w:t>
      </w:r>
    </w:p>
  </w:footnote>
  <w:footnote w:id="191">
    <w:p>
      <w:pPr>
        <w:pStyle w:val="FootnoteText"/>
      </w:pPr>
      <w:r>
        <w:rPr>
          <w:rStyle w:val="FootnoteReference"/>
        </w:rPr>
        <w:footnoteRef/>
      </w:r>
      <w:r>
        <w:t xml:space="preserve"> </w:t>
      </w:r>
      <w:r>
        <w:tab/>
        <w:t>Hakemus on jätettävä viiden päivän kuluessa julistuksesta/pidennyksestä, ja tuomioistuimen on tehtävä päätös 10 päivän kuluessa menettelyn aloittamisesta. §:t 193 ja 195 perustuslakituomioistuimesta annetusta laista N:o 314/2002. Slovakiaan tehdyn vierailun yhteydessä saadut tiedot.</w:t>
      </w:r>
    </w:p>
  </w:footnote>
  <w:footnote w:id="192">
    <w:p>
      <w:pPr>
        <w:pStyle w:val="FootnoteText"/>
      </w:pPr>
      <w:r>
        <w:rPr>
          <w:rStyle w:val="FootnoteReference"/>
        </w:rPr>
        <w:footnoteRef/>
      </w:r>
      <w:r>
        <w:t xml:space="preserve"> </w:t>
      </w:r>
      <w:r>
        <w:tab/>
        <w:t>Perustuslakituomioistuimen 14.10.2020 antama tuomio Pl ÚS 22/2020, perustuslakituomioistuimen 31.3.2021 antama tuomio Pl ÚS 2/2021.</w:t>
      </w:r>
    </w:p>
  </w:footnote>
  <w:footnote w:id="193">
    <w:p>
      <w:pPr>
        <w:pStyle w:val="FootnoteText"/>
      </w:pPr>
      <w:r>
        <w:rPr>
          <w:rStyle w:val="FootnoteReference"/>
        </w:rPr>
        <w:footnoteRef/>
      </w:r>
      <w:r>
        <w:t xml:space="preserve"> </w:t>
      </w:r>
      <w:r>
        <w:tab/>
        <w:t>Lain (355/2007) muutos.</w:t>
      </w:r>
    </w:p>
  </w:footnote>
  <w:footnote w:id="194">
    <w:p>
      <w:pPr>
        <w:pStyle w:val="FootnoteText"/>
      </w:pPr>
      <w:r>
        <w:rPr>
          <w:rStyle w:val="FootnoteReference"/>
        </w:rPr>
        <w:footnoteRef/>
      </w:r>
      <w:r>
        <w:t xml:space="preserve"> </w:t>
      </w:r>
      <w:r>
        <w:tab/>
        <w:t>Oikeusasiamies toimittanut perustuslakituomioistuimeen 10.2.2021, asiakirjan N:o 268/2021, s. 26–35.</w:t>
      </w:r>
    </w:p>
  </w:footnote>
  <w:footnote w:id="195">
    <w:p>
      <w:pPr>
        <w:pStyle w:val="FootnoteText"/>
      </w:pPr>
      <w:r>
        <w:rPr>
          <w:rStyle w:val="FootnoteReference"/>
        </w:rPr>
        <w:footnoteRef/>
      </w:r>
      <w:r>
        <w:t xml:space="preserve"> </w:t>
      </w:r>
      <w:r>
        <w:tab/>
        <w:t>Oikeusvaltiokertomus 2020, luku oikeusvaltiotilanteesta Slovakiassa, s. 12–13.</w:t>
      </w:r>
    </w:p>
  </w:footnote>
  <w:footnote w:id="196">
    <w:p>
      <w:pPr>
        <w:pStyle w:val="FootnoteText"/>
      </w:pPr>
      <w:r>
        <w:rPr>
          <w:rStyle w:val="FootnoteReference"/>
        </w:rPr>
        <w:footnoteRef/>
      </w:r>
      <w:r>
        <w:t xml:space="preserve"> </w:t>
      </w:r>
      <w:r>
        <w:tab/>
        <w:t>Slovakiaan tehdyn vierailun yhteydessä saadut tiedot.</w:t>
      </w:r>
    </w:p>
  </w:footnote>
  <w:footnote w:id="197">
    <w:p>
      <w:pPr>
        <w:pStyle w:val="FootnoteText"/>
      </w:pPr>
      <w:r>
        <w:rPr>
          <w:rStyle w:val="FootnoteReference"/>
        </w:rPr>
        <w:footnoteRef/>
      </w:r>
      <w:r>
        <w:t xml:space="preserve"> </w:t>
      </w:r>
      <w:r>
        <w:tab/>
        <w:t xml:space="preserve">Slovakiaan tehdyn vierailun yhteydessä saadut tiedot. </w:t>
      </w:r>
    </w:p>
  </w:footnote>
  <w:footnote w:id="198">
    <w:p>
      <w:pPr>
        <w:pStyle w:val="FootnoteText"/>
      </w:pPr>
      <w:r>
        <w:rPr>
          <w:rStyle w:val="FootnoteReference"/>
        </w:rPr>
        <w:footnoteRef/>
      </w:r>
      <w:r>
        <w:t xml:space="preserve"> </w:t>
      </w:r>
      <w:r>
        <w:tab/>
        <w:t>Oikeusasiamiehen toimintaa koskeva vuosikertomus (2020), toimintakertomuksesta keskusteltiin ja äänestettiin parlamentissa 7.5.2021, jonka seurauksena kertomusta ei voitu vahvistaa; Slovakiaan tehdyn vierailun yhteydessä saadut tiedot. Slovakian kansallisen ihmisoikeuskeskuksen vuosikertomus ihmisoikeuksien noudattamisesta; ENNHRI:n panos oikeusvaltiota koskevaan vuosikertomukseen 2021, s. 309–312.</w:t>
      </w:r>
    </w:p>
  </w:footnote>
  <w:footnote w:id="199">
    <w:p>
      <w:pPr>
        <w:pStyle w:val="FootnoteText"/>
      </w:pPr>
      <w:r>
        <w:rPr>
          <w:rStyle w:val="FootnoteReference"/>
        </w:rPr>
        <w:footnoteRef/>
      </w:r>
      <w:r>
        <w:t xml:space="preserve"> </w:t>
      </w:r>
      <w:r>
        <w:tab/>
        <w:t>Oikeusvaltiokertomus 2020, luku oikeusvaltiotilanteesta Slovakiassa, s. 14.</w:t>
      </w:r>
    </w:p>
  </w:footnote>
  <w:footnote w:id="200">
    <w:p>
      <w:pPr>
        <w:pStyle w:val="FootnoteText"/>
      </w:pPr>
      <w:r>
        <w:rPr>
          <w:rStyle w:val="FootnoteReference"/>
        </w:rPr>
        <w:footnoteRef/>
      </w:r>
      <w:r>
        <w:t xml:space="preserve"> </w:t>
      </w:r>
      <w:r>
        <w:tab/>
        <w:t xml:space="preserve">Slovakian tasavallan hallituksen ohjelmajulistus vuosiksi 2021–2024, s. 16–17. </w:t>
      </w:r>
    </w:p>
  </w:footnote>
  <w:footnote w:id="201">
    <w:p>
      <w:pPr>
        <w:pStyle w:val="FootnoteText"/>
      </w:pPr>
      <w:r>
        <w:rPr>
          <w:rStyle w:val="FootnoteReference"/>
        </w:rPr>
        <w:footnoteRef/>
      </w:r>
      <w:r>
        <w:t xml:space="preserve"> </w:t>
      </w:r>
      <w:r>
        <w:tab/>
        <w:t xml:space="preserve">Perustettu voittoa tavoittelemattomien kansalaisjärjestöjen rekisteristä annetulla lailla N:o 346/2018; rekisteri on saatavilla osoitteessa </w:t>
      </w:r>
      <w:hyperlink r:id="rId15" w:history="1">
        <w:r>
          <w:rPr>
            <w:rStyle w:val="Hyperlink"/>
          </w:rPr>
          <w:t>https://ives.minv.sk/rmno/?lang=sk</w:t>
        </w:r>
      </w:hyperlink>
      <w:r>
        <w:t>.</w:t>
      </w:r>
    </w:p>
  </w:footnote>
  <w:footnote w:id="202">
    <w:p>
      <w:pPr>
        <w:pStyle w:val="FootnoteText"/>
      </w:pPr>
      <w:r>
        <w:rPr>
          <w:rStyle w:val="FootnoteReference"/>
        </w:rPr>
        <w:footnoteRef/>
      </w:r>
      <w:r>
        <w:t xml:space="preserve"> </w:t>
      </w:r>
      <w:r>
        <w:tab/>
        <w:t xml:space="preserve">Via iuris (Civil Liberties Union) -järjestön panos oikeusvaltiota koskevaan vuosikertomukseen 2021, s. 13–14, ja ENNHRI:n panos oikeusvaltiota koskevaan vuosikertomukseen 2021, s. 294. </w:t>
      </w:r>
    </w:p>
  </w:footnote>
  <w:footnote w:id="203">
    <w:p>
      <w:pPr>
        <w:pStyle w:val="FootnoteText"/>
      </w:pPr>
      <w:r>
        <w:rPr>
          <w:rStyle w:val="FootnoteReference"/>
        </w:rPr>
        <w:footnoteRef/>
      </w:r>
      <w:r>
        <w:t xml:space="preserve"> </w:t>
      </w:r>
      <w:r>
        <w:tab/>
        <w:t xml:space="preserve">Tämä koskee työ-, sosiaali- ja perheministeriön toteuttamaa vuonna 2020 tasa-arvon edistämiseen myönnettävien tukien uudelleenjakoprosessia, jolla tuetaan konservatiivisia, aborttia vastustavia järjestöjä, jotka eivät yleensä keskity sukupuolten tasa-arvoon liittyviin kysymyksiin. Lisäksi sen jälkeen, kun oli hyväksytty 17.12.2020 annettu laki, jolla muutettiin lakia N:o 544/2010 avustuksista, tuetaan sukupuolten tasa-arvon sijasta yhtäläisiä työllisyysmahdollisuuksia sekä avioliittoa ja perhearvoja edistäviä järjestöjä. Ks. ENNHRI:n panos oikeusvaltiota koskevaan vuosikertomukseen 2021, s. 294, Euroopan kansalaisvapauksien liitto, s. 14, ja ENNHRI, s. 294–295. </w:t>
      </w:r>
    </w:p>
  </w:footnote>
  <w:footnote w:id="204">
    <w:p>
      <w:pPr>
        <w:pStyle w:val="FootnoteText"/>
      </w:pPr>
      <w:r>
        <w:rPr>
          <w:rStyle w:val="FootnoteReference"/>
        </w:rPr>
        <w:footnoteRef/>
      </w:r>
      <w:r>
        <w:t xml:space="preserve"> </w:t>
      </w:r>
      <w:r>
        <w:tab/>
        <w:t xml:space="preserve">Vaikka hallitus on pyrkinyt tukemaan 1,1 miljoonan euron lisätuella kansalaisjärjestöjen toimia, joilla lievennetään covid-19:n vaikutusta, ks. aluekehitysministeriön 12.8.2020 julkaisema lehdistötiedote, ”Varapääministeri Remišová: 1,1 miljoonaa euroa kansalaisjärjestöjen avustamiseen taistelussa covid-19:ää vastaan” ja Slovakiaan tehdyn vierailun yhteydessä saadut tiedot. Katso myös Via Iuris (Civil Liberties Union) -järjestön panos oikeusvaltiota koskevaan vuosikertomukseen 2021, s.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hideGrammaticalError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Oheisasiakirja"/>
    <w:docVar w:name="LW_CORRIGENDUM" w:val="&lt;UNUSED&gt;"/>
    <w:docVar w:name="LW_COVERPAGE_EXISTS" w:val="True"/>
    <w:docVar w:name="LW_COVERPAGE_GUID" w:val="97C6EB3E-0C55-40CB-8F1C-BDF24B7C8191"/>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yssel "/>
    <w:docVar w:name="LW_EMISSION_SUFFIX" w:val=" "/>
    <w:docVar w:name="LW_ID_DOCTYPE_NONLW" w:val="CP-025"/>
    <w:docVar w:name="LW_LANGUE" w:val="FI"/>
    <w:docVar w:name="LW_LEVEL_OF_SENSITIVITY" w:val="Standard treatment"/>
    <w:docVar w:name="LW_NOM.INST" w:val="EUROOPAN KOMISSIO"/>
    <w:docVar w:name="LW_NOM.INST_JOINTDOC" w:val="&lt;EMPTY&gt;"/>
    <w:docVar w:name="LW_OBJETACTEPRINCIPAL.CP" w:val="Oikeusvaltiokertomus 2021_x000d__x000b_Oikeusvaltiotilanne Euroopan unionissa"/>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ikeusvaltiokertomus 2021_x000d__x000d__x000d__x000d__x000d__x000d__x000b_Luku: Oikeusvaltiotilanne Slovakiassa"/>
    <w:docVar w:name="LW_TYPE.DOC.CP" w:val="KOMISSION YKSIKÖIDEN VALMISTELUASIAKIRJA"/>
    <w:docVar w:name="LW_TYPEACTEPRINCIPAL.CP" w:val="KOMISSION TIEDONANTO EUROOPAN PARLAMENTILLE, NEUVOSTOLLE, EUROOPAN TALOUS- JA SOSIAALIKOMITEALLE JA ALUEIDEN KOMITEALLE"/>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i-F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i-F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i-F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i-F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portal/-/slovakia-greco-regrets-slow-progress-in-preventing-corruption-of-parliamentarians-judges-and-prosecutors" TargetMode="External"/><Relationship Id="rId39" Type="http://schemas.openxmlformats.org/officeDocument/2006/relationships/hyperlink" Target="http://web.ac-mssr.sk/wp-content/uploads/2020/sudna_mapa/nova_sudna_mapa_3_0_final.pdf" TargetMode="External"/><Relationship Id="rId3" Type="http://schemas.openxmlformats.org/officeDocument/2006/relationships/customXml" Target="../customXml/item3.xml"/><Relationship Id="rId21" Type="http://schemas.openxmlformats.org/officeDocument/2006/relationships/hyperlink" Target="http://hudoc.exec.coe.int/eng?i=004-7717" TargetMode="External"/><Relationship Id="rId34" Type="http://schemas.openxmlformats.org/officeDocument/2006/relationships/hyperlink" Target="https://www.mpsr.sk/programove-vyhlasenie-vlady-slovenskej-republiky-na-obdobie-rokov-2020-2024/800-17-800-15434/" TargetMode="External"/><Relationship Id="rId42" Type="http://schemas.openxmlformats.org/officeDocument/2006/relationships/hyperlink" Target="https://www.health.gov.sk/Zdroje?/dokumenty/mzsr/rezortny-protikorupcny-program.rtf"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anti-fraud/media-corner/news/21-01-2021/olaf-closes-cases-eu-agricultural-funds-slovakia_en" TargetMode="External"/><Relationship Id="rId33" Type="http://schemas.openxmlformats.org/officeDocument/2006/relationships/hyperlink" Target="https://www.vop.gov.sk/files/VOP_VS20_SK_1.pdf" TargetMode="External"/><Relationship Id="rId38" Type="http://schemas.openxmlformats.org/officeDocument/2006/relationships/hyperlink" Target="http://web.ac-mssr.sk/wp-content/uploads/2020/sudna_mapa/nova_sudna_mapa_3_0_final.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www.mirri.gov.sk/aktuality/podpredsednicka-vlady/vicepremierka-remisova-11-miliona-eur-na-pomoc-mimovladnym-organizaciam-v-boji-s-covid-19/" TargetMode="External"/><Relationship Id="rId41" Type="http://schemas.openxmlformats.org/officeDocument/2006/relationships/hyperlink" Target="http://web.ac-mssr.sk/wp-content/uploads/2020/sudna_mapa/20210223_Casov&#225;_os_Sudna_mapa_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51541" TargetMode="External"/><Relationship Id="rId32" Type="http://schemas.openxmlformats.org/officeDocument/2006/relationships/hyperlink" Target="https://rokovania.gov.sk/download.dat?id=F75436C4AF3C4D96AE93D60FD6BCA184-99C291B1BA87B0B9BF1E773CB8DA6BA0" TargetMode="External"/><Relationship Id="rId37" Type="http://schemas.openxmlformats.org/officeDocument/2006/relationships/hyperlink" Target="http://www.snslp.sk/wp-content/uploads/Sprava-o-LP-v-SR-za-rok-2020-.pdf" TargetMode="External"/><Relationship Id="rId40" Type="http://schemas.openxmlformats.org/officeDocument/2006/relationships/hyperlink" Target="http://web.ac-mssr.sk/wp-content/uploads/2020/sudna_mapa/Reforma_sudnej_mapy_na_citanie.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47309" TargetMode="External"/><Relationship Id="rId28" Type="http://schemas.openxmlformats.org/officeDocument/2006/relationships/hyperlink" Target="https://pravnystat.eu/en/" TargetMode="External"/><Relationship Id="rId36"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rokovania.gov.sk/download.dat?id=588DFBA123494910A70AF18737B85A81-034BF7E75BABC88FC3A419E44DED1345"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1" TargetMode="External"/><Relationship Id="rId27" Type="http://schemas.openxmlformats.org/officeDocument/2006/relationships/hyperlink" Target="https://www.vop.gov.sk/files/VOP_VS20_SK_1.pdf" TargetMode="External"/><Relationship Id="rId30" Type="http://schemas.openxmlformats.org/officeDocument/2006/relationships/hyperlink" Target="https://www.sak.sk/web/sk/cms/news/form/list/form/row/596497/_event" TargetMode="External"/><Relationship Id="rId35" Type="http://schemas.openxmlformats.org/officeDocument/2006/relationships/hyperlink" Target="https://www.nrsr.sk/web/Dynamic/DocumentPreview.aspx?DocID=494677"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3.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447DC-10F6-4481-B95F-995E8276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5436</Words>
  <Characters>50994</Characters>
  <Application>Microsoft Office Word</Application>
  <DocSecurity>0</DocSecurity>
  <Lines>739</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70</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ContentTypeId">
    <vt:lpwstr>0x0101001FB8E9DEAEFB414DAE5EC193F8A440AF</vt:lpwstr>
  </property>
</Properties>
</file>