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A57" w:rsidRDefault="00C1270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E92244A-AD44-4ADB-95DD-8AF4E420BF9D" style="width:449.7pt;height:321.25pt">
            <v:imagedata r:id="rId8" o:title=""/>
          </v:shape>
        </w:pict>
      </w:r>
    </w:p>
    <w:bookmarkEnd w:id="0"/>
    <w:p w:rsidR="00617A57" w:rsidRDefault="00617A57">
      <w:pPr>
        <w:rPr>
          <w:noProof/>
        </w:rPr>
        <w:sectPr w:rsidR="00617A5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617A57" w:rsidRDefault="00C1270F">
      <w:pPr>
        <w:spacing w:after="240" w:line="240" w:lineRule="auto"/>
        <w:rPr>
          <w:rFonts w:ascii="Times New Roman" w:hAnsi="Times New Roman" w:cs="Times New Roman"/>
          <w:b/>
          <w:noProof/>
          <w:sz w:val="24"/>
          <w:szCs w:val="24"/>
          <w:lang w:val="fr-BE"/>
        </w:rPr>
      </w:pPr>
      <w:r>
        <w:rPr>
          <w:rFonts w:ascii="Times New Roman" w:hAnsi="Times New Roman" w:cs="Times New Roman"/>
          <w:b/>
          <w:noProof/>
          <w:sz w:val="24"/>
          <w:szCs w:val="24"/>
          <w:lang w:val="fr-BE"/>
        </w:rPr>
        <w:lastRenderedPageBreak/>
        <w:t>I.</w:t>
      </w:r>
      <w:r>
        <w:rPr>
          <w:rFonts w:ascii="Times New Roman" w:hAnsi="Times New Roman" w:cs="Times New Roman"/>
          <w:b/>
          <w:noProof/>
          <w:sz w:val="24"/>
          <w:szCs w:val="24"/>
          <w:lang w:val="fr-BE"/>
        </w:rPr>
        <w:tab/>
      </w:r>
      <w:r>
        <w:rPr>
          <w:rFonts w:ascii="Times New Roman" w:hAnsi="Times New Roman"/>
          <w:b/>
          <w:noProof/>
          <w:sz w:val="24"/>
          <w:lang w:val="fr-BE"/>
        </w:rPr>
        <w:t>INTRODUCTION</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L’état de droit est l’une des valeurs fondatrices de l’Union européenne</w:t>
      </w:r>
      <w:r>
        <w:rPr>
          <w:rFonts w:ascii="Times New Roman" w:hAnsi="Times New Roman"/>
          <w:noProof/>
          <w:sz w:val="24"/>
          <w:vertAlign w:val="superscript"/>
        </w:rPr>
        <w:footnoteReference w:id="1"/>
      </w:r>
      <w:r>
        <w:rPr>
          <w:rFonts w:ascii="Times New Roman" w:hAnsi="Times New Roman"/>
          <w:noProof/>
          <w:sz w:val="24"/>
          <w:lang w:val="fr-BE"/>
        </w:rPr>
        <w:t>; il est aussi le reflet de notre identité commune et de nos</w:t>
      </w:r>
      <w:r>
        <w:rPr>
          <w:rFonts w:ascii="Times New Roman" w:hAnsi="Times New Roman"/>
          <w:noProof/>
          <w:sz w:val="24"/>
          <w:lang w:val="fr-BE"/>
        </w:rPr>
        <w:t xml:space="preserve"> traditions constitutionnelles communes. Il constitue la base du système démocratique dans tous les États membres, indispensable pour garantir la protection des droits fondamentaux. Il est également une pièce maîtresse du bon fonctionnement de l’Union euro</w:t>
      </w:r>
      <w:r>
        <w:rPr>
          <w:rFonts w:ascii="Times New Roman" w:hAnsi="Times New Roman"/>
          <w:noProof/>
          <w:sz w:val="24"/>
          <w:lang w:val="fr-BE"/>
        </w:rPr>
        <w:t>péenne en tant qu’espace de liberté, de sécurité et de justice et en tant que marché intérieur, dans lequel les lois sont appliquées de manière effective et uniforme et où les budgets sont exécutés conformément aux règles applicables. L’état de droit perme</w:t>
      </w:r>
      <w:r>
        <w:rPr>
          <w:rFonts w:ascii="Times New Roman" w:hAnsi="Times New Roman"/>
          <w:noProof/>
          <w:sz w:val="24"/>
          <w:lang w:val="fr-BE"/>
        </w:rPr>
        <w:t>t aux États membres et à leurs citoyens d’œuvrer ensemble, dans un esprit de confiance mutuelle; la confiance dans les institutions publiques, y compris dans le système judiciaire, est essentielle au bon fonctionnement des sociétés démocratiques. L’état de</w:t>
      </w:r>
      <w:r>
        <w:rPr>
          <w:rFonts w:ascii="Times New Roman" w:hAnsi="Times New Roman"/>
          <w:noProof/>
          <w:sz w:val="24"/>
          <w:lang w:val="fr-BE"/>
        </w:rPr>
        <w:t xml:space="preserve"> droit est aussi l’un des principes guidant l’action extérieure de l’UE</w:t>
      </w:r>
      <w:r>
        <w:rPr>
          <w:rFonts w:ascii="Times New Roman" w:hAnsi="Times New Roman"/>
          <w:noProof/>
          <w:sz w:val="24"/>
          <w:vertAlign w:val="superscript"/>
        </w:rPr>
        <w:footnoteReference w:id="2"/>
      </w:r>
      <w:r>
        <w:rPr>
          <w:rFonts w:ascii="Times New Roman" w:hAnsi="Times New Roman"/>
          <w:noProof/>
          <w:sz w:val="24"/>
          <w:lang w:val="fr-BE"/>
        </w:rPr>
        <w:t>. Dans l’ensemble, il s’agit d’un principe bien établi, bien défini en substance et qui peut être soumis à une évaluation objective permettant de déceler des lacunes sur une base solid</w:t>
      </w:r>
      <w:r>
        <w:rPr>
          <w:rFonts w:ascii="Times New Roman" w:hAnsi="Times New Roman"/>
          <w:noProof/>
          <w:sz w:val="24"/>
          <w:lang w:val="fr-BE"/>
        </w:rPr>
        <w:t>e et stable.</w:t>
      </w:r>
    </w:p>
    <w:p w:rsidR="00617A57" w:rsidRDefault="00C1270F">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Qu'est-ce que l'état de droit?</w:t>
      </w:r>
    </w:p>
    <w:p w:rsidR="00617A57" w:rsidRDefault="00C1270F">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L’état de droit est consacré à l’article 2 du traité sur l’Union européenne comme l’une des valeurs fondatrices de l’Union. Il garantit que toutes les autorités publiques agissent toujours dans les limites fixées</w:t>
      </w:r>
      <w:r>
        <w:rPr>
          <w:rFonts w:ascii="Times New Roman" w:hAnsi="Times New Roman"/>
          <w:noProof/>
          <w:sz w:val="24"/>
          <w:lang w:val="fr-BE"/>
        </w:rPr>
        <w:t xml:space="preserve"> par la loi, conformément aux valeurs de la démocratie et des droits fondamentaux, et sous le c</w:t>
      </w:r>
      <w:bookmarkStart w:id="1" w:name="_GoBack"/>
      <w:bookmarkEnd w:id="1"/>
      <w:r>
        <w:rPr>
          <w:rFonts w:ascii="Times New Roman" w:hAnsi="Times New Roman"/>
          <w:noProof/>
          <w:sz w:val="24"/>
          <w:lang w:val="fr-BE"/>
        </w:rPr>
        <w:t>ontrôle de juridictions indépendantes et impartiales. L’état de droit est une notion qui recouvre, entre autres, le principe de légalité, lequel suppose l’existe</w:t>
      </w:r>
      <w:r>
        <w:rPr>
          <w:rFonts w:ascii="Times New Roman" w:hAnsi="Times New Roman"/>
          <w:noProof/>
          <w:sz w:val="24"/>
          <w:lang w:val="fr-BE"/>
        </w:rPr>
        <w:t>nce d’une procédure d'adoption des textes de loi transparente, responsable, démocratique et pluraliste, et les principes de sécurité juridique, d’interdiction de l’arbitraire du pouvoir exécutif, de protection juridictionnelle effective assurée par des jur</w:t>
      </w:r>
      <w:r>
        <w:rPr>
          <w:rFonts w:ascii="Times New Roman" w:hAnsi="Times New Roman"/>
          <w:noProof/>
          <w:sz w:val="24"/>
          <w:lang w:val="fr-BE"/>
        </w:rPr>
        <w:t>idictions indépendantes et impartiales, de contrôle juridictionnel effectif</w:t>
      </w:r>
      <w:r>
        <w:rPr>
          <w:rStyle w:val="FootnoteReference"/>
          <w:rFonts w:ascii="Times New Roman" w:hAnsi="Times New Roman"/>
          <w:noProof/>
          <w:sz w:val="24"/>
        </w:rPr>
        <w:footnoteReference w:id="3"/>
      </w:r>
      <w:r>
        <w:rPr>
          <w:rFonts w:ascii="Times New Roman" w:hAnsi="Times New Roman"/>
          <w:noProof/>
          <w:sz w:val="24"/>
          <w:lang w:val="fr-BE"/>
        </w:rPr>
        <w:t xml:space="preserve"> y compris le respect des droits fondamentaux, de séparation des pouvoirs et d’égalité devant la loi</w:t>
      </w:r>
      <w:r>
        <w:rPr>
          <w:rFonts w:ascii="Times New Roman" w:hAnsi="Times New Roman"/>
          <w:noProof/>
          <w:sz w:val="24"/>
          <w:vertAlign w:val="superscript"/>
        </w:rPr>
        <w:footnoteReference w:id="4"/>
      </w:r>
      <w:r>
        <w:rPr>
          <w:rFonts w:ascii="Times New Roman" w:hAnsi="Times New Roman"/>
          <w:noProof/>
          <w:sz w:val="24"/>
          <w:lang w:val="fr-BE"/>
        </w:rPr>
        <w:t xml:space="preserve">. Ces principes ont été confirmés par la Cour de justice de l’Union européenne </w:t>
      </w:r>
      <w:r>
        <w:rPr>
          <w:rFonts w:ascii="Times New Roman" w:hAnsi="Times New Roman"/>
          <w:noProof/>
          <w:sz w:val="24"/>
          <w:lang w:val="fr-BE"/>
        </w:rPr>
        <w:t>et par la Cour européenne des droits de l’homme</w:t>
      </w:r>
      <w:r>
        <w:rPr>
          <w:rFonts w:ascii="Times New Roman" w:hAnsi="Times New Roman"/>
          <w:noProof/>
          <w:sz w:val="24"/>
          <w:vertAlign w:val="superscript"/>
        </w:rPr>
        <w:footnoteReference w:id="5"/>
      </w:r>
      <w:r>
        <w:rPr>
          <w:rFonts w:ascii="Times New Roman" w:hAnsi="Times New Roman"/>
          <w:noProof/>
          <w:sz w:val="24"/>
          <w:lang w:val="fr-BE"/>
        </w:rPr>
        <w: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L’Union européenne elle-même est fondée sur l’état de droit et toute action entreprise par l’Union découle des traités, qui ont été approuvés librement et démocratiquement par tous les États membres. Compte</w:t>
      </w:r>
      <w:r>
        <w:rPr>
          <w:rFonts w:ascii="Times New Roman" w:hAnsi="Times New Roman"/>
          <w:noProof/>
          <w:sz w:val="24"/>
          <w:lang w:val="fr-BE"/>
        </w:rPr>
        <w:t xml:space="preserve"> tenu de son importance pour la confiance des citoyens dans l’Union et pour la mise en œuvre effective de ses politiques, l’état de droit est d’une importance capitale pour l’avenir de l’Europe. Le rôle fondamental de l’état de droit dans le fonctionnement</w:t>
      </w:r>
      <w:r>
        <w:rPr>
          <w:rFonts w:ascii="Times New Roman" w:hAnsi="Times New Roman"/>
          <w:noProof/>
          <w:sz w:val="24"/>
          <w:lang w:val="fr-BE"/>
        </w:rPr>
        <w:t xml:space="preserve"> de l’UE est de plus en plus reconnu et il existe un consensus sur la nécessité d’améliorer la manière dont le respect de l’état de droit est assuré dans l’Union européenne</w:t>
      </w:r>
      <w:r>
        <w:rPr>
          <w:rFonts w:ascii="Times New Roman" w:hAnsi="Times New Roman"/>
          <w:noProof/>
          <w:sz w:val="24"/>
          <w:vertAlign w:val="superscript"/>
        </w:rPr>
        <w:footnoteReference w:id="6"/>
      </w:r>
      <w:r>
        <w:rPr>
          <w:rFonts w:ascii="Times New Roman" w:hAnsi="Times New Roman"/>
          <w:noProof/>
          <w:sz w:val="24"/>
          <w:lang w:val="fr-BE"/>
        </w:rPr>
        <w:t>.</w:t>
      </w:r>
      <w:r>
        <w:rPr>
          <w:noProof/>
          <w:lang w:val="fr-BE"/>
        </w:rPr>
        <w:t xml:space="preserve"> </w:t>
      </w:r>
      <w:r>
        <w:rPr>
          <w:rFonts w:ascii="Times New Roman" w:hAnsi="Times New Roman"/>
          <w:noProof/>
          <w:sz w:val="24"/>
          <w:lang w:val="fr-BE"/>
        </w:rPr>
        <w:lastRenderedPageBreak/>
        <w:t>De plus, la jurisprudence récente de la Cour de justice de l’Union européenne a a</w:t>
      </w:r>
      <w:r>
        <w:rPr>
          <w:rFonts w:ascii="Times New Roman" w:hAnsi="Times New Roman"/>
          <w:noProof/>
          <w:sz w:val="24"/>
          <w:lang w:val="fr-BE"/>
        </w:rPr>
        <w:t>pporté une contribution indispensable au renforcement de l’état de droit, en réaffirmant la communauté de valeurs qu'est l’Union</w:t>
      </w:r>
      <w:r>
        <w:rPr>
          <w:rFonts w:ascii="Times New Roman" w:hAnsi="Times New Roman"/>
          <w:noProof/>
          <w:sz w:val="24"/>
          <w:vertAlign w:val="superscript"/>
        </w:rPr>
        <w:footnoteReference w:id="7"/>
      </w:r>
      <w:r>
        <w:rPr>
          <w:rFonts w:ascii="Times New Roman" w:hAnsi="Times New Roman"/>
          <w:noProof/>
          <w:sz w:val="24"/>
          <w:lang w:val="fr-BE"/>
        </w:rPr>
        <w:t xml:space="preserve">. La présente communication vise à enrichir le débat sur la poursuite du renforcement de l’état de droit au sein de l’Union et </w:t>
      </w:r>
      <w:r>
        <w:rPr>
          <w:rFonts w:ascii="Times New Roman" w:hAnsi="Times New Roman"/>
          <w:noProof/>
          <w:sz w:val="24"/>
          <w:lang w:val="fr-BE"/>
        </w:rPr>
        <w:t>à inviter toutes les parties prenantes à réfléchir et à formuler des observations à ce sujet. Sur cette base, la Commission tirera ses propres conclusions en juin.</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L’intégration européenne a elle-même apporté une contribution significative et durable à un </w:t>
      </w:r>
      <w:r>
        <w:rPr>
          <w:rFonts w:ascii="Times New Roman" w:hAnsi="Times New Roman"/>
          <w:noProof/>
          <w:sz w:val="24"/>
          <w:lang w:val="fr-BE"/>
        </w:rPr>
        <w:t>ordre fondé sur des règles en Europe. L’Union s’est progressivement dotée d’un espace de liberté, de coopération et de stabilité dans lequel les États membres, les citoyens et les entreprises peuvent s’appuyer sur un cadre de règles prévisibles et équitabl</w:t>
      </w:r>
      <w:r>
        <w:rPr>
          <w:rFonts w:ascii="Times New Roman" w:hAnsi="Times New Roman"/>
          <w:noProof/>
          <w:sz w:val="24"/>
          <w:lang w:val="fr-BE"/>
        </w:rPr>
        <w:t>es et sur un système de voies de recours effectives.</w:t>
      </w:r>
      <w:r>
        <w:rPr>
          <w:noProof/>
          <w:lang w:val="fr-BE"/>
        </w:rPr>
        <w:t xml:space="preserve"> </w:t>
      </w:r>
      <w:r>
        <w:rPr>
          <w:rFonts w:ascii="Times New Roman" w:hAnsi="Times New Roman"/>
          <w:noProof/>
          <w:sz w:val="24"/>
          <w:lang w:val="fr-BE"/>
        </w:rPr>
        <w:t xml:space="preserve">Dans cet univers, la paix est garantie, la démocratie peut s’épanouir et les entreprises peuvent prospérer. Néanmoins, ces dernières années, on reconnaît de plus en plus que les valeurs et les principes </w:t>
      </w:r>
      <w:r>
        <w:rPr>
          <w:rFonts w:ascii="Times New Roman" w:hAnsi="Times New Roman"/>
          <w:noProof/>
          <w:sz w:val="24"/>
          <w:lang w:val="fr-BE"/>
        </w:rPr>
        <w:t>fondamentaux de l’Union, y compris l’état de droit, sont sous pression et doivent faire l’objet d’une attention particulière. Il apparaît donc clairement que le chemin à parcourir est encore long pour garantir le renforcement et le maintien de l’état de dr</w:t>
      </w:r>
      <w:r>
        <w:rPr>
          <w:rFonts w:ascii="Times New Roman" w:hAnsi="Times New Roman"/>
          <w:noProof/>
          <w:sz w:val="24"/>
          <w:lang w:val="fr-BE"/>
        </w:rPr>
        <w:t>oit dans l’ensemble de l’Union.</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Si l’état de droit n’est pas correctement protégé dans tous les États membres, la solidarité, la cohésion et la confiance nécessaires à la reconnaissance mutuelle des décisions nationales et au fonctionnement du marché intér</w:t>
      </w:r>
      <w:r>
        <w:rPr>
          <w:rFonts w:ascii="Times New Roman" w:hAnsi="Times New Roman"/>
          <w:noProof/>
          <w:sz w:val="24"/>
          <w:lang w:val="fr-BE"/>
        </w:rPr>
        <w:t>ieur dans son ensemble, valeurs qui constituent la pierre angulaire de l’Union, s’en trouvent affectées. Les défaillances en matière d’état de droit peuvent également avoir une incidence sur l’économie, alors que des systèmes judiciaires efficaces et des c</w:t>
      </w:r>
      <w:r>
        <w:rPr>
          <w:rFonts w:ascii="Times New Roman" w:hAnsi="Times New Roman"/>
          <w:noProof/>
          <w:sz w:val="24"/>
          <w:lang w:val="fr-BE"/>
        </w:rPr>
        <w:t>adres anticorruption solides sont essentiels pour garantir le bon fonctionnement de l’environnement des entreprises et des finances publiques saines</w:t>
      </w:r>
      <w:r>
        <w:rPr>
          <w:rFonts w:ascii="Times New Roman" w:hAnsi="Times New Roman"/>
          <w:noProof/>
          <w:sz w:val="24"/>
          <w:vertAlign w:val="superscript"/>
        </w:rPr>
        <w:footnoteReference w:id="8"/>
      </w:r>
      <w:r>
        <w:rPr>
          <w:rFonts w:ascii="Times New Roman" w:hAnsi="Times New Roman"/>
          <w:noProof/>
          <w:sz w:val="24"/>
          <w:lang w:val="fr-BE"/>
        </w:rPr>
        <w: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 problème relatif à l’état de droit dans un État membre a une incidence sur l’ensemble de l’Union et, d</w:t>
      </w:r>
      <w:r>
        <w:rPr>
          <w:rFonts w:ascii="Times New Roman" w:hAnsi="Times New Roman"/>
          <w:noProof/>
          <w:sz w:val="24"/>
          <w:lang w:val="fr-BE"/>
        </w:rPr>
        <w:t xml:space="preserve">e ce fait, même s'il conviendrait de toujours recourir en premier aux mécanismes nationaux d'équilibre des pouvoirs, l’Union a un intérêt commun à résoudre les problèmes relatifs à l’état de droit où qu’ils apparaissent. Les récentes atteintes à l’état de </w:t>
      </w:r>
      <w:r>
        <w:rPr>
          <w:rFonts w:ascii="Times New Roman" w:hAnsi="Times New Roman"/>
          <w:noProof/>
          <w:sz w:val="24"/>
          <w:lang w:val="fr-BE"/>
        </w:rPr>
        <w:t>droit dans certains États membres ont suscité des inquiétudes quant à la capacité de l’Union à faire face à de telles situations. Le fait de croire qu'il est possible de remédier aux lacunes contribuerait à renforcer la confiance tant entre les États membr</w:t>
      </w:r>
      <w:r>
        <w:rPr>
          <w:rFonts w:ascii="Times New Roman" w:hAnsi="Times New Roman"/>
          <w:noProof/>
          <w:sz w:val="24"/>
          <w:lang w:val="fr-BE"/>
        </w:rPr>
        <w:t>es qu’entre les États membres et les institutions de l’UE.</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C’est la raison pour laquelle l’UE s’est dotée d’un certain nombre d’instruments pour contribuer à faire respecter l’état de droit. Ceux-ci vont au-delà de l’article 7 du traité sur l’Union europée</w:t>
      </w:r>
      <w:r>
        <w:rPr>
          <w:rFonts w:ascii="Times New Roman" w:hAnsi="Times New Roman"/>
          <w:noProof/>
          <w:sz w:val="24"/>
          <w:lang w:val="fr-BE"/>
        </w:rPr>
        <w:t>nne, le mécanisme le plus important pour la protection de toutes les valeurs communes, même s’il n’est utilisé qu’à titre exceptionnel. Un cadre préventif est en place depuis 2014</w:t>
      </w:r>
      <w:r>
        <w:rPr>
          <w:rFonts w:ascii="Times New Roman" w:hAnsi="Times New Roman"/>
          <w:noProof/>
          <w:sz w:val="24"/>
          <w:vertAlign w:val="superscript"/>
        </w:rPr>
        <w:footnoteReference w:id="9"/>
      </w:r>
      <w:r>
        <w:rPr>
          <w:rFonts w:ascii="Times New Roman" w:hAnsi="Times New Roman"/>
          <w:noProof/>
          <w:sz w:val="24"/>
          <w:lang w:val="fr-BE"/>
        </w:rPr>
        <w:t>. D’autres idées sont actuellement à l’étude, notamment la proposition de la</w:t>
      </w:r>
      <w:r>
        <w:rPr>
          <w:rFonts w:ascii="Times New Roman" w:hAnsi="Times New Roman"/>
          <w:noProof/>
          <w:sz w:val="24"/>
          <w:lang w:val="fr-BE"/>
        </w:rPr>
        <w:t xml:space="preserve"> Commission visant à contribuer à la protection des intérêts financiers de l’UE en cas de </w:t>
      </w:r>
      <w:r>
        <w:rPr>
          <w:rFonts w:ascii="Times New Roman" w:hAnsi="Times New Roman"/>
          <w:noProof/>
          <w:sz w:val="24"/>
          <w:lang w:val="fr-BE"/>
        </w:rPr>
        <w:lastRenderedPageBreak/>
        <w:t>défaillance généralisée de l’état de droit</w:t>
      </w:r>
      <w:r>
        <w:rPr>
          <w:rFonts w:ascii="Times New Roman" w:hAnsi="Times New Roman"/>
          <w:noProof/>
          <w:sz w:val="24"/>
          <w:vertAlign w:val="superscript"/>
        </w:rPr>
        <w:footnoteReference w:id="10"/>
      </w:r>
      <w:r>
        <w:rPr>
          <w:rFonts w:ascii="Times New Roman" w:hAnsi="Times New Roman"/>
          <w:noProof/>
          <w:sz w:val="24"/>
          <w:lang w:val="fr-BE"/>
        </w:rPr>
        <w:t>; la création d’un Parquet européen devrait également contribuer à promouvoir une réaction judiciaire coordonnée à ces risq</w:t>
      </w:r>
      <w:r>
        <w:rPr>
          <w:rFonts w:ascii="Times New Roman" w:hAnsi="Times New Roman"/>
          <w:noProof/>
          <w:sz w:val="24"/>
          <w:lang w:val="fr-BE"/>
        </w:rPr>
        <w:t>ues dans l’ensemble des États membres</w:t>
      </w:r>
      <w:r>
        <w:rPr>
          <w:rFonts w:ascii="Times New Roman" w:hAnsi="Times New Roman"/>
          <w:noProof/>
          <w:sz w:val="24"/>
          <w:vertAlign w:val="superscript"/>
        </w:rPr>
        <w:footnoteReference w:id="11"/>
      </w:r>
      <w:r>
        <w:rPr>
          <w:rFonts w:ascii="Times New Roman" w:hAnsi="Times New Roman"/>
          <w:noProof/>
          <w:sz w:val="24"/>
          <w:lang w:val="fr-BE"/>
        </w:rPr>
        <w:t>.</w:t>
      </w:r>
      <w:r>
        <w:rPr>
          <w:rFonts w:ascii="Times New Roman" w:hAnsi="Times New Roman"/>
          <w:noProof/>
          <w:sz w:val="24"/>
          <w:vertAlign w:val="superscript"/>
          <w:lang w:val="fr-BE"/>
        </w:rPr>
        <w:t xml:space="preserve"> </w:t>
      </w:r>
      <w:r>
        <w:rPr>
          <w:rFonts w:ascii="Times New Roman" w:hAnsi="Times New Roman"/>
          <w:noProof/>
          <w:sz w:val="24"/>
          <w:lang w:val="fr-BE"/>
        </w:rPr>
        <w:t>Tous ces instruments reposent sur une conception commune de l’état de droit, de ses principales caractéristiques et des domaines dans lesquels des défaillances sont susceptibles de se produire.</w:t>
      </w:r>
    </w:p>
    <w:p w:rsidR="00617A57" w:rsidRDefault="00C1270F">
      <w:pPr>
        <w:spacing w:after="480" w:line="240" w:lineRule="auto"/>
        <w:jc w:val="both"/>
        <w:rPr>
          <w:rFonts w:ascii="Times New Roman" w:hAnsi="Times New Roman" w:cs="Times New Roman"/>
          <w:noProof/>
          <w:sz w:val="24"/>
          <w:szCs w:val="24"/>
          <w:lang w:val="fr-BE"/>
        </w:rPr>
      </w:pPr>
      <w:r>
        <w:rPr>
          <w:rFonts w:ascii="Times New Roman" w:hAnsi="Times New Roman"/>
          <w:noProof/>
          <w:sz w:val="24"/>
          <w:lang w:val="fr-BE"/>
        </w:rPr>
        <w:t>En bref, l’état de dro</w:t>
      </w:r>
      <w:r>
        <w:rPr>
          <w:rFonts w:ascii="Times New Roman" w:hAnsi="Times New Roman"/>
          <w:noProof/>
          <w:sz w:val="24"/>
          <w:lang w:val="fr-BE"/>
        </w:rPr>
        <w:t>it est un pilier central de notre vision de l’avenir de l’Europe. Dans le cadre des réflexions liées au Conseil européen informel de Sibiu du 9 mai 2019 et au prochain programme stratégique du Conseil européen, la présente communication fait le point sur l</w:t>
      </w:r>
      <w:r>
        <w:rPr>
          <w:rFonts w:ascii="Times New Roman" w:hAnsi="Times New Roman"/>
          <w:noProof/>
          <w:sz w:val="24"/>
          <w:lang w:val="fr-BE"/>
        </w:rPr>
        <w:t>’expérience acquise ces dernières années et présente quelques pistes de réflexion possibles sur les actions futures. Elle s’appuie sur le débat public en cours sur l’état de droit dans l’Union européenne et invite les institutions de l’Union et les États m</w:t>
      </w:r>
      <w:r>
        <w:rPr>
          <w:rFonts w:ascii="Times New Roman" w:hAnsi="Times New Roman"/>
          <w:noProof/>
          <w:sz w:val="24"/>
          <w:lang w:val="fr-BE"/>
        </w:rPr>
        <w:t>embres, ainsi que d’autres parties prenantes, à apporter des idées sur la manière dont il serait possible à l’avenir de développer la panoplie d’instruments disponibles en matière d’état de droit</w:t>
      </w:r>
      <w:r>
        <w:rPr>
          <w:rFonts w:ascii="Times New Roman" w:hAnsi="Times New Roman"/>
          <w:noProof/>
          <w:sz w:val="24"/>
          <w:vertAlign w:val="superscript"/>
        </w:rPr>
        <w:footnoteReference w:id="12"/>
      </w:r>
      <w:r>
        <w:rPr>
          <w:rFonts w:ascii="Times New Roman" w:hAnsi="Times New Roman"/>
          <w:noProof/>
          <w:sz w:val="24"/>
          <w:lang w:val="fr-BE"/>
        </w:rPr>
        <w: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II. </w:t>
      </w:r>
      <w:r>
        <w:rPr>
          <w:noProof/>
          <w:lang w:val="fr-BE"/>
        </w:rPr>
        <w:tab/>
      </w:r>
      <w:r>
        <w:rPr>
          <w:rFonts w:ascii="Times New Roman" w:hAnsi="Times New Roman"/>
          <w:b/>
          <w:noProof/>
          <w:sz w:val="24"/>
          <w:lang w:val="fr-BE"/>
        </w:rPr>
        <w:t>LES DIVERS INSTRUMENTS DISPONIBLES AUJOURD’HUI EN MAT</w:t>
      </w:r>
      <w:r>
        <w:rPr>
          <w:rFonts w:ascii="Times New Roman" w:hAnsi="Times New Roman"/>
          <w:b/>
          <w:noProof/>
          <w:sz w:val="24"/>
          <w:lang w:val="fr-BE"/>
        </w:rPr>
        <w:t>IÈRE D’ÉTAT DE DROIT</w:t>
      </w:r>
    </w:p>
    <w:p w:rsidR="00617A57" w:rsidRDefault="00C1270F">
      <w:pPr>
        <w:pStyle w:val="ListParagraph"/>
        <w:numPr>
          <w:ilvl w:val="0"/>
          <w:numId w:val="8"/>
        </w:numPr>
        <w:spacing w:after="120" w:line="240" w:lineRule="auto"/>
        <w:ind w:left="714" w:hanging="357"/>
        <w:jc w:val="both"/>
        <w:rPr>
          <w:rFonts w:ascii="Times New Roman" w:hAnsi="Times New Roman" w:cs="Times New Roman"/>
          <w:b/>
          <w:noProof/>
          <w:sz w:val="24"/>
          <w:szCs w:val="24"/>
          <w:lang w:val="fr-BE"/>
        </w:rPr>
      </w:pPr>
      <w:r>
        <w:rPr>
          <w:rFonts w:ascii="Times New Roman" w:hAnsi="Times New Roman"/>
          <w:b/>
          <w:noProof/>
          <w:sz w:val="24"/>
          <w:lang w:val="fr-BE"/>
        </w:rPr>
        <w:t>Article 7 du traité sur l'Union européenne et cadre pour l’état de droit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b/>
          <w:noProof/>
          <w:sz w:val="24"/>
          <w:lang w:val="fr-BE"/>
        </w:rPr>
        <w:t>L’article 7 du traité UE</w:t>
      </w:r>
      <w:r>
        <w:rPr>
          <w:rFonts w:ascii="Times New Roman" w:hAnsi="Times New Roman"/>
          <w:noProof/>
          <w:sz w:val="24"/>
          <w:lang w:val="fr-BE"/>
        </w:rPr>
        <w:t xml:space="preserve"> reste un instrument exceptionnel, mais le plus emblématique, permettant à l’Union d’agir en cas de manquements graves en matière d’état d</w:t>
      </w:r>
      <w:r>
        <w:rPr>
          <w:rFonts w:ascii="Times New Roman" w:hAnsi="Times New Roman"/>
          <w:noProof/>
          <w:sz w:val="24"/>
          <w:lang w:val="fr-BE"/>
        </w:rPr>
        <w:t>e droit dans un État membre</w:t>
      </w:r>
      <w:r>
        <w:rPr>
          <w:rFonts w:ascii="Times New Roman" w:hAnsi="Times New Roman"/>
          <w:noProof/>
          <w:sz w:val="24"/>
          <w:vertAlign w:val="superscript"/>
        </w:rPr>
        <w:footnoteReference w:id="13"/>
      </w:r>
      <w:r>
        <w:rPr>
          <w:rFonts w:ascii="Times New Roman" w:hAnsi="Times New Roman"/>
          <w:noProof/>
          <w:sz w:val="24"/>
          <w:lang w:val="fr-BE"/>
        </w:rPr>
        <w:t>. La procédure visant à invoquer un risque clair de violation grave au titre de l’article 7, paragraphe 1, du traité sur l'Union européenne a été déclenchée à deux reprises à ce jour: en décembre 2017, par la Commission, en ce q</w:t>
      </w:r>
      <w:r>
        <w:rPr>
          <w:rFonts w:ascii="Times New Roman" w:hAnsi="Times New Roman"/>
          <w:noProof/>
          <w:sz w:val="24"/>
          <w:lang w:val="fr-BE"/>
        </w:rPr>
        <w:t>ui concerne la Pologne</w:t>
      </w:r>
      <w:r>
        <w:rPr>
          <w:rFonts w:ascii="Times New Roman" w:hAnsi="Times New Roman"/>
          <w:noProof/>
          <w:sz w:val="24"/>
          <w:vertAlign w:val="superscript"/>
        </w:rPr>
        <w:footnoteReference w:id="14"/>
      </w:r>
      <w:r>
        <w:rPr>
          <w:rFonts w:ascii="Times New Roman" w:hAnsi="Times New Roman"/>
          <w:noProof/>
          <w:sz w:val="24"/>
          <w:lang w:val="fr-BE"/>
        </w:rPr>
        <w:t>, et en septembre 2018, par le Parlement européen, en ce qui concerne la Hongrie</w:t>
      </w:r>
      <w:r>
        <w:rPr>
          <w:rFonts w:ascii="Times New Roman" w:hAnsi="Times New Roman"/>
          <w:noProof/>
          <w:sz w:val="24"/>
          <w:vertAlign w:val="superscript"/>
        </w:rPr>
        <w:footnoteReference w:id="15"/>
      </w:r>
      <w:r>
        <w:rPr>
          <w:rFonts w:ascii="Times New Roman" w:hAnsi="Times New Roman"/>
          <w:noProof/>
          <w:sz w:val="24"/>
          <w:lang w:val="fr-BE"/>
        </w:rPr>
        <w:t>. Alors que toutes les conséquences de la procédure prévue à l’article 7 du traité sur l'Union européenne sont très importantes et même si le dialogue a</w:t>
      </w:r>
      <w:r>
        <w:rPr>
          <w:rFonts w:ascii="Times New Roman" w:hAnsi="Times New Roman"/>
          <w:noProof/>
          <w:sz w:val="24"/>
          <w:lang w:val="fr-BE"/>
        </w:rPr>
        <w:t>vec l’État membre concerné prévu par ledit article a en soi une valeur intrinsèque, les progrès réalisés par le Conseil dans ces deux cas auraient pu être plus significatifs. Pour appliquer l’article dans la pratique, le Conseil a dû établir de nouvelles p</w:t>
      </w:r>
      <w:r>
        <w:rPr>
          <w:rFonts w:ascii="Times New Roman" w:hAnsi="Times New Roman"/>
          <w:noProof/>
          <w:sz w:val="24"/>
          <w:lang w:val="fr-BE"/>
        </w:rPr>
        <w:t>rocédures qui doivent encore montrer toute leur efficacité.</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w:t>
      </w:r>
      <w:r>
        <w:rPr>
          <w:rFonts w:ascii="Times New Roman" w:hAnsi="Times New Roman"/>
          <w:b/>
          <w:noProof/>
          <w:sz w:val="24"/>
          <w:lang w:val="fr-BE"/>
        </w:rPr>
        <w:t>cadre pour l’état de droit</w:t>
      </w:r>
      <w:r>
        <w:rPr>
          <w:rFonts w:ascii="Times New Roman" w:hAnsi="Times New Roman"/>
          <w:noProof/>
          <w:sz w:val="24"/>
          <w:lang w:val="fr-BE"/>
        </w:rPr>
        <w:t xml:space="preserve"> a été défini par la Commission en 2014</w:t>
      </w:r>
      <w:r>
        <w:rPr>
          <w:rFonts w:ascii="Times New Roman" w:hAnsi="Times New Roman"/>
          <w:noProof/>
          <w:sz w:val="24"/>
          <w:vertAlign w:val="superscript"/>
        </w:rPr>
        <w:footnoteReference w:id="16"/>
      </w:r>
      <w:r>
        <w:rPr>
          <w:rFonts w:ascii="Times New Roman" w:hAnsi="Times New Roman"/>
          <w:noProof/>
          <w:sz w:val="24"/>
          <w:lang w:val="fr-BE"/>
        </w:rPr>
        <w:t>, et son rôle a été confirmé par la Cour</w:t>
      </w:r>
      <w:r>
        <w:rPr>
          <w:rFonts w:ascii="Times New Roman" w:hAnsi="Times New Roman"/>
          <w:noProof/>
          <w:sz w:val="24"/>
          <w:vertAlign w:val="superscript"/>
        </w:rPr>
        <w:footnoteReference w:id="17"/>
      </w:r>
      <w:r>
        <w:rPr>
          <w:rFonts w:ascii="Times New Roman" w:hAnsi="Times New Roman"/>
          <w:noProof/>
          <w:sz w:val="24"/>
          <w:lang w:val="fr-BE"/>
        </w:rPr>
        <w:t>. Il prévoit un processus de dialogue par étapes avec un État membre, structuré autour</w:t>
      </w:r>
      <w:r>
        <w:rPr>
          <w:rFonts w:ascii="Times New Roman" w:hAnsi="Times New Roman"/>
          <w:noProof/>
          <w:sz w:val="24"/>
          <w:lang w:val="fr-BE"/>
        </w:rPr>
        <w:t xml:space="preserve"> d’avis et de recommandations de la Commission. L’objectif est de prévenir l’émergence d’une menace systémique pour l’état de droit, susceptible d’entraîner le recours à une procédure au titre de l’article 7 du traité sur l'Union européenne. La première - </w:t>
      </w:r>
      <w:r>
        <w:rPr>
          <w:rFonts w:ascii="Times New Roman" w:hAnsi="Times New Roman"/>
          <w:noProof/>
          <w:sz w:val="24"/>
          <w:lang w:val="fr-BE"/>
        </w:rPr>
        <w:t>et jusqu’à présent unique - fois que le cadre pour l’état de droit a été utilisé a marqué le début d’un dialogue avec la Pologne en janvier 2016</w:t>
      </w:r>
      <w:r>
        <w:rPr>
          <w:rFonts w:ascii="Times New Roman" w:hAnsi="Times New Roman"/>
          <w:noProof/>
          <w:sz w:val="24"/>
          <w:vertAlign w:val="superscript"/>
        </w:rPr>
        <w:footnoteReference w:id="18"/>
      </w:r>
      <w:r>
        <w:rPr>
          <w:rFonts w:ascii="Times New Roman" w:hAnsi="Times New Roman"/>
          <w:noProof/>
          <w:sz w:val="24"/>
          <w:lang w:val="fr-BE"/>
        </w:rPr>
        <w:t>. Si le dialogue a contribué à définir les problèmes et à encadrer la discussion, il n’a pas permis de résoudre</w:t>
      </w:r>
      <w:r>
        <w:rPr>
          <w:rFonts w:ascii="Times New Roman" w:hAnsi="Times New Roman"/>
          <w:noProof/>
          <w:sz w:val="24"/>
          <w:lang w:val="fr-BE"/>
        </w:rPr>
        <w:t xml:space="preserve"> les défaillances constatées en matière d’état de droit, ce qui a poussé la Commission à déclencher la procédure prévue à l’article 7, paragraphe 1, du traité sur l’Union européenne en décembre 2017.</w:t>
      </w:r>
    </w:p>
    <w:p w:rsidR="00617A57" w:rsidRDefault="00C1270F">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lang w:val="fr-BE"/>
        </w:rPr>
        <w:t>Procédures d’infraction</w:t>
      </w:r>
      <w:r>
        <w:rPr>
          <w:rFonts w:ascii="Times New Roman" w:hAnsi="Times New Roman"/>
          <w:b/>
          <w:noProof/>
          <w:sz w:val="24"/>
        </w:rPr>
        <w:t xml:space="preserve"> et</w:t>
      </w:r>
      <w:r>
        <w:rPr>
          <w:rFonts w:ascii="Times New Roman" w:hAnsi="Times New Roman"/>
          <w:b/>
          <w:noProof/>
          <w:sz w:val="24"/>
          <w:lang w:val="fr-BE"/>
        </w:rPr>
        <w:t xml:space="preserve"> décisions préjudicielles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C</w:t>
      </w:r>
      <w:r>
        <w:rPr>
          <w:rFonts w:ascii="Times New Roman" w:hAnsi="Times New Roman"/>
          <w:noProof/>
          <w:sz w:val="24"/>
          <w:lang w:val="fr-BE"/>
        </w:rPr>
        <w:t xml:space="preserve">ommission a engagé plusieurs </w:t>
      </w:r>
      <w:r>
        <w:rPr>
          <w:rFonts w:ascii="Times New Roman" w:hAnsi="Times New Roman"/>
          <w:b/>
          <w:noProof/>
          <w:sz w:val="24"/>
          <w:lang w:val="fr-BE"/>
        </w:rPr>
        <w:t>procédures d’infraction</w:t>
      </w:r>
      <w:r>
        <w:rPr>
          <w:rFonts w:ascii="Times New Roman" w:hAnsi="Times New Roman"/>
          <w:noProof/>
          <w:sz w:val="24"/>
          <w:lang w:val="fr-BE"/>
        </w:rPr>
        <w:t xml:space="preserve"> en réaction à de graves problèmes relatifs à l'état de droit, liés à une violation du droit de l’Union, un moyen d’action de l’Union qui a suscité un intérêt croissant suite à de récents arrêts de la Cou</w:t>
      </w:r>
      <w:r>
        <w:rPr>
          <w:rFonts w:ascii="Times New Roman" w:hAnsi="Times New Roman"/>
          <w:noProof/>
          <w:sz w:val="24"/>
          <w:lang w:val="fr-BE"/>
        </w:rPr>
        <w:t>r de justice de l’Union européenne (ci-après «la Cour»).</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L’article 19, paragraphe 1, du traité sur l’Union européenne exige une </w:t>
      </w:r>
      <w:r>
        <w:rPr>
          <w:rFonts w:ascii="Times New Roman" w:hAnsi="Times New Roman"/>
          <w:b/>
          <w:noProof/>
          <w:sz w:val="24"/>
          <w:lang w:val="fr-BE"/>
        </w:rPr>
        <w:t>protection juridictionnelle effective</w:t>
      </w:r>
      <w:r>
        <w:rPr>
          <w:rFonts w:ascii="Times New Roman" w:hAnsi="Times New Roman"/>
          <w:noProof/>
          <w:sz w:val="24"/>
          <w:lang w:val="fr-BE"/>
        </w:rPr>
        <w:t xml:space="preserve"> par des tribunaux indépendants pour concrétiser la valeur de l’état de droit. Cette dispos</w:t>
      </w:r>
      <w:r>
        <w:rPr>
          <w:rFonts w:ascii="Times New Roman" w:hAnsi="Times New Roman"/>
          <w:noProof/>
          <w:sz w:val="24"/>
          <w:lang w:val="fr-BE"/>
        </w:rPr>
        <w:t>ition est au cœur d’un certain nombre de renvois préjudiciels des juridictions nationales et de procédures d’infraction engagées par la Commission devant la Cour. Dès 2006, la Cour a jugé que la notion d’«indépendance de la justice» est un concept autonome</w:t>
      </w:r>
      <w:r>
        <w:rPr>
          <w:rFonts w:ascii="Times New Roman" w:hAnsi="Times New Roman"/>
          <w:noProof/>
          <w:sz w:val="24"/>
          <w:lang w:val="fr-BE"/>
        </w:rPr>
        <w:t xml:space="preserve"> du droit de l’Union impliquant que les juges doivent être protégés contre toute intervention extérieure susceptible de mettre en péril l’indépendance de leur jugement</w:t>
      </w:r>
      <w:r>
        <w:rPr>
          <w:rFonts w:ascii="Times New Roman" w:hAnsi="Times New Roman"/>
          <w:noProof/>
          <w:sz w:val="24"/>
          <w:vertAlign w:val="superscript"/>
        </w:rPr>
        <w:footnoteReference w:id="19"/>
      </w:r>
      <w:r>
        <w:rPr>
          <w:rFonts w:ascii="Times New Roman" w:hAnsi="Times New Roman"/>
          <w:noProof/>
          <w:sz w:val="24"/>
          <w:lang w:val="fr-BE"/>
        </w:rPr>
        <w:t>. Cet arrêt a été suivi en 2018 par un certain nombre d’arrêts importants. En premier li</w:t>
      </w:r>
      <w:r>
        <w:rPr>
          <w:rFonts w:ascii="Times New Roman" w:hAnsi="Times New Roman"/>
          <w:noProof/>
          <w:sz w:val="24"/>
          <w:lang w:val="fr-BE"/>
        </w:rPr>
        <w:t>eu, la Cour a estimé que les États membres sont tenus, en vertu du droit de l’Union, de veiller à ce que leurs juridictions répondent aux exigences d’une protection juridictionnelle effective, expression concrète de l’état de droit, et que l’indépendance d</w:t>
      </w:r>
      <w:r>
        <w:rPr>
          <w:rFonts w:ascii="Times New Roman" w:hAnsi="Times New Roman"/>
          <w:noProof/>
          <w:sz w:val="24"/>
          <w:lang w:val="fr-BE"/>
        </w:rPr>
        <w:t>es juridictions nationales est essentielle pour assurer cette protection juridictionnelle</w:t>
      </w:r>
      <w:r>
        <w:rPr>
          <w:rFonts w:ascii="Times New Roman" w:hAnsi="Times New Roman"/>
          <w:noProof/>
          <w:sz w:val="24"/>
          <w:vertAlign w:val="superscript"/>
        </w:rPr>
        <w:footnoteReference w:id="20"/>
      </w:r>
      <w:r>
        <w:rPr>
          <w:rFonts w:ascii="Times New Roman" w:hAnsi="Times New Roman"/>
          <w:noProof/>
          <w:sz w:val="24"/>
          <w:lang w:val="fr-BE"/>
        </w:rPr>
        <w:t>. Dans d’autres arrêts, la Cour a défini plus en détail les exigences des garanties d’indépendance et d’impartialité, notant leur importance capitale tant pour le bon</w:t>
      </w:r>
      <w:r>
        <w:rPr>
          <w:rFonts w:ascii="Times New Roman" w:hAnsi="Times New Roman"/>
          <w:noProof/>
          <w:sz w:val="24"/>
          <w:lang w:val="fr-BE"/>
        </w:rPr>
        <w:t xml:space="preserve"> fonctionnement du système de coopération judiciaire incarné par le mécanisme de renvoi préjudiciel prévu à l’article 267 TFUE que pour les instruments de droit dérivé fondés sur le principe de confiance mutuelle</w:t>
      </w:r>
      <w:r>
        <w:rPr>
          <w:rFonts w:ascii="Times New Roman" w:hAnsi="Times New Roman"/>
          <w:noProof/>
          <w:sz w:val="24"/>
          <w:vertAlign w:val="superscript"/>
        </w:rPr>
        <w:footnoteReference w:id="21"/>
      </w:r>
      <w:r>
        <w:rPr>
          <w:rFonts w:ascii="Times New Roman" w:hAnsi="Times New Roman"/>
          <w:noProof/>
          <w:sz w:val="24"/>
          <w:lang w:val="fr-BE"/>
        </w:rPr>
        <w:t>. La Cour a également pris des mesures prov</w:t>
      </w:r>
      <w:r>
        <w:rPr>
          <w:rFonts w:ascii="Times New Roman" w:hAnsi="Times New Roman"/>
          <w:noProof/>
          <w:sz w:val="24"/>
          <w:lang w:val="fr-BE"/>
        </w:rPr>
        <w:t>isoires pour suspendre les réformes nationales susceptibles de compromettre l’indépendance du pouvoir judiciaire</w:t>
      </w:r>
      <w:r>
        <w:rPr>
          <w:rFonts w:ascii="Times New Roman" w:hAnsi="Times New Roman"/>
          <w:noProof/>
          <w:sz w:val="24"/>
          <w:vertAlign w:val="superscript"/>
        </w:rPr>
        <w:footnoteReference w:id="22"/>
      </w:r>
      <w:r>
        <w:rPr>
          <w:rFonts w:ascii="Times New Roman" w:hAnsi="Times New Roman"/>
          <w:noProof/>
          <w:sz w:val="24"/>
          <w:lang w:val="fr-BE"/>
        </w:rPr>
        <w:t>. D’autres affaires introduites par des juridictions nationales et la Commission sont pendantes devant la Cour.</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Il existe également une jurispr</w:t>
      </w:r>
      <w:r>
        <w:rPr>
          <w:rFonts w:ascii="Times New Roman" w:hAnsi="Times New Roman"/>
          <w:noProof/>
          <w:sz w:val="24"/>
          <w:lang w:val="fr-BE"/>
        </w:rPr>
        <w:t xml:space="preserve">udence évolutive de la Cour qui souligne que les problèmes systématiques liés à l’état de droit peuvent avoir une </w:t>
      </w:r>
      <w:r>
        <w:rPr>
          <w:rFonts w:ascii="Times New Roman" w:hAnsi="Times New Roman"/>
          <w:b/>
          <w:noProof/>
          <w:sz w:val="24"/>
          <w:lang w:val="fr-BE"/>
        </w:rPr>
        <w:t>incidence particulière dans le domaine des finances de l’Union</w:t>
      </w:r>
      <w:r>
        <w:rPr>
          <w:rFonts w:ascii="Times New Roman" w:hAnsi="Times New Roman"/>
          <w:noProof/>
          <w:sz w:val="24"/>
          <w:vertAlign w:val="superscript"/>
        </w:rPr>
        <w:footnoteReference w:id="23"/>
      </w:r>
      <w:r>
        <w:rPr>
          <w:rFonts w:ascii="Times New Roman" w:hAnsi="Times New Roman"/>
          <w:noProof/>
          <w:sz w:val="24"/>
          <w:lang w:val="fr-BE"/>
        </w:rPr>
        <w:t>.</w:t>
      </w:r>
    </w:p>
    <w:p w:rsidR="00617A57" w:rsidRDefault="00C1270F">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lang w:val="fr-BE"/>
        </w:rPr>
        <w:t>Autres mécanismes</w:t>
      </w:r>
      <w:r>
        <w:rPr>
          <w:rFonts w:ascii="Times New Roman" w:hAnsi="Times New Roman"/>
          <w:b/>
          <w:noProof/>
          <w:sz w:val="24"/>
        </w:rPr>
        <w:t xml:space="preserve"> et cadres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 certain nombre d’autres mécanismes et cadres c</w:t>
      </w:r>
      <w:r>
        <w:rPr>
          <w:rFonts w:ascii="Times New Roman" w:hAnsi="Times New Roman"/>
          <w:noProof/>
          <w:sz w:val="24"/>
          <w:lang w:val="fr-BE"/>
        </w:rPr>
        <w:t>ontribuent à traiter les questions relatives à l’état de droit dans les États membres, soit de manière globale au moyen d’instruments spécifiques, soit par d’autres mesures relatives à la surveillance des politiques nationales ou à l’application du droit d</w:t>
      </w:r>
      <w:r>
        <w:rPr>
          <w:rFonts w:ascii="Times New Roman" w:hAnsi="Times New Roman"/>
          <w:noProof/>
          <w:sz w:val="24"/>
          <w:lang w:val="fr-BE"/>
        </w:rPr>
        <w:t xml:space="preserve">e l’Union. Ces instruments jouent un rôle important en matière d’alerte précoce et de prévention, dans la mesure où ils peuvent traiter les questions relatives à l’état de droit dans les États membres avant qu’il ne soit nécessaire de recourir à l’article </w:t>
      </w:r>
      <w:r>
        <w:rPr>
          <w:rFonts w:ascii="Times New Roman" w:hAnsi="Times New Roman"/>
          <w:noProof/>
          <w:sz w:val="24"/>
          <w:lang w:val="fr-BE"/>
        </w:rPr>
        <w:t>7.</w:t>
      </w:r>
    </w:p>
    <w:p w:rsidR="00617A57" w:rsidRDefault="00C1270F">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 cycle de coordination des politiques économiques, budgétaires et sociales du </w:t>
      </w:r>
      <w:r>
        <w:rPr>
          <w:rFonts w:ascii="Times New Roman" w:hAnsi="Times New Roman"/>
          <w:b/>
          <w:noProof/>
          <w:sz w:val="24"/>
          <w:lang w:val="fr-BE"/>
        </w:rPr>
        <w:t>Semestre européen</w:t>
      </w:r>
      <w:r>
        <w:rPr>
          <w:rFonts w:ascii="Times New Roman" w:hAnsi="Times New Roman"/>
          <w:noProof/>
          <w:sz w:val="24"/>
          <w:lang w:val="fr-BE"/>
        </w:rPr>
        <w:t xml:space="preserve"> fournit une analyse spécifique par pays et formule des recommandations en vue de réformes structurelles encourageant la croissance. L’analyse dans le cadre de cet instrument porte sur la lutte contre la corruption, l’efficacité des systèmes judiciaires et</w:t>
      </w:r>
      <w:r>
        <w:rPr>
          <w:rFonts w:ascii="Times New Roman" w:hAnsi="Times New Roman"/>
          <w:noProof/>
          <w:sz w:val="24"/>
          <w:lang w:val="fr-BE"/>
        </w:rPr>
        <w:t xml:space="preserve"> la réforme de l’administration publique. Lorsque des problèmes graves dans ces domaines sont recensés dans des rapports par pays, le Conseil adopte des recommandations ciblées par pays.</w:t>
      </w:r>
    </w:p>
    <w:p w:rsidR="00617A57" w:rsidRDefault="00C1270F">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 </w:t>
      </w:r>
      <w:r>
        <w:rPr>
          <w:rFonts w:ascii="Times New Roman" w:hAnsi="Times New Roman"/>
          <w:b/>
          <w:noProof/>
          <w:sz w:val="24"/>
          <w:lang w:val="fr-BE"/>
        </w:rPr>
        <w:t>tableau de bord annuel de la justice dans l’UE</w:t>
      </w:r>
      <w:r>
        <w:rPr>
          <w:rFonts w:ascii="Times New Roman" w:hAnsi="Times New Roman"/>
          <w:noProof/>
          <w:sz w:val="24"/>
          <w:lang w:val="fr-BE"/>
        </w:rPr>
        <w:t xml:space="preserve"> examine une série d</w:t>
      </w:r>
      <w:r>
        <w:rPr>
          <w:rFonts w:ascii="Times New Roman" w:hAnsi="Times New Roman"/>
          <w:noProof/>
          <w:sz w:val="24"/>
          <w:lang w:val="fr-BE"/>
        </w:rPr>
        <w:t>’indicateurs permettant d’évaluer l’indépendance, la qualité et l’efficacité des systèmes judiciaires nationaux. Cet outil comparatif est complété par des évaluations spécifiques par pays, présentées dans les rapports par pays, qui permettent de réaliser u</w:t>
      </w:r>
      <w:r>
        <w:rPr>
          <w:rFonts w:ascii="Times New Roman" w:hAnsi="Times New Roman"/>
          <w:noProof/>
          <w:sz w:val="24"/>
          <w:lang w:val="fr-BE"/>
        </w:rPr>
        <w:t>ne analyse plus approfondie fondée sur le contexte juridique et institutionnel national.</w:t>
      </w:r>
    </w:p>
    <w:p w:rsidR="00617A57" w:rsidRDefault="00C1270F">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 </w:t>
      </w:r>
      <w:r>
        <w:rPr>
          <w:rFonts w:ascii="Times New Roman" w:hAnsi="Times New Roman"/>
          <w:b/>
          <w:noProof/>
          <w:sz w:val="24"/>
          <w:lang w:val="fr-BE"/>
        </w:rPr>
        <w:t>mécanisme de coopération et de vérification</w:t>
      </w:r>
      <w:r>
        <w:rPr>
          <w:rFonts w:ascii="Times New Roman" w:hAnsi="Times New Roman"/>
          <w:noProof/>
          <w:sz w:val="24"/>
          <w:lang w:val="fr-BE"/>
        </w:rPr>
        <w:t xml:space="preserve"> a été créé spécifiquement pour la Bulgarie et la Roumanie lors de leur adhésion à l’Union en 2007, afin d’aider ces deux</w:t>
      </w:r>
      <w:r>
        <w:rPr>
          <w:rFonts w:ascii="Times New Roman" w:hAnsi="Times New Roman"/>
          <w:noProof/>
          <w:sz w:val="24"/>
          <w:lang w:val="fr-BE"/>
        </w:rPr>
        <w:t xml:space="preserve"> États membres à combler les lacunes subsistant dans les domaines de la réforme judiciaire, de la lutte contre la corruption et, pour la Bulgarie, de la criminalité organisée</w:t>
      </w:r>
      <w:r>
        <w:rPr>
          <w:rFonts w:ascii="Times New Roman" w:hAnsi="Times New Roman"/>
          <w:noProof/>
          <w:sz w:val="24"/>
          <w:vertAlign w:val="superscript"/>
        </w:rPr>
        <w:footnoteReference w:id="24"/>
      </w:r>
      <w:r>
        <w:rPr>
          <w:rFonts w:ascii="Times New Roman" w:hAnsi="Times New Roman"/>
          <w:noProof/>
          <w:sz w:val="24"/>
          <w:lang w:val="fr-BE"/>
        </w:rPr>
        <w:t xml:space="preserve">. Ce mécanisme est un dispositif transitoire qui devra être clôturé une fois que </w:t>
      </w:r>
      <w:r>
        <w:rPr>
          <w:rFonts w:ascii="Times New Roman" w:hAnsi="Times New Roman"/>
          <w:noProof/>
          <w:sz w:val="24"/>
          <w:lang w:val="fr-BE"/>
        </w:rPr>
        <w:t>les critères de référence définis auront été remplis de manière satisfaisante. L’expérience acquise est pertinente pour relever les défis en matière d’état de droit dans tous les États membres.</w:t>
      </w:r>
    </w:p>
    <w:p w:rsidR="00617A57" w:rsidRDefault="00C1270F">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 </w:t>
      </w:r>
      <w:r>
        <w:rPr>
          <w:rFonts w:ascii="Times New Roman" w:hAnsi="Times New Roman"/>
          <w:b/>
          <w:noProof/>
          <w:sz w:val="24"/>
          <w:lang w:val="fr-BE"/>
        </w:rPr>
        <w:t>service d’appui à la réforme structurelle</w:t>
      </w:r>
      <w:r>
        <w:rPr>
          <w:rFonts w:ascii="Times New Roman" w:hAnsi="Times New Roman"/>
          <w:noProof/>
          <w:sz w:val="24"/>
          <w:lang w:val="fr-BE"/>
        </w:rPr>
        <w:t xml:space="preserve"> de la Commission </w:t>
      </w:r>
      <w:r>
        <w:rPr>
          <w:rFonts w:ascii="Times New Roman" w:hAnsi="Times New Roman"/>
          <w:noProof/>
          <w:sz w:val="24"/>
          <w:lang w:val="fr-BE"/>
        </w:rPr>
        <w:t>apporte un appui technique aux réformes structurelles dans les États membres, notamment dans des domaines pertinents pour renforcer le respect de l’état de droit, tels que l’administration publique, le système judiciaire et la lutte contre la corruption. C</w:t>
      </w:r>
      <w:r>
        <w:rPr>
          <w:rFonts w:ascii="Times New Roman" w:hAnsi="Times New Roman"/>
          <w:noProof/>
          <w:sz w:val="24"/>
          <w:lang w:val="fr-BE"/>
        </w:rPr>
        <w:t>et appui est fourni à la demande des États membres et est conçu sur mesure pour répondre à des besoins qui reflètent les priorités définies en matière de réforme</w:t>
      </w:r>
      <w:r>
        <w:rPr>
          <w:rFonts w:ascii="Times New Roman" w:hAnsi="Times New Roman"/>
          <w:noProof/>
          <w:sz w:val="24"/>
          <w:vertAlign w:val="superscript"/>
        </w:rPr>
        <w:footnoteReference w:id="25"/>
      </w:r>
      <w:r>
        <w:rPr>
          <w:rFonts w:ascii="Times New Roman" w:hAnsi="Times New Roman"/>
          <w:noProof/>
          <w:sz w:val="24"/>
          <w:lang w:val="fr-BE"/>
        </w:rPr>
        <w:t>.</w:t>
      </w:r>
    </w:p>
    <w:p w:rsidR="00617A57" w:rsidRDefault="00C1270F">
      <w:pPr>
        <w:pStyle w:val="ListParagraph"/>
        <w:numPr>
          <w:ilvl w:val="0"/>
          <w:numId w:val="1"/>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Les </w:t>
      </w:r>
      <w:r>
        <w:rPr>
          <w:rFonts w:ascii="Times New Roman" w:hAnsi="Times New Roman"/>
          <w:b/>
          <w:noProof/>
          <w:sz w:val="24"/>
          <w:lang w:val="fr-BE"/>
        </w:rPr>
        <w:t>fonds structurels et d’investissement européens</w:t>
      </w:r>
      <w:r>
        <w:rPr>
          <w:rFonts w:ascii="Times New Roman" w:hAnsi="Times New Roman"/>
          <w:noProof/>
          <w:sz w:val="24"/>
          <w:lang w:val="fr-BE"/>
        </w:rPr>
        <w:t xml:space="preserve"> et les fonds qui soutiennent les </w:t>
      </w:r>
      <w:r>
        <w:rPr>
          <w:rFonts w:ascii="Times New Roman" w:hAnsi="Times New Roman"/>
          <w:b/>
          <w:noProof/>
          <w:sz w:val="24"/>
          <w:lang w:val="fr-BE"/>
        </w:rPr>
        <w:t>politiq</w:t>
      </w:r>
      <w:r>
        <w:rPr>
          <w:rFonts w:ascii="Times New Roman" w:hAnsi="Times New Roman"/>
          <w:b/>
          <w:noProof/>
          <w:sz w:val="24"/>
          <w:lang w:val="fr-BE"/>
        </w:rPr>
        <w:t>ues en matière de justice et de sécurité</w:t>
      </w:r>
      <w:r>
        <w:rPr>
          <w:rFonts w:ascii="Times New Roman" w:hAnsi="Times New Roman"/>
          <w:noProof/>
          <w:sz w:val="24"/>
          <w:lang w:val="fr-BE"/>
        </w:rPr>
        <w:t xml:space="preserve"> aident également les États membres à renforcer l’administration publique et le système judiciaire et à accroître leur capacité à lutter contre la corruption</w:t>
      </w:r>
      <w:r>
        <w:rPr>
          <w:rStyle w:val="FootnoteReference"/>
          <w:rFonts w:ascii="Times New Roman" w:hAnsi="Times New Roman"/>
          <w:noProof/>
          <w:sz w:val="24"/>
        </w:rPr>
        <w:footnoteReference w:id="26"/>
      </w:r>
      <w:r>
        <w:rPr>
          <w:rFonts w:ascii="Times New Roman" w:hAnsi="Times New Roman"/>
          <w:noProof/>
          <w:sz w:val="24"/>
          <w:lang w:val="fr-BE"/>
        </w:rPr>
        <w:t>. Les fonds ont également contribué à améliorer les capaci</w:t>
      </w:r>
      <w:r>
        <w:rPr>
          <w:rFonts w:ascii="Times New Roman" w:hAnsi="Times New Roman"/>
          <w:noProof/>
          <w:sz w:val="24"/>
          <w:lang w:val="fr-BE"/>
        </w:rPr>
        <w:t>tés institutionnelles des autorités publiques et l’efficacité de l’administration publique par l’application de conditions ex ante (au cours de la période de financement 2014-2020, qui devront être suivies par des «conditions favorisantes» au titre du cadr</w:t>
      </w:r>
      <w:r>
        <w:rPr>
          <w:rFonts w:ascii="Times New Roman" w:hAnsi="Times New Roman"/>
          <w:noProof/>
          <w:sz w:val="24"/>
          <w:lang w:val="fr-BE"/>
        </w:rPr>
        <w:t>e financier pluriannuel 2021-2027)</w:t>
      </w:r>
      <w:r>
        <w:rPr>
          <w:rFonts w:ascii="Times New Roman" w:hAnsi="Times New Roman"/>
          <w:noProof/>
          <w:sz w:val="24"/>
          <w:vertAlign w:val="superscript"/>
        </w:rPr>
        <w:footnoteReference w:id="27"/>
      </w:r>
      <w:r>
        <w:rPr>
          <w:rFonts w:ascii="Times New Roman" w:hAnsi="Times New Roman"/>
          <w:noProof/>
          <w:sz w:val="24"/>
          <w:lang w:val="fr-BE"/>
        </w:rPr>
        <w:t>, ce qui renforce le cadre dans lequel s’inscrit l’application de l’état de droit.</w:t>
      </w:r>
    </w:p>
    <w:p w:rsidR="00617A57" w:rsidRDefault="00C1270F">
      <w:pPr>
        <w:pStyle w:val="ListParagraph"/>
        <w:numPr>
          <w:ilvl w:val="0"/>
          <w:numId w:val="1"/>
        </w:numPr>
        <w:spacing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Dans le cadre des propositions relatives au prochain cadre financier pluriannuel, la Commission a proposé un </w:t>
      </w:r>
      <w:r>
        <w:rPr>
          <w:rFonts w:ascii="Times New Roman" w:hAnsi="Times New Roman"/>
          <w:b/>
          <w:noProof/>
          <w:sz w:val="24"/>
          <w:lang w:val="fr-BE"/>
        </w:rPr>
        <w:t xml:space="preserve">nouveau mécanisme de </w:t>
      </w:r>
      <w:r>
        <w:rPr>
          <w:rFonts w:ascii="Times New Roman" w:hAnsi="Times New Roman"/>
          <w:b/>
          <w:noProof/>
          <w:sz w:val="24"/>
          <w:lang w:val="fr-BE"/>
        </w:rPr>
        <w:t>protection du budget de l’Union lorsque des défaillances généralisées de l’état de droit dans les États membres affectent ou risquent d’affecter ce budget</w:t>
      </w:r>
      <w:r>
        <w:rPr>
          <w:rFonts w:ascii="Times New Roman" w:hAnsi="Times New Roman"/>
          <w:noProof/>
          <w:sz w:val="24"/>
          <w:vertAlign w:val="superscript"/>
        </w:rPr>
        <w:footnoteReference w:id="28"/>
      </w:r>
      <w:r>
        <w:rPr>
          <w:rFonts w:ascii="Times New Roman" w:hAnsi="Times New Roman"/>
          <w:b/>
          <w:noProof/>
          <w:sz w:val="24"/>
          <w:lang w:val="fr-BE"/>
        </w:rPr>
        <w:t>.</w:t>
      </w:r>
      <w:r>
        <w:rPr>
          <w:rFonts w:ascii="Times New Roman" w:hAnsi="Times New Roman"/>
          <w:noProof/>
          <w:sz w:val="24"/>
          <w:lang w:val="fr-BE"/>
        </w:rPr>
        <w:t xml:space="preserve"> Le respect de l’état de droit est une condition préalable essentielle pour assurer le respect des p</w:t>
      </w:r>
      <w:r>
        <w:rPr>
          <w:rFonts w:ascii="Times New Roman" w:hAnsi="Times New Roman"/>
          <w:noProof/>
          <w:sz w:val="24"/>
          <w:lang w:val="fr-BE"/>
        </w:rPr>
        <w:t>rincipes de bonne gestion financière et la protection du budget de l’Union. Le règlement proposé permettrait à l’Union de prendre des mesures appropriées et proportionnées pour traiter ces questions.</w:t>
      </w:r>
    </w:p>
    <w:p w:rsidR="00617A57" w:rsidRDefault="00C1270F">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noProof/>
          <w:sz w:val="24"/>
          <w:lang w:val="fr-BE"/>
        </w:rPr>
        <w:t>L’</w:t>
      </w:r>
      <w:r>
        <w:rPr>
          <w:rFonts w:ascii="Times New Roman" w:hAnsi="Times New Roman"/>
          <w:b/>
          <w:noProof/>
          <w:sz w:val="24"/>
          <w:lang w:val="fr-BE"/>
        </w:rPr>
        <w:t>Office européen de lutte antifraude (OLAF)</w:t>
      </w:r>
      <w:r>
        <w:rPr>
          <w:rFonts w:ascii="Times New Roman" w:hAnsi="Times New Roman"/>
          <w:noProof/>
          <w:sz w:val="24"/>
          <w:lang w:val="fr-BE"/>
        </w:rPr>
        <w:t xml:space="preserve"> détecte les</w:t>
      </w:r>
      <w:r>
        <w:rPr>
          <w:rFonts w:ascii="Times New Roman" w:hAnsi="Times New Roman"/>
          <w:noProof/>
          <w:sz w:val="24"/>
          <w:lang w:val="fr-BE"/>
        </w:rPr>
        <w:t xml:space="preserve"> cas de fraude, de corruption et autres infractions portant atteinte aux intérêts financiers de l’Union, mène des enquêtes sur ces cas et émet des recommandations qui permettent aux autorités nationales d’engager des procédures administratives ou judiciair</w:t>
      </w:r>
      <w:r>
        <w:rPr>
          <w:rFonts w:ascii="Times New Roman" w:hAnsi="Times New Roman"/>
          <w:noProof/>
          <w:sz w:val="24"/>
          <w:lang w:val="fr-BE"/>
        </w:rPr>
        <w:t xml:space="preserve">es. </w:t>
      </w:r>
      <w:r>
        <w:rPr>
          <w:rFonts w:ascii="Times" w:hAnsi="Times"/>
          <w:noProof/>
          <w:sz w:val="24"/>
          <w:lang w:val="fr-BE"/>
        </w:rPr>
        <w:t xml:space="preserve">La création du </w:t>
      </w:r>
      <w:r>
        <w:rPr>
          <w:rFonts w:ascii="Times" w:hAnsi="Times"/>
          <w:b/>
          <w:noProof/>
          <w:sz w:val="24"/>
          <w:lang w:val="fr-BE"/>
        </w:rPr>
        <w:t>Parquet européen</w:t>
      </w:r>
      <w:r>
        <w:rPr>
          <w:rFonts w:ascii="Times" w:hAnsi="Times"/>
          <w:noProof/>
          <w:sz w:val="24"/>
          <w:lang w:val="fr-BE"/>
        </w:rPr>
        <w:t xml:space="preserve"> marquera un tournant décisif dans le cadre institutionnel au niveau de l’UE et dans la lutte contre les infractions portant atteinte aux intérêts financiers de l’UE. Le Parquet européen sera opérationnel à la fin de 2020</w:t>
      </w:r>
      <w:r>
        <w:rPr>
          <w:rFonts w:ascii="Times" w:hAnsi="Times"/>
          <w:noProof/>
          <w:sz w:val="24"/>
          <w:lang w:val="fr-BE"/>
        </w:rPr>
        <w:t xml:space="preserve"> et sera habilité à mener des enquêtes pénales et à engager des poursuites relatives aux infractions pénales portant atteinte au budget de l’Union. Il coopérera étroitement avec l’OLAF.</w:t>
      </w:r>
    </w:p>
    <w:p w:rsidR="00617A57" w:rsidRDefault="00C1270F" w:rsidP="00C1270F">
      <w:pPr>
        <w:spacing w:after="240" w:line="240" w:lineRule="auto"/>
        <w:jc w:val="both"/>
        <w:rPr>
          <w:rFonts w:ascii="Times New Roman" w:hAnsi="Times New Roman"/>
          <w:noProof/>
          <w:sz w:val="24"/>
          <w:lang w:val="fr-BE"/>
        </w:rPr>
      </w:pPr>
      <w:r>
        <w:rPr>
          <w:rFonts w:ascii="Times New Roman" w:hAnsi="Times New Roman"/>
          <w:noProof/>
          <w:sz w:val="24"/>
          <w:lang w:val="fr-BE"/>
        </w:rPr>
        <w:t xml:space="preserve">En tant qu’élément central de la politique extérieure de l’UE, l’état </w:t>
      </w:r>
      <w:r>
        <w:rPr>
          <w:rFonts w:ascii="Times New Roman" w:hAnsi="Times New Roman"/>
          <w:noProof/>
          <w:sz w:val="24"/>
          <w:lang w:val="fr-BE"/>
        </w:rPr>
        <w:t xml:space="preserve">de droit a acquis une place toujours plus importante dans le </w:t>
      </w:r>
      <w:r>
        <w:rPr>
          <w:rFonts w:ascii="Times New Roman" w:hAnsi="Times New Roman"/>
          <w:b/>
          <w:noProof/>
          <w:sz w:val="24"/>
          <w:lang w:val="fr-BE"/>
        </w:rPr>
        <w:t>processus d’adhésion à l’UE</w:t>
      </w:r>
      <w:r>
        <w:rPr>
          <w:rFonts w:ascii="Times New Roman" w:hAnsi="Times New Roman"/>
          <w:noProof/>
          <w:sz w:val="24"/>
          <w:lang w:val="fr-BE"/>
        </w:rPr>
        <w:t xml:space="preserve"> et dans la </w:t>
      </w:r>
      <w:r>
        <w:rPr>
          <w:rFonts w:ascii="Times New Roman" w:hAnsi="Times New Roman"/>
          <w:b/>
          <w:noProof/>
          <w:sz w:val="24"/>
          <w:lang w:val="fr-BE"/>
        </w:rPr>
        <w:t>politique de voisinage</w:t>
      </w:r>
      <w:r>
        <w:rPr>
          <w:rFonts w:ascii="Times New Roman" w:hAnsi="Times New Roman"/>
          <w:noProof/>
          <w:sz w:val="24"/>
          <w:lang w:val="fr-BE"/>
        </w:rPr>
        <w:t>. Le renforcement d’institutions clés telles que l’appareil judiciaire et le renforcement de la lutte contre la corruption sont devenu</w:t>
      </w:r>
      <w:r>
        <w:rPr>
          <w:rFonts w:ascii="Times New Roman" w:hAnsi="Times New Roman"/>
          <w:noProof/>
          <w:sz w:val="24"/>
          <w:lang w:val="fr-BE"/>
        </w:rPr>
        <w:t>s des thèmes de plus en plus essentiels dans les efforts déployés par l’UE pour promouvoir les réformes en vue de satisfaire aux critères de Copenhague pour l’adhésion</w:t>
      </w:r>
      <w:r>
        <w:rPr>
          <w:rFonts w:ascii="Times New Roman" w:hAnsi="Times New Roman"/>
          <w:noProof/>
          <w:sz w:val="24"/>
          <w:vertAlign w:val="superscript"/>
        </w:rPr>
        <w:footnoteReference w:id="29"/>
      </w:r>
      <w:r>
        <w:rPr>
          <w:rFonts w:ascii="Times New Roman" w:hAnsi="Times New Roman"/>
          <w:noProof/>
          <w:sz w:val="24"/>
          <w:lang w:val="fr-BE"/>
        </w:rPr>
        <w:t xml:space="preserve">. L’état de droit est également fermement ancré dans les négociations d’adhésion, où la </w:t>
      </w:r>
      <w:r>
        <w:rPr>
          <w:rFonts w:ascii="Times New Roman" w:hAnsi="Times New Roman"/>
          <w:noProof/>
          <w:sz w:val="24"/>
          <w:lang w:val="fr-BE"/>
        </w:rPr>
        <w:t>rapidité globale des négociations est fonction des progrès réalisés dans ce domaine</w:t>
      </w:r>
      <w:r>
        <w:rPr>
          <w:rFonts w:ascii="Times New Roman" w:hAnsi="Times New Roman"/>
          <w:noProof/>
          <w:sz w:val="24"/>
          <w:vertAlign w:val="superscript"/>
        </w:rPr>
        <w:footnoteReference w:id="30"/>
      </w:r>
      <w:r>
        <w:rPr>
          <w:rFonts w:ascii="Times New Roman" w:hAnsi="Times New Roman"/>
          <w:noProof/>
          <w:sz w:val="24"/>
          <w:lang w:val="fr-BE"/>
        </w:rPr>
        <w:t>. La stratégie pour les Balkans occidentaux de février 2018</w:t>
      </w:r>
      <w:r>
        <w:rPr>
          <w:rFonts w:ascii="Times New Roman" w:hAnsi="Times New Roman"/>
          <w:noProof/>
          <w:sz w:val="24"/>
          <w:vertAlign w:val="superscript"/>
        </w:rPr>
        <w:footnoteReference w:id="31"/>
      </w:r>
      <w:r>
        <w:rPr>
          <w:rFonts w:ascii="Times New Roman" w:hAnsi="Times New Roman"/>
          <w:noProof/>
          <w:sz w:val="24"/>
          <w:lang w:val="fr-BE"/>
        </w:rPr>
        <w:t xml:space="preserve"> met de plus en plus l’accent sur les réformes de l’état de droit et souligne que le respect de l’état de droit </w:t>
      </w:r>
      <w:r>
        <w:rPr>
          <w:rFonts w:ascii="Times New Roman" w:hAnsi="Times New Roman"/>
          <w:noProof/>
          <w:sz w:val="24"/>
          <w:lang w:val="fr-BE"/>
        </w:rPr>
        <w:t>est une condition essentielle pour une adhésion à l’UE.</w:t>
      </w:r>
    </w:p>
    <w:p w:rsidR="00617A57" w:rsidRDefault="00C1270F">
      <w:pPr>
        <w:spacing w:after="240" w:line="240" w:lineRule="auto"/>
        <w:ind w:left="720" w:hanging="720"/>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III.</w:t>
      </w:r>
      <w:r>
        <w:rPr>
          <w:rFonts w:ascii="Times New Roman" w:hAnsi="Times New Roman" w:cs="Times New Roman"/>
          <w:b/>
          <w:noProof/>
          <w:sz w:val="24"/>
          <w:szCs w:val="24"/>
          <w:lang w:val="fr-BE"/>
        </w:rPr>
        <w:tab/>
      </w:r>
      <w:r>
        <w:rPr>
          <w:rFonts w:ascii="Times New Roman" w:hAnsi="Times New Roman"/>
          <w:b/>
          <w:noProof/>
          <w:sz w:val="24"/>
          <w:lang w:val="fr-BE"/>
        </w:rPr>
        <w:t>LE DÉBAT PLUS LARGE SUR L’ÉTAT DE DROIT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L’importance croissante de l’état de droit en tant que préoccupation commune a été prise en compte dans des débats plus larges au sein des institutions et </w:t>
      </w:r>
      <w:r>
        <w:rPr>
          <w:rFonts w:ascii="Times New Roman" w:hAnsi="Times New Roman"/>
          <w:noProof/>
          <w:sz w:val="24"/>
          <w:lang w:val="fr-BE"/>
        </w:rPr>
        <w:t>organes de l’Union</w:t>
      </w:r>
      <w:r>
        <w:rPr>
          <w:rFonts w:ascii="Times New Roman" w:hAnsi="Times New Roman"/>
          <w:noProof/>
          <w:sz w:val="24"/>
          <w:vertAlign w:val="superscript"/>
        </w:rPr>
        <w:footnoteReference w:id="32"/>
      </w:r>
      <w:r>
        <w:rPr>
          <w:rFonts w:ascii="Times New Roman" w:hAnsi="Times New Roman"/>
          <w:noProof/>
          <w:sz w:val="24"/>
          <w:lang w:val="fr-BE"/>
        </w:rPr>
        <w:t>, ainsi que dans d’autres enceintes</w:t>
      </w:r>
      <w:r>
        <w:rPr>
          <w:rFonts w:ascii="Times New Roman" w:hAnsi="Times New Roman"/>
          <w:noProof/>
          <w:sz w:val="24"/>
          <w:vertAlign w:val="superscript"/>
        </w:rPr>
        <w:footnoteReference w:id="33"/>
      </w:r>
      <w:r>
        <w:rPr>
          <w:rFonts w:ascii="Times New Roman" w:hAnsi="Times New Roman"/>
          <w:noProof/>
          <w:sz w:val="24"/>
          <w:lang w:val="fr-BE"/>
        </w:rPr>
        <w: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octobre 2016, le </w:t>
      </w:r>
      <w:r>
        <w:rPr>
          <w:rFonts w:ascii="Times New Roman" w:hAnsi="Times New Roman"/>
          <w:b/>
          <w:noProof/>
          <w:sz w:val="24"/>
          <w:lang w:val="fr-BE"/>
        </w:rPr>
        <w:t>Parlement européen</w:t>
      </w:r>
      <w:r>
        <w:rPr>
          <w:rFonts w:ascii="Times New Roman" w:hAnsi="Times New Roman"/>
          <w:noProof/>
          <w:sz w:val="24"/>
          <w:lang w:val="fr-BE"/>
        </w:rPr>
        <w:t xml:space="preserve"> a adopté une résolution sur la création d’un mécanisme de l’Union pour la démocratie, l’état de droit et les droits fondamentaux</w:t>
      </w:r>
      <w:r>
        <w:rPr>
          <w:rFonts w:ascii="Times New Roman" w:hAnsi="Times New Roman"/>
          <w:noProof/>
          <w:sz w:val="24"/>
          <w:vertAlign w:val="superscript"/>
        </w:rPr>
        <w:footnoteReference w:id="34"/>
      </w:r>
      <w:r>
        <w:rPr>
          <w:rFonts w:ascii="Times New Roman" w:hAnsi="Times New Roman"/>
          <w:noProof/>
          <w:sz w:val="24"/>
          <w:lang w:val="fr-BE"/>
        </w:rPr>
        <w:t>. Il y invitait la Commission à</w:t>
      </w:r>
      <w:r>
        <w:rPr>
          <w:rFonts w:ascii="Times New Roman" w:hAnsi="Times New Roman"/>
          <w:noProof/>
          <w:sz w:val="24"/>
          <w:lang w:val="fr-BE"/>
        </w:rPr>
        <w:t xml:space="preserve"> mettre en place un suivi complet de l’ensemble des États membres et des institutions de l’UE ainsi qu’un cycle annuel de rapports et de recommandations. Cet appel a été réitéré en 2018</w:t>
      </w:r>
      <w:r>
        <w:rPr>
          <w:rFonts w:ascii="Times New Roman" w:hAnsi="Times New Roman"/>
          <w:noProof/>
          <w:sz w:val="24"/>
          <w:vertAlign w:val="superscript"/>
        </w:rPr>
        <w:footnoteReference w:id="35"/>
      </w:r>
      <w:r>
        <w:rPr>
          <w:rFonts w:ascii="Times New Roman" w:hAnsi="Times New Roman"/>
          <w:noProof/>
          <w:sz w:val="24"/>
          <w:lang w:val="fr-BE"/>
        </w:rPr>
        <w:t xml:space="preserve">. Par ailleurs, le Parlement européen a adopté des résolutions sur </w:t>
      </w:r>
      <w:r>
        <w:rPr>
          <w:rFonts w:ascii="Times New Roman" w:hAnsi="Times New Roman"/>
          <w:noProof/>
          <w:sz w:val="24"/>
          <w:lang w:val="fr-BE"/>
        </w:rPr>
        <w:t>l’état de droit dans plusieurs États membres.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Outre le rôle institutionnel clair que lui confère l’article 7 du TUE, le </w:t>
      </w:r>
      <w:r>
        <w:rPr>
          <w:rFonts w:ascii="Times New Roman" w:hAnsi="Times New Roman"/>
          <w:b/>
          <w:noProof/>
          <w:sz w:val="24"/>
          <w:lang w:val="fr-BE"/>
        </w:rPr>
        <w:t xml:space="preserve">Conseil </w:t>
      </w:r>
      <w:r>
        <w:rPr>
          <w:rFonts w:ascii="Times New Roman" w:hAnsi="Times New Roman"/>
          <w:noProof/>
          <w:sz w:val="24"/>
          <w:lang w:val="fr-BE"/>
        </w:rPr>
        <w:t>a mis sur pied un dialogue annuel sur l’état de droit au sein du Conseil des affaires générales, qui se concentre chaque année s</w:t>
      </w:r>
      <w:r>
        <w:rPr>
          <w:rFonts w:ascii="Times New Roman" w:hAnsi="Times New Roman"/>
          <w:noProof/>
          <w:sz w:val="24"/>
          <w:lang w:val="fr-BE"/>
        </w:rPr>
        <w:t>ur un thème particulier. Un réexamen de ce processus est prévu dans le cadre de la présidence finlandaise du Conseil à l’automne 2019.</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Plusieurs </w:t>
      </w:r>
      <w:r>
        <w:rPr>
          <w:rFonts w:ascii="Times New Roman" w:hAnsi="Times New Roman"/>
          <w:b/>
          <w:noProof/>
          <w:sz w:val="24"/>
          <w:lang w:val="fr-BE"/>
        </w:rPr>
        <w:t>parlements nationaux</w:t>
      </w:r>
      <w:r>
        <w:rPr>
          <w:rFonts w:ascii="Times New Roman" w:hAnsi="Times New Roman"/>
          <w:noProof/>
          <w:sz w:val="24"/>
          <w:lang w:val="fr-BE"/>
        </w:rPr>
        <w:t xml:space="preserve"> ont également contribué à la réflexion sur l’état de droit en adoptant des résolutions et </w:t>
      </w:r>
      <w:r>
        <w:rPr>
          <w:rFonts w:ascii="Times New Roman" w:hAnsi="Times New Roman"/>
          <w:noProof/>
          <w:sz w:val="24"/>
          <w:lang w:val="fr-BE"/>
        </w:rPr>
        <w:t>en organisant des débats sur ce thème</w:t>
      </w:r>
      <w:r>
        <w:rPr>
          <w:rFonts w:ascii="Times New Roman" w:hAnsi="Times New Roman"/>
          <w:noProof/>
          <w:sz w:val="24"/>
          <w:vertAlign w:val="superscript"/>
        </w:rPr>
        <w:footnoteReference w:id="36"/>
      </w:r>
      <w:r>
        <w:rPr>
          <w:rFonts w:ascii="Times New Roman" w:hAnsi="Times New Roman"/>
          <w:noProof/>
          <w:sz w:val="24"/>
          <w:lang w:val="fr-BE"/>
        </w:rPr>
        <w: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Au-delà du cadre de l’UE, le </w:t>
      </w:r>
      <w:r>
        <w:rPr>
          <w:rFonts w:ascii="Times New Roman" w:hAnsi="Times New Roman"/>
          <w:b/>
          <w:noProof/>
          <w:sz w:val="24"/>
          <w:lang w:val="fr-BE"/>
        </w:rPr>
        <w:t>Conseil de l’Europe</w:t>
      </w:r>
      <w:r>
        <w:rPr>
          <w:rFonts w:ascii="Times New Roman" w:hAnsi="Times New Roman"/>
          <w:noProof/>
          <w:sz w:val="24"/>
          <w:lang w:val="fr-BE"/>
        </w:rPr>
        <w:t xml:space="preserve"> a joué un rôle crucial dans l’élaboration de définitions et de normes présentant un intérêt pour l’état de droit. L’état de droit est mentionné comme un élément du pat</w:t>
      </w:r>
      <w:r>
        <w:rPr>
          <w:rFonts w:ascii="Times New Roman" w:hAnsi="Times New Roman"/>
          <w:noProof/>
          <w:sz w:val="24"/>
          <w:lang w:val="fr-BE"/>
        </w:rPr>
        <w:t>rimoine commun dans le préambule de la Convention européenne de sauvegarde des droits de l’homme et des libertés fondamentales. Les arrêts de la Cour européenne des droits de l’homme ont contribué de manière significative à la définition, à la promotion et</w:t>
      </w:r>
      <w:r>
        <w:rPr>
          <w:rFonts w:ascii="Times New Roman" w:hAnsi="Times New Roman"/>
          <w:noProof/>
          <w:sz w:val="24"/>
          <w:lang w:val="fr-BE"/>
        </w:rPr>
        <w:t xml:space="preserve"> au renforcement de l’état de droit et ont mis en évidence les liens étroits entre l’état de droit et la société démocratique. La Commission de Venise du Conseil de l’Europe a publié une «liste des critères de l’état de droit» en 2016</w:t>
      </w:r>
      <w:r>
        <w:rPr>
          <w:rFonts w:ascii="Times New Roman" w:hAnsi="Times New Roman"/>
          <w:noProof/>
          <w:sz w:val="24"/>
          <w:vertAlign w:val="superscript"/>
        </w:rPr>
        <w:footnoteReference w:id="37"/>
      </w:r>
      <w:r>
        <w:rPr>
          <w:rFonts w:ascii="Times New Roman" w:hAnsi="Times New Roman"/>
          <w:noProof/>
          <w:sz w:val="24"/>
          <w:lang w:val="fr-BE"/>
        </w:rPr>
        <w:t>. Le Conseil de l’Eur</w:t>
      </w:r>
      <w:r>
        <w:rPr>
          <w:rFonts w:ascii="Times New Roman" w:hAnsi="Times New Roman"/>
          <w:noProof/>
          <w:sz w:val="24"/>
          <w:lang w:val="fr-BE"/>
        </w:rPr>
        <w:t>ope a également appliqué cette approche dans des affaires spécifiques concernant des États membres, en recourant à l’expertise de la Commission de Venise et du Groupe d’États contre la corruption (GRECO) du Conseil de l’Europe, ainsi qu’en mettant en place</w:t>
      </w:r>
      <w:r>
        <w:rPr>
          <w:rFonts w:ascii="Times New Roman" w:hAnsi="Times New Roman"/>
          <w:noProof/>
          <w:sz w:val="24"/>
          <w:lang w:val="fr-BE"/>
        </w:rPr>
        <w:t xml:space="preserve"> un suivi particulier.</w:t>
      </w:r>
    </w:p>
    <w:p w:rsidR="00617A57" w:rsidRDefault="00C1270F">
      <w:pPr>
        <w:spacing w:after="480" w:line="240" w:lineRule="auto"/>
        <w:jc w:val="both"/>
        <w:rPr>
          <w:rFonts w:ascii="Times New Roman" w:hAnsi="Times New Roman" w:cs="Times New Roman"/>
          <w:noProof/>
          <w:sz w:val="24"/>
          <w:szCs w:val="24"/>
          <w:lang w:val="fr-BE"/>
        </w:rPr>
      </w:pPr>
      <w:r>
        <w:rPr>
          <w:rFonts w:ascii="Times New Roman" w:hAnsi="Times New Roman"/>
          <w:b/>
          <w:noProof/>
          <w:sz w:val="24"/>
          <w:lang w:val="fr-BE"/>
        </w:rPr>
        <w:t>Les réseaux judiciaires européens</w:t>
      </w:r>
      <w:r>
        <w:rPr>
          <w:rFonts w:ascii="Times New Roman" w:hAnsi="Times New Roman"/>
          <w:noProof/>
          <w:sz w:val="24"/>
          <w:lang w:val="fr-BE"/>
        </w:rPr>
        <w:t xml:space="preserve">, </w:t>
      </w:r>
      <w:r>
        <w:rPr>
          <w:rFonts w:ascii="Times New Roman" w:hAnsi="Times New Roman"/>
          <w:b/>
          <w:noProof/>
          <w:sz w:val="24"/>
          <w:lang w:val="fr-BE"/>
        </w:rPr>
        <w:t>les groupes d’experts et les associations d’avocats, ainsi que les organisations de la société civile</w:t>
      </w:r>
      <w:r>
        <w:rPr>
          <w:rFonts w:ascii="Times New Roman" w:hAnsi="Times New Roman"/>
          <w:noProof/>
          <w:sz w:val="24"/>
          <w:lang w:val="fr-BE"/>
        </w:rPr>
        <w:t>, ont aussi contribué à l’évolution d’une vision commune aux niveaux européen et national et joue</w:t>
      </w:r>
      <w:r>
        <w:rPr>
          <w:rFonts w:ascii="Times New Roman" w:hAnsi="Times New Roman"/>
          <w:noProof/>
          <w:sz w:val="24"/>
          <w:lang w:val="fr-BE"/>
        </w:rPr>
        <w:t>nt un rôle essentiel dans la promotion de normes et de bonnes pratiques communes</w:t>
      </w:r>
      <w:r>
        <w:rPr>
          <w:noProof/>
          <w:lang w:val="fr-BE"/>
        </w:rPr>
        <w:t>.</w:t>
      </w:r>
    </w:p>
    <w:p w:rsidR="00617A57" w:rsidRDefault="00C1270F">
      <w:pPr>
        <w:spacing w:after="240" w:line="240" w:lineRule="auto"/>
        <w:ind w:left="720" w:hanging="720"/>
        <w:jc w:val="both"/>
        <w:rPr>
          <w:rFonts w:ascii="Times New Roman" w:hAnsi="Times New Roman" w:cs="Times New Roman"/>
          <w:b/>
          <w:noProof/>
          <w:sz w:val="24"/>
          <w:szCs w:val="24"/>
          <w:lang w:val="fr-BE"/>
        </w:rPr>
      </w:pPr>
      <w:r>
        <w:rPr>
          <w:rFonts w:ascii="Times New Roman" w:hAnsi="Times New Roman"/>
          <w:b/>
          <w:noProof/>
          <w:sz w:val="24"/>
          <w:lang w:val="fr-BE"/>
        </w:rPr>
        <w:t xml:space="preserve">IV. </w:t>
      </w:r>
      <w:r>
        <w:rPr>
          <w:noProof/>
          <w:lang w:val="fr-BE"/>
        </w:rPr>
        <w:tab/>
      </w:r>
      <w:r>
        <w:rPr>
          <w:rFonts w:ascii="Times New Roman" w:hAnsi="Times New Roman"/>
          <w:b/>
          <w:noProof/>
          <w:sz w:val="24"/>
          <w:lang w:val="fr-BE"/>
        </w:rPr>
        <w:t>ÉVALUATION DE L’EXPÉRIENCE ACQUISE À CE JOUR</w:t>
      </w:r>
    </w:p>
    <w:p w:rsidR="00617A57" w:rsidRDefault="00C1270F">
      <w:pPr>
        <w:spacing w:after="240" w:line="240" w:lineRule="auto"/>
        <w:jc w:val="both"/>
        <w:rPr>
          <w:rFonts w:ascii="Times New Roman" w:hAnsi="Times New Roman" w:cs="Times New Roman"/>
          <w:i/>
          <w:noProof/>
          <w:sz w:val="24"/>
          <w:szCs w:val="24"/>
          <w:lang w:val="fr-BE"/>
        </w:rPr>
      </w:pPr>
      <w:r>
        <w:rPr>
          <w:rFonts w:ascii="Times New Roman" w:hAnsi="Times New Roman"/>
          <w:noProof/>
          <w:sz w:val="24"/>
          <w:lang w:val="fr-BE"/>
        </w:rPr>
        <w:t>L’expérience acquise à ce jour montre l’existence de certaines caractéristiques communes qui pourraient alimenter les réflex</w:t>
      </w:r>
      <w:r>
        <w:rPr>
          <w:rFonts w:ascii="Times New Roman" w:hAnsi="Times New Roman"/>
          <w:noProof/>
          <w:sz w:val="24"/>
          <w:lang w:val="fr-BE"/>
        </w:rPr>
        <w:t>ions futures, sur la base d’un certain nombre de principes fondamentaux. Premièrement, tant l’UE que les autres États membres ont un intérêt légitime à ce que l’état de droit fonctionne correctement dans tous les États membres. Deuxièmement, la responsabil</w:t>
      </w:r>
      <w:r>
        <w:rPr>
          <w:rFonts w:ascii="Times New Roman" w:hAnsi="Times New Roman"/>
          <w:noProof/>
          <w:sz w:val="24"/>
          <w:lang w:val="fr-BE"/>
        </w:rPr>
        <w:t>ité de garantir l’état de droit doit avant tout incomber à chaque État membre et les mécanismes nationaux de recours devraient toujours être utilisés en premier lieu, étant donné que non seulement l’ordre juridique de l’UE, mais aussi les ordres juridiques</w:t>
      </w:r>
      <w:r>
        <w:rPr>
          <w:rFonts w:ascii="Times New Roman" w:hAnsi="Times New Roman"/>
          <w:noProof/>
          <w:sz w:val="24"/>
          <w:lang w:val="fr-BE"/>
        </w:rPr>
        <w:t xml:space="preserve"> nationaux, doivent être respectés. Troisièmement, le rôle de l’UE dans ce domaine doit être objectif et tous les États membres doivent bénéficier d’un traitement égal; l’UE doit s’appuyer sur la contribution de l’ensemble de ses institutions selon leur rô</w:t>
      </w:r>
      <w:r>
        <w:rPr>
          <w:rFonts w:ascii="Times New Roman" w:hAnsi="Times New Roman"/>
          <w:noProof/>
          <w:sz w:val="24"/>
          <w:lang w:val="fr-BE"/>
        </w:rPr>
        <w:t>le institutionnel respectif. Enfin, l’objectif ne doit pas être d’infliger une sanction, mais de trouver une solution qui protège l’état de droit, axée sur la coopération et le soutien mutuel.</w:t>
      </w:r>
    </w:p>
    <w:p w:rsidR="00617A57" w:rsidRDefault="00C1270F">
      <w:pPr>
        <w:spacing w:after="12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 xml:space="preserve">La nécessité de promouvoir les principes de l’état de droit </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w:t>
      </w:r>
      <w:r>
        <w:rPr>
          <w:rFonts w:ascii="Times New Roman" w:hAnsi="Times New Roman"/>
          <w:noProof/>
          <w:sz w:val="24"/>
          <w:lang w:val="fr-BE"/>
        </w:rPr>
        <w:t xml:space="preserve"> jurisprudence de la Cour de justice et de la Cour européenne des droits de l’homme établit que l’UE et ses États membres sont tenus de respecter les exigences et les normes fondamentales de l’UE pour préserver l’état de droit. Par ailleurs, le Conseil de </w:t>
      </w:r>
      <w:r>
        <w:rPr>
          <w:rFonts w:ascii="Times New Roman" w:hAnsi="Times New Roman"/>
          <w:noProof/>
          <w:sz w:val="24"/>
          <w:lang w:val="fr-BE"/>
        </w:rPr>
        <w:t>l’Europe a élaboré des normes et formule des avis et des recommandations qui fournissent des orientations bien établies destinées à promouvoir et à faire respecter l’état de droit</w:t>
      </w:r>
      <w:r>
        <w:rPr>
          <w:rFonts w:ascii="Times New Roman" w:hAnsi="Times New Roman"/>
          <w:noProof/>
          <w:sz w:val="24"/>
          <w:vertAlign w:val="superscript"/>
        </w:rPr>
        <w:footnoteReference w:id="38"/>
      </w:r>
      <w:r>
        <w:rPr>
          <w:rFonts w:ascii="Times New Roman" w:hAnsi="Times New Roman"/>
          <w:noProof/>
          <w:sz w:val="24"/>
          <w:lang w:val="fr-BE"/>
        </w:rPr>
        <w:t xml:space="preserve">. Ces exigences et ces normes constituent le fondement du respect de l’état </w:t>
      </w:r>
      <w:r>
        <w:rPr>
          <w:rFonts w:ascii="Times New Roman" w:hAnsi="Times New Roman"/>
          <w:noProof/>
          <w:sz w:val="24"/>
          <w:lang w:val="fr-BE"/>
        </w:rPr>
        <w:t>de droit dans tous les États membres, indépendamment de leurs structures constitutionnelles.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principes clés, tels que l’indépendance du pouvoir judiciaire et la séparation des pouvoirs, devraient être ancrés dans la culture politique des États membres.</w:t>
      </w:r>
      <w:r>
        <w:rPr>
          <w:rFonts w:ascii="Times New Roman" w:hAnsi="Times New Roman"/>
          <w:noProof/>
          <w:sz w:val="24"/>
          <w:lang w:val="fr-BE"/>
        </w:rPr>
        <w:t xml:space="preserve"> Lorsqu’une norme européenne générale peut être utilisée, elle peut être considérée à la fois comme un critère de référence pour évaluer une éventuelle lacune et comme une orientation en vue de trouver une solution.</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L’expérience a toutefois montré que cett</w:t>
      </w:r>
      <w:r>
        <w:rPr>
          <w:rFonts w:ascii="Times New Roman" w:hAnsi="Times New Roman"/>
          <w:noProof/>
          <w:sz w:val="24"/>
          <w:lang w:val="fr-BE"/>
        </w:rPr>
        <w:t>e jurisprudence, ces principes et ces normes ne sont pas toujours suffisamment connus au niveau national. Si les normes ne sont pas suffisamment connues, elles ne peuvent pas contribuer de manière significative à éclairer les politiques nationales ni alime</w:t>
      </w:r>
      <w:r>
        <w:rPr>
          <w:rFonts w:ascii="Times New Roman" w:hAnsi="Times New Roman"/>
          <w:noProof/>
          <w:sz w:val="24"/>
          <w:lang w:val="fr-BE"/>
        </w:rPr>
        <w:t>nter suffisamment le débat sur les réformes nationales, et elles peuvent être contestées dans le cadre du dialogue avec les institutions de l’UE.</w:t>
      </w:r>
    </w:p>
    <w:p w:rsidR="00617A57" w:rsidRDefault="00C1270F">
      <w:pPr>
        <w:rPr>
          <w:rFonts w:ascii="Times New Roman" w:hAnsi="Times New Roman" w:cs="Times New Roman"/>
          <w:i/>
          <w:noProof/>
          <w:sz w:val="24"/>
          <w:szCs w:val="24"/>
          <w:lang w:val="fr-BE"/>
        </w:rPr>
      </w:pPr>
      <w:r>
        <w:rPr>
          <w:rFonts w:ascii="Times New Roman" w:hAnsi="Times New Roman"/>
          <w:i/>
          <w:noProof/>
          <w:sz w:val="24"/>
          <w:lang w:val="fr-BE"/>
        </w:rPr>
        <w:t>Reconnaître les signes d’alerte</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fait de détecter à un stade précoce des signes d’alerte relatifs au non-res</w:t>
      </w:r>
      <w:r>
        <w:rPr>
          <w:rFonts w:ascii="Times New Roman" w:hAnsi="Times New Roman"/>
          <w:noProof/>
          <w:sz w:val="24"/>
          <w:lang w:val="fr-BE"/>
        </w:rPr>
        <w:t>pect de l’état de droit présente de nombreux avantages. Si une situation potentiellement préoccupante pour l’UE peut être détectée à un stade précoce et reconnue par l’État membre concerné, cette préoccupation peut être exprimée plus efficacement au niveau</w:t>
      </w:r>
      <w:r>
        <w:rPr>
          <w:rFonts w:ascii="Times New Roman" w:hAnsi="Times New Roman"/>
          <w:noProof/>
          <w:sz w:val="24"/>
          <w:lang w:val="fr-BE"/>
        </w:rPr>
        <w:t xml:space="preserve"> de l’UE et suffire à mettre en place un équilibre des pouvoirs au niveau national sans que des mesures plus formelles au niveau de l’UE ne soient nécessaires. Cette alerte précoce peut se faire de différentes manières.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problèmes récurrents sont plus f</w:t>
      </w:r>
      <w:r>
        <w:rPr>
          <w:rFonts w:ascii="Times New Roman" w:hAnsi="Times New Roman"/>
          <w:noProof/>
          <w:sz w:val="24"/>
          <w:lang w:val="fr-BE"/>
        </w:rPr>
        <w:t>aciles et rapides à cerner. La nécessité pour tous les pouvoirs publics d’être soumis à tout moment aux valeurs, aux règles et aux procédures établies est au cœur de l’état de droit. Lorsque les pouvoirs publics et les majorités élues d’un État membre igno</w:t>
      </w:r>
      <w:r>
        <w:rPr>
          <w:rFonts w:ascii="Times New Roman" w:hAnsi="Times New Roman"/>
          <w:noProof/>
          <w:sz w:val="24"/>
          <w:lang w:val="fr-BE"/>
        </w:rPr>
        <w:t>rent la législation ou les procédures applicables, il s’agit d’un signe d’alerte très évident. Par exemple, de nombreuses affaires récentes ayant un écho au niveau de l’UE concernaient l’indépendance du processus judiciaire. Le pouvoir judiciaire est au cœ</w:t>
      </w:r>
      <w:r>
        <w:rPr>
          <w:rFonts w:ascii="Times New Roman" w:hAnsi="Times New Roman"/>
          <w:noProof/>
          <w:sz w:val="24"/>
          <w:lang w:val="fr-BE"/>
        </w:rPr>
        <w:t xml:space="preserve">ur de l’état de droit et les tentatives des acteurs politiques visant à nuire à son indépendance et au caractère contraignant de ses décisions en exerçant des pressions politiques ou autres sur certains juges, en interférant dans certaines affaires, en ne </w:t>
      </w:r>
      <w:r>
        <w:rPr>
          <w:rFonts w:ascii="Times New Roman" w:hAnsi="Times New Roman"/>
          <w:noProof/>
          <w:sz w:val="24"/>
          <w:lang w:val="fr-BE"/>
        </w:rPr>
        <w:t xml:space="preserve">respectant pas les décisions judiciaires ou en revenant sur des décisions judiciaires définitives sont des problèmes connus. D’autres exemples récents concernent l’affaiblissement des cours constitutionnelles ou la mise en place d’autres contrôles sur les </w:t>
      </w:r>
      <w:r>
        <w:rPr>
          <w:rFonts w:ascii="Times New Roman" w:hAnsi="Times New Roman"/>
          <w:noProof/>
          <w:sz w:val="24"/>
          <w:lang w:val="fr-BE"/>
        </w:rPr>
        <w:t>textes législatifs adoptés par le Parlement ainsi que sur les mesures prises par le gouvernement, ou le recours accru à des ordonnances. Un processus législatif peu clair peut permettre aux majorités politiques d’affaiblir ou de ne pas tenir compte de l’éq</w:t>
      </w:r>
      <w:r>
        <w:rPr>
          <w:rFonts w:ascii="Times New Roman" w:hAnsi="Times New Roman"/>
          <w:noProof/>
          <w:sz w:val="24"/>
          <w:lang w:val="fr-BE"/>
        </w:rPr>
        <w:t>uilibre des pouvoirs. Les attaques publiques répétées d’une branche de l’État contre l’autre portent atteinte au principe fondamental de séparation des pouvoirs. Des problèmes dans ces domaines constituent dès lors des signes annonciateurs d’un non-respect</w:t>
      </w:r>
      <w:r>
        <w:rPr>
          <w:rFonts w:ascii="Times New Roman" w:hAnsi="Times New Roman"/>
          <w:noProof/>
          <w:sz w:val="24"/>
          <w:lang w:val="fr-BE"/>
        </w:rPr>
        <w:t xml:space="preserve"> potentiel de l’état de droit et peuvent être l’occasion d’engager un dialogue et de remédier éventuellement à la situation à un stade précoce.</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De manière plus large, la corruption à haut niveau et l’abus de pouvoir sont liés à des situations où le pouvoir</w:t>
      </w:r>
      <w:r>
        <w:rPr>
          <w:rFonts w:ascii="Times New Roman" w:hAnsi="Times New Roman"/>
          <w:noProof/>
          <w:sz w:val="24"/>
          <w:lang w:val="fr-BE"/>
        </w:rPr>
        <w:t xml:space="preserve"> politique cherche à bafouer l’état de droit. Des faiblesses structurelles peuvent également créer un contexte favorable à un risque accru de problèmes liés à l’état de droit. De telles faiblesses au sein des systèmes judiciaires, telles que des garanties </w:t>
      </w:r>
      <w:r>
        <w:rPr>
          <w:rFonts w:ascii="Times New Roman" w:hAnsi="Times New Roman"/>
          <w:noProof/>
          <w:sz w:val="24"/>
          <w:lang w:val="fr-BE"/>
        </w:rPr>
        <w:t>insuffisantes en matière d’indépendance de la justice, font peser un risque accru de pressions sur le pouvoir judiciaire. De même, des insuffisances d’ordre général dans les administrations publiques peuvent donner lieu à des décisions arbitraires et favor</w:t>
      </w:r>
      <w:r>
        <w:rPr>
          <w:rFonts w:ascii="Times New Roman" w:hAnsi="Times New Roman"/>
          <w:noProof/>
          <w:sz w:val="24"/>
          <w:lang w:val="fr-BE"/>
        </w:rPr>
        <w:t>iser la corruption, et créer des situations dans lesquelles les fonctionnaires peuvent éprouver plus de difficultés à résister aux pressions exercées. Ces questions sont des indicateurs de l’existence d’éventuels problèmes liés à l’état de droit.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premi</w:t>
      </w:r>
      <w:r>
        <w:rPr>
          <w:rFonts w:ascii="Times New Roman" w:hAnsi="Times New Roman"/>
          <w:noProof/>
          <w:sz w:val="24"/>
          <w:lang w:val="fr-BE"/>
        </w:rPr>
        <w:t>ers signes d’inquiétude concernant des défaillances de l’état de droit proviennent en général d’acteurs évoluant à l’intérieur de l’État membre. La liberté d’expression et d’information ainsi que la liberté et le pluralisme des médias constituent également</w:t>
      </w:r>
      <w:r>
        <w:rPr>
          <w:rFonts w:ascii="Times New Roman" w:hAnsi="Times New Roman"/>
          <w:noProof/>
          <w:sz w:val="24"/>
          <w:lang w:val="fr-BE"/>
        </w:rPr>
        <w:t xml:space="preserve"> des valeurs fondatrices de l’Union européenne. La société civile et les médias indépendants sont des observateurs critiques essentiels dans des démocraties saines et jouent donc un rôle clé qui consiste à mettre les détenteurs du pouvoir face à leurs resp</w:t>
      </w:r>
      <w:r>
        <w:rPr>
          <w:rFonts w:ascii="Times New Roman" w:hAnsi="Times New Roman"/>
          <w:noProof/>
          <w:sz w:val="24"/>
          <w:lang w:val="fr-BE"/>
        </w:rPr>
        <w:t xml:space="preserve">onsabilités, en participant aux débats publics et en contestant les décisions publiques. Les tentatives visant à affaiblir ces acteurs ou à exercer des pressions sur eux constituent dès lors un autre signe d’alerte. </w:t>
      </w:r>
    </w:p>
    <w:p w:rsidR="00617A57" w:rsidRDefault="00C1270F">
      <w:pPr>
        <w:spacing w:after="12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Approfondir les connaissances relatives</w:t>
      </w:r>
      <w:r>
        <w:rPr>
          <w:rFonts w:ascii="Times New Roman" w:hAnsi="Times New Roman"/>
          <w:i/>
          <w:noProof/>
          <w:sz w:val="24"/>
          <w:lang w:val="fr-BE"/>
        </w:rPr>
        <w:t xml:space="preserve"> aux États membres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niveau de sensibilisation à ces signes et, partant, la capacité de l’Union à prendre en temps utile des mesures à cet égard dépendent de l’état des connaissances de la Commission, des autres institutions et des autres États membres. C</w:t>
      </w:r>
      <w:r>
        <w:rPr>
          <w:rFonts w:ascii="Times New Roman" w:hAnsi="Times New Roman"/>
          <w:noProof/>
          <w:sz w:val="24"/>
          <w:lang w:val="fr-BE"/>
        </w:rPr>
        <w:t>ertains signes d’alerte ne peuvent être détectés que par une compréhension approfondie des pratiques des États membres, au moyen d’un dialogue avec les autorités et les parties prenantes. Ces connaissances relatives aux États membres sont essentielles pour</w:t>
      </w:r>
      <w:r>
        <w:rPr>
          <w:rFonts w:ascii="Times New Roman" w:hAnsi="Times New Roman"/>
          <w:noProof/>
          <w:sz w:val="24"/>
          <w:lang w:val="fr-BE"/>
        </w:rPr>
        <w:t xml:space="preserve"> contribuer à prévenir les éventuelles menaces qui pèsent sur l’état de droit et pour y faire face efficacement si nécessaire. Il importe également de veiller à ce que les réformes entreprises par les États membres respectent pleinement les exigences jurid</w:t>
      </w:r>
      <w:r>
        <w:rPr>
          <w:rFonts w:ascii="Times New Roman" w:hAnsi="Times New Roman"/>
          <w:noProof/>
          <w:sz w:val="24"/>
          <w:lang w:val="fr-BE"/>
        </w:rPr>
        <w:t>iques de l’UE et les normes européennes en matière d’état de droit. Enfin, il est nécessaire d’approfondir les connaissances relatives aux États membres pour déterminer la meilleure manière dont les fonds et l’assistance technique de l’UE peuvent y souteni</w:t>
      </w:r>
      <w:r>
        <w:rPr>
          <w:rFonts w:ascii="Times New Roman" w:hAnsi="Times New Roman"/>
          <w:noProof/>
          <w:sz w:val="24"/>
          <w:lang w:val="fr-BE"/>
        </w:rPr>
        <w:t>r l’état de droit. L’équité, l’objectivité et l’égalité de traitement doivent faire partie de tout système visant à faire respecter l’état de droit dans l’Union. L’expertise technique et la capacité d’analyse au niveau de l’Union sont essentielles pour gar</w:t>
      </w:r>
      <w:r>
        <w:rPr>
          <w:rFonts w:ascii="Times New Roman" w:hAnsi="Times New Roman"/>
          <w:noProof/>
          <w:sz w:val="24"/>
          <w:lang w:val="fr-BE"/>
        </w:rPr>
        <w:t>antir que les évaluations tiennent dûment compte des traditions nationales tout en recensant clairement les problèmes existants.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Semestre européen, complété par le tableau de bord de la justice dans l’UE, s’est révélé un cadre adéquat permettant de </w:t>
      </w:r>
      <w:r>
        <w:rPr>
          <w:rFonts w:ascii="Times New Roman" w:hAnsi="Times New Roman"/>
          <w:noProof/>
          <w:sz w:val="24"/>
          <w:lang w:val="fr-BE"/>
        </w:rPr>
        <w:t>mieux comprendre ce qui se fait en matière d’état de droit dans les différents États membres et une réflexion pourrait être menée afin de déterminer si le potentiel de ces instruments pourrait être davantage exploité.</w:t>
      </w:r>
    </w:p>
    <w:p w:rsidR="00617A57" w:rsidRDefault="00C1270F">
      <w:pPr>
        <w:spacing w:after="12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Améliorer la capacité de l’UE à réagir</w:t>
      </w:r>
      <w:r>
        <w:rPr>
          <w:rFonts w:ascii="Times New Roman" w:hAnsi="Times New Roman"/>
          <w:i/>
          <w:noProof/>
          <w:sz w:val="24"/>
          <w:lang w:val="fr-BE"/>
        </w:rPr>
        <w:t xml:space="preserve"> aux problèmes liés à l’état de droit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L’expérience des dernières années, ainsi que le dialogue plus large sur la question, ont clairement montré la nécessité d’améliorer la capacité de réaction de l’UE en cas de graves atteintes à l’état de droit. Par exem</w:t>
      </w:r>
      <w:r>
        <w:rPr>
          <w:rFonts w:ascii="Times New Roman" w:hAnsi="Times New Roman"/>
          <w:noProof/>
          <w:sz w:val="24"/>
          <w:lang w:val="fr-BE"/>
        </w:rPr>
        <w:t>ple, l’expérience acquise dans le cadre des procédures engagées actuellement au titre de l’article 7 du TUE a souligné la nécessité de poursuivre la réflexion sur la manière de mener ces procédures le plus efficacement possible. Les problèmes liés à l’état</w:t>
      </w:r>
      <w:r>
        <w:rPr>
          <w:rFonts w:ascii="Times New Roman" w:hAnsi="Times New Roman"/>
          <w:noProof/>
          <w:sz w:val="24"/>
          <w:lang w:val="fr-BE"/>
        </w:rPr>
        <w:t xml:space="preserve"> de droit sont aussi divers que les mesures qu’il convient de prendre au niveau de l’UE pour y faire face.</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L’intervention de l’UE devrait donc revêtir différentes formes. Même un signalement informel de difficultés potentielles à un stade précoce peut perm</w:t>
      </w:r>
      <w:r>
        <w:rPr>
          <w:rFonts w:ascii="Times New Roman" w:hAnsi="Times New Roman"/>
          <w:noProof/>
          <w:sz w:val="24"/>
          <w:lang w:val="fr-BE"/>
        </w:rPr>
        <w:t>ettre aux autorités nationales de revoir la question ou de déclencher les mécanismes d’équilibre des pouvoirs au niveau national.</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 dialogue est certes essentiel, mais le fait de l’intégrer dans un processus structuré augmente les chances que l’action qui</w:t>
      </w:r>
      <w:r>
        <w:rPr>
          <w:rFonts w:ascii="Times New Roman" w:hAnsi="Times New Roman"/>
          <w:noProof/>
          <w:sz w:val="24"/>
          <w:lang w:val="fr-BE"/>
        </w:rPr>
        <w:t xml:space="preserve"> en résulte ait la dimension et la direction requises. De nombreux problèmes liés à l’état de droit sont sensibles au facteur temps et plus ils sont longs à résoudre, plus le risque est grand d’accentuer ces problèmes et de causer des dommages à l’UE, ains</w:t>
      </w:r>
      <w:r>
        <w:rPr>
          <w:rFonts w:ascii="Times New Roman" w:hAnsi="Times New Roman"/>
          <w:noProof/>
          <w:sz w:val="24"/>
          <w:lang w:val="fr-BE"/>
        </w:rPr>
        <w:t xml:space="preserve">i qu’à l’État membre concerné. Des mesures intermédiaires, proportionnées à la gravité du problème et avec un seuil inférieur à celui d’une action menée dans le cadre de l’article 7 du TUE, présentent des avantages. Lorsque de telles mesures ont été mises </w:t>
      </w:r>
      <w:r>
        <w:rPr>
          <w:rFonts w:ascii="Times New Roman" w:hAnsi="Times New Roman"/>
          <w:noProof/>
          <w:sz w:val="24"/>
          <w:lang w:val="fr-BE"/>
        </w:rPr>
        <w:t>en œuvre, des réexamens ou un post-suivi peuvent aussi être utiles: l’expérience montre que l’application de conditions ex ante au versement de fonds de l’UE a constitué une incitation importante, mais que, lorsque l’autorisation est donnée de manière exce</w:t>
      </w:r>
      <w:r>
        <w:rPr>
          <w:rFonts w:ascii="Times New Roman" w:hAnsi="Times New Roman"/>
          <w:noProof/>
          <w:sz w:val="24"/>
          <w:lang w:val="fr-BE"/>
        </w:rPr>
        <w:t>ptionnelle, il existe un risque de retour en arrière au niveau des politiques ou des structures.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Par ailleurs, l’action de l’UE a une plus grande incidence si toutes les institutions prennent leurs responsabilités dans le processus, en fonction de leurs di</w:t>
      </w:r>
      <w:r>
        <w:rPr>
          <w:rFonts w:ascii="Times New Roman" w:hAnsi="Times New Roman"/>
          <w:noProof/>
          <w:sz w:val="24"/>
          <w:lang w:val="fr-BE"/>
        </w:rPr>
        <w:t>fférents rôles. Une intervention de l’UE dans une crise est politiquement sensible et aura toujours davantage de poids si elle est étayée par une approche commune. Le soutien du Parlement européen et du Conseil aux actions de la Commission et la mise en pl</w:t>
      </w:r>
      <w:r>
        <w:rPr>
          <w:rFonts w:ascii="Times New Roman" w:hAnsi="Times New Roman"/>
          <w:noProof/>
          <w:sz w:val="24"/>
          <w:lang w:val="fr-BE"/>
        </w:rPr>
        <w:t>ace de procédures internes renforcées au sein des institutions pour répondre aux préoccupations en matière d’état de droit dans les États membres peuvent constituer un moyen efficace de souligner la nécessité pour un État membre de réagir aux inquiétudes e</w:t>
      </w:r>
      <w:r>
        <w:rPr>
          <w:rFonts w:ascii="Times New Roman" w:hAnsi="Times New Roman"/>
          <w:noProof/>
          <w:sz w:val="24"/>
          <w:lang w:val="fr-BE"/>
        </w:rPr>
        <w:t>xprimées, ainsi que d’accroître les incitations à la recherche de solutions.</w:t>
      </w:r>
    </w:p>
    <w:p w:rsidR="00617A57" w:rsidRDefault="00C1270F">
      <w:pPr>
        <w:spacing w:after="120" w:line="240" w:lineRule="auto"/>
        <w:jc w:val="both"/>
        <w:rPr>
          <w:rFonts w:ascii="Times New Roman" w:hAnsi="Times New Roman" w:cs="Times New Roman"/>
          <w:noProof/>
          <w:sz w:val="24"/>
          <w:szCs w:val="24"/>
          <w:lang w:val="fr-BE"/>
        </w:rPr>
      </w:pPr>
      <w:r>
        <w:rPr>
          <w:rFonts w:ascii="Times New Roman" w:hAnsi="Times New Roman"/>
          <w:i/>
          <w:noProof/>
          <w:sz w:val="24"/>
          <w:lang w:val="fr-BE"/>
        </w:rPr>
        <w:t>Remédier aux lacunes à long terme au moyen de réformes structurelles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L’UE a aussi joué un rôle croissant dans le renforcement des capacités et du fonctionnement des autorités et d</w:t>
      </w:r>
      <w:r>
        <w:rPr>
          <w:rFonts w:ascii="Times New Roman" w:hAnsi="Times New Roman"/>
          <w:noProof/>
          <w:sz w:val="24"/>
          <w:lang w:val="fr-BE"/>
        </w:rPr>
        <w:t>es institutions nationales associées à l’équilibre des pouvoirs au niveau national.</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Les fonds de l’UE ont apporté une contribution importante au renforcement des capacités des institutions publiques en faveur de l’état de droit. Au cours de la période de p</w:t>
      </w:r>
      <w:r>
        <w:rPr>
          <w:rFonts w:ascii="Times New Roman" w:hAnsi="Times New Roman"/>
          <w:noProof/>
          <w:sz w:val="24"/>
          <w:lang w:val="fr-BE"/>
        </w:rPr>
        <w:t>rogrammation 2014-2020, près de la moitié des États membres ont eu recours aux Fonds structurels pour soutenir les réformes visant à renforcer le pouvoir judiciaire et l’administration publique, ou pour contribuer à la lutte contre la corruption. Cela mont</w:t>
      </w:r>
      <w:r>
        <w:rPr>
          <w:rFonts w:ascii="Times New Roman" w:hAnsi="Times New Roman"/>
          <w:noProof/>
          <w:sz w:val="24"/>
          <w:lang w:val="fr-BE"/>
        </w:rPr>
        <w:t>re également qu’outre les préoccupations qu’elle exprime, l’UE apporte des solutions pratiques. Par exemple, le service d’appui à la réforme structurelle de la Commission, au titre du programme d’appui à la réforme structurelle, peut collaborer avec les in</w:t>
      </w:r>
      <w:r>
        <w:rPr>
          <w:rFonts w:ascii="Times New Roman" w:hAnsi="Times New Roman"/>
          <w:noProof/>
          <w:sz w:val="24"/>
          <w:lang w:val="fr-BE"/>
        </w:rPr>
        <w:t>stitutions nationales en vue de contribuer aux réformes pertinentes en matière d’état de droit.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L’utilisation des fonds et des programmes de l’UE pour renforcer l’état de droit sera aussi plus efficace si elle est également soutenue par les recommandations</w:t>
      </w:r>
      <w:r>
        <w:rPr>
          <w:rFonts w:ascii="Times New Roman" w:hAnsi="Times New Roman"/>
          <w:noProof/>
          <w:sz w:val="24"/>
          <w:lang w:val="fr-BE"/>
        </w:rPr>
        <w:t xml:space="preserve"> en matière de réformes structurelles dans le cadre du Semestre européen.</w:t>
      </w:r>
    </w:p>
    <w:p w:rsidR="00617A57" w:rsidRDefault="00C1270F">
      <w:pPr>
        <w:spacing w:after="480" w:line="240" w:lineRule="auto"/>
        <w:jc w:val="both"/>
        <w:rPr>
          <w:rFonts w:ascii="Times New Roman" w:hAnsi="Times New Roman" w:cs="Times New Roman"/>
          <w:b/>
          <w:noProof/>
          <w:sz w:val="24"/>
          <w:szCs w:val="24"/>
          <w:lang w:val="fr-BE"/>
        </w:rPr>
      </w:pPr>
      <w:r>
        <w:rPr>
          <w:rFonts w:ascii="Times New Roman" w:hAnsi="Times New Roman"/>
          <w:noProof/>
          <w:sz w:val="24"/>
          <w:lang w:val="fr-BE"/>
        </w:rPr>
        <w:t>De manière plus générale, la politique de l’Union dans des domaines tels que les marchés publics, l’amélioration de la réglementation et la coopération en matière de justice pénale e</w:t>
      </w:r>
      <w:r>
        <w:rPr>
          <w:rFonts w:ascii="Times New Roman" w:hAnsi="Times New Roman"/>
          <w:noProof/>
          <w:sz w:val="24"/>
          <w:lang w:val="fr-BE"/>
        </w:rPr>
        <w:t>t civile peut contribuer à garantir une application cohérente des normes européennes relatives à l’état de droit.</w:t>
      </w:r>
    </w:p>
    <w:p w:rsidR="00617A57" w:rsidRDefault="00C1270F">
      <w:pPr>
        <w:spacing w:after="240" w:line="240" w:lineRule="auto"/>
        <w:ind w:left="720" w:hanging="720"/>
        <w:jc w:val="both"/>
        <w:rPr>
          <w:rFonts w:ascii="Times New Roman" w:hAnsi="Times New Roman" w:cs="Times New Roman"/>
          <w:b/>
          <w:noProof/>
          <w:sz w:val="24"/>
          <w:szCs w:val="24"/>
          <w:lang w:val="fr-BE"/>
        </w:rPr>
      </w:pPr>
      <w:r>
        <w:rPr>
          <w:rFonts w:ascii="Times New Roman" w:hAnsi="Times New Roman" w:cs="Times New Roman"/>
          <w:b/>
          <w:noProof/>
          <w:sz w:val="24"/>
          <w:szCs w:val="24"/>
          <w:lang w:val="fr-BE"/>
        </w:rPr>
        <w:t>V.</w:t>
      </w:r>
      <w:r>
        <w:rPr>
          <w:rFonts w:ascii="Times New Roman" w:hAnsi="Times New Roman" w:cs="Times New Roman"/>
          <w:b/>
          <w:noProof/>
          <w:sz w:val="24"/>
          <w:szCs w:val="24"/>
          <w:lang w:val="fr-BE"/>
        </w:rPr>
        <w:tab/>
      </w:r>
      <w:r>
        <w:rPr>
          <w:rFonts w:ascii="Times New Roman" w:hAnsi="Times New Roman"/>
          <w:b/>
          <w:noProof/>
          <w:sz w:val="24"/>
          <w:lang w:val="fr-BE"/>
        </w:rPr>
        <w:t>PROPOSITIONS DE PISTES POUR L’AVENIR</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On peut considérer que l’application effective de l'état de droit dans l’Union repose sur trois pilier</w:t>
      </w:r>
      <w:r>
        <w:rPr>
          <w:rFonts w:ascii="Times New Roman" w:hAnsi="Times New Roman"/>
          <w:noProof/>
          <w:sz w:val="24"/>
          <w:lang w:val="fr-BE"/>
        </w:rPr>
        <w:t xml:space="preserve">s: premièrement, la </w:t>
      </w:r>
      <w:r>
        <w:rPr>
          <w:rFonts w:ascii="Times New Roman" w:hAnsi="Times New Roman"/>
          <w:b/>
          <w:noProof/>
          <w:sz w:val="24"/>
          <w:lang w:val="fr-BE"/>
        </w:rPr>
        <w:t>promotion</w:t>
      </w:r>
      <w:r>
        <w:rPr>
          <w:rFonts w:ascii="Times New Roman" w:hAnsi="Times New Roman"/>
          <w:noProof/>
          <w:sz w:val="24"/>
          <w:lang w:val="fr-BE"/>
        </w:rPr>
        <w:t xml:space="preserve"> de l’état de droit, qui passe par l’approfondissement du travail réalisé en commun pour sensibiliser davantage à l’état de droit en Europe; deuxièmement, la </w:t>
      </w:r>
      <w:r>
        <w:rPr>
          <w:rFonts w:ascii="Times New Roman" w:hAnsi="Times New Roman"/>
          <w:b/>
          <w:noProof/>
          <w:sz w:val="24"/>
          <w:lang w:val="fr-BE"/>
        </w:rPr>
        <w:t>prévention</w:t>
      </w:r>
      <w:r>
        <w:rPr>
          <w:rFonts w:ascii="Times New Roman" w:hAnsi="Times New Roman"/>
          <w:noProof/>
          <w:sz w:val="24"/>
          <w:lang w:val="fr-BE"/>
        </w:rPr>
        <w:t xml:space="preserve"> des problèmes liés à l’état de droit, permettant d’interve</w:t>
      </w:r>
      <w:r>
        <w:rPr>
          <w:rFonts w:ascii="Times New Roman" w:hAnsi="Times New Roman"/>
          <w:noProof/>
          <w:sz w:val="24"/>
          <w:lang w:val="fr-BE"/>
        </w:rPr>
        <w:t xml:space="preserve">nir à un stade précoce pour ainsi éviter l’escalade; et troisièmement, la capacité de prendre conjointement des </w:t>
      </w:r>
      <w:r>
        <w:rPr>
          <w:rFonts w:ascii="Times New Roman" w:hAnsi="Times New Roman"/>
          <w:b/>
          <w:noProof/>
          <w:sz w:val="24"/>
          <w:lang w:val="fr-BE"/>
        </w:rPr>
        <w:t>mesures</w:t>
      </w:r>
      <w:r>
        <w:rPr>
          <w:rFonts w:ascii="Times New Roman" w:hAnsi="Times New Roman"/>
          <w:noProof/>
          <w:sz w:val="24"/>
          <w:lang w:val="fr-BE"/>
        </w:rPr>
        <w:t xml:space="preserve"> efficaces lorsqu’un problème suffisamment significatif est constaté.</w:t>
      </w:r>
    </w:p>
    <w:p w:rsidR="00617A57" w:rsidRDefault="00C1270F">
      <w:pPr>
        <w:spacing w:after="12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 xml:space="preserve">Promotion: renforcer les connaissances et promouvoir une culture </w:t>
      </w:r>
      <w:r>
        <w:rPr>
          <w:rFonts w:ascii="Times New Roman" w:hAnsi="Times New Roman"/>
          <w:i/>
          <w:noProof/>
          <w:sz w:val="24"/>
          <w:lang w:val="fr-BE"/>
        </w:rPr>
        <w:t>commune de l’état de droit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Une culture politique et juridique solide au soutien de l'état de droit dans tous les États membres représente le meilleur moyen de préserver l'état de droit. Même si l’Union respecte les structures politiques et constitutionnell</w:t>
      </w:r>
      <w:r>
        <w:rPr>
          <w:rFonts w:ascii="Times New Roman" w:hAnsi="Times New Roman"/>
          <w:noProof/>
          <w:sz w:val="24"/>
          <w:lang w:val="fr-BE"/>
        </w:rPr>
        <w:t>es des États membres, en raison des obligations découlant de l’adhésion à l’Union, ainsi que de l’héritage démocratique de l’Europe, les règles et les structures nationales doivent intégrer les règles et les normes de l’UE dans le domaine de l’état de droi</w:t>
      </w:r>
      <w:r>
        <w:rPr>
          <w:rFonts w:ascii="Times New Roman" w:hAnsi="Times New Roman"/>
          <w:noProof/>
          <w:sz w:val="24"/>
          <w:lang w:val="fr-BE"/>
        </w:rPr>
        <w:t>t en tant que valeurs communes de l’UE et se conformer aux garanties prévues en la matière par le droit primaire et le droit dérivé de l’UE.</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sensibilisation accrue de l’opinion publique à l’importance de l’état de droit dans une démocratie peut aussi se</w:t>
      </w:r>
      <w:r>
        <w:rPr>
          <w:rFonts w:ascii="Times New Roman" w:hAnsi="Times New Roman"/>
          <w:noProof/>
          <w:sz w:val="24"/>
          <w:lang w:val="fr-BE"/>
        </w:rPr>
        <w:t xml:space="preserve"> révéler utile, et des activités de communication à l’intention des citoyens pourraient être soutenues.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Pour qu’une telle culture politique et juridique puisse être approfondie et devenir pérenne dans tous les États membres, il convient de promouvoir la co</w:t>
      </w:r>
      <w:r>
        <w:rPr>
          <w:rFonts w:ascii="Times New Roman" w:hAnsi="Times New Roman"/>
          <w:noProof/>
          <w:sz w:val="24"/>
          <w:lang w:val="fr-BE"/>
        </w:rPr>
        <w:t>nnaissance de la jurisprudence et des normes qui existent dans le domaine de l’état de droit afin que, par exemple, les évaluations et les opinions d’instances telles que la Commission de Venise et le GRECO puissent faire l’objet de discussions au niveau n</w:t>
      </w:r>
      <w:r>
        <w:rPr>
          <w:rFonts w:ascii="Times New Roman" w:hAnsi="Times New Roman"/>
          <w:noProof/>
          <w:sz w:val="24"/>
          <w:lang w:val="fr-BE"/>
        </w:rPr>
        <w:t>ational. Toutes les parties pourront ainsi mieux comprendre ce qu'on attend d'elles et comment les institutions et les lois devraient tenir compte de principes fondamentaux. L’adoption d’approches communes dans ces domaines peut contribuer à la promotion d</w:t>
      </w:r>
      <w:r>
        <w:rPr>
          <w:rFonts w:ascii="Times New Roman" w:hAnsi="Times New Roman"/>
          <w:noProof/>
          <w:sz w:val="24"/>
          <w:lang w:val="fr-BE"/>
        </w:rPr>
        <w:t>’une culture de l’état de droit profondément ancrée au sein de l’ensemble des institutions et des professions concernées.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Ce n’est pas parce qu’elles sont communes que les approches, les règles et les normes doivent être mises en œuvre à l’identique. Toute</w:t>
      </w:r>
      <w:r>
        <w:rPr>
          <w:rFonts w:ascii="Times New Roman" w:hAnsi="Times New Roman"/>
          <w:noProof/>
          <w:sz w:val="24"/>
          <w:lang w:val="fr-BE"/>
        </w:rPr>
        <w:t>fois, une approche commune claire permet d’évaluer plus facilement les différents systèmes nationaux et d'avoir l'assurance qu’ils sont adaptés.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Il s’agit d’un élément d’autant plus important que le respect de l’état de droit dépend non seulement de l’exis</w:t>
      </w:r>
      <w:r>
        <w:rPr>
          <w:rFonts w:ascii="Times New Roman" w:hAnsi="Times New Roman"/>
          <w:noProof/>
          <w:sz w:val="24"/>
          <w:lang w:val="fr-BE"/>
        </w:rPr>
        <w:t>tence de lois et de structures institutionnelles, mais également de la pratique institutionnelle. Par exemple, la Commission de Venise a attiré l’attention sur l’importance de la coopération loyale entre les institutions - l’acceptation par une partie de l</w:t>
      </w:r>
      <w:r>
        <w:rPr>
          <w:rFonts w:ascii="Times New Roman" w:hAnsi="Times New Roman"/>
          <w:noProof/>
          <w:sz w:val="24"/>
          <w:lang w:val="fr-BE"/>
        </w:rPr>
        <w:t xml:space="preserve">’État que d’autres parties ont des fonctions légitimes qui doivent être respectées - en tant que composant essentiel de l’état de droit. Cette coopération loyale peut, en tant que telle, être mise à rude épreuve même lorsqu’elle est inscrite dans des lois </w:t>
      </w:r>
      <w:r>
        <w:rPr>
          <w:rFonts w:ascii="Times New Roman" w:hAnsi="Times New Roman"/>
          <w:noProof/>
          <w:sz w:val="24"/>
          <w:lang w:val="fr-BE"/>
        </w:rPr>
        <w:t>ou dans la Constitution. L’échange d’expertise entre praticiens de différents États membres - tels que juges, magistrats du parquet et experts dans le domaine de la lutte contre la corruption - peut aider à mieux comprendre ce que cela implique dans la pra</w:t>
      </w:r>
      <w:r>
        <w:rPr>
          <w:rFonts w:ascii="Times New Roman" w:hAnsi="Times New Roman"/>
          <w:noProof/>
          <w:sz w:val="24"/>
          <w:lang w:val="fr-BE"/>
        </w:rPr>
        <w:t>tique. Un processus transparent d’élaboration des politiques et des lois figure parmi les autres éléments fondamentaux de l’état de droit et d'une gouvernance respectueuse dans la pratique. Tous ces éléments reconnaissent, fondamentalement, que les différe</w:t>
      </w:r>
      <w:r>
        <w:rPr>
          <w:rFonts w:ascii="Times New Roman" w:hAnsi="Times New Roman"/>
          <w:noProof/>
          <w:sz w:val="24"/>
          <w:lang w:val="fr-BE"/>
        </w:rPr>
        <w:t>nts pouvoirs étatiques sont soumis à l’obligation de rendre des comptes et à des contraintes qui doivent être respectées dans une société démocratique.</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L’UE offre une plateforme unique pour conscientiser et sensibiliser aux problèmes liés à l’état de droit</w:t>
      </w:r>
      <w:r>
        <w:rPr>
          <w:rFonts w:ascii="Times New Roman" w:hAnsi="Times New Roman"/>
          <w:noProof/>
          <w:sz w:val="24"/>
          <w:lang w:val="fr-BE"/>
        </w:rPr>
        <w:t>. Comme l’a suggéré le Parlement européen, elle pourrait aller au-delà des institutions de l’UE et associer les parlements nationaux et d’autres participants clés au niveau national. La société civile revêt une importance particulière, y compris aux niveau</w:t>
      </w:r>
      <w:r>
        <w:rPr>
          <w:rFonts w:ascii="Times New Roman" w:hAnsi="Times New Roman"/>
          <w:noProof/>
          <w:sz w:val="24"/>
          <w:lang w:val="fr-BE"/>
        </w:rPr>
        <w:t>x régional et local. La Commission a déjà proposé d’accroître les financements et le soutien en faveur d'une société civile dynamique, de la promotion du pluralisme des médias et de la mise en réseau des parties prenantes dans le domaine de l’état de droit</w:t>
      </w:r>
      <w:r>
        <w:rPr>
          <w:rFonts w:ascii="Times New Roman" w:hAnsi="Times New Roman"/>
          <w:noProof/>
          <w:sz w:val="24"/>
          <w:lang w:val="fr-BE"/>
        </w:rPr>
        <w:t>, ainsi que de soutenir les organisations, les entités et les organismes qui poursuivent, au niveau de l’Union, des objectifs d’intérêt général pour l'Europe dans le domaine de la justice et de l’état de droit</w:t>
      </w:r>
      <w:r>
        <w:rPr>
          <w:rFonts w:ascii="Times New Roman" w:hAnsi="Times New Roman"/>
          <w:noProof/>
          <w:sz w:val="24"/>
          <w:vertAlign w:val="superscript"/>
        </w:rPr>
        <w:footnoteReference w:id="39"/>
      </w:r>
      <w:r>
        <w:rPr>
          <w:rFonts w:ascii="Times New Roman" w:hAnsi="Times New Roman"/>
          <w:noProof/>
          <w:sz w:val="24"/>
          <w:lang w:val="fr-BE"/>
        </w:rPr>
        <w:t xml:space="preserve">. </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relation entre l’UE et le Conseil de </w:t>
      </w:r>
      <w:r>
        <w:rPr>
          <w:rFonts w:ascii="Times New Roman" w:hAnsi="Times New Roman"/>
          <w:noProof/>
          <w:sz w:val="24"/>
          <w:lang w:val="fr-BE"/>
        </w:rPr>
        <w:t>l’Europe joue un rôle particulièrement important pour la promotion de l’état de droit. Les institutions et les États membres de l’UE pourraient aller plus loin dans cette direction dans le but de promouvoir une culture commune de l’état de droit en Europe</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L’UE pourrait également se pencher sur le meilleur moyen de promouvoir les travaux du Conseil de l’Europe sur des normes communes dans le domaine de l’état de droit. La promotion de normes en la matière pourrait également être développée en vue d'un</w:t>
      </w:r>
      <w:r>
        <w:rPr>
          <w:rFonts w:ascii="Times New Roman" w:hAnsi="Times New Roman"/>
          <w:noProof/>
          <w:sz w:val="24"/>
          <w:lang w:val="fr-BE"/>
        </w:rPr>
        <w:t xml:space="preserve"> examen par les pairs, conformément à la proposition expresse de certains États membres.</w:t>
      </w:r>
    </w:p>
    <w:tbl>
      <w:tblPr>
        <w:tblStyle w:val="TableGrid"/>
        <w:tblW w:w="0" w:type="auto"/>
        <w:tblLook w:val="04A0" w:firstRow="1" w:lastRow="0" w:firstColumn="1" w:lastColumn="0" w:noHBand="0" w:noVBand="1"/>
      </w:tblPr>
      <w:tblGrid>
        <w:gridCol w:w="9145"/>
      </w:tblGrid>
      <w:tr w:rsidR="00617A57" w:rsidRPr="00C1270F">
        <w:tc>
          <w:tcPr>
            <w:tcW w:w="9145" w:type="dxa"/>
          </w:tcPr>
          <w:p w:rsidR="00617A57" w:rsidRDefault="00C1270F">
            <w:pPr>
              <w:spacing w:before="120" w:after="120"/>
              <w:jc w:val="both"/>
              <w:rPr>
                <w:rFonts w:ascii="Times New Roman" w:hAnsi="Times New Roman" w:cs="Times New Roman"/>
                <w:b/>
                <w:i/>
                <w:noProof/>
                <w:sz w:val="24"/>
                <w:szCs w:val="24"/>
              </w:rPr>
            </w:pPr>
            <w:r>
              <w:rPr>
                <w:rFonts w:ascii="Times New Roman" w:hAnsi="Times New Roman"/>
                <w:b/>
                <w:i/>
                <w:noProof/>
                <w:sz w:val="24"/>
                <w:lang w:val="fr-BE"/>
              </w:rPr>
              <w:t>Pistes</w:t>
            </w:r>
            <w:r>
              <w:rPr>
                <w:rFonts w:ascii="Times New Roman" w:hAnsi="Times New Roman"/>
                <w:b/>
                <w:i/>
                <w:noProof/>
                <w:sz w:val="24"/>
              </w:rPr>
              <w:t xml:space="preserve"> de</w:t>
            </w:r>
            <w:r>
              <w:rPr>
                <w:rFonts w:ascii="Times New Roman" w:hAnsi="Times New Roman"/>
                <w:b/>
                <w:i/>
                <w:noProof/>
                <w:sz w:val="24"/>
                <w:lang w:val="fr-BE"/>
              </w:rPr>
              <w:t xml:space="preserve"> réflexion possibles</w:t>
            </w:r>
          </w:p>
          <w:p w:rsidR="00617A57" w:rsidRDefault="00C1270F">
            <w:pPr>
              <w:pStyle w:val="ListParagraph"/>
              <w:numPr>
                <w:ilvl w:val="0"/>
                <w:numId w:val="5"/>
              </w:numPr>
              <w:spacing w:line="240" w:lineRule="auto"/>
              <w:ind w:left="357" w:hanging="357"/>
              <w:contextualSpacing w:val="0"/>
              <w:rPr>
                <w:rFonts w:ascii="Times New Roman" w:hAnsi="Times New Roman" w:cs="Times New Roman"/>
                <w:noProof/>
                <w:sz w:val="24"/>
                <w:szCs w:val="24"/>
                <w:lang w:val="fr-BE"/>
              </w:rPr>
            </w:pPr>
            <w:r>
              <w:rPr>
                <w:rFonts w:ascii="Times New Roman" w:hAnsi="Times New Roman"/>
                <w:noProof/>
                <w:sz w:val="24"/>
                <w:lang w:val="fr-BE"/>
              </w:rPr>
              <w:t>Comment l’UE peut-elle mieux promouvoir ses exigences juridiques et ses normes actuelles dans le domaine de l’état de droit, en particuli</w:t>
            </w:r>
            <w:r>
              <w:rPr>
                <w:rFonts w:ascii="Times New Roman" w:hAnsi="Times New Roman"/>
                <w:noProof/>
                <w:sz w:val="24"/>
                <w:lang w:val="fr-BE"/>
              </w:rPr>
              <w:t xml:space="preserve">er au niveau national? </w:t>
            </w:r>
          </w:p>
          <w:p w:rsidR="00617A57" w:rsidRDefault="00C1270F">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l’UE peut-elle encourager au mieux les principaux réseaux et la société civile, ainsi que le secteur privé, à susciter des discussions sur le terrain au sujet de l'état de droit, en ce compris sa dimension économique, et à p</w:t>
            </w:r>
            <w:r>
              <w:rPr>
                <w:rFonts w:ascii="Times New Roman" w:hAnsi="Times New Roman"/>
                <w:noProof/>
                <w:sz w:val="24"/>
                <w:lang w:val="fr-BE"/>
              </w:rPr>
              <w:t xml:space="preserve">romouvoir les normes sur lesquelles se fonde l’état de droit? </w:t>
            </w:r>
          </w:p>
          <w:p w:rsidR="00617A57" w:rsidRDefault="00C1270F">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Les États membres peuvent-ils en faire davantage pour encourager les discussions sur l’état de droit au niveau national, notamment, par exemple, au moyen de débats dans les parlements </w:t>
            </w:r>
            <w:r>
              <w:rPr>
                <w:rFonts w:ascii="Times New Roman" w:hAnsi="Times New Roman"/>
                <w:noProof/>
                <w:sz w:val="24"/>
                <w:lang w:val="fr-BE"/>
              </w:rPr>
              <w:t>nationaux, de discussions au sein d’espaces professionnels et d’activités de sensibilisation destinées à l’opinion publique?</w:t>
            </w:r>
          </w:p>
          <w:p w:rsidR="00617A57" w:rsidRDefault="00C1270F">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l’UE et ses États membres devraient-ils intensifier la coopération avec le Conseil de l’Europe et d’autres organisations in</w:t>
            </w:r>
            <w:r>
              <w:rPr>
                <w:rFonts w:ascii="Times New Roman" w:hAnsi="Times New Roman"/>
                <w:noProof/>
                <w:sz w:val="24"/>
                <w:lang w:val="fr-BE"/>
              </w:rPr>
              <w:t xml:space="preserve">ternationales qui défendent l’état de droit, notamment en appuyant les travaux du Conseil de l’Europe, ainsi qu’en ce qui concerne les évaluations et les recommandations de celui-ci? </w:t>
            </w:r>
          </w:p>
          <w:p w:rsidR="00617A57" w:rsidRDefault="00C1270F">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l’Union peut-elle s’appuyer sur les travaux du Conseil de l’Euro</w:t>
            </w:r>
            <w:r>
              <w:rPr>
                <w:rFonts w:ascii="Times New Roman" w:hAnsi="Times New Roman"/>
                <w:noProof/>
                <w:sz w:val="24"/>
                <w:lang w:val="fr-BE"/>
              </w:rPr>
              <w:t xml:space="preserve">pe et promouvoir des approches communes à l’échelle de l’UE? L’examen par les pairs, entre les États membres, peut-il être utile à cet égard? </w:t>
            </w:r>
          </w:p>
          <w:p w:rsidR="00617A57" w:rsidRDefault="00C1270F">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les mesures déjà prises par le Parlement européen et par le Conseil peuvent-elles être améliorées et perf</w:t>
            </w:r>
            <w:r>
              <w:rPr>
                <w:rFonts w:ascii="Times New Roman" w:hAnsi="Times New Roman"/>
                <w:noProof/>
                <w:sz w:val="24"/>
                <w:lang w:val="fr-BE"/>
              </w:rPr>
              <w:t>ectionnées? Les groupes politiques et les parlements nationaux peuvent-ils jouer un rôle plus actif?</w:t>
            </w:r>
          </w:p>
        </w:tc>
      </w:tr>
    </w:tbl>
    <w:p w:rsidR="00617A57" w:rsidRDefault="00C1270F">
      <w:pPr>
        <w:spacing w:before="240" w:after="12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Prévention: coopération et soutien pour renforcer l’état de droit au niveau national</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responsabilité de veiller au respect de l'état de droit au niveau </w:t>
      </w:r>
      <w:r>
        <w:rPr>
          <w:rFonts w:ascii="Times New Roman" w:hAnsi="Times New Roman"/>
          <w:noProof/>
          <w:sz w:val="24"/>
          <w:lang w:val="fr-BE"/>
        </w:rPr>
        <w:t>national incombe en premier lieu aux États membres. Toutefois, l’Union peut leur offrir un soutien important pour leur permettre de concevoir une approche à long terme qui les aiderait à faire en sorte que l’équilibre des pouvoirs au niveau national soit à</w:t>
      </w:r>
      <w:r>
        <w:rPr>
          <w:rFonts w:ascii="Times New Roman" w:hAnsi="Times New Roman"/>
          <w:noProof/>
          <w:sz w:val="24"/>
          <w:lang w:val="fr-BE"/>
        </w:rPr>
        <w:t xml:space="preserve"> la hauteur du défi - et, in fine, qui éviterait à l’UE de se retrouver dans une situation dans laquelle elle devrait gérer une crise de l’état de droit dans un État membre. Un tel soutien passe notamment par le renforcement de la résilience de systèmes et</w:t>
      </w:r>
      <w:r>
        <w:rPr>
          <w:rFonts w:ascii="Times New Roman" w:hAnsi="Times New Roman"/>
          <w:noProof/>
          <w:sz w:val="24"/>
          <w:lang w:val="fr-BE"/>
        </w:rPr>
        <w:t xml:space="preserve"> d’institutions clés afin qu'ils soient prêts à réagir aux situations de tension politique.</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Une compréhension plus fine de l’évolution de la situation dans les États membres permettrait de mieux cibler ce soutien et de recenser, à un stade précoce, les men</w:t>
      </w:r>
      <w:r>
        <w:rPr>
          <w:rFonts w:ascii="Times New Roman" w:hAnsi="Times New Roman"/>
          <w:noProof/>
          <w:sz w:val="24"/>
          <w:lang w:val="fr-BE"/>
        </w:rPr>
        <w:t>aces qui pèsent sur l’état de droit. Pourraient figurer parmi les domaines à suivre de près l’équilibre des pouvoirs dans les États membres, l’indépendance de la justice, la qualité de l’administration publique, les politiques de lutte contre la corruption</w:t>
      </w:r>
      <w:r>
        <w:rPr>
          <w:rFonts w:ascii="Times New Roman" w:hAnsi="Times New Roman"/>
          <w:noProof/>
          <w:sz w:val="24"/>
          <w:lang w:val="fr-BE"/>
        </w:rPr>
        <w:t>, la transparence du processus législatif, et l’amélioration de la réglementation. Une telle collecte d'informations pourrait fournir un cadre général permettant d’instaurer une coopération et un dialogue réguliers avec les États membres et de tenir le Par</w:t>
      </w:r>
      <w:r>
        <w:rPr>
          <w:rFonts w:ascii="Times New Roman" w:hAnsi="Times New Roman"/>
          <w:noProof/>
          <w:sz w:val="24"/>
          <w:lang w:val="fr-BE"/>
        </w:rPr>
        <w:t>lement européen et le Conseil informés. Même si un tel processus devrait concerner tous les États membres, il pourrait être plus approfondi dans les États membres dans lesquels des faiblesses ou des risques particuliers ont été constatés. Enfin, il nécessi</w:t>
      </w:r>
      <w:r>
        <w:rPr>
          <w:rFonts w:ascii="Times New Roman" w:hAnsi="Times New Roman"/>
          <w:noProof/>
          <w:sz w:val="24"/>
          <w:lang w:val="fr-BE"/>
        </w:rPr>
        <w:t>terait de trouver le juste équilibre entre la nécessité d’acquérir une compréhension suffisante des spécificités nationales d’une part, et la nécessité de tenir compte des ressources humaines et financières, d’autre part. L’objectif d’un tel exercice serai</w:t>
      </w:r>
      <w:r>
        <w:rPr>
          <w:rFonts w:ascii="Times New Roman" w:hAnsi="Times New Roman"/>
          <w:noProof/>
          <w:sz w:val="24"/>
          <w:lang w:val="fr-BE"/>
        </w:rPr>
        <w:t>t de renforcer le socle sur lequel se fonde le dialogue engagé à un stade précoce sur les initiatives politiques ayant des conséquences dans le domaine de l’état de droit.</w:t>
      </w:r>
      <w:r>
        <w:rPr>
          <w:noProof/>
          <w:lang w:val="fr-BE"/>
        </w:rPr>
        <w:t xml:space="preserve"> </w:t>
      </w:r>
      <w:r>
        <w:rPr>
          <w:rFonts w:ascii="Times New Roman" w:hAnsi="Times New Roman"/>
          <w:noProof/>
          <w:sz w:val="24"/>
          <w:lang w:val="fr-BE"/>
        </w:rPr>
        <w:t>Dans le cadre de la réflexion à mener, il conviendrait de se demander si l’utilisati</w:t>
      </w:r>
      <w:r>
        <w:rPr>
          <w:rFonts w:ascii="Times New Roman" w:hAnsi="Times New Roman"/>
          <w:noProof/>
          <w:sz w:val="24"/>
          <w:lang w:val="fr-BE"/>
        </w:rPr>
        <w:t>on des outils existants, notamment le Semestre européen et le tableau de bord de la justice dans l’UE, pourrait être développée davantage en vue d’une meilleure gestion des problèmes liés à l’état de droit.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Une autre piste complémentaire consisterait à app</w:t>
      </w:r>
      <w:r>
        <w:rPr>
          <w:rFonts w:ascii="Times New Roman" w:hAnsi="Times New Roman"/>
          <w:noProof/>
          <w:sz w:val="24"/>
          <w:lang w:val="fr-BE"/>
        </w:rPr>
        <w:t>rofondir la coopération et l’aide pratique afin d’optimiser la contribution constructive de l’Union pour résoudre, à un stade précoce, les problèmes qui se posent et contribuer à l’intégration de solutions durables dans les processus de réforme en cours. U</w:t>
      </w:r>
      <w:r>
        <w:rPr>
          <w:rFonts w:ascii="Times New Roman" w:hAnsi="Times New Roman"/>
          <w:noProof/>
          <w:sz w:val="24"/>
          <w:lang w:val="fr-BE"/>
        </w:rPr>
        <w:t>ne telle démarche pourrait être entreprise à la demande des États membres et impliquer des plans d’action appropriés. Le Parlement européen et le Conseil pourraient participer à l’élaboration et à la promotion de telles initiatives. Dans ce cadre, une atte</w:t>
      </w:r>
      <w:r>
        <w:rPr>
          <w:rFonts w:ascii="Times New Roman" w:hAnsi="Times New Roman"/>
          <w:noProof/>
          <w:sz w:val="24"/>
          <w:lang w:val="fr-BE"/>
        </w:rPr>
        <w:t>ntion particulière pourrait également être accordée à la mise en œuvre de la législation de l’UE comportant une dimension relative à l’état de droit. Les États membres pourraient également bénéficier d’un soutien technique dans le cadre du programme d’appu</w:t>
      </w:r>
      <w:r>
        <w:rPr>
          <w:rFonts w:ascii="Times New Roman" w:hAnsi="Times New Roman"/>
          <w:noProof/>
          <w:sz w:val="24"/>
          <w:lang w:val="fr-BE"/>
        </w:rPr>
        <w:t>i à la réforme structurelle.</w:t>
      </w:r>
    </w:p>
    <w:tbl>
      <w:tblPr>
        <w:tblStyle w:val="TableGrid"/>
        <w:tblW w:w="0" w:type="auto"/>
        <w:tblLook w:val="04A0" w:firstRow="1" w:lastRow="0" w:firstColumn="1" w:lastColumn="0" w:noHBand="0" w:noVBand="1"/>
      </w:tblPr>
      <w:tblGrid>
        <w:gridCol w:w="9145"/>
      </w:tblGrid>
      <w:tr w:rsidR="00617A57" w:rsidRPr="00C1270F">
        <w:tc>
          <w:tcPr>
            <w:tcW w:w="9288" w:type="dxa"/>
          </w:tcPr>
          <w:p w:rsidR="00617A57" w:rsidRDefault="00C1270F">
            <w:pPr>
              <w:spacing w:before="120" w:after="120"/>
              <w:jc w:val="both"/>
              <w:rPr>
                <w:rFonts w:ascii="Times New Roman" w:hAnsi="Times New Roman" w:cs="Times New Roman"/>
                <w:b/>
                <w:i/>
                <w:noProof/>
                <w:sz w:val="24"/>
                <w:szCs w:val="24"/>
                <w:lang w:val="fr-BE"/>
              </w:rPr>
            </w:pPr>
            <w:r>
              <w:rPr>
                <w:rFonts w:ascii="Times New Roman" w:hAnsi="Times New Roman"/>
                <w:b/>
                <w:i/>
                <w:noProof/>
                <w:sz w:val="24"/>
                <w:lang w:val="fr-BE"/>
              </w:rPr>
              <w:t>Pistes de réflexion possibles</w:t>
            </w:r>
          </w:p>
          <w:p w:rsidR="00617A57" w:rsidRDefault="00C1270F">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l’UE peut-elle renforcer sa capacité à mettre en place une base de connaissances comparative et plus approfondie au sujet de la situation de l’état de droit dans les États membres, pour ren</w:t>
            </w:r>
            <w:r>
              <w:rPr>
                <w:rFonts w:ascii="Times New Roman" w:hAnsi="Times New Roman"/>
                <w:noProof/>
                <w:sz w:val="24"/>
                <w:lang w:val="fr-BE"/>
              </w:rPr>
              <w:t>dre le dialogue plus productif et pour permettre le recensement de problèmes potentiels à un stade précoce? Comment les outils existants peuvent-ils être davantage développés  pour permettre une évaluation de la situation de l’état de droit?</w:t>
            </w:r>
          </w:p>
          <w:p w:rsidR="00617A57" w:rsidRDefault="00C1270F">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les éc</w:t>
            </w:r>
            <w:r>
              <w:rPr>
                <w:rFonts w:ascii="Times New Roman" w:hAnsi="Times New Roman"/>
                <w:noProof/>
                <w:sz w:val="24"/>
                <w:lang w:val="fr-BE"/>
              </w:rPr>
              <w:t>hanges entre la Commission et les États membres au sujet des questions relatives à l’état de droit pourraient-ils être organisés de la manière la plus productive possible?</w:t>
            </w:r>
          </w:p>
          <w:p w:rsidR="00617A57" w:rsidRDefault="00C1270F">
            <w:pPr>
              <w:pStyle w:val="ListParagraph"/>
              <w:numPr>
                <w:ilvl w:val="0"/>
                <w:numId w:val="2"/>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l’expertise et le soutien de l’UE peuvent-ils être fournis le plus efficacem</w:t>
            </w:r>
            <w:r>
              <w:rPr>
                <w:rFonts w:ascii="Times New Roman" w:hAnsi="Times New Roman"/>
                <w:noProof/>
                <w:sz w:val="24"/>
                <w:lang w:val="fr-BE"/>
              </w:rPr>
              <w:t xml:space="preserve">ent possible aux États membres? </w:t>
            </w:r>
          </w:p>
          <w:p w:rsidR="00617A57" w:rsidRDefault="00C1270F">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Une approche davantage interinstitutionnelle peut-elle permettre de donner du poids aux mesures préventives?</w:t>
            </w:r>
          </w:p>
        </w:tc>
      </w:tr>
    </w:tbl>
    <w:p w:rsidR="00C1270F" w:rsidRDefault="00C1270F">
      <w:pPr>
        <w:spacing w:before="240" w:after="120" w:line="240" w:lineRule="auto"/>
        <w:jc w:val="both"/>
        <w:rPr>
          <w:rFonts w:ascii="Times New Roman" w:hAnsi="Times New Roman"/>
          <w:i/>
          <w:noProof/>
          <w:sz w:val="24"/>
          <w:lang w:val="fr-BE"/>
        </w:rPr>
      </w:pPr>
    </w:p>
    <w:p w:rsidR="00617A57" w:rsidRDefault="00C1270F">
      <w:pPr>
        <w:spacing w:before="240" w:after="12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R</w:t>
      </w:r>
      <w:r>
        <w:rPr>
          <w:rFonts w:ascii="Times New Roman" w:hAnsi="Times New Roman"/>
          <w:i/>
          <w:noProof/>
          <w:sz w:val="24"/>
          <w:lang w:val="fr-BE"/>
        </w:rPr>
        <w:t>éponse: mise en application au niveau de l’Union en cas de défaillance des mécanismes nationaux</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Cour de </w:t>
      </w:r>
      <w:r>
        <w:rPr>
          <w:rFonts w:ascii="Times New Roman" w:hAnsi="Times New Roman"/>
          <w:noProof/>
          <w:sz w:val="24"/>
          <w:lang w:val="fr-BE"/>
        </w:rPr>
        <w:t>justice de l’Union européenne est de plus en plus souvent amenée à examiner des questions relatives à l’état de droit ayant des conséquences sur l’application du droit de l’Union dans le cadre de procédures d'infraction et de renvois préjudiciels. La Commi</w:t>
      </w:r>
      <w:r>
        <w:rPr>
          <w:rFonts w:ascii="Times New Roman" w:hAnsi="Times New Roman"/>
          <w:noProof/>
          <w:sz w:val="24"/>
          <w:lang w:val="fr-BE"/>
        </w:rPr>
        <w:t>ssion continuera de s’appuyer sur la jurisprudence récente de la Cour, par exemple en ce qui concerne l’indépendance des juridictions nationales et la protection effective des intérêts financiers de l’Union. De manière plus générale, l’application effectiv</w:t>
      </w:r>
      <w:r>
        <w:rPr>
          <w:rFonts w:ascii="Times New Roman" w:hAnsi="Times New Roman"/>
          <w:noProof/>
          <w:sz w:val="24"/>
          <w:lang w:val="fr-BE"/>
        </w:rPr>
        <w:t xml:space="preserve">e du droit de l’Union par les autorités indépendantes et les juridictions nationales contribue également au renforcement de l’état de droit dans les États membres. Par conséquent, la Commission continuera, là où c’est nécessaire, de garantir l’application </w:t>
      </w:r>
      <w:r>
        <w:rPr>
          <w:rFonts w:ascii="Times New Roman" w:hAnsi="Times New Roman"/>
          <w:noProof/>
          <w:sz w:val="24"/>
          <w:lang w:val="fr-BE"/>
        </w:rPr>
        <w:t>et la mise en œuvre correctes du droit de l’Union dans le cadre de procédures d'infraction relatives à l'état de droit.</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Lorsque les mécanismes nationaux de protection de l’état de droit ne semblent pas en mesure de faire face aux menaces qui pèsent sur l’é</w:t>
      </w:r>
      <w:r>
        <w:rPr>
          <w:rFonts w:ascii="Times New Roman" w:hAnsi="Times New Roman"/>
          <w:noProof/>
          <w:sz w:val="24"/>
          <w:lang w:val="fr-BE"/>
        </w:rPr>
        <w:t>tat de droit dans un État membre, il incombe conjointement aux institutions et aux États membres de l’UE de prendre des mesures pour remédier à cette situation. À l’instar de l’obligation commune de défendre les valeurs de l’UE, il est dans l’intérêt commu</w:t>
      </w:r>
      <w:r>
        <w:rPr>
          <w:rFonts w:ascii="Times New Roman" w:hAnsi="Times New Roman"/>
          <w:noProof/>
          <w:sz w:val="24"/>
          <w:lang w:val="fr-BE"/>
        </w:rPr>
        <w:t>n des États membres de s’attaquer à des problèmes tels que les menaces qui pèsent sur les Cours constitutionnelles ou l’indépendance de la justice avant qu’elles ne puissent compromettre la mise en œuvre du droit, des politiques ou des financements de l’Un</w:t>
      </w:r>
      <w:r>
        <w:rPr>
          <w:rFonts w:ascii="Times New Roman" w:hAnsi="Times New Roman"/>
          <w:noProof/>
          <w:sz w:val="24"/>
          <w:lang w:val="fr-BE"/>
        </w:rPr>
        <w:t>ion. De telles actions peuvent varier en fonction des circonstances - comme l’existence d’une infraction - ou encore pour garantir la proportionnalité. Le fait d'avoir différentes approches peut également convenir dans des domaines d’action bien précis, co</w:t>
      </w:r>
      <w:r>
        <w:rPr>
          <w:rFonts w:ascii="Times New Roman" w:hAnsi="Times New Roman"/>
          <w:noProof/>
          <w:sz w:val="24"/>
          <w:lang w:val="fr-BE"/>
        </w:rPr>
        <w:t>mme la proposition de la Commission visant à protéger les intérêts financiers de l’UE en cas de risque de défaillance de l’état de droit.</w:t>
      </w:r>
    </w:p>
    <w:p w:rsidR="00617A57" w:rsidRDefault="00C1270F">
      <w:pPr>
        <w:spacing w:after="240" w:line="240" w:lineRule="auto"/>
        <w:jc w:val="both"/>
        <w:rPr>
          <w:noProof/>
          <w:lang w:val="fr-BE"/>
        </w:rPr>
      </w:pPr>
      <w:r>
        <w:rPr>
          <w:rFonts w:ascii="Times New Roman" w:hAnsi="Times New Roman"/>
          <w:noProof/>
          <w:sz w:val="24"/>
          <w:lang w:val="fr-BE"/>
        </w:rPr>
        <w:t>Le cadre pour l’état de droit a été mis en place par la Commission en 2014 afin de lui permettre de réagir en présence</w:t>
      </w:r>
      <w:r>
        <w:rPr>
          <w:rFonts w:ascii="Times New Roman" w:hAnsi="Times New Roman"/>
          <w:noProof/>
          <w:sz w:val="24"/>
          <w:lang w:val="fr-BE"/>
        </w:rPr>
        <w:t xml:space="preserve"> d’éléments indiquant clairement l'existence dans un État membre de risques systémiques pour l’état de droit susceptibles de se transformer en un risque clair de violation grave de l’état de droit débouchant sur l'activation de l’article 7 du TUE. À ce jou</w:t>
      </w:r>
      <w:r>
        <w:rPr>
          <w:rFonts w:ascii="Times New Roman" w:hAnsi="Times New Roman"/>
          <w:noProof/>
          <w:sz w:val="24"/>
          <w:lang w:val="fr-BE"/>
        </w:rPr>
        <w:t>r, ce cadre a été appliqué une seule fois, et a rempli sa fonction d’étape intermédiaire. Il a aidé à établir un dialogue, à réaliser un état des lieux approfondi, à procéder à  une analyse et à formuler des recommandations, ainsi qu’à élaborer une base de</w:t>
      </w:r>
      <w:r>
        <w:rPr>
          <w:rFonts w:ascii="Times New Roman" w:hAnsi="Times New Roman"/>
          <w:noProof/>
          <w:sz w:val="24"/>
          <w:lang w:val="fr-BE"/>
        </w:rPr>
        <w:t xml:space="preserve"> connaissances qui a démontré toute son utilité dans d’autres actions de l’Union. Il est toutefois possible d’examiner quelques pistes pour l’améliorer. Par exemple, la communication à un stade précoce d’informations au Conseil et au Parlement européen et </w:t>
      </w:r>
      <w:r>
        <w:rPr>
          <w:rFonts w:ascii="Times New Roman" w:hAnsi="Times New Roman"/>
          <w:noProof/>
          <w:sz w:val="24"/>
          <w:lang w:val="fr-BE"/>
        </w:rPr>
        <w:t>la fourniture d'un soutien de leur part dans le cadre du processus pourraient être intensifiées. Une autre option pourrait être de fonder le dialogue et les recommandations sur des plans d’action spécifiques et un soutien technique afin de remédier à la si</w:t>
      </w:r>
      <w:r>
        <w:rPr>
          <w:rFonts w:ascii="Times New Roman" w:hAnsi="Times New Roman"/>
          <w:noProof/>
          <w:sz w:val="24"/>
          <w:lang w:val="fr-BE"/>
        </w:rPr>
        <w:t>tuation dans un délai donné, ou de limiter plus clairement la durée de la phase de dialogue.</w:t>
      </w:r>
    </w:p>
    <w:p w:rsidR="00C1270F" w:rsidRDefault="00C1270F">
      <w:pPr>
        <w:spacing w:after="240" w:line="240" w:lineRule="auto"/>
        <w:jc w:val="both"/>
        <w:rPr>
          <w:rFonts w:ascii="Times New Roman" w:hAnsi="Times New Roman"/>
          <w:noProof/>
          <w:sz w:val="24"/>
          <w:lang w:val="fr-BE"/>
        </w:rPr>
      </w:pPr>
      <w:r>
        <w:rPr>
          <w:rFonts w:ascii="Times New Roman" w:hAnsi="Times New Roman"/>
          <w:noProof/>
          <w:sz w:val="24"/>
          <w:lang w:val="fr-BE"/>
        </w:rPr>
        <w:t xml:space="preserve">De tels changements devraient continuer de poursuivre l’objectif consistant à trouver des solutions aux situations de crise et à définir des moyens appropriés d’y </w:t>
      </w:r>
      <w:r>
        <w:rPr>
          <w:rFonts w:ascii="Times New Roman" w:hAnsi="Times New Roman"/>
          <w:noProof/>
          <w:sz w:val="24"/>
          <w:lang w:val="fr-BE"/>
        </w:rPr>
        <w:t>remédier. Pour ce faire, un dialogue et des moyens de communication efficaces s’imposent. Cependant, on pourrait également se demander si un État membre qui refuse de remédier à une situation de crise ne devrait pas s'exposer à de plus graves conséquences.</w:t>
      </w:r>
      <w:r>
        <w:rPr>
          <w:rFonts w:ascii="Times New Roman" w:hAnsi="Times New Roman"/>
          <w:noProof/>
          <w:sz w:val="24"/>
          <w:lang w:val="fr-BE"/>
        </w:rPr>
        <w:t xml:space="preserve"> Cela pourrait également résulter d'une appréciation renforcée des conséquences réelles, sur le fonctionnement de l’Union, de défaillances persistances de l’état de droit dans les États membres, un élément qui a déjà été reconnu dans la proposition visant </w:t>
      </w:r>
      <w:r>
        <w:rPr>
          <w:rFonts w:ascii="Times New Roman" w:hAnsi="Times New Roman"/>
          <w:noProof/>
          <w:sz w:val="24"/>
          <w:lang w:val="fr-BE"/>
        </w:rPr>
        <w:t>à protéger les intérêts financiers de l’UE en cas de défaillances généralisées de l’état de droit.</w:t>
      </w:r>
    </w:p>
    <w:tbl>
      <w:tblPr>
        <w:tblStyle w:val="TableGrid"/>
        <w:tblW w:w="0" w:type="auto"/>
        <w:tblLook w:val="04A0" w:firstRow="1" w:lastRow="0" w:firstColumn="1" w:lastColumn="0" w:noHBand="0" w:noVBand="1"/>
      </w:tblPr>
      <w:tblGrid>
        <w:gridCol w:w="9145"/>
      </w:tblGrid>
      <w:tr w:rsidR="00617A57" w:rsidRPr="00C1270F">
        <w:tc>
          <w:tcPr>
            <w:tcW w:w="9145" w:type="dxa"/>
          </w:tcPr>
          <w:p w:rsidR="00617A57" w:rsidRDefault="00C1270F">
            <w:pPr>
              <w:spacing w:before="120" w:after="120"/>
              <w:jc w:val="both"/>
              <w:rPr>
                <w:rFonts w:ascii="Times New Roman" w:hAnsi="Times New Roman" w:cs="Times New Roman"/>
                <w:b/>
                <w:i/>
                <w:noProof/>
                <w:sz w:val="24"/>
                <w:szCs w:val="24"/>
                <w:lang w:val="fr-BE"/>
              </w:rPr>
            </w:pPr>
            <w:r>
              <w:rPr>
                <w:rFonts w:ascii="Times New Roman" w:hAnsi="Times New Roman"/>
                <w:b/>
                <w:i/>
                <w:noProof/>
                <w:sz w:val="24"/>
                <w:lang w:val="fr-BE"/>
              </w:rPr>
              <w:t>Pistes de réflexion possibles</w:t>
            </w:r>
          </w:p>
          <w:p w:rsidR="00617A57" w:rsidRDefault="00C1270F">
            <w:pPr>
              <w:pStyle w:val="ListParagraph"/>
              <w:numPr>
                <w:ilvl w:val="0"/>
                <w:numId w:val="3"/>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la jurisprudence pertinente de la Cour de justice de l’Union européenne peut-elle être diffusée efficacement et son pot</w:t>
            </w:r>
            <w:r>
              <w:rPr>
                <w:rFonts w:ascii="Times New Roman" w:hAnsi="Times New Roman"/>
                <w:noProof/>
                <w:sz w:val="24"/>
                <w:lang w:val="fr-BE"/>
              </w:rPr>
              <w:t>entiel pleinement exploité?</w:t>
            </w:r>
          </w:p>
          <w:p w:rsidR="00617A57" w:rsidRDefault="00C1270F">
            <w:pPr>
              <w:pStyle w:val="ListParagraph"/>
              <w:numPr>
                <w:ilvl w:val="0"/>
                <w:numId w:val="3"/>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Comment la Commission, le Parlement européen et le Conseil peuvent-ils se coordonner plus efficacement et garantir une réaction adéquate et rapide en cas de crise de l'état de droit dans un État membre?</w:t>
            </w:r>
          </w:p>
          <w:p w:rsidR="00617A57" w:rsidRDefault="00C1270F">
            <w:pPr>
              <w:pStyle w:val="ListParagraph"/>
              <w:numPr>
                <w:ilvl w:val="0"/>
                <w:numId w:val="3"/>
              </w:numPr>
              <w:spacing w:before="120" w:after="12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Quels pourraient être les</w:t>
            </w:r>
            <w:r>
              <w:rPr>
                <w:rFonts w:ascii="Times New Roman" w:hAnsi="Times New Roman"/>
                <w:noProof/>
                <w:sz w:val="24"/>
                <w:lang w:val="fr-BE"/>
              </w:rPr>
              <w:t xml:space="preserve"> moyens de renforcer davantage le cadre pour l’état de droit? Faudrait-il, à cet égard, renforcer le dialogue avec d’autres institutions et partenaires internationaux (par exemple le Conseil de l’Europe/la Commission de Venise, l’Organisation pour la sécur</w:t>
            </w:r>
            <w:r>
              <w:rPr>
                <w:rFonts w:ascii="Times New Roman" w:hAnsi="Times New Roman"/>
                <w:noProof/>
                <w:sz w:val="24"/>
                <w:lang w:val="fr-BE"/>
              </w:rPr>
              <w:t xml:space="preserve">ité et la coopération en Europe/le Bureau des institutions démocratiques et des droits de l'homme)? </w:t>
            </w:r>
          </w:p>
          <w:p w:rsidR="00617A57" w:rsidRDefault="00C1270F">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Existe-t-il d’autres domaines, outre celui des intérêts financiers de l’UE, dans lesquels l’Union devrait concevoir des mécanismes spéciaux (y compris des </w:t>
            </w:r>
            <w:r>
              <w:rPr>
                <w:rFonts w:ascii="Times New Roman" w:hAnsi="Times New Roman"/>
                <w:noProof/>
                <w:sz w:val="24"/>
                <w:lang w:val="fr-BE"/>
              </w:rPr>
              <w:t>conditions attachées à l’état de droit) pour éviter des risques spécifiques pour la mise en œuvre de la législation ou des politiques de l’UE, ou y remédier?</w:t>
            </w:r>
          </w:p>
        </w:tc>
      </w:tr>
    </w:tbl>
    <w:p w:rsidR="00617A57" w:rsidRDefault="00617A57">
      <w:pPr>
        <w:rPr>
          <w:rFonts w:ascii="Times New Roman" w:hAnsi="Times New Roman" w:cs="Times New Roman"/>
          <w:b/>
          <w:noProof/>
          <w:sz w:val="24"/>
          <w:szCs w:val="24"/>
          <w:lang w:val="fr-BE"/>
        </w:rPr>
      </w:pPr>
    </w:p>
    <w:p w:rsidR="00617A57" w:rsidRDefault="00C1270F">
      <w:pPr>
        <w:spacing w:before="480" w:after="24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VI.</w:t>
      </w:r>
      <w:r>
        <w:rPr>
          <w:noProof/>
          <w:lang w:val="fr-BE"/>
        </w:rPr>
        <w:tab/>
      </w:r>
      <w:r>
        <w:rPr>
          <w:rFonts w:ascii="Times New Roman" w:hAnsi="Times New Roman"/>
          <w:b/>
          <w:noProof/>
          <w:sz w:val="24"/>
          <w:lang w:val="fr-BE"/>
        </w:rPr>
        <w:t>CONCLUSION</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invite le Parlement européen, le Conseil européen, le Conseil et le</w:t>
      </w:r>
      <w:r>
        <w:rPr>
          <w:rFonts w:ascii="Times New Roman" w:hAnsi="Times New Roman"/>
          <w:noProof/>
          <w:sz w:val="24"/>
          <w:lang w:val="fr-BE"/>
        </w:rPr>
        <w:t>s États membres, ainsi que les parties prenantes concernées, y compris les réseaux judiciaires, la société civile et l’opinion publique, à réfléchir aux questions et aux problèmes exposés dans la présente communication. Les questions soulevées font apparaî</w:t>
      </w:r>
      <w:r>
        <w:rPr>
          <w:rFonts w:ascii="Times New Roman" w:hAnsi="Times New Roman"/>
          <w:noProof/>
          <w:sz w:val="24"/>
          <w:lang w:val="fr-BE"/>
        </w:rPr>
        <w:t>tre un certain nombre de domaines dans lesquels des améliorations pourraient être envisagées.</w:t>
      </w:r>
    </w:p>
    <w:p w:rsidR="00617A57" w:rsidRDefault="00C1270F">
      <w:pPr>
        <w:spacing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Une telle réflexion contribuerait en soi à ce que l’état de droit soit appliqué car elle alimenterait le débat et ferait en sorte que cette question fasse l’objet</w:t>
      </w:r>
      <w:r>
        <w:rPr>
          <w:rFonts w:ascii="Times New Roman" w:hAnsi="Times New Roman"/>
          <w:noProof/>
          <w:sz w:val="24"/>
          <w:lang w:val="fr-BE"/>
        </w:rPr>
        <w:t xml:space="preserve"> d’une attention continue. La Commission considère qu’une application renforcée de l’état de droit pourrait apporter une contribution essentielle à l’avenir de l’Union. Elle permettrait d’améliorer la clarté et la cohérence, contribuerait à garantir l’égal</w:t>
      </w:r>
      <w:r>
        <w:rPr>
          <w:rFonts w:ascii="Times New Roman" w:hAnsi="Times New Roman"/>
          <w:noProof/>
          <w:sz w:val="24"/>
          <w:lang w:val="fr-BE"/>
        </w:rPr>
        <w:t>ité de traitement de tous les États membres et protégerait les intérêts communs à tous au moyen d’une application effective du droit de l’Union dans l’ensemble des États membres.</w:t>
      </w:r>
    </w:p>
    <w:p w:rsidR="00617A57" w:rsidRDefault="00C1270F">
      <w:pPr>
        <w:spacing w:after="240" w:line="240" w:lineRule="auto"/>
        <w:jc w:val="both"/>
        <w:rPr>
          <w:noProof/>
          <w:lang w:val="fr-BE"/>
        </w:rPr>
      </w:pPr>
      <w:r>
        <w:rPr>
          <w:rFonts w:ascii="Times New Roman" w:hAnsi="Times New Roman"/>
          <w:noProof/>
          <w:sz w:val="24"/>
          <w:lang w:val="fr-BE"/>
        </w:rPr>
        <w:t>La Commission reviendra sur cette question en juin 2019, avec ses propres con</w:t>
      </w:r>
      <w:r>
        <w:rPr>
          <w:rFonts w:ascii="Times New Roman" w:hAnsi="Times New Roman"/>
          <w:noProof/>
          <w:sz w:val="24"/>
          <w:lang w:val="fr-BE"/>
        </w:rPr>
        <w:t>clusions et propositions. Celles-ci s’inspireront du débat en cours entre les institutions et au sein de la société dans son ensemble, ainsi que de la jurisprudence en évolution constante de la Cour de justice de l’Union européenne, et tendront à définir u</w:t>
      </w:r>
      <w:r>
        <w:rPr>
          <w:rFonts w:ascii="Times New Roman" w:hAnsi="Times New Roman"/>
          <w:noProof/>
          <w:sz w:val="24"/>
          <w:lang w:val="fr-BE"/>
        </w:rPr>
        <w:t>ne approche visant à renforcer l'état de droit dans l’Union, dans le cadre des traités existants.</w:t>
      </w:r>
    </w:p>
    <w:sectPr w:rsidR="00617A5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A57" w:rsidRDefault="00C1270F">
      <w:pPr>
        <w:spacing w:after="0" w:line="240" w:lineRule="auto"/>
      </w:pPr>
      <w:r>
        <w:separator/>
      </w:r>
    </w:p>
  </w:endnote>
  <w:endnote w:type="continuationSeparator" w:id="0">
    <w:p w:rsidR="00617A57" w:rsidRDefault="00C1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C1270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568962"/>
      <w:docPartObj>
        <w:docPartGallery w:val="Page Numbers (Bottom of Page)"/>
        <w:docPartUnique/>
      </w:docPartObj>
    </w:sdtPr>
    <w:sdtEndPr>
      <w:rPr>
        <w:rFonts w:ascii="Times New Roman" w:hAnsi="Times New Roman" w:cs="Times New Roman"/>
        <w:noProof/>
      </w:rPr>
    </w:sdtEndPr>
    <w:sdtContent>
      <w:p w:rsidR="00617A57" w:rsidRDefault="00C1270F">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617A57" w:rsidRDefault="00617A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A57" w:rsidRDefault="00C1270F">
      <w:pPr>
        <w:spacing w:after="0" w:line="240" w:lineRule="auto"/>
      </w:pPr>
      <w:r>
        <w:separator/>
      </w:r>
    </w:p>
  </w:footnote>
  <w:footnote w:type="continuationSeparator" w:id="0">
    <w:p w:rsidR="00617A57" w:rsidRDefault="00C1270F">
      <w:pPr>
        <w:spacing w:after="0" w:line="240" w:lineRule="auto"/>
      </w:pPr>
      <w:r>
        <w:continuationSeparator/>
      </w:r>
    </w:p>
  </w:footnote>
  <w:footnote w:id="1">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Article 2 du traité sur l’Union européenne.</w:t>
      </w:r>
    </w:p>
  </w:footnote>
  <w:footnote w:id="2">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Article 21 du traité sur l’Union européenne.</w:t>
      </w:r>
    </w:p>
  </w:footnote>
  <w:footnote w:id="3">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L’article 19 du traité sur l’Union européenne impose aux États membres l’obligation d’assurer une protection juridictionnelle effective. Comme l’a rappelé la Cour de justice dans l’arrêt rendu dans l’affaire C-72/15, </w:t>
      </w:r>
      <w:r>
        <w:rPr>
          <w:rFonts w:ascii="Times New Roman" w:hAnsi="Times New Roman"/>
          <w:i/>
          <w:lang w:val="fr-BE"/>
        </w:rPr>
        <w:t>Rosneft</w:t>
      </w:r>
      <w:r>
        <w:rPr>
          <w:rFonts w:ascii="Times New Roman" w:hAnsi="Times New Roman"/>
          <w:lang w:val="fr-BE"/>
        </w:rPr>
        <w:t>, l’existence même d’un contrôle</w:t>
      </w:r>
      <w:r>
        <w:rPr>
          <w:rFonts w:ascii="Times New Roman" w:hAnsi="Times New Roman"/>
          <w:lang w:val="fr-BE"/>
        </w:rPr>
        <w:t xml:space="preserve"> juridictionnel effectif «est inhérente à l’existence d’un État de droit».</w:t>
      </w:r>
    </w:p>
  </w:footnote>
  <w:footnote w:id="4">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Communication de la Commission au Parlement européen et au Conseil du 11 mars 2014 «Un nouveau cadre de l'UE pour renforcer l'état de droit», COM(2014) 158 final.</w:t>
      </w:r>
    </w:p>
  </w:footnote>
  <w:footnote w:id="5">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Annexe à la </w:t>
      </w:r>
      <w:r>
        <w:rPr>
          <w:rFonts w:ascii="Times New Roman" w:hAnsi="Times New Roman"/>
          <w:lang w:val="fr-BE"/>
        </w:rPr>
        <w:t xml:space="preserve">communication de la Commission au Parlement européen et au Conseil du 11 mars 2014 «Un nouveau cadre de l’UE pour renforcer l’état de droit», COM (2014) 158 final, et la jurisprudence récente de la Cour de justice de l’Union européenne, affaire C-64/16, </w:t>
      </w:r>
      <w:r>
        <w:rPr>
          <w:rFonts w:ascii="Times New Roman" w:hAnsi="Times New Roman"/>
          <w:i/>
          <w:lang w:val="fr-BE"/>
        </w:rPr>
        <w:t>As</w:t>
      </w:r>
      <w:r>
        <w:rPr>
          <w:rFonts w:ascii="Times New Roman" w:hAnsi="Times New Roman"/>
          <w:i/>
          <w:lang w:val="fr-BE"/>
        </w:rPr>
        <w:t>sociação Sindical dos Juízes Portugueses/Tribunal de Contas</w:t>
      </w:r>
      <w:r>
        <w:rPr>
          <w:rFonts w:ascii="Times New Roman" w:hAnsi="Times New Roman"/>
          <w:lang w:val="fr-BE"/>
        </w:rPr>
        <w:t>;</w:t>
      </w:r>
      <w:r>
        <w:rPr>
          <w:rFonts w:ascii="Times New Roman" w:hAnsi="Times New Roman"/>
          <w:i/>
          <w:lang w:val="fr-BE"/>
        </w:rPr>
        <w:t xml:space="preserve"> </w:t>
      </w:r>
      <w:r>
        <w:rPr>
          <w:rFonts w:ascii="Times New Roman" w:hAnsi="Times New Roman"/>
          <w:lang w:val="fr-BE"/>
        </w:rPr>
        <w:t>affaire C</w:t>
      </w:r>
      <w:r>
        <w:rPr>
          <w:lang w:val="fr-BE"/>
        </w:rPr>
        <w:noBreakHyphen/>
      </w:r>
      <w:r>
        <w:rPr>
          <w:rFonts w:ascii="Times New Roman" w:hAnsi="Times New Roman"/>
          <w:lang w:val="fr-BE"/>
        </w:rPr>
        <w:t xml:space="preserve">216/18 PPU, </w:t>
      </w:r>
      <w:r>
        <w:rPr>
          <w:rFonts w:ascii="Times New Roman" w:hAnsi="Times New Roman"/>
          <w:i/>
          <w:lang w:val="fr-BE"/>
        </w:rPr>
        <w:t>LM,</w:t>
      </w:r>
      <w:r>
        <w:rPr>
          <w:rFonts w:ascii="Times New Roman" w:hAnsi="Times New Roman"/>
          <w:lang w:val="fr-BE"/>
        </w:rPr>
        <w:t xml:space="preserve"> affaire C-619/18, </w:t>
      </w:r>
      <w:r>
        <w:rPr>
          <w:rFonts w:ascii="Times New Roman" w:hAnsi="Times New Roman"/>
          <w:i/>
          <w:lang w:val="fr-BE"/>
        </w:rPr>
        <w:t>Commission/Pologne</w:t>
      </w:r>
      <w:r>
        <w:rPr>
          <w:rFonts w:ascii="Times New Roman" w:hAnsi="Times New Roman"/>
          <w:lang w:val="fr-BE"/>
        </w:rPr>
        <w:t xml:space="preserve"> (ordonnance du 17 décembre 2018). </w:t>
      </w:r>
    </w:p>
  </w:footnote>
  <w:footnote w:id="6">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L’état de droit alimente le débat actuel sur l’avenir de l’Europe, par exemple, avec des inter</w:t>
      </w:r>
      <w:r>
        <w:rPr>
          <w:rFonts w:ascii="Times New Roman" w:hAnsi="Times New Roman"/>
          <w:lang w:val="fr-BE"/>
        </w:rPr>
        <w:t>ventions importantes de différents groupes politiques européens ainsi que d’États membres.</w:t>
      </w:r>
    </w:p>
  </w:footnote>
  <w:footnote w:id="7">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Affaire C-64/16, </w:t>
      </w:r>
      <w:r>
        <w:rPr>
          <w:rFonts w:ascii="Times New Roman" w:hAnsi="Times New Roman"/>
          <w:i/>
          <w:lang w:val="fr-BE"/>
        </w:rPr>
        <w:t>Associação Sindical dos Juízes Portugueses/Tribunal de Contas</w:t>
      </w:r>
      <w:r>
        <w:rPr>
          <w:rFonts w:ascii="Times New Roman" w:hAnsi="Times New Roman"/>
          <w:lang w:val="fr-BE"/>
        </w:rPr>
        <w:t>; affaire C</w:t>
      </w:r>
      <w:r>
        <w:rPr>
          <w:lang w:val="fr-BE"/>
        </w:rPr>
        <w:noBreakHyphen/>
      </w:r>
      <w:r>
        <w:rPr>
          <w:rFonts w:ascii="Times New Roman" w:hAnsi="Times New Roman"/>
          <w:lang w:val="fr-BE"/>
        </w:rPr>
        <w:t xml:space="preserve">284/16, </w:t>
      </w:r>
      <w:r>
        <w:rPr>
          <w:rFonts w:ascii="Times New Roman" w:hAnsi="Times New Roman"/>
          <w:i/>
          <w:lang w:val="fr-BE"/>
        </w:rPr>
        <w:t>Achmea</w:t>
      </w:r>
      <w:r>
        <w:rPr>
          <w:rFonts w:ascii="Times New Roman" w:hAnsi="Times New Roman"/>
          <w:lang w:val="fr-BE"/>
        </w:rPr>
        <w:t>; affaire C</w:t>
      </w:r>
      <w:r>
        <w:rPr>
          <w:lang w:val="fr-BE"/>
        </w:rPr>
        <w:noBreakHyphen/>
      </w:r>
      <w:r>
        <w:rPr>
          <w:rFonts w:ascii="Times New Roman" w:hAnsi="Times New Roman"/>
          <w:lang w:val="fr-BE"/>
        </w:rPr>
        <w:t xml:space="preserve">216/18 PPU, </w:t>
      </w:r>
      <w:r>
        <w:rPr>
          <w:rFonts w:ascii="Times New Roman" w:hAnsi="Times New Roman"/>
          <w:i/>
          <w:lang w:val="fr-BE"/>
        </w:rPr>
        <w:t>LM</w:t>
      </w:r>
      <w:r>
        <w:rPr>
          <w:rFonts w:ascii="Times New Roman" w:hAnsi="Times New Roman"/>
          <w:lang w:val="fr-BE"/>
        </w:rPr>
        <w:t xml:space="preserve">; affaire C-621/18, </w:t>
      </w:r>
      <w:r>
        <w:rPr>
          <w:rFonts w:ascii="Times New Roman" w:hAnsi="Times New Roman"/>
          <w:i/>
          <w:lang w:val="fr-BE"/>
        </w:rPr>
        <w:t>Wightman</w:t>
      </w:r>
      <w:r>
        <w:rPr>
          <w:rFonts w:ascii="Times New Roman" w:hAnsi="Times New Roman"/>
          <w:lang w:val="fr-BE"/>
        </w:rPr>
        <w:t xml:space="preserve">; affaire C-619/18 R, </w:t>
      </w:r>
      <w:r>
        <w:rPr>
          <w:rFonts w:ascii="Times New Roman" w:hAnsi="Times New Roman"/>
          <w:i/>
          <w:lang w:val="fr-BE"/>
        </w:rPr>
        <w:t>Commission/Pologne</w:t>
      </w:r>
      <w:r>
        <w:rPr>
          <w:rFonts w:ascii="Times New Roman" w:hAnsi="Times New Roman"/>
          <w:lang w:val="fr-BE"/>
        </w:rPr>
        <w:t xml:space="preserve">, ordonnance du 17 décembre 2018. </w:t>
      </w:r>
    </w:p>
  </w:footnote>
  <w:footnote w:id="8">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Des institutions publiques performantes contribuent à accroître la croissance et sont une condition préalable à la réalisation d’autres réformes. Des analyses empiriques montrent</w:t>
      </w:r>
      <w:r>
        <w:rPr>
          <w:rFonts w:ascii="Times New Roman" w:hAnsi="Times New Roman"/>
          <w:lang w:val="fr-BE"/>
        </w:rPr>
        <w:t xml:space="preserve"> qu’une meilleure qualité institutionnelle est généralement associée à une productivité plus élevée, voir </w:t>
      </w:r>
      <w:r>
        <w:rPr>
          <w:rFonts w:ascii="Times New Roman" w:hAnsi="Times New Roman"/>
          <w:i/>
          <w:lang w:val="fr-BE"/>
        </w:rPr>
        <w:t>Examen annuel de la croissance 2019</w:t>
      </w:r>
      <w:r>
        <w:rPr>
          <w:rFonts w:ascii="Times New Roman" w:hAnsi="Times New Roman"/>
          <w:lang w:val="fr-BE"/>
        </w:rPr>
        <w:t>, COM(2018) 770 final.</w:t>
      </w:r>
    </w:p>
  </w:footnote>
  <w:footnote w:id="9">
    <w:p w:rsidR="00617A57" w:rsidRDefault="00C1270F">
      <w:pPr>
        <w:pStyle w:val="FootnoteText"/>
        <w:ind w:left="284" w:hanging="284"/>
        <w:jc w:val="both"/>
        <w:rPr>
          <w:rFonts w:ascii="Times New Roman" w:hAnsi="Times New Roman" w:cs="Times New Roman"/>
          <w:lang w:val="fr-BE"/>
        </w:rPr>
      </w:pPr>
      <w:r>
        <w:rPr>
          <w:rStyle w:val="FootnoteReference"/>
        </w:rPr>
        <w:footnoteRef/>
      </w:r>
      <w:r>
        <w:rPr>
          <w:lang w:val="fr-BE"/>
        </w:rPr>
        <w:tab/>
      </w:r>
      <w:r>
        <w:rPr>
          <w:rFonts w:ascii="Times New Roman" w:hAnsi="Times New Roman"/>
          <w:lang w:val="fr-BE"/>
        </w:rPr>
        <w:t>Voir la note de bas de page 4 ci-dessus.</w:t>
      </w:r>
    </w:p>
  </w:footnote>
  <w:footnote w:id="10">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Proposition de règlement relatif à la protecti</w:t>
      </w:r>
      <w:r>
        <w:rPr>
          <w:rFonts w:ascii="Times New Roman" w:hAnsi="Times New Roman"/>
          <w:lang w:val="fr-BE"/>
        </w:rPr>
        <w:t xml:space="preserve">on du budget de l’Union en cas de défaillance généralisée de l’état de droit dans un État membre - COM(2018) 324. </w:t>
      </w:r>
    </w:p>
  </w:footnote>
  <w:footnote w:id="11">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hyperlink r:id="rId1">
        <w:r>
          <w:rPr>
            <w:rStyle w:val="Hyperlink"/>
            <w:rFonts w:ascii="Times New Roman" w:hAnsi="Times New Roman"/>
            <w:lang w:val="fr-BE"/>
          </w:rPr>
          <w:t>https://ec.europa.eu/info/law/cross-border-cases/judicial-cooperation/networks-and-bodies-supporting-judicial-cooperation/european-public-prosecutors-office_fr</w:t>
        </w:r>
      </w:hyperlink>
      <w:r>
        <w:rPr>
          <w:rFonts w:ascii="Times New Roman" w:hAnsi="Times New Roman"/>
          <w:lang w:val="fr-BE"/>
        </w:rPr>
        <w:t xml:space="preserve">. </w:t>
      </w:r>
    </w:p>
  </w:footnote>
  <w:footnote w:id="12">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Cette initiative est axée sur le renforcement de l</w:t>
      </w:r>
      <w:r>
        <w:rPr>
          <w:rFonts w:ascii="Times New Roman" w:hAnsi="Times New Roman"/>
          <w:lang w:val="fr-BE"/>
        </w:rPr>
        <w:t xml:space="preserve">’état de droit, mais ne couvre pas les domaines plus vastes de la démocratie ou des droits fondamentaux. Toutefois, l’état de droit est intrinsèquement lié aux droits fondamentaux et à la démocratie: si l’état de droit se concentre sur la limitation et le </w:t>
      </w:r>
      <w:r>
        <w:rPr>
          <w:rFonts w:ascii="Times New Roman" w:hAnsi="Times New Roman"/>
          <w:lang w:val="fr-BE"/>
        </w:rPr>
        <w:t>contrôle indépendant de l’exercice des pouvoirs publics, il favorise également la démocratie en établissant l'obligation pour ceux qui exercent le pouvoir public de rendre des comptes et est indispensable pour protéger les droits fondamentaux.</w:t>
      </w:r>
    </w:p>
  </w:footnote>
  <w:footnote w:id="13">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Voir égal</w:t>
      </w:r>
      <w:r>
        <w:rPr>
          <w:rFonts w:ascii="Times New Roman" w:hAnsi="Times New Roman"/>
          <w:lang w:val="fr-BE"/>
        </w:rPr>
        <w:t>ement la communication de la Commission du 15 octobre 2003, «Respect et promotion des valeurs sur lesquelles l’Union est fondée», COM(2003) 606 final.</w:t>
      </w:r>
    </w:p>
  </w:footnote>
  <w:footnote w:id="14">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Proposition de décision du Conseil relative à la constatation d'un risque clair de violation grave, pa</w:t>
      </w:r>
      <w:r>
        <w:rPr>
          <w:rFonts w:ascii="Times New Roman" w:hAnsi="Times New Roman"/>
          <w:lang w:val="fr-BE"/>
        </w:rPr>
        <w:t>r la République de Pologne, de l'état de droit [COM(2017) 835 final du 20.12.2017].</w:t>
      </w:r>
    </w:p>
  </w:footnote>
  <w:footnote w:id="15">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Résolution du Parlement européen du 12 septembre 2018 invitant le Conseil à constater, conformément à l’article 7, paragraphe 1, du traité sur l’Union européenne, l’exis</w:t>
      </w:r>
      <w:r>
        <w:rPr>
          <w:rFonts w:ascii="Times New Roman" w:hAnsi="Times New Roman"/>
          <w:lang w:val="fr-BE"/>
        </w:rPr>
        <w:t>tence d’un risque clair de violation grave, par la Hongrie, des valeurs sur lesquelles l’Union est fondée [2017/2131 (INL)].</w:t>
      </w:r>
    </w:p>
  </w:footnote>
  <w:footnote w:id="16">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Voir la note de bas de page 4 ci-dessus. </w:t>
      </w:r>
    </w:p>
  </w:footnote>
  <w:footnote w:id="17">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Voir affaire C-619/18 R, </w:t>
      </w:r>
      <w:r>
        <w:rPr>
          <w:rFonts w:ascii="Times New Roman" w:hAnsi="Times New Roman"/>
          <w:i/>
          <w:lang w:val="fr-BE"/>
        </w:rPr>
        <w:t>Commission/Pologne</w:t>
      </w:r>
      <w:r>
        <w:rPr>
          <w:rFonts w:ascii="Times New Roman" w:hAnsi="Times New Roman"/>
          <w:lang w:val="fr-BE"/>
        </w:rPr>
        <w:t xml:space="preserve">, ordonnance du 17 décembre 2018. </w:t>
      </w:r>
    </w:p>
  </w:footnote>
  <w:footnote w:id="18">
    <w:p w:rsidR="00617A57" w:rsidRDefault="00C1270F">
      <w:pPr>
        <w:pStyle w:val="FootnoteText"/>
        <w:ind w:left="284" w:hanging="284"/>
        <w:jc w:val="both"/>
        <w:rPr>
          <w:rFonts w:ascii="Times New Roman" w:hAnsi="Times New Roman" w:cs="Times New Roman"/>
          <w:lang w:val="fr-BE"/>
        </w:rPr>
      </w:pPr>
      <w:r>
        <w:rPr>
          <w:rStyle w:val="FootnoteReference"/>
        </w:rPr>
        <w:footnoteRef/>
      </w:r>
      <w:r>
        <w:rPr>
          <w:lang w:val="fr-BE"/>
        </w:rPr>
        <w:tab/>
      </w:r>
      <w:r>
        <w:rPr>
          <w:rFonts w:ascii="Times New Roman" w:hAnsi="Times New Roman"/>
          <w:lang w:val="fr-BE"/>
        </w:rPr>
        <w:t xml:space="preserve">Le </w:t>
      </w:r>
      <w:r>
        <w:rPr>
          <w:rFonts w:ascii="Times New Roman" w:hAnsi="Times New Roman"/>
          <w:lang w:val="fr-BE"/>
        </w:rPr>
        <w:t xml:space="preserve">dialogue s’est déroulé de janvier 2016 à décembre 2017. La Commission a adopté un avis et quatre recommandations. </w:t>
      </w:r>
    </w:p>
  </w:footnote>
  <w:footnote w:id="19">
    <w:p w:rsidR="00617A57" w:rsidRDefault="00C1270F">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Affaire C-506/04, </w:t>
      </w:r>
      <w:r>
        <w:rPr>
          <w:rFonts w:ascii="Times New Roman" w:hAnsi="Times New Roman"/>
          <w:i/>
          <w:lang w:val="pt-PT"/>
        </w:rPr>
        <w:t>Wilson</w:t>
      </w:r>
      <w:r>
        <w:rPr>
          <w:rFonts w:ascii="Times New Roman" w:hAnsi="Times New Roman"/>
          <w:lang w:val="pt-PT"/>
        </w:rPr>
        <w:t>.</w:t>
      </w:r>
    </w:p>
  </w:footnote>
  <w:footnote w:id="20">
    <w:p w:rsidR="00617A57" w:rsidRDefault="00C1270F">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lang w:val="pt-PT"/>
        </w:rPr>
        <w:t xml:space="preserve"> </w:t>
      </w:r>
      <w:r>
        <w:rPr>
          <w:lang w:val="pt-PT"/>
        </w:rPr>
        <w:tab/>
      </w:r>
      <w:r>
        <w:rPr>
          <w:rFonts w:ascii="Times New Roman" w:hAnsi="Times New Roman"/>
          <w:lang w:val="pt-PT"/>
        </w:rPr>
        <w:t xml:space="preserve">Affaire C-64/16, </w:t>
      </w:r>
      <w:r>
        <w:rPr>
          <w:rFonts w:ascii="Times New Roman" w:hAnsi="Times New Roman"/>
          <w:i/>
          <w:lang w:val="pt-PT"/>
        </w:rPr>
        <w:t>Associação Sindical dos Juízes Portugueses</w:t>
      </w:r>
      <w:r>
        <w:rPr>
          <w:rFonts w:ascii="Times New Roman" w:hAnsi="Times New Roman"/>
          <w:lang w:val="pt-PT"/>
        </w:rPr>
        <w:t xml:space="preserve">; affaire C-49/18, </w:t>
      </w:r>
      <w:r>
        <w:rPr>
          <w:rFonts w:ascii="Times New Roman" w:hAnsi="Times New Roman"/>
          <w:i/>
          <w:lang w:val="pt-PT"/>
        </w:rPr>
        <w:t>Escribano Vindel</w:t>
      </w:r>
      <w:r>
        <w:rPr>
          <w:rFonts w:ascii="Times New Roman" w:hAnsi="Times New Roman"/>
          <w:lang w:val="pt-PT"/>
        </w:rPr>
        <w:t>.</w:t>
      </w:r>
    </w:p>
  </w:footnote>
  <w:footnote w:id="21">
    <w:p w:rsidR="00617A57" w:rsidRDefault="00C1270F">
      <w:pPr>
        <w:pStyle w:val="FootnoteText"/>
        <w:ind w:left="284" w:hanging="284"/>
        <w:jc w:val="both"/>
        <w:rPr>
          <w:rFonts w:ascii="Times New Roman" w:hAnsi="Times New Roman" w:cs="Times New Roman"/>
          <w:lang w:val="fr-BE"/>
        </w:rPr>
      </w:pPr>
      <w:r>
        <w:rPr>
          <w:rStyle w:val="FootnoteReference"/>
        </w:rPr>
        <w:footnoteRef/>
      </w:r>
      <w:r>
        <w:rPr>
          <w:lang w:val="fr-BE"/>
        </w:rPr>
        <w:tab/>
      </w:r>
      <w:r>
        <w:rPr>
          <w:rFonts w:ascii="Times New Roman" w:hAnsi="Times New Roman"/>
          <w:lang w:val="fr-BE"/>
        </w:rPr>
        <w:t xml:space="preserve">En ce qui concerne la composition d’une instance judiciaire, la nomination, l'ancienneté et les causes d’abstention, de récusation et de révocation de ses membres, ainsi que le régime disciplinaire des juges, voir l'affaire C-216/18 PPU, </w:t>
      </w:r>
      <w:r>
        <w:rPr>
          <w:rFonts w:ascii="Times New Roman" w:hAnsi="Times New Roman"/>
          <w:i/>
          <w:lang w:val="fr-BE"/>
        </w:rPr>
        <w:t>Irlande/LM</w:t>
      </w:r>
      <w:r>
        <w:rPr>
          <w:rFonts w:ascii="Times New Roman" w:hAnsi="Times New Roman"/>
          <w:lang w:val="fr-BE"/>
        </w:rPr>
        <w:t>, et l'a</w:t>
      </w:r>
      <w:r>
        <w:rPr>
          <w:rFonts w:ascii="Times New Roman" w:hAnsi="Times New Roman"/>
          <w:lang w:val="fr-BE"/>
        </w:rPr>
        <w:t xml:space="preserve">ffaire C-8/19 PPU, </w:t>
      </w:r>
      <w:r>
        <w:rPr>
          <w:rFonts w:ascii="Times New Roman" w:hAnsi="Times New Roman"/>
          <w:i/>
          <w:lang w:val="fr-BE"/>
        </w:rPr>
        <w:t>RH</w:t>
      </w:r>
      <w:r>
        <w:rPr>
          <w:rFonts w:ascii="Times New Roman" w:hAnsi="Times New Roman"/>
          <w:lang w:val="fr-BE"/>
        </w:rPr>
        <w:t>.</w:t>
      </w:r>
    </w:p>
  </w:footnote>
  <w:footnote w:id="22">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Affaire C-619/18 R, </w:t>
      </w:r>
      <w:r>
        <w:rPr>
          <w:rFonts w:ascii="Times New Roman" w:hAnsi="Times New Roman"/>
          <w:i/>
          <w:lang w:val="fr-BE"/>
        </w:rPr>
        <w:t>Commission/Pologne</w:t>
      </w:r>
      <w:r>
        <w:rPr>
          <w:rFonts w:ascii="Times New Roman" w:hAnsi="Times New Roman"/>
          <w:lang w:val="fr-BE"/>
        </w:rPr>
        <w:t>, ordonnance du 17 décembre 2018.</w:t>
      </w:r>
    </w:p>
  </w:footnote>
  <w:footnote w:id="23">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Il s’agit notamment de décisions préjudicielles sur la nécessité de mener des enquêtes efficaces sur les fraudes fiscales ou les fraudes portant sur les fo</w:t>
      </w:r>
      <w:r>
        <w:rPr>
          <w:rFonts w:ascii="Times New Roman" w:hAnsi="Times New Roman"/>
          <w:lang w:val="fr-BE"/>
        </w:rPr>
        <w:t xml:space="preserve">nds de l’Union (voir par exemple les affaires C-617/10, </w:t>
      </w:r>
      <w:r>
        <w:rPr>
          <w:rFonts w:ascii="Times New Roman" w:hAnsi="Times New Roman"/>
          <w:i/>
          <w:lang w:val="fr-BE"/>
        </w:rPr>
        <w:t>Åkerberg Fransson</w:t>
      </w:r>
      <w:r>
        <w:rPr>
          <w:rFonts w:ascii="Times New Roman" w:hAnsi="Times New Roman"/>
          <w:lang w:val="fr-BE"/>
        </w:rPr>
        <w:t xml:space="preserve">; C-105/14, </w:t>
      </w:r>
      <w:r>
        <w:rPr>
          <w:rFonts w:ascii="Times New Roman" w:hAnsi="Times New Roman"/>
          <w:i/>
          <w:lang w:val="fr-BE"/>
        </w:rPr>
        <w:t>Taricco</w:t>
      </w:r>
      <w:r>
        <w:rPr>
          <w:rFonts w:ascii="Times New Roman" w:hAnsi="Times New Roman"/>
          <w:lang w:val="fr-BE"/>
        </w:rPr>
        <w:t xml:space="preserve">; C-42/17 </w:t>
      </w:r>
      <w:r>
        <w:rPr>
          <w:rFonts w:ascii="Times New Roman" w:hAnsi="Times New Roman"/>
          <w:i/>
          <w:lang w:val="fr-BE"/>
        </w:rPr>
        <w:t>M.A.S.</w:t>
      </w:r>
      <w:r>
        <w:rPr>
          <w:rFonts w:ascii="Times New Roman" w:hAnsi="Times New Roman"/>
          <w:lang w:val="fr-BE"/>
        </w:rPr>
        <w:t xml:space="preserve">; et C-612/15 </w:t>
      </w:r>
      <w:r>
        <w:rPr>
          <w:rFonts w:ascii="Times New Roman" w:hAnsi="Times New Roman"/>
          <w:i/>
          <w:lang w:val="fr-BE"/>
        </w:rPr>
        <w:t>Kolev</w:t>
      </w:r>
      <w:r>
        <w:rPr>
          <w:rFonts w:ascii="Times New Roman" w:hAnsi="Times New Roman"/>
          <w:lang w:val="fr-BE"/>
        </w:rPr>
        <w:t>).</w:t>
      </w:r>
    </w:p>
  </w:footnote>
  <w:footnote w:id="24">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hyperlink r:id="rId2">
        <w:r>
          <w:rPr>
            <w:rStyle w:val="Hyperlink"/>
            <w:rFonts w:ascii="Times New Roman" w:hAnsi="Times New Roman"/>
            <w:lang w:val="fr-BE"/>
          </w:rPr>
          <w:t>https://ec.europa.eu/info/strategy/justice-and-fundamental-rights/effective-justice/rule-law/assistance-bulgaria-and-romania-under-cvm/reports-progress-bulgaria-and-romania_fr</w:t>
        </w:r>
      </w:hyperlink>
      <w:r>
        <w:rPr>
          <w:rFonts w:ascii="Times New Roman" w:hAnsi="Times New Roman"/>
          <w:lang w:val="fr-BE"/>
        </w:rPr>
        <w:t xml:space="preserve">. </w:t>
      </w:r>
    </w:p>
  </w:footnote>
  <w:footnote w:id="25">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Le </w:t>
      </w:r>
      <w:r>
        <w:rPr>
          <w:rFonts w:ascii="Times New Roman" w:hAnsi="Times New Roman"/>
          <w:lang w:val="fr-BE"/>
        </w:rPr>
        <w:t>règlement (UE) 2017/825 du 17 mai 2017 a établi le programme d’appui à la réforme structurelle et l'a doté de 142 800 000 EUR pour la période 2017-2020. Le règlement (UE) 2018/1671 du 23 octobre 2018 a modifié le règlement (UE) 2017/825 afin d’augmenter l’</w:t>
      </w:r>
      <w:r>
        <w:rPr>
          <w:rFonts w:ascii="Times New Roman" w:hAnsi="Times New Roman"/>
          <w:lang w:val="fr-BE"/>
        </w:rPr>
        <w:t>enveloppe financière du programme d’appui à la réforme structurelle et d’adapter son objectif général, en portant l’enveloppe financière à 222 800 000 EUR. Dans le cadre des propositions relatives au CFP pour la période 2021-2027, la Commission a proposé d</w:t>
      </w:r>
      <w:r>
        <w:rPr>
          <w:rFonts w:ascii="Times New Roman" w:hAnsi="Times New Roman"/>
          <w:lang w:val="fr-BE"/>
        </w:rPr>
        <w:t>’allouer 840 000 000 EUR à l’appui technique et d’inclure l’instrument d’appui technique dans la proposition de programme d’appui aux réformes, qui comprend également un «outil d’aide à la mise en place des réformes» et un «mécanisme de soutien à la conver</w:t>
      </w:r>
      <w:r>
        <w:rPr>
          <w:rFonts w:ascii="Times New Roman" w:hAnsi="Times New Roman"/>
          <w:lang w:val="fr-BE"/>
        </w:rPr>
        <w:t>gence».</w:t>
      </w:r>
    </w:p>
  </w:footnote>
  <w:footnote w:id="26">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révision de la stratégie antifraude de la Commission vise à renforcer la capacité d’analyse de la Commission pour évaluer les capacités des États membres en matière de lutte contre la fraude, ainsi que l’efficacité et l’efficience de l’aide f</w:t>
      </w:r>
      <w:r>
        <w:rPr>
          <w:rFonts w:ascii="Times New Roman" w:hAnsi="Times New Roman"/>
          <w:lang w:val="fr-BE"/>
        </w:rPr>
        <w:t>ournie aux États membres. En outre, afin de renforcer la protection des intérêts financiers de l’UE, la Commission fournit des orientations aux États membres pour la conception de stratégies nationales de lutte antifraude, qui visent à recenser et à corrig</w:t>
      </w:r>
      <w:r>
        <w:rPr>
          <w:rFonts w:ascii="Times New Roman" w:hAnsi="Times New Roman"/>
          <w:lang w:val="fr-BE"/>
        </w:rPr>
        <w:t>er les faiblesses existantes des systèmes nationaux et à renforcer la coordination entre les organismes nationaux et avec l’UE, notamment avec l’OLAF.</w:t>
      </w:r>
    </w:p>
  </w:footnote>
  <w:footnote w:id="27">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Proposition de règlement portant dispositions communes (COM/2018/375), article 11. </w:t>
      </w:r>
    </w:p>
  </w:footnote>
  <w:footnote w:id="28">
    <w:p w:rsidR="00617A57" w:rsidRDefault="00C1270F">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Voir la note de</w:t>
      </w:r>
      <w:r>
        <w:rPr>
          <w:rFonts w:ascii="Times New Roman" w:hAnsi="Times New Roman"/>
          <w:lang w:val="fr-BE"/>
        </w:rPr>
        <w:t xml:space="preserve"> bas de page 10 ci-dessus.</w:t>
      </w:r>
    </w:p>
  </w:footnote>
  <w:footnote w:id="29">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 xml:space="preserve">Voir </w:t>
      </w:r>
      <w:hyperlink r:id="rId3">
        <w:r>
          <w:rPr>
            <w:rStyle w:val="Hyperlink"/>
            <w:rFonts w:ascii="Times New Roman" w:hAnsi="Times New Roman"/>
            <w:lang w:val="fr-BE"/>
          </w:rPr>
          <w:t>https://ec.europa.eu/neighbourhood-enlargement/policy/glossary/terms/accession-criteria_fr</w:t>
        </w:r>
      </w:hyperlink>
      <w:r>
        <w:rPr>
          <w:rFonts w:ascii="Times New Roman" w:hAnsi="Times New Roman"/>
          <w:lang w:val="fr-BE"/>
        </w:rPr>
        <w:t xml:space="preserve">. </w:t>
      </w:r>
    </w:p>
  </w:footnote>
  <w:footnote w:id="30">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Plus </w:t>
      </w:r>
      <w:r>
        <w:rPr>
          <w:rFonts w:ascii="Times New Roman" w:hAnsi="Times New Roman"/>
          <w:lang w:val="fr-BE"/>
        </w:rPr>
        <w:t>particulièrement le chapitre 23 - Pouvoir judiciaire et droits fondamentaux - et le chapitre 24 - Justice, liberté et sécurité.</w:t>
      </w:r>
    </w:p>
  </w:footnote>
  <w:footnote w:id="31">
    <w:p w:rsidR="00617A57" w:rsidRPr="00C1270F" w:rsidRDefault="00C1270F">
      <w:pPr>
        <w:pStyle w:val="FootnoteText"/>
        <w:ind w:left="284" w:hanging="284"/>
        <w:jc w:val="both"/>
        <w:rPr>
          <w:rFonts w:ascii="Times New Roman" w:hAnsi="Times New Roman" w:cs="Times New Roman"/>
          <w:lang w:val="fr-BE"/>
        </w:rPr>
      </w:pPr>
      <w:r>
        <w:rPr>
          <w:rStyle w:val="FootnoteReference"/>
        </w:rPr>
        <w:footnoteRef/>
      </w:r>
      <w:r w:rsidRPr="00C1270F">
        <w:rPr>
          <w:rFonts w:ascii="Times New Roman" w:hAnsi="Times New Roman"/>
          <w:lang w:val="fr-BE"/>
        </w:rPr>
        <w:t xml:space="preserve"> </w:t>
      </w:r>
      <w:r w:rsidRPr="00C1270F">
        <w:rPr>
          <w:lang w:val="fr-BE"/>
        </w:rPr>
        <w:tab/>
      </w:r>
      <w:r w:rsidRPr="00C1270F">
        <w:rPr>
          <w:rFonts w:ascii="Times New Roman" w:hAnsi="Times New Roman"/>
          <w:lang w:val="fr-BE"/>
        </w:rPr>
        <w:t>COM(2018) 65 final.</w:t>
      </w:r>
    </w:p>
  </w:footnote>
  <w:footnote w:id="32">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Comme le Comité des régions.</w:t>
      </w:r>
    </w:p>
  </w:footnote>
  <w:footnote w:id="33">
    <w:p w:rsidR="00617A57" w:rsidRDefault="00C1270F">
      <w:pPr>
        <w:pStyle w:val="FootnoteText"/>
        <w:ind w:left="284" w:hanging="284"/>
        <w:jc w:val="both"/>
        <w:rPr>
          <w:rFonts w:ascii="Times New Roman" w:hAnsi="Times New Roman" w:cs="Times New Roman"/>
          <w:lang w:val="fr-BE"/>
        </w:rPr>
      </w:pPr>
      <w:r>
        <w:rPr>
          <w:rStyle w:val="FootnoteReference"/>
        </w:rPr>
        <w:footnoteRef/>
      </w:r>
      <w:r>
        <w:rPr>
          <w:lang w:val="fr-BE"/>
        </w:rPr>
        <w:tab/>
      </w:r>
      <w:r>
        <w:rPr>
          <w:rFonts w:ascii="Times New Roman" w:hAnsi="Times New Roman"/>
          <w:lang w:val="fr-BE"/>
        </w:rPr>
        <w:t>Telles que l’Organisation pour la sécurité et la coopération en Europe/</w:t>
      </w:r>
      <w:r>
        <w:rPr>
          <w:rFonts w:ascii="Times New Roman" w:hAnsi="Times New Roman"/>
          <w:lang w:val="fr-BE"/>
        </w:rPr>
        <w:t>le Bureau des institutions démocratiques et des droits de l'homme.</w:t>
      </w:r>
    </w:p>
  </w:footnote>
  <w:footnote w:id="34">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Résolution du Parlement européen du 25 octobre 2016 contenant des recommandations à la Commission sur la création d'un mécanisme de l'Union pour la démocratie, l'état de droit et les dro</w:t>
      </w:r>
      <w:r>
        <w:rPr>
          <w:rFonts w:ascii="Times New Roman" w:hAnsi="Times New Roman"/>
          <w:lang w:val="fr-BE"/>
        </w:rPr>
        <w:t>its fondamentaux [2015/2254(INL)].</w:t>
      </w:r>
    </w:p>
  </w:footnote>
  <w:footnote w:id="35">
    <w:p w:rsidR="00617A57" w:rsidRDefault="00C1270F">
      <w:pPr>
        <w:pStyle w:val="FootnoteText"/>
        <w:ind w:left="284" w:hanging="284"/>
        <w:jc w:val="both"/>
        <w:rPr>
          <w:rFonts w:ascii="Times New Roman" w:hAnsi="Times New Roman" w:cs="Times New Roman"/>
          <w:lang w:val="fr-BE"/>
        </w:rPr>
      </w:pPr>
      <w:r>
        <w:rPr>
          <w:rStyle w:val="FootnoteReference"/>
        </w:rPr>
        <w:footnoteRef/>
      </w:r>
      <w:r>
        <w:rPr>
          <w:lang w:val="fr-BE"/>
        </w:rPr>
        <w:tab/>
      </w:r>
      <w:r>
        <w:rPr>
          <w:rFonts w:ascii="Times New Roman" w:hAnsi="Times New Roman"/>
          <w:lang w:val="fr-BE"/>
        </w:rPr>
        <w:t xml:space="preserve">Résolution du Parlement européen du 14 novembre 2018 sur la nécessité d’un mécanisme approfondi de l’Union pour la protection de la démocratie, de l’état de droit et des droits fondamentaux [2018/2886(RSP)]. </w:t>
      </w:r>
    </w:p>
  </w:footnote>
  <w:footnote w:id="36">
    <w:p w:rsidR="00617A57" w:rsidRDefault="00C1270F">
      <w:pPr>
        <w:pStyle w:val="FootnoteText"/>
        <w:ind w:left="284" w:hanging="284"/>
        <w:jc w:val="both"/>
        <w:rPr>
          <w:rFonts w:ascii="Times New Roman" w:hAnsi="Times New Roman" w:cs="Times New Roman"/>
          <w:lang w:val="fr-BE"/>
        </w:rPr>
      </w:pPr>
      <w:r>
        <w:rPr>
          <w:rStyle w:val="FootnoteReference"/>
        </w:rPr>
        <w:footnoteRef/>
      </w:r>
      <w:r>
        <w:rPr>
          <w:lang w:val="fr-BE"/>
        </w:rPr>
        <w:tab/>
      </w:r>
      <w:r>
        <w:rPr>
          <w:rFonts w:ascii="Times New Roman" w:hAnsi="Times New Roman"/>
          <w:lang w:val="fr-BE"/>
        </w:rPr>
        <w:t>Par exem</w:t>
      </w:r>
      <w:r>
        <w:rPr>
          <w:rFonts w:ascii="Times New Roman" w:hAnsi="Times New Roman"/>
          <w:lang w:val="fr-BE"/>
        </w:rPr>
        <w:t xml:space="preserve">ple, la résolution du Parlement français relative au respect de l'état de droit au sein de l'Union européenne; le débat du 14 février 2019 au sein de la commission des affaires européennes du Parlement néerlandais; ou le débat du 12 mars 2019 à la Chambre </w:t>
      </w:r>
      <w:r>
        <w:rPr>
          <w:rFonts w:ascii="Times New Roman" w:hAnsi="Times New Roman"/>
          <w:lang w:val="fr-BE"/>
        </w:rPr>
        <w:t>des représentants de Belgique (commission des affaires étrangères). L’intérêt des parlements nationaux a également été pris en considération lors de la Conférence des organes parlementaires spécialisés dans les affaires de l'Union des parlements de l'Union</w:t>
      </w:r>
      <w:r>
        <w:rPr>
          <w:rFonts w:ascii="Times New Roman" w:hAnsi="Times New Roman"/>
          <w:lang w:val="fr-BE"/>
        </w:rPr>
        <w:t xml:space="preserve"> européenne.</w:t>
      </w:r>
    </w:p>
  </w:footnote>
  <w:footnote w:id="37">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Liste des critères de l’état de droit, Commission européenne pour la démocratie par le droit (Commission de Venise), CDL-AD(2016) 007.</w:t>
      </w:r>
    </w:p>
  </w:footnote>
  <w:footnote w:id="38">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Par exemple, la recommandation CM/Rec(2010) 12 sur les juges: indépendance, efficacité et responsabili</w:t>
      </w:r>
      <w:r>
        <w:rPr>
          <w:rFonts w:ascii="Times New Roman" w:hAnsi="Times New Roman"/>
          <w:lang w:val="fr-BE"/>
        </w:rPr>
        <w:t xml:space="preserve">tés; la liste des critères de l’état de droit de la Commission de Venise, CDL-AD(2016) 007; le plan d'action du Conseil de l'Europe pour renforcer l'indépendance et l'impartialité du pouvoir judiciaire; ainsi que les avis de la Commission de Venise et les </w:t>
      </w:r>
      <w:r>
        <w:rPr>
          <w:rFonts w:ascii="Times New Roman" w:hAnsi="Times New Roman"/>
          <w:lang w:val="fr-BE"/>
        </w:rPr>
        <w:t xml:space="preserve">évaluations du Groupe d’États contre la corruption (GRECO). </w:t>
      </w:r>
    </w:p>
  </w:footnote>
  <w:footnote w:id="39">
    <w:p w:rsidR="00617A57" w:rsidRDefault="00C1270F">
      <w:pPr>
        <w:pStyle w:val="FootnoteText"/>
        <w:ind w:left="284" w:hanging="284"/>
        <w:jc w:val="both"/>
        <w:rPr>
          <w:rFonts w:ascii="Times New Roman" w:hAnsi="Times New Roman" w:cs="Times New Roman"/>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Proposition de règlement établissant le programme «Europe créative» (2021 à 2027) et abrogeant le règlement (UE) n° 1295/2013 [COM(2018) 366 final du 30.5.2018]; proposition de règlement établ</w:t>
      </w:r>
      <w:r>
        <w:rPr>
          <w:rFonts w:ascii="Times New Roman" w:hAnsi="Times New Roman"/>
          <w:lang w:val="fr-BE"/>
        </w:rPr>
        <w:t>issant le programme «Droits et valeurs» [COM(2018) 383 final du 30.5.2018]; proposition de règlement établissant le programme «Justice» [COM(2018) 384 final du 30.5.2018]. Le nouveau programme «Europe créative» soutiendra également les actions visant à ren</w:t>
      </w:r>
      <w:r>
        <w:rPr>
          <w:rFonts w:ascii="Times New Roman" w:hAnsi="Times New Roman"/>
          <w:lang w:val="fr-BE"/>
        </w:rPr>
        <w:t>forcer le secteur européen des médias d’information, la liberté de la presse, le pluralisme et la diversité des contenus journalistiques, ainsi qu’une approche critique du contenu des médias grâce à l’éducation aux médias.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57" w:rsidRDefault="00617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15:restartNumberingAfterBreak="0">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92244A-AD44-4ADB-95DD-8AF4E420BF9D"/>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oursuivre le renforcement de l'état de droit au sein de l'Union _x000d__x000d__x000d__x000d__x000d__x000d__x000d__x000d__x000d__x000b_&lt;FMT:Italic&gt;État des lieux et prochaines étapes envisageables&lt;/FMT&gt;"/>
    <w:docVar w:name="LW_TYPE.DOC.CP" w:val="COMMUNICATION DE LA COMMISSION"/>
    <w:docVar w:name="LW_TYPE.DOC.CP.USERTEXT" w:val="AU PARLEMENT EUROPÉEN, AU CONSEIL EUROPÉEN ET AU CONSEIL "/>
  </w:docVars>
  <w:rsids>
    <w:rsidRoot w:val="00617A57"/>
    <w:rsid w:val="00617A57"/>
    <w:rsid w:val="00C12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fr" TargetMode="External"/><Relationship Id="rId2" Type="http://schemas.openxmlformats.org/officeDocument/2006/relationships/hyperlink" Target="https://ec.europa.eu/info/strategy/justice-and-fundamental-rights/effective-justice/rule-law/assistance-bulgaria-and-romania-under-cvm/reports-progress-bulgaria-and-romania_fr" TargetMode="External"/><Relationship Id="rId1" Type="http://schemas.openxmlformats.org/officeDocument/2006/relationships/hyperlink" Target="https://ec.europa.eu/info/law/cross-border-cases/judicial-cooperation/networks-and-bodies-supporting-judicial-cooperation/european-public-prosecutors-office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9C2BAD-52C8-44E8-A301-85AE5FF5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7747</Words>
  <Characters>42226</Characters>
  <Application>Microsoft Office Word</Application>
  <DocSecurity>0</DocSecurity>
  <Lines>620</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2019-04-02T08:46:00Z</dcterms:created>
  <dcterms:modified xsi:type="dcterms:W3CDTF">2019-04-02T13:03:00Z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