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36C757FA" w:rsidR="00BA15A0" w:rsidRPr="00EC7A99" w:rsidRDefault="00735BE8" w:rsidP="00735BE8">
      <w:pPr>
        <w:pStyle w:val="Pagedecouverture"/>
        <w:rPr>
          <w:noProof/>
        </w:rPr>
      </w:pPr>
      <w:bookmarkStart w:id="0" w:name="LW_BM_COVERPAGE"/>
      <w:r>
        <w:rPr>
          <w:noProof/>
        </w:rPr>
        <w:pict w14:anchorId="6310F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02698A22-D308-4164-A89F-FA58C65FDA62"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735BE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8DAD5CE" w14:textId="3C50D9BF" w:rsidR="00D22A30" w:rsidRPr="00D22A30" w:rsidRDefault="00D22A30" w:rsidP="00D22A30">
      <w:pPr>
        <w:pStyle w:val="Typedudocument"/>
        <w:rPr>
          <w:noProof/>
        </w:rPr>
      </w:pPr>
      <w:bookmarkStart w:id="1" w:name="_GoBack"/>
      <w:bookmarkEnd w:id="1"/>
      <w:r w:rsidRPr="00D22A30">
        <w:rPr>
          <w:noProof/>
        </w:rPr>
        <w:lastRenderedPageBreak/>
        <w:t>IZVJEŠĆE KOMISIJE EUROPSKOM PARLAMENTU I VIJEĆU</w:t>
      </w:r>
    </w:p>
    <w:p w14:paraId="5BA46065" w14:textId="63572E4D" w:rsidR="00D22A30" w:rsidRPr="00D22A30" w:rsidRDefault="00D22A30" w:rsidP="00D22A30">
      <w:pPr>
        <w:pStyle w:val="Titreobjet"/>
        <w:rPr>
          <w:noProof/>
        </w:rPr>
      </w:pPr>
      <w:r w:rsidRPr="00D22A30">
        <w:rPr>
          <w:noProof/>
        </w:rPr>
        <w:t>o preispitivanju hitnih intervencija za rješavanje pitanja visokih cijena energije u skladu s Uredbom Vijeća (EU) 2022/1854</w:t>
      </w:r>
    </w:p>
    <w:p w14:paraId="4E1E7FF5" w14:textId="66EAE01B" w:rsidR="00BA4BBF" w:rsidRDefault="00BA4BBF" w:rsidP="2B9E9F58">
      <w:pPr>
        <w:pStyle w:val="TOC1"/>
        <w:tabs>
          <w:tab w:val="left" w:pos="440"/>
          <w:tab w:val="right" w:leader="dot" w:pos="9062"/>
        </w:tabs>
        <w:spacing w:before="120" w:after="120" w:line="360" w:lineRule="auto"/>
        <w:rPr>
          <w:rFonts w:ascii="Times New Roman" w:hAnsi="Times New Roman" w:cs="Times New Roman"/>
          <w:noProof/>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szCs w:val="24"/>
            </w:rPr>
          </w:pPr>
          <w:r>
            <w:rPr>
              <w:rFonts w:ascii="Times New Roman" w:hAnsi="Times New Roman"/>
              <w:noProof/>
              <w:sz w:val="24"/>
            </w:rPr>
            <w:t>Sadržaj</w:t>
          </w:r>
        </w:p>
        <w:p w14:paraId="2CD8C61A" w14:textId="1DE95D7A" w:rsidR="00D22A30" w:rsidRDefault="2B9E9F58">
          <w:pPr>
            <w:pStyle w:val="TOC1"/>
            <w:tabs>
              <w:tab w:val="left" w:pos="440"/>
              <w:tab w:val="right" w:leader="dot" w:pos="9062"/>
            </w:tabs>
            <w:rPr>
              <w:rFonts w:eastAsiaTheme="minorEastAsia"/>
              <w:noProof/>
              <w:lang w:val="en-IE" w:eastAsia="en-IE"/>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818060" w:history="1">
            <w:r w:rsidR="00D22A30" w:rsidRPr="001F1564">
              <w:rPr>
                <w:rStyle w:val="Hyperlink"/>
                <w:rFonts w:ascii="Times New Roman" w:eastAsia="Times New Roman" w:hAnsi="Times New Roman" w:cs="Times New Roman"/>
                <w:noProof/>
              </w:rPr>
              <w:t>I.</w:t>
            </w:r>
            <w:r w:rsidR="00D22A30">
              <w:rPr>
                <w:rFonts w:eastAsiaTheme="minorEastAsia"/>
                <w:noProof/>
                <w:lang w:val="en-IE" w:eastAsia="en-IE"/>
              </w:rPr>
              <w:tab/>
            </w:r>
            <w:r w:rsidR="00D22A30" w:rsidRPr="001F1564">
              <w:rPr>
                <w:rStyle w:val="Hyperlink"/>
                <w:rFonts w:ascii="Times New Roman" w:hAnsi="Times New Roman"/>
                <w:noProof/>
              </w:rPr>
              <w:t>Uvod</w:t>
            </w:r>
            <w:r w:rsidR="00D22A30">
              <w:rPr>
                <w:noProof/>
                <w:webHidden/>
              </w:rPr>
              <w:tab/>
            </w:r>
            <w:r w:rsidR="00D22A30">
              <w:rPr>
                <w:noProof/>
                <w:webHidden/>
              </w:rPr>
              <w:fldChar w:fldCharType="begin"/>
            </w:r>
            <w:r w:rsidR="00D22A30">
              <w:rPr>
                <w:noProof/>
                <w:webHidden/>
              </w:rPr>
              <w:instrText xml:space="preserve"> PAGEREF _Toc137818060 \h </w:instrText>
            </w:r>
            <w:r w:rsidR="00D22A30">
              <w:rPr>
                <w:noProof/>
                <w:webHidden/>
              </w:rPr>
            </w:r>
            <w:r w:rsidR="00D22A30">
              <w:rPr>
                <w:noProof/>
                <w:webHidden/>
              </w:rPr>
              <w:fldChar w:fldCharType="separate"/>
            </w:r>
            <w:r w:rsidR="00D22A30">
              <w:rPr>
                <w:noProof/>
                <w:webHidden/>
              </w:rPr>
              <w:t>2</w:t>
            </w:r>
            <w:r w:rsidR="00D22A30">
              <w:rPr>
                <w:noProof/>
                <w:webHidden/>
              </w:rPr>
              <w:fldChar w:fldCharType="end"/>
            </w:r>
          </w:hyperlink>
        </w:p>
        <w:p w14:paraId="13348CEB" w14:textId="55B28BDE" w:rsidR="00D22A30" w:rsidRDefault="00735BE8">
          <w:pPr>
            <w:pStyle w:val="TOC1"/>
            <w:tabs>
              <w:tab w:val="left" w:pos="440"/>
              <w:tab w:val="right" w:leader="dot" w:pos="9062"/>
            </w:tabs>
            <w:rPr>
              <w:rFonts w:eastAsiaTheme="minorEastAsia"/>
              <w:noProof/>
              <w:lang w:val="en-IE" w:eastAsia="en-IE"/>
            </w:rPr>
          </w:pPr>
          <w:hyperlink w:anchor="_Toc137818061" w:history="1">
            <w:r w:rsidR="00D22A30" w:rsidRPr="001F1564">
              <w:rPr>
                <w:rStyle w:val="Hyperlink"/>
                <w:rFonts w:ascii="Times New Roman" w:eastAsia="Times New Roman" w:hAnsi="Times New Roman" w:cs="Times New Roman"/>
                <w:noProof/>
              </w:rPr>
              <w:t>II.</w:t>
            </w:r>
            <w:r w:rsidR="00D22A30">
              <w:rPr>
                <w:rFonts w:eastAsiaTheme="minorEastAsia"/>
                <w:noProof/>
                <w:lang w:val="en-IE" w:eastAsia="en-IE"/>
              </w:rPr>
              <w:tab/>
            </w:r>
            <w:r w:rsidR="00D22A30" w:rsidRPr="001F1564">
              <w:rPr>
                <w:rStyle w:val="Hyperlink"/>
                <w:rFonts w:ascii="Times New Roman" w:hAnsi="Times New Roman"/>
                <w:noProof/>
              </w:rPr>
              <w:t>Zahtjev iz članka 20. Uredbe Vijeća</w:t>
            </w:r>
            <w:r w:rsidR="00D22A30">
              <w:rPr>
                <w:noProof/>
                <w:webHidden/>
              </w:rPr>
              <w:tab/>
            </w:r>
            <w:r w:rsidR="00D22A30">
              <w:rPr>
                <w:noProof/>
                <w:webHidden/>
              </w:rPr>
              <w:fldChar w:fldCharType="begin"/>
            </w:r>
            <w:r w:rsidR="00D22A30">
              <w:rPr>
                <w:noProof/>
                <w:webHidden/>
              </w:rPr>
              <w:instrText xml:space="preserve"> PAGEREF _Toc137818061 \h </w:instrText>
            </w:r>
            <w:r w:rsidR="00D22A30">
              <w:rPr>
                <w:noProof/>
                <w:webHidden/>
              </w:rPr>
            </w:r>
            <w:r w:rsidR="00D22A30">
              <w:rPr>
                <w:noProof/>
                <w:webHidden/>
              </w:rPr>
              <w:fldChar w:fldCharType="separate"/>
            </w:r>
            <w:r w:rsidR="00D22A30">
              <w:rPr>
                <w:noProof/>
                <w:webHidden/>
              </w:rPr>
              <w:t>5</w:t>
            </w:r>
            <w:r w:rsidR="00D22A30">
              <w:rPr>
                <w:noProof/>
                <w:webHidden/>
              </w:rPr>
              <w:fldChar w:fldCharType="end"/>
            </w:r>
          </w:hyperlink>
        </w:p>
        <w:p w14:paraId="620ED30F" w14:textId="4CE4EFAE" w:rsidR="00D22A30" w:rsidRDefault="00735BE8">
          <w:pPr>
            <w:pStyle w:val="TOC1"/>
            <w:tabs>
              <w:tab w:val="left" w:pos="660"/>
              <w:tab w:val="right" w:leader="dot" w:pos="9062"/>
            </w:tabs>
            <w:rPr>
              <w:rFonts w:eastAsiaTheme="minorEastAsia"/>
              <w:noProof/>
              <w:lang w:val="en-IE" w:eastAsia="en-IE"/>
            </w:rPr>
          </w:pPr>
          <w:hyperlink w:anchor="_Toc137818062" w:history="1">
            <w:r w:rsidR="00D22A30" w:rsidRPr="001F1564">
              <w:rPr>
                <w:rStyle w:val="Hyperlink"/>
                <w:rFonts w:ascii="Times New Roman" w:eastAsia="Times New Roman" w:hAnsi="Times New Roman" w:cs="Times New Roman"/>
                <w:noProof/>
              </w:rPr>
              <w:t>III.</w:t>
            </w:r>
            <w:r w:rsidR="00D22A30">
              <w:rPr>
                <w:rFonts w:eastAsiaTheme="minorEastAsia"/>
                <w:noProof/>
                <w:lang w:val="en-IE" w:eastAsia="en-IE"/>
              </w:rPr>
              <w:tab/>
            </w:r>
            <w:r w:rsidR="00D22A30" w:rsidRPr="001F1564">
              <w:rPr>
                <w:rStyle w:val="Hyperlink"/>
                <w:rFonts w:ascii="Times New Roman" w:hAnsi="Times New Roman"/>
                <w:noProof/>
              </w:rPr>
              <w:t>Trenutačni uvjeti na tržištu električne energije</w:t>
            </w:r>
            <w:r w:rsidR="00D22A30">
              <w:rPr>
                <w:noProof/>
                <w:webHidden/>
              </w:rPr>
              <w:tab/>
            </w:r>
            <w:r w:rsidR="00D22A30">
              <w:rPr>
                <w:noProof/>
                <w:webHidden/>
              </w:rPr>
              <w:fldChar w:fldCharType="begin"/>
            </w:r>
            <w:r w:rsidR="00D22A30">
              <w:rPr>
                <w:noProof/>
                <w:webHidden/>
              </w:rPr>
              <w:instrText xml:space="preserve"> PAGEREF _Toc137818062 \h </w:instrText>
            </w:r>
            <w:r w:rsidR="00D22A30">
              <w:rPr>
                <w:noProof/>
                <w:webHidden/>
              </w:rPr>
            </w:r>
            <w:r w:rsidR="00D22A30">
              <w:rPr>
                <w:noProof/>
                <w:webHidden/>
              </w:rPr>
              <w:fldChar w:fldCharType="separate"/>
            </w:r>
            <w:r w:rsidR="00D22A30">
              <w:rPr>
                <w:noProof/>
                <w:webHidden/>
              </w:rPr>
              <w:t>6</w:t>
            </w:r>
            <w:r w:rsidR="00D22A30">
              <w:rPr>
                <w:noProof/>
                <w:webHidden/>
              </w:rPr>
              <w:fldChar w:fldCharType="end"/>
            </w:r>
          </w:hyperlink>
        </w:p>
        <w:p w14:paraId="6DC3CF6C" w14:textId="4C4C3C31" w:rsidR="00D22A30" w:rsidRDefault="00735BE8">
          <w:pPr>
            <w:pStyle w:val="TOC1"/>
            <w:tabs>
              <w:tab w:val="left" w:pos="660"/>
              <w:tab w:val="right" w:leader="dot" w:pos="9062"/>
            </w:tabs>
            <w:rPr>
              <w:rFonts w:eastAsiaTheme="minorEastAsia"/>
              <w:noProof/>
              <w:lang w:val="en-IE" w:eastAsia="en-IE"/>
            </w:rPr>
          </w:pPr>
          <w:hyperlink w:anchor="_Toc137818063" w:history="1">
            <w:r w:rsidR="00D22A30" w:rsidRPr="001F1564">
              <w:rPr>
                <w:rStyle w:val="Hyperlink"/>
                <w:rFonts w:ascii="Times New Roman" w:eastAsia="Times New Roman" w:hAnsi="Times New Roman" w:cs="Times New Roman"/>
                <w:noProof/>
              </w:rPr>
              <w:t>IV.</w:t>
            </w:r>
            <w:r w:rsidR="00D22A30">
              <w:rPr>
                <w:rFonts w:eastAsiaTheme="minorEastAsia"/>
                <w:noProof/>
                <w:lang w:val="en-IE" w:eastAsia="en-IE"/>
              </w:rPr>
              <w:tab/>
            </w:r>
            <w:r w:rsidR="00D22A30" w:rsidRPr="001F1564">
              <w:rPr>
                <w:rStyle w:val="Hyperlink"/>
                <w:rFonts w:ascii="Times New Roman" w:hAnsi="Times New Roman"/>
                <w:noProof/>
              </w:rPr>
              <w:t>Smanjenje potražnje za električnom energijom</w:t>
            </w:r>
            <w:r w:rsidR="00D22A30">
              <w:rPr>
                <w:noProof/>
                <w:webHidden/>
              </w:rPr>
              <w:tab/>
            </w:r>
            <w:r w:rsidR="00D22A30">
              <w:rPr>
                <w:noProof/>
                <w:webHidden/>
              </w:rPr>
              <w:fldChar w:fldCharType="begin"/>
            </w:r>
            <w:r w:rsidR="00D22A30">
              <w:rPr>
                <w:noProof/>
                <w:webHidden/>
              </w:rPr>
              <w:instrText xml:space="preserve"> PAGEREF _Toc137818063 \h </w:instrText>
            </w:r>
            <w:r w:rsidR="00D22A30">
              <w:rPr>
                <w:noProof/>
                <w:webHidden/>
              </w:rPr>
            </w:r>
            <w:r w:rsidR="00D22A30">
              <w:rPr>
                <w:noProof/>
                <w:webHidden/>
              </w:rPr>
              <w:fldChar w:fldCharType="separate"/>
            </w:r>
            <w:r w:rsidR="00D22A30">
              <w:rPr>
                <w:noProof/>
                <w:webHidden/>
              </w:rPr>
              <w:t>7</w:t>
            </w:r>
            <w:r w:rsidR="00D22A30">
              <w:rPr>
                <w:noProof/>
                <w:webHidden/>
              </w:rPr>
              <w:fldChar w:fldCharType="end"/>
            </w:r>
          </w:hyperlink>
        </w:p>
        <w:p w14:paraId="0BF94E6F" w14:textId="5810E2F4" w:rsidR="00D22A30" w:rsidRDefault="00735BE8">
          <w:pPr>
            <w:pStyle w:val="TOC1"/>
            <w:tabs>
              <w:tab w:val="left" w:pos="440"/>
              <w:tab w:val="right" w:leader="dot" w:pos="9062"/>
            </w:tabs>
            <w:rPr>
              <w:rFonts w:eastAsiaTheme="minorEastAsia"/>
              <w:noProof/>
              <w:lang w:val="en-IE" w:eastAsia="en-IE"/>
            </w:rPr>
          </w:pPr>
          <w:hyperlink w:anchor="_Toc137818064" w:history="1">
            <w:r w:rsidR="00D22A30" w:rsidRPr="001F1564">
              <w:rPr>
                <w:rStyle w:val="Hyperlink"/>
                <w:rFonts w:ascii="Times New Roman" w:eastAsia="Times New Roman" w:hAnsi="Times New Roman" w:cs="Times New Roman"/>
                <w:noProof/>
              </w:rPr>
              <w:t>V.</w:t>
            </w:r>
            <w:r w:rsidR="00D22A30">
              <w:rPr>
                <w:rFonts w:eastAsiaTheme="minorEastAsia"/>
                <w:noProof/>
                <w:lang w:val="en-IE" w:eastAsia="en-IE"/>
              </w:rPr>
              <w:tab/>
            </w:r>
            <w:r w:rsidR="00D22A30" w:rsidRPr="001F1564">
              <w:rPr>
                <w:rStyle w:val="Hyperlink"/>
                <w:rFonts w:ascii="Times New Roman" w:hAnsi="Times New Roman"/>
                <w:noProof/>
              </w:rPr>
              <w:t>Gornja granica prihoda za inframarginalne proizvođače</w:t>
            </w:r>
            <w:r w:rsidR="00D22A30">
              <w:rPr>
                <w:noProof/>
                <w:webHidden/>
              </w:rPr>
              <w:tab/>
            </w:r>
            <w:r w:rsidR="00D22A30">
              <w:rPr>
                <w:noProof/>
                <w:webHidden/>
              </w:rPr>
              <w:fldChar w:fldCharType="begin"/>
            </w:r>
            <w:r w:rsidR="00D22A30">
              <w:rPr>
                <w:noProof/>
                <w:webHidden/>
              </w:rPr>
              <w:instrText xml:space="preserve"> PAGEREF _Toc137818064 \h </w:instrText>
            </w:r>
            <w:r w:rsidR="00D22A30">
              <w:rPr>
                <w:noProof/>
                <w:webHidden/>
              </w:rPr>
            </w:r>
            <w:r w:rsidR="00D22A30">
              <w:rPr>
                <w:noProof/>
                <w:webHidden/>
              </w:rPr>
              <w:fldChar w:fldCharType="separate"/>
            </w:r>
            <w:r w:rsidR="00D22A30">
              <w:rPr>
                <w:noProof/>
                <w:webHidden/>
              </w:rPr>
              <w:t>10</w:t>
            </w:r>
            <w:r w:rsidR="00D22A30">
              <w:rPr>
                <w:noProof/>
                <w:webHidden/>
              </w:rPr>
              <w:fldChar w:fldCharType="end"/>
            </w:r>
          </w:hyperlink>
        </w:p>
        <w:p w14:paraId="7642B6E3" w14:textId="0005FD55" w:rsidR="00D22A30" w:rsidRDefault="00735BE8">
          <w:pPr>
            <w:pStyle w:val="TOC1"/>
            <w:tabs>
              <w:tab w:val="left" w:pos="660"/>
              <w:tab w:val="right" w:leader="dot" w:pos="9062"/>
            </w:tabs>
            <w:rPr>
              <w:rFonts w:eastAsiaTheme="minorEastAsia"/>
              <w:noProof/>
              <w:lang w:val="en-IE" w:eastAsia="en-IE"/>
            </w:rPr>
          </w:pPr>
          <w:hyperlink w:anchor="_Toc137818065" w:history="1">
            <w:r w:rsidR="00D22A30" w:rsidRPr="001F1564">
              <w:rPr>
                <w:rStyle w:val="Hyperlink"/>
                <w:rFonts w:ascii="Times New Roman" w:eastAsia="Times New Roman" w:hAnsi="Times New Roman" w:cs="Times New Roman"/>
                <w:noProof/>
              </w:rPr>
              <w:t>VI.</w:t>
            </w:r>
            <w:r w:rsidR="00D22A30">
              <w:rPr>
                <w:rFonts w:eastAsiaTheme="minorEastAsia"/>
                <w:noProof/>
                <w:lang w:val="en-IE" w:eastAsia="en-IE"/>
              </w:rPr>
              <w:tab/>
            </w:r>
            <w:r w:rsidR="00D22A30" w:rsidRPr="001F1564">
              <w:rPr>
                <w:rStyle w:val="Hyperlink"/>
                <w:rFonts w:ascii="Times New Roman" w:hAnsi="Times New Roman"/>
                <w:noProof/>
              </w:rPr>
              <w:t>Potpora za krajnje potrošače</w:t>
            </w:r>
            <w:r w:rsidR="00D22A30">
              <w:rPr>
                <w:noProof/>
                <w:webHidden/>
              </w:rPr>
              <w:tab/>
            </w:r>
            <w:r w:rsidR="00D22A30">
              <w:rPr>
                <w:noProof/>
                <w:webHidden/>
              </w:rPr>
              <w:fldChar w:fldCharType="begin"/>
            </w:r>
            <w:r w:rsidR="00D22A30">
              <w:rPr>
                <w:noProof/>
                <w:webHidden/>
              </w:rPr>
              <w:instrText xml:space="preserve"> PAGEREF _Toc137818065 \h </w:instrText>
            </w:r>
            <w:r w:rsidR="00D22A30">
              <w:rPr>
                <w:noProof/>
                <w:webHidden/>
              </w:rPr>
            </w:r>
            <w:r w:rsidR="00D22A30">
              <w:rPr>
                <w:noProof/>
                <w:webHidden/>
              </w:rPr>
              <w:fldChar w:fldCharType="separate"/>
            </w:r>
            <w:r w:rsidR="00D22A30">
              <w:rPr>
                <w:noProof/>
                <w:webHidden/>
              </w:rPr>
              <w:t>15</w:t>
            </w:r>
            <w:r w:rsidR="00D22A30">
              <w:rPr>
                <w:noProof/>
                <w:webHidden/>
              </w:rPr>
              <w:fldChar w:fldCharType="end"/>
            </w:r>
          </w:hyperlink>
        </w:p>
        <w:p w14:paraId="786F1600" w14:textId="1A42949C" w:rsidR="00D22A30" w:rsidRDefault="00735BE8">
          <w:pPr>
            <w:pStyle w:val="TOC1"/>
            <w:tabs>
              <w:tab w:val="left" w:pos="660"/>
              <w:tab w:val="right" w:leader="dot" w:pos="9062"/>
            </w:tabs>
            <w:rPr>
              <w:rFonts w:eastAsiaTheme="minorEastAsia"/>
              <w:noProof/>
              <w:lang w:val="en-IE" w:eastAsia="en-IE"/>
            </w:rPr>
          </w:pPr>
          <w:hyperlink w:anchor="_Toc137818066" w:history="1">
            <w:r w:rsidR="00D22A30" w:rsidRPr="001F1564">
              <w:rPr>
                <w:rStyle w:val="Hyperlink"/>
                <w:rFonts w:ascii="Times New Roman" w:eastAsia="Times New Roman" w:hAnsi="Times New Roman" w:cs="Times New Roman"/>
                <w:noProof/>
              </w:rPr>
              <w:t>VII.</w:t>
            </w:r>
            <w:r w:rsidR="00D22A30">
              <w:rPr>
                <w:rFonts w:eastAsiaTheme="minorEastAsia"/>
                <w:noProof/>
                <w:lang w:val="en-IE" w:eastAsia="en-IE"/>
              </w:rPr>
              <w:tab/>
            </w:r>
            <w:r w:rsidR="00D22A30" w:rsidRPr="001F1564">
              <w:rPr>
                <w:rStyle w:val="Hyperlink"/>
                <w:rFonts w:ascii="Times New Roman" w:hAnsi="Times New Roman"/>
                <w:noProof/>
              </w:rPr>
              <w:t>Preliminarni zaključci</w:t>
            </w:r>
            <w:r w:rsidR="00D22A30">
              <w:rPr>
                <w:noProof/>
                <w:webHidden/>
              </w:rPr>
              <w:tab/>
            </w:r>
            <w:r w:rsidR="00D22A30">
              <w:rPr>
                <w:noProof/>
                <w:webHidden/>
              </w:rPr>
              <w:fldChar w:fldCharType="begin"/>
            </w:r>
            <w:r w:rsidR="00D22A30">
              <w:rPr>
                <w:noProof/>
                <w:webHidden/>
              </w:rPr>
              <w:instrText xml:space="preserve"> PAGEREF _Toc137818066 \h </w:instrText>
            </w:r>
            <w:r w:rsidR="00D22A30">
              <w:rPr>
                <w:noProof/>
                <w:webHidden/>
              </w:rPr>
            </w:r>
            <w:r w:rsidR="00D22A30">
              <w:rPr>
                <w:noProof/>
                <w:webHidden/>
              </w:rPr>
              <w:fldChar w:fldCharType="separate"/>
            </w:r>
            <w:r w:rsidR="00D22A30">
              <w:rPr>
                <w:noProof/>
                <w:webHidden/>
              </w:rPr>
              <w:t>17</w:t>
            </w:r>
            <w:r w:rsidR="00D22A30">
              <w:rPr>
                <w:noProof/>
                <w:webHidden/>
              </w:rPr>
              <w:fldChar w:fldCharType="end"/>
            </w:r>
          </w:hyperlink>
        </w:p>
        <w:p w14:paraId="2D4C8DC5" w14:textId="71ED04A9"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color w:val="auto"/>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szCs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bCs/>
          <w:noProof/>
          <w:sz w:val="28"/>
          <w:szCs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2" w:name="_Toc635327308"/>
      <w:bookmarkStart w:id="3" w:name="_Toc1519658753"/>
      <w:bookmarkStart w:id="4" w:name="_Toc137818060"/>
      <w:r>
        <w:rPr>
          <w:rFonts w:ascii="Times New Roman" w:hAnsi="Times New Roman"/>
          <w:noProof/>
          <w:color w:val="auto"/>
        </w:rPr>
        <w:t>Uvod</w:t>
      </w:r>
      <w:bookmarkEnd w:id="2"/>
      <w:bookmarkEnd w:id="3"/>
      <w:bookmarkEnd w:id="4"/>
    </w:p>
    <w:p w14:paraId="68DA65F6" w14:textId="77777777" w:rsidR="00302342" w:rsidRPr="00EC7A99" w:rsidRDefault="53553B70"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U ovom se izvješću preispituju odredbe iz poglavlja II. Uredbe Vijeća (EU) 2022/1854 u skladu s člankom 20. stavkom 1. te uredbe (</w:t>
      </w:r>
      <w:r>
        <w:rPr>
          <w:rFonts w:ascii="Times New Roman" w:hAnsi="Times New Roman"/>
          <w:b/>
          <w:i/>
          <w:noProof/>
          <w:sz w:val="24"/>
        </w:rPr>
        <w:t>Uredba Vijeća</w:t>
      </w:r>
      <w:r>
        <w:rPr>
          <w:rFonts w:ascii="Times New Roman" w:hAnsi="Times New Roman"/>
          <w:noProof/>
          <w:sz w:val="24"/>
        </w:rPr>
        <w:t>)</w:t>
      </w:r>
      <w:r>
        <w:rPr>
          <w:rStyle w:val="FootnoteReference"/>
          <w:rFonts w:ascii="Times New Roman" w:eastAsia="Times New Roman" w:hAnsi="Times New Roman" w:cs="Times New Roman"/>
          <w:noProof/>
          <w:sz w:val="24"/>
          <w:szCs w:val="24"/>
        </w:rPr>
        <w:footnoteReference w:id="2"/>
      </w:r>
      <w:r>
        <w:rPr>
          <w:noProof/>
        </w:rPr>
        <w:t>.</w:t>
      </w:r>
      <w:r>
        <w:rPr>
          <w:rFonts w:ascii="Times New Roman" w:hAnsi="Times New Roman"/>
          <w:noProof/>
          <w:sz w:val="24"/>
        </w:rPr>
        <w:t xml:space="preserve"> Izvješće se temelji na informacijama koje je dostavilo 25 država članica u skladu s člankom 19. Uredbe Vijeća te na odgovorima na neka od pitanja koja je Europska komisija (</w:t>
      </w:r>
      <w:r>
        <w:rPr>
          <w:rFonts w:ascii="Times New Roman" w:hAnsi="Times New Roman"/>
          <w:b/>
          <w:i/>
          <w:noProof/>
          <w:sz w:val="24"/>
        </w:rPr>
        <w:t>Komisija</w:t>
      </w:r>
      <w:r>
        <w:rPr>
          <w:rFonts w:ascii="Times New Roman" w:hAnsi="Times New Roman"/>
          <w:noProof/>
          <w:sz w:val="24"/>
        </w:rPr>
        <w:t>) postavila u okviru javnog savjetovanja o svojem prijedlogu reforme modela tržišta električne energije.</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Uredba Vijeća bila je jedna od mjera kojima je Unija odgovorila na energetsku krizu koja se pojavila </w:t>
      </w:r>
      <w:r>
        <w:rPr>
          <w:rStyle w:val="normaltextrun"/>
          <w:rFonts w:ascii="Times New Roman" w:hAnsi="Times New Roman"/>
          <w:noProof/>
          <w:sz w:val="24"/>
          <w:shd w:val="clear" w:color="auto" w:fill="FFFFFF"/>
        </w:rPr>
        <w:t>u posljednje dvije godine kad su cijene energije znatno porasle u odnosu na protekla desetljeća. Cijene su počele brzo rasti u ljeto 2021., kad se svjetsko gospodarstvo počelo oporavljati nakon ublažavanja ograničenja uvedenih zbog bolesti COVID-19. Potom su rusko korištenje izvora energije na promptnim tržištima kao oružja i ruska invazija Ukrajine doveli do znatnog smanjenja razina isporuke plina i sve većih poremećaja u opskrbi plinom, što je dodatno potaknulo rast cijena plina. Visoke cijene plina znatno utječu na cijenu električne energije jer su elektrane na plin često potrebne kako bi se zadovoljila potražnja za električnom energijom.</w:t>
      </w:r>
    </w:p>
    <w:p w14:paraId="4A9D30CD" w14:textId="77777777" w:rsidR="00302342" w:rsidRPr="00EC7A99" w:rsidRDefault="7F33591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Komisija se od početka energetske krize u potpunosti uključila u ublažavanje učinaka visokih cijena energije na europske građane i poduzeća te je, u bliskoj suradnji s državama članicama, brzo osmislila niz odgovora politike. </w:t>
      </w:r>
    </w:p>
    <w:p w14:paraId="0B660D68" w14:textId="77777777"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EU je u listopadu 2021. donio paket mjera za cijene energije</w:t>
      </w:r>
      <w:r>
        <w:rPr>
          <w:rStyle w:val="FootnoteReference"/>
          <w:rFonts w:ascii="Times New Roman" w:eastAsia="Times New Roman" w:hAnsi="Times New Roman" w:cs="Times New Roman"/>
          <w:noProof/>
          <w:sz w:val="24"/>
          <w:szCs w:val="24"/>
          <w:shd w:val="clear" w:color="auto" w:fill="FFFFFF"/>
        </w:rPr>
        <w:footnoteReference w:id="3"/>
      </w:r>
      <w:r>
        <w:rPr>
          <w:rStyle w:val="normaltextrun"/>
          <w:rFonts w:ascii="Times New Roman" w:hAnsi="Times New Roman"/>
          <w:noProof/>
          <w:sz w:val="24"/>
          <w:shd w:val="clear" w:color="auto" w:fill="FFFFFF"/>
        </w:rPr>
        <w:t xml:space="preserve"> za rješavanje pitanja visokih cijena energije i njihova učinka na potrošače (što uključuje potpore dohotku, porezne olakšice te mjere za štednju i skladištenje plina). Te mjere donesene su u kontekstu korištenja opskrbe plinom kao oružja i ruskog manipuliranja energetskim tržištima namjernim prekidima protoka plina, što je dovelo do sve većih bojazni oko mogućih nestašica koje su prouzročile dosad nezabilježen porast cijena energije. </w:t>
      </w:r>
    </w:p>
    <w:p w14:paraId="651CF598" w14:textId="77777777"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shd w:val="clear" w:color="auto" w:fill="FFFFFF"/>
        </w:rPr>
        <w:t>Nakon ruske invazije na Ukrajinu u veljači 2022. EU je u ožujku odgovorio komunikacijom u kojoj su iznesena načela plana REPowerEU</w:t>
      </w:r>
      <w:r>
        <w:rPr>
          <w:rStyle w:val="FootnoteReference"/>
          <w:rFonts w:ascii="Times New Roman" w:eastAsia="Times New Roman" w:hAnsi="Times New Roman" w:cs="Times New Roman"/>
          <w:noProof/>
          <w:sz w:val="24"/>
          <w:szCs w:val="24"/>
        </w:rPr>
        <w:footnoteReference w:id="4"/>
      </w:r>
      <w:r>
        <w:rPr>
          <w:rFonts w:ascii="Times New Roman" w:hAnsi="Times New Roman"/>
          <w:noProof/>
          <w:shd w:val="clear" w:color="auto" w:fill="FFFFFF"/>
        </w:rPr>
        <w:t xml:space="preserve"> </w:t>
      </w:r>
      <w:r>
        <w:rPr>
          <w:rFonts w:ascii="Times New Roman" w:hAnsi="Times New Roman"/>
          <w:noProof/>
          <w:sz w:val="24"/>
          <w:shd w:val="clear" w:color="auto" w:fill="FFFFFF"/>
        </w:rPr>
        <w:t xml:space="preserve">, koji </w:t>
      </w:r>
      <w:r>
        <w:rPr>
          <w:rStyle w:val="normaltextrun"/>
          <w:rFonts w:ascii="Times New Roman" w:hAnsi="Times New Roman"/>
          <w:noProof/>
          <w:sz w:val="24"/>
          <w:shd w:val="clear" w:color="auto" w:fill="FFFFFF"/>
        </w:rPr>
        <w:t>je zatim detaljno razrađen u komunikaciji od 18. svibnja 2022.</w:t>
      </w:r>
      <w:r>
        <w:rPr>
          <w:rStyle w:val="FootnoteReference"/>
          <w:rFonts w:ascii="Times New Roman" w:hAnsi="Times New Roman" w:cs="Times New Roman"/>
          <w:noProof/>
          <w:color w:val="000000"/>
          <w:sz w:val="24"/>
          <w:szCs w:val="24"/>
          <w:shd w:val="clear" w:color="auto" w:fill="FFFFFF"/>
        </w:rPr>
        <w:footnoteReference w:id="5"/>
      </w:r>
      <w:r>
        <w:rPr>
          <w:rStyle w:val="normaltextrun"/>
          <w:rFonts w:ascii="Times New Roman" w:hAnsi="Times New Roman"/>
          <w:noProof/>
          <w:sz w:val="24"/>
          <w:shd w:val="clear" w:color="auto" w:fill="FFFFFF"/>
        </w:rPr>
        <w:t xml:space="preserve"> o planu </w:t>
      </w:r>
      <w:r>
        <w:rPr>
          <w:rStyle w:val="normaltextrun"/>
          <w:rFonts w:ascii="Times New Roman" w:hAnsi="Times New Roman"/>
          <w:noProof/>
          <w:color w:val="000000" w:themeColor="text1"/>
          <w:sz w:val="24"/>
        </w:rPr>
        <w:t xml:space="preserve">za </w:t>
      </w:r>
      <w:r>
        <w:rPr>
          <w:rStyle w:val="normaltextrun"/>
          <w:rFonts w:ascii="Times New Roman" w:hAnsi="Times New Roman"/>
          <w:noProof/>
          <w:sz w:val="24"/>
          <w:shd w:val="clear" w:color="auto" w:fill="FFFFFF"/>
        </w:rPr>
        <w:t>ukidanje ovisnosti EU-a o ruskim fosilnim gorivima najkasnije do 2027. putem tri</w:t>
      </w:r>
      <w:r>
        <w:rPr>
          <w:rStyle w:val="normaltextrun"/>
          <w:rFonts w:ascii="Times New Roman" w:hAnsi="Times New Roman"/>
          <w:noProof/>
          <w:sz w:val="24"/>
        </w:rPr>
        <w:t xml:space="preserve"> stupa: diversifikacijom izvora energije smanjenjem udjela ruskih fosilnih goriva</w:t>
      </w:r>
      <w:r>
        <w:rPr>
          <w:rStyle w:val="normaltextrun"/>
          <w:rFonts w:ascii="Times New Roman" w:hAnsi="Times New Roman"/>
          <w:noProof/>
          <w:sz w:val="24"/>
          <w:shd w:val="clear" w:color="auto" w:fill="FFFFFF"/>
        </w:rPr>
        <w:t>, štednjom energije i ubrzavanjem energetske tranzicije. Kad je riječ o tom posljednjem stupu, Komisija je predložila da se u okviru paketa „Spremni za 55 %” glavni cilj do 2030. za obnovljive izvore energije poveća s 40 % na 45 %</w:t>
      </w:r>
      <w:r>
        <w:rPr>
          <w:rFonts w:ascii="Times New Roman" w:hAnsi="Times New Roman"/>
          <w:noProof/>
          <w:sz w:val="24"/>
        </w:rPr>
        <w:t>, a glavni cilj u pogledu energetske učinkovitosti s 9 % na 13 %</w:t>
      </w:r>
      <w:r>
        <w:rPr>
          <w:rStyle w:val="normaltextrun"/>
          <w:rFonts w:ascii="Times New Roman" w:hAnsi="Times New Roman"/>
          <w:noProof/>
          <w:sz w:val="24"/>
          <w:shd w:val="clear" w:color="auto" w:fill="FFFFFF"/>
        </w:rPr>
        <w:t xml:space="preserve">. </w:t>
      </w:r>
      <w:r>
        <w:rPr>
          <w:rStyle w:val="normaltextrun"/>
          <w:rFonts w:ascii="Times New Roman" w:hAnsi="Times New Roman"/>
          <w:noProof/>
          <w:sz w:val="24"/>
        </w:rPr>
        <w:t xml:space="preserve">Kako bi se europske građane </w:t>
      </w:r>
      <w:r>
        <w:rPr>
          <w:rStyle w:val="normaltextrun"/>
          <w:rFonts w:ascii="Times New Roman" w:hAnsi="Times New Roman"/>
          <w:noProof/>
          <w:sz w:val="24"/>
          <w:shd w:val="clear" w:color="auto" w:fill="FFFFFF"/>
        </w:rPr>
        <w:t>zaštitilo od kriza povezanih s fosilnim gorivima potrebni su brže uvođenje obnovljivih izvora energije</w:t>
      </w:r>
      <w:r>
        <w:rPr>
          <w:rStyle w:val="normaltextrun"/>
          <w:rFonts w:ascii="Times New Roman" w:hAnsi="Times New Roman"/>
          <w:noProof/>
          <w:sz w:val="24"/>
        </w:rPr>
        <w:t xml:space="preserve">, </w:t>
      </w:r>
      <w:r>
        <w:rPr>
          <w:rStyle w:val="normaltextrun"/>
          <w:rFonts w:ascii="Times New Roman" w:hAnsi="Times New Roman"/>
          <w:noProof/>
          <w:sz w:val="24"/>
          <w:shd w:val="clear" w:color="auto" w:fill="FFFFFF"/>
        </w:rPr>
        <w:t xml:space="preserve">povećanje energetske učinkovitosti i daljnja elektrifikacija potražnje jer će se time neposredno i strukturno smanjiti potražnja za fosilnim gorivima i pridonijeti ciljevima dekarbonizacije u energetskom sektoru, sektoru grijanja i hlađenja te industrijskom i prometnom sektoru. Budući da imaju niske operativne troškove, obnovljivi izvori energije trebali bi pozitivno utjecati na cijene energije u EU-u. Nadalje, brže uvođenje energije iz obnovljivih izvora u kombinaciji s većom energetskom učinkovitošću pridonijet će </w:t>
      </w:r>
      <w:r>
        <w:rPr>
          <w:rStyle w:val="normaltextrun"/>
          <w:rFonts w:ascii="Times New Roman" w:hAnsi="Times New Roman"/>
          <w:noProof/>
          <w:sz w:val="24"/>
        </w:rPr>
        <w:t xml:space="preserve">sigurnosti opskrbe energijom </w:t>
      </w:r>
      <w:r>
        <w:rPr>
          <w:rStyle w:val="normaltextrun"/>
          <w:rFonts w:ascii="Times New Roman" w:hAnsi="Times New Roman"/>
          <w:noProof/>
          <w:sz w:val="24"/>
          <w:shd w:val="clear" w:color="auto" w:fill="FFFFFF"/>
        </w:rPr>
        <w:t xml:space="preserve">postupnim smanjenjem korištenja </w:t>
      </w:r>
      <w:r>
        <w:rPr>
          <w:rStyle w:val="normaltextrun"/>
          <w:rFonts w:ascii="Times New Roman" w:hAnsi="Times New Roman"/>
          <w:noProof/>
          <w:color w:val="000000" w:themeColor="text1"/>
          <w:sz w:val="24"/>
        </w:rPr>
        <w:t xml:space="preserve">fosilnih goriva </w:t>
      </w:r>
      <w:r>
        <w:rPr>
          <w:rStyle w:val="normaltextrun"/>
          <w:rFonts w:ascii="Times New Roman" w:hAnsi="Times New Roman"/>
          <w:noProof/>
          <w:sz w:val="24"/>
          <w:shd w:val="clear" w:color="auto" w:fill="FFFFFF"/>
        </w:rPr>
        <w:t>o kojima EU ovisi u velikoj mjeri</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Uz plan REPowerEU izdana je i Komunikacija o kratkoročnim intervencijama na tržištu električne energije</w:t>
      </w:r>
      <w:r>
        <w:rPr>
          <w:rStyle w:val="FootnoteReference"/>
          <w:rFonts w:ascii="Times New Roman" w:hAnsi="Times New Roman" w:cs="Times New Roman"/>
          <w:noProof/>
          <w:color w:val="000000" w:themeColor="text1"/>
          <w:sz w:val="24"/>
          <w:szCs w:val="24"/>
        </w:rPr>
        <w:footnoteReference w:id="6"/>
      </w:r>
      <w:r>
        <w:rPr>
          <w:rStyle w:val="eop"/>
          <w:rFonts w:ascii="Times New Roman" w:hAnsi="Times New Roman"/>
          <w:noProof/>
          <w:color w:val="000000" w:themeColor="text1"/>
          <w:sz w:val="24"/>
        </w:rPr>
        <w:t xml:space="preserve">, u kojoj su zajedno s dodatnim </w:t>
      </w:r>
      <w:r>
        <w:rPr>
          <w:rStyle w:val="eop"/>
          <w:rFonts w:ascii="Times New Roman" w:hAnsi="Times New Roman"/>
          <w:noProof/>
          <w:sz w:val="24"/>
        </w:rPr>
        <w:t xml:space="preserve">kratkoročnim mjerama za otklanjanje problema visokih cijena energije utvrđena i potencijalna područja za poboljšanje modela tržišta električne energije te je izražena namjera da se ta područja ocijene radi izmjene relevantnog zakonodavnog okvira. </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 xml:space="preserve">Vijeće je 6. listopada 2022. donijelo Uredbu Vijeća kojom su uvedene izvanredne, ciljane i vremenski ograničene zajedničke mjere za smanjenje potražnje za električnom energijom te prikupljanje </w:t>
      </w:r>
      <w:r>
        <w:rPr>
          <w:rStyle w:val="normaltextrun"/>
          <w:rFonts w:ascii="Times New Roman" w:hAnsi="Times New Roman"/>
          <w:noProof/>
          <w:sz w:val="24"/>
        </w:rPr>
        <w:t>iznimno visokih</w:t>
      </w:r>
      <w:r>
        <w:rPr>
          <w:rStyle w:val="normaltextrun"/>
          <w:rFonts w:ascii="Times New Roman" w:hAnsi="Times New Roman"/>
          <w:noProof/>
          <w:sz w:val="24"/>
          <w:shd w:val="clear" w:color="auto" w:fill="FFFFFF"/>
        </w:rPr>
        <w:t xml:space="preserve"> prihoda energetskog sektora i njihovu preraspodjelu krajnjih kupcima. Konkretnije, mjere intervencije na tržištu električne energije mogu se sažeti kako slijedi (poglavlje II. Uredbe Vijeća):</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smanjenje potražnje za električnom energijom</w:t>
      </w:r>
      <w:r>
        <w:rPr>
          <w:rStyle w:val="normaltextrun"/>
          <w:rFonts w:ascii="Times New Roman" w:hAnsi="Times New Roman"/>
          <w:noProof/>
          <w:sz w:val="24"/>
          <w:shd w:val="clear" w:color="auto" w:fill="FFFFFF"/>
        </w:rPr>
        <w:t xml:space="preserve">: Uredbom Vijeća utvrđuju se dva cilja: jedan okvirni (smanjenje ukupne potražnje za električnom energijom za 10 %) i jedan obvezni (smanjenje potražnje tijekom sati visoke potražnje za električnom energijom za najmanje 5 %). Države članice </w:t>
      </w:r>
      <w:r>
        <w:rPr>
          <w:rStyle w:val="normaltextrun"/>
          <w:rFonts w:ascii="Times New Roman" w:hAnsi="Times New Roman"/>
          <w:noProof/>
          <w:sz w:val="24"/>
        </w:rPr>
        <w:t xml:space="preserve">mogle su </w:t>
      </w:r>
      <w:r>
        <w:rPr>
          <w:rStyle w:val="normaltextrun"/>
          <w:rFonts w:ascii="Times New Roman" w:hAnsi="Times New Roman"/>
          <w:noProof/>
          <w:sz w:val="24"/>
          <w:shd w:val="clear" w:color="auto" w:fill="FFFFFF"/>
        </w:rPr>
        <w:t>slobodno odabrati odgovarajuće mjere, pridržavajući se pritom određenih uvjeta utvrđenih u Uredbi Vijeća</w:t>
      </w:r>
      <w:r>
        <w:rPr>
          <w:rStyle w:val="FootnoteReference"/>
          <w:rFonts w:ascii="Times New Roman" w:eastAsia="Times New Roman" w:hAnsi="Times New Roman" w:cs="Times New Roman"/>
          <w:noProof/>
          <w:sz w:val="24"/>
          <w:szCs w:val="24"/>
          <w:shd w:val="clear" w:color="auto" w:fill="FFFFFF"/>
        </w:rPr>
        <w:footnoteReference w:id="7"/>
      </w:r>
      <w:r>
        <w:rPr>
          <w:noProof/>
        </w:rPr>
        <w:t>.</w:t>
      </w:r>
      <w:r>
        <w:rPr>
          <w:rStyle w:val="normaltextrun"/>
          <w:rFonts w:ascii="Times New Roman" w:hAnsi="Times New Roman"/>
          <w:noProof/>
          <w:sz w:val="24"/>
          <w:shd w:val="clear" w:color="auto" w:fill="FFFFFF"/>
        </w:rPr>
        <w:t xml:space="preserve"> Obvezni cilj primjenjivao se od 1. prosinca 2022. do 31. ožujka 2023.</w:t>
      </w:r>
      <w:r>
        <w:rPr>
          <w:rStyle w:val="FootnoteReference"/>
          <w:rFonts w:ascii="Times New Roman" w:eastAsia="Times New Roman" w:hAnsi="Times New Roman" w:cs="Times New Roman"/>
          <w:noProof/>
          <w:sz w:val="24"/>
          <w:szCs w:val="24"/>
        </w:rPr>
        <w:footnoteReference w:id="8"/>
      </w:r>
      <w:r>
        <w:rPr>
          <w:rFonts w:ascii="Times New Roman" w:hAnsi="Times New Roman"/>
          <w:noProof/>
          <w:sz w:val="24"/>
        </w:rPr>
        <w:t>;</w:t>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uvođenje privremene gornje granice prihoda za „inframarginalne” proizvođače električne energije (npr. proizvođači električne energije iz obnovljivih izvora, nuklearne energije i lignita)</w:t>
      </w:r>
      <w:r>
        <w:rPr>
          <w:rStyle w:val="normaltextrun"/>
          <w:rFonts w:ascii="Times New Roman" w:hAnsi="Times New Roman"/>
          <w:noProof/>
          <w:sz w:val="24"/>
          <w:shd w:val="clear" w:color="auto" w:fill="FFFFFF"/>
        </w:rPr>
        <w:t xml:space="preserve">: Uredbom Vijeća propisuje se uvođenje privremene gornje granice prihoda od najviše 180 EUR/MWh za proizvođače električne energije koji koriste tehnologije s nižim graničnim troškovima (gornja granica prihoda). Međutim, tom se uredbom državama članicama omogućuje i fleksibilnost pri odlučivanju o načinu primjene te mjere na nacionalnoj razini. Prihodi iznad te gornje granice prihoda koristit će se za ublažavanje učinka visokih cijena električne energije na potrošače energije. Ta se mjera primjenjuje od 1. prosinca 2022. do 30. lipnja 2023.; </w:t>
      </w:r>
    </w:p>
    <w:p w14:paraId="11FD8739" w14:textId="77777777"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potpora za krajnje kupce</w:t>
      </w:r>
      <w:r>
        <w:rPr>
          <w:rStyle w:val="normaltextrun"/>
          <w:rFonts w:ascii="Times New Roman" w:hAnsi="Times New Roman"/>
          <w:noProof/>
          <w:sz w:val="24"/>
          <w:shd w:val="clear" w:color="auto" w:fill="FFFFFF"/>
        </w:rPr>
        <w:t>: Uredbom Vijeća proširuje se paket mjera koje su na raspolaganju državama članicama za zaštitu potrošača električne energije dopuštanjem da se, pod određenim uvjetima, uvedu regulirane cijene niže od troškova za kućanstva te mala i srednja poduzeća (MSP-ove).  Ta se mjera primjenjuje od 8. listopada 2022. do 31. prosinca 2023.</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rPr>
        <w:t>Uredbom Vijeća uveden je i solidarni doprinos koji plaćaju poduzeća i stalne poslovne jedinice iz EU-a koji obavljaju djelatnosti u sektorima sirove nafte, prirodnog plina, ugljena i rafinerija (poglavlje III.).</w:t>
      </w:r>
    </w:p>
    <w:p w14:paraId="21150697" w14:textId="77777777" w:rsidR="380141F3" w:rsidRPr="00EC7A99" w:rsidRDefault="03BE3B81"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Dok je cilj Uredbe Vijeća bio odgovoriti na izvanredne okolnosti energetske krize, Komisija je 14. ožujka 2023. otišla korak dalje od samog odgovora na hitnu situaciju i predložila reformu modela tržišta električne energije u EU-u kako bi se ubrzalo uvođenje obnovljivih izvora energije i postupno smanjila upotreba plina, smanjila ovisnost računa koje potrošači plaćaju za energiju o nestabilnim cijenama fosilnih goriva, bolje zaštitili potrošači od budućih naglih porasta cijena i potencijalnih manipulacija na tržištu te kako bi industrija u EU-u postala čista i konkurentnija (</w:t>
      </w:r>
      <w:r>
        <w:rPr>
          <w:rFonts w:ascii="Times New Roman" w:hAnsi="Times New Roman"/>
          <w:b/>
          <w:i/>
          <w:noProof/>
          <w:sz w:val="24"/>
        </w:rPr>
        <w:t>prijedlog o modelu tržišta električne energije</w:t>
      </w:r>
      <w:r>
        <w:rPr>
          <w:rFonts w:ascii="Times New Roman" w:hAnsi="Times New Roman"/>
          <w:noProof/>
          <w:sz w:val="24"/>
        </w:rPr>
        <w:t>)</w:t>
      </w:r>
      <w:r>
        <w:rPr>
          <w:rStyle w:val="FootnoteReference"/>
          <w:rFonts w:ascii="Times New Roman" w:eastAsia="Times New Roman" w:hAnsi="Times New Roman" w:cs="Times New Roman"/>
          <w:noProof/>
          <w:sz w:val="24"/>
          <w:szCs w:val="24"/>
          <w:lang w:val="en-US"/>
        </w:rPr>
        <w:footnoteReference w:id="9"/>
      </w:r>
      <w:r>
        <w:rPr>
          <w:noProof/>
        </w:rPr>
        <w:t>.</w:t>
      </w:r>
      <w:r>
        <w:rPr>
          <w:rFonts w:ascii="Times New Roman" w:hAnsi="Times New Roman"/>
          <w:noProof/>
          <w:sz w:val="24"/>
        </w:rPr>
        <w:t xml:space="preserve"> U tom se prijedlogu utvrđuju mjere kojima se nastoji omogućiti razvoj dugoročnijih ugovora s proizvođačima energije iz nefosilnih izvora te u sustav uvesti više čistih fleksibilnih rješenja, kao što su upravljanje potrošnjom i skladištenje, kako bi se izbacio plin iz kombinacije izvora električne energije. Konkretnije, kako bi se povećala fleksibilnost elektroenergetskog sustava u tom se prijedlogu propisuje zahtjev za države članice da procijene svoje potrebe i utvrde ciljeve radi povećanja nefosilnih rješenja za fleksibilnost te utvrđuje mogućnost uvođenja novih programa potpore za nefosilna rješenja za fleksibilnost, kao što su upravljanje potrošnjom i skladištenje. </w:t>
      </w:r>
    </w:p>
    <w:p w14:paraId="3EAA92D1" w14:textId="77777777" w:rsidR="380141F3" w:rsidRPr="00EC7A99" w:rsidRDefault="37F1FED1" w:rsidP="2B9E9F58">
      <w:pPr>
        <w:spacing w:before="120" w:after="120" w:line="36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 xml:space="preserve">Prijedlog o modelu tržišta električne energije uključuje i mjere za jačanje zaštite ugroženih potošača. Tim se prijedlogom, među ostalim, dopušta državama članicama da uvedu regulirane maloprodajne cijene niže od troškova za kućanstva i MSP-ove u slučaju buduće krize cijena električne energije.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U okviru izrade tog prijedloga Komisija je provela javno savjetovanje koje je trajalo od 23. siječnja 2023. do 13. veljače 2023. (</w:t>
      </w:r>
      <w:r>
        <w:rPr>
          <w:rFonts w:ascii="Times New Roman" w:hAnsi="Times New Roman"/>
          <w:b/>
          <w:i/>
          <w:noProof/>
          <w:sz w:val="24"/>
        </w:rPr>
        <w:t>javno savjetovanje</w:t>
      </w:r>
      <w:r>
        <w:rPr>
          <w:rFonts w:ascii="Times New Roman" w:hAnsi="Times New Roman"/>
          <w:noProof/>
          <w:sz w:val="24"/>
        </w:rPr>
        <w:t>). To javno savjetovanje uključivalo je pitanja o mjerama uvedenima Uredbom Vijeća</w:t>
      </w:r>
      <w:r>
        <w:rPr>
          <w:rStyle w:val="FootnoteReference"/>
          <w:rFonts w:ascii="Times New Roman" w:eastAsia="Times New Roman" w:hAnsi="Times New Roman" w:cs="Times New Roman"/>
          <w:noProof/>
          <w:sz w:val="24"/>
          <w:szCs w:val="24"/>
          <w:lang w:val="en-US"/>
        </w:rPr>
        <w:footnoteReference w:id="10"/>
      </w:r>
      <w:r>
        <w:rPr>
          <w:noProof/>
        </w:rPr>
        <w:t>.</w:t>
      </w:r>
      <w:r>
        <w:rPr>
          <w:rFonts w:ascii="Times New Roman" w:hAnsi="Times New Roman"/>
          <w:noProof/>
          <w:sz w:val="24"/>
        </w:rPr>
        <w:t xml:space="preserve"> </w:t>
      </w:r>
    </w:p>
    <w:p w14:paraId="16DBA290" w14:textId="77777777"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818061"/>
      <w:bookmarkStart w:id="6" w:name="_Toc156730298"/>
      <w:bookmarkStart w:id="7" w:name="_Toc1902165151"/>
      <w:r>
        <w:rPr>
          <w:rFonts w:ascii="Times New Roman" w:hAnsi="Times New Roman"/>
          <w:noProof/>
          <w:color w:val="auto"/>
        </w:rPr>
        <w:t>Zahtjev iz članka 20. Uredbe Vijeća</w:t>
      </w:r>
      <w:bookmarkEnd w:id="5"/>
      <w:r>
        <w:rPr>
          <w:rFonts w:ascii="Times New Roman" w:hAnsi="Times New Roman"/>
          <w:noProof/>
          <w:color w:val="auto"/>
        </w:rPr>
        <w:t xml:space="preserve"> </w:t>
      </w:r>
      <w:bookmarkEnd w:id="6"/>
      <w:bookmarkEnd w:id="7"/>
    </w:p>
    <w:p w14:paraId="02F81BDF" w14:textId="6F6A3844" w:rsidR="52975E3E" w:rsidRDefault="52975E3E" w:rsidP="6E35EF87">
      <w:pPr>
        <w:spacing w:before="120" w:after="120" w:line="36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Člankom 19. Uredbe Vijeća uvedene su obveze izvješćivanja za države članice prema kojima su države članice do 31. siječnja 2023. trebale dostaviti Komisiji informacije o i. provedenim mjerama za smanjenje potražnje; ii. višku prihoda ostvarenom nakon uvođenja privremene gornje granice prihoda za „inframarginalne” proizvođače električne energije te o raspodjeli tih prihoda radi ublažavanja učinka visokih cijena električne energije; i iii. svim intervencijama u određivanje maloprodajnih cijena. Neke države članice nisu dostavile svoja izvješća u skladu s tim zahtjevom. Manje od polovine država članica dostavilo je svoja izvješća u roku, druge su dostavile izvješća u veljači i ožujku 2023, a dvije države članice još nisu dostavle svoja izvješća Komisiji</w:t>
      </w:r>
      <w:r>
        <w:rPr>
          <w:rStyle w:val="FootnoteReference"/>
          <w:rFonts w:ascii="Times New Roman" w:eastAsia="Times New Roman" w:hAnsi="Times New Roman" w:cs="Times New Roman"/>
          <w:noProof/>
          <w:sz w:val="24"/>
          <w:szCs w:val="24"/>
          <w:lang w:val="en-IE"/>
        </w:rPr>
        <w:footnoteReference w:id="11"/>
      </w:r>
      <w:r>
        <w:rPr>
          <w:rStyle w:val="normaltextrun"/>
          <w:rFonts w:ascii="Times New Roman" w:hAnsi="Times New Roman"/>
          <w:noProof/>
          <w:sz w:val="24"/>
        </w:rPr>
        <w:t>. Ovo izvješće temelji se na informacijama koje su države članice dostavile do trenutka sastavljanja izvješća. Međutim, treba napomenuti da Komisija nije provela nikakve provjere točnosti dostavljenih informacija.</w:t>
      </w:r>
    </w:p>
    <w:p w14:paraId="0351FE47"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U skladu s člankom 20. stavkom 1. Uredbe Vijeća, Komisija provodi preispitivanje poglavlja II. s obzirom na opće stanje opskrbe električnom energijom i cijena električne energije u EU-u te Vijeću podnosi izvješće o glavnim nalazima tog preispitivanja. </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U članku 20. stavku 1. Uredbe Vijeća propisuje se i da Komisija na temelju tog izvješća može, ako je to opravdano gospodarskim okolnostima ili funkcioniranjem tržišta električne energije u EU-u i pojedinačnim državama članicama, predložiti produljenje razdoblja primjene Uredbe Vijeća, izmjenu gornje granice prihoda za </w:t>
      </w:r>
      <w:r>
        <w:rPr>
          <w:rStyle w:val="normaltextrun"/>
          <w:rFonts w:ascii="Times New Roman" w:hAnsi="Times New Roman"/>
          <w:noProof/>
          <w:sz w:val="24"/>
        </w:rPr>
        <w:t>„inframarginalne”</w:t>
      </w:r>
      <w:r>
        <w:rPr>
          <w:rFonts w:ascii="Times New Roman" w:hAnsi="Times New Roman"/>
          <w:noProof/>
          <w:sz w:val="24"/>
        </w:rPr>
        <w:t xml:space="preserve"> proizvođače električne energije i izvora za proizvodnju električne energije na koje se ona trenutačno primjenjuje ili izmjenu poglavlja II. na drugi način.</w:t>
      </w:r>
    </w:p>
    <w:p w14:paraId="0C5D0B87" w14:textId="77777777"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U okviru preispitivanja mjera iz poglavlja II. Uredbe Vijeća, a u skladu s člankom 20. stavkom 1. te uredbe, Komisija to izvješće podnosi Vijeću (</w:t>
      </w:r>
      <w:r>
        <w:rPr>
          <w:rFonts w:ascii="Times New Roman" w:hAnsi="Times New Roman"/>
          <w:b/>
          <w:i/>
          <w:noProof/>
          <w:sz w:val="24"/>
        </w:rPr>
        <w:t>Izvješće</w:t>
      </w:r>
      <w:r>
        <w:rPr>
          <w:rFonts w:ascii="Times New Roman" w:hAnsi="Times New Roman"/>
          <w:noProof/>
          <w:sz w:val="24"/>
        </w:rPr>
        <w:t xml:space="preserve">). Izvješće stoga ne obuhvaća preispitivanje odredaba o solidarnom doprinosu iz poglavlja III. Uredbe Vijeća, a izvješće o tom preispitivanju Komisija će podnijeti zasebno u skladu s člankom 20. stavkom 2. te uredbe. </w:t>
      </w:r>
    </w:p>
    <w:p w14:paraId="688FFEE6" w14:textId="77777777" w:rsidR="00461B53" w:rsidRPr="00EC7A99" w:rsidRDefault="0022932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Izvješće se temelji na preispitivanju Komisije provedenom u trenutku sastavljanja izvješća na temelju trenutačnih uvjeta na tržištu električne energije, očekivanih promjena tih uvjeta u trenutku sastavljanja izvješća i drugih dostupnih informacija, uključujući odgovore dobivene od 25 država članica koje su ispunile svoje obveze izvješćivanja u skladu s člankom 19. Uredbe Vijeća (</w:t>
      </w:r>
      <w:r>
        <w:rPr>
          <w:rFonts w:ascii="Times New Roman" w:hAnsi="Times New Roman"/>
          <w:b/>
          <w:i/>
          <w:noProof/>
          <w:sz w:val="24"/>
        </w:rPr>
        <w:t>države članice izvjestiteljice</w:t>
      </w:r>
      <w:r>
        <w:rPr>
          <w:rFonts w:ascii="Times New Roman" w:hAnsi="Times New Roman"/>
          <w:noProof/>
          <w:sz w:val="24"/>
        </w:rPr>
        <w:t xml:space="preserve">). Izvješćem se stoga ne dovode u pitanje bilo koje nepredviđene promjene općeg stanja opskrbe električnom energijom i cijena električne energije u EU-u ili mogući budući zaključci na temelju dodatnih informacija dobivenih od država članica. </w:t>
      </w:r>
    </w:p>
    <w:p w14:paraId="7732BAFB" w14:textId="77777777" w:rsidR="048ACA01" w:rsidRPr="00EC7A99" w:rsidRDefault="116E76FC" w:rsidP="165D8B0D">
      <w:pPr>
        <w:pStyle w:val="Heading1"/>
        <w:keepNext w:val="0"/>
        <w:keepLines w:val="0"/>
        <w:spacing w:before="120" w:after="120" w:line="360" w:lineRule="auto"/>
        <w:rPr>
          <w:rFonts w:ascii="Times New Roman" w:eastAsia="Times New Roman" w:hAnsi="Times New Roman" w:cs="Times New Roman"/>
          <w:noProof/>
          <w:color w:val="auto"/>
        </w:rPr>
      </w:pPr>
      <w:bookmarkStart w:id="8" w:name="_Toc137818062"/>
      <w:r>
        <w:rPr>
          <w:rFonts w:ascii="Times New Roman" w:hAnsi="Times New Roman"/>
          <w:noProof/>
          <w:color w:val="auto"/>
        </w:rPr>
        <w:t>Trenutačni uvjeti na tržištu električne energije</w:t>
      </w:r>
      <w:bookmarkEnd w:id="8"/>
      <w:r>
        <w:rPr>
          <w:rFonts w:ascii="Times New Roman" w:hAnsi="Times New Roman"/>
          <w:noProof/>
          <w:color w:val="auto"/>
        </w:rPr>
        <w:t xml:space="preserve"> </w:t>
      </w:r>
    </w:p>
    <w:p w14:paraId="703C31EE" w14:textId="77777777" w:rsidR="008B1084" w:rsidRPr="00EC7A99" w:rsidRDefault="0C71255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Mjere iz Uredbe Vijeća uvedene su u razdoblju kad su cijene električne energije dosegnule rekordno visoke razine. Na primjer, u kolovozu 2022. veleprodajne cijene električne energije na glavnim tržištima električne energije u EU-u bile su više od 350 EUR/MWh, dok je u prosincu 2022. referentna vrijednost bila iznad 220 EUR/MWh. Cijene električne energije tijekom izvještajnog razdoblja bile su približno četiri puta više od prosječne cijene u razdoblju od 2010. do 2020. (40–60 EUR/MWh). Te prekomjerne cijene uglavnom su se mogle pripisati činjenici da su cijene plina dosegnule nove visoke razine tijekom ljeta 2022.</w:t>
      </w:r>
      <w:r>
        <w:rPr>
          <w:rStyle w:val="FootnoteReference"/>
          <w:rFonts w:ascii="Times New Roman" w:eastAsia="Times New Roman" w:hAnsi="Times New Roman" w:cs="Times New Roman"/>
          <w:noProof/>
          <w:sz w:val="24"/>
          <w:szCs w:val="24"/>
          <w:lang w:val="en-US"/>
        </w:rPr>
        <w:footnoteReference w:id="12"/>
      </w:r>
      <w:r>
        <w:rPr>
          <w:rFonts w:ascii="Times New Roman" w:hAnsi="Times New Roman"/>
          <w:noProof/>
          <w:sz w:val="24"/>
        </w:rPr>
        <w:t xml:space="preserve"> i da su ostale na visokim razinama tijekom većeg dijela jeseni te da su tijekom tog razdoblja elektrane na plin i ugljen često bile elektrane s najvišim graničnim troškovima, a koje su bile potrebne kako bi se zadovoljila potražnja za električnom energijom. Promptne veleprodajne cijene plina tijekom krize povećale su se približno šest puta u odnosu na prosječnu cijenu u razdoblju od 2010. do 2020. (približno 20 EUR/MWh). U tom je kontekstu Vijeće u listopadu 2022. prihvatilo prijedlog Komisije o hitnoj intervenciji na tržištu električne energije, što je u konačnici dovelo do donošenja Uredbe Vijeća. Komisija i Vijeće tada su očekivali da će se cijene električne energije nastaviti kretati na visokim razinama kao i cijene zabilježene u ljeto i jesen 2022. </w:t>
      </w:r>
    </w:p>
    <w:p w14:paraId="50547650" w14:textId="77777777" w:rsidR="00FF5F32" w:rsidRDefault="406562E5" w:rsidP="00B87190">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Međutim, od prosinca 2022., kad su mjere iz Uredbe Vijeća postale primjenjive, cijene električne energije drastično su se smanjile, pri čemu su trenutačne prosječne cijene na razinama nižima od 80 EUR/MWh (prosječna referentna vrijednost za EU iznosi 80 EUR/MWh do kraja svibnja 2023.). </w:t>
      </w:r>
    </w:p>
    <w:p w14:paraId="534BC8D5" w14:textId="77777777" w:rsidR="6A43D2FD" w:rsidRPr="00EC7A99" w:rsidRDefault="4302BEA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To je uglavnom posljedica nižih veleprodajnih cijena plina, koje su bile povezane s raznim čimbenicima, uključujući blage vremenske uvjete i opsežan niz mjera koje su države članice i Komisija uvele radi suzbijanja energetske krize, što uključuje mjere za smanjenje potražnje za električnom energijom iz Uredbe Vijeća, referentnu vrijednost za ukapljeni prirodni plin (UPP) i mjere za smanjenje potražnje za plinom</w:t>
      </w:r>
      <w:r>
        <w:rPr>
          <w:rStyle w:val="FootnoteReference"/>
          <w:rFonts w:ascii="Times New Roman" w:eastAsia="Times New Roman" w:hAnsi="Times New Roman" w:cs="Times New Roman"/>
          <w:noProof/>
          <w:sz w:val="24"/>
          <w:szCs w:val="24"/>
          <w:lang w:val="en-US"/>
        </w:rPr>
        <w:footnoteReference w:id="13"/>
      </w:r>
      <w:r>
        <w:rPr>
          <w:rFonts w:ascii="Times New Roman" w:hAnsi="Times New Roman"/>
          <w:noProof/>
          <w:sz w:val="24"/>
        </w:rPr>
        <w:t>, čijom se zajedničkom primjenom poboljšala temeljna ravnoteža ponude i potražnje.</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szCs w:val="24"/>
          <w:lang w:val="en-US"/>
        </w:rPr>
        <w:footnoteReference w:id="14"/>
      </w:r>
      <w:r>
        <w:rPr>
          <w:rFonts w:ascii="Times New Roman" w:hAnsi="Times New Roman"/>
          <w:noProof/>
          <w:sz w:val="24"/>
        </w:rPr>
        <w:t xml:space="preserve"> </w:t>
      </w:r>
    </w:p>
    <w:p w14:paraId="1D647131" w14:textId="77777777" w:rsidR="0F290A00" w:rsidRDefault="0F290A00"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Nedavni pad i stabilizacija cijena plina, a slijedom toga i cijena električne energije, tijekom prvih mjeseci 2023. doveli su do očekivanja na tržištu prema kojima se smatra da su u idućoj zimi manje vjerojatni nagli porasti cijena električne energije kakvi su zabilježeni tijekom 2022.  Takva tržišna očekivanja potkrepljuju različiti pokazatelji, kao što su više razine skladištenja plina, mjere država članica za smanjenje potražnje i rezultati ostvareni tim mjerama te dodatna plinovodna infrastruktura i infrastruktura za ukapljeni prirodni plin koja je izgrađena radi suzbijanja energetske krize. Ostali čimbenici svojstveni tržištu opskrbe električnom energijom, kao što su očekivana povećana dostupnost nuklearne energije i općenito viša dostupnost hidroenergije u odnosu na 2022., isto tako ukazuju na jeftinije uvjete opskrbe električnom energijom u narednoj zimi, za koje se očekuje da će dovesti do nižeg pritiska na povećanje cijena električne energije u odnosu na one iz 2022. </w:t>
      </w:r>
    </w:p>
    <w:p w14:paraId="3157282A" w14:textId="77777777" w:rsidR="000E40D0" w:rsidRPr="00EC7A99"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818063"/>
      <w:bookmarkStart w:id="10" w:name="_Toc1839008637"/>
      <w:bookmarkStart w:id="11" w:name="_Toc1707511285"/>
      <w:r>
        <w:rPr>
          <w:rFonts w:ascii="Times New Roman" w:hAnsi="Times New Roman"/>
          <w:noProof/>
          <w:color w:val="auto"/>
        </w:rPr>
        <w:t>Smanjenje potražnje za električnom energijom</w:t>
      </w:r>
      <w:bookmarkEnd w:id="9"/>
      <w:r>
        <w:rPr>
          <w:rFonts w:ascii="Times New Roman" w:hAnsi="Times New Roman"/>
          <w:noProof/>
          <w:color w:val="auto"/>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Mjere za smanjenje potražnje </w:t>
      </w:r>
    </w:p>
    <w:p w14:paraId="326BB871" w14:textId="77777777" w:rsidR="00613168" w:rsidRPr="00EC7A99" w:rsidRDefault="4A40535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Sve države članice izvjestiteljice provele su kampanje za informiranje o štednji i potrošnji energije te opće mjere za štednju energije, kao što su mjere u području grijanja javnih zgrada i javne rasvjete. Komisija pozdravlja te kampanje jer upozoravaju potrošače na porast cijena električne energije visoke kako bi mogli povećati fleksibilnost u svojoj potrošnji energije. Pet država članica, to jest Austrija, Hrvatska, Češka, Grčka i Poljska, izvijestile su da su radi poticanja upravljanja potrošnjom uvele subvencije na maloprodajne cijene električne energije koje se primjenjuju samo na određene razine potrošnje električne energije. </w:t>
      </w:r>
    </w:p>
    <w:p w14:paraId="698F980C" w14:textId="77777777" w:rsidR="00221A36" w:rsidRPr="00EC7A99" w:rsidRDefault="2AA1E7E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Devetnaest država članica, to jest Austrija, Bugarska, Hrvatska, Češka, Estonija, Finska, Francuska, Grčka, Irska, Italija, Latvija, Litva, Luksemburg, Nizozemska, Poljska, Portugal, Slovenija, Španjolska i Švedska, uvele su posebne mjere usmjerene na ostvarivanje smanjenja potražnje za električnom energijom tijekom vršnih sati, kao što su objavljivanje vršnih sati, kampanje obavješćivanja i slanje pojedinačnih poruka potrošačima kojima ih se potiče na dobrovoljna smanjenja potrošnje električne energije.  Konkretnije, Italija, Slovenija i Španjolska uvele su programe konkurentnog nadmetanja radi smanjenja potražnje za električnom energijom u vršnim satima tijekom zime 2022./2023.</w:t>
      </w:r>
      <w:r>
        <w:rPr>
          <w:rStyle w:val="FootnoteReference"/>
          <w:rFonts w:ascii="Times New Roman" w:eastAsia="Times New Roman" w:hAnsi="Times New Roman" w:cs="Times New Roman"/>
          <w:noProof/>
          <w:sz w:val="24"/>
          <w:szCs w:val="24"/>
          <w:lang w:val="en-US"/>
        </w:rPr>
        <w:footnoteReference w:id="15"/>
      </w:r>
      <w:r>
        <w:rPr>
          <w:rStyle w:val="FootnoteReference"/>
          <w:rFonts w:ascii="Times New Roman" w:eastAsia="Times New Roman" w:hAnsi="Times New Roman" w:cs="Times New Roman"/>
          <w:noProof/>
          <w:sz w:val="24"/>
          <w:szCs w:val="24"/>
          <w:lang w:val="en-US"/>
        </w:rPr>
        <w:t xml:space="preserve"> </w:t>
      </w:r>
      <w:r>
        <w:rPr>
          <w:rFonts w:ascii="Times New Roman" w:hAnsi="Times New Roman"/>
          <w:noProof/>
          <w:sz w:val="24"/>
        </w:rPr>
        <w:t xml:space="preserve">, a Austrija i Švedska Komisiji su prijavile relevantne programe radi dobivanja odobrenja u okviru pravila o državnim potporama. Naposljetku, Portugal je izvijestio da je u postupku razmatranja uvođenja programa konkurentnog nadmetanja radi smanjenja potražnje za električnom energijom tijekom vršnih sati.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Tri države članice uvele su mjere za smanjenje potražnje određenim kategorijama potrošača. Na primjer, Latvija je uvela ograničenja na potrošnju električne energije za velike industrijske potrošače. </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Smanjenje potrošnje električne energije</w:t>
      </w:r>
    </w:p>
    <w:p w14:paraId="626C8820" w14:textId="77777777" w:rsidR="00EA4768" w:rsidRPr="00EC7A99" w:rsidRDefault="3DA08D31"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noProof/>
          <w:sz w:val="24"/>
        </w:rPr>
        <w:t>Na temelju informacija koje su države članice izvjestiteljice dostavile za prosinac 2022., ukupno smanjenje potrošnje električne energije kretalo se u rasponu od 0,5 %</w:t>
      </w:r>
      <w:r>
        <w:rPr>
          <w:rStyle w:val="FootnoteReference"/>
          <w:rFonts w:ascii="Times New Roman" w:eastAsia="Times New Roman" w:hAnsi="Times New Roman" w:cs="Times New Roman"/>
          <w:noProof/>
          <w:sz w:val="24"/>
          <w:szCs w:val="24"/>
          <w:lang w:val="en-US"/>
        </w:rPr>
        <w:footnoteReference w:id="16"/>
      </w:r>
      <w:r>
        <w:rPr>
          <w:rFonts w:ascii="Times New Roman" w:hAnsi="Times New Roman"/>
          <w:noProof/>
          <w:sz w:val="24"/>
        </w:rPr>
        <w:t xml:space="preserve"> do 15 % u odnosu na referentno razdoblje</w:t>
      </w:r>
      <w:r>
        <w:rPr>
          <w:rStyle w:val="FootnoteReference"/>
          <w:rFonts w:ascii="Times New Roman" w:eastAsia="Times New Roman" w:hAnsi="Times New Roman" w:cs="Times New Roman"/>
          <w:noProof/>
          <w:sz w:val="24"/>
          <w:szCs w:val="24"/>
          <w:lang w:val="en-US"/>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Kad je riječ o količinama smanjenja potrošnje električne energije tijekom vršnih sati:</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deset država članica, to jest Austrija, Bugarska, Hrvatska, Estonija, Irska, Italija, Luksemburg, Nizozemska, Poljska i Portugal, prijavilo je količine smanjenja u rasponu od 4 % do 7 %,</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osam država članica, to jest Belgija, Češka, Danska, Finska, Njemačka, Latvija, Slovenija i Švedska, prijavilo je količine smanjenja u rasponu od 7 % do 10 %,</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pet država članica, to jest Francuska, Grčka, Litva, Slovačka i Španjolska, prijavilo je količine smanjenja veće od 10 %. </w:t>
      </w:r>
    </w:p>
    <w:p w14:paraId="3B62CA10" w14:textId="77777777" w:rsidR="00F34524" w:rsidRPr="00EC7A99" w:rsidRDefault="679E40FD"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Ocjena o produljenju mjere </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Države članice izvjestiteljice navele su da su općenito ostvarile obvezni cilj smanjenja potrošnje električne energije za 5 % tijekom vršnih sati. Međutim, neke države članice navele su da je ispunjenje </w:t>
      </w:r>
      <w:r>
        <w:rPr>
          <w:rFonts w:ascii="Times New Roman" w:hAnsi="Times New Roman"/>
          <w:i/>
          <w:noProof/>
          <w:sz w:val="24"/>
        </w:rPr>
        <w:t>okvirnog</w:t>
      </w:r>
      <w:r>
        <w:rPr>
          <w:rFonts w:ascii="Times New Roman" w:hAnsi="Times New Roman"/>
          <w:noProof/>
          <w:sz w:val="24"/>
        </w:rPr>
        <w:t xml:space="preserve"> zahtjeva za smanjenje ukupne mjesečne potrošnje za 10 % (u odnosu na prethodnih pet godina) bilo zahtjevno zbog ovisnosti o vremenu i gospodarskih okolnosti nastalih zbog energetske krize.</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Javno savjetovanje uključivalo je pitanja o mogućem produljenju mjera za upravljanje potrošnjom. U odgovoru na ta pitanja većina dionika navela je da nema potrebe da se u Uredbu (EU) 2019/943 o unutarnjem tržištu električne energije (</w:t>
      </w:r>
      <w:r>
        <w:rPr>
          <w:rFonts w:ascii="Times New Roman" w:hAnsi="Times New Roman"/>
          <w:b/>
          <w:i/>
          <w:noProof/>
          <w:sz w:val="24"/>
        </w:rPr>
        <w:t>Uredba o električnoj energiji</w:t>
      </w:r>
      <w:r>
        <w:rPr>
          <w:rFonts w:ascii="Times New Roman" w:hAnsi="Times New Roman"/>
          <w:noProof/>
          <w:sz w:val="24"/>
        </w:rPr>
        <w:t>) uvedu posebni zahtjevi za upravljanje potrošnjom koji bi se primjenjivali u slučaju krize. Umjesto toga, smatrali su da je upravljanje potrošnjom već dostatno obrađeno u zakonodavstvu o tržištu električne energije, kako je propisano u odredbama Direktive (EU) 2019/944 o zajedničkim pravilima za unutarnje tržište električne energije (</w:t>
      </w:r>
      <w:r>
        <w:rPr>
          <w:rFonts w:ascii="Times New Roman" w:hAnsi="Times New Roman"/>
          <w:b/>
          <w:i/>
          <w:noProof/>
          <w:sz w:val="24"/>
        </w:rPr>
        <w:t>Direktiva o električnoj energiji</w:t>
      </w:r>
      <w:r>
        <w:rPr>
          <w:rFonts w:ascii="Times New Roman" w:hAnsi="Times New Roman"/>
          <w:noProof/>
          <w:sz w:val="24"/>
        </w:rPr>
        <w:t>) i dodatno pojačano prijedlogom o modelu tržišta električne energije.</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Važno je napomenuti da se prijedlogom o modelu tržišta električne energije mjere za smanjenje potražnje dodatno integriraju u model tržišta električne energije kao njegovi strukturni elementi. Točnije, kako bi se osigurala učinkovita integracija električne energije proizvedene iz promjenjivih obnovljivih izvora energije (uzimajući u obzir prekozonske razmjene) i smanjila potreba za proizvodnjom električne energije na temelju fosilnih goriva u razdobljima velike potražnje za električnom energijom u kombinaciji s niskim razinama proizvodnje električne energije iz promjenjivih obnovljivih izvora energije, prijedlogom o modelu tržišta električne energije omogućuje se operatorima prijenosnih sustava da osmisle proizvod za smanjenje vršne potrošnje koji omogućuje da upravljanje potrošnjom dodatno doprinosi smanjenju vršne potrošnje u elektroenergetskom sustavu u određenim satima dana (novi članak 7.a Uredbe o električnoj energiji). Proizvod za smanjenje vršne potrošnje može doprinijeti maksimalnoj integraciji električne energije proizvedene iz obnovljivih izvora u sustav prebacivanjem potrošnje električne energije na ona razdoblja u danu kad je proizvodnja električne energije iz obnovljivih izvora veća, pod uvjetom da predviđeni troškovi ne premašuju </w:t>
      </w:r>
      <w:r>
        <w:rPr>
          <w:rFonts w:ascii="Times New Roman" w:hAnsi="Times New Roman"/>
          <w:noProof/>
          <w:color w:val="333333"/>
          <w:sz w:val="24"/>
        </w:rPr>
        <w:t>očekivane koristi od proizvoda</w:t>
      </w:r>
      <w:r>
        <w:rPr>
          <w:rFonts w:ascii="Times New Roman" w:hAnsi="Times New Roman"/>
          <w:noProof/>
          <w:sz w:val="24"/>
        </w:rPr>
        <w:t>. Budući da je cilj proizvoda za smanjenje vršne potrošnje smanjiti i preusmjeriti potrošnju električne energije, tim se prijedlogom područje primjene tog proizvoda ograničava na upravljanje potrošnjom.</w:t>
      </w:r>
    </w:p>
    <w:p w14:paraId="3484D709" w14:textId="77777777" w:rsidR="006C58F3" w:rsidRPr="00EC7A99" w:rsidRDefault="0B8AB15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Osim toga, prijedlogom o modelu tržišta električne energije traži se od država članica da procijene svoje potrebe za fleksibilnošću elektroenergetskog sustava, što uključuje upravljanje potrošnjom, i utvrde ciljeve za ispunjavanje tih potreba. Prijedlog uključuje i mogućnost za države članice da osmisle ili preoblikuju mehanizme za razvoj kapaciteta radi promicanja niskougljične fleksibilnosti i da uvedu nove programe potpore za nefosilna rješenja za fleksibilnost. Nadalje, suprotno razlozima na kojima se temelji uvođenje mjera za smanjenje potražnje iz Uredbe Vijeća, kojima su se ciljevi smanjenja potražnje nastojali ostvariti općenito u svim državama članicama zbog postojanja krizne situacije, prijedlogom o modelu tržišta električne energije pitanja upravljanja potrošnjom rješavaju se na strukturniji način. Njime se državama članicama omogućuje da svoje odgovarajuće mehanizme nefosilnih rješenja za fleksibilnost i ciljeve za upravljanje potrošnjom i skladištenje osmisle tako da oni budu prilagođeni posebnim potrebama njihovih odgovarajućih elektroenergetskih sustava. Zbog toga se u tom prijedlogu ne utvrđuju specifični ciljevi. </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Komisija napominje i da je trenutačno u tijeku izrada nacrta novih mrežnih pravila o upravljanju potrošnjom. Očekuje se da će ta mrežna pravila, kad budu dovršena, uključivati obvezujuća pravila o agregaciji potrošnje, skladištenju energije i ograničavanju potražnje, čime će se dodatno olakšati uključivanje upravljanja potrošnjom u sva postojeća tržišta</w:t>
      </w:r>
      <w:r>
        <w:rPr>
          <w:rStyle w:val="FootnoteReference"/>
          <w:rFonts w:ascii="Times New Roman" w:eastAsia="Times New Roman" w:hAnsi="Times New Roman" w:cs="Times New Roman"/>
          <w:noProof/>
          <w:sz w:val="24"/>
          <w:szCs w:val="24"/>
        </w:rPr>
        <w:footnoteReference w:id="18"/>
      </w:r>
      <w:r>
        <w:rPr>
          <w:noProof/>
        </w:rPr>
        <w:t>.</w:t>
      </w:r>
    </w:p>
    <w:p w14:paraId="40131987" w14:textId="77777777" w:rsidR="00795FEE" w:rsidRPr="00EC7A99" w:rsidRDefault="11B4B9E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Uzimajući u obzir informacije koje su trenutačno dostupne Komisiji, uključujući trenutačna tržišna očekivanja kako su prethodno navedena, Komisija trenutačno ne vidi potrebu za produljenjem mjera za smanjenje potražnje iz Uredbe Vijeća. </w:t>
      </w:r>
    </w:p>
    <w:p w14:paraId="37C735A6" w14:textId="77777777" w:rsidR="00787A5B" w:rsidRPr="00EC7A99" w:rsidRDefault="7900E14D"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818064"/>
      <w:bookmarkStart w:id="13" w:name="_Toc1038830798"/>
      <w:bookmarkStart w:id="14" w:name="_Toc1343108164"/>
      <w:r>
        <w:rPr>
          <w:rFonts w:ascii="Times New Roman" w:hAnsi="Times New Roman"/>
          <w:noProof/>
          <w:color w:val="auto"/>
        </w:rPr>
        <w:t>Gornja granica prihoda za inframarginalne proizvođače</w:t>
      </w:r>
      <w:bookmarkEnd w:id="12"/>
      <w:r>
        <w:rPr>
          <w:rFonts w:ascii="Times New Roman" w:hAnsi="Times New Roman"/>
          <w:noProof/>
          <w:color w:val="auto"/>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Provedba gornje granice prihoda</w:t>
      </w:r>
    </w:p>
    <w:p w14:paraId="75ED3A26" w14:textId="77777777" w:rsidR="001A2015" w:rsidRPr="00EC7A99" w:rsidRDefault="100B577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Na temelju informacija koje su dostavile države članice izvjestiteljice, gornja granica prihoda za inframarginalne proizvođače provodila se na vrlo različite načine. Razlike u provedbi uočene su ne samo s obzirom na razinu na kojoj je određena gornja granica prihoda (17 država članica odredilo je tu gornju granicu na razini ispod 180 EUR/MWh</w:t>
      </w:r>
      <w:r>
        <w:rPr>
          <w:rStyle w:val="FootnoteReference"/>
          <w:rFonts w:ascii="Times New Roman" w:eastAsia="Times New Roman" w:hAnsi="Times New Roman" w:cs="Times New Roman"/>
          <w:noProof/>
          <w:sz w:val="24"/>
          <w:szCs w:val="24"/>
          <w:lang w:val="en-US"/>
        </w:rPr>
        <w:footnoteReference w:id="19"/>
      </w:r>
      <w:r>
        <w:rPr>
          <w:rFonts w:ascii="Times New Roman" w:hAnsi="Times New Roman"/>
          <w:noProof/>
          <w:sz w:val="24"/>
        </w:rPr>
        <w:t>), već i s obzirom na vremenski okvir za primjenu mjera (sedam država članica primjenjuje tu gornju granicu retroaktivno</w:t>
      </w:r>
      <w:r>
        <w:rPr>
          <w:rStyle w:val="FootnoteReference"/>
          <w:rFonts w:ascii="Times New Roman" w:eastAsia="Times New Roman" w:hAnsi="Times New Roman" w:cs="Times New Roman"/>
          <w:noProof/>
          <w:sz w:val="24"/>
          <w:szCs w:val="24"/>
          <w:lang w:val="en-US"/>
        </w:rPr>
        <w:footnoteReference w:id="20"/>
      </w:r>
      <w:r>
        <w:rPr>
          <w:rFonts w:ascii="Times New Roman" w:hAnsi="Times New Roman"/>
          <w:noProof/>
          <w:sz w:val="24"/>
        </w:rPr>
        <w:t>, a 11</w:t>
      </w:r>
      <w:r>
        <w:rPr>
          <w:rStyle w:val="FootnoteReference"/>
          <w:rFonts w:ascii="Times New Roman" w:eastAsia="Times New Roman" w:hAnsi="Times New Roman" w:cs="Times New Roman"/>
          <w:noProof/>
          <w:sz w:val="24"/>
          <w:szCs w:val="24"/>
          <w:lang w:val="en-US"/>
        </w:rPr>
        <w:footnoteReference w:id="21"/>
      </w:r>
      <w:r>
        <w:rPr>
          <w:rFonts w:ascii="Times New Roman" w:hAnsi="Times New Roman"/>
          <w:noProof/>
          <w:sz w:val="24"/>
        </w:rPr>
        <w:t xml:space="preserve"> država članica primjenjivat će je i nakon datuma prestanka primjene te mjere koji je utvrđen Uredbom Vijeća, to jest nakon 30. lipnja 2023.).  </w:t>
      </w:r>
    </w:p>
    <w:p w14:paraId="28DCCD00" w14:textId="77777777" w:rsidR="00AF2F1C" w:rsidRPr="00EC7A99" w:rsidRDefault="111333D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Nekoliko država članica izvijestilo je o poteškoćama u provedbi mjere u svojim nacionalnim jurisdikcijama. Većina tih poteškoća odnosila se na kratak vremenski okvir u kojem su je države članice morale provesti, dok su ostale poteškoće bile povezane s prikupljanjem podataka i izračunom prihoda za svakog proizvođača električne energije na kojeg bi se ta mjera primjenjivala. Države članice izvijestile su i o postojanju sukoba s mjerodavnim nacionalnim poreznim tijelima i važećim propisima pri razmatranju načina za provedbu gornje granice prihoda. </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Iako države članice nisu izvijestile ni o kakvim velikim preprekama u području prekogranične trgovine ili podnošenja ponuda u nadmetanjima, neki ispitanici u okviru javnog savjetovanja izrazili su bojazan da je zbog neusklađenosti različitih strategija provedbe među državama članicama nastala regulatorna nesigurnost za sudionike na tržištu, što se smatralo preprekom novim ulaganjima.</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Prihodi ostvareni provedbom gornje granice prihoda</w:t>
      </w:r>
    </w:p>
    <w:p w14:paraId="3B50A1DD" w14:textId="77777777"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Važno je imati na umu da su države članice podnijele svoja izvješća u roku od nekoliko mjeseci od stupanja na snagu gornje granice prihoda za inframarginalne proizvođače te u tom trenutku većina njih nije još imala informacije o prihodima prikupljenima na temelju te mjere. Samo su dvije države članice uspjele dostaviti neke preliminarne brojčane podatke: Bugarska je izvijestila da je u prosincu 2022. prikupila 321 700 123 BGN (približno 163 milijuna EUR), a Litva je izvijestila da je do 9. ožujka 2023. prikupila približno 10 milijuna EUR. Iako su Grčka, Španjolska i Italija uspjele dostaviti brojčane podatke, oni su se odnosili na prihode prikupljene prije donošenja Uredbe Vijeća, jer su te zemlje provele mjere ekvivalentne gornjoj granici prihoda prije donošenja Uredbe Vijeća. </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Većina država članica uspjela je dostaviti procjene prihoda koje su očekivale, u mnogim slučajevima uz napomenu da se te procjene temelje na pretpostavci o vrlo visokim veleprodajnim cijenama električne energije. Prvotno se očekivalo da će iznos ukupnih prihoda biti veći od 50 milijardi EUR. Međutim, već u trenutku izvješćivanja nije se činilo vjerojatnim da će se te pretpostavke ostvariti. Iznos prihoda raspodijeljen je nejednako među državama članicama, pri čemu je Njemačka dostavila procjene koje su više od prvotno očekivanih iznosa (23,4 milijarde EUR, uzimajući u obzir moguće produljenje mjere do 30. travnja 2024.), a nakon Njemačke Francuska (11 milijardi EUR). Treba imati na umu da je u obje te zemlje gornja granica prihoda za većinu tehnologija određena na razini mnogo nižoj od 180 EUR/MWh koja je predviđena Uredbom Vijeća i da su se te procjene temeljile na očekivanim visokim veleprodajnim cijenama električne energije. Druge države članice, a naročito one koje nisu odredile gornju granicu na razini nižoj od 180 EUR/MWh, očekivale su da će prikupiti manje iznose.</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Ocjena o produljenju mjere</w:t>
      </w:r>
    </w:p>
    <w:p w14:paraId="6FCE21E1" w14:textId="77777777" w:rsidR="005C7083" w:rsidRPr="00EC7A99" w:rsidRDefault="6506D07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Najprije treba podsjetiti na to da je glavni razlog za uvođenje gornje granice prihoda za inframarginalne proizvođače bio omogućiti državama članicama prikupljanje i raspodjelu prekomjernih prihoda koje su iznimno ostvarili određeni inframarginalni proizvođači energije, a da se pritom očuva tržišno natjecanje na temelju cijena među proizvođačima električne energije (naročito proizvođačima energije iz obnovljivih izvora) u cijelom EU-u.  </w:t>
      </w:r>
    </w:p>
    <w:p w14:paraId="51F6AE7F" w14:textId="77777777"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Fonts w:ascii="Times New Roman" w:hAnsi="Times New Roman"/>
          <w:noProof/>
          <w:sz w:val="24"/>
        </w:rPr>
        <w:t>S obzirom na to, zbog nižih veleprodajnih cijena električne energije tijekom posljednjih mjeseci, gornja granica prihoda, koja je određena na</w:t>
      </w:r>
      <w:r>
        <w:rPr>
          <w:rStyle w:val="normaltextrun"/>
          <w:rFonts w:ascii="Times New Roman" w:hAnsi="Times New Roman"/>
          <w:noProof/>
          <w:color w:val="000000" w:themeColor="text1"/>
          <w:sz w:val="24"/>
        </w:rPr>
        <w:t xml:space="preserve"> maksimalan iznos od 180 EUR/MWh</w:t>
      </w:r>
      <w:r>
        <w:rPr>
          <w:rStyle w:val="FootnoteReference"/>
          <w:rFonts w:ascii="Times New Roman" w:eastAsia="Times New Roman" w:hAnsi="Times New Roman" w:cs="Times New Roman"/>
          <w:noProof/>
          <w:color w:val="000000" w:themeColor="text1"/>
          <w:sz w:val="24"/>
          <w:szCs w:val="24"/>
        </w:rPr>
        <w:footnoteReference w:id="22"/>
      </w:r>
      <w:r>
        <w:rPr>
          <w:rStyle w:val="normaltextrun"/>
          <w:rFonts w:ascii="Times New Roman" w:hAnsi="Times New Roman"/>
          <w:noProof/>
          <w:color w:val="000000" w:themeColor="text1"/>
          <w:sz w:val="24"/>
        </w:rPr>
        <w:t xml:space="preserve"> dosad je imala odgovarajuće učinke prvenstveno u državama članicama koje su, u skladu s člankom 8. stavkom 1. točkom (a), odabrale gornju granicu koja je niža od 180 EUR/MWh i pritom dovoljno niska da obuhvati prihode inframarginalnih proizvođača na temelju relevantnih cijena električne energije u tim državama članicama. </w:t>
      </w:r>
    </w:p>
    <w:p w14:paraId="7F911E6B" w14:textId="77777777" w:rsidR="00800690" w:rsidRPr="00EC7A99" w:rsidRDefault="2DB7608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Kako je prethodno navedeno, gornja granica prihoda provedena je na vrlo različite načine među državama članicama. Razlike u provedbi nisu uočene samo s obzirom na razinu na kojoj je određena gornja granica prihoda, već i s obzirom na vremenski okvir za primjenu te mjere te razinu gornje granice uvedene za pojedine tehnologije u određenoj državi članici. Osim toga, Komisija je na temelju razmjena informacija s dionicima i pritužbi saznala da je način na koji su određene države članice odlučile provesti gornju granicu prihoda možda utjecao na postojeće ugovore o kupnji energije i druge dugoročne ugovore te destimulirao sklapanje novih ugovora. Konkretnije, to se primjećuje kad se gornja granica ne primjenjuje na ostvareni prihod koji proizvođač prima na temelju ugovora o kupnji energije, već na „pretpostavljeni” (fiktivni) prihod koji odgovara, na primjer, veleprodajnim cijenama električne energije, što u konačnici dovodi do paradoksalnih situacija u kojima proizvođač može biti prisiljen prodavati električnu energiju uz gubitak.</w:t>
      </w:r>
      <w:r>
        <w:rPr>
          <w:rFonts w:ascii="Times New Roman" w:hAnsi="Times New Roman"/>
          <w:noProof/>
          <w:sz w:val="24"/>
          <w:shd w:val="clear" w:color="auto" w:fill="E6E6E6"/>
        </w:rPr>
        <w:t xml:space="preserve"> </w:t>
      </w:r>
    </w:p>
    <w:p w14:paraId="7D48D85E" w14:textId="77777777" w:rsidR="567794E6" w:rsidRPr="00EC7A99" w:rsidRDefault="623E8D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Potencijalnim produljenjem mjere otežalo bi se ostvarenje cilja utvrđenog u prijedlogu o modelu tržišta električne energije, to jest cilja poticanja primjene ugovorâ o kupnji energije i osiguravanja što likvidnijeg tržišta tih ugovora. Ugovori o kupnji energije instrumenti su koji osiguravaju dugoročnu stabilnost cijena za kupca i sigurnost potrebnu proizvođaču da donese odluku o ulaganju. Međutim, samo nekoliko država članica ima aktivna tržišta ugovora o kupnji energije, a kupci su obično ograničeni na velika poduzeća, među ostalim zbog toga što se ugovori o kupnji energije suočavaju s nizom prepreka, posebno zbog poteškoća u pokrivanju rizika od neplaćanja kupca u tim dugoročnim ugovorima. Stoga bi, prema tom prijedlogu, države članice trebale uzeti u obzir potrebu za stvaranjem dinamičnog tržišta ugovora o kupnji energije pri određivanju politika za postizanje ciljeva dekarbonizacije energije utvrđenih u njihovim integriranim nacionalnim energetskim i klimatskim planovima. Kako bi se otklonili rizici povezani s kreditnom sposobnošću, u prijedlogu se utvrđuje da bi države članice trebale osigurati da instrumenti za smanjenje financijskog rizika povezanog s neispunjavanjem obveza plaćanja kupca, uključujući sustave jamstava po tržišnim cijenama, budu dostupni poduzećima koja se suočavaju s preprekama za ulazak na tržište ugovora o kupnji energije i koja nisu u financijskim poteškoćama. Prijedlog uključuje dodatne zahtjeve kojima se nastoji potaknuti rast tržišta za takve ugovore. </w:t>
      </w:r>
    </w:p>
    <w:p w14:paraId="6EA184C2" w14:textId="77777777" w:rsidR="005C7083" w:rsidRPr="00EC7A99" w:rsidRDefault="0317817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Osim toga, zbog različitih načina na koje su države članice provele gornju granicu prihoda nastala je znatna regulatorna nesigurnost, koja pak dovodi do rizika za razvoj novih ulaganja, naročito u obnovljive izvore energije, koja su potrebna kako bi se ostvarili ciljevi EU-a. Konkretno, prijavljene poteškoće u nekim državama članicama koje se odnose na sklapanje dugoročnih ugovora, što uključuje ugovore o kupnji energije, a koje su posljedica provedbe gornje granice prihoda mogle bi stvoriti dodatnu razinu nesigurnosti za ulagače te smanjiti privlačnost i povjerenje dionika na terminskim tržištima. Navedeni rizici u konačnici mogu ugroziti stvaranje privlačnog ulagačkog okruženja za proizvodnju energije iz obnovljivih i niskougljičnih izvora na koju se odnosi prijedlog modela tržišta električne energije i, u konačnici, energetska tranzicija. </w:t>
      </w:r>
    </w:p>
    <w:p w14:paraId="456EF4FF"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Naposljetku, javno savjetovanje uključivalo je pitanja o mogućem produljenju gornje granice prihoda za inframarginalne proizvođače. Većina ispitanika bila je protiv tog produljenja zbog sljedećih rizika i problema do kojih bi došlo produljenjem te mjere:  </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čini se da su razlike među državama članicama u provedbi gornje granice prihoda za inframarginalne proizvođače stvorile nesigurnost za ulagače te je navedeno da destimuliraju nova ulaganja,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mjeru je teško provesti, a administrativni troškovi te mjere visoki su u odnosu na koristi od nje,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kad se gornja granica prihoda za inframarginalne proizvođače odredi na niskoj razini, kao što su to neke države članice odabrale, to može potaknuti proizvođače energije da smanje svoju proizvodnju dok postoji gornja granica,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zaštita potrošača može se zajamčiti bez intervencija u model tržišta električne energije, primjerice, donošenjem ciljanih socijalnih politika.</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Samo je manji broj ispitanika podržao produljenje gornje granice prihoda za inframarginalne proizvođače, bez obzira na to bi li se ono provelo kako je utvrđeno u Uredbi Vijeća ili s neznatnim izmjenama. Ti ispitanici svoje su razloge za podršku uglavnom temeljili na koristima koje je mjera donijela krajnjim potrošačima.</w:t>
      </w:r>
    </w:p>
    <w:p w14:paraId="1AC32DB2" w14:textId="77777777" w:rsidR="008B2BBA" w:rsidRPr="00EC7A99" w:rsidRDefault="17441AB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Uzimajući u obzir informacije koje su trenutačno dostupne Komisiji, kako su prethodno navedene, Komisija ne preporučuje produljenje Uredbe Vijeća u pogledu gornje granice prihoda za inframarginalne proizvođače. </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Komisija napominje da je, radi ublažavanja učinka visokih cijena energije na račune potrošača, u svojem prijedlogu reforme tržišta električne energije predložila promicanje razvoja dugoročnih tržišta kako bi prihodi inframarginalnih proizvođača i cijene koje plaćaju krajnji potrošači bili manje uvjetovani nestabilnom kratkoročnom veleprodajnom tržišnom cijenom električne energije. Na temelju prijedloga Komisije ti prihodi i cijene određivat će se uglavnom pozivanjem na dugoročne ugovore, kao što su ugovori o kupnji energije i takozvani dvosmjerni ugovori za kompenzaciju razlike, ovisno o tome je li postrojenje financirano privatnim ili javnim sredstvima. U slučaju ugovora za kompenzaciju razlike, isplata će se ostvarivati kad tržišne cijene postanu visoke. U prijedlogu se utvrđuje da će države članice morati koristiti tu isplatu kako bi izravno smanjile račune za električnu energiju za sve kupce električne energije (što uključuje poduzeća i industriju), pa će to imati sličan učinak kao gornja granica prihoda za inframarginalne proizvođače, ali bez stvaranja nesigurnosti za ulagače.</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818065"/>
      <w:r>
        <w:rPr>
          <w:rFonts w:ascii="Times New Roman" w:hAnsi="Times New Roman"/>
          <w:noProof/>
          <w:color w:val="auto"/>
        </w:rPr>
        <w:t>Potpora za krajnje potrošače</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Poglavlje II. odjeljak 3. Uredbe Vijeća odnosi se na maloprodajno tržište i u njemu se državama članicama omogućuje da privremeno prošire javne intervencije u određivanje cijena opskrbe električnom energijom na mala i srednja poduzeća (MSP-ove) (članak 12.) te da za kućanstva i MSP-ove iznimno i privremeno odrede maloprodajne cijene niže od troškova (članak 13.).</w:t>
      </w:r>
    </w:p>
    <w:p w14:paraId="1459F13C" w14:textId="77777777" w:rsidR="5A7171F4" w:rsidRDefault="5A7171F4"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Javne intervencije u određivanje cijena za kućanstva postojale su prije krize u 11 zemalja, to jest u Belgiji, Bugarskoj, Francuskoj, Grčkoj, Italiji, Litvi, Mađarskoj, Poljskoj, Portugalu, Rumunjskoj i Slovačkoj</w:t>
      </w:r>
      <w:r>
        <w:rPr>
          <w:rStyle w:val="FootnoteReference"/>
          <w:rFonts w:ascii="Times New Roman" w:eastAsia="Times New Roman" w:hAnsi="Times New Roman" w:cs="Times New Roman"/>
          <w:noProof/>
          <w:sz w:val="24"/>
          <w:szCs w:val="24"/>
        </w:rPr>
        <w:footnoteReference w:id="23"/>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u obliku reguliranih cijena ili socijalnih tarifa. Tijekom krize reguliranje cijena za kućanstva uvelo je još sedam država članica, to jest Hrvatska, Češka, Estonija, Finska, Luksemburg, Nizozemska i Slovenija.</w:t>
      </w:r>
    </w:p>
    <w:p w14:paraId="59884221" w14:textId="77777777" w:rsidR="00E264D6" w:rsidRPr="00EC7A99" w:rsidRDefault="402A7AF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Od 25 primljenih procjena, 12 država članica izvijestilo je da su koristile mjere iz Uredbe Vijeća. Četiri države članice, to jest Češka, Estonija, Slovenija i Poljska, izvijestile su da su uvele regulirane maloprodajne cijene za MSP-ove na temelju članka 12. Uredbe Vijeća. Osim toga, Francuska i Slovačka, koje imaju regulirane cijene za kućanstva, izvijestile su o uvođenju programâ naknada za MSP-ove, u skladu s privremenim okvirom za državne potpore u kriznim situacijama i tranziciji (TCTF)</w:t>
      </w:r>
      <w:r>
        <w:rPr>
          <w:rStyle w:val="FootnoteReference"/>
          <w:rFonts w:ascii="Times New Roman" w:eastAsia="Times New Roman" w:hAnsi="Times New Roman" w:cs="Times New Roman"/>
          <w:noProof/>
          <w:sz w:val="24"/>
          <w:szCs w:val="24"/>
        </w:rPr>
        <w:footnoteReference w:id="24"/>
      </w:r>
      <w:r>
        <w:rPr>
          <w:rStyle w:val="FootnoteReference"/>
          <w:rFonts w:ascii="Times New Roman" w:eastAsia="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u okviru pravila o kontroli državnih potpora.  Nizozemska je intervenirala u određivanje cijena kako bi kućanstvima i poduzećima osigurala cijene električne energije niže od troškova. Taj program prijavljen je Komisiji i odobren na temelju važećeg okvira o kontroli državnih potpora</w:t>
      </w:r>
      <w:r>
        <w:rPr>
          <w:rStyle w:val="FootnoteReference"/>
          <w:rFonts w:ascii="Times New Roman" w:eastAsia="Times New Roman" w:hAnsi="Times New Roman" w:cs="Times New Roman"/>
          <w:noProof/>
          <w:sz w:val="24"/>
          <w:szCs w:val="24"/>
        </w:rPr>
        <w:footnoteReference w:id="25"/>
      </w:r>
      <w:r>
        <w:rPr>
          <w:noProof/>
        </w:rPr>
        <w:t>.</w:t>
      </w:r>
      <w:r>
        <w:rPr>
          <w:rFonts w:ascii="Times New Roman" w:hAnsi="Times New Roman"/>
          <w:noProof/>
          <w:sz w:val="24"/>
        </w:rPr>
        <w:t xml:space="preserve"> </w:t>
      </w:r>
    </w:p>
    <w:p w14:paraId="5B5DDE71"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Iako se u članku 13. točki (c) Uredbe Vijeća zahtijeva da države članice opskrbljivačima nadoknade trošak opskrbe električnom energijom po cijenama nižima od troškova, države članice u svojim izvješćima nisu navele konkretne informacije o toj točki.  </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Osim toga, neke države članice navele su druge vrste intervencija usmjerenih na MSP-ove. Na primjer, Portugal je kao intervenciju u cijene prilagođenu MSP-ovima naveo smanjenje mrežnih tarifa. Danska, Latvija i Švedska uvele su različite intervencije u određivanje cijena za različite skupine potrošača (mjere povezane s porezima, pristojbama, popustima, programima naknada itd.). Njemačka je na razini cijelog gospodarstva uvela program naknada poduzećima za povećane troškove električne energije, no pritom nije utjecala na slobodu opskrbljivača da djeluju na tržištu</w:t>
      </w:r>
      <w:r>
        <w:rPr>
          <w:rStyle w:val="FootnoteReference"/>
          <w:rFonts w:ascii="Times New Roman" w:eastAsia="Times New Roman" w:hAnsi="Times New Roman" w:cs="Times New Roman"/>
          <w:noProof/>
          <w:sz w:val="24"/>
          <w:szCs w:val="24"/>
        </w:rPr>
        <w:footnoteReference w:id="26"/>
      </w:r>
      <w:r>
        <w:rPr>
          <w:noProof/>
        </w:rPr>
        <w:t>.</w:t>
      </w:r>
    </w:p>
    <w:p w14:paraId="0C07D57A" w14:textId="7777777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U člancima 12. i 13. zahtijeva se i da se u okviru svake javne intervencije u maloprodajno tržište treba zadržati poticaj za smanjenje potražnje za električnom energijom. S obzirom na to, nekoliko država članica, kao što su Austrija, Njemačka, Hrvatska, Nizozemska i Rumunjska, izvijestile su o programima koji se temelje na gornjim granicama potrošnje, što uključuje intervencije u određivanje cijena ili programe izravnih ili neizravnih naknada krajnjim potrošačima. </w:t>
      </w:r>
    </w:p>
    <w:p w14:paraId="23956E68" w14:textId="77777777" w:rsidR="50D6F801" w:rsidRDefault="50D6F801" w:rsidP="00033E4E">
      <w:pPr>
        <w:spacing w:line="360" w:lineRule="auto"/>
        <w:jc w:val="both"/>
        <w:rPr>
          <w:rFonts w:ascii="Times New Roman" w:eastAsia="Times New Roman" w:hAnsi="Times New Roman" w:cs="Times New Roman"/>
          <w:noProof/>
          <w:sz w:val="24"/>
          <w:szCs w:val="24"/>
        </w:rPr>
      </w:pPr>
      <w:r>
        <w:rPr>
          <w:rFonts w:ascii="Times New Roman" w:hAnsi="Times New Roman"/>
          <w:noProof/>
          <w:sz w:val="24"/>
        </w:rPr>
        <w:t>Regulirane cijene imaju znatne negativne strane. U prvom redu, mogu smanjiti poticaje za energetsku učinkovitost i narušiti tržišno natjecanje na dugoročnu štetu potrošača. Ta pitanja ukazuju na važnost pravila koja se primjenjuju na temelju Direktive (EU) 2019/944 o električnoj energiji, od kojih se odstupa u Uredbi Vijeća.</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Ocjena o produljenju mjere</w:t>
      </w:r>
    </w:p>
    <w:p w14:paraId="7E743959"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Krizna mjera kojom se državama članicama daje mogućnost da uvedu gornje granice cijena za kućanstva i MSP-ove jasno se pokazala korisnom, s obzirom na to da je nekoliko država članica iskoristilo mogućnost da u vrlo kratkim rokovima proširi postojeće programe ili uvede nove. </w:t>
      </w:r>
    </w:p>
    <w:p w14:paraId="4BC90B3C"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U prijedlogu o modelu tržišta električne energije Komisija je predložila nove odredbe slične onima iz Uredbe Vijeća, nakon ocjene prednosti i nedostataka mjera za maloprodajno tržište o kojima su izvijestile države članice i ocjene rezultata javnog savjetovanja te s obzirom na svoje smjernice državama članicama za fiskalnu politiku za 2024.</w:t>
      </w:r>
      <w:r>
        <w:rPr>
          <w:rStyle w:val="FootnoteReference"/>
          <w:rFonts w:ascii="Times New Roman" w:eastAsia="Times New Roman" w:hAnsi="Times New Roman" w:cs="Times New Roman"/>
          <w:noProof/>
          <w:sz w:val="24"/>
          <w:szCs w:val="24"/>
          <w:lang w:val="en-IE"/>
        </w:rPr>
        <w:footnoteReference w:id="27"/>
      </w:r>
      <w:r>
        <w:rPr>
          <w:rStyle w:val="FootnoteReference"/>
          <w:rFonts w:ascii="Times New Roman" w:eastAsia="Times New Roman" w:hAnsi="Times New Roman" w:cs="Times New Roman"/>
          <w:noProof/>
          <w:sz w:val="24"/>
          <w:szCs w:val="24"/>
          <w:lang w:val="en-IE"/>
        </w:rPr>
        <w:t xml:space="preserve"> </w:t>
      </w:r>
      <w:r>
        <w:rPr>
          <w:rStyle w:val="FootnoteReference"/>
          <w:rFonts w:ascii="Times New Roman" w:hAnsi="Times New Roman"/>
          <w:noProof/>
          <w:sz w:val="24"/>
        </w:rPr>
        <w:t xml:space="preserve"> </w:t>
      </w:r>
      <w:r>
        <w:rPr>
          <w:rFonts w:ascii="Times New Roman" w:hAnsi="Times New Roman"/>
          <w:noProof/>
          <w:sz w:val="24"/>
        </w:rPr>
        <w:t xml:space="preserve"> Konkretno, Komisija je predložila da države članice tijekom krize cijena električne energije mogu uvesti ciljane intervencije u cijene za kućanstva i MSP-ove, što uključuje i uvođenje cijena nižih od troškova, za ograničenu količinu potrošnje električne energije i na ograničeno razdoblje. </w:t>
      </w:r>
    </w:p>
    <w:p w14:paraId="7AC0D908"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Ta mogućnost dolazi uz postojeći okvir za zaštitu energetski siromašnih i ugroženih potrošača koji je predviđen u Direktivi o električnoj energiji, a prema kojem države članice mogu primijeniti socijalne tarife na energetski siromašne i ugrožene potrošače i privremeno regulirati maloprodajne cijene za kućanstva i mikropoduzeća sve dok se tržišno natjecanje potpuno ne uspostavi. </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Budući da je sadržaj te mjere uključen u Komisijin prijedlog o modelu tržišta električne energije, te uzimajući u obzir informacije koje su trenutačno dostupne Komisiji, kako su prethodno navedene, Komisija trenutačno ne vidi potrebu da se ta mjera u ovoj fazi produlji.</w:t>
      </w:r>
    </w:p>
    <w:p w14:paraId="311DA682" w14:textId="77777777" w:rsidR="00402868" w:rsidRPr="00EC7A99" w:rsidRDefault="4902415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818066"/>
      <w:bookmarkStart w:id="20" w:name="_Toc148742145"/>
      <w:bookmarkStart w:id="21" w:name="_Toc2081564879"/>
      <w:bookmarkEnd w:id="18"/>
      <w:r>
        <w:rPr>
          <w:rFonts w:ascii="Times New Roman" w:hAnsi="Times New Roman"/>
          <w:noProof/>
          <w:color w:val="auto"/>
        </w:rPr>
        <w:t>Preliminarni zaključci</w:t>
      </w:r>
      <w:bookmarkEnd w:id="19"/>
      <w:r>
        <w:rPr>
          <w:rFonts w:ascii="Times New Roman" w:hAnsi="Times New Roman"/>
          <w:noProof/>
          <w:color w:val="auto"/>
        </w:rPr>
        <w:t xml:space="preserve"> </w:t>
      </w:r>
      <w:bookmarkEnd w:id="20"/>
      <w:bookmarkEnd w:id="21"/>
    </w:p>
    <w:p w14:paraId="59898B03" w14:textId="77777777" w:rsidR="450F0284" w:rsidRPr="00EC7A99" w:rsidRDefault="60038A52"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U ovom Izvješću iznesen je pregled odgovora koje su države članice primile o i. njihovim mjerama za smanjenje potražnje; ii. </w:t>
      </w:r>
      <w:r>
        <w:rPr>
          <w:rStyle w:val="normaltextrun"/>
          <w:rFonts w:ascii="Times New Roman" w:hAnsi="Times New Roman"/>
          <w:noProof/>
          <w:sz w:val="24"/>
        </w:rPr>
        <w:t xml:space="preserve">provedbi gornje granice prihoda za inframarginalne proizvođače; i iii. intervencijama u određivanje maloprodajnih cijena koje su utvrđene u poglavlju II. Uredbe Vijeća. U Izvješću je iznesen i pregled doprinosa koje su dostavili ispitanici u okviru javnog savjetovanja o tim istim temama. Na temelju informacija ocijenjenih u ovom Izvješću i </w:t>
      </w:r>
      <w:r>
        <w:rPr>
          <w:rFonts w:ascii="Times New Roman" w:hAnsi="Times New Roman"/>
          <w:noProof/>
          <w:sz w:val="24"/>
        </w:rPr>
        <w:t xml:space="preserve">stanja opskrbe električnom energijom i cijena električne energije u EU-u, pod trenutačnim i predvidivim uobičajenim okolnostima, zaključuje se da nema dokaza da bi produljenje svake od mjera za smanjenje potražnje, gornje granice prihoda za inframarginalne proizvođače i intervencija u maloprodajno tržište bilo potrebno ili preporučljivo. </w:t>
      </w:r>
    </w:p>
    <w:p w14:paraId="0CA6DE5D" w14:textId="77777777" w:rsidR="00221A36" w:rsidRPr="00EC7A99" w:rsidRDefault="125B739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Prvo</w:t>
      </w:r>
      <w:r>
        <w:rPr>
          <w:rFonts w:ascii="Times New Roman" w:hAnsi="Times New Roman"/>
          <w:noProof/>
          <w:sz w:val="24"/>
        </w:rPr>
        <w:t xml:space="preserve">, kad je riječ o mjerama za smanjenje potražnje, čini se da su sve države članice izvjestiteljice provele mjere za smanjenje potražnje za električnom energijom, uglavnom provođenjem informativnih kampanja i ciljanim mjerama za štednju energije. Iako su države članice izvijestile da se općenito pridržavaju obveznog cilja smanjenja potrošnje električne energije za 5 % tijekom vršnih sati, čini se da je smanjenje mjesečne bruto potrošnje električne energije za 10 % bilo zahtjevno, ali to nije onemogućilo zabilježeno smanjenje cijena električne energije.  </w:t>
      </w:r>
    </w:p>
    <w:p w14:paraId="78AD5B51" w14:textId="77777777" w:rsidR="002B6577" w:rsidRPr="00EC7A99" w:rsidRDefault="7AD1F76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Komisija na temelju dostupnih informacija trenutačno ne vidi potrebu za produljenjem mjera za smanjenje potražnje iz Uredbe Vijeća, pod uvjetom da to produljenje ne postane potrebno zbog nepredvidivih promjena trenutačnih uvjeta na tržištu električne energije. To je u skladu i s povratnim informacijama dobivenima od većine ispitanika u okviru javnog savjetovanja. Iako upravljanje potrošnjom više nije potrebno u kratkoročnom razdoblju i na temelju instrumenata uspostavljenih Uredbom Vijeća, ono je važno za dobro funkcioniranje tržišta električne energije. Zbog toga ga je Komisija strukturno uključila u svoj prijedlog modela tržišta električne energije. </w:t>
      </w:r>
    </w:p>
    <w:p w14:paraId="2D9521D8" w14:textId="77777777" w:rsidR="002B6577" w:rsidRPr="00EC7A99" w:rsidRDefault="041C5A0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Drugo</w:t>
      </w:r>
      <w:r>
        <w:rPr>
          <w:rFonts w:ascii="Times New Roman" w:hAnsi="Times New Roman"/>
          <w:noProof/>
          <w:sz w:val="24"/>
        </w:rPr>
        <w:t xml:space="preserve">, u okviru preispitivanja utvrđeno je da se provedba gornje granice prihoda znatno razlikuje među državama članicama. Različite strategije provedbe među državama članicama navodno su dovele do znatne nesigurnosti za ulagače. To je stanje dodatno otežano zbog činjenice da je u određenim državama članicama provedba gornje granice navodno negativno utjecala na zaključivanje ugovorâ o kupnji energije i drugih dugoročnih ugovora. </w:t>
      </w:r>
    </w:p>
    <w:p w14:paraId="4D403934" w14:textId="77777777" w:rsidR="71C09974" w:rsidRPr="00EC7A99" w:rsidRDefault="3976DC9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Komisija na temelju dostupnih informacija, uzimajući u obzir trenutačne i predvidive uvjete na tržištu, smatra da koristi od postojeće gornje granice prihoda za inframarginalne proizvođače ne prevaguju posljedice na sigurnost za ulagače i rizike povezane s funkcioniranjem tržišta i tranzicijom.  Problemi u postupku provedbe još su jedan razlog protiv produljenja gornje granice prihoda za inframarginalne proizvođače koja je utvrđena u Uredbi Vijeća. Zaključak Komisije u skladu je s povratnim informacijama dobivenima od većine ispitanika u okviru javnog savjetovanja, koji su se protivili produljenju te mjere zbog zabrinutosti oko nesigurnosti za ulagače. </w:t>
      </w:r>
    </w:p>
    <w:p w14:paraId="33DF62A6" w14:textId="77777777"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noProof/>
          <w:sz w:val="24"/>
        </w:rPr>
        <w:t>Treće</w:t>
      </w:r>
      <w:r>
        <w:rPr>
          <w:rFonts w:ascii="Times New Roman" w:hAnsi="Times New Roman"/>
          <w:noProof/>
          <w:sz w:val="24"/>
        </w:rPr>
        <w:t xml:space="preserve">, u okviru preispitivanja utvrđeno je da je nekoliko država članica iskoristilo mogućnost da u vrijeme krize prošire područje primjene reguliranih maloprodajnih cijena na MSP-ove i da pod određenim uvjetima primijene regulirane cijene niže od troškova. Komisija je u svoj prijedlog o modelu tržišta električne energije uključila ekvivalentne odredbe kojima se državama članicama omogućuje da iznimno i privremeno interveniraju u maloprodajna tržišta određivanjem cijena nižih od troškova za kućanstva i MSP-ove tijekom mogućih budućih kriznih situacija. Donošenjem prijedloga o modelu tržišta električne energije osiguralo bi se neposredno uvođenje takvih strukturnih mjera u regulatorni okvir EU-a čim se prijedlog donese. S obzirom na prethodno navedeno i u kontekstu trenutačne i očekivane opskrbe električnom energijom i cjenovnih uvjeta, Komisija smatra da nije potrebno produljiti primjenu odredaba iz članaka 12. i 13. Uredbe Vijeća.  </w:t>
      </w:r>
    </w:p>
    <w:p w14:paraId="1BD83D38" w14:textId="77777777" w:rsidR="7E5AA0D8" w:rsidRPr="00EC7A99" w:rsidRDefault="20A7D6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Naposljetku, s obzirom na to da se ovo Izvješće temelji na informacijama koje su države članice dostavile samo nekoliko mjeseci od stupanja na snagu mjera iz Uredbe Vijeća, zaključcima Komisije ne dovode se stoga u pitanje bilo koje dodatne informacije koje bi Komisija mogla primiti od država članica ili bilo koje nepredviđene promjene općeg stanja opskrbe električnom energijom i cijena električne energije u EU-u. Ako bi se informacije na kojima je Komisija temeljila ovo Izvješće znatno promijenile, Komisija će možda morati prilagoditi svoje zaključke u skladu s tim promjenama ili brzo djelovati ako to bude potrebno zbog stanja na tržištu.</w:t>
      </w:r>
    </w:p>
    <w:p w14:paraId="51B148B0" w14:textId="77777777" w:rsidR="1CE3FF65" w:rsidRPr="00EC7A99" w:rsidRDefault="1CE3FF65" w:rsidP="2B9E9F58">
      <w:pPr>
        <w:spacing w:before="120" w:after="120" w:line="360" w:lineRule="auto"/>
        <w:jc w:val="both"/>
        <w:rPr>
          <w:rFonts w:ascii="Times New Roman" w:eastAsia="Times New Roman" w:hAnsi="Times New Roman" w:cs="Times New Roman"/>
          <w:noProof/>
          <w:sz w:val="24"/>
          <w:szCs w:val="24"/>
          <w:lang w:val="en-US"/>
        </w:rPr>
      </w:pPr>
    </w:p>
    <w:sectPr w:rsidR="1CE3FF65" w:rsidRPr="00EC7A99"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6513F" w14:textId="77777777" w:rsidR="002A771D" w:rsidRDefault="002A771D" w:rsidP="000F7074">
      <w:pPr>
        <w:spacing w:after="0" w:line="240" w:lineRule="auto"/>
      </w:pPr>
      <w:r>
        <w:separator/>
      </w:r>
    </w:p>
  </w:endnote>
  <w:endnote w:type="continuationSeparator" w:id="0">
    <w:p w14:paraId="33F51456" w14:textId="77777777" w:rsidR="002A771D" w:rsidRDefault="002A771D" w:rsidP="000F7074">
      <w:pPr>
        <w:spacing w:after="0" w:line="240" w:lineRule="auto"/>
      </w:pPr>
      <w:r>
        <w:continuationSeparator/>
      </w:r>
    </w:p>
  </w:endnote>
  <w:endnote w:type="continuationNotice" w:id="1">
    <w:p w14:paraId="68920360" w14:textId="77777777" w:rsidR="002A771D" w:rsidRDefault="002A7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794B" w14:textId="1C0378D2" w:rsidR="00D22A30" w:rsidRPr="00735BE8" w:rsidRDefault="00D22A30" w:rsidP="0073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4D10" w14:textId="4142E750" w:rsidR="00D22A30" w:rsidRPr="00735BE8" w:rsidRDefault="00735BE8" w:rsidP="00735BE8">
    <w:pPr>
      <w:pStyle w:val="FooterCoverPage"/>
      <w:rPr>
        <w:rFonts w:ascii="Arial" w:hAnsi="Arial" w:cs="Arial"/>
        <w:b/>
        <w:sz w:val="48"/>
      </w:rPr>
    </w:pPr>
    <w:r w:rsidRPr="00735BE8">
      <w:rPr>
        <w:rFonts w:ascii="Arial" w:hAnsi="Arial" w:cs="Arial"/>
        <w:b/>
        <w:sz w:val="48"/>
      </w:rPr>
      <w:t>HR</w:t>
    </w:r>
    <w:r w:rsidRPr="00735BE8">
      <w:rPr>
        <w:rFonts w:ascii="Arial" w:hAnsi="Arial" w:cs="Arial"/>
        <w:b/>
        <w:sz w:val="48"/>
      </w:rPr>
      <w:tab/>
    </w:r>
    <w:r w:rsidRPr="00735BE8">
      <w:rPr>
        <w:rFonts w:ascii="Arial" w:hAnsi="Arial" w:cs="Arial"/>
        <w:b/>
        <w:sz w:val="48"/>
      </w:rPr>
      <w:tab/>
    </w:r>
    <w:r w:rsidRPr="00735BE8">
      <w:tab/>
    </w:r>
    <w:r w:rsidRPr="00735BE8">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7CF6" w14:textId="77777777" w:rsidR="00735BE8" w:rsidRPr="00735BE8" w:rsidRDefault="00735BE8" w:rsidP="00735B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rPr>
        <w:noProof/>
      </w:rPr>
    </w:sdtEndPr>
    <w:sdtContent>
      <w:p w14:paraId="7C87276C" w14:textId="22EDF11C"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35BE8">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55C98" w14:textId="77777777" w:rsidR="002A771D" w:rsidRDefault="002A771D" w:rsidP="000F7074">
      <w:pPr>
        <w:spacing w:after="0" w:line="240" w:lineRule="auto"/>
      </w:pPr>
      <w:r>
        <w:separator/>
      </w:r>
    </w:p>
  </w:footnote>
  <w:footnote w:type="continuationSeparator" w:id="0">
    <w:p w14:paraId="73E115F2" w14:textId="77777777" w:rsidR="002A771D" w:rsidRDefault="002A771D" w:rsidP="000F7074">
      <w:pPr>
        <w:spacing w:after="0" w:line="240" w:lineRule="auto"/>
      </w:pPr>
      <w:r>
        <w:continuationSeparator/>
      </w:r>
    </w:p>
  </w:footnote>
  <w:footnote w:type="continuationNotice" w:id="1">
    <w:p w14:paraId="1DF930DB" w14:textId="77777777" w:rsidR="002A771D" w:rsidRDefault="002A771D">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Uredba Vijeća (EU) 2022/1854 o hitnoj intervenciji za rješavanje pitanja visokih cijena energije</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Komunikacija Komisije Europskom parlamentu, Europskom vijeću, Vijeću, Europskom gospodarskom i socijalnom odboru i Odboru regija – Paket mjera za </w:t>
      </w:r>
      <w:r>
        <w:rPr>
          <w:rStyle w:val="eop"/>
          <w:rFonts w:ascii="Times New Roman" w:hAnsi="Times New Roman"/>
          <w:color w:val="000000" w:themeColor="text1"/>
        </w:rPr>
        <w:t>djelovanje</w:t>
      </w:r>
      <w:r>
        <w:rPr>
          <w:rFonts w:ascii="Times New Roman" w:hAnsi="Times New Roman"/>
        </w:rPr>
        <w:t xml:space="preserve"> i potporu za suočavanje s rastom cijena energije, COM(2021) 660 final.</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REPowerEU: Zajedničko europsko djelovanje za povoljniju, sigurniju i održiviju energiju,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bCs/>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Plan REPowerEU, COM(2022) 230 final.</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Komunikacija Komisije Europskom parlamentu, Vijeću, Europskom gospodarskom i socijalnom odboru </w:t>
      </w:r>
      <w:r>
        <w:rPr>
          <w:rFonts w:ascii="Times New Roman" w:hAnsi="Times New Roman"/>
          <w:color w:val="333333"/>
        </w:rPr>
        <w:t>i</w:t>
      </w:r>
      <w:r>
        <w:rPr>
          <w:rStyle w:val="eop"/>
          <w:rFonts w:ascii="Times New Roman" w:hAnsi="Times New Roman"/>
          <w:color w:val="000000" w:themeColor="text1"/>
        </w:rPr>
        <w:t xml:space="preserve"> Odboru regija – Kratkoročne intervencije na tržištu električne energije i dugoročna poboljšanja modela tržišta električne energije – tijek daljnjeg djelovanja, COM(2022) 236 final.</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U mjeri u kojoj uključuju državna sredstva, te mjere mogu podlijegati pravilima o kontroli državnih potpora.</w:t>
      </w:r>
    </w:p>
  </w:footnote>
  <w:footnote w:id="8">
    <w:p w14:paraId="3B1D4DAC"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 xml:space="preserve">Mjera kojom je uveden okvirni cilj i dalje se primjenjuje do kraja prosinca 2023. </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Prijedlog uredbe Europskog parlamenta i Vijeća o izmjeni uredbi (EU) 2019/943 i (EU) 2019/942 te direktiva (EU) 2018/2001 i (EU) 2019/944 radi poboljšanja modela tržišta električne energije u Uniji.</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Komisija je primila 1 369 odgovora. Više od 700 njih stiglo je od građana, oko 450 od poduzeća i poslovnih udruženja, oko 40 od nacionalnih ili lokalnih uprava ili nacionalnih regulatornih tijela te oko 70 od mrežnih operatora. Sudjelovalo je i oko 20 energetskih zajednica, 15 sindikata i 20 organizacija potrošača. Odgovore je dostavio i znatan broj nevladinih organizacija, skupina za strateško promišljanje i istraživačkih organizacija ili drugih akademskih organizacija.</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Mađarska i Rumunjska.</w:t>
      </w:r>
    </w:p>
  </w:footnote>
  <w:footnote w:id="12">
    <w:p w14:paraId="1122D7F0"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U kolovozu 2022. cijene za dan unaprijed i za mjesec unaprijed na trgovinskom čvorištu za plin TTF bile su iznad 230 EUR/MWh.</w:t>
      </w:r>
    </w:p>
  </w:footnote>
  <w:footnote w:id="13">
    <w:p w14:paraId="00C2C717"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Uredba Vijeća (EU) 2022/2576 od 19. prosinca 2022. o jačanju solidarnosti boljom koordinacijom kupnje plina, pouzdanim referentnim vrijednostima cijena i prekograničnim razmjenama plina, Uredba Vijeća (EU) 2022/1369 od 5. kolovoza 2022. o koordiniranim mjerama za smanjenje potražnje za plinom i Uredba Vijeća (EU) 2023/706 od 30. ožujka 2023. o izmjeni Uredbe (EU) 2022/1369 u pogledu produljenja razdoblja za smanjenje potražnje kad je riječ o mjerama za smanjenje potražnje za plinom i pooštravanja obveze izvješćivanja i praćenja njihove provedbe. </w:t>
      </w:r>
    </w:p>
  </w:footnote>
  <w:footnote w:id="14">
    <w:p w14:paraId="4B5C79F9"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 je smanjio svoju potražnju za prirodnim plinom za 19,2 % odnosno 41,5 milijardi kubičnih metara u razdoblju od kolovoza 2022. do siječnja 2023. u odnosu na prosjek iz prethodnih pet godina. Stoga je zasad premašio svoj cilj od 15 %, koji bi odgovarao obujmu od 32,5 milijardi kubičnih metara za isto razdoblje. Nadalje, već je ostvario više od 90 % svojeg ukupnog cilja smanjenja, koji iznosi malo više od 45 milijardi kubičnih metara, za cijelo razdoblje od kolovoza 2022. do ožujka 2023.</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Neke države članice, to jest Italija, Portugal, Slovenija i Španjolska, uvele su postupak konkurentnog nadmetanja radi ostvarenja smanjenja potražnje za električnom energijom ili razmatraju uvođenje takvog postupka.</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Cipar, Hrvatska, Poljska i Portugal prijavili su najniže razine ostvarenog smanjenja potrošnje električne energije.</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Kako je definirano u članku 2. točki 3. Uredbe Vijeća. Njemačka, Finska, Francuska, Grčka i Španjolska prijavile su najviše razine ostvarenog smanjenja potrošnje električne energije. Čini se da su neke države članice izvjestiteljice primijenile članak 3. stavak 2. Uredbe Vijeća pri izračunu smanjenja bruto potrošnje električne energije, dok druge nisu. Člankom 3. točkom 2. državama članicama daje se mogućnost da uzmu u obzir povećanu bruto potrošnju električne energije koja proizlazi iz ostvarenja ciljeva smanjenja potražnje za plinom i općih napora za elektrifikaciju kako bi se postupno ukinula fosilna goriva. Stoga je potreban oprez pri provođenju bilo kakvih usporedbi tih izračuna među različitim državama članicama.</w:t>
      </w:r>
    </w:p>
  </w:footnote>
  <w:footnote w:id="18">
    <w:p w14:paraId="660E0BE1"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rPr>
          <w:rFonts w:ascii="Times New Roman" w:hAnsi="Times New Roman"/>
        </w:rPr>
        <w:t xml:space="preserve"> </w:t>
      </w:r>
    </w:p>
  </w:footnote>
  <w:footnote w:id="19">
    <w:p w14:paraId="43EAA7CE" w14:textId="77777777" w:rsidR="0055297A" w:rsidRPr="001613B0" w:rsidRDefault="0055297A" w:rsidP="001613B0">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Sljedeće države članice prijavile su gornju granicu na razini ispod 180 EUR/MWh za barem jednu tehnologiju: Austrija, Belgija, Bugarska, Cipar, Češka, Finska, Francuska, Grčka, Irska, Italija, Luksemburg, Nizozemska, Njemačka, Poljska i Slovačka.  Španjolska je već u rujnu 2021. uvela gornju granicu tržišnih prihoda za određene tehnologije. U okviru te mjere, čija je primjena predviđena do kraja 2023., trenutačno se primjenjuje gornja granica na razini od približno 67 EUR/MWh. U lipnju 2022. Španjolska i Portugal uveli su mehanizam kojim se nastoje smanjiti veleprodajne cijene električne energije na iberijskom tržištu i kojim se smanjuje učinak gornje granice tržišnih prihoda. Taj je mehanizam Komisija odobrila 8. lipnja 2022. u okviru predmeta pod brojevima SA. 102454 i SA. 102569 te ga je nedavno produljila do kraja 2023. u okviru predmeta pod brojevima SA. 106095 i SA. 106096.</w:t>
      </w:r>
      <w:r>
        <w:rPr>
          <w:rFonts w:ascii="Times New Roman" w:hAnsi="Times New Roman"/>
          <w:color w:val="2B579A"/>
          <w:sz w:val="20"/>
          <w:shd w:val="clear" w:color="auto" w:fill="E6E6E6"/>
        </w:rPr>
        <w:t xml:space="preserve"> </w:t>
      </w:r>
    </w:p>
  </w:footnote>
  <w:footnote w:id="20">
    <w:p w14:paraId="1C346759" w14:textId="77777777" w:rsidR="00A06C6A" w:rsidRPr="001613B0" w:rsidRDefault="00A06C6A" w:rsidP="00A06C6A">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Fonts w:ascii="Times New Roman" w:hAnsi="Times New Roman"/>
          <w:sz w:val="20"/>
        </w:rPr>
        <w:t xml:space="preserve"> Sljedeće države članice počele su primjenjivati gornju granicu prihoda za inframarginalne proizvođače prije 1. prosinca 2022.: Belgija (od 1. kolovoza 2022.), Cipar (od 24. lipnja 2022.), Francuska (od 1. srpnja 2022.), Grčka (od 8. srpnja 2022.), Italija (od veljače 2022. za neke proizvođače električne energije iz obnovljivih izvora) te Portugal i Španjolska (od lipnja 2022.).</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U Austriji, Češkoj, Finskoj, Francuskoj, Luksemburgu, Poljskoj, Portugalu, Sloveniji i Španjolskoj gornja granica prihoda za inframarginalne proizvođače ili slične mjere primjenjivat će se do 31. prosinca 2023. U Cipru će se prestanak primjene mjere temeljiti na odluci koju donosi regulatorno tijelo. U Slovačkoj će se ta mjera primjenjivati do 31. prosinca 2024. Osim toga, u Njemačkoj se razdoblje primjene može produljiti do 30. travnja 2024.</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Kako bi se zajamčila sigurnost opskrbe energijom, u članku 8. stavku 1. točki (b) Uredbe Vijeća omogućuje se državama članicama da odrede višu gornju granicu tržišnih prihoda za proizvođače koji bi inače podlijegali gornjoj granici tržišnih prihoda na razini Unije, ako su njihovi troškovi ulaganja i operativni troškovi viši od gornje granice tržišnih prihoda na razini Unije. Tu mogućnost u svoju nacionalnu provedbu gornje granice prihoda za inframarginalne proizvođače uključilo je 13 država članica, ponajprije za elektrane na lignit, biomasu i naftu.</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Na temelju informacija dobivenih od država članica, izvješća nacionalnih regulatornih tijela i mjera za koje su države članice provele samoprocjenu.</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bCs/>
          <w:color w:val="auto"/>
          <w:sz w:val="20"/>
          <w:szCs w:val="20"/>
          <w:u w:val="none"/>
        </w:rPr>
      </w:pPr>
      <w:r>
        <w:rPr>
          <w:rStyle w:val="FootnoteReference"/>
          <w:rFonts w:ascii="Times New Roman" w:hAnsi="Times New Roman" w:cs="Times New Roman"/>
          <w:sz w:val="20"/>
          <w:szCs w:val="20"/>
        </w:rPr>
        <w:footnoteRef/>
      </w:r>
      <w:r>
        <w:rPr>
          <w:rFonts w:ascii="Times New Roman" w:hAnsi="Times New Roman"/>
          <w:sz w:val="20"/>
        </w:rPr>
        <w:t xml:space="preserve"> Komunikacija Komisije – Privremeni okvir za mjere državne potpore u kriznim situacijama i za tranziciju radi potpore gospodarstvu nakon ruske agresije na Ukrajinu,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Nizozemska – Program za smanjenje troškova za energiju.</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 je odobrila Komisija u okviru pravila o kontroli državnih potpora, u skladu s TCTF-om. SA.104606 TCTF – Njemačka – Privremeno ograničavanje troškova za povećanja cijena prirodnog plina, grijanja i električne energije (</w:t>
      </w:r>
      <w:hyperlink r:id="rId3" w:tgtFrame="_blank" w:history="1">
        <w:r>
          <w:rPr>
            <w:rFonts w:ascii="Times New Roman" w:hAnsi="Times New Roman"/>
          </w:rPr>
          <w:t>SLEU C/061/2023</w:t>
        </w:r>
      </w:hyperlink>
      <w:r>
        <w:rPr>
          <w:rFonts w:ascii="Times New Roman" w:hAnsi="Times New Roman"/>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„Države članice trebale bi postupno ukinuti mjere potpore za energiju, počevši od najmanje ciljanih mjera.</w:t>
      </w:r>
      <w:r>
        <w:rPr>
          <w:rFonts w:ascii="Times New Roman" w:hAnsi="Times New Roman"/>
          <w:i/>
        </w:rPr>
        <w:t xml:space="preserve"> </w:t>
      </w:r>
      <w:r>
        <w:rPr>
          <w:rFonts w:ascii="Times New Roman" w:hAnsi="Times New Roman"/>
        </w:rPr>
        <w:t>Ako mjere potpore bude trebalo produljiti zbog novih pritisaka na cijene energije, države članice trebat će svoje mjere usmjeriti mnogo bolje nego u prošlosti, odnosno izbjeći opću potporu i zaštititi samo potrebite, odnosno ranjiva kućanstva i poduzeća.”, COM(2023) 141, Smjernice za fiskalnu politiku za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7CD4" w14:textId="77777777" w:rsidR="00735BE8" w:rsidRPr="00735BE8" w:rsidRDefault="00735BE8" w:rsidP="0073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6942" w14:textId="77777777" w:rsidR="00735BE8" w:rsidRPr="00735BE8" w:rsidRDefault="00735BE8" w:rsidP="00735B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DF3A" w14:textId="77777777" w:rsidR="00735BE8" w:rsidRPr="00735BE8" w:rsidRDefault="00735BE8" w:rsidP="00735B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2698A22-D308-4164-A89F-FA58C65FDA62"/>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uxelles, "/>
    <w:docVar w:name="LW_EMISSION_SUFFIX" w:val="&lt;EMPTY&gt;"/>
    <w:docVar w:name="LW_ID_DOCTYPE_NONLW" w:val="CP-006"/>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 preispitivanju hitnih intervencija za rješavanje pitanja visokih cijena energije u skladu s Uredbom Vijeća (EU) 2022/1854"/>
    <w:docVar w:name="LW_TYPE.DOC.CP" w:val="IZVJEŠĆE KOMISIJE EUROPSKOM PARLAMENTU I VIJEĆU"/>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CC8"/>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5B1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A771D"/>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1007"/>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5BE8"/>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251E"/>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96799"/>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1848"/>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3733"/>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2A22"/>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22A6"/>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2A30"/>
    <w:rsid w:val="00D26567"/>
    <w:rsid w:val="00D26B28"/>
    <w:rsid w:val="00D3024A"/>
    <w:rsid w:val="00D30655"/>
    <w:rsid w:val="00D318EF"/>
    <w:rsid w:val="00D33BB3"/>
    <w:rsid w:val="00D3447D"/>
    <w:rsid w:val="00D35188"/>
    <w:rsid w:val="00D366EE"/>
    <w:rsid w:val="00D372C7"/>
    <w:rsid w:val="00D42C0A"/>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A7EB8"/>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045FE"/>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27F32"/>
    <w:rPr>
      <w:i/>
      <w:iCs/>
    </w:rPr>
  </w:style>
  <w:style w:type="paragraph" w:styleId="TOCHeading">
    <w:name w:val="TOC Heading"/>
    <w:basedOn w:val="Heading1"/>
    <w:next w:val="Normal"/>
    <w:uiPriority w:val="39"/>
    <w:unhideWhenUsed/>
    <w:qFormat/>
    <w:rsid w:val="00FE13A9"/>
    <w:pPr>
      <w:numPr>
        <w:numId w:val="0"/>
      </w:numPr>
      <w:outlineLvl w:val="9"/>
    </w:pPr>
    <w:rPr>
      <w:lang w:eastAsia="ja-JP"/>
    </w:r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A9"/>
    <w:rPr>
      <w:rFonts w:ascii="Tahoma" w:hAnsi="Tahoma" w:cs="Tahoma"/>
      <w:sz w:val="16"/>
      <w:szCs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CC1"/>
    <w:rPr>
      <w:sz w:val="20"/>
      <w:szCs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szCs w:val="16"/>
    </w:rPr>
  </w:style>
  <w:style w:type="paragraph" w:styleId="CommentText">
    <w:name w:val="annotation text"/>
    <w:basedOn w:val="Normal"/>
    <w:link w:val="CommentTextChar"/>
    <w:uiPriority w:val="99"/>
    <w:semiHidden/>
    <w:unhideWhenUsed/>
    <w:rsid w:val="003C0D27"/>
    <w:pPr>
      <w:spacing w:line="240" w:lineRule="auto"/>
    </w:pPr>
    <w:rPr>
      <w:sz w:val="20"/>
      <w:szCs w:val="20"/>
    </w:rPr>
  </w:style>
  <w:style w:type="character" w:customStyle="1" w:styleId="CommentTextChar">
    <w:name w:val="Comment Text Char"/>
    <w:basedOn w:val="DefaultParagraphFont"/>
    <w:link w:val="CommentText"/>
    <w:uiPriority w:val="99"/>
    <w:semiHidden/>
    <w:rsid w:val="003C0D27"/>
    <w:rPr>
      <w:sz w:val="20"/>
      <w:szCs w:val="20"/>
    </w:rPr>
  </w:style>
  <w:style w:type="paragraph" w:styleId="CommentSubject">
    <w:name w:val="annotation subject"/>
    <w:basedOn w:val="CommentText"/>
    <w:next w:val="CommentText"/>
    <w:link w:val="CommentSubjectChar"/>
    <w:uiPriority w:val="99"/>
    <w:semiHidden/>
    <w:unhideWhenUsed/>
    <w:rsid w:val="003C0D27"/>
    <w:rPr>
      <w:b/>
      <w:bCs/>
    </w:rPr>
  </w:style>
  <w:style w:type="character" w:customStyle="1" w:styleId="CommentSubjectChar">
    <w:name w:val="Comment Subject Char"/>
    <w:basedOn w:val="CommentTextChar"/>
    <w:link w:val="CommentSubject"/>
    <w:uiPriority w:val="99"/>
    <w:semiHidden/>
    <w:rsid w:val="003C0D27"/>
    <w:rPr>
      <w:b/>
      <w:bCs/>
      <w:sz w:val="20"/>
      <w:szCs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HR: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HR/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2.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3.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EBA86-EFF5-436D-81E3-82E7BB88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19</Pages>
  <Words>5955</Words>
  <Characters>35913</Characters>
  <Application>Microsoft Office Word</Application>
  <DocSecurity>0</DocSecurity>
  <Lines>520</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52</cp:revision>
  <cp:lastPrinted>2018-05-26T09:43:00Z</cp:lastPrinted>
  <dcterms:created xsi:type="dcterms:W3CDTF">2023-05-30T11:43:00Z</dcterms:created>
  <dcterms:modified xsi:type="dcterms:W3CDTF">2023-06-16T15:22:00Z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