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BB" w:rsidRDefault="000A601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C7E6CB-8648-47F7-B1CB-C0E352555987" style="width:450.85pt;height:320.55pt">
            <v:imagedata r:id="rId11" o:title=""/>
          </v:shape>
        </w:pict>
      </w:r>
    </w:p>
    <w:bookmarkEnd w:id="0"/>
    <w:p w:rsidR="00581FBB" w:rsidRDefault="00581FBB">
      <w:pPr>
        <w:rPr>
          <w:noProof/>
        </w:rPr>
        <w:sectPr w:rsidR="00581FB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581FBB" w:rsidRDefault="000A6010">
      <w:pPr>
        <w:pStyle w:val="Heading1"/>
        <w:rPr>
          <w:noProof/>
        </w:rPr>
      </w:pPr>
      <w:r>
        <w:rPr>
          <w:noProof/>
        </w:rPr>
        <w:lastRenderedPageBreak/>
        <w:t>Az európai ipar új útja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b/>
          <w:noProof/>
          <w:sz w:val="24"/>
          <w:szCs w:val="24"/>
        </w:rPr>
        <w:t>Európa mindig is az ipar fellegvára volt.</w:t>
      </w:r>
      <w:r>
        <w:rPr>
          <w:rFonts w:ascii="Times New Roman" w:hAnsi="Times New Roman"/>
          <w:noProof/>
          <w:sz w:val="24"/>
          <w:szCs w:val="24"/>
        </w:rPr>
        <w:t xml:space="preserve"> Az ipari innováció úttörőjeként évszázadok óta hozzájárul a világ különböző pontjain elterjedt termelési, fogyasztási és üzleti szokások fejlődéséhez. Az európai ipar, amely erős belső piacon alapszik, jó ideje gazdaságunk hajtóerejeként működik: milliókn</w:t>
      </w:r>
      <w:r>
        <w:rPr>
          <w:rFonts w:ascii="Times New Roman" w:hAnsi="Times New Roman"/>
          <w:noProof/>
          <w:sz w:val="24"/>
          <w:szCs w:val="24"/>
        </w:rPr>
        <w:t>ak biztosít stabil megélhetést, és számos társadalmi központ kialakulását tette lehetővé, amelyek körül közösségeink építkezni tudnak.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idők során egyértelművé vált: az ipar alkalmas arra, hogy a változások élére álljon. Erre manapság nagy szükség van: E</w:t>
      </w:r>
      <w:r>
        <w:rPr>
          <w:rFonts w:ascii="Times New Roman" w:hAnsi="Times New Roman"/>
          <w:noProof/>
          <w:sz w:val="24"/>
          <w:szCs w:val="24"/>
        </w:rPr>
        <w:t>urópa célul tűzte ki a klímasemlegességre való átállást, és vezető szerepre törekszik a digitalizációban, miközben a világ egyre nagyobb változásokon megy keresztül és egyre kiszámíthatatlanabbá válik.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ökológiai és digitális kettős átállás gazdaságunk, </w:t>
      </w:r>
      <w:r>
        <w:rPr>
          <w:rFonts w:ascii="Times New Roman" w:hAnsi="Times New Roman"/>
          <w:noProof/>
          <w:sz w:val="24"/>
          <w:szCs w:val="24"/>
        </w:rPr>
        <w:t>társadalmunk és iparunk valamennyi szegmensére kihat majd. Új technológiákat és ezekkel együtt új beruházásokat és innovációkat igényel. Új termékeket, szolgáltatásokat, piacokat és üzleti modelleket hoz majd létre. És olyan újfajta, ma még nem létező munk</w:t>
      </w:r>
      <w:r>
        <w:rPr>
          <w:rFonts w:ascii="Times New Roman" w:hAnsi="Times New Roman"/>
          <w:noProof/>
          <w:sz w:val="24"/>
          <w:szCs w:val="24"/>
        </w:rPr>
        <w:t>ahelyeket teremt, amelyeken ma még nem létező készségeket kell majd felmutatni. Eközben hozzájárul ahhoz, hogy a lineáris termelésről egyre inkább áttérjünk a körforgásos gazdaságra.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kettős átállással egyidejűleg folyamatosan formálódik a geopolitikai er</w:t>
      </w:r>
      <w:r>
        <w:rPr>
          <w:rFonts w:ascii="Times New Roman" w:hAnsi="Times New Roman"/>
          <w:noProof/>
          <w:sz w:val="24"/>
          <w:szCs w:val="24"/>
        </w:rPr>
        <w:t>őtér is, amely nagyban befolyásolja a verseny jellegét.</w:t>
      </w:r>
      <w:r>
        <w:rPr>
          <w:rFonts w:ascii="Times New Roman Bold" w:hAnsi="Times New Roman Bold"/>
          <w:noProof/>
          <w:sz w:val="24"/>
          <w:szCs w:val="24"/>
        </w:rPr>
        <w:t xml:space="preserve"> </w:t>
      </w:r>
      <w:r>
        <w:rPr>
          <w:rFonts w:ascii="Times New Roman" w:hAnsi="Times New Roman"/>
          <w:noProof/>
          <w:sz w:val="24"/>
          <w:szCs w:val="24"/>
        </w:rPr>
        <w:t xml:space="preserve">Minden eddiginél fontosabb, hogy Európa határozottan lépjen fel, megőrizze értékeit és síkra szálljon az egyenlő versenyfeltételek érvényesüléséért. </w:t>
      </w:r>
      <w:r>
        <w:rPr>
          <w:rFonts w:ascii="Times New Roman" w:hAnsi="Times New Roman"/>
          <w:b/>
          <w:noProof/>
          <w:sz w:val="24"/>
          <w:szCs w:val="24"/>
        </w:rPr>
        <w:t>Európa szuverenitása a tét.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kettős átállás kiterj</w:t>
      </w:r>
      <w:r>
        <w:rPr>
          <w:rFonts w:ascii="Times New Roman" w:hAnsi="Times New Roman"/>
          <w:noProof/>
          <w:sz w:val="24"/>
          <w:szCs w:val="24"/>
        </w:rPr>
        <w:t xml:space="preserve">edése és mélysége, léptéke és sebessége, jellege és szükségessége egyaránt példa nélküli. Ez kifejeződik Ursula von der Leyen elnök </w:t>
      </w:r>
      <w:r>
        <w:rPr>
          <w:rFonts w:ascii="Times New Roman" w:hAnsi="Times New Roman"/>
          <w:i/>
          <w:noProof/>
          <w:sz w:val="24"/>
          <w:szCs w:val="24"/>
        </w:rPr>
        <w:t>politikai iránymutatásában</w:t>
      </w:r>
      <w:r>
        <w:rPr>
          <w:rFonts w:ascii="Times New Roman" w:hAnsi="Times New Roman"/>
          <w:noProof/>
          <w:sz w:val="24"/>
          <w:szCs w:val="24"/>
        </w:rPr>
        <w:t>, az Európai Parlament meghatározott prioritásaiban és az Európai Tanács 2019–2024-es időszakra sz</w:t>
      </w:r>
      <w:r>
        <w:rPr>
          <w:rFonts w:ascii="Times New Roman" w:hAnsi="Times New Roman"/>
          <w:noProof/>
          <w:sz w:val="24"/>
          <w:szCs w:val="24"/>
        </w:rPr>
        <w:t xml:space="preserve">óló stratégiai menetrendjében is. Az elkövetkező évek törekvéseit, sebességét és útirányát az </w:t>
      </w:r>
      <w:r>
        <w:rPr>
          <w:rFonts w:ascii="Times New Roman" w:hAnsi="Times New Roman"/>
          <w:i/>
          <w:noProof/>
          <w:sz w:val="24"/>
          <w:szCs w:val="24"/>
        </w:rPr>
        <w:t>európai zöld megállapodás</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és az </w:t>
      </w:r>
      <w:r>
        <w:rPr>
          <w:rFonts w:ascii="Times New Roman" w:hAnsi="Times New Roman"/>
          <w:i/>
          <w:noProof/>
          <w:sz w:val="24"/>
          <w:szCs w:val="24"/>
        </w:rPr>
        <w:t>Európa digitális jövőjének megtervezése</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című nemrég megjelent bizottsági stratégia jelöli ki.</w:t>
      </w:r>
    </w:p>
    <w:p w:rsidR="00581FBB" w:rsidRDefault="000A6010">
      <w:pPr>
        <w:spacing w:line="240" w:lineRule="auto"/>
        <w:jc w:val="both"/>
        <w:rPr>
          <w:rFonts w:ascii="Times New Roman" w:hAnsi="Times New Roman" w:cs="Times New Roman"/>
          <w:noProof/>
          <w:sz w:val="24"/>
          <w:szCs w:val="24"/>
        </w:rPr>
      </w:pPr>
      <w:r>
        <w:rPr>
          <w:rFonts w:ascii="Times New Roman" w:hAnsi="Times New Roman"/>
          <w:b/>
          <w:noProof/>
          <w:sz w:val="24"/>
          <w:szCs w:val="24"/>
        </w:rPr>
        <w:t>Most olyan új utat kell szabnunk a</w:t>
      </w:r>
      <w:r>
        <w:rPr>
          <w:rFonts w:ascii="Times New Roman" w:hAnsi="Times New Roman"/>
          <w:b/>
          <w:noProof/>
          <w:sz w:val="24"/>
          <w:szCs w:val="24"/>
        </w:rPr>
        <w:t>z európai iparnak, amely megfelel napjaink ambícióinak és a holnap realitásainak.</w:t>
      </w:r>
      <w:r>
        <w:rPr>
          <w:rFonts w:ascii="Times New Roman" w:hAnsi="Times New Roman"/>
          <w:noProof/>
          <w:sz w:val="24"/>
          <w:szCs w:val="24"/>
        </w:rPr>
        <w:t xml:space="preserve"> Fontos, hogy az európai ipar alkalmas arra, hogy a kettős átállás élére álljon és fellendítse versenyképességünket. Európa nem követhet pusztán másokat – saját magának kell a</w:t>
      </w:r>
      <w:r>
        <w:rPr>
          <w:rFonts w:ascii="Times New Roman" w:hAnsi="Times New Roman"/>
          <w:noProof/>
          <w:sz w:val="24"/>
          <w:szCs w:val="24"/>
        </w:rPr>
        <w:t xml:space="preserve"> változás és az innováció akcelerátoraként és támogató erejéként fellépnie. Iparpolitikánkkal e törekvés megvalósításához kell hozzájárulnunk.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b/>
          <w:noProof/>
          <w:sz w:val="24"/>
          <w:szCs w:val="24"/>
        </w:rPr>
        <w:t>Európa iparstratégiájában meg kell jelenniük értékeinknek és szociális piaci hagyományainknak.</w:t>
      </w:r>
      <w:r>
        <w:rPr>
          <w:rFonts w:ascii="Times New Roman" w:hAnsi="Times New Roman"/>
          <w:noProof/>
          <w:sz w:val="24"/>
          <w:szCs w:val="24"/>
        </w:rPr>
        <w:t xml:space="preserve"> Arra kell támaszko</w:t>
      </w:r>
      <w:r>
        <w:rPr>
          <w:rFonts w:ascii="Times New Roman" w:hAnsi="Times New Roman"/>
          <w:noProof/>
          <w:sz w:val="24"/>
          <w:szCs w:val="24"/>
        </w:rPr>
        <w:t>dnunk, ami az erősségünk: a sokszínűségünkre, a tehetségünkre, az értékeinkre, az életmódunkra, az innovátorainkra és az alkotóinkra. Olyan európai iparpolitikát kell folytatnunk, amely versengésen, nyitott piacokon, világszínvonalú kutatáson és technológi</w:t>
      </w:r>
      <w:r>
        <w:rPr>
          <w:rFonts w:ascii="Times New Roman" w:hAnsi="Times New Roman"/>
          <w:noProof/>
          <w:sz w:val="24"/>
          <w:szCs w:val="24"/>
        </w:rPr>
        <w:t>ákon alapul, és erős, az akadályok és bürokratikus követelmények lebontására képes egységes piacra támaszkodik. Eközben ellen kell állnunk a protekcionizmusra és a piac torzítására irányuló olcsó kísértéseknek is, jóllehet nem szemlélhetjük naivan a tiszte</w:t>
      </w:r>
      <w:r>
        <w:rPr>
          <w:rFonts w:ascii="Times New Roman" w:hAnsi="Times New Roman"/>
          <w:noProof/>
          <w:sz w:val="24"/>
          <w:szCs w:val="24"/>
        </w:rPr>
        <w:t>sségtelen versenyt.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Ez a stratégia számol az Európai Unió erejével, és elismeri azt a szerepet, amelyet az Unió – elsősorban támogatóként és szabályozóként – betölt. Ahhoz, hogy a befektetők, az </w:t>
      </w:r>
      <w:r>
        <w:rPr>
          <w:rFonts w:ascii="Times New Roman" w:hAnsi="Times New Roman"/>
          <w:noProof/>
          <w:sz w:val="24"/>
          <w:szCs w:val="24"/>
        </w:rPr>
        <w:lastRenderedPageBreak/>
        <w:t>innovátorok és az ágazati szereplők biztonságban érezhessék m</w:t>
      </w:r>
      <w:r>
        <w:rPr>
          <w:rFonts w:ascii="Times New Roman" w:hAnsi="Times New Roman"/>
          <w:noProof/>
          <w:sz w:val="24"/>
          <w:szCs w:val="24"/>
        </w:rPr>
        <w:t>agukat, elengedhetetlen a vonatkozó keretrendszer, valamint az általános politikai és szakpolitikai irányvonal rögzítése.</w:t>
      </w:r>
    </w:p>
    <w:p w:rsidR="00581FBB" w:rsidRDefault="000A6010">
      <w:pPr>
        <w:spacing w:line="240" w:lineRule="auto"/>
        <w:jc w:val="both"/>
        <w:rPr>
          <w:rFonts w:ascii="Times New Roman" w:hAnsi="Times New Roman" w:cs="Times New Roman"/>
          <w:b/>
          <w:noProof/>
          <w:sz w:val="24"/>
          <w:szCs w:val="24"/>
        </w:rPr>
      </w:pPr>
      <w:r>
        <w:rPr>
          <w:rFonts w:ascii="Times New Roman" w:hAnsi="Times New Roman"/>
          <w:b/>
          <w:noProof/>
          <w:sz w:val="24"/>
          <w:szCs w:val="24"/>
        </w:rPr>
        <w:t>Új iparstratégiánk mind elveiben, mind intézkedéseit tekintve vállalkozói szemléletet követ.</w:t>
      </w:r>
      <w:r>
        <w:rPr>
          <w:rFonts w:ascii="Times New Roman" w:hAnsi="Times New Roman"/>
          <w:noProof/>
          <w:sz w:val="24"/>
          <w:szCs w:val="24"/>
        </w:rPr>
        <w:t xml:space="preserve"> A Bizottság készen áll arra, hogy magával az iparral, valamint a szociális partnerekkel és a többi érdekelt féllel közösen kezdjen a megoldások kidolgozásához és megvalósításához. Mostantól kiemelt figyelmet fordít az </w:t>
      </w:r>
      <w:r>
        <w:rPr>
          <w:rFonts w:ascii="Times New Roman" w:hAnsi="Times New Roman"/>
          <w:b/>
          <w:bCs/>
          <w:noProof/>
          <w:sz w:val="24"/>
          <w:szCs w:val="24"/>
        </w:rPr>
        <w:t>ipari ökoszisztémákra</w:t>
      </w:r>
      <w:r>
        <w:rPr>
          <w:rFonts w:ascii="Times New Roman" w:hAnsi="Times New Roman"/>
          <w:noProof/>
          <w:sz w:val="24"/>
          <w:szCs w:val="24"/>
        </w:rPr>
        <w:t>: azaz fellépése</w:t>
      </w:r>
      <w:r>
        <w:rPr>
          <w:rFonts w:ascii="Times New Roman" w:hAnsi="Times New Roman"/>
          <w:noProof/>
          <w:sz w:val="24"/>
          <w:szCs w:val="24"/>
        </w:rPr>
        <w:t>i során figyelembe veszi az értéklánc valamennyi szereplőjét. Ez az új megközelítésünk lényege: ahhoz ugyanis, hogy a kettős átállás élére álljunk, újfajta gondolkodásmódot és új munkamódszereket kell magunkévá tennünk.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 a stratégia kijelöli az útirányt,</w:t>
      </w:r>
      <w:r>
        <w:rPr>
          <w:rFonts w:ascii="Times New Roman" w:hAnsi="Times New Roman"/>
          <w:noProof/>
          <w:sz w:val="24"/>
          <w:szCs w:val="24"/>
        </w:rPr>
        <w:t xml:space="preserve"> és bemutatja az oda vezető utat. Felvázolja, mit szándékozunk elérni 2030-ig és azon túl, és mely fő tényezők fognak elvezetni bennünket a célunkig. Egy dolog minden átállás és gyökeres változás ellenére változatlan marad az Uniónkban: Európa mindig is az</w:t>
      </w:r>
      <w:r>
        <w:rPr>
          <w:rFonts w:ascii="Times New Roman" w:hAnsi="Times New Roman"/>
          <w:noProof/>
          <w:sz w:val="24"/>
          <w:szCs w:val="24"/>
        </w:rPr>
        <w:t xml:space="preserve"> ipar fellegvára marad. Az Európai Bizottság pedig ezzel a stratégiával megtesz mindent azért, hogy ez a jövőben is így maradjon.</w:t>
      </w:r>
    </w:p>
    <w:p w:rsidR="00581FBB" w:rsidRDefault="000A6010">
      <w:pPr>
        <w:pStyle w:val="Heading1"/>
        <w:rPr>
          <w:noProof/>
        </w:rPr>
      </w:pPr>
      <w:r>
        <w:rPr>
          <w:noProof/>
        </w:rPr>
        <w:t>Európa ipara: ma és holnap</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ipar kulcsszerepet tölt be Európa jövőbeli fejlődésében és jólétében. Az ipar az uniós gazdaság </w:t>
      </w:r>
      <w:r>
        <w:rPr>
          <w:rFonts w:ascii="Times New Roman" w:hAnsi="Times New Roman"/>
          <w:noProof/>
          <w:sz w:val="24"/>
          <w:szCs w:val="24"/>
        </w:rPr>
        <w:t>több mint 20 %-át teszi ki, mintegy 35 millió embert foglalkoztat, és további több millió kapcsolódó munkahelyet biztosít Európán belül és azon kívül is. Az ipar az áruexport 80 %-át biztosítja, és nagyban hozzájárul ahhoz, hogy az EU globális szinten a kö</w:t>
      </w:r>
      <w:r>
        <w:rPr>
          <w:rFonts w:ascii="Times New Roman" w:hAnsi="Times New Roman"/>
          <w:noProof/>
          <w:sz w:val="24"/>
          <w:szCs w:val="24"/>
        </w:rPr>
        <w:t>zvetlen külföldi tőkebefektetések fő forrása és célpontja legyen. Az európai vállalkozások több mint 99 %-a kis- vagy középvállalkozás (kkv) – amelyek túlnyomórészt családi tulajdonban állnak –, és e vállalkozások a gazdaság és társadalom gerincét képezik</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rsidR="00581FBB" w:rsidRDefault="000A6010">
      <w:pPr>
        <w:spacing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Az európai ipar globális versenyelőnyben van a magas hozzáadott értéket képviselő termékek és szolgáltatások terén. Példaértékű </w:t>
      </w:r>
      <w:r>
        <w:rPr>
          <w:rFonts w:ascii="Times New Roman" w:hAnsi="Times New Roman"/>
          <w:b/>
          <w:noProof/>
          <w:sz w:val="24"/>
          <w:szCs w:val="24"/>
        </w:rPr>
        <w:t>szociális, munkaügyi és környezetvédelmi normák</w:t>
      </w:r>
      <w:r>
        <w:rPr>
          <w:rFonts w:ascii="Times New Roman" w:hAnsi="Times New Roman"/>
          <w:noProof/>
          <w:sz w:val="24"/>
          <w:szCs w:val="24"/>
        </w:rPr>
        <w:t xml:space="preserve"> alapján működik, amelyek révén másoknak is közvetíti értékeit. Kiemelkedő inno</w:t>
      </w:r>
      <w:r>
        <w:rPr>
          <w:rFonts w:ascii="Times New Roman" w:hAnsi="Times New Roman"/>
          <w:noProof/>
          <w:sz w:val="24"/>
          <w:szCs w:val="24"/>
        </w:rPr>
        <w:t>vációs kapacitásával élen jár a világon a környezetbarát technológiai szabadalmak és más csúcstechnológiai ágazatok terén. Egységes piacunknak köszönhetően az európai vállalkozások mérettől függetlenül képesek innovatívan működni, gyors ütemben növekedni é</w:t>
      </w:r>
      <w:r>
        <w:rPr>
          <w:rFonts w:ascii="Times New Roman" w:hAnsi="Times New Roman"/>
          <w:noProof/>
          <w:sz w:val="24"/>
          <w:szCs w:val="24"/>
        </w:rPr>
        <w:t>s alkalmazottaik létszámát bővíteni. Ezen erősségekből kiindulva vezető szerepre kell törekedni azokon a területeken is, ahol az EU még elmarad mások mögött, például a felhő- és adatalkalmazások terén.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ipar már most is jelentős átalakuláson megy</w:t>
      </w:r>
      <w:r>
        <w:rPr>
          <w:rFonts w:ascii="Times New Roman" w:hAnsi="Times New Roman"/>
          <w:noProof/>
          <w:sz w:val="24"/>
          <w:szCs w:val="24"/>
        </w:rPr>
        <w:t xml:space="preserve"> keresztül. Határozott elmozdulás megy végbe a termékektől a szolgáltatások felé, valamint kizárólagos tulajdonú termékektől és szolgáltatásoktól a megosztott tulajdonban állók felé. A természeti erőforrások szűkössége miatt már most is megfigyelhető a ter</w:t>
      </w:r>
      <w:r>
        <w:rPr>
          <w:rFonts w:ascii="Times New Roman" w:hAnsi="Times New Roman"/>
          <w:noProof/>
          <w:sz w:val="24"/>
          <w:szCs w:val="24"/>
        </w:rPr>
        <w:t xml:space="preserve">melés körkörösebb megközelítése. Európának az olyan forradalmi technológiák révén, mint például a háromdimenziós nyomtatás, a lehető legnagyobb mértékben ki kell aknáznia a </w:t>
      </w:r>
      <w:r>
        <w:rPr>
          <w:rFonts w:ascii="Times New Roman" w:hAnsi="Times New Roman"/>
          <w:b/>
          <w:noProof/>
          <w:sz w:val="24"/>
          <w:szCs w:val="24"/>
        </w:rPr>
        <w:t>lokalizáció lehetőségét</w:t>
      </w:r>
      <w:r>
        <w:rPr>
          <w:rFonts w:ascii="Times New Roman" w:hAnsi="Times New Roman"/>
          <w:noProof/>
          <w:sz w:val="24"/>
          <w:szCs w:val="24"/>
        </w:rPr>
        <w:t xml:space="preserve"> is annak érdekében, hogy a gyártás egyes ágazatokban minél </w:t>
      </w:r>
      <w:r>
        <w:rPr>
          <w:rFonts w:ascii="Times New Roman" w:hAnsi="Times New Roman"/>
          <w:noProof/>
          <w:sz w:val="24"/>
          <w:szCs w:val="24"/>
        </w:rPr>
        <w:t>inkább visszakerüljön az EU-ba.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Törekvéseink megvalósításához Európának környezetbarátabb és digitalizáltabb, ugyanakkor globális szinten továbbra is versenyképes iparra van szüksége. Csak így lesz képes átalakítani és növekedésnek indítani a hagyományos é</w:t>
      </w:r>
      <w:r>
        <w:rPr>
          <w:rFonts w:ascii="Times New Roman" w:hAnsi="Times New Roman"/>
          <w:noProof/>
          <w:sz w:val="24"/>
          <w:szCs w:val="24"/>
        </w:rPr>
        <w:t xml:space="preserve">s új iparágakat, támogatni a kkv-kat és </w:t>
      </w:r>
      <w:r>
        <w:rPr>
          <w:rFonts w:ascii="Times New Roman" w:hAnsi="Times New Roman"/>
          <w:b/>
          <w:noProof/>
          <w:sz w:val="24"/>
          <w:szCs w:val="24"/>
        </w:rPr>
        <w:lastRenderedPageBreak/>
        <w:t>előmozdítani versenyképes fenntarthatóságunkat</w:t>
      </w:r>
      <w:r>
        <w:rPr>
          <w:rFonts w:ascii="Times New Roman" w:hAnsi="Times New Roman"/>
          <w:noProof/>
          <w:sz w:val="24"/>
          <w:szCs w:val="24"/>
        </w:rPr>
        <w:t xml:space="preserve"> az egész EU-ban. Ez a szolgáltatások esetében éppolyan fontos, mint az áruk tekintetében.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gazdasági növekedés az európai szociális piacgazdaságnak köszönhetően jobb sz</w:t>
      </w:r>
      <w:r>
        <w:rPr>
          <w:rFonts w:ascii="Times New Roman" w:hAnsi="Times New Roman"/>
          <w:noProof/>
          <w:sz w:val="24"/>
          <w:szCs w:val="24"/>
        </w:rPr>
        <w:t xml:space="preserve">ociális feltételeket, magasabb életszínvonalat és jó munkakörülményeket von maga után. E téren továbbra is </w:t>
      </w:r>
      <w:r>
        <w:rPr>
          <w:rFonts w:ascii="Times New Roman" w:hAnsi="Times New Roman"/>
          <w:b/>
          <w:bCs/>
          <w:noProof/>
          <w:sz w:val="24"/>
          <w:szCs w:val="24"/>
        </w:rPr>
        <w:t>a szociális jogok európai pillérére</w:t>
      </w:r>
      <w:r>
        <w:rPr>
          <w:rFonts w:ascii="Times New Roman" w:hAnsi="Times New Roman"/>
          <w:noProof/>
          <w:sz w:val="24"/>
          <w:szCs w:val="24"/>
        </w:rPr>
        <w:t xml:space="preserve"> tekintünk iránytűként, amely biztosítja a kettős átállás kapcsán a társadalmi igazságosságot.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Európa erős, innova</w:t>
      </w:r>
      <w:r>
        <w:rPr>
          <w:rFonts w:ascii="Times New Roman" w:hAnsi="Times New Roman"/>
          <w:noProof/>
          <w:sz w:val="24"/>
          <w:szCs w:val="24"/>
        </w:rPr>
        <w:t>tív és integrált iparával alkalmas arra, hogy globális szinten vezető szerepet töltsön be.</w:t>
      </w:r>
    </w:p>
    <w:p w:rsidR="00581FBB" w:rsidRDefault="000A6010" w:rsidP="000A6010">
      <w:pPr>
        <w:jc w:val="both"/>
        <w:rPr>
          <w:rFonts w:ascii="Times New Roman" w:hAnsi="Times New Roman" w:cs="Times New Roman"/>
          <w:i/>
          <w:noProof/>
          <w:sz w:val="24"/>
          <w:szCs w:val="24"/>
        </w:rPr>
      </w:pPr>
      <w:r>
        <w:rPr>
          <w:rFonts w:ascii="Times New Roman" w:hAnsi="Times New Roman"/>
          <w:i/>
          <w:noProof/>
          <w:sz w:val="24"/>
          <w:szCs w:val="24"/>
        </w:rPr>
        <w:t>2.1. Globálisan versenyképes és a világban vezető szerepet betöltő ipar</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folyamatosan megújuló és változó geopolitikai realitások jelentős mértékben befolyásolják a</w:t>
      </w:r>
      <w:r>
        <w:rPr>
          <w:rFonts w:ascii="Times New Roman" w:hAnsi="Times New Roman"/>
          <w:noProof/>
          <w:sz w:val="24"/>
          <w:szCs w:val="24"/>
        </w:rPr>
        <w:t>z európai ipart. Nő a globális verseny és a protekcionizmus, torzulnak a piacok, egyre többször támad kereskedelmi feszültség és egyre sűrűbben fenyegetik kihívások a szabályokon alapuló rendszert. Új hatalmak és új versenytársak jelennek meg. A korábbi pa</w:t>
      </w:r>
      <w:r>
        <w:rPr>
          <w:rFonts w:ascii="Times New Roman" w:hAnsi="Times New Roman"/>
          <w:noProof/>
          <w:sz w:val="24"/>
          <w:szCs w:val="24"/>
        </w:rPr>
        <w:t>rtnerek is új utakat választanak. Miközben tért hódít a globális gazdasági bizonytalanság, ezek a tendenciák új kihívásokat támasztanak az ökológiai és digitális kettős átállás útjára lépő európai ipar számára.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Ezekre a nehézségekre Európa válaszlépése nem</w:t>
      </w:r>
      <w:r>
        <w:rPr>
          <w:rFonts w:ascii="Times New Roman" w:hAnsi="Times New Roman"/>
          <w:noProof/>
          <w:sz w:val="24"/>
          <w:szCs w:val="24"/>
        </w:rPr>
        <w:t xml:space="preserve"> lehet az, hogy újabb akadályokat épít, szárnya alá veszi a versenyképtelen iparágakat vagy másokat utánozva maga is protekcionista és versenytorzító politikába fog. </w:t>
      </w:r>
      <w:r>
        <w:rPr>
          <w:rFonts w:ascii="Times New Roman" w:hAnsi="Times New Roman"/>
          <w:b/>
          <w:noProof/>
          <w:sz w:val="24"/>
          <w:szCs w:val="24"/>
        </w:rPr>
        <w:t>Ahhoz, hogy versenyképesek legyünk, versenyre van szükségünk – idehaza csakúgy, mind a vil</w:t>
      </w:r>
      <w:r>
        <w:rPr>
          <w:rFonts w:ascii="Times New Roman" w:hAnsi="Times New Roman"/>
          <w:b/>
          <w:noProof/>
          <w:sz w:val="24"/>
          <w:szCs w:val="24"/>
        </w:rPr>
        <w:t>ág más részein.</w:t>
      </w:r>
      <w:r>
        <w:rPr>
          <w:rFonts w:ascii="Times New Roman" w:hAnsi="Times New Roman"/>
          <w:noProof/>
          <w:sz w:val="24"/>
          <w:szCs w:val="24"/>
        </w:rPr>
        <w:t xml:space="preserve"> Ahhoz, hogy a vállalkozók tettekre válthassák elképzeléseiket és a vállalkozások méretüktől függetlenül fellendülhessenek és növekedhessenek, megfelelő feltételekre van szükségünk.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EU-nak ugyanakkor képesnek kell lennie arra, hogy gazdasági és diplomáciai eszközeivel erősítse külföldi stratégiai érdekeit. </w:t>
      </w:r>
      <w:r>
        <w:rPr>
          <w:rFonts w:ascii="Times New Roman" w:hAnsi="Times New Roman"/>
          <w:b/>
          <w:noProof/>
          <w:sz w:val="24"/>
          <w:szCs w:val="24"/>
        </w:rPr>
        <w:t>Az EU-nak latba kell vetnie az egységes piac erejét, méretét és integráltságát</w:t>
      </w:r>
      <w:r>
        <w:rPr>
          <w:rFonts w:ascii="Times New Roman" w:hAnsi="Times New Roman"/>
          <w:noProof/>
          <w:sz w:val="24"/>
          <w:szCs w:val="24"/>
        </w:rPr>
        <w:t xml:space="preserve"> annak érdekében, hogy globális szinten szabhasso</w:t>
      </w:r>
      <w:r>
        <w:rPr>
          <w:rFonts w:ascii="Times New Roman" w:hAnsi="Times New Roman"/>
          <w:noProof/>
          <w:sz w:val="24"/>
          <w:szCs w:val="24"/>
        </w:rPr>
        <w:t>n meg normákat. Ha képesek vagyunk olyan magas színvonalú globális szabványok kidolgozására, amelyek magukon viselik Európa értékeit és elveit, azzal stratégiai autonómiánk és ipari versenyképességünk is erősödik.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Európa továbbra is szabad és tisztességes </w:t>
      </w:r>
      <w:r>
        <w:rPr>
          <w:rFonts w:ascii="Times New Roman" w:hAnsi="Times New Roman"/>
          <w:noProof/>
          <w:sz w:val="24"/>
          <w:szCs w:val="24"/>
        </w:rPr>
        <w:t>kereskedelmet kíván folytatni a világ bármely táján működő partnereivel. A nyitott piacok és az egyenlő versenyfeltételek biztosításához elengedhetetlen a szabályokon alapuló multilaterális kereskedelmi rendszer megőrzése és a Kereskedelmi Világszervezet s</w:t>
      </w:r>
      <w:r>
        <w:rPr>
          <w:rFonts w:ascii="Times New Roman" w:hAnsi="Times New Roman"/>
          <w:noProof/>
          <w:sz w:val="24"/>
          <w:szCs w:val="24"/>
        </w:rPr>
        <w:t xml:space="preserve">zerepének tiszteletben tartása. Az EU a jövőben is folytatni fogja a világkereskedelmi rendszer </w:t>
      </w:r>
      <w:r>
        <w:rPr>
          <w:rFonts w:ascii="Times New Roman" w:hAnsi="Times New Roman"/>
          <w:b/>
          <w:noProof/>
          <w:sz w:val="24"/>
          <w:szCs w:val="24"/>
        </w:rPr>
        <w:t>fenntartására, korszerűsítésére és továbbfejlesztésére</w:t>
      </w:r>
      <w:r>
        <w:rPr>
          <w:rFonts w:ascii="Times New Roman" w:hAnsi="Times New Roman"/>
          <w:noProof/>
          <w:sz w:val="24"/>
          <w:szCs w:val="24"/>
        </w:rPr>
        <w:t xml:space="preserve"> irányuló erőfeszítéseit annak érdekében, hogy ez a rendszer alkalmas legyen napjaink kihívásainak és a jö</w:t>
      </w:r>
      <w:r>
        <w:rPr>
          <w:rFonts w:ascii="Times New Roman" w:hAnsi="Times New Roman"/>
          <w:noProof/>
          <w:sz w:val="24"/>
          <w:szCs w:val="24"/>
        </w:rPr>
        <w:t>vő realitásainak kezelésére.</w:t>
      </w:r>
    </w:p>
    <w:p w:rsidR="00581FBB" w:rsidRDefault="000A6010" w:rsidP="000A6010">
      <w:pPr>
        <w:spacing w:line="240" w:lineRule="auto"/>
        <w:jc w:val="both"/>
        <w:rPr>
          <w:rFonts w:ascii="Times New Roman" w:hAnsi="Times New Roman" w:cs="Times New Roman"/>
          <w:i/>
          <w:noProof/>
          <w:sz w:val="24"/>
          <w:szCs w:val="24"/>
        </w:rPr>
      </w:pPr>
      <w:r>
        <w:rPr>
          <w:rFonts w:ascii="Times New Roman" w:hAnsi="Times New Roman"/>
          <w:i/>
          <w:noProof/>
          <w:sz w:val="24"/>
          <w:szCs w:val="24"/>
        </w:rPr>
        <w:t>2.2. A klímasemlegességet elősegítő ipar</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Európa új növekedési stratégiáját az európai zöld megállapodás határozza meg. E stratégia központi eleme az a célkitűzés, hogy Európa 2050-re a világ első klímasemleges kontinensévé kívá</w:t>
      </w:r>
      <w:r>
        <w:rPr>
          <w:rFonts w:ascii="Times New Roman" w:hAnsi="Times New Roman"/>
          <w:noProof/>
          <w:sz w:val="24"/>
          <w:szCs w:val="24"/>
        </w:rPr>
        <w:t>n válni.</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Korunk legnagyobb kihívásáról és egyben lehetőségéről van szó, és ebben az iparnak vezető szerepet kell betöltenie. </w:t>
      </w:r>
      <w:r>
        <w:rPr>
          <w:rFonts w:ascii="Times New Roman" w:hAnsi="Times New Roman"/>
          <w:b/>
          <w:noProof/>
          <w:sz w:val="24"/>
          <w:szCs w:val="24"/>
        </w:rPr>
        <w:t>A folyamatban kulcsszerepe van minden ipari értékláncnak, beleértve az energiaigényes ágazatokat is.</w:t>
      </w:r>
      <w:r>
        <w:rPr>
          <w:rFonts w:ascii="Times New Roman" w:hAnsi="Times New Roman"/>
          <w:noProof/>
          <w:sz w:val="24"/>
          <w:szCs w:val="24"/>
        </w:rPr>
        <w:t xml:space="preserve"> Ezek mindegyikének törekednie </w:t>
      </w:r>
      <w:r>
        <w:rPr>
          <w:rFonts w:ascii="Times New Roman" w:hAnsi="Times New Roman"/>
          <w:noProof/>
          <w:sz w:val="24"/>
          <w:szCs w:val="24"/>
        </w:rPr>
        <w:t>kell saját szénlábnyoma csökkentésére, és az átállást megfizethető, tiszta technológiai megoldások biztosításával és új üzleti modellek kidolgozásával kell gyorsítania.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ipar versenyképesebbé, környezetbarátabbá és körforgásosabbá tételéhez </w:t>
      </w:r>
      <w:r>
        <w:rPr>
          <w:rFonts w:ascii="Times New Roman" w:hAnsi="Times New Roman"/>
          <w:b/>
          <w:noProof/>
          <w:sz w:val="24"/>
          <w:szCs w:val="24"/>
        </w:rPr>
        <w:t xml:space="preserve">biztonságos, </w:t>
      </w:r>
      <w:r>
        <w:rPr>
          <w:rFonts w:ascii="Times New Roman" w:hAnsi="Times New Roman"/>
          <w:b/>
          <w:noProof/>
          <w:sz w:val="24"/>
          <w:szCs w:val="24"/>
        </w:rPr>
        <w:t>tiszta és megfizethető energia- és nyersanyagellátásra lesz szükség</w:t>
      </w:r>
      <w:r>
        <w:rPr>
          <w:rFonts w:ascii="Times New Roman" w:hAnsi="Times New Roman"/>
          <w:noProof/>
          <w:sz w:val="24"/>
          <w:szCs w:val="24"/>
        </w:rPr>
        <w:t>. A kutatásra, innovációra, kiépítésre és korszerű infrastruktúrára irányuló beruházások bővítése elősegíti az új termelési folyamatok kialakítását, miközben munkahelyeket teremt.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uniós </w:t>
      </w:r>
      <w:r>
        <w:rPr>
          <w:rFonts w:ascii="Times New Roman" w:hAnsi="Times New Roman"/>
          <w:noProof/>
          <w:sz w:val="24"/>
          <w:szCs w:val="24"/>
        </w:rPr>
        <w:t xml:space="preserve">intézményeknek, a tagállamoknak, a régióknak, az iparnak és a többi érintett szereplőnek a stratégia vállalkozói szellemét követve kell együttműködniük annak érdekében, hogy </w:t>
      </w:r>
      <w:r>
        <w:rPr>
          <w:rFonts w:ascii="Times New Roman" w:hAnsi="Times New Roman"/>
          <w:b/>
          <w:noProof/>
          <w:sz w:val="24"/>
          <w:szCs w:val="24"/>
        </w:rPr>
        <w:t>vezető piacokat hozzanak létre a tiszta technológiák terén</w:t>
      </w:r>
      <w:r>
        <w:rPr>
          <w:rFonts w:ascii="Times New Roman" w:hAnsi="Times New Roman"/>
          <w:noProof/>
          <w:sz w:val="24"/>
          <w:szCs w:val="24"/>
        </w:rPr>
        <w:t>, és biztosítsák iparunk</w:t>
      </w:r>
      <w:r>
        <w:rPr>
          <w:rFonts w:ascii="Times New Roman" w:hAnsi="Times New Roman"/>
          <w:noProof/>
          <w:sz w:val="24"/>
          <w:szCs w:val="24"/>
        </w:rPr>
        <w:t xml:space="preserve"> globális vezető szerepét. Ehhez elengedhetetlen a szabályozási politikai és közbeszerzési eszközök bevetése, a tisztességes verseny biztosítása és a kkv-k teljes körű bevonása.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Ezeket az erőfeszítéseket az uniós és a nemzeti szintű szakpolitikáknak és pén</w:t>
      </w:r>
      <w:r>
        <w:rPr>
          <w:rFonts w:ascii="Times New Roman" w:hAnsi="Times New Roman"/>
          <w:noProof/>
          <w:sz w:val="24"/>
          <w:szCs w:val="24"/>
        </w:rPr>
        <w:t>zügyi eszközöknek, valamint a magánszektor szereplőinek is támogatniuk kell. Aki elsőként lép és a leggyorsabban cselekszik, az fog nagyobb versenyelőnyre szert tenni.</w:t>
      </w:r>
    </w:p>
    <w:p w:rsidR="00581FBB" w:rsidRDefault="000A6010" w:rsidP="000A6010">
      <w:pPr>
        <w:pStyle w:val="ListParagraph"/>
        <w:numPr>
          <w:ilvl w:val="1"/>
          <w:numId w:val="2"/>
        </w:numPr>
        <w:ind w:left="426"/>
        <w:jc w:val="both"/>
        <w:rPr>
          <w:rFonts w:ascii="Times New Roman" w:hAnsi="Times New Roman" w:cs="Times New Roman"/>
          <w:i/>
          <w:noProof/>
          <w:sz w:val="24"/>
          <w:szCs w:val="24"/>
        </w:rPr>
      </w:pPr>
      <w:bookmarkStart w:id="1" w:name="_GoBack"/>
      <w:r>
        <w:rPr>
          <w:rFonts w:ascii="Times New Roman" w:hAnsi="Times New Roman"/>
          <w:i/>
          <w:noProof/>
          <w:sz w:val="24"/>
          <w:szCs w:val="24"/>
        </w:rPr>
        <w:t>Az Európa digitális jövőjét alakító ipar</w:t>
      </w:r>
    </w:p>
    <w:bookmarkEnd w:id="1"/>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digitális technológiák átalakítják iparunk ar</w:t>
      </w:r>
      <w:r>
        <w:rPr>
          <w:rFonts w:ascii="Times New Roman" w:hAnsi="Times New Roman"/>
          <w:noProof/>
          <w:sz w:val="24"/>
          <w:szCs w:val="24"/>
        </w:rPr>
        <w:t>culatát és üzleti szokásainkat. Új üzleti modelleket hoznak létre, termelékenyebbé teszik az ipart, új készségekkel ruházzák fel a munkavállalókat, és elősegítik gazdaságunk dekarbonizációját. A digitális ágazat hozzá fog járulni az európai zöld megállapod</w:t>
      </w:r>
      <w:r>
        <w:rPr>
          <w:rFonts w:ascii="Times New Roman" w:hAnsi="Times New Roman"/>
          <w:noProof/>
          <w:sz w:val="24"/>
          <w:szCs w:val="24"/>
        </w:rPr>
        <w:t>ás megvalósításához is: egyrészt a tiszta technológiai megoldások forrásaként, másrészt saját szénlábnyomának csökkentése révén.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az </w:t>
      </w:r>
      <w:r>
        <w:rPr>
          <w:rFonts w:ascii="Times New Roman" w:hAnsi="Times New Roman"/>
          <w:i/>
          <w:noProof/>
          <w:sz w:val="24"/>
          <w:szCs w:val="24"/>
        </w:rPr>
        <w:t>„Európa digitális jövőjének megtervezése”</w:t>
      </w:r>
      <w:r>
        <w:rPr>
          <w:rFonts w:ascii="Times New Roman" w:hAnsi="Times New Roman"/>
          <w:noProof/>
          <w:sz w:val="24"/>
          <w:szCs w:val="24"/>
        </w:rPr>
        <w:t xml:space="preserve"> című stratégiában felvázolta elképzeléseit arról, miként őrizheti meg </w:t>
      </w:r>
      <w:r>
        <w:rPr>
          <w:rFonts w:ascii="Times New Roman" w:hAnsi="Times New Roman"/>
          <w:noProof/>
          <w:sz w:val="24"/>
          <w:szCs w:val="24"/>
        </w:rPr>
        <w:t xml:space="preserve">Európa technológiai és digitális szuverenitását és tölthet be globális vezető szerepet a digitális ágazatban. Mivel </w:t>
      </w:r>
      <w:r>
        <w:rPr>
          <w:rFonts w:ascii="Times New Roman" w:hAnsi="Times New Roman"/>
          <w:b/>
          <w:noProof/>
          <w:sz w:val="24"/>
          <w:szCs w:val="24"/>
        </w:rPr>
        <w:t>a digitalizált gazdaságban kulcsszerepet tölt be a méretezhetőség</w:t>
      </w:r>
      <w:r>
        <w:rPr>
          <w:rFonts w:ascii="Times New Roman" w:hAnsi="Times New Roman"/>
          <w:noProof/>
          <w:sz w:val="24"/>
          <w:szCs w:val="24"/>
        </w:rPr>
        <w:t>, az európai átállás fontos kiindulópontja lesz a digitális egységes piac m</w:t>
      </w:r>
      <w:r>
        <w:rPr>
          <w:rFonts w:ascii="Times New Roman" w:hAnsi="Times New Roman"/>
          <w:noProof/>
          <w:sz w:val="24"/>
          <w:szCs w:val="24"/>
        </w:rPr>
        <w:t>egerősítése.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Európának továbbá fel kell gyorsítania a kutatásra és a technológia kiépítésére irányuló beruházásokat az olyan területeken, mint a mesterséges intelligencia, az 5G hálózatok, az adatelemzés és a metaadat-elemzés. 2018-ban csak mintegy minden </w:t>
      </w:r>
      <w:r>
        <w:rPr>
          <w:rFonts w:ascii="Times New Roman" w:hAnsi="Times New Roman"/>
          <w:noProof/>
          <w:sz w:val="24"/>
          <w:szCs w:val="24"/>
        </w:rPr>
        <w:t>tizedik uniós vállalkozás elemzett nagy adathalmazokat, és csak minden negyedik használt számításifelhő-szolgáltatást.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Amint azt a Bizottság nemrégiben közzétett </w:t>
      </w:r>
      <w:r>
        <w:rPr>
          <w:rFonts w:ascii="Times New Roman" w:hAnsi="Times New Roman"/>
          <w:i/>
          <w:iCs/>
          <w:noProof/>
          <w:sz w:val="24"/>
          <w:szCs w:val="24"/>
        </w:rPr>
        <w:t>európai adatstratégiájában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is megfogalmazta, Európának olyan keretrendszerre van szüksége, am</w:t>
      </w:r>
      <w:r>
        <w:rPr>
          <w:rFonts w:ascii="Times New Roman" w:hAnsi="Times New Roman"/>
          <w:noProof/>
          <w:sz w:val="24"/>
          <w:szCs w:val="24"/>
        </w:rPr>
        <w:t>ely lehetővé teszi, hogy a vállalkozások termékeik javítása és a nemzetközi versenyben való helytállás érdekében oly módon hozzanak létre, gyűjtsenek és használjanak fel adatokat, hogy ennek során tiszteletben tartsák értékeinket, valamint mindenki jogát é</w:t>
      </w:r>
      <w:r>
        <w:rPr>
          <w:rFonts w:ascii="Times New Roman" w:hAnsi="Times New Roman"/>
          <w:noProof/>
          <w:sz w:val="24"/>
          <w:szCs w:val="24"/>
        </w:rPr>
        <w:t>s magánéletét.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EU-nak </w:t>
      </w:r>
      <w:r>
        <w:rPr>
          <w:rFonts w:ascii="Times New Roman" w:hAnsi="Times New Roman"/>
          <w:b/>
          <w:noProof/>
          <w:sz w:val="24"/>
          <w:szCs w:val="24"/>
        </w:rPr>
        <w:t>bővítenie kell a kritikus digitális infrastruktúrákra irányuló ipari kapacitását is</w:t>
      </w:r>
      <w:r>
        <w:rPr>
          <w:rFonts w:ascii="Times New Roman" w:hAnsi="Times New Roman"/>
          <w:noProof/>
          <w:sz w:val="24"/>
          <w:szCs w:val="24"/>
        </w:rPr>
        <w:t>. A jövőbeli digitális szolgáltatások egyik záloga a rendkívül biztonságos és korszerű 5G hálózat sikeres kiépítése lesz, amely elengedhetetlen az i</w:t>
      </w:r>
      <w:r>
        <w:rPr>
          <w:rFonts w:ascii="Times New Roman" w:hAnsi="Times New Roman"/>
          <w:noProof/>
          <w:sz w:val="24"/>
          <w:szCs w:val="24"/>
        </w:rPr>
        <w:t>pari adathullám biztosításához. Ha Európa élen akar járni a 6G hálózatok terén, most kell beruháznia.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iparstratégia vállalkozói szellemének jegyében </w:t>
      </w:r>
      <w:r>
        <w:rPr>
          <w:rFonts w:ascii="Times New Roman" w:hAnsi="Times New Roman"/>
          <w:b/>
          <w:noProof/>
          <w:sz w:val="24"/>
          <w:szCs w:val="24"/>
        </w:rPr>
        <w:t>Európának egyesítenie kell erejét, hogy együttesen elérhesse azt, amire külön-külön nem lenne képes</w:t>
      </w:r>
      <w:r>
        <w:rPr>
          <w:rFonts w:ascii="Times New Roman" w:hAnsi="Times New Roman"/>
          <w:noProof/>
          <w:sz w:val="24"/>
          <w:szCs w:val="24"/>
        </w:rPr>
        <w:t xml:space="preserve">. A </w:t>
      </w:r>
      <w:r>
        <w:rPr>
          <w:rFonts w:ascii="Times New Roman" w:hAnsi="Times New Roman"/>
          <w:noProof/>
          <w:sz w:val="24"/>
          <w:szCs w:val="24"/>
        </w:rPr>
        <w:t>közelmúltban számos példa volt rá, mekkora potenciált és értéket hordoz ez a megközelítés. A világ három leggyorsabb szuperszámítógépe közül egy már Európában működik, és a mikroelektronika terén tapasztalt lefelé ívelő tendencia megfordult.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Minden adott a</w:t>
      </w:r>
      <w:r>
        <w:rPr>
          <w:rFonts w:ascii="Times New Roman" w:hAnsi="Times New Roman"/>
          <w:noProof/>
          <w:sz w:val="24"/>
          <w:szCs w:val="24"/>
        </w:rPr>
        <w:t>hhoz, hogy Európa az új technológiai verseny élére álljon. Ennek során arra kell alapoznia, ami az erőssége: többek között szilárd iparára, magas színvonalú kutatására, szakképzett munkaerejére, az induló vállalkozásokat támogató lendületes környezetére, k</w:t>
      </w:r>
      <w:r>
        <w:rPr>
          <w:rFonts w:ascii="Times New Roman" w:hAnsi="Times New Roman"/>
          <w:noProof/>
          <w:sz w:val="24"/>
          <w:szCs w:val="24"/>
        </w:rPr>
        <w:t>iforrott infrastruktúrájára és az ipari adatok felhasználásában betöltött vezető szerepére.</w:t>
      </w:r>
    </w:p>
    <w:p w:rsidR="00581FBB" w:rsidRDefault="000A6010">
      <w:pPr>
        <w:pStyle w:val="Heading1"/>
        <w:rPr>
          <w:noProof/>
        </w:rPr>
      </w:pPr>
      <w:r>
        <w:rPr>
          <w:noProof/>
        </w:rPr>
        <w:t>Európa ipari átalakulásának alapelemei</w:t>
      </w:r>
    </w:p>
    <w:p w:rsidR="00581FBB" w:rsidRDefault="000A6010">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 xml:space="preserve">A fent bemutatott három tényező jól mutatja, hogy Európa hatalmas átalakulásnak néz elébe. Egy-egy iparág és a hozzá tartozó </w:t>
      </w:r>
      <w:r>
        <w:rPr>
          <w:rFonts w:ascii="Times New Roman" w:hAnsi="Times New Roman"/>
          <w:noProof/>
          <w:sz w:val="24"/>
          <w:szCs w:val="24"/>
          <w:u w:color="000000"/>
          <w:bdr w:val="nil"/>
        </w:rPr>
        <w:t>értékláncok átalakítása egy emberöltőt is igénybe vehet. A jelenlegi dinamikus versenykörnyezetben azonban nincs vesztegetnivaló időnk. Az elkövetkező öt év döntő fontosságú lesz az átállás megfelelő feltételeinek megteremtése szempontjából.</w:t>
      </w:r>
    </w:p>
    <w:p w:rsidR="00581FBB" w:rsidRDefault="00581FBB">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581FBB" w:rsidRDefault="000A6010">
      <w:pPr>
        <w:pBdr>
          <w:top w:val="nil"/>
          <w:left w:val="nil"/>
          <w:bottom w:val="nil"/>
          <w:right w:val="nil"/>
          <w:between w:val="nil"/>
          <w:bar w:val="nil"/>
        </w:pBdr>
        <w:spacing w:after="0" w:line="240" w:lineRule="auto"/>
        <w:jc w:val="both"/>
        <w:rPr>
          <w:rFonts w:ascii="Times New Roman" w:hAnsi="Times New Roman"/>
          <w:noProof/>
          <w:sz w:val="24"/>
          <w:szCs w:val="24"/>
          <w:u w:color="000000"/>
          <w:bdr w:val="nil"/>
        </w:rPr>
      </w:pPr>
      <w:r>
        <w:rPr>
          <w:rFonts w:ascii="Times New Roman" w:hAnsi="Times New Roman"/>
          <w:noProof/>
          <w:sz w:val="24"/>
          <w:szCs w:val="24"/>
          <w:u w:color="000000"/>
          <w:bdr w:val="nil"/>
        </w:rPr>
        <w:t>Ez a stratégi</w:t>
      </w:r>
      <w:r>
        <w:rPr>
          <w:rFonts w:ascii="Times New Roman" w:hAnsi="Times New Roman"/>
          <w:noProof/>
          <w:sz w:val="24"/>
          <w:szCs w:val="24"/>
          <w:u w:color="000000"/>
          <w:bdr w:val="nil"/>
        </w:rPr>
        <w:t>a azokon az alapelemeken nyugszik, amelyek nélkülözhetetlenek Európa ipari átalakulása szempontjából. Ezek némelyike nem más, mint a már meglévő megközelítések megújítása vagy kibővítése az innováció, a beruházások, a szabványok vagy az egyenlő versenyfelt</w:t>
      </w:r>
      <w:r>
        <w:rPr>
          <w:rFonts w:ascii="Times New Roman" w:hAnsi="Times New Roman"/>
          <w:noProof/>
          <w:sz w:val="24"/>
          <w:szCs w:val="24"/>
          <w:u w:color="000000"/>
          <w:bdr w:val="nil"/>
        </w:rPr>
        <w:t>ételek területén. Más elemek azért kerültek bele, mert Európának új munkamódszerekre van szüksége ahhoz, hogy felvértezze iparát az átalakulás korában, legyen szó akár a készségekről, akár a körforgásosságról.</w:t>
      </w:r>
    </w:p>
    <w:p w:rsidR="00581FBB" w:rsidRDefault="00581FBB">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581FBB" w:rsidRDefault="000A6010">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Ezek az alapelemek azt mutatják, hogy nem lét</w:t>
      </w:r>
      <w:r>
        <w:rPr>
          <w:rFonts w:ascii="Times New Roman" w:hAnsi="Times New Roman"/>
          <w:noProof/>
          <w:sz w:val="24"/>
          <w:szCs w:val="24"/>
          <w:u w:color="000000"/>
          <w:bdr w:val="nil"/>
        </w:rPr>
        <w:t>ezik csodafegyver és önálló megoldás – minden elem egymáshoz kapcsolódik és kölcsönösen erősíti egymást. Ugyanakkor azt is mutatják, hogy bár sokat lehet tenni európai szinten a kiszámíthatóságért, számos tényező mások kezében van. Ezért elengedhetetlen, h</w:t>
      </w:r>
      <w:r>
        <w:rPr>
          <w:rFonts w:ascii="Times New Roman" w:hAnsi="Times New Roman"/>
          <w:noProof/>
          <w:sz w:val="24"/>
          <w:szCs w:val="24"/>
          <w:u w:color="000000"/>
          <w:bdr w:val="nil"/>
        </w:rPr>
        <w:t>ogy partnerségen alapuló megközelítést alkalmazzunk.</w:t>
      </w:r>
    </w:p>
    <w:p w:rsidR="00581FBB" w:rsidRDefault="00581FBB">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581FBB" w:rsidRDefault="000A6010">
      <w:pPr>
        <w:jc w:val="both"/>
        <w:rPr>
          <w:rFonts w:ascii="Times New Roman" w:hAnsi="Times New Roman" w:cs="Times New Roman"/>
          <w:i/>
          <w:noProof/>
          <w:sz w:val="24"/>
          <w:szCs w:val="24"/>
        </w:rPr>
      </w:pPr>
      <w:r>
        <w:rPr>
          <w:rFonts w:ascii="Times New Roman" w:hAnsi="Times New Roman"/>
          <w:i/>
          <w:noProof/>
          <w:sz w:val="24"/>
          <w:szCs w:val="24"/>
        </w:rPr>
        <w:t>3.1. A kiszámíthatóság megteremtése az ipar számára: mélyebb és digitálisabb egységes piac</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Egyedülálló egységes piacunkat az uniós vállalkozások ugródeszkaként használhatják a globális versenyben. A köz</w:t>
      </w:r>
      <w:r>
        <w:rPr>
          <w:rFonts w:ascii="Times New Roman" w:hAnsi="Times New Roman"/>
          <w:noProof/>
          <w:sz w:val="24"/>
          <w:szCs w:val="24"/>
        </w:rPr>
        <w:t>ös szabályozási térséget és léptéket biztosító egységes piac a versenyképesség egyik mozgatórugója, amely elősegíti a különböző méretű vállalkozások európai és globális értékláncokba történő integrációját.</w:t>
      </w:r>
    </w:p>
    <w:p w:rsidR="00581FBB" w:rsidRDefault="000A6010">
      <w:pPr>
        <w:spacing w:line="240" w:lineRule="auto"/>
        <w:jc w:val="both"/>
        <w:rPr>
          <w:rFonts w:ascii="Times New Roman" w:hAnsi="Times New Roman" w:cs="Times New Roman"/>
          <w:b/>
          <w:noProof/>
          <w:sz w:val="24"/>
          <w:szCs w:val="24"/>
        </w:rPr>
      </w:pPr>
      <w:r>
        <w:rPr>
          <w:rFonts w:ascii="Times New Roman" w:hAnsi="Times New Roman"/>
          <w:noProof/>
          <w:sz w:val="24"/>
          <w:szCs w:val="24"/>
        </w:rPr>
        <w:t>Ahhoz, hogy az egységes piac valóban előmozdíthass</w:t>
      </w:r>
      <w:r>
        <w:rPr>
          <w:rFonts w:ascii="Times New Roman" w:hAnsi="Times New Roman"/>
          <w:noProof/>
          <w:sz w:val="24"/>
          <w:szCs w:val="24"/>
        </w:rPr>
        <w:t xml:space="preserve">a iparunkat, a jogszabályokat minden területen végre kell hajtani és érvényre kell juttatni. Az </w:t>
      </w:r>
      <w:r>
        <w:rPr>
          <w:rFonts w:ascii="Times New Roman" w:hAnsi="Times New Roman"/>
          <w:b/>
          <w:noProof/>
          <w:sz w:val="24"/>
          <w:szCs w:val="24"/>
        </w:rPr>
        <w:t>egységes piaci érvényesítésre vonatkozó</w:t>
      </w:r>
      <w:r>
        <w:rPr>
          <w:rFonts w:ascii="Times New Roman" w:hAnsi="Times New Roman"/>
          <w:noProof/>
          <w:sz w:val="24"/>
          <w:szCs w:val="24"/>
        </w:rPr>
        <w:t xml:space="preserve">, ma elfogadott </w:t>
      </w:r>
      <w:r>
        <w:rPr>
          <w:rFonts w:ascii="Times New Roman" w:hAnsi="Times New Roman"/>
          <w:b/>
          <w:noProof/>
          <w:sz w:val="24"/>
          <w:szCs w:val="24"/>
        </w:rPr>
        <w:t>cselekvési terv</w:t>
      </w:r>
      <w:r>
        <w:rPr>
          <w:rStyle w:val="FootnoteReference"/>
          <w:rFonts w:ascii="Times New Roman" w:hAnsi="Times New Roman" w:cs="Times New Roman"/>
          <w:b/>
          <w:noProof/>
          <w:sz w:val="24"/>
          <w:szCs w:val="24"/>
        </w:rPr>
        <w:footnoteReference w:id="6"/>
      </w:r>
      <w:r>
        <w:rPr>
          <w:rFonts w:ascii="Times New Roman" w:hAnsi="Times New Roman"/>
          <w:noProof/>
          <w:sz w:val="24"/>
          <w:szCs w:val="24"/>
        </w:rPr>
        <w:t xml:space="preserve"> konkrét javaslatokat terjeszt elő az e területen tett közös erőfeszítések megerősítésére</w:t>
      </w:r>
      <w:r>
        <w:rPr>
          <w:rFonts w:ascii="Times New Roman" w:hAnsi="Times New Roman"/>
          <w:noProof/>
          <w:sz w:val="24"/>
          <w:szCs w:val="24"/>
        </w:rPr>
        <w:t>, különös tekintettel az egységes piaci érvényesítési munkacsoport létrehozására.</w:t>
      </w:r>
      <w:r>
        <w:rPr>
          <w:rFonts w:ascii="Times New Roman" w:hAnsi="Times New Roman"/>
          <w:b/>
          <w:noProof/>
          <w:sz w:val="24"/>
          <w:szCs w:val="24"/>
        </w:rPr>
        <w:t xml:space="preserve"> </w:t>
      </w:r>
      <w:r>
        <w:rPr>
          <w:rFonts w:ascii="Times New Roman" w:hAnsi="Times New Roman"/>
          <w:noProof/>
          <w:sz w:val="24"/>
          <w:szCs w:val="24"/>
        </w:rPr>
        <w:t xml:space="preserve">Az </w:t>
      </w:r>
      <w:r>
        <w:rPr>
          <w:rFonts w:ascii="Times New Roman" w:hAnsi="Times New Roman"/>
          <w:b/>
          <w:bCs/>
          <w:noProof/>
          <w:sz w:val="24"/>
          <w:szCs w:val="24"/>
        </w:rPr>
        <w:t>egységes piac akadályairól szóló jelentés</w:t>
      </w:r>
      <w:r>
        <w:rPr>
          <w:rStyle w:val="FootnoteReference"/>
          <w:rFonts w:ascii="Times New Roman" w:hAnsi="Times New Roman" w:cs="Times New Roman"/>
          <w:b/>
          <w:noProof/>
          <w:sz w:val="24"/>
          <w:szCs w:val="24"/>
        </w:rPr>
        <w:footnoteReference w:id="7"/>
      </w:r>
      <w:r>
        <w:rPr>
          <w:rFonts w:ascii="Times New Roman" w:hAnsi="Times New Roman"/>
          <w:noProof/>
          <w:sz w:val="24"/>
          <w:szCs w:val="24"/>
        </w:rPr>
        <w:t xml:space="preserve"> rámutat arra, hogy le kell bontani azokat az akadályokat, amelyekkel a vállalkozások a határokon átnyúló értékesítés és főként szolgáltatásnyújtás során szembesülnek. Az adóharmonizáció fokozása – többek között a közös összevont társaságiadó-alap megvalós</w:t>
      </w:r>
      <w:r>
        <w:rPr>
          <w:rFonts w:ascii="Times New Roman" w:hAnsi="Times New Roman"/>
          <w:noProof/>
          <w:sz w:val="24"/>
          <w:szCs w:val="24"/>
        </w:rPr>
        <w:t>ításával – segíthet felszámolni a határokon átnyúlóan működő vállalkozások előtt álló egyik fő akadályt.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egységes piacra vonatkozó jogszabályokat felül is kell vizsgálni és naprakésszé kell tenni annak érdekében, hogy megfeleljenek a digitális kor követ</w:t>
      </w:r>
      <w:r>
        <w:rPr>
          <w:rFonts w:ascii="Times New Roman" w:hAnsi="Times New Roman"/>
          <w:noProof/>
          <w:sz w:val="24"/>
          <w:szCs w:val="24"/>
        </w:rPr>
        <w:t>elményeinek. Ide tartozik a termékbiztonságra vonatkozó uniós szabályok felülvizsgálata, az európai adatstratégia végrehajtása és a digitális szolgáltatásokról szóló jogszabály elfogadása.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Alapvető fontosságú lesz továbbá a </w:t>
      </w:r>
      <w:r>
        <w:rPr>
          <w:rFonts w:ascii="Times New Roman" w:hAnsi="Times New Roman"/>
          <w:b/>
          <w:noProof/>
          <w:sz w:val="24"/>
          <w:szCs w:val="24"/>
        </w:rPr>
        <w:t>kkv-közi együttműködésre irányul</w:t>
      </w:r>
      <w:r>
        <w:rPr>
          <w:rFonts w:ascii="Times New Roman" w:hAnsi="Times New Roman"/>
          <w:b/>
          <w:noProof/>
          <w:sz w:val="24"/>
          <w:szCs w:val="24"/>
        </w:rPr>
        <w:t>ó megközelítés</w:t>
      </w:r>
      <w:r>
        <w:rPr>
          <w:rFonts w:ascii="Times New Roman" w:hAnsi="Times New Roman"/>
          <w:noProof/>
          <w:sz w:val="24"/>
          <w:szCs w:val="24"/>
        </w:rPr>
        <w:t>. Egyre több fiatal, technológiában jártas kkv működik, ami elősegítheti, hogy a régebbi ipari cégek is a digitális korhoz igazítsák üzleti modelljeiket, és új munkavégzési formákat alakítsanak ki. Ezáltal máris új lehetőségek jönnek létre, é</w:t>
      </w:r>
      <w:r>
        <w:rPr>
          <w:rFonts w:ascii="Times New Roman" w:hAnsi="Times New Roman"/>
          <w:noProof/>
          <w:sz w:val="24"/>
          <w:szCs w:val="24"/>
        </w:rPr>
        <w:t>s az induló vállalkozásokat támogatni kell a platformalapú gazdaság kiépítésében. Az új munkavégzési formák tekintetében azonban korszerű és erősebb védelmi formákra is szükség van, többek között az online platformokon dolgozók számára is.</w:t>
      </w:r>
    </w:p>
    <w:p w:rsidR="00581FBB" w:rsidRDefault="000A601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sz w:val="24"/>
          <w:szCs w:val="24"/>
        </w:rPr>
        <w:t xml:space="preserve">Az egységes piac egyik előfeltétele a szilárd, jól működő </w:t>
      </w:r>
      <w:r>
        <w:rPr>
          <w:rFonts w:ascii="Times New Roman" w:hAnsi="Times New Roman"/>
          <w:b/>
          <w:noProof/>
          <w:sz w:val="24"/>
          <w:szCs w:val="24"/>
        </w:rPr>
        <w:t>szabványosítási és tanúsítási</w:t>
      </w:r>
      <w:r>
        <w:rPr>
          <w:rFonts w:ascii="Times New Roman" w:hAnsi="Times New Roman"/>
          <w:noProof/>
          <w:sz w:val="24"/>
          <w:szCs w:val="24"/>
        </w:rPr>
        <w:t xml:space="preserve"> rendszerek megléte. Ezek hozzájárulnak a piacok növeléséhez és a jogbiztonság megteremtéséhez. Az ipar versenyképességének fokozása szempontjából elengedhetetlen az új </w:t>
      </w:r>
      <w:r>
        <w:rPr>
          <w:rFonts w:ascii="Times New Roman" w:hAnsi="Times New Roman"/>
          <w:noProof/>
          <w:sz w:val="24"/>
          <w:szCs w:val="24"/>
        </w:rPr>
        <w:t>szabványok és műszaki előírások kidolgozása, valamint a nemzetközi szabványügyi testületekben való fokozott uniós részvétel.</w:t>
      </w:r>
    </w:p>
    <w:p w:rsidR="00581FBB" w:rsidRDefault="000A601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Az EU-nak biztosítania kell továbbá, hogy </w:t>
      </w:r>
      <w:r>
        <w:rPr>
          <w:rFonts w:ascii="Times New Roman" w:hAnsi="Times New Roman"/>
          <w:b/>
          <w:noProof/>
          <w:sz w:val="24"/>
          <w:szCs w:val="24"/>
          <w:bdr w:val="nil"/>
        </w:rPr>
        <w:t>szellemi tulajdonnal</w:t>
      </w:r>
      <w:r>
        <w:rPr>
          <w:rFonts w:ascii="Times New Roman" w:hAnsi="Times New Roman"/>
          <w:noProof/>
          <w:sz w:val="24"/>
          <w:szCs w:val="24"/>
          <w:bdr w:val="nil"/>
        </w:rPr>
        <w:t xml:space="preserve"> kapcsolatos politikájával hozzájáruljon Európa technológiai szuveren</w:t>
      </w:r>
      <w:r>
        <w:rPr>
          <w:rFonts w:ascii="Times New Roman" w:hAnsi="Times New Roman"/>
          <w:noProof/>
          <w:sz w:val="24"/>
          <w:szCs w:val="24"/>
          <w:bdr w:val="nil"/>
        </w:rPr>
        <w:t>itásának fenntartásához és megerősítéséhez, valamint a globális szintű egyenlő versenyfeltételek előmozdításához.</w:t>
      </w:r>
      <w:r>
        <w:rPr>
          <w:rFonts w:ascii="Times New Roman" w:hAnsi="Times New Roman"/>
          <w:noProof/>
          <w:sz w:val="24"/>
          <w:szCs w:val="24"/>
          <w:u w:color="000000"/>
          <w:bdr w:val="nil"/>
        </w:rPr>
        <w:t xml:space="preserve"> Az európai vállalkozások piaci értékének és versenyképességének meghatározásában fontos szerepet játszik a szellemi tulajdon. Olyan immateriál</w:t>
      </w:r>
      <w:r>
        <w:rPr>
          <w:rFonts w:ascii="Times New Roman" w:hAnsi="Times New Roman"/>
          <w:noProof/>
          <w:sz w:val="24"/>
          <w:szCs w:val="24"/>
          <w:u w:color="000000"/>
          <w:bdr w:val="nil"/>
        </w:rPr>
        <w:t>is javakról van szó, mint a márka, a formatervezési minta, a szabadalom, az adat, a know-how és az algoritmus. A szellemi tulajdonnal kapcsolatos intelligens politikák elengedhetetlenek ahhoz, hogy a vállalkozások növekedhessenek, munkahelyeket teremthesse</w:t>
      </w:r>
      <w:r>
        <w:rPr>
          <w:rFonts w:ascii="Times New Roman" w:hAnsi="Times New Roman"/>
          <w:noProof/>
          <w:sz w:val="24"/>
          <w:szCs w:val="24"/>
          <w:u w:color="000000"/>
          <w:bdr w:val="nil"/>
        </w:rPr>
        <w:t>nek, valamint megvédhessék és továbbfejleszthessék azt, ami egyedivé és versenyképessé teszi őket.</w:t>
      </w:r>
    </w:p>
    <w:p w:rsidR="00581FBB" w:rsidRDefault="000A601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Nagyon fontos a </w:t>
      </w:r>
      <w:r>
        <w:rPr>
          <w:rFonts w:ascii="Times New Roman" w:hAnsi="Times New Roman"/>
          <w:b/>
          <w:bCs/>
          <w:noProof/>
          <w:sz w:val="24"/>
          <w:szCs w:val="24"/>
          <w:bdr w:val="nil"/>
        </w:rPr>
        <w:t>független uniós versenypolitika</w:t>
      </w:r>
      <w:r>
        <w:rPr>
          <w:rFonts w:ascii="Times New Roman" w:hAnsi="Times New Roman"/>
          <w:noProof/>
          <w:sz w:val="24"/>
          <w:szCs w:val="24"/>
          <w:bdr w:val="nil"/>
        </w:rPr>
        <w:t xml:space="preserve"> is, amely jó szolgálatot tesz Európának az egyenlő versenyfeltételek megteremtésével, az innováció ösztönzésével és a fogyasztói választék bővítésével. A verseny a legjobbat hozza ki vállalkozásainkból, és lehetővé teszi, hogy globális szinten is versenyk</w:t>
      </w:r>
      <w:r>
        <w:rPr>
          <w:rFonts w:ascii="Times New Roman" w:hAnsi="Times New Roman"/>
          <w:noProof/>
          <w:sz w:val="24"/>
          <w:szCs w:val="24"/>
          <w:bdr w:val="nil"/>
        </w:rPr>
        <w:t xml:space="preserve">épesek maradjanak. </w:t>
      </w:r>
      <w:r>
        <w:rPr>
          <w:rFonts w:ascii="Times New Roman" w:hAnsi="Times New Roman"/>
          <w:noProof/>
          <w:sz w:val="24"/>
          <w:szCs w:val="24"/>
          <w:u w:color="000000"/>
          <w:bdr w:val="nil"/>
        </w:rPr>
        <w:t>Gyorsan változó világunkban, amikor Európa a nagyszabású kettős átállást tűzte ki maga elé célul, biztosítanunk kell, hogy a versenyszabályok továbbra is megfeleljenek a mai kor kihívásainak.</w:t>
      </w:r>
    </w:p>
    <w:p w:rsidR="00581FBB" w:rsidRDefault="000A601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A Bizottság ezt szem előtt tartva megkezdte </w:t>
      </w:r>
      <w:r>
        <w:rPr>
          <w:rFonts w:ascii="Times New Roman" w:hAnsi="Times New Roman"/>
          <w:b/>
          <w:noProof/>
          <w:sz w:val="24"/>
          <w:szCs w:val="24"/>
          <w:bdr w:val="nil"/>
        </w:rPr>
        <w:t>a</w:t>
      </w:r>
      <w:r>
        <w:rPr>
          <w:rFonts w:ascii="Times New Roman" w:hAnsi="Times New Roman"/>
          <w:b/>
          <w:noProof/>
          <w:sz w:val="24"/>
          <w:szCs w:val="24"/>
          <w:bdr w:val="nil"/>
        </w:rPr>
        <w:t>z uniós versenyjogi keret felülvizsgálatát</w:t>
      </w:r>
      <w:r>
        <w:rPr>
          <w:rFonts w:ascii="Times New Roman" w:hAnsi="Times New Roman"/>
          <w:noProof/>
          <w:sz w:val="24"/>
          <w:szCs w:val="24"/>
          <w:bdr w:val="nil"/>
        </w:rPr>
        <w:t>. Ennek során megvizsgálja a jelenlegi versenyszabályok alkalmazását – különös tekintettel az antitröszt-intézkedésekre –, valamint azt, hogy időtállóak-e még a horizontális és vertikális megállapodásokra vonatkozó</w:t>
      </w:r>
      <w:r>
        <w:rPr>
          <w:rFonts w:ascii="Times New Roman" w:hAnsi="Times New Roman"/>
          <w:noProof/>
          <w:sz w:val="24"/>
          <w:szCs w:val="24"/>
          <w:bdr w:val="nil"/>
        </w:rPr>
        <w:t xml:space="preserve"> szabályok, illetve a piac meghatározásáról szóló közlemény.</w:t>
      </w:r>
      <w:r>
        <w:rPr>
          <w:noProof/>
          <w:sz w:val="24"/>
          <w:szCs w:val="24"/>
        </w:rPr>
        <w:t xml:space="preserve"> </w:t>
      </w:r>
      <w:r>
        <w:rPr>
          <w:rFonts w:ascii="Times New Roman" w:hAnsi="Times New Roman"/>
          <w:noProof/>
          <w:sz w:val="24"/>
          <w:szCs w:val="24"/>
          <w:bdr w:val="nil"/>
        </w:rPr>
        <w:t>Megvizsgálja továbbá, miként lehetne javítani az ügyek felderítésén és hogyan lehetne felgyorsítani a nyomozásokat.</w:t>
      </w:r>
      <w:r>
        <w:rPr>
          <w:noProof/>
          <w:sz w:val="24"/>
          <w:szCs w:val="24"/>
        </w:rPr>
        <w:t xml:space="preserve"> </w:t>
      </w:r>
      <w:r>
        <w:rPr>
          <w:rFonts w:ascii="Times New Roman" w:hAnsi="Times New Roman"/>
          <w:noProof/>
          <w:sz w:val="24"/>
          <w:szCs w:val="24"/>
          <w:bdr w:val="nil"/>
        </w:rPr>
        <w:t xml:space="preserve">A gazdaságunkat és társadalmunkat formáló új és feltörekvő piacok tekintetében </w:t>
      </w:r>
      <w:r>
        <w:rPr>
          <w:rFonts w:ascii="Times New Roman" w:hAnsi="Times New Roman"/>
          <w:noProof/>
          <w:sz w:val="24"/>
          <w:szCs w:val="24"/>
          <w:bdr w:val="nil"/>
        </w:rPr>
        <w:t>pedig a Bizottság az ágazati vizsgálatok eszközéhez folyamodik.</w:t>
      </w:r>
    </w:p>
    <w:p w:rsidR="00581FBB" w:rsidRDefault="000A601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u w:color="000000"/>
          <w:bdr w:val="nil"/>
        </w:rPr>
        <w:t xml:space="preserve">A felülvizsgálatnak részét képezi az összefonódás-ellenőrzés folyamatban lévő értékelése és a különböző állami támogatási iránymutatások célravezetőségi vizsgálata is. </w:t>
      </w:r>
      <w:r>
        <w:rPr>
          <w:rFonts w:ascii="Times New Roman" w:hAnsi="Times New Roman"/>
          <w:noProof/>
          <w:sz w:val="24"/>
          <w:szCs w:val="24"/>
          <w:bdr w:val="nil"/>
        </w:rPr>
        <w:t>Az állami támogatási sza</w:t>
      </w:r>
      <w:r>
        <w:rPr>
          <w:rFonts w:ascii="Times New Roman" w:hAnsi="Times New Roman"/>
          <w:noProof/>
          <w:sz w:val="24"/>
          <w:szCs w:val="24"/>
          <w:bdr w:val="nil"/>
        </w:rPr>
        <w:t xml:space="preserve">bályok egyenlő versenyfeltételeket biztosítanak Európán belül, megakadályozzák a minden fél számára káros támogatási versenyt, és eközben fontos közérdekű célkitűzéseket támogatnak. A Bizottság számos kiemelt területen biztosítani fogja, hogy 2021-re </w:t>
      </w:r>
      <w:r>
        <w:rPr>
          <w:rFonts w:ascii="Times New Roman" w:hAnsi="Times New Roman"/>
          <w:b/>
          <w:bCs/>
          <w:noProof/>
          <w:sz w:val="24"/>
          <w:szCs w:val="24"/>
          <w:bdr w:val="nil"/>
        </w:rPr>
        <w:t>felül</w:t>
      </w:r>
      <w:r>
        <w:rPr>
          <w:rFonts w:ascii="Times New Roman" w:hAnsi="Times New Roman"/>
          <w:b/>
          <w:bCs/>
          <w:noProof/>
          <w:sz w:val="24"/>
          <w:szCs w:val="24"/>
          <w:bdr w:val="nil"/>
        </w:rPr>
        <w:t>vizsgált állami támogatási szabályok</w:t>
      </w:r>
      <w:r>
        <w:rPr>
          <w:rFonts w:ascii="Times New Roman" w:hAnsi="Times New Roman"/>
          <w:noProof/>
          <w:sz w:val="24"/>
          <w:szCs w:val="24"/>
          <w:bdr w:val="nil"/>
        </w:rPr>
        <w:t xml:space="preserve"> lépjenek életbe, ideértve az energetikai és környezetvédelmi támogatások területét is.</w:t>
      </w:r>
    </w:p>
    <w:p w:rsidR="00581FBB" w:rsidRDefault="00581FBB">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416"/>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ma elfogadott, </w:t>
            </w:r>
            <w:r>
              <w:rPr>
                <w:rFonts w:ascii="Times New Roman" w:hAnsi="Times New Roman"/>
                <w:b/>
                <w:noProof/>
                <w:sz w:val="24"/>
                <w:szCs w:val="24"/>
              </w:rPr>
              <w:t>az egységes piaci érvényesítésről szóló cselekvési terv</w:t>
            </w:r>
            <w:r>
              <w:rPr>
                <w:rFonts w:ascii="Times New Roman" w:hAnsi="Times New Roman"/>
                <w:noProof/>
                <w:sz w:val="24"/>
                <w:szCs w:val="24"/>
              </w:rPr>
              <w:t xml:space="preserve"> és az egységes piac akadályairól szóló </w:t>
            </w:r>
            <w:r>
              <w:rPr>
                <w:rFonts w:ascii="Times New Roman" w:hAnsi="Times New Roman"/>
                <w:noProof/>
                <w:sz w:val="24"/>
                <w:szCs w:val="24"/>
              </w:rPr>
              <w:t>jelentés.</w:t>
            </w:r>
          </w:p>
          <w:p w:rsidR="00581FBB" w:rsidRDefault="000A6010">
            <w:pPr>
              <w:pStyle w:val="ListParagraph"/>
              <w:numPr>
                <w:ilvl w:val="0"/>
                <w:numId w:val="3"/>
              </w:numPr>
              <w:rPr>
                <w:rFonts w:ascii="Times New Roman" w:hAnsi="Times New Roman" w:cs="Times New Roman"/>
                <w:noProof/>
                <w:sz w:val="24"/>
                <w:szCs w:val="24"/>
              </w:rPr>
            </w:pPr>
            <w:r>
              <w:rPr>
                <w:rFonts w:ascii="Times New Roman" w:hAnsi="Times New Roman"/>
                <w:b/>
                <w:bCs/>
                <w:noProof/>
                <w:sz w:val="24"/>
                <w:szCs w:val="24"/>
              </w:rPr>
              <w:t>Egységes piaci érvényesítési munkacsoport</w:t>
            </w:r>
            <w:r>
              <w:rPr>
                <w:rFonts w:ascii="Times New Roman" w:hAnsi="Times New Roman"/>
                <w:noProof/>
                <w:sz w:val="24"/>
                <w:szCs w:val="24"/>
              </w:rPr>
              <w:t xml:space="preserve"> létrehozása a tagállamok és a Bizottság részvételével.</w:t>
            </w:r>
          </w:p>
          <w:p w:rsidR="00581FBB" w:rsidRDefault="000A6010">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A ma elfogadott </w:t>
            </w:r>
            <w:r>
              <w:rPr>
                <w:rFonts w:ascii="Times New Roman" w:hAnsi="Times New Roman"/>
                <w:b/>
                <w:bCs/>
                <w:noProof/>
                <w:sz w:val="24"/>
                <w:szCs w:val="24"/>
              </w:rPr>
              <w:t>kkv-stratégia a fenntartható és digitális Európáért</w:t>
            </w:r>
            <w:r>
              <w:rPr>
                <w:rFonts w:ascii="Times New Roman" w:hAnsi="Times New Roman"/>
                <w:noProof/>
                <w:sz w:val="24"/>
                <w:szCs w:val="24"/>
              </w:rPr>
              <w:t>.</w:t>
            </w:r>
          </w:p>
          <w:p w:rsidR="00581FBB" w:rsidRDefault="000A6010">
            <w:pPr>
              <w:pStyle w:val="ListParagraph"/>
              <w:numPr>
                <w:ilvl w:val="0"/>
                <w:numId w:val="3"/>
              </w:numPr>
              <w:rPr>
                <w:rFonts w:ascii="Times New Roman" w:hAnsi="Times New Roman" w:cs="Times New Roman"/>
                <w:noProof/>
                <w:sz w:val="24"/>
                <w:szCs w:val="24"/>
              </w:rPr>
            </w:pPr>
            <w:r>
              <w:rPr>
                <w:rFonts w:ascii="Times New Roman" w:hAnsi="Times New Roman"/>
                <w:b/>
                <w:bCs/>
                <w:noProof/>
                <w:sz w:val="24"/>
                <w:szCs w:val="24"/>
              </w:rPr>
              <w:t>Az uniós versenyszabályok értékelése, felülvizsgálata és szükség esetén kiigazít</w:t>
            </w:r>
            <w:r>
              <w:rPr>
                <w:rFonts w:ascii="Times New Roman" w:hAnsi="Times New Roman"/>
                <w:b/>
                <w:bCs/>
                <w:noProof/>
                <w:sz w:val="24"/>
                <w:szCs w:val="24"/>
              </w:rPr>
              <w:t>ása</w:t>
            </w:r>
            <w:r>
              <w:rPr>
                <w:rFonts w:ascii="Times New Roman" w:hAnsi="Times New Roman"/>
                <w:noProof/>
                <w:sz w:val="24"/>
                <w:szCs w:val="24"/>
              </w:rPr>
              <w:t xml:space="preserve"> 2021-től kezdődően, beleértve az összefonódások ellenőrzésének folyamatban lévő értékelését és az állami támogatási iránymutatások célravezetőségi vizsgálatát.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A szellemi tulajdonra vonatkozó cselekvési terv</w:t>
            </w:r>
            <w:r>
              <w:rPr>
                <w:rFonts w:ascii="Times New Roman" w:hAnsi="Times New Roman"/>
                <w:noProof/>
                <w:sz w:val="24"/>
                <w:szCs w:val="24"/>
              </w:rPr>
              <w:t xml:space="preserve"> annak felmérésére, hogy szükség van-e a jogi</w:t>
            </w:r>
            <w:r>
              <w:rPr>
                <w:rFonts w:ascii="Times New Roman" w:hAnsi="Times New Roman"/>
                <w:noProof/>
                <w:sz w:val="24"/>
                <w:szCs w:val="24"/>
              </w:rPr>
              <w:t xml:space="preserve"> keret korszerűsítésére a szellemi tulajdon intelligens felhasználásának biztosítása, valamint a szellemitulajdon-bitorlás elleni hatékonyabb küzdelem érdekében.</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Az európai adatstratégia nyomon követése</w:t>
            </w:r>
            <w:r>
              <w:rPr>
                <w:rFonts w:ascii="Times New Roman" w:hAnsi="Times New Roman"/>
                <w:noProof/>
                <w:sz w:val="24"/>
                <w:szCs w:val="24"/>
              </w:rPr>
              <w:t xml:space="preserve"> az uniós adatgazdaság kialakítása érdekében, beleértve egyes ágazatokban és értékláncokban a közös európai adatterek bevezetését.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A digitális szolgáltatásokról szóló jogszabály</w:t>
            </w:r>
            <w:r>
              <w:rPr>
                <w:rFonts w:ascii="Times New Roman" w:hAnsi="Times New Roman"/>
                <w:noProof/>
                <w:sz w:val="24"/>
                <w:szCs w:val="24"/>
              </w:rPr>
              <w:t xml:space="preserve"> a digitális szolgáltatások egységes piacára vonatkozó jogi keret naprakésszé t</w:t>
            </w:r>
            <w:r>
              <w:rPr>
                <w:rFonts w:ascii="Times New Roman" w:hAnsi="Times New Roman"/>
                <w:noProof/>
                <w:sz w:val="24"/>
                <w:szCs w:val="24"/>
              </w:rPr>
              <w:t>étele és megerősítése érdekében.</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A platform-munkavállalók munkakörülményeinek javítására</w:t>
            </w:r>
            <w:r>
              <w:rPr>
                <w:rFonts w:ascii="Times New Roman" w:hAnsi="Times New Roman"/>
                <w:noProof/>
                <w:sz w:val="24"/>
                <w:szCs w:val="24"/>
              </w:rPr>
              <w:t xml:space="preserve"> irányuló kezdeményezés.</w:t>
            </w:r>
          </w:p>
        </w:tc>
      </w:tr>
    </w:tbl>
    <w:p w:rsidR="00581FBB" w:rsidRDefault="000A6010">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t>3.2. Egyenlő versenyfeltételek biztosítása globálisan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Európa jólétének és versenyképességének forrása gazdaságának nyitottsága. Jóllehet az </w:t>
      </w:r>
      <w:r>
        <w:rPr>
          <w:rFonts w:ascii="Times New Roman" w:hAnsi="Times New Roman"/>
          <w:noProof/>
          <w:sz w:val="24"/>
          <w:szCs w:val="24"/>
        </w:rPr>
        <w:t>uniós ipar nagymértékben integrálódott a globális értékláncokba és világszerte jelen van, az EU nem szemlélheti naivan a tisztességes versenyt és kereskedelmet fenyegető veszélyeket.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 törekszik a piacok nyitottan tartására, és ennek érdekében keresked</w:t>
      </w:r>
      <w:r>
        <w:rPr>
          <w:rFonts w:ascii="Times New Roman" w:hAnsi="Times New Roman"/>
          <w:noProof/>
          <w:sz w:val="24"/>
          <w:szCs w:val="24"/>
        </w:rPr>
        <w:t>elmi megállapodásokat köt a különböző partnerországokkal és partnerrégiókkal, valamint nemzetközi fórumokon dolgozik a mindenkinek megfelelő szabályok kialakításán. Ahhoz, hogy fenntartsuk a kölcsönösen előnyös kereskedelmet és leküzdjük azokat az akadályo</w:t>
      </w:r>
      <w:r>
        <w:rPr>
          <w:rFonts w:ascii="Times New Roman" w:hAnsi="Times New Roman"/>
          <w:noProof/>
          <w:sz w:val="24"/>
          <w:szCs w:val="24"/>
        </w:rPr>
        <w:t>kat, amelyek miatt vállalkozásaink nem léphetnek megfelelően a világ más piacaira, továbbra is összehangolt európai megközelítést kell alkalmaznunk. Ez magában foglalja az agresszív adótervezési rendszerek elleni küzdelmet is, tekintve, hogy e rendszerek a</w:t>
      </w:r>
      <w:r>
        <w:rPr>
          <w:rFonts w:ascii="Times New Roman" w:hAnsi="Times New Roman"/>
          <w:noProof/>
          <w:sz w:val="24"/>
          <w:szCs w:val="24"/>
        </w:rPr>
        <w:t>z egyenlőtlen versenyfeltételek kialakulásához vezetnek.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 a piacvédelmi mechanizmusok teljes tárházát be kívánja vetni. A Bizottság 2020 közepéig meg fogja vizsgálni, mi a szubvencióellenes mechanizmusok és eszközök megerősítésének legmegfelelőbb módj</w:t>
      </w:r>
      <w:r>
        <w:rPr>
          <w:rFonts w:ascii="Times New Roman" w:hAnsi="Times New Roman"/>
          <w:noProof/>
          <w:sz w:val="24"/>
          <w:szCs w:val="24"/>
        </w:rPr>
        <w:t xml:space="preserve">a. Ezt a vizsgálatot </w:t>
      </w:r>
      <w:r>
        <w:rPr>
          <w:rFonts w:ascii="Times New Roman" w:hAnsi="Times New Roman"/>
          <w:b/>
          <w:bCs/>
          <w:noProof/>
          <w:sz w:val="24"/>
          <w:szCs w:val="24"/>
        </w:rPr>
        <w:t>a külföldi támogatásokra vonatkozó eszközről szóló fehér könyv</w:t>
      </w:r>
      <w:r>
        <w:rPr>
          <w:rFonts w:ascii="Times New Roman" w:hAnsi="Times New Roman"/>
          <w:noProof/>
          <w:sz w:val="24"/>
          <w:szCs w:val="24"/>
        </w:rPr>
        <w:t xml:space="preserve"> keretében végzi el, amely a külföldi támogatásoknak az egységes piacon okozott torzító hatásaira irányul. 2021-ben ennek alapján jogi eszközre irányuló javaslatot terjeszt </w:t>
      </w:r>
      <w:r>
        <w:rPr>
          <w:rFonts w:ascii="Times New Roman" w:hAnsi="Times New Roman"/>
          <w:noProof/>
          <w:sz w:val="24"/>
          <w:szCs w:val="24"/>
        </w:rPr>
        <w:t>elő.</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piactorzulás gyakran együtt jár azzal, hogy </w:t>
      </w:r>
      <w:r>
        <w:rPr>
          <w:rFonts w:ascii="Times New Roman" w:hAnsi="Times New Roman"/>
          <w:b/>
          <w:bCs/>
          <w:noProof/>
          <w:sz w:val="24"/>
          <w:szCs w:val="24"/>
        </w:rPr>
        <w:t>az európai vállalkozások nem férnek hozzá kölcsönösen</w:t>
      </w:r>
      <w:r>
        <w:rPr>
          <w:rFonts w:ascii="Times New Roman" w:hAnsi="Times New Roman"/>
          <w:noProof/>
          <w:sz w:val="24"/>
          <w:szCs w:val="24"/>
        </w:rPr>
        <w:t xml:space="preserve"> a külföldi állami tulajdonú vállalatok hazai piacaihoz. Az uniós közbeszerzési piacok sok esetben nyitva állnak azon országok vállalkozásai előtt is, a</w:t>
      </w:r>
      <w:r>
        <w:rPr>
          <w:rFonts w:ascii="Times New Roman" w:hAnsi="Times New Roman"/>
          <w:noProof/>
          <w:sz w:val="24"/>
          <w:szCs w:val="24"/>
        </w:rPr>
        <w:t>melyek az uniós vállalkozásokat hátrányosan megkülönböztetik vagy egyenesen kizárják a saját piacukról. A fehér könyv ezért kitér majd a külföldi állami tulajdonban lévő vállalkozások közbeszerzési piacokhoz és uniós forrásokhoz való hozzáférésére is. Alap</w:t>
      </w:r>
      <w:r>
        <w:rPr>
          <w:rFonts w:ascii="Times New Roman" w:hAnsi="Times New Roman"/>
          <w:noProof/>
          <w:sz w:val="24"/>
          <w:szCs w:val="24"/>
        </w:rPr>
        <w:t xml:space="preserve">vető fontosságú lesz a már előterjesztett </w:t>
      </w:r>
      <w:r>
        <w:rPr>
          <w:rFonts w:ascii="Times New Roman" w:hAnsi="Times New Roman"/>
          <w:b/>
          <w:noProof/>
          <w:sz w:val="24"/>
          <w:szCs w:val="24"/>
        </w:rPr>
        <w:t>nemzetközi közbeszerzési eszközről</w:t>
      </w:r>
      <w:r>
        <w:rPr>
          <w:rFonts w:ascii="Times New Roman" w:hAnsi="Times New Roman"/>
          <w:noProof/>
          <w:sz w:val="24"/>
          <w:szCs w:val="24"/>
        </w:rPr>
        <w:t xml:space="preserve"> történő gyors megállapodás is ahhoz, hogy a hiányzó kölcsönösség problémáját orvosolni lehessen, és az EU érdekei jobban érvényesüljenek a tárgyalások során.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Fontos, hogy az európ</w:t>
      </w:r>
      <w:r>
        <w:rPr>
          <w:rFonts w:ascii="Times New Roman" w:hAnsi="Times New Roman"/>
          <w:noProof/>
          <w:sz w:val="24"/>
          <w:szCs w:val="24"/>
        </w:rPr>
        <w:t>ai ipar ne szembesüljön tisztességtelen versennyel amiatt, hogy a világ különböző pontjain működő versenytársai más szabványokat vagy elveket követnek, például az éghajlattal kapcsolatban. Kereskedelmi megállapodásaink hatékonyabb betartásán és érvényesíté</w:t>
      </w:r>
      <w:r>
        <w:rPr>
          <w:rFonts w:ascii="Times New Roman" w:hAnsi="Times New Roman"/>
          <w:noProof/>
          <w:sz w:val="24"/>
          <w:szCs w:val="24"/>
        </w:rPr>
        <w:t xml:space="preserve">sén új </w:t>
      </w:r>
      <w:r>
        <w:rPr>
          <w:rFonts w:ascii="Times New Roman" w:hAnsi="Times New Roman"/>
          <w:b/>
          <w:bCs/>
          <w:noProof/>
          <w:sz w:val="24"/>
          <w:szCs w:val="24"/>
        </w:rPr>
        <w:t>kereskedelmi jogérvényesítési főtisztviselő</w:t>
      </w:r>
      <w:r>
        <w:rPr>
          <w:rFonts w:ascii="Times New Roman" w:hAnsi="Times New Roman"/>
          <w:noProof/>
          <w:sz w:val="24"/>
          <w:szCs w:val="24"/>
        </w:rPr>
        <w:t xml:space="preserve"> dolgozik majd, aki rendszeresen beszámol az Európai Parlamentnek. A Bizottság javasolni fogja, hogy a jövőben valamennyi átfogó kereskedelmi megállapodás alapvető elemévé váljon a Párizsi Megállapodás tisz</w:t>
      </w:r>
      <w:r>
        <w:rPr>
          <w:rFonts w:ascii="Times New Roman" w:hAnsi="Times New Roman"/>
          <w:noProof/>
          <w:sz w:val="24"/>
          <w:szCs w:val="24"/>
        </w:rPr>
        <w:t>teletben tartása.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Ahhoz, hogy az importtermékek megfeleljenek az uniós szabályoknak, elengedhetetlen a </w:t>
      </w:r>
      <w:r>
        <w:rPr>
          <w:rFonts w:ascii="Times New Roman" w:hAnsi="Times New Roman"/>
          <w:b/>
          <w:bCs/>
          <w:noProof/>
          <w:sz w:val="24"/>
          <w:szCs w:val="24"/>
        </w:rPr>
        <w:t>vámellenőrzések megerősítése</w:t>
      </w:r>
      <w:r>
        <w:rPr>
          <w:rFonts w:ascii="Times New Roman" w:hAnsi="Times New Roman"/>
          <w:noProof/>
          <w:sz w:val="24"/>
          <w:szCs w:val="24"/>
        </w:rPr>
        <w:t xml:space="preserve"> is.</w:t>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411"/>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Fehér könyv a külföldi támogatásokra vonatkozó eszközről</w:t>
            </w:r>
            <w:r>
              <w:rPr>
                <w:rFonts w:ascii="Times New Roman" w:hAnsi="Times New Roman"/>
                <w:noProof/>
                <w:sz w:val="24"/>
                <w:szCs w:val="24"/>
              </w:rPr>
              <w:t xml:space="preserve"> 2020 közepére, amely kitér a közbeszerzéshez</w:t>
            </w:r>
            <w:r>
              <w:rPr>
                <w:rFonts w:ascii="Times New Roman" w:hAnsi="Times New Roman"/>
                <w:noProof/>
                <w:sz w:val="24"/>
                <w:szCs w:val="24"/>
              </w:rPr>
              <w:t xml:space="preserve"> és uniós forrásokhoz való külföldi hozzáférésére is.</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Az ipari támogatások globális szabályozásának megerősítése</w:t>
            </w:r>
            <w:r>
              <w:rPr>
                <w:rFonts w:ascii="Times New Roman" w:hAnsi="Times New Roman"/>
                <w:noProof/>
                <w:sz w:val="24"/>
                <w:szCs w:val="24"/>
              </w:rPr>
              <w:t xml:space="preserve"> a Kereskedelmi Világszervezeten belül.</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nemzetközi közbeszerzési eszköz</w:t>
            </w:r>
            <w:r>
              <w:rPr>
                <w:rFonts w:ascii="Times New Roman" w:hAnsi="Times New Roman"/>
                <w:noProof/>
                <w:sz w:val="24"/>
                <w:szCs w:val="24"/>
              </w:rPr>
              <w:t xml:space="preserve"> gyors elfogadása.</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Cselekvési terv a vámunióról</w:t>
            </w:r>
            <w:r>
              <w:rPr>
                <w:rFonts w:ascii="Times New Roman" w:hAnsi="Times New Roman"/>
                <w:noProof/>
                <w:sz w:val="24"/>
                <w:szCs w:val="24"/>
              </w:rPr>
              <w:t xml:space="preserve"> 2020-ban, amelynek célj</w:t>
            </w:r>
            <w:r>
              <w:rPr>
                <w:rFonts w:ascii="Times New Roman" w:hAnsi="Times New Roman"/>
                <w:noProof/>
                <w:sz w:val="24"/>
                <w:szCs w:val="24"/>
              </w:rPr>
              <w:t>a a vámellenőrzések megerősítése, beleértve az egyablakos uniós rendszerre vonatkozó jogalkotási javaslatot, amely teljes mértékben digitális vámkezelést tesz lehetővé a határokon.</w:t>
            </w:r>
          </w:p>
        </w:tc>
      </w:tr>
    </w:tbl>
    <w:p w:rsidR="00581FBB" w:rsidRDefault="000A6010">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t>3.3. Az ipar támogatása a klímasemlegesség jegyében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Európa </w:t>
      </w:r>
      <w:r>
        <w:rPr>
          <w:rFonts w:ascii="Times New Roman" w:hAnsi="Times New Roman"/>
          <w:noProof/>
          <w:sz w:val="24"/>
          <w:szCs w:val="24"/>
        </w:rPr>
        <w:t>klímasemlegességre való átállása során lesznek olyan ágazatok, amelyeknek az átlagosnál jóval nagyobb és transzformatívabb változást kell véghezvinniük. Az energiaigényes iparágak nélkülözhetetlenek az európai gazdaság szempontjából, és más ágazatok kiindu</w:t>
      </w:r>
      <w:r>
        <w:rPr>
          <w:rFonts w:ascii="Times New Roman" w:hAnsi="Times New Roman"/>
          <w:noProof/>
          <w:sz w:val="24"/>
          <w:szCs w:val="24"/>
        </w:rPr>
        <w:t>lópontjául szolgálnak. Az energiaigényes iparágak korszerűsítését és dekarbonizációját tehát kiemelt prioritásként kell kezelni.</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zöld megállapodás célul tűzte ki, hogy új piacokat hozzon létre az olyan klímasemleges és körforgásos termékek számá</w:t>
      </w:r>
      <w:r>
        <w:rPr>
          <w:rFonts w:ascii="Times New Roman" w:hAnsi="Times New Roman"/>
          <w:noProof/>
          <w:sz w:val="24"/>
          <w:szCs w:val="24"/>
        </w:rPr>
        <w:t>ra, mint az acél, a cement és az alapvető vegyi anyagok. Ahhoz, hogy Európa a változás élére álljon, olyan új ipari folyamatokra és környezetbarátabb technológiákra van szükség, amelyekkel csökkenteni tudja a költségeket és felkészültebbé tudja tenni a pia</w:t>
      </w:r>
      <w:r>
        <w:rPr>
          <w:rFonts w:ascii="Times New Roman" w:hAnsi="Times New Roman"/>
          <w:noProof/>
          <w:sz w:val="24"/>
          <w:szCs w:val="24"/>
        </w:rPr>
        <w:t>cokat.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támogatni fogja például azokat az áttörést jelentő tiszta acéltechnológiákat, amelyek a </w:t>
      </w:r>
      <w:r>
        <w:rPr>
          <w:rFonts w:ascii="Times New Roman" w:hAnsi="Times New Roman"/>
          <w:b/>
          <w:noProof/>
          <w:sz w:val="24"/>
          <w:szCs w:val="24"/>
        </w:rPr>
        <w:t>karbonsemleges acélgyártáshoz</w:t>
      </w:r>
      <w:r>
        <w:rPr>
          <w:rFonts w:ascii="Times New Roman" w:hAnsi="Times New Roman"/>
          <w:noProof/>
          <w:sz w:val="24"/>
          <w:szCs w:val="24"/>
        </w:rPr>
        <w:t xml:space="preserve"> vezetnek. Az innovációs alap más nagyszabású innovatív projektek megvalósításához is hozzá fog járulni azzal a céllal, </w:t>
      </w:r>
      <w:r>
        <w:rPr>
          <w:rFonts w:ascii="Times New Roman" w:hAnsi="Times New Roman"/>
          <w:noProof/>
          <w:sz w:val="24"/>
          <w:szCs w:val="24"/>
        </w:rPr>
        <w:t>hogy valamennyi energiaintenzív ágazatban előnyben részesüljenek a tiszta termékek.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vegyi anyagokra vonatkozó új fenntarthatósági stratégia</w:t>
      </w:r>
      <w:r>
        <w:rPr>
          <w:rFonts w:ascii="Times New Roman" w:hAnsi="Times New Roman"/>
          <w:noProof/>
          <w:sz w:val="24"/>
          <w:szCs w:val="24"/>
        </w:rPr>
        <w:t xml:space="preserve"> hozzá fog járulni az emberek és a környezet veszélyes vegyi anyagokkal szembeni hatékonyabb védelméhez, és a bizto</w:t>
      </w:r>
      <w:r>
        <w:rPr>
          <w:rFonts w:ascii="Times New Roman" w:hAnsi="Times New Roman"/>
          <w:noProof/>
          <w:sz w:val="24"/>
          <w:szCs w:val="24"/>
        </w:rPr>
        <w:t>nságos és fenntartható alternatívák kifejlesztése érdekében ösztönözni fogja az ágazaton belüli innovációt.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Európának emellett foglalkoznia kell az építési termékek fenntarthatóságával is, és javítania kell az épített eszközök energiahatékonyságát és környezeti teljesítményét. A </w:t>
      </w:r>
      <w:r>
        <w:rPr>
          <w:rFonts w:ascii="Times New Roman" w:hAnsi="Times New Roman"/>
          <w:b/>
          <w:noProof/>
          <w:sz w:val="24"/>
          <w:szCs w:val="24"/>
        </w:rPr>
        <w:t>fenntarthatóbb épített környezet</w:t>
      </w:r>
      <w:r>
        <w:rPr>
          <w:rFonts w:ascii="Times New Roman" w:hAnsi="Times New Roman"/>
          <w:noProof/>
          <w:sz w:val="24"/>
          <w:szCs w:val="24"/>
        </w:rPr>
        <w:t xml:space="preserve"> elengedhetetlen a klímasemlegességre való európai á</w:t>
      </w:r>
      <w:r>
        <w:rPr>
          <w:rFonts w:ascii="Times New Roman" w:hAnsi="Times New Roman"/>
          <w:noProof/>
          <w:sz w:val="24"/>
          <w:szCs w:val="24"/>
        </w:rPr>
        <w:t>tálláshoz.</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átállás felgyorsulásával Európának biztosítania kell, hogy senki se maradjon le. A </w:t>
      </w:r>
      <w:r>
        <w:rPr>
          <w:rFonts w:ascii="Times New Roman" w:hAnsi="Times New Roman"/>
          <w:b/>
          <w:bCs/>
          <w:noProof/>
          <w:sz w:val="24"/>
          <w:szCs w:val="24"/>
        </w:rPr>
        <w:t>méltányos átállási mechanizmusra</w:t>
      </w:r>
      <w:r>
        <w:rPr>
          <w:rStyle w:val="FootnoteReference"/>
          <w:rFonts w:ascii="Times New Roman" w:hAnsi="Times New Roman" w:cs="Times New Roman"/>
          <w:b/>
          <w:noProof/>
          <w:sz w:val="24"/>
          <w:szCs w:val="24"/>
        </w:rPr>
        <w:footnoteReference w:id="8"/>
      </w:r>
      <w:r>
        <w:rPr>
          <w:rFonts w:ascii="Times New Roman" w:hAnsi="Times New Roman"/>
          <w:noProof/>
          <w:sz w:val="24"/>
          <w:szCs w:val="24"/>
        </w:rPr>
        <w:t xml:space="preserve"> irányuló új javaslat 100 milliárd eurót fog mozgósítani az iparukat és gazdaságukat általakító nagy szén-dioxid-kibocsátású r</w:t>
      </w:r>
      <w:r>
        <w:rPr>
          <w:rFonts w:ascii="Times New Roman" w:hAnsi="Times New Roman"/>
          <w:noProof/>
          <w:sz w:val="24"/>
          <w:szCs w:val="24"/>
        </w:rPr>
        <w:t>égiók méltányos átállásához.</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ipari kibocsátások csökkentésének előfeltétele, hogy érvényesüljön az </w:t>
      </w:r>
      <w:r>
        <w:rPr>
          <w:rFonts w:ascii="Times New Roman" w:hAnsi="Times New Roman"/>
          <w:b/>
          <w:noProof/>
          <w:sz w:val="24"/>
          <w:szCs w:val="24"/>
        </w:rPr>
        <w:t>az energiahatékonyság elsődlegességének elve</w:t>
      </w:r>
      <w:r>
        <w:rPr>
          <w:rFonts w:ascii="Times New Roman" w:hAnsi="Times New Roman"/>
          <w:noProof/>
          <w:sz w:val="24"/>
          <w:szCs w:val="24"/>
        </w:rPr>
        <w:t>, és állandóan elégséges mennyiségben rendelkezésre álljon a versenyképes árú karbonszegény energiaforrás. Ehh</w:t>
      </w:r>
      <w:r>
        <w:rPr>
          <w:rFonts w:ascii="Times New Roman" w:hAnsi="Times New Roman"/>
          <w:noProof/>
          <w:sz w:val="24"/>
          <w:szCs w:val="24"/>
        </w:rPr>
        <w:t xml:space="preserve">ez tervezésre és beruházásokra van szükség a karbonszegény technológiák, kapacitások és infrastruktúrák területén. </w:t>
      </w:r>
      <w:r>
        <w:rPr>
          <w:rFonts w:ascii="Times New Roman" w:hAnsi="Times New Roman"/>
          <w:b/>
          <w:bCs/>
          <w:noProof/>
          <w:sz w:val="24"/>
          <w:szCs w:val="24"/>
        </w:rPr>
        <w:t>Stratégiaibb megközelítésre lesz szükségünk a megújulóenergia-iparágak</w:t>
      </w:r>
      <w:r>
        <w:rPr>
          <w:rFonts w:ascii="Times New Roman" w:hAnsi="Times New Roman"/>
          <w:noProof/>
          <w:sz w:val="24"/>
          <w:szCs w:val="24"/>
        </w:rPr>
        <w:t xml:space="preserve"> – például a tengeri szélenergia – és az ezeket alátámasztó ellátási lá</w:t>
      </w:r>
      <w:r>
        <w:rPr>
          <w:rFonts w:ascii="Times New Roman" w:hAnsi="Times New Roman"/>
          <w:noProof/>
          <w:sz w:val="24"/>
          <w:szCs w:val="24"/>
        </w:rPr>
        <w:t>nc tekintetében is. Ez hozzájárul majd a kettős átállás jelentősen megnövekedett villamosenergia-szükségletének kielégítéséhez is. Emellett erőfeszítéseket kell tenni az európai villamosenergia-rendszerek hatékonyabb összekapcsolására is, a villamosenergia</w:t>
      </w:r>
      <w:r>
        <w:rPr>
          <w:rFonts w:ascii="Times New Roman" w:hAnsi="Times New Roman"/>
          <w:noProof/>
          <w:sz w:val="24"/>
          <w:szCs w:val="24"/>
        </w:rPr>
        <w:t>-ellátás biztonságának növelése és a megújuló energiaforrások fokozott integrálása érdekében.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Mindezek során a különböző ágazatok összekapcsolásával hatékonyabbá kell tenni az energiahordozók – köztük a villamos energia, a földgáz és a folyékony tüzelőanya</w:t>
      </w:r>
      <w:r>
        <w:rPr>
          <w:rFonts w:ascii="Times New Roman" w:hAnsi="Times New Roman"/>
          <w:noProof/>
          <w:sz w:val="24"/>
          <w:szCs w:val="24"/>
        </w:rPr>
        <w:t xml:space="preserve">gok – felhasználását. Ezt tűzi ki célul az </w:t>
      </w:r>
      <w:r>
        <w:rPr>
          <w:rFonts w:ascii="Times New Roman" w:hAnsi="Times New Roman"/>
          <w:b/>
          <w:noProof/>
          <w:sz w:val="24"/>
          <w:szCs w:val="24"/>
        </w:rPr>
        <w:t>intelligens ágazati integrációra</w:t>
      </w:r>
      <w:r>
        <w:rPr>
          <w:rFonts w:ascii="Times New Roman" w:hAnsi="Times New Roman"/>
          <w:noProof/>
          <w:sz w:val="24"/>
          <w:szCs w:val="24"/>
        </w:rPr>
        <w:t xml:space="preserve"> irányuló új stratégia, amely a </w:t>
      </w:r>
      <w:r>
        <w:rPr>
          <w:rFonts w:ascii="Times New Roman" w:hAnsi="Times New Roman"/>
          <w:b/>
          <w:noProof/>
          <w:sz w:val="24"/>
          <w:szCs w:val="24"/>
        </w:rPr>
        <w:t>tiszta hidrogén</w:t>
      </w:r>
      <w:r>
        <w:rPr>
          <w:rFonts w:ascii="Times New Roman" w:hAnsi="Times New Roman"/>
          <w:noProof/>
          <w:sz w:val="24"/>
          <w:szCs w:val="24"/>
        </w:rPr>
        <w:t xml:space="preserve"> tekintetében is meghatározza a Bizottság elképzeléseit. A klímasemlegességre való átállást a transzeurópai energiahálózatok használat</w:t>
      </w:r>
      <w:r>
        <w:rPr>
          <w:rFonts w:ascii="Times New Roman" w:hAnsi="Times New Roman"/>
          <w:noProof/>
          <w:sz w:val="24"/>
          <w:szCs w:val="24"/>
        </w:rPr>
        <w:t>a is támogatni fogja.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Különös figyelmet igényelnek a fenntartható és intelligens mobilitással foglalkozó iparágak is. Ezek nagy felelősséget viselnek, és rendelkeznek azzal a potenciállal, hogy ösztönözzék a kettős átállást, támogassák az európai ipar vers</w:t>
      </w:r>
      <w:r>
        <w:rPr>
          <w:rFonts w:ascii="Times New Roman" w:hAnsi="Times New Roman"/>
          <w:noProof/>
          <w:sz w:val="24"/>
          <w:szCs w:val="24"/>
        </w:rPr>
        <w:t>enyképességét és javítsák az összeköttetéseket. Különösen igaz ez a gépjárműiparra, az űrhajózásra, a vasútra és a hajógyártásra, valamint az alternatív üzemanyagokra és az intelligens és összekapcsolt mobilitásra.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Ahhoz, hogy az uniós mobilitási iparágak </w:t>
      </w:r>
      <w:r>
        <w:rPr>
          <w:rFonts w:ascii="Times New Roman" w:hAnsi="Times New Roman"/>
          <w:noProof/>
          <w:sz w:val="24"/>
          <w:szCs w:val="24"/>
        </w:rPr>
        <w:t xml:space="preserve">a kutatás és az innováció élvonalában maradjanak, és megőrizzék a technológiában betöltött globális vezető szerepüket, kulcsfontosságú lesz a szükséges infrastruktúra gyors kiépítése és az erőteljes – többek között közbeszerzési – ösztönzők biztosítása. A </w:t>
      </w:r>
      <w:r>
        <w:rPr>
          <w:rFonts w:ascii="Times New Roman" w:hAnsi="Times New Roman"/>
          <w:noProof/>
          <w:sz w:val="24"/>
          <w:szCs w:val="24"/>
        </w:rPr>
        <w:t xml:space="preserve">biztonságos, fenntartható, hozzáférhető, stabil és reziliens mobilitásra vonatkozó új nemzetközi szabványok kialakításához az ágazat teljes értékláncának hozzá kell járulnia. A Bizottság a </w:t>
      </w:r>
      <w:r>
        <w:rPr>
          <w:rFonts w:ascii="Times New Roman" w:hAnsi="Times New Roman"/>
          <w:b/>
          <w:noProof/>
          <w:sz w:val="24"/>
          <w:szCs w:val="24"/>
        </w:rPr>
        <w:t>fenntartható és intelligens mobilitás átfogó stratégiájában</w:t>
      </w:r>
      <w:r>
        <w:rPr>
          <w:rFonts w:ascii="Times New Roman" w:hAnsi="Times New Roman"/>
          <w:noProof/>
          <w:sz w:val="24"/>
          <w:szCs w:val="24"/>
        </w:rPr>
        <w:t xml:space="preserve"> átfogó </w:t>
      </w:r>
      <w:r>
        <w:rPr>
          <w:rFonts w:ascii="Times New Roman" w:hAnsi="Times New Roman"/>
          <w:noProof/>
          <w:sz w:val="24"/>
          <w:szCs w:val="24"/>
        </w:rPr>
        <w:t>intézkedéseket fog előterjeszteni az ágazatban rejlő lehetőségek lehető legjobb kiaknázására.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Amennyiben a világ különböző pontjain továbbra is eltérő fokú ambíciókat táplálnak, a Bizottság 2021-ben javaslatot tesz </w:t>
      </w:r>
      <w:r>
        <w:rPr>
          <w:rFonts w:ascii="Times New Roman" w:hAnsi="Times New Roman"/>
          <w:b/>
          <w:noProof/>
          <w:sz w:val="24"/>
          <w:szCs w:val="24"/>
        </w:rPr>
        <w:t>az importált fogyasztási cikkek karbonint</w:t>
      </w:r>
      <w:r>
        <w:rPr>
          <w:rFonts w:ascii="Times New Roman" w:hAnsi="Times New Roman"/>
          <w:b/>
          <w:noProof/>
          <w:sz w:val="24"/>
          <w:szCs w:val="24"/>
        </w:rPr>
        <w:t>enzitását ellensúlyozó mechanizmusra</w:t>
      </w:r>
      <w:r>
        <w:rPr>
          <w:rFonts w:ascii="Times New Roman" w:hAnsi="Times New Roman"/>
          <w:noProof/>
          <w:sz w:val="24"/>
          <w:szCs w:val="24"/>
        </w:rPr>
        <w:t>, amelynek célja a kibocsátásáthelyezés kockázatának csökkentése a WTO szabályaival teljes összhangban. Emellett meg kell erősíteni a kibocsátásáthelyezés kezelésére szolgáló jelenlegi eszközeinket is.</w:t>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552"/>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Az intelligens ágazati integrációt célzó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közös európai energiaügyi adattér</w:t>
            </w:r>
            <w:r>
              <w:rPr>
                <w:rFonts w:ascii="Times New Roman" w:hAnsi="Times New Roman"/>
                <w:noProof/>
                <w:sz w:val="24"/>
                <w:szCs w:val="24"/>
              </w:rPr>
              <w:t xml:space="preserve"> ki fogja aknázni az adatokban rejlő lehetőségeket az energiaágazat innovációs kapacitásának növelése érdekében.</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méltányos átállási platform</w:t>
            </w:r>
            <w:r>
              <w:rPr>
                <w:rFonts w:ascii="Times New Roman" w:hAnsi="Times New Roman"/>
                <w:noProof/>
                <w:sz w:val="24"/>
                <w:szCs w:val="24"/>
              </w:rPr>
              <w:t xml:space="preserve"> elindítása nyomán technik</w:t>
            </w:r>
            <w:r>
              <w:rPr>
                <w:rFonts w:ascii="Times New Roman" w:hAnsi="Times New Roman"/>
                <w:noProof/>
                <w:sz w:val="24"/>
                <w:szCs w:val="24"/>
              </w:rPr>
              <w:t>ai és tanácsadási támogatást kapnak a intenzív szén-dioxid-kibocsátású régiók és iparágak.</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tiszta acélgyártásra vonatkozó uniós stratégia</w:t>
            </w:r>
            <w:r>
              <w:rPr>
                <w:rFonts w:ascii="Times New Roman" w:hAnsi="Times New Roman"/>
                <w:noProof/>
                <w:sz w:val="24"/>
                <w:szCs w:val="24"/>
              </w:rPr>
              <w:t xml:space="preserve"> és a </w:t>
            </w:r>
            <w:r>
              <w:rPr>
                <w:rFonts w:ascii="Times New Roman" w:hAnsi="Times New Roman"/>
                <w:b/>
                <w:noProof/>
                <w:sz w:val="24"/>
                <w:szCs w:val="24"/>
              </w:rPr>
              <w:t>vegyi anyagokra vonatkozó fenntarthatósági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 xml:space="preserve">transzeurópai energetikai infrastruktúráról szóló </w:t>
            </w:r>
            <w:r>
              <w:rPr>
                <w:rFonts w:ascii="Times New Roman" w:hAnsi="Times New Roman"/>
                <w:b/>
                <w:noProof/>
                <w:sz w:val="24"/>
                <w:szCs w:val="24"/>
              </w:rPr>
              <w:t>rendelet</w:t>
            </w:r>
            <w:r>
              <w:rPr>
                <w:rFonts w:ascii="Times New Roman" w:hAnsi="Times New Roman"/>
                <w:noProof/>
                <w:sz w:val="24"/>
                <w:szCs w:val="24"/>
              </w:rPr>
              <w:t xml:space="preserve"> (TEN-E) felülvizsgálata.</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tengeri megújuló energiára</w:t>
            </w:r>
            <w:r>
              <w:rPr>
                <w:rFonts w:ascii="Times New Roman" w:hAnsi="Times New Roman"/>
                <w:noProof/>
                <w:sz w:val="24"/>
                <w:szCs w:val="24"/>
              </w:rPr>
              <w:t xml:space="preserve"> vonatkozó uniós stratégia.</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fenntartható és intelligens mobilitás</w:t>
            </w:r>
            <w:r>
              <w:rPr>
                <w:rFonts w:ascii="Times New Roman" w:hAnsi="Times New Roman"/>
                <w:noProof/>
                <w:sz w:val="24"/>
                <w:szCs w:val="24"/>
              </w:rPr>
              <w:t xml:space="preserve"> átfogó stratégiája.</w:t>
            </w:r>
          </w:p>
          <w:p w:rsidR="00581FBB" w:rsidRDefault="000A6010">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Épület-korszerűsítési kezdeményezés és az </w:t>
            </w:r>
            <w:r>
              <w:rPr>
                <w:rFonts w:ascii="Times New Roman" w:hAnsi="Times New Roman"/>
                <w:b/>
                <w:noProof/>
                <w:sz w:val="24"/>
                <w:szCs w:val="24"/>
              </w:rPr>
              <w:t>épített környezetre vonatkozó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 xml:space="preserve">Az importált </w:t>
            </w:r>
            <w:r>
              <w:rPr>
                <w:rFonts w:ascii="Times New Roman" w:hAnsi="Times New Roman"/>
                <w:b/>
                <w:noProof/>
                <w:sz w:val="24"/>
                <w:szCs w:val="24"/>
              </w:rPr>
              <w:t>fogyasztási cikkek karbonintenzitását ellensúlyozó mechanizmus</w:t>
            </w:r>
            <w:r>
              <w:rPr>
                <w:rFonts w:ascii="Times New Roman" w:hAnsi="Times New Roman"/>
                <w:noProof/>
                <w:sz w:val="24"/>
                <w:szCs w:val="24"/>
              </w:rPr>
              <w:t xml:space="preserve"> a kibocsátásáthelyezés csökkentése érdekében, teljes összhangban a WTO-szabályokkal.</w:t>
            </w:r>
          </w:p>
          <w:p w:rsidR="00581FBB" w:rsidRDefault="00581FBB">
            <w:pPr>
              <w:pStyle w:val="ListParagraph"/>
              <w:spacing w:line="240" w:lineRule="auto"/>
              <w:jc w:val="both"/>
              <w:rPr>
                <w:rFonts w:ascii="Times New Roman" w:hAnsi="Times New Roman" w:cs="Times New Roman"/>
                <w:b/>
                <w:noProof/>
                <w:sz w:val="24"/>
                <w:szCs w:val="24"/>
              </w:rPr>
            </w:pPr>
          </w:p>
        </w:tc>
      </w:tr>
    </w:tbl>
    <w:p w:rsidR="00581FBB" w:rsidRDefault="000A6010">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t>3.4. A körforgásos gazdaság kiteljesítése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iparnak vezető szerepet kell játszania az ökológiai á</w:t>
      </w:r>
      <w:r>
        <w:rPr>
          <w:rFonts w:ascii="Times New Roman" w:hAnsi="Times New Roman"/>
          <w:noProof/>
          <w:sz w:val="24"/>
          <w:szCs w:val="24"/>
        </w:rPr>
        <w:t>tállásban, összhangban Európa új növekedési stratégiájával, amely többet ad vissza, mint amennyit kiaknáz. Ez azt jelenti, hogy csökkenteni kell az európai ipar szén- és anyaglábnyomát, és a gazdaság egészébe be kell építeni a körforgásosságot.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Ennek érdek</w:t>
      </w:r>
      <w:r>
        <w:rPr>
          <w:rFonts w:ascii="Times New Roman" w:hAnsi="Times New Roman"/>
          <w:noProof/>
          <w:sz w:val="24"/>
          <w:szCs w:val="24"/>
        </w:rPr>
        <w:t xml:space="preserve">ében el kell távolodnunk attól az igen régóta alkalmazott modelltől, hogy a Föld erőforrásaiból termékeket állítunk elő, amelyeket azután elhasználunk és kidobunk. </w:t>
      </w:r>
      <w:r>
        <w:rPr>
          <w:rFonts w:ascii="Times New Roman" w:hAnsi="Times New Roman"/>
          <w:b/>
          <w:noProof/>
          <w:sz w:val="24"/>
          <w:szCs w:val="24"/>
        </w:rPr>
        <w:t>Forradalmasítanunk kell a dolgok megtervezésének, előállításának, felhasználásának és megsem</w:t>
      </w:r>
      <w:r>
        <w:rPr>
          <w:rFonts w:ascii="Times New Roman" w:hAnsi="Times New Roman"/>
          <w:b/>
          <w:noProof/>
          <w:sz w:val="24"/>
          <w:szCs w:val="24"/>
        </w:rPr>
        <w:t>misítésének</w:t>
      </w:r>
      <w:r>
        <w:rPr>
          <w:rFonts w:ascii="Times New Roman" w:hAnsi="Times New Roman"/>
          <w:noProof/>
          <w:sz w:val="24"/>
          <w:szCs w:val="24"/>
        </w:rPr>
        <w:t xml:space="preserve"> módját, ösztönözve iparunkat.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 a körforgást előtérbe helyező megközelítés tisztább és versenyképesebb ipar kialakulását biztosítja a környezeti hatások csökkentése, a szűkös erőforrásokért folyó verseny enyhítése és a termelési költségek csök</w:t>
      </w:r>
      <w:r>
        <w:rPr>
          <w:rFonts w:ascii="Times New Roman" w:hAnsi="Times New Roman"/>
          <w:noProof/>
          <w:sz w:val="24"/>
          <w:szCs w:val="24"/>
        </w:rPr>
        <w:t xml:space="preserve">kentése révén. </w:t>
      </w:r>
      <w:r>
        <w:rPr>
          <w:rFonts w:ascii="Times New Roman" w:hAnsi="Times New Roman"/>
          <w:b/>
          <w:noProof/>
          <w:sz w:val="24"/>
          <w:szCs w:val="24"/>
        </w:rPr>
        <w:t>Mindez legalább annyira üzleti érdek, mint amennyire környezetvédelmi és erkölcsi szükségszerűség.</w:t>
      </w:r>
      <w:r>
        <w:rPr>
          <w:rFonts w:ascii="Times New Roman" w:hAnsi="Times New Roman"/>
          <w:noProof/>
          <w:sz w:val="24"/>
          <w:szCs w:val="24"/>
        </w:rPr>
        <w:t xml:space="preserve"> A körforgásos gazdaság elveinek valamennyi ágazatban és iparágban történő alkalmazása 2030-ig 700 000 új munkahelyet teremthet az EU-ban, közü</w:t>
      </w:r>
      <w:r>
        <w:rPr>
          <w:rFonts w:ascii="Times New Roman" w:hAnsi="Times New Roman"/>
          <w:noProof/>
          <w:sz w:val="24"/>
          <w:szCs w:val="24"/>
        </w:rPr>
        <w:t>lük számosat a kkv-knál.</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 már most is jó helyzetben van ezen a területen, és most arra kell összpontosítania, hogy megszilárdítsa a lépéselőnyét. A </w:t>
      </w:r>
      <w:r>
        <w:rPr>
          <w:rFonts w:ascii="Times New Roman" w:hAnsi="Times New Roman"/>
          <w:b/>
          <w:noProof/>
          <w:sz w:val="24"/>
          <w:szCs w:val="24"/>
        </w:rPr>
        <w:t>körforgásos gazdaságra vonatkozó új cselekvési terv</w:t>
      </w:r>
      <w:r>
        <w:rPr>
          <w:rStyle w:val="FootnoteReference"/>
          <w:rFonts w:ascii="Times New Roman" w:hAnsi="Times New Roman" w:cs="Times New Roman"/>
          <w:b/>
          <w:noProof/>
          <w:sz w:val="24"/>
          <w:szCs w:val="24"/>
        </w:rPr>
        <w:footnoteReference w:id="9"/>
      </w:r>
      <w:r>
        <w:rPr>
          <w:rFonts w:ascii="Times New Roman" w:hAnsi="Times New Roman"/>
          <w:noProof/>
          <w:sz w:val="24"/>
          <w:szCs w:val="24"/>
        </w:rPr>
        <w:t xml:space="preserve"> egy sor intézkedést terjeszt elő annak érdekében, </w:t>
      </w:r>
      <w:r>
        <w:rPr>
          <w:rFonts w:ascii="Times New Roman" w:hAnsi="Times New Roman"/>
          <w:noProof/>
          <w:sz w:val="24"/>
          <w:szCs w:val="24"/>
        </w:rPr>
        <w:t>hogy az uniós ipar kihasználhassa ezeket a lehetőségeket.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Ennek középpontjában egy új, </w:t>
      </w:r>
      <w:r>
        <w:rPr>
          <w:rFonts w:ascii="Times New Roman" w:hAnsi="Times New Roman"/>
          <w:b/>
          <w:noProof/>
          <w:sz w:val="24"/>
          <w:szCs w:val="24"/>
        </w:rPr>
        <w:t>fenntartható termékpolitikára vonatkozó keret</w:t>
      </w:r>
      <w:r>
        <w:rPr>
          <w:rFonts w:ascii="Times New Roman" w:hAnsi="Times New Roman"/>
          <w:noProof/>
          <w:sz w:val="24"/>
          <w:szCs w:val="24"/>
        </w:rPr>
        <w:t xml:space="preserve"> áll, amely valamennyi termékre vonatkozóan fenntarthatósági elveket határoz meg, hozzájárulva az európai ipar versenyképess</w:t>
      </w:r>
      <w:r>
        <w:rPr>
          <w:rFonts w:ascii="Times New Roman" w:hAnsi="Times New Roman"/>
          <w:noProof/>
          <w:sz w:val="24"/>
          <w:szCs w:val="24"/>
        </w:rPr>
        <w:t>égének növeléséhez. Elsőbbséget élveznek a jelentős hatást gyakorló termékcsoportok, és a fellépések között szerepel az egységes töltőre vonatkozó kezdeményezés, a körforgásos elektronikai kezdeményezés, az akkumulátorokra vonatkozó fenntarthatósági követe</w:t>
      </w:r>
      <w:r>
        <w:rPr>
          <w:rFonts w:ascii="Times New Roman" w:hAnsi="Times New Roman"/>
          <w:noProof/>
          <w:sz w:val="24"/>
          <w:szCs w:val="24"/>
        </w:rPr>
        <w:t>lmények előírása, valamint a textilágazatra vonatkozó új intézkedések megállapítása.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cselekvési terv továbbá olyan intézkedéseket is tartalmaz, amelyek lehetővé teszik a </w:t>
      </w:r>
      <w:r>
        <w:rPr>
          <w:rFonts w:ascii="Times New Roman" w:hAnsi="Times New Roman"/>
          <w:b/>
          <w:noProof/>
          <w:sz w:val="24"/>
          <w:szCs w:val="24"/>
        </w:rPr>
        <w:t>fogyasztók aktívabb bekapcsolódását a körforgásos gazdaságba</w:t>
      </w:r>
      <w:r>
        <w:rPr>
          <w:rFonts w:ascii="Times New Roman" w:hAnsi="Times New Roman"/>
          <w:noProof/>
          <w:sz w:val="24"/>
          <w:szCs w:val="24"/>
        </w:rPr>
        <w:t>. A fogyasztóknak megbíz</w:t>
      </w:r>
      <w:r>
        <w:rPr>
          <w:rFonts w:ascii="Times New Roman" w:hAnsi="Times New Roman"/>
          <w:noProof/>
          <w:sz w:val="24"/>
          <w:szCs w:val="24"/>
        </w:rPr>
        <w:t>ható és releváns információkat kell kapniuk az újrafelhasználható, tartós és javítható termékek kiválasztásához. A Bizottság javaslatokat fog tenni a fogyasztói jogok és a fogyasztóvédelem javításának módjaira, többek között a fogyasztók „javításhoz való j</w:t>
      </w:r>
      <w:r>
        <w:rPr>
          <w:rFonts w:ascii="Times New Roman" w:hAnsi="Times New Roman"/>
          <w:noProof/>
          <w:sz w:val="24"/>
          <w:szCs w:val="24"/>
        </w:rPr>
        <w:t>ogának” kialakítása révén.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hatóságoknak, beleértve az uniós intézményeket is, jó példával kell elöl járniuk azáltal, hogy környezetbarát árukat, szolgáltatásokat és építési beruházásokat választanak. A </w:t>
      </w:r>
      <w:r>
        <w:rPr>
          <w:rFonts w:ascii="Times New Roman" w:hAnsi="Times New Roman"/>
          <w:b/>
          <w:noProof/>
          <w:sz w:val="24"/>
          <w:szCs w:val="24"/>
        </w:rPr>
        <w:t>zöld közbeszerzés</w:t>
      </w:r>
      <w:r>
        <w:rPr>
          <w:rFonts w:ascii="Times New Roman" w:hAnsi="Times New Roman"/>
          <w:noProof/>
          <w:sz w:val="24"/>
          <w:szCs w:val="24"/>
        </w:rPr>
        <w:t xml:space="preserve"> révén elősegíthetik a fenntartható</w:t>
      </w:r>
      <w:r>
        <w:rPr>
          <w:rFonts w:ascii="Times New Roman" w:hAnsi="Times New Roman"/>
          <w:noProof/>
          <w:sz w:val="24"/>
          <w:szCs w:val="24"/>
        </w:rPr>
        <w:t xml:space="preserve"> fogyasztás és termelés felé való elmozdulást. A Bizottság további jogszabályokat és iránymutatásokat fog előterjeszteni a zöld közbeszerzésre vonatkozóan.</w:t>
      </w:r>
    </w:p>
    <w:tbl>
      <w:tblPr>
        <w:tblStyle w:val="TableGrid"/>
        <w:tblW w:w="9395" w:type="dxa"/>
        <w:shd w:val="clear" w:color="auto" w:fill="BDD6EE" w:themeFill="accent1" w:themeFillTint="66"/>
        <w:tblLook w:val="04A0" w:firstRow="1" w:lastRow="0" w:firstColumn="1" w:lastColumn="0" w:noHBand="0" w:noVBand="1"/>
      </w:tblPr>
      <w:tblGrid>
        <w:gridCol w:w="9395"/>
      </w:tblGrid>
      <w:tr w:rsidR="00581FBB">
        <w:trPr>
          <w:cantSplit/>
          <w:trHeight w:val="1799"/>
        </w:trPr>
        <w:tc>
          <w:tcPr>
            <w:tcW w:w="9395"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A jelen stratégiával párhuzamosan elfogadott, </w:t>
            </w:r>
            <w:r>
              <w:rPr>
                <w:rFonts w:ascii="Times New Roman" w:hAnsi="Times New Roman"/>
                <w:b/>
                <w:noProof/>
                <w:sz w:val="24"/>
                <w:szCs w:val="24"/>
                <w14:textOutline w14:w="9525" w14:cap="rnd" w14:cmpd="sng" w14:algn="ctr">
                  <w14:noFill/>
                  <w14:prstDash w14:val="solid"/>
                  <w14:bevel/>
                </w14:textOutline>
              </w:rPr>
              <w:t>körforgásos gazdaságra vonatkozó cselekvési terv</w:t>
            </w:r>
            <w:r>
              <w:rPr>
                <w:rFonts w:ascii="Times New Roman" w:hAnsi="Times New Roman"/>
                <w:noProof/>
                <w:sz w:val="24"/>
                <w:szCs w:val="24"/>
                <w14:textOutline w14:w="9525" w14:cap="rnd" w14:cmpd="sng" w14:algn="ctr">
                  <w14:noFill/>
                  <w14:prstDash w14:val="solid"/>
                  <w14:bevel/>
                </w14:textOutline>
              </w:rPr>
              <w:t>, beleértve egy új fenntartható termékpolitikai keret kialakítását.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fenntartható akkumulátorokra</w:t>
            </w:r>
            <w:r>
              <w:rPr>
                <w:rFonts w:ascii="Times New Roman" w:hAnsi="Times New Roman"/>
                <w:noProof/>
                <w:sz w:val="24"/>
                <w:szCs w:val="24"/>
              </w:rPr>
              <w:t xml:space="preserve"> </w:t>
            </w:r>
            <w:r>
              <w:rPr>
                <w:rFonts w:ascii="Times New Roman" w:hAnsi="Times New Roman"/>
                <w:b/>
                <w:noProof/>
                <w:sz w:val="24"/>
                <w:szCs w:val="24"/>
              </w:rPr>
              <w:t>vonatkozó új szabályozási keret</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A </w:t>
            </w:r>
            <w:r>
              <w:rPr>
                <w:rFonts w:ascii="Times New Roman" w:hAnsi="Times New Roman"/>
                <w:b/>
                <w:noProof/>
                <w:sz w:val="24"/>
                <w:szCs w:val="24"/>
              </w:rPr>
              <w:t>textilágazatra vonatkozó uniós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sz w:val="24"/>
                <w:szCs w:val="24"/>
              </w:rPr>
              <w:t>Körforgásos elektronikai kezdeményezés</w:t>
            </w:r>
          </w:p>
          <w:p w:rsidR="00581FBB" w:rsidRDefault="000A6010">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14:textOutline w14:w="9525" w14:cap="rnd" w14:cmpd="sng" w14:algn="ctr">
                  <w14:noFill/>
                  <w14:prstDash w14:val="solid"/>
                  <w14:bevel/>
                </w14:textOutline>
              </w:rPr>
              <w:t xml:space="preserve">A </w:t>
            </w:r>
            <w:r>
              <w:rPr>
                <w:rFonts w:ascii="Times New Roman" w:hAnsi="Times New Roman"/>
                <w:b/>
                <w:noProof/>
                <w:sz w:val="24"/>
                <w:szCs w:val="24"/>
                <w14:textOutline w14:w="9525" w14:cap="rnd" w14:cmpd="sng" w14:algn="ctr">
                  <w14:noFill/>
                  <w14:prstDash w14:val="solid"/>
                  <w14:bevel/>
                </w14:textOutline>
              </w:rPr>
              <w:t>tudatos fogyasztói magatartás megerősítése</w:t>
            </w:r>
            <w:r>
              <w:rPr>
                <w:rFonts w:ascii="Times New Roman" w:hAnsi="Times New Roman"/>
                <w:noProof/>
                <w:sz w:val="24"/>
                <w:szCs w:val="24"/>
                <w14:textOutline w14:w="9525" w14:cap="rnd" w14:cmpd="sng" w14:algn="ctr">
                  <w14:noFill/>
                  <w14:prstDash w14:val="solid"/>
                  <w14:bevel/>
                </w14:textOutline>
              </w:rPr>
              <w:t xml:space="preserve"> a termékekre vonatkozó jobb tájékoztatás és a fogyasztói jogok erősítése révén anna</w:t>
            </w:r>
            <w:r>
              <w:rPr>
                <w:rFonts w:ascii="Times New Roman" w:hAnsi="Times New Roman"/>
                <w:noProof/>
                <w:sz w:val="24"/>
                <w:szCs w:val="24"/>
                <w14:textOutline w14:w="9525" w14:cap="rnd" w14:cmpd="sng" w14:algn="ctr">
                  <w14:noFill/>
                  <w14:prstDash w14:val="solid"/>
                  <w14:bevel/>
                </w14:textOutline>
              </w:rPr>
              <w:t>k érdekében, hogy a fogyasztók aktív szerepet játszhassanak a körforgásos gazdaságban.</w:t>
            </w:r>
          </w:p>
        </w:tc>
      </w:tr>
    </w:tbl>
    <w:p w:rsidR="00581FBB" w:rsidRDefault="000A6010">
      <w:pPr>
        <w:spacing w:line="240" w:lineRule="auto"/>
        <w:jc w:val="both"/>
        <w:rPr>
          <w:rFonts w:ascii="Times New Roman" w:hAnsi="Times New Roman" w:cs="Times New Roman"/>
          <w:i/>
          <w:noProof/>
          <w:sz w:val="24"/>
          <w:szCs w:val="24"/>
        </w:rPr>
      </w:pPr>
      <w:r>
        <w:rPr>
          <w:rFonts w:ascii="Times New Roman" w:hAnsi="Times New Roman"/>
          <w:i/>
          <w:noProof/>
          <w:sz w:val="24"/>
          <w:szCs w:val="24"/>
        </w:rPr>
        <w:br/>
      </w:r>
      <w:r>
        <w:rPr>
          <w:rFonts w:ascii="Times New Roman" w:hAnsi="Times New Roman"/>
          <w:i/>
          <w:noProof/>
          <w:sz w:val="24"/>
          <w:szCs w:val="24"/>
        </w:rPr>
        <w:br/>
      </w:r>
    </w:p>
    <w:p w:rsidR="00581FBB" w:rsidRDefault="000A6010">
      <w:pPr>
        <w:spacing w:line="240" w:lineRule="auto"/>
        <w:jc w:val="both"/>
        <w:rPr>
          <w:rFonts w:ascii="Times New Roman" w:hAnsi="Times New Roman" w:cs="Times New Roman"/>
          <w:i/>
          <w:noProof/>
          <w:sz w:val="24"/>
          <w:szCs w:val="24"/>
        </w:rPr>
      </w:pPr>
      <w:r>
        <w:rPr>
          <w:rFonts w:ascii="Times New Roman" w:hAnsi="Times New Roman"/>
          <w:i/>
          <w:noProof/>
          <w:sz w:val="24"/>
          <w:szCs w:val="24"/>
        </w:rPr>
        <w:t>3.5. Az ipari innováció szellemének beágyazása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vállalatok az elmúlt öt évben egyre kisebb </w:t>
      </w:r>
      <w:r>
        <w:rPr>
          <w:rFonts w:ascii="Times New Roman" w:hAnsi="Times New Roman"/>
          <w:noProof/>
          <w:sz w:val="24"/>
          <w:szCs w:val="24"/>
        </w:rPr>
        <w:t>szeletet képviseltek a globális kutatási és fejlesztési kiadásokban, míg egyesült államokbeli és kínai társaik részesedése nőtt. E tendencia kezelésének kulcsa az innovációs beruházások felszabadítása lesz annak eldöntésével, hogy mire akarunk összpontosít</w:t>
      </w:r>
      <w:r>
        <w:rPr>
          <w:rFonts w:ascii="Times New Roman" w:hAnsi="Times New Roman"/>
          <w:noProof/>
          <w:sz w:val="24"/>
          <w:szCs w:val="24"/>
        </w:rPr>
        <w:t>ani, valamint a piachoz vezető, a méretgazdaságosságot lehetővé tevő egyértelmű út meghatározásával. Ennek részeként ösztönözni és támogatni kell a kkv-k innovációs tevékenységét és ötleteik piaci bevezetését.</w:t>
      </w:r>
    </w:p>
    <w:p w:rsidR="00581FBB" w:rsidRDefault="000A6010">
      <w:pPr>
        <w:spacing w:line="240" w:lineRule="auto"/>
        <w:jc w:val="both"/>
        <w:rPr>
          <w:rFonts w:ascii="Times New Roman" w:hAnsi="Times New Roman" w:cs="Times New Roman"/>
          <w:b/>
          <w:noProof/>
          <w:sz w:val="24"/>
          <w:szCs w:val="24"/>
        </w:rPr>
      </w:pPr>
      <w:r>
        <w:rPr>
          <w:rFonts w:ascii="Times New Roman" w:hAnsi="Times New Roman"/>
          <w:noProof/>
          <w:sz w:val="24"/>
          <w:szCs w:val="24"/>
        </w:rPr>
        <w:t>A kettős átállással kapcsolatos globális verse</w:t>
      </w:r>
      <w:r>
        <w:rPr>
          <w:rFonts w:ascii="Times New Roman" w:hAnsi="Times New Roman"/>
          <w:noProof/>
          <w:sz w:val="24"/>
          <w:szCs w:val="24"/>
        </w:rPr>
        <w:t>ny egyre inkább a felderítő kutatásra és a „mély” technológiák elsajátítására fog épülni. Az ipar következő korszaka a fizikai, digitális és biológiai világ találkozása lesz. Ha Európa vezető szerepet kíván vállalni a kettős átállásban, akkor iparstratégiá</w:t>
      </w:r>
      <w:r>
        <w:rPr>
          <w:rFonts w:ascii="Times New Roman" w:hAnsi="Times New Roman"/>
          <w:noProof/>
          <w:sz w:val="24"/>
          <w:szCs w:val="24"/>
        </w:rPr>
        <w:t xml:space="preserve">nknak lényegében </w:t>
      </w:r>
      <w:r>
        <w:rPr>
          <w:rFonts w:ascii="Times New Roman" w:hAnsi="Times New Roman"/>
          <w:b/>
          <w:noProof/>
          <w:sz w:val="24"/>
          <w:szCs w:val="24"/>
        </w:rPr>
        <w:t>ipari innovációs stratégiának</w:t>
      </w:r>
      <w:r>
        <w:rPr>
          <w:rFonts w:ascii="Times New Roman" w:hAnsi="Times New Roman"/>
          <w:noProof/>
          <w:sz w:val="24"/>
          <w:szCs w:val="24"/>
        </w:rPr>
        <w:t xml:space="preserve"> kell lennie.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 azt is jelenti, hogy a diszruptív és áttörést hozó kutatásba és innovációba való beruházások fokozásával párhuzamosan meg kell barátkoznunk az esetleges kudarc gondolatával. Ez segít abban, hog</w:t>
      </w:r>
      <w:r>
        <w:rPr>
          <w:rFonts w:ascii="Times New Roman" w:hAnsi="Times New Roman"/>
          <w:noProof/>
          <w:sz w:val="24"/>
          <w:szCs w:val="24"/>
        </w:rPr>
        <w:t xml:space="preserve">y tanuljunk, alkalmazkodjunk, és szükség esetén az előrelépés érdekében mindent elölről kezdhessünk. Szemléletváltásra van szükség: kockázatkerülés helyett az esetleges kudarc elviselésének képességére. Ennek minden területen tükröződnie kell, és </w:t>
      </w:r>
      <w:r>
        <w:rPr>
          <w:rFonts w:ascii="Times New Roman" w:hAnsi="Times New Roman"/>
          <w:b/>
          <w:noProof/>
          <w:sz w:val="24"/>
          <w:szCs w:val="24"/>
        </w:rPr>
        <w:t>az innová</w:t>
      </w:r>
      <w:r>
        <w:rPr>
          <w:rFonts w:ascii="Times New Roman" w:hAnsi="Times New Roman"/>
          <w:b/>
          <w:noProof/>
          <w:sz w:val="24"/>
          <w:szCs w:val="24"/>
        </w:rPr>
        <w:t>ció szempontját be kell ágyaznunk a szakpolitikai döntéshozatalba</w:t>
      </w:r>
      <w:r>
        <w:rPr>
          <w:rFonts w:ascii="Times New Roman" w:hAnsi="Times New Roman"/>
          <w:noProof/>
          <w:sz w:val="24"/>
          <w:szCs w:val="24"/>
        </w:rPr>
        <w:t>. A jobb szabályozásra és a stratégiai előrejelzésre irányuló munkánk részeként biztosítani fogjuk, hogy szakpolitikáink ösztönözzék az innovációt.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ipari ágazatokat fel kell kérni és ösztö</w:t>
      </w:r>
      <w:r>
        <w:rPr>
          <w:rFonts w:ascii="Times New Roman" w:hAnsi="Times New Roman"/>
          <w:noProof/>
          <w:sz w:val="24"/>
          <w:szCs w:val="24"/>
        </w:rPr>
        <w:t>nözni kell arra, hogy határozzák meg a klímasemlegességre vagy a digitális vezető szerepre vonatkozó saját ütemterveiket. Ezeket magas színvonalú kutatással és készségekkel kell megerősíteni, és az EU-nak is támogatnia kell. Az európai zöld megállapodás el</w:t>
      </w:r>
      <w:r>
        <w:rPr>
          <w:rFonts w:ascii="Times New Roman" w:hAnsi="Times New Roman"/>
          <w:noProof/>
          <w:sz w:val="24"/>
          <w:szCs w:val="24"/>
        </w:rPr>
        <w:t xml:space="preserve">indítása óta már több ágazat alkalmazta ezt a megközelítést. A közös tervezést és a vállalkozói szellemet előtérbe helyező jelen stratégia jegyében mindezt a </w:t>
      </w:r>
      <w:r>
        <w:rPr>
          <w:rFonts w:ascii="Times New Roman" w:hAnsi="Times New Roman"/>
          <w:b/>
          <w:noProof/>
          <w:sz w:val="24"/>
          <w:szCs w:val="24"/>
        </w:rPr>
        <w:t>köz- és magánszféra közötti partnerségeken</w:t>
      </w:r>
      <w:r>
        <w:rPr>
          <w:rFonts w:ascii="Times New Roman" w:hAnsi="Times New Roman"/>
          <w:noProof/>
          <w:sz w:val="24"/>
          <w:szCs w:val="24"/>
        </w:rPr>
        <w:t xml:space="preserve"> keresztül kell támogatni annak érdekében, hogy segítsék</w:t>
      </w:r>
      <w:r>
        <w:rPr>
          <w:rFonts w:ascii="Times New Roman" w:hAnsi="Times New Roman"/>
          <w:noProof/>
          <w:sz w:val="24"/>
          <w:szCs w:val="24"/>
        </w:rPr>
        <w:t xml:space="preserve"> az iparvállalatokat a céljaik eléréséhez szükséges technológiák kifejlesztésében, amint ez az ipari szövetségekben is sikerre vezetett.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2021-ben teljes körűen elinduló </w:t>
      </w:r>
      <w:r>
        <w:rPr>
          <w:rFonts w:ascii="Times New Roman" w:hAnsi="Times New Roman"/>
          <w:b/>
          <w:noProof/>
          <w:sz w:val="24"/>
          <w:szCs w:val="24"/>
        </w:rPr>
        <w:t>Európai Innovációs Tanács</w:t>
      </w:r>
      <w:r>
        <w:rPr>
          <w:rFonts w:ascii="Times New Roman" w:hAnsi="Times New Roman"/>
          <w:noProof/>
          <w:sz w:val="24"/>
          <w:szCs w:val="24"/>
        </w:rPr>
        <w:t xml:space="preserve"> arra is törekszik majd, hogy a lehető legjobban kiaknázza a</w:t>
      </w:r>
      <w:r>
        <w:rPr>
          <w:rFonts w:ascii="Times New Roman" w:hAnsi="Times New Roman"/>
          <w:noProof/>
          <w:sz w:val="24"/>
          <w:szCs w:val="24"/>
        </w:rPr>
        <w:t>z erős európai kutatási bázist. Azonosítani fogja az új generációs technológiákat, fel fogja gyorsítani azok kereskedelmi alkalmazását, és segíteni fogja a rájuk támaszkodó, induló vállalkozások gyors felfuttatását.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egységes piacnak is szerepet kell vál</w:t>
      </w:r>
      <w:r>
        <w:rPr>
          <w:rFonts w:ascii="Times New Roman" w:hAnsi="Times New Roman"/>
          <w:noProof/>
          <w:sz w:val="24"/>
          <w:szCs w:val="24"/>
        </w:rPr>
        <w:t xml:space="preserve">lalnia azáltal, hogy ösztönzi az innovációt a méretgazdaságosság, a sebesség és a választék lehető legjobb kihasználása érdekében. Ösztönözni kell a </w:t>
      </w:r>
      <w:r>
        <w:rPr>
          <w:rFonts w:ascii="Times New Roman" w:hAnsi="Times New Roman"/>
          <w:b/>
          <w:noProof/>
          <w:sz w:val="24"/>
          <w:szCs w:val="24"/>
        </w:rPr>
        <w:t>helyi alapú innovációt és kísérleti megközelítéseket</w:t>
      </w:r>
      <w:r>
        <w:rPr>
          <w:rFonts w:ascii="Times New Roman" w:hAnsi="Times New Roman"/>
          <w:noProof/>
          <w:sz w:val="24"/>
          <w:szCs w:val="24"/>
        </w:rPr>
        <w:t>. Ez lehetővé tenné a régiók számára, hogy a kkv-kkal é</w:t>
      </w:r>
      <w:r>
        <w:rPr>
          <w:rFonts w:ascii="Times New Roman" w:hAnsi="Times New Roman"/>
          <w:noProof/>
          <w:sz w:val="24"/>
          <w:szCs w:val="24"/>
        </w:rPr>
        <w:t>s a fogyasztókkal együttműködve új megoldásokat dolgozzanak ki és teszteljenek helyi sajátosságaikra, erősségeikre és specialitásaikra építve. Az innovatív üzleti modellek bevezetése érdekében az új technológiákat és megoldásokat a politikai döntéshozók és</w:t>
      </w:r>
      <w:r>
        <w:rPr>
          <w:rFonts w:ascii="Times New Roman" w:hAnsi="Times New Roman"/>
          <w:noProof/>
          <w:sz w:val="24"/>
          <w:szCs w:val="24"/>
        </w:rPr>
        <w:t xml:space="preserve"> a szabályozó hatóságok élesben tesztelhetnék.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tesztelést és a tökéletesítést követően ezeket a megoldásokat az európai és globális piacokra is ki lehet terjeszteni, biztosítva, hogy az EU továbbra is élen járjon. A </w:t>
      </w:r>
      <w:r>
        <w:rPr>
          <w:rFonts w:ascii="Times New Roman" w:hAnsi="Times New Roman"/>
          <w:b/>
          <w:noProof/>
          <w:sz w:val="24"/>
          <w:szCs w:val="24"/>
        </w:rPr>
        <w:t>digitális innovációs központok</w:t>
      </w:r>
      <w:r>
        <w:rPr>
          <w:rFonts w:ascii="Times New Roman" w:hAnsi="Times New Roman"/>
          <w:noProof/>
          <w:sz w:val="24"/>
          <w:szCs w:val="24"/>
        </w:rPr>
        <w:t>, amelye</w:t>
      </w:r>
      <w:r>
        <w:rPr>
          <w:rFonts w:ascii="Times New Roman" w:hAnsi="Times New Roman"/>
          <w:noProof/>
          <w:sz w:val="24"/>
          <w:szCs w:val="24"/>
        </w:rPr>
        <w:t xml:space="preserve">k egyablakos kapcsolattartóként biztosítják a vállalatok hozzáférését a technológiateszteléshez, jó kiindulási platformot jelentenek. </w:t>
      </w:r>
      <w:r>
        <w:rPr>
          <w:rFonts w:ascii="Times New Roman" w:hAnsi="Times New Roman"/>
          <w:noProof/>
          <w:sz w:val="24"/>
          <w:szCs w:val="24"/>
        </w:rPr>
        <w:br/>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557"/>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Közlemény a </w:t>
            </w:r>
            <w:r>
              <w:rPr>
                <w:rFonts w:ascii="Times New Roman" w:hAnsi="Times New Roman"/>
                <w:b/>
                <w:noProof/>
                <w:sz w:val="24"/>
                <w:szCs w:val="24"/>
                <w14:textOutline w14:w="9525" w14:cap="rnd" w14:cmpd="sng" w14:algn="ctr">
                  <w14:noFill/>
                  <w14:prstDash w14:val="solid"/>
                  <w14:bevel/>
                </w14:textOutline>
              </w:rPr>
              <w:t>kutatás és az innováció j</w:t>
            </w:r>
            <w:r>
              <w:rPr>
                <w:rFonts w:ascii="Times New Roman" w:hAnsi="Times New Roman"/>
                <w:b/>
                <w:noProof/>
                <w:sz w:val="24"/>
                <w:szCs w:val="24"/>
                <w14:textOutline w14:w="9525" w14:cap="rnd" w14:cmpd="sng" w14:algn="ctr">
                  <w14:noFill/>
                  <w14:prstDash w14:val="solid"/>
                  <w14:bevel/>
                </w14:textOutline>
              </w:rPr>
              <w:t xml:space="preserve">övőjéről, valamint az Európai Kutatási Térségről </w:t>
            </w:r>
            <w:r>
              <w:rPr>
                <w:rFonts w:ascii="Times New Roman" w:hAnsi="Times New Roman"/>
                <w:noProof/>
                <w:sz w:val="24"/>
                <w:szCs w:val="24"/>
                <w14:textOutline w14:w="9525" w14:cap="rnd" w14:cmpd="sng" w14:algn="ctr">
                  <w14:noFill/>
                  <w14:prstDash w14:val="solid"/>
                  <w14:bevel/>
                </w14:textOutline>
              </w:rPr>
              <w:t>az innováció új megközelítésének felvázolása és annak biztosítása érdekében, hogy az uniós költségvetés a lehető legnagyobb hatást fejtse ki.</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A </w:t>
            </w:r>
            <w:r>
              <w:rPr>
                <w:rFonts w:ascii="Times New Roman" w:hAnsi="Times New Roman"/>
                <w:b/>
                <w:noProof/>
                <w:sz w:val="24"/>
                <w:szCs w:val="24"/>
                <w14:textOutline w14:w="9525" w14:cap="rnd" w14:cmpd="sng" w14:algn="ctr">
                  <w14:noFill/>
                  <w14:prstDash w14:val="solid"/>
                  <w14:bevel/>
                </w14:textOutline>
              </w:rPr>
              <w:t>köz- és magánszféra közötti partnerségek</w:t>
            </w:r>
            <w:r>
              <w:rPr>
                <w:rFonts w:ascii="Times New Roman" w:hAnsi="Times New Roman"/>
                <w:noProof/>
                <w:sz w:val="24"/>
                <w:szCs w:val="24"/>
                <w14:textOutline w14:w="9525" w14:cap="rnd" w14:cmpd="sng" w14:algn="ctr">
                  <w14:noFill/>
                  <w14:prstDash w14:val="solid"/>
                  <w14:bevel/>
                </w14:textOutline>
              </w:rPr>
              <w:t xml:space="preserve"> elindítása a Horizont Európa program keretében.</w:t>
            </w:r>
          </w:p>
        </w:tc>
      </w:tr>
    </w:tbl>
    <w:p w:rsidR="00581FBB" w:rsidRDefault="000A6010">
      <w:pPr>
        <w:jc w:val="both"/>
        <w:rPr>
          <w:rFonts w:ascii="Times New Roman" w:hAnsi="Times New Roman" w:cs="Times New Roman"/>
          <w:i/>
          <w:noProof/>
          <w:sz w:val="24"/>
          <w:szCs w:val="24"/>
        </w:rPr>
      </w:pPr>
      <w:r>
        <w:rPr>
          <w:rFonts w:ascii="Times New Roman" w:hAnsi="Times New Roman"/>
          <w:i/>
          <w:noProof/>
          <w:sz w:val="24"/>
          <w:szCs w:val="24"/>
        </w:rPr>
        <w:br/>
      </w:r>
    </w:p>
    <w:p w:rsidR="00581FBB" w:rsidRDefault="000A6010">
      <w:pPr>
        <w:jc w:val="both"/>
        <w:rPr>
          <w:rFonts w:ascii="Times New Roman" w:hAnsi="Times New Roman" w:cs="Times New Roman"/>
          <w:i/>
          <w:noProof/>
          <w:sz w:val="24"/>
          <w:szCs w:val="24"/>
        </w:rPr>
      </w:pPr>
      <w:r>
        <w:rPr>
          <w:rFonts w:ascii="Times New Roman" w:hAnsi="Times New Roman"/>
          <w:i/>
          <w:iCs/>
          <w:noProof/>
          <w:sz w:val="24"/>
          <w:szCs w:val="24"/>
        </w:rPr>
        <w:t>3.6. Képzés és átképzés</w:t>
      </w:r>
    </w:p>
    <w:p w:rsidR="00581FBB" w:rsidRDefault="000A6010">
      <w:pPr>
        <w:spacing w:line="240" w:lineRule="auto"/>
        <w:jc w:val="both"/>
        <w:rPr>
          <w:rFonts w:ascii="Times New Roman" w:hAnsi="Times New Roman" w:cs="Times New Roman"/>
          <w:noProof/>
          <w:sz w:val="24"/>
          <w:szCs w:val="24"/>
        </w:rPr>
      </w:pPr>
      <w:r>
        <w:rPr>
          <w:rFonts w:ascii="Times New Roman" w:hAnsi="Times New Roman"/>
          <w:b/>
          <w:noProof/>
          <w:sz w:val="24"/>
          <w:szCs w:val="24"/>
        </w:rPr>
        <w:t>Az ipar versenyképességnek előfeltétele a képzett munkaerő felvétele és megtartása</w:t>
      </w:r>
      <w:r>
        <w:rPr>
          <w:rFonts w:ascii="Times New Roman" w:hAnsi="Times New Roman"/>
          <w:noProof/>
          <w:sz w:val="24"/>
          <w:szCs w:val="24"/>
        </w:rPr>
        <w:t>. Európának biztosítania kell, hogy az oktatás és a képzés lépést tartson a kettős</w:t>
      </w:r>
      <w:r>
        <w:rPr>
          <w:rFonts w:ascii="Times New Roman" w:hAnsi="Times New Roman"/>
          <w:noProof/>
          <w:sz w:val="24"/>
          <w:szCs w:val="24"/>
        </w:rPr>
        <w:t xml:space="preserve"> átállás gyorsuló ütemével. Egyre fontosabb, hogy az egész életen át tartó tanulás mindenki számára realitássá váljon: csak a következő öt évben 120 millió európainak kell majd továbbképzésen vagy átképzésen részt vennie.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Ez azt tükrözi, hogy a kettős átál</w:t>
      </w:r>
      <w:r>
        <w:rPr>
          <w:rFonts w:ascii="Times New Roman" w:hAnsi="Times New Roman"/>
          <w:noProof/>
          <w:sz w:val="24"/>
          <w:szCs w:val="24"/>
        </w:rPr>
        <w:t>lás során felértékelődik a készségek fontossága és új lehetőségek nyílnak az emberek számára. Az alacsony szén-dioxid-kibocsátású gazdaságra való átállás 2030-ig várhatóan több mint 1 millió munkahelyet teremt, miközben Európában már jelenleg is 1 millió á</w:t>
      </w:r>
      <w:r>
        <w:rPr>
          <w:rFonts w:ascii="Times New Roman" w:hAnsi="Times New Roman"/>
          <w:noProof/>
          <w:sz w:val="24"/>
          <w:szCs w:val="24"/>
        </w:rPr>
        <w:t>lláshely áll rendelkezésre digitális technológiai szakértők számára. Ugyanakkor a vállalatok 70 %-a számolt be arról, hogy késleltetik a beruházásokat, mivel nem találják meg a megfelelő készségekkel rendelkező munkaerőt.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ipari dolgozók számára a digita</w:t>
      </w:r>
      <w:r>
        <w:rPr>
          <w:rFonts w:ascii="Times New Roman" w:hAnsi="Times New Roman"/>
          <w:noProof/>
          <w:sz w:val="24"/>
          <w:szCs w:val="24"/>
        </w:rPr>
        <w:t xml:space="preserve">lizáció, az automatizálás és a mesterséges intelligencia fejlődése példátlan készségváltást tesz szükségessé. Az átképzésnek szociális piacgazdaságunk jelentős elemét kell képeznie. </w:t>
      </w:r>
      <w:r>
        <w:rPr>
          <w:rFonts w:ascii="Times New Roman" w:hAnsi="Times New Roman"/>
          <w:b/>
          <w:noProof/>
          <w:sz w:val="24"/>
          <w:szCs w:val="24"/>
        </w:rPr>
        <w:t>Felsőoktatási és szakképzési rendszereinknek</w:t>
      </w:r>
      <w:r>
        <w:rPr>
          <w:rFonts w:ascii="Times New Roman" w:hAnsi="Times New Roman"/>
          <w:noProof/>
          <w:sz w:val="24"/>
          <w:szCs w:val="24"/>
        </w:rPr>
        <w:t xml:space="preserve"> is több tudóst, mérnököt és t</w:t>
      </w:r>
      <w:r>
        <w:rPr>
          <w:rFonts w:ascii="Times New Roman" w:hAnsi="Times New Roman"/>
          <w:noProof/>
          <w:sz w:val="24"/>
          <w:szCs w:val="24"/>
        </w:rPr>
        <w:t>echnikust kell biztosítaniuk a munkaerőpiac számára. A készségek és tehetségek külföldről történő vonzása ugyancsak hozzájárul az EU munkaerőpiaci igényeinek kielégítéséhez.</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tehetségekért folyó globális versenyben Európának növelnie kell a készségekbe va</w:t>
      </w:r>
      <w:r>
        <w:rPr>
          <w:rFonts w:ascii="Times New Roman" w:hAnsi="Times New Roman"/>
          <w:noProof/>
          <w:sz w:val="24"/>
          <w:szCs w:val="24"/>
        </w:rPr>
        <w:t xml:space="preserve">ló beruházást, és az egész életen át tartó tanulásnak valósággá kell válnia. Ehhez az ipar, a tagállamok, a szociális partnerek és más érdekelt felek közös fellépésére van szükség egy új </w:t>
      </w:r>
      <w:r>
        <w:rPr>
          <w:rFonts w:ascii="Times New Roman" w:hAnsi="Times New Roman"/>
          <w:b/>
          <w:noProof/>
          <w:sz w:val="24"/>
          <w:szCs w:val="24"/>
        </w:rPr>
        <w:t>„készségfejlesztési paktum”</w:t>
      </w:r>
      <w:r>
        <w:rPr>
          <w:rFonts w:ascii="Times New Roman" w:hAnsi="Times New Roman"/>
          <w:noProof/>
          <w:sz w:val="24"/>
          <w:szCs w:val="24"/>
        </w:rPr>
        <w:t xml:space="preserve"> révén, amely hozzájárul a továbbképzéshez</w:t>
      </w:r>
      <w:r>
        <w:rPr>
          <w:rFonts w:ascii="Times New Roman" w:hAnsi="Times New Roman"/>
          <w:noProof/>
          <w:sz w:val="24"/>
          <w:szCs w:val="24"/>
        </w:rPr>
        <w:t xml:space="preserve"> és az átképzéshez, valamint a munkaerőbe történő állami és magánberuházások mozgósításához. A paktum azokra az ágazatokra összpontosít majd, amelyek nagy növekedési potenciált képviselnek Európa számára, vagy amelyek a legjelentősebb változáson mennek ker</w:t>
      </w:r>
      <w:r>
        <w:rPr>
          <w:rFonts w:ascii="Times New Roman" w:hAnsi="Times New Roman"/>
          <w:noProof/>
          <w:sz w:val="24"/>
          <w:szCs w:val="24"/>
        </w:rPr>
        <w:t xml:space="preserve">esztül. Az </w:t>
      </w:r>
      <w:r>
        <w:rPr>
          <w:rFonts w:ascii="Times New Roman" w:hAnsi="Times New Roman"/>
          <w:b/>
          <w:noProof/>
          <w:sz w:val="24"/>
          <w:szCs w:val="24"/>
        </w:rPr>
        <w:t>európai oktatási térség</w:t>
      </w:r>
      <w:r>
        <w:rPr>
          <w:rFonts w:ascii="Times New Roman" w:hAnsi="Times New Roman"/>
          <w:noProof/>
          <w:sz w:val="24"/>
          <w:szCs w:val="24"/>
        </w:rPr>
        <w:t xml:space="preserve"> szintén támogatni fogja ezeket az erőfeszítéseket.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b/>
          <w:noProof/>
          <w:sz w:val="24"/>
          <w:szCs w:val="24"/>
        </w:rPr>
        <w:t>Elengedhetetlen továbbá a nemek közötti egyensúly javítása az iparban</w:t>
      </w:r>
      <w:r>
        <w:rPr>
          <w:rFonts w:ascii="Times New Roman" w:hAnsi="Times New Roman"/>
          <w:noProof/>
          <w:sz w:val="24"/>
          <w:szCs w:val="24"/>
        </w:rPr>
        <w:t>. Ez magában foglalja a nők arra való ösztönzését, hogy a természettudományok, a technológia, a műsza</w:t>
      </w:r>
      <w:r>
        <w:rPr>
          <w:rFonts w:ascii="Times New Roman" w:hAnsi="Times New Roman"/>
          <w:noProof/>
          <w:sz w:val="24"/>
          <w:szCs w:val="24"/>
        </w:rPr>
        <w:t>ki tudományok és a matematika területén folytassanak tanulmányokat, hogy technológiai karriert válasszanak, és fektessenek be a digitális készségekbe, ezáltal javítva a nemek közötti egyensúlyt a vállalkozások indítása és vezetése terén.</w:t>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411"/>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európai készségfejlesztési program</w:t>
            </w:r>
            <w:r>
              <w:rPr>
                <w:rFonts w:ascii="Times New Roman" w:hAnsi="Times New Roman"/>
                <w:noProof/>
                <w:sz w:val="24"/>
                <w:szCs w:val="24"/>
              </w:rPr>
              <w:t xml:space="preserve"> aktualizálása 2030-ban, beleértve a szakoktatásra és szakképzésre vonatkozó ajánlást is.</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európai készségfejlesztési paktum</w:t>
            </w:r>
            <w:r>
              <w:rPr>
                <w:rFonts w:ascii="Times New Roman" w:hAnsi="Times New Roman"/>
                <w:noProof/>
                <w:sz w:val="24"/>
                <w:szCs w:val="24"/>
              </w:rPr>
              <w:t xml:space="preserve"> elindítása.</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Közlemény az </w:t>
            </w:r>
            <w:r>
              <w:rPr>
                <w:rFonts w:ascii="Times New Roman" w:hAnsi="Times New Roman"/>
                <w:b/>
                <w:noProof/>
                <w:sz w:val="24"/>
                <w:szCs w:val="24"/>
              </w:rPr>
              <w:t>európai oktatási térség</w:t>
            </w:r>
            <w:r>
              <w:rPr>
                <w:rFonts w:ascii="Times New Roman" w:hAnsi="Times New Roman"/>
                <w:noProof/>
                <w:sz w:val="24"/>
                <w:szCs w:val="24"/>
              </w:rPr>
              <w:t xml:space="preserve"> stratégiai keretrendszeréről.</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Digitális ok</w:t>
            </w:r>
            <w:r>
              <w:rPr>
                <w:rFonts w:ascii="Times New Roman" w:hAnsi="Times New Roman"/>
                <w:b/>
                <w:noProof/>
                <w:sz w:val="24"/>
                <w:szCs w:val="24"/>
              </w:rPr>
              <w:t>tatási cselekvési terv</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2020 márciusában elfogadott, </w:t>
            </w:r>
            <w:r>
              <w:rPr>
                <w:rFonts w:ascii="Times New Roman" w:hAnsi="Times New Roman"/>
                <w:b/>
                <w:noProof/>
                <w:sz w:val="24"/>
                <w:szCs w:val="24"/>
              </w:rPr>
              <w:t>nemek közötti egyenlőségre vonatkozó uniós stratégia végrehajtása</w:t>
            </w:r>
            <w:r>
              <w:rPr>
                <w:rFonts w:ascii="Times New Roman" w:hAnsi="Times New Roman"/>
                <w:noProof/>
                <w:sz w:val="24"/>
                <w:szCs w:val="24"/>
              </w:rPr>
              <w:t>.</w:t>
            </w:r>
          </w:p>
        </w:tc>
      </w:tr>
    </w:tbl>
    <w:p w:rsidR="00581FBB" w:rsidRDefault="000A6010">
      <w:pPr>
        <w:spacing w:line="240" w:lineRule="auto"/>
        <w:jc w:val="both"/>
        <w:rPr>
          <w:rFonts w:ascii="Times New Roman" w:hAnsi="Times New Roman" w:cs="Times New Roman"/>
          <w:i/>
          <w:noProof/>
          <w:sz w:val="24"/>
          <w:szCs w:val="24"/>
        </w:rPr>
      </w:pPr>
      <w:r>
        <w:rPr>
          <w:rFonts w:ascii="Times New Roman" w:hAnsi="Times New Roman"/>
          <w:i/>
          <w:noProof/>
          <w:sz w:val="24"/>
          <w:szCs w:val="24"/>
        </w:rPr>
        <w:br/>
        <w:t>3.7. Az átálláshoz kapcsolódó beruházás és finanszírozás</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Számos jövőbeli uniós program, például a Horizont Európa, a Digitális </w:t>
      </w:r>
      <w:r>
        <w:rPr>
          <w:rFonts w:ascii="Times New Roman" w:hAnsi="Times New Roman"/>
          <w:noProof/>
          <w:sz w:val="24"/>
          <w:szCs w:val="24"/>
        </w:rPr>
        <w:t>Európa program, az egységes piaci program, az innovációs alap, az InvestEU, az Európai Szociális Alap, az Európai Védelmi Alap és az EU űrprogramja, illetve valamennyi európai strukturális és beruházási alapok elő fogják segíteni az uniós ipar versenyképes</w:t>
      </w:r>
      <w:r>
        <w:rPr>
          <w:rFonts w:ascii="Times New Roman" w:hAnsi="Times New Roman"/>
          <w:noProof/>
          <w:sz w:val="24"/>
          <w:szCs w:val="24"/>
        </w:rPr>
        <w:t>ségének előmozdítását. Iparunk jövője szempontjából elengedhetetlen, hogy gyors megállapodás szülessen a következő hosszú távú költségvetésről.</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Egy olyan időszakban, amikor az államháztartásokra nyomás nehezedik, új módszerekre lesz szükségünk a magánberuh</w:t>
      </w:r>
      <w:r>
        <w:rPr>
          <w:rFonts w:ascii="Times New Roman" w:hAnsi="Times New Roman"/>
          <w:noProof/>
          <w:sz w:val="24"/>
          <w:szCs w:val="24"/>
        </w:rPr>
        <w:t>ázások mozgósításához. Ez magában foglalja az uniós források tagállamokhoz és más intézményi partnerekhez való eljuttatását és ötvözését, valamint a magánbefektetők bevonását. Az InvestEU és az európai zöld megállapodáshoz kapcsolódó beruházási terv elő fo</w:t>
      </w:r>
      <w:r>
        <w:rPr>
          <w:rFonts w:ascii="Times New Roman" w:hAnsi="Times New Roman"/>
          <w:noProof/>
          <w:sz w:val="24"/>
          <w:szCs w:val="24"/>
        </w:rPr>
        <w:t>gja segíteni a magánberuházások mozgósítását ott, ahol azokra szükség van. Az Európai Beruházási Banknak, valamint a nemzeti fejlesztési bankoknak és intézményeknek fontos szerepet kell játszaniuk ezen a téren.</w:t>
      </w:r>
    </w:p>
    <w:p w:rsidR="00581FBB" w:rsidRDefault="000A6010">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noProof/>
          <w:sz w:val="24"/>
          <w:szCs w:val="24"/>
        </w:rPr>
        <w:t>A magánberuházások mozgósítása és az állami f</w:t>
      </w:r>
      <w:r>
        <w:rPr>
          <w:rFonts w:ascii="Times New Roman" w:hAnsi="Times New Roman"/>
          <w:noProof/>
          <w:sz w:val="24"/>
          <w:szCs w:val="24"/>
        </w:rPr>
        <w:t xml:space="preserve">inanszírozás kiemelten fontos ott, ahol piaci hiányosságok jelentkeznek, így különösen az innovatív technológiák széles körű bevezetése terén. Ezen a területen már bevált eszköz a </w:t>
      </w:r>
      <w:r>
        <w:rPr>
          <w:rFonts w:ascii="Times New Roman" w:hAnsi="Times New Roman"/>
          <w:b/>
          <w:noProof/>
          <w:sz w:val="24"/>
          <w:szCs w:val="24"/>
        </w:rPr>
        <w:t>közös európai érdeket szolgáló fontos projektek</w:t>
      </w:r>
      <w:r>
        <w:rPr>
          <w:rFonts w:ascii="Times New Roman" w:hAnsi="Times New Roman"/>
          <w:noProof/>
          <w:sz w:val="24"/>
          <w:szCs w:val="24"/>
        </w:rPr>
        <w:t xml:space="preserve"> (IPCEI) koncepciója. A közös</w:t>
      </w:r>
      <w:r>
        <w:rPr>
          <w:rFonts w:ascii="Times New Roman" w:hAnsi="Times New Roman"/>
          <w:noProof/>
          <w:sz w:val="24"/>
          <w:szCs w:val="24"/>
        </w:rPr>
        <w:t xml:space="preserve"> európai érdeket szolgáló fontos projektek lehetőséget adnak arra, hogy a tagállamok pénzügyi forrásokat vonjanak össze, gyorsan lépjenek fel, és összekapcsolják a kulcsfontosságú értékláncok megfelelő szereplőit. A beruházások katalizátoraiként működnek, </w:t>
      </w:r>
      <w:r>
        <w:rPr>
          <w:rFonts w:ascii="Times New Roman" w:hAnsi="Times New Roman"/>
          <w:noProof/>
          <w:sz w:val="24"/>
          <w:szCs w:val="24"/>
        </w:rPr>
        <w:t>és lehetővé teszik a tagállamok számára, hogy piaci hiányosságok esetén határokon átnyúló nagyszabású innovációs projekteket finanszírozzanak. A Bizottság a közös európai érdeket szolgáló fontos projektek közelmúltbeli tapasztalataira építve meg fogja vizs</w:t>
      </w:r>
      <w:r>
        <w:rPr>
          <w:rFonts w:ascii="Times New Roman" w:hAnsi="Times New Roman"/>
          <w:noProof/>
          <w:sz w:val="24"/>
          <w:szCs w:val="24"/>
        </w:rPr>
        <w:t>gálni, hogy miként lehetne ötvözni a nemzeti és az uniós eszközöket annak érdekében, hogy a vonatkozó pénzügyi és versenyszabályok teljes körű tiszteletben tartása mellett fellendítsük a beruházásokat az értéklánc egészében.</w:t>
      </w:r>
    </w:p>
    <w:p w:rsidR="00581FBB" w:rsidRDefault="00581FBB">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rsidR="00581FBB" w:rsidRDefault="000A6010">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Annak érdekében, hogy a lehető legjobban ki lehessen használni ezt az eszközt, a Bizottság 2021-ben </w:t>
      </w:r>
      <w:r>
        <w:rPr>
          <w:rFonts w:ascii="Times New Roman" w:hAnsi="Times New Roman"/>
          <w:b/>
          <w:noProof/>
          <w:sz w:val="24"/>
          <w:szCs w:val="24"/>
          <w:bdr w:val="nil"/>
        </w:rPr>
        <w:t>felülvizsgált állami támogatási szabályokat vezet be a közös európai érdeket szolgáló fontos projektek tekintetében</w:t>
      </w:r>
      <w:r>
        <w:rPr>
          <w:rFonts w:ascii="Times New Roman" w:hAnsi="Times New Roman"/>
          <w:noProof/>
          <w:sz w:val="24"/>
          <w:szCs w:val="24"/>
          <w:bdr w:val="nil"/>
        </w:rPr>
        <w:t xml:space="preserve">. A felülvizsgálat célja, hogy tisztázza </w:t>
      </w:r>
      <w:r>
        <w:rPr>
          <w:rFonts w:ascii="Times New Roman" w:hAnsi="Times New Roman"/>
          <w:noProof/>
          <w:sz w:val="24"/>
          <w:szCs w:val="24"/>
          <w:bdr w:val="nil"/>
        </w:rPr>
        <w:t>azokat a feltételeket, amelyek mellett a kulcsfontosságú ágazatokban a tagállamok által irányított projektek idejében és a versenyt támogató módon valósulhatnak meg. A felülvizsgálatnak azt is elő kell segítenie, hogy a kkv-k teljes mértékben részt vehesse</w:t>
      </w:r>
      <w:r>
        <w:rPr>
          <w:rFonts w:ascii="Times New Roman" w:hAnsi="Times New Roman"/>
          <w:noProof/>
          <w:sz w:val="24"/>
          <w:szCs w:val="24"/>
          <w:bdr w:val="nil"/>
        </w:rPr>
        <w:t>nek közös európai érdeket szolgáló fontos projektekben.</w:t>
      </w:r>
    </w:p>
    <w:p w:rsidR="00581FBB" w:rsidRDefault="00581FBB">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Ösztönözni kell továbbá a versenyképes fenntarthatóság irányába mutató beruházásokat a pénzügyi rendszer egészében. Az </w:t>
      </w:r>
      <w:r>
        <w:rPr>
          <w:rFonts w:ascii="Times New Roman" w:hAnsi="Times New Roman"/>
          <w:b/>
          <w:noProof/>
          <w:sz w:val="24"/>
          <w:szCs w:val="24"/>
        </w:rPr>
        <w:t>uniós taxonómiáról</w:t>
      </w:r>
      <w:r>
        <w:rPr>
          <w:rFonts w:ascii="Times New Roman" w:hAnsi="Times New Roman"/>
          <w:noProof/>
          <w:sz w:val="24"/>
          <w:szCs w:val="24"/>
        </w:rPr>
        <w:t xml:space="preserve"> szóló közelmúltbeli megállapodás és a </w:t>
      </w:r>
      <w:r>
        <w:rPr>
          <w:rFonts w:ascii="Times New Roman" w:hAnsi="Times New Roman"/>
          <w:b/>
          <w:noProof/>
          <w:sz w:val="24"/>
          <w:szCs w:val="24"/>
        </w:rPr>
        <w:t>klímarendelet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által ny</w:t>
      </w:r>
      <w:r>
        <w:rPr>
          <w:rFonts w:ascii="Times New Roman" w:hAnsi="Times New Roman"/>
          <w:noProof/>
          <w:sz w:val="24"/>
          <w:szCs w:val="24"/>
        </w:rPr>
        <w:t>újtott bizonyosság nagy előrelépést jelent a helyes irányba.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 haladásra építve a fenntartható finanszírozásra vonatkozó megújított stratégia egyértelmű szabályokat fog bevezetni, amelyek a befektetőket a fenntartható beruházások felé terelik. A gazdasági </w:t>
      </w:r>
      <w:r>
        <w:rPr>
          <w:rFonts w:ascii="Times New Roman" w:hAnsi="Times New Roman"/>
          <w:noProof/>
          <w:sz w:val="24"/>
          <w:szCs w:val="24"/>
        </w:rPr>
        <w:t xml:space="preserve">és monetáris unió elmélyítésére irányuló folyamatos munka részeként a Bizottság </w:t>
      </w:r>
      <w:r>
        <w:rPr>
          <w:rFonts w:ascii="Times New Roman" w:hAnsi="Times New Roman"/>
          <w:b/>
          <w:noProof/>
          <w:sz w:val="24"/>
          <w:szCs w:val="24"/>
        </w:rPr>
        <w:t>tőkepiaci unióra vonatkozó új cselekvési terve</w:t>
      </w:r>
      <w:r>
        <w:rPr>
          <w:rFonts w:ascii="Times New Roman" w:hAnsi="Times New Roman"/>
          <w:noProof/>
          <w:sz w:val="24"/>
          <w:szCs w:val="24"/>
        </w:rPr>
        <w:t xml:space="preserve"> tartalmazni fog egy, az EU-n belüli beruházásvédelem megerősítésére irányuló kezdeményezést, valamint több, az európai vállalkozá</w:t>
      </w:r>
      <w:r>
        <w:rPr>
          <w:rFonts w:ascii="Times New Roman" w:hAnsi="Times New Roman"/>
          <w:noProof/>
          <w:sz w:val="24"/>
          <w:szCs w:val="24"/>
        </w:rPr>
        <w:t>sok, különösen a kkv-k finanszírozási forrásainak diverzifikálására irányuló fellépést. A digitális pénzügyi szolgáltatási stratégia támogatni fogja az innovációt a pénzügyi szolgáltatások terén, elősegítendő ezzel az új szolgáltatások és üzleti modellek t</w:t>
      </w:r>
      <w:r>
        <w:rPr>
          <w:rFonts w:ascii="Times New Roman" w:hAnsi="Times New Roman"/>
          <w:noProof/>
          <w:sz w:val="24"/>
          <w:szCs w:val="24"/>
        </w:rPr>
        <w:t>érnyerését és az új típusú kockázatok kezelését.</w:t>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cantSplit/>
          <w:trHeight w:val="699"/>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Együttműködünk a Parlamenttel és a Tanáccsal a </w:t>
            </w:r>
            <w:r>
              <w:rPr>
                <w:rFonts w:ascii="Times New Roman" w:hAnsi="Times New Roman"/>
                <w:b/>
                <w:noProof/>
                <w:sz w:val="24"/>
                <w:szCs w:val="24"/>
              </w:rPr>
              <w:t>következő hosszú távú költségvetés</w:t>
            </w:r>
            <w:r>
              <w:rPr>
                <w:rFonts w:ascii="Times New Roman" w:hAnsi="Times New Roman"/>
                <w:noProof/>
                <w:sz w:val="24"/>
                <w:szCs w:val="24"/>
              </w:rPr>
              <w:t xml:space="preserve"> gyors elfogadásának és végrehajtásának biztosítása érdekében.</w:t>
            </w:r>
          </w:p>
          <w:p w:rsidR="00581FBB" w:rsidRDefault="000A6010">
            <w:pPr>
              <w:pStyle w:val="ListParagraph"/>
              <w:numPr>
                <w:ilvl w:val="0"/>
                <w:numId w:val="3"/>
              </w:numPr>
              <w:rPr>
                <w:noProof/>
                <w:sz w:val="24"/>
                <w:szCs w:val="24"/>
              </w:rPr>
            </w:pPr>
            <w:r>
              <w:rPr>
                <w:rFonts w:ascii="Times New Roman" w:hAnsi="Times New Roman"/>
                <w:noProof/>
                <w:sz w:val="24"/>
                <w:szCs w:val="24"/>
              </w:rPr>
              <w:t xml:space="preserve">Mérlegeljük a tagállamok és az ipar </w:t>
            </w:r>
            <w:r>
              <w:rPr>
                <w:rFonts w:ascii="Times New Roman" w:hAnsi="Times New Roman"/>
                <w:noProof/>
                <w:sz w:val="24"/>
                <w:szCs w:val="24"/>
              </w:rPr>
              <w:t>összehangolt beruházásainak lehetőségét új,</w:t>
            </w:r>
            <w:r>
              <w:rPr>
                <w:rFonts w:ascii="Times New Roman" w:hAnsi="Times New Roman"/>
                <w:b/>
                <w:noProof/>
                <w:sz w:val="24"/>
                <w:szCs w:val="24"/>
              </w:rPr>
              <w:t xml:space="preserve"> közös európai érdeket szolgáló fontos projektek</w:t>
            </w:r>
            <w:r>
              <w:rPr>
                <w:rFonts w:ascii="Times New Roman" w:hAnsi="Times New Roman"/>
                <w:noProof/>
                <w:sz w:val="24"/>
                <w:szCs w:val="24"/>
              </w:rPr>
              <w:t xml:space="preserve"> formájában, valamint az akkumulátorokra és a mikroelektronikára vonatkozó első, közös európai érdeket szolgáló fontos projektek folytatását.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Felülvizsgáljuk a </w:t>
            </w:r>
            <w:r>
              <w:rPr>
                <w:rFonts w:ascii="Times New Roman" w:hAnsi="Times New Roman"/>
                <w:b/>
                <w:noProof/>
                <w:sz w:val="24"/>
                <w:szCs w:val="24"/>
              </w:rPr>
              <w:t>közös</w:t>
            </w:r>
            <w:r>
              <w:rPr>
                <w:rFonts w:ascii="Times New Roman" w:hAnsi="Times New Roman"/>
                <w:b/>
                <w:noProof/>
                <w:sz w:val="24"/>
                <w:szCs w:val="24"/>
              </w:rPr>
              <w:t xml:space="preserve"> európai érdeket szolgáló fontos projektekre vonatkozó állami támogatási szabályokat</w:t>
            </w:r>
            <w:r>
              <w:rPr>
                <w:rFonts w:ascii="Times New Roman" w:hAnsi="Times New Roman"/>
                <w:noProof/>
                <w:sz w:val="24"/>
                <w:szCs w:val="24"/>
              </w:rPr>
              <w:t>, egyebek mellett az energetikai átállási projektek esetében is.</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Fenntartható finanszírozásra vonatkozó megújított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Új digitális pénzügyi szolgáltatási stratégia</w:t>
            </w:r>
            <w:r>
              <w:rPr>
                <w:rFonts w:ascii="Times New Roman" w:hAnsi="Times New Roman"/>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tőkepiaci unióról szóló cselekvési terv</w:t>
            </w:r>
            <w:r>
              <w:rPr>
                <w:rFonts w:ascii="Times New Roman" w:hAnsi="Times New Roman"/>
                <w:noProof/>
                <w:sz w:val="24"/>
                <w:szCs w:val="24"/>
              </w:rPr>
              <w:t xml:space="preserve"> (2020), beleértve az integrált tőkepiacokat támogató intézkedéseket, valamint bővebb finanszírozási lehetőségeket a polgárok és a vállalkozások számára.</w:t>
            </w:r>
          </w:p>
        </w:tc>
      </w:tr>
    </w:tbl>
    <w:p w:rsidR="00581FBB" w:rsidRDefault="00581FBB">
      <w:pPr>
        <w:rPr>
          <w:noProof/>
          <w:sz w:val="24"/>
          <w:szCs w:val="24"/>
        </w:rPr>
      </w:pPr>
    </w:p>
    <w:p w:rsidR="00581FBB" w:rsidRDefault="000A6010">
      <w:pPr>
        <w:pStyle w:val="Heading1"/>
        <w:rPr>
          <w:noProof/>
        </w:rPr>
      </w:pPr>
      <w:r>
        <w:rPr>
          <w:noProof/>
        </w:rPr>
        <w:t>Európa ipari és stratégiai autonómiájának megerősítése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Európa stratégiai autonómiájának célja, hogy csökkenjen másoktól való függőségünk a leginkább szükséges dolgok – kritikus fontosságú anyagok és technológiák, élelmiszerek, infrastruktúra, biztonság és egyéb stratégiai területek – tekintetében. Ezek lehetős</w:t>
      </w:r>
      <w:r>
        <w:rPr>
          <w:rFonts w:ascii="Times New Roman" w:hAnsi="Times New Roman"/>
          <w:noProof/>
          <w:sz w:val="24"/>
          <w:szCs w:val="24"/>
        </w:rPr>
        <w:t>éget nyújtanak az európai iparnak arra, hogy a versenyképességet fokozó saját piacokat, termékeket és szolgáltatásokat fejlesszen ki.</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Európa nyitott beruházási környezeten alapul, amely lehetővé teszi mások számára, hogy beruházzanak Európa versenyképesség</w:t>
      </w:r>
      <w:r>
        <w:rPr>
          <w:rFonts w:ascii="Times New Roman" w:hAnsi="Times New Roman"/>
          <w:noProof/>
          <w:sz w:val="24"/>
          <w:szCs w:val="24"/>
        </w:rPr>
        <w:t xml:space="preserve">ébe. Ugyanakkor stratégiaibb megközelítést kell alkalmazni a külföldi befektetésekkel kapcsolatos kockázatok tekintetében. A </w:t>
      </w:r>
      <w:r>
        <w:rPr>
          <w:rFonts w:ascii="Times New Roman" w:hAnsi="Times New Roman"/>
          <w:b/>
          <w:noProof/>
          <w:sz w:val="24"/>
          <w:szCs w:val="24"/>
        </w:rPr>
        <w:t>közvetlen külföldi befektetések átvilágítására</w:t>
      </w:r>
      <w:r>
        <w:rPr>
          <w:rFonts w:ascii="Times New Roman" w:hAnsi="Times New Roman"/>
          <w:noProof/>
          <w:sz w:val="24"/>
          <w:szCs w:val="24"/>
        </w:rPr>
        <w:t xml:space="preserve"> szolgáló, 2020 októberétől teljes körűen alkalmazandó keret</w:t>
      </w:r>
      <w:r>
        <w:rPr>
          <w:rStyle w:val="FootnoteReference"/>
          <w:rFonts w:ascii="Times New Roman" w:hAnsi="Times New Roman" w:cs="Times New Roman"/>
          <w:b/>
          <w:noProof/>
          <w:sz w:val="24"/>
          <w:szCs w:val="24"/>
        </w:rPr>
        <w:footnoteReference w:id="11"/>
      </w:r>
      <w:r>
        <w:rPr>
          <w:rFonts w:ascii="Times New Roman" w:hAnsi="Times New Roman"/>
          <w:noProof/>
          <w:sz w:val="24"/>
          <w:szCs w:val="24"/>
        </w:rPr>
        <w:t xml:space="preserve"> biztonsági és közrendi </w:t>
      </w:r>
      <w:r>
        <w:rPr>
          <w:rFonts w:ascii="Times New Roman" w:hAnsi="Times New Roman"/>
          <w:noProof/>
          <w:sz w:val="24"/>
          <w:szCs w:val="24"/>
        </w:rPr>
        <w:t>szempontból védi Európa érdekeit. A Bizottság javaslatokat fog tenni ezen eszköz további megerősítésére.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Európa digitális átalakulása, biztonsága és jövőbeli technológiai szuverenitása </w:t>
      </w:r>
      <w:r>
        <w:rPr>
          <w:rFonts w:ascii="Times New Roman" w:hAnsi="Times New Roman"/>
          <w:b/>
          <w:noProof/>
          <w:sz w:val="24"/>
          <w:szCs w:val="24"/>
        </w:rPr>
        <w:t>stratégiai digitális infrastruktúráinktól</w:t>
      </w:r>
      <w:r>
        <w:rPr>
          <w:rFonts w:ascii="Times New Roman" w:hAnsi="Times New Roman"/>
          <w:noProof/>
          <w:sz w:val="24"/>
          <w:szCs w:val="24"/>
        </w:rPr>
        <w:t xml:space="preserve"> függ. A Bizottság által az 5G</w:t>
      </w:r>
      <w:r>
        <w:rPr>
          <w:rFonts w:ascii="Times New Roman" w:hAnsi="Times New Roman"/>
          <w:noProof/>
          <w:sz w:val="24"/>
          <w:szCs w:val="24"/>
        </w:rPr>
        <w:t>-vel és a kiberbiztonsággal kapcsolatban a közelmúltban végzett munkán túl az EU kritikus kvantumkommunikációs infrastruktúrát fog kifejleszteni, amelynek célja, hogy az elkövetkező 10 évben kvantum-kulcsszétosztáson alapuló, tanúsított, biztonságos, végpo</w:t>
      </w:r>
      <w:r>
        <w:rPr>
          <w:rFonts w:ascii="Times New Roman" w:hAnsi="Times New Roman"/>
          <w:noProof/>
          <w:sz w:val="24"/>
          <w:szCs w:val="24"/>
        </w:rPr>
        <w:t>nttól végpontig terjedő infrastruktúrát hozzon létre az EU és tagállamai kulcsfontosságú digitális eszközeinek védelme érdekében.</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 támogatni fogja továbbá az olyan kulcsfontosságú alaptechnológiák kifejlesztését, amelyek stratégiai jelentőséggel bírna</w:t>
      </w:r>
      <w:r>
        <w:rPr>
          <w:rFonts w:ascii="Times New Roman" w:hAnsi="Times New Roman"/>
          <w:noProof/>
          <w:sz w:val="24"/>
          <w:szCs w:val="24"/>
        </w:rPr>
        <w:t>k Európa iparának jövője szempontjából. Ezek közé tartozik a robotika, a mikroelektronika, a nagy teljesítményű számítástechnika és az adatfelhő-infrastruktúra, a blokklánc, a kvantumtechnológiák, a fotonika, az ipari biotechnológia, a biomedicina, a nanot</w:t>
      </w:r>
      <w:r>
        <w:rPr>
          <w:rFonts w:ascii="Times New Roman" w:hAnsi="Times New Roman"/>
          <w:noProof/>
          <w:sz w:val="24"/>
          <w:szCs w:val="24"/>
        </w:rPr>
        <w:t>echnológiák, a gyógyszerek, a fejlett anyagok és technológiák.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w:t>
      </w:r>
      <w:r>
        <w:rPr>
          <w:rFonts w:ascii="Times New Roman" w:hAnsi="Times New Roman"/>
          <w:b/>
          <w:noProof/>
          <w:sz w:val="24"/>
          <w:szCs w:val="24"/>
        </w:rPr>
        <w:t>védelmi ágazat és űrágazat</w:t>
      </w:r>
      <w:r>
        <w:rPr>
          <w:rFonts w:ascii="Times New Roman" w:hAnsi="Times New Roman"/>
          <w:noProof/>
          <w:sz w:val="24"/>
          <w:szCs w:val="24"/>
        </w:rPr>
        <w:t xml:space="preserve"> alapvető fontosságú Európa jövője szempontjából. A védelmi ipar szétaprózottsága azonban megkérdőjelezi Európa lehetőségét a kritikus védelmi képességek kö</w:t>
      </w:r>
      <w:r>
        <w:rPr>
          <w:rFonts w:ascii="Times New Roman" w:hAnsi="Times New Roman"/>
          <w:noProof/>
          <w:sz w:val="24"/>
          <w:szCs w:val="24"/>
        </w:rPr>
        <w:t>vetkező generációjának kiépítésére. Ez csökkentené az EU stratégiai szuverenitását és azon képességét, hogy biztonságszolgáltatóként lépjen fel.</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Európai Védelmi Alap</w:t>
      </w:r>
      <w:r>
        <w:rPr>
          <w:rFonts w:ascii="Times New Roman" w:hAnsi="Times New Roman"/>
          <w:noProof/>
          <w:sz w:val="24"/>
          <w:szCs w:val="24"/>
        </w:rPr>
        <w:t xml:space="preserve"> hozzá fog járulni az integrált védelmi ipari bázis kiépítéséhez szerte az EU-ban. Valam</w:t>
      </w:r>
      <w:r>
        <w:rPr>
          <w:rFonts w:ascii="Times New Roman" w:hAnsi="Times New Roman"/>
          <w:noProof/>
          <w:sz w:val="24"/>
          <w:szCs w:val="24"/>
        </w:rPr>
        <w:t>ennyi európai védelmi ipari értékláncba be fog ruházni, meg fogja könnyíteni a határokon átnyúló együttműködést, és támogatni fogja a nyitott és dinamikus ellátási láncokat, amelyekben kkv-k és új belépők is részt vesznek. Támogatni fogja a forradalmi tech</w:t>
      </w:r>
      <w:r>
        <w:rPr>
          <w:rFonts w:ascii="Times New Roman" w:hAnsi="Times New Roman"/>
          <w:noProof/>
          <w:sz w:val="24"/>
          <w:szCs w:val="24"/>
        </w:rPr>
        <w:t>nológiákat is, lehetővé téve a vállalkozások számára, hogy nagyobb kockázatot vállaljanak. Alapvető fontosságú lesz a más védelmi kezdeményezésekkel való koherencia.</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űrtechnológiák, -adatok és -szolgáltatások</w:t>
      </w:r>
      <w:r>
        <w:rPr>
          <w:rFonts w:ascii="Times New Roman" w:hAnsi="Times New Roman"/>
          <w:noProof/>
          <w:sz w:val="24"/>
          <w:szCs w:val="24"/>
        </w:rPr>
        <w:t xml:space="preserve"> erősíthetik Európa ipari bázisát azáltal, ho</w:t>
      </w:r>
      <w:r>
        <w:rPr>
          <w:rFonts w:ascii="Times New Roman" w:hAnsi="Times New Roman"/>
          <w:noProof/>
          <w:sz w:val="24"/>
          <w:szCs w:val="24"/>
        </w:rPr>
        <w:t>gy támogatják az innovatív termékek és szolgáltatások fejlesztését, beleértve az élvonalbeli innovatív technológiák megjelenését is.</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védelmi ipar és az űripar – változó geopolitikai környezetben – példa nélküli globális versennyel, valamint a gyorsan fej</w:t>
      </w:r>
      <w:r>
        <w:rPr>
          <w:rFonts w:ascii="Times New Roman" w:hAnsi="Times New Roman"/>
          <w:noProof/>
          <w:sz w:val="24"/>
          <w:szCs w:val="24"/>
        </w:rPr>
        <w:t xml:space="preserve">lődő technológiák formájában új lehetőségekkel és új szereplők megjelenésével néz szembe. Azáltal, hogy az EU az uniós programokban igyekszik kihasználni </w:t>
      </w:r>
      <w:r>
        <w:rPr>
          <w:rFonts w:ascii="Times New Roman" w:hAnsi="Times New Roman"/>
          <w:b/>
          <w:noProof/>
          <w:sz w:val="24"/>
          <w:szCs w:val="24"/>
        </w:rPr>
        <w:t>a polgári, az űr- és a védelmi iparágak közötti szinergiákat</w:t>
      </w:r>
      <w:r>
        <w:rPr>
          <w:rFonts w:ascii="Times New Roman" w:hAnsi="Times New Roman"/>
          <w:noProof/>
          <w:sz w:val="24"/>
          <w:szCs w:val="24"/>
        </w:rPr>
        <w:t>, hatékonyabban tudja majd felhasználni az</w:t>
      </w:r>
      <w:r>
        <w:rPr>
          <w:rFonts w:ascii="Times New Roman" w:hAnsi="Times New Roman"/>
          <w:noProof/>
          <w:sz w:val="24"/>
          <w:szCs w:val="24"/>
        </w:rPr>
        <w:t xml:space="preserve"> erőforrásokat és a technológiákat, és pozitív méretgazdaságossági hatásokat generál.</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ipar klímasemlegességre való átállásával a rendelkezésre álló fosszilis tüzelőanyagoktól való függést felválthatja a függés a nem energiaforrás típusú nyersany</w:t>
      </w:r>
      <w:r>
        <w:rPr>
          <w:rFonts w:ascii="Times New Roman" w:hAnsi="Times New Roman"/>
          <w:noProof/>
          <w:sz w:val="24"/>
          <w:szCs w:val="24"/>
        </w:rPr>
        <w:t>agoktól, amelyek közül sok külföldről származik, és amelyekért egyre intenzívebbé válik a globális verseny. Az újrahasznosítás és a másodlagos nyersanyagok használatának fokozása hozzájárulhat e függőség csökkentéséhez.</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előrejelzések szerint 2050-re megkétszereződik a </w:t>
      </w:r>
      <w:r>
        <w:rPr>
          <w:rFonts w:ascii="Times New Roman" w:hAnsi="Times New Roman"/>
          <w:b/>
          <w:noProof/>
          <w:sz w:val="24"/>
          <w:szCs w:val="24"/>
        </w:rPr>
        <w:t>nyersanyagok</w:t>
      </w:r>
      <w:r>
        <w:rPr>
          <w:rFonts w:ascii="Times New Roman" w:hAnsi="Times New Roman"/>
          <w:noProof/>
          <w:sz w:val="24"/>
          <w:szCs w:val="24"/>
        </w:rPr>
        <w:t xml:space="preserve"> iránti kereslet, ami elengedhetetlenné teszi a diverzifikált beszerzést Európa ellátásbiztonságának növelése érdekében. A kritikus fontosságú nyersanyagok kulcsfontosságúak az olyan piacok sz</w:t>
      </w:r>
      <w:r>
        <w:rPr>
          <w:rFonts w:ascii="Times New Roman" w:hAnsi="Times New Roman"/>
          <w:noProof/>
          <w:sz w:val="24"/>
          <w:szCs w:val="24"/>
        </w:rPr>
        <w:t>ámára is, mint az elektromobilitás, az akkumulátorok, a megújuló energiák, a gyógyszerek, az űrrepülés, a védelem és a digitális alkalmazások.</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orvosi termékekhez és a gyógyszerekhez való hozzáférés ugyanilyen fontos Európa biztonságához és autonómiájáho</w:t>
      </w:r>
      <w:r>
        <w:rPr>
          <w:rFonts w:ascii="Times New Roman" w:hAnsi="Times New Roman"/>
          <w:noProof/>
          <w:sz w:val="24"/>
          <w:szCs w:val="24"/>
        </w:rPr>
        <w:t xml:space="preserve">z napjaink világában. </w:t>
      </w:r>
      <w:r>
        <w:rPr>
          <w:rFonts w:ascii="Times New Roman" w:hAnsi="Times New Roman"/>
          <w:b/>
          <w:noProof/>
          <w:sz w:val="24"/>
          <w:szCs w:val="24"/>
        </w:rPr>
        <w:t>Új európai gyógyszerstratégiát</w:t>
      </w:r>
      <w:r>
        <w:rPr>
          <w:rFonts w:ascii="Times New Roman" w:hAnsi="Times New Roman"/>
          <w:noProof/>
          <w:sz w:val="24"/>
          <w:szCs w:val="24"/>
        </w:rPr>
        <w:t xml:space="preserve"> terjesztünk majd elő, amely a gyógyszerek rendelkezésre állására, megfizethetőségére, fenntarthatóságára és az ellátásbiztonságra összpontosít. Ennek fontosságát a koronavírus-járvány (COVID-19) kitörésé</w:t>
      </w:r>
      <w:r>
        <w:rPr>
          <w:rFonts w:ascii="Times New Roman" w:hAnsi="Times New Roman"/>
          <w:noProof/>
          <w:sz w:val="24"/>
          <w:szCs w:val="24"/>
        </w:rPr>
        <w:t>vel kapcsolatos közelmúltbeli események is kiemelték.</w:t>
      </w:r>
    </w:p>
    <w:tbl>
      <w:tblPr>
        <w:tblStyle w:val="TableGrid"/>
        <w:tblW w:w="9406" w:type="dxa"/>
        <w:shd w:val="clear" w:color="auto" w:fill="BDD6EE" w:themeFill="accent1" w:themeFillTint="66"/>
        <w:tblLook w:val="04A0" w:firstRow="1" w:lastRow="0" w:firstColumn="1" w:lastColumn="0" w:noHBand="0" w:noVBand="1"/>
      </w:tblPr>
      <w:tblGrid>
        <w:gridCol w:w="9406"/>
      </w:tblGrid>
      <w:tr w:rsidR="00581FBB">
        <w:trPr>
          <w:trHeight w:val="416"/>
        </w:trPr>
        <w:tc>
          <w:tcPr>
            <w:tcW w:w="9406" w:type="dxa"/>
            <w:shd w:val="clear" w:color="auto" w:fill="BDD6EE" w:themeFill="accent1" w:themeFillTint="66"/>
          </w:tcPr>
          <w:p w:rsidR="00581FBB" w:rsidRDefault="000A6010">
            <w:pPr>
              <w:spacing w:line="240" w:lineRule="auto"/>
              <w:jc w:val="center"/>
              <w:rPr>
                <w:rFonts w:ascii="Times New Roman" w:hAnsi="Times New Roman" w:cs="Times New Roman"/>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Az 5G-ről szóló közlemény</w:t>
            </w:r>
            <w:r>
              <w:rPr>
                <w:rStyle w:val="FootnoteReference"/>
                <w:rFonts w:ascii="Times New Roman" w:hAnsi="Times New Roman" w:cs="Times New Roman"/>
                <w:b/>
                <w:noProof/>
                <w:sz w:val="24"/>
                <w:szCs w:val="24"/>
              </w:rPr>
              <w:footnoteReference w:id="12"/>
            </w:r>
            <w:r>
              <w:rPr>
                <w:rFonts w:ascii="Times New Roman" w:hAnsi="Times New Roman"/>
                <w:b/>
                <w:noProof/>
                <w:sz w:val="24"/>
                <w:szCs w:val="24"/>
              </w:rPr>
              <w:t xml:space="preserve"> és az 5G-hálózatok kiberbiztonságáról szóló ajánlás</w:t>
            </w:r>
            <w:r>
              <w:rPr>
                <w:rStyle w:val="FootnoteReference"/>
                <w:rFonts w:ascii="Times New Roman" w:hAnsi="Times New Roman" w:cs="Times New Roman"/>
                <w:b/>
                <w:noProof/>
                <w:sz w:val="24"/>
                <w:szCs w:val="24"/>
              </w:rPr>
              <w:footnoteReference w:id="13"/>
            </w:r>
            <w:r>
              <w:rPr>
                <w:rFonts w:ascii="Times New Roman" w:hAnsi="Times New Roman"/>
                <w:b/>
                <w:noProof/>
                <w:sz w:val="24"/>
                <w:szCs w:val="24"/>
              </w:rPr>
              <w:t xml:space="preserve"> nyomon követése</w:t>
            </w:r>
            <w:r>
              <w:rPr>
                <w:noProof/>
                <w:sz w:val="24"/>
                <w:szCs w:val="24"/>
              </w:rPr>
              <w:t>.</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Cselekvési terv a polgári, a védelmi és az űripar közötti szinergiákról</w:t>
            </w:r>
            <w:r>
              <w:rPr>
                <w:rFonts w:ascii="Times New Roman" w:hAnsi="Times New Roman"/>
                <w:noProof/>
                <w:sz w:val="24"/>
                <w:szCs w:val="24"/>
              </w:rPr>
              <w:t>, többek között</w:t>
            </w:r>
            <w:r>
              <w:rPr>
                <w:rFonts w:ascii="Times New Roman" w:hAnsi="Times New Roman"/>
                <w:noProof/>
                <w:sz w:val="24"/>
                <w:szCs w:val="24"/>
              </w:rPr>
              <w:t xml:space="preserve"> a programok, a technológiák, az innováció és az induló innovatív vállalkozások szintjén.</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Új uniós gyógyszerstratégia</w:t>
            </w:r>
            <w:r>
              <w:rPr>
                <w:rFonts w:ascii="Times New Roman" w:hAnsi="Times New Roman"/>
                <w:noProof/>
                <w:sz w:val="24"/>
                <w:szCs w:val="24"/>
              </w:rPr>
              <w:t xml:space="preserve"> 2020-ban, az ellátás biztonságát és a betegeket szolgáló innovációkat előmozdító intézkedések érdekében.</w:t>
            </w:r>
          </w:p>
          <w:p w:rsidR="00581FBB" w:rsidRDefault="000A6010">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kritikus fontosságú nyersanyago</w:t>
            </w:r>
            <w:r>
              <w:rPr>
                <w:rFonts w:ascii="Times New Roman" w:hAnsi="Times New Roman"/>
                <w:b/>
                <w:noProof/>
                <w:sz w:val="24"/>
                <w:szCs w:val="24"/>
              </w:rPr>
              <w:t>kra</w:t>
            </w:r>
            <w:r>
              <w:rPr>
                <w:rFonts w:ascii="Times New Roman" w:hAnsi="Times New Roman"/>
                <w:noProof/>
                <w:sz w:val="24"/>
                <w:szCs w:val="24"/>
              </w:rPr>
              <w:t xml:space="preserve"> vonatkozó cselekvési terv, beleértve a nyersanyagokhoz való hozzáféréssel kapcsolatos nemzetközi partnerségek szélesítésére irányuló erőfeszítéseket.</w:t>
            </w:r>
          </w:p>
        </w:tc>
      </w:tr>
    </w:tbl>
    <w:p w:rsidR="00581FBB" w:rsidRDefault="000A6010">
      <w:pPr>
        <w:pStyle w:val="Heading1"/>
        <w:numPr>
          <w:ilvl w:val="0"/>
          <w:numId w:val="0"/>
        </w:numPr>
        <w:ind w:hanging="284"/>
        <w:rPr>
          <w:noProof/>
        </w:rPr>
      </w:pPr>
      <w:r>
        <w:rPr>
          <w:noProof/>
        </w:rPr>
        <w:br/>
        <w:t>5. A kapcsolódási pontok megtalálása: Az irányítás partnerségi megközelítése</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iparnak ki k</w:t>
      </w:r>
      <w:r>
        <w:rPr>
          <w:rFonts w:ascii="Times New Roman" w:hAnsi="Times New Roman"/>
          <w:noProof/>
          <w:sz w:val="24"/>
          <w:szCs w:val="24"/>
        </w:rPr>
        <w:t xml:space="preserve">ell aknáznia egyedülálló jellemzőit és erősségeit: az értékláncokon és határokon átívelő integráltságát, a sokszínűségét, a hagyományait és a hozzáértő munkaerőt. Az kettős átállás sebességének növekedésével és a globális verseny éleződésével Európa ipara </w:t>
      </w:r>
      <w:r>
        <w:rPr>
          <w:rFonts w:ascii="Times New Roman" w:hAnsi="Times New Roman"/>
          <w:noProof/>
          <w:sz w:val="24"/>
          <w:szCs w:val="24"/>
        </w:rPr>
        <w:t>is átalakul. Ennek részeként egyre erősödnek a különböző ágazatokhoz tartozó termékek és szolgáltatások közötti kapcsolatok.</w:t>
      </w:r>
    </w:p>
    <w:p w:rsidR="00581FBB" w:rsidRDefault="000A6010">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rPr>
        <w:t xml:space="preserve">Amellett, hogy a konkrét technológiákra összpontosít, Európának alaposan meg kell vizsgálnia az </w:t>
      </w:r>
      <w:r>
        <w:rPr>
          <w:rFonts w:ascii="Times New Roman" w:hAnsi="Times New Roman"/>
          <w:b/>
          <w:noProof/>
          <w:sz w:val="24"/>
          <w:szCs w:val="24"/>
        </w:rPr>
        <w:t>ipari ökoszisztémák</w:t>
      </w:r>
      <w:r>
        <w:rPr>
          <w:rFonts w:ascii="Times New Roman" w:hAnsi="Times New Roman"/>
          <w:noProof/>
          <w:sz w:val="24"/>
          <w:szCs w:val="24"/>
        </w:rPr>
        <w:t xml:space="preserve"> előtt álló lehetőségeket és kihívásokat is. Ezek az ökoszisztémák magukban foglalják az </w:t>
      </w:r>
      <w:r>
        <w:rPr>
          <w:rFonts w:ascii="Times New Roman" w:hAnsi="Times New Roman"/>
          <w:noProof/>
          <w:sz w:val="24"/>
          <w:szCs w:val="24"/>
          <w:bdr w:val="nil"/>
        </w:rPr>
        <w:t>értékláncok</w:t>
      </w:r>
      <w:r>
        <w:rPr>
          <w:rFonts w:ascii="Times New Roman" w:hAnsi="Times New Roman"/>
          <w:noProof/>
          <w:sz w:val="24"/>
          <w:szCs w:val="24"/>
        </w:rPr>
        <w:t xml:space="preserve"> valamennyi szereplőjét:</w:t>
      </w:r>
      <w:r>
        <w:rPr>
          <w:rFonts w:ascii="Times New Roman" w:hAnsi="Times New Roman"/>
          <w:noProof/>
          <w:sz w:val="24"/>
          <w:szCs w:val="24"/>
          <w:bdr w:val="nil"/>
        </w:rPr>
        <w:t xml:space="preserve"> a legkisebb induló innovatív vállalkozásoktól a legnagyobb vállalatokig, a tudományos élettől a kutatásig, a szolgáltatóktól a besz</w:t>
      </w:r>
      <w:r>
        <w:rPr>
          <w:rFonts w:ascii="Times New Roman" w:hAnsi="Times New Roman"/>
          <w:noProof/>
          <w:sz w:val="24"/>
          <w:szCs w:val="24"/>
          <w:bdr w:val="nil"/>
        </w:rPr>
        <w:t>állítókig. És mindegyik ilyen ökoszisztémának megvannak a maga jellemzői.</w:t>
      </w:r>
    </w:p>
    <w:p w:rsidR="00581FBB" w:rsidRDefault="000A6010">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Az egyre élesebb globális versenyben a kettős átállás megkezdésével párhuzamosan, az „Ipar 2030” magas szintű ipari kerekasztal, a közös európai érdeket szolgáló fontos projektek str</w:t>
      </w:r>
      <w:r>
        <w:rPr>
          <w:rFonts w:ascii="Times New Roman" w:hAnsi="Times New Roman"/>
          <w:noProof/>
          <w:sz w:val="24"/>
          <w:szCs w:val="24"/>
          <w:bdr w:val="nil"/>
        </w:rPr>
        <w:t xml:space="preserve">atégiai fóruma és más testületek munkájára építve a Bizottság szisztematikusan elemezni fogja a különböző ökoszisztémákat, és </w:t>
      </w:r>
      <w:r>
        <w:rPr>
          <w:rFonts w:ascii="Times New Roman" w:hAnsi="Times New Roman"/>
          <w:b/>
          <w:noProof/>
          <w:sz w:val="24"/>
          <w:szCs w:val="24"/>
          <w:bdr w:val="nil"/>
        </w:rPr>
        <w:t>értékelni fogja az ipar különböző kockázatait és szükségleteit</w:t>
      </w:r>
      <w:r>
        <w:rPr>
          <w:rFonts w:ascii="Times New Roman" w:hAnsi="Times New Roman"/>
          <w:noProof/>
          <w:sz w:val="24"/>
          <w:szCs w:val="24"/>
          <w:bdr w:val="nil"/>
        </w:rPr>
        <w:t>. Megvizsgálja többek között a kutatási és innovációs készségeket, a</w:t>
      </w:r>
      <w:r>
        <w:rPr>
          <w:rFonts w:ascii="Times New Roman" w:hAnsi="Times New Roman"/>
          <w:noProof/>
          <w:sz w:val="24"/>
          <w:szCs w:val="24"/>
          <w:bdr w:val="nil"/>
        </w:rPr>
        <w:t xml:space="preserve"> kkv-k és a nagyvállalatok szerepét, valamint az esetleges külső nyomásokat és függőségeket.</w:t>
      </w:r>
    </w:p>
    <w:p w:rsidR="00581FBB" w:rsidRDefault="000A6010">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Az elemzés során a Bizottság szorosan együtt fog működni egy inkluzív és nyitott </w:t>
      </w:r>
      <w:r>
        <w:rPr>
          <w:rFonts w:ascii="Times New Roman" w:hAnsi="Times New Roman"/>
          <w:b/>
          <w:noProof/>
          <w:sz w:val="24"/>
          <w:szCs w:val="24"/>
          <w:bdr w:val="nil"/>
        </w:rPr>
        <w:t>ipari fórummal</w:t>
      </w:r>
      <w:r>
        <w:rPr>
          <w:rFonts w:ascii="Times New Roman" w:hAnsi="Times New Roman"/>
          <w:noProof/>
          <w:sz w:val="24"/>
          <w:szCs w:val="24"/>
          <w:bdr w:val="nil"/>
        </w:rPr>
        <w:t>, amely az ipar, köztük a kkv-k, a nagyvállalatok, a szociális partn</w:t>
      </w:r>
      <w:r>
        <w:rPr>
          <w:rFonts w:ascii="Times New Roman" w:hAnsi="Times New Roman"/>
          <w:noProof/>
          <w:sz w:val="24"/>
          <w:szCs w:val="24"/>
          <w:bdr w:val="nil"/>
        </w:rPr>
        <w:t>erek, a kutatók, valamint a tagállamok és az uniós intézmények képviselőiből áll. Szükség esetén ágazati szakértőket is felkérnek majd ismereteik megosztására.</w:t>
      </w:r>
    </w:p>
    <w:p w:rsidR="00581FBB" w:rsidRDefault="000A6010">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Ez a munka megmutathatja, hogy egyes ökoszisztémák – sajátos jellegük vagy szükségleteik miatt –</w:t>
      </w:r>
      <w:r>
        <w:rPr>
          <w:rFonts w:ascii="Times New Roman" w:hAnsi="Times New Roman"/>
          <w:noProof/>
          <w:sz w:val="24"/>
          <w:szCs w:val="24"/>
          <w:bdr w:val="nil"/>
        </w:rPr>
        <w:t xml:space="preserve"> célzott támogatást igényelnek. Az ilyen támogatás szabályozási intézkedés, finanszírozási források felszabadítása vagy a piacvédelmi eszközök maximális kihasználása formájában valósulhat meg. Ez </w:t>
      </w:r>
      <w:r>
        <w:rPr>
          <w:rFonts w:ascii="Times New Roman" w:hAnsi="Times New Roman"/>
          <w:b/>
          <w:noProof/>
          <w:sz w:val="24"/>
          <w:szCs w:val="24"/>
          <w:bdr w:val="nil"/>
        </w:rPr>
        <w:t>külön erre a célra irányuló eszköztárat</w:t>
      </w:r>
      <w:r>
        <w:rPr>
          <w:rFonts w:ascii="Times New Roman" w:hAnsi="Times New Roman"/>
          <w:noProof/>
          <w:sz w:val="24"/>
          <w:szCs w:val="24"/>
          <w:bdr w:val="nil"/>
        </w:rPr>
        <w:t xml:space="preserve"> képezne. Az előrehal</w:t>
      </w:r>
      <w:r>
        <w:rPr>
          <w:rFonts w:ascii="Times New Roman" w:hAnsi="Times New Roman"/>
          <w:noProof/>
          <w:sz w:val="24"/>
          <w:szCs w:val="24"/>
          <w:bdr w:val="nil"/>
        </w:rPr>
        <w:t>adást az Európai Parlamenttel és a Tanáccsal együttműködésben folyamatosan nyomon követi majd a Bizottság.</w:t>
      </w:r>
    </w:p>
    <w:p w:rsidR="00581FBB" w:rsidRDefault="000A6010">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Szükség esetén </w:t>
      </w:r>
      <w:r>
        <w:rPr>
          <w:rFonts w:ascii="Times New Roman" w:hAnsi="Times New Roman"/>
          <w:b/>
          <w:noProof/>
          <w:sz w:val="24"/>
          <w:szCs w:val="24"/>
          <w:bdr w:val="nil"/>
        </w:rPr>
        <w:t>ipari szövetségek</w:t>
      </w:r>
      <w:r>
        <w:rPr>
          <w:rFonts w:ascii="Times New Roman" w:hAnsi="Times New Roman"/>
          <w:noProof/>
          <w:sz w:val="24"/>
          <w:szCs w:val="24"/>
          <w:bdr w:val="nil"/>
        </w:rPr>
        <w:t xml:space="preserve"> kialakítása lehet a megfelelő eszköz. </w:t>
      </w:r>
      <w:r>
        <w:rPr>
          <w:rFonts w:ascii="Times New Roman" w:hAnsi="Times New Roman"/>
          <w:noProof/>
          <w:sz w:val="24"/>
          <w:szCs w:val="24"/>
        </w:rPr>
        <w:t>Ez az eszköz az akkumulátorok, a műanyagok és a mikroelektronika területén kor</w:t>
      </w:r>
      <w:r>
        <w:rPr>
          <w:rFonts w:ascii="Times New Roman" w:hAnsi="Times New Roman"/>
          <w:noProof/>
          <w:sz w:val="24"/>
          <w:szCs w:val="24"/>
        </w:rPr>
        <w:t>ábban már eredményesnek bizonyult. Az Európai Akkumulátorszövetségnek sikerült az EU-t az ágazat élvonalába emelnie ebben a kulcsfontosságú technológiában. A szövetségek megszabhatják a tevékenységek irányát, és segíthetik az Európa-szerte pozitív továbbgy</w:t>
      </w:r>
      <w:r>
        <w:rPr>
          <w:rFonts w:ascii="Times New Roman" w:hAnsi="Times New Roman"/>
          <w:noProof/>
          <w:sz w:val="24"/>
          <w:szCs w:val="24"/>
        </w:rPr>
        <w:t>űrűző hatásokkal járó nagyléptékű projektek finanszírozását, az innováció előtt álló akadályok felszámolásának és a szakpolitikai koherencia javításának szolgálatába állítva a kkv-k, a nagyvállalatok, a kutatók és a régiók tudását.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tiszta hidrogén kiváló</w:t>
      </w:r>
      <w:r>
        <w:rPr>
          <w:rFonts w:ascii="Times New Roman" w:hAnsi="Times New Roman"/>
          <w:noProof/>
          <w:sz w:val="24"/>
          <w:szCs w:val="24"/>
        </w:rPr>
        <w:t xml:space="preserve"> példa arra, hogy mindez hol képviselhet valódi hozzáadott értéket. Forradalmi jellegű technológiáról van szó, amely szorosabb koordinációt igényel az értéklánc egészében. Ebben a szellemben a Bizottság hamarosan javasolni fogja az </w:t>
      </w:r>
      <w:r>
        <w:rPr>
          <w:rFonts w:ascii="Times New Roman" w:hAnsi="Times New Roman"/>
          <w:b/>
          <w:noProof/>
          <w:sz w:val="24"/>
          <w:szCs w:val="24"/>
        </w:rPr>
        <w:t>Európai Tisztahidrogén-s</w:t>
      </w:r>
      <w:r>
        <w:rPr>
          <w:rFonts w:ascii="Times New Roman" w:hAnsi="Times New Roman"/>
          <w:b/>
          <w:noProof/>
          <w:sz w:val="24"/>
          <w:szCs w:val="24"/>
        </w:rPr>
        <w:t>zövetség</w:t>
      </w:r>
      <w:r>
        <w:rPr>
          <w:rFonts w:ascii="Times New Roman" w:hAnsi="Times New Roman"/>
          <w:noProof/>
          <w:sz w:val="24"/>
          <w:szCs w:val="24"/>
        </w:rPr>
        <w:t xml:space="preserve"> elindítását, amely összehozza a beruházókat a kormányzati, intézményi és ipari partnerekkel. A szövetség a technológiai igények, a beruházási lehetőségek, valamint a szabályozási akadályok és támogató tényezők meghatározására irányuló, már folyama</w:t>
      </w:r>
      <w:r>
        <w:rPr>
          <w:rFonts w:ascii="Times New Roman" w:hAnsi="Times New Roman"/>
          <w:noProof/>
          <w:sz w:val="24"/>
          <w:szCs w:val="24"/>
        </w:rPr>
        <w:t>tban lévő munkára épít. A jövőbeli szövetségeknek ki kell terjedniük az alacsony szén-dioxid-kibocsátású iparágakra, az ipari felhőkre és platformokra, valamint a nyersanyagokra is.</w:t>
      </w:r>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581FBB">
        <w:trPr>
          <w:trHeight w:val="552"/>
        </w:trPr>
        <w:tc>
          <w:tcPr>
            <w:tcW w:w="9406" w:type="dxa"/>
            <w:shd w:val="clear" w:color="auto" w:fill="BDD6EE" w:themeFill="accent1" w:themeFillTint="66"/>
          </w:tcPr>
          <w:p w:rsidR="00581FBB" w:rsidRDefault="000A6010">
            <w:pPr>
              <w:jc w:val="center"/>
              <w:rPr>
                <w:rFonts w:ascii="Times New Roman" w:hAnsi="Times New Roman" w:cs="Times New Roman"/>
                <w:b/>
                <w:noProof/>
                <w:sz w:val="24"/>
                <w:szCs w:val="24"/>
              </w:rPr>
            </w:pPr>
            <w:r>
              <w:rPr>
                <w:rFonts w:ascii="Times New Roman" w:hAnsi="Times New Roman"/>
                <w:b/>
                <w:noProof/>
                <w:sz w:val="24"/>
                <w:szCs w:val="24"/>
              </w:rPr>
              <w:t>Teszünk a sikerért</w:t>
            </w:r>
          </w:p>
          <w:p w:rsidR="00581FBB" w:rsidRDefault="000A6010">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Az ipari szövetségek sikeres mintájára útjára indul az </w:t>
            </w:r>
            <w:r>
              <w:rPr>
                <w:rFonts w:ascii="Times New Roman" w:hAnsi="Times New Roman"/>
                <w:b/>
                <w:noProof/>
                <w:sz w:val="24"/>
                <w:szCs w:val="24"/>
              </w:rPr>
              <w:t>Európai Tisztahidrogén-szövetség</w:t>
            </w:r>
            <w:r>
              <w:rPr>
                <w:rFonts w:ascii="Times New Roman" w:hAnsi="Times New Roman"/>
                <w:noProof/>
                <w:sz w:val="24"/>
                <w:szCs w:val="24"/>
              </w:rPr>
              <w:t>. Az előkészítést követően hasonló szövetségeket kell létrehozni az alacsony szén-dioxid-kibocsátású iparágak, az ipari felhők és platformok, valamint a nyersanyagok terén.</w:t>
            </w:r>
          </w:p>
          <w:p w:rsidR="00581FBB" w:rsidRDefault="000A6010">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A Bizottság elvégzi az</w:t>
            </w:r>
            <w:r>
              <w:rPr>
                <w:rFonts w:ascii="Times New Roman" w:hAnsi="Times New Roman"/>
                <w:b/>
                <w:noProof/>
                <w:sz w:val="24"/>
                <w:szCs w:val="24"/>
              </w:rPr>
              <w:t xml:space="preserve"> ipar szükségleteinek alapos </w:t>
            </w:r>
            <w:r>
              <w:rPr>
                <w:rFonts w:ascii="Times New Roman" w:hAnsi="Times New Roman"/>
                <w:b/>
                <w:noProof/>
                <w:sz w:val="24"/>
                <w:szCs w:val="24"/>
              </w:rPr>
              <w:t>elemzését</w:t>
            </w:r>
            <w:r>
              <w:rPr>
                <w:rFonts w:ascii="Times New Roman" w:hAnsi="Times New Roman"/>
                <w:noProof/>
                <w:sz w:val="24"/>
                <w:szCs w:val="24"/>
              </w:rPr>
              <w:t xml:space="preserve"> és szűrését, és </w:t>
            </w:r>
            <w:r>
              <w:rPr>
                <w:rFonts w:ascii="Times New Roman" w:hAnsi="Times New Roman"/>
                <w:b/>
                <w:noProof/>
                <w:sz w:val="24"/>
                <w:szCs w:val="24"/>
              </w:rPr>
              <w:t>azonosítja a testre szabott megközelítést igénylő ökoszisztémákat</w:t>
            </w:r>
            <w:r>
              <w:rPr>
                <w:rFonts w:ascii="Times New Roman" w:hAnsi="Times New Roman"/>
                <w:noProof/>
                <w:sz w:val="24"/>
                <w:szCs w:val="24"/>
              </w:rPr>
              <w:t>.</w:t>
            </w:r>
          </w:p>
          <w:p w:rsidR="00581FBB" w:rsidRDefault="000A6010">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2020 szeptemberéig inkluzív és nyílt </w:t>
            </w:r>
            <w:r>
              <w:rPr>
                <w:rFonts w:ascii="Times New Roman" w:hAnsi="Times New Roman"/>
                <w:b/>
                <w:noProof/>
                <w:sz w:val="24"/>
                <w:szCs w:val="24"/>
              </w:rPr>
              <w:t>ipari fórumot</w:t>
            </w:r>
            <w:r>
              <w:rPr>
                <w:rFonts w:ascii="Times New Roman" w:hAnsi="Times New Roman"/>
                <w:noProof/>
                <w:sz w:val="24"/>
                <w:szCs w:val="24"/>
              </w:rPr>
              <w:t xml:space="preserve"> hoznak létre e tevékenység támogatására.</w:t>
            </w:r>
          </w:p>
        </w:tc>
      </w:tr>
    </w:tbl>
    <w:p w:rsidR="00581FBB" w:rsidRDefault="00581FBB">
      <w:pPr>
        <w:rPr>
          <w:noProof/>
          <w:sz w:val="24"/>
          <w:szCs w:val="24"/>
        </w:rPr>
      </w:pPr>
    </w:p>
    <w:p w:rsidR="00581FBB" w:rsidRDefault="000A6010">
      <w:pPr>
        <w:pStyle w:val="Heading1"/>
        <w:numPr>
          <w:ilvl w:val="0"/>
          <w:numId w:val="15"/>
        </w:numPr>
        <w:rPr>
          <w:noProof/>
        </w:rPr>
      </w:pPr>
      <w:r>
        <w:rPr>
          <w:noProof/>
        </w:rPr>
        <w:t>Következtetés</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jelen stratégia lefekteti egy olyan iparpolitika </w:t>
      </w:r>
      <w:r>
        <w:rPr>
          <w:rFonts w:ascii="Times New Roman" w:hAnsi="Times New Roman"/>
          <w:noProof/>
          <w:sz w:val="24"/>
          <w:szCs w:val="24"/>
        </w:rPr>
        <w:t>alapjait, amely támogatja a kettős átállást, globálisan versenyképesebbé teszi az uniós ipart, és fokozza Európa stratégiai autonómiáját.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Tekintettel az előttünk álló változások jelentős társadalmi következményeire, alapvető fontosságú lesz a szociális par</w:t>
      </w:r>
      <w:r>
        <w:rPr>
          <w:rFonts w:ascii="Times New Roman" w:hAnsi="Times New Roman"/>
          <w:noProof/>
          <w:sz w:val="24"/>
          <w:szCs w:val="24"/>
        </w:rPr>
        <w:t xml:space="preserve">tnerekkel és a civil társadalommal folytatott párbeszéd. A Bizottság által évente megrendezett </w:t>
      </w:r>
      <w:r>
        <w:rPr>
          <w:rFonts w:ascii="Times New Roman" w:hAnsi="Times New Roman"/>
          <w:b/>
          <w:noProof/>
          <w:sz w:val="24"/>
          <w:szCs w:val="24"/>
        </w:rPr>
        <w:t>Ipari Napok</w:t>
      </w:r>
      <w:r>
        <w:rPr>
          <w:rFonts w:ascii="Times New Roman" w:hAnsi="Times New Roman"/>
          <w:noProof/>
          <w:sz w:val="24"/>
          <w:szCs w:val="24"/>
        </w:rPr>
        <w:t xml:space="preserve"> továbbra is fontos eseményt jelentenek, ahol az összes szereplő találkozhat egymással. A Bizottság javasolni fogja, hogy a Tanács elnökségei és az ér</w:t>
      </w:r>
      <w:r>
        <w:rPr>
          <w:rFonts w:ascii="Times New Roman" w:hAnsi="Times New Roman"/>
          <w:noProof/>
          <w:sz w:val="24"/>
          <w:szCs w:val="24"/>
        </w:rPr>
        <w:t>dekelt tagállamok saját országukban is rendezzenek ipari napokat.</w:t>
      </w:r>
    </w:p>
    <w:p w:rsidR="00581FBB" w:rsidRDefault="000A6010">
      <w:pPr>
        <w:spacing w:line="240" w:lineRule="auto"/>
        <w:jc w:val="both"/>
        <w:rPr>
          <w:rFonts w:ascii="Times New Roman" w:hAnsi="Times New Roman" w:cs="Times New Roman"/>
          <w:noProof/>
          <w:sz w:val="24"/>
          <w:szCs w:val="24"/>
        </w:rPr>
      </w:pPr>
      <w:r>
        <w:rPr>
          <w:rFonts w:ascii="Times New Roman" w:hAnsi="Times New Roman"/>
          <w:noProof/>
          <w:sz w:val="24"/>
          <w:szCs w:val="24"/>
        </w:rPr>
        <w:t>A Bizottság törekedni fog arra, hogy növelje a stratégiával kapcsolatos politikai felelősségvállalást, és javasolja, hogy a Versenyképességi Tanácsban és az Európai Parlamentben hozzanak lét</w:t>
      </w:r>
      <w:r>
        <w:rPr>
          <w:rFonts w:ascii="Times New Roman" w:hAnsi="Times New Roman"/>
          <w:noProof/>
          <w:sz w:val="24"/>
          <w:szCs w:val="24"/>
        </w:rPr>
        <w:t>re az előrehaladást figyelemmel kísérő állandó napirendi pontot. Erre a stratégia végrehajtásának rendszeres nyomon követése és a fő teljesítménymutatók elemzése alapján kerül majd sor.</w:t>
      </w:r>
    </w:p>
    <w:p w:rsidR="00581FBB" w:rsidRDefault="000A6010">
      <w:pPr>
        <w:spacing w:line="240" w:lineRule="auto"/>
        <w:jc w:val="both"/>
        <w:rPr>
          <w:noProof/>
          <w:sz w:val="24"/>
          <w:szCs w:val="24"/>
        </w:rPr>
      </w:pPr>
      <w:r>
        <w:rPr>
          <w:rFonts w:ascii="Times New Roman" w:hAnsi="Times New Roman"/>
          <w:noProof/>
          <w:sz w:val="24"/>
          <w:szCs w:val="24"/>
        </w:rPr>
        <w:t>Csak az EU, a tagállamok és a régiók, az ipar, a kkv-k és minden más é</w:t>
      </w:r>
      <w:r>
        <w:rPr>
          <w:rFonts w:ascii="Times New Roman" w:hAnsi="Times New Roman"/>
          <w:noProof/>
          <w:sz w:val="24"/>
          <w:szCs w:val="24"/>
        </w:rPr>
        <w:t>rdekelt fél közös elkötelezettsége teszi lehetővé Európa számára, hogy a lehető legjobban kiaknázza az ipari átállásban rejlő lehetőségeket. Az Európai Tanács 2020. márciusi ülése lehetőséget kínál e megújított partnerségnek a közös jövőkép és célkitűzések</w:t>
      </w:r>
      <w:r>
        <w:rPr>
          <w:rFonts w:ascii="Times New Roman" w:hAnsi="Times New Roman"/>
          <w:noProof/>
          <w:sz w:val="24"/>
          <w:szCs w:val="24"/>
        </w:rPr>
        <w:t xml:space="preserve"> alapján történő újraindítására.</w:t>
      </w:r>
    </w:p>
    <w:sectPr w:rsidR="00581FB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BB" w:rsidRDefault="000A6010">
      <w:pPr>
        <w:spacing w:after="0" w:line="240" w:lineRule="auto"/>
      </w:pPr>
      <w:r>
        <w:separator/>
      </w:r>
    </w:p>
  </w:endnote>
  <w:endnote w:type="continuationSeparator" w:id="0">
    <w:p w:rsidR="00581FBB" w:rsidRDefault="000A6010">
      <w:pPr>
        <w:spacing w:after="0" w:line="240" w:lineRule="auto"/>
      </w:pPr>
      <w:r>
        <w:continuationSeparator/>
      </w:r>
    </w:p>
  </w:endnote>
  <w:endnote w:type="continuationNotice" w:id="1">
    <w:p w:rsidR="00581FBB" w:rsidRDefault="00581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0A6010">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rsidR="00581FBB" w:rsidRDefault="000A601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BB" w:rsidRDefault="000A6010">
      <w:pPr>
        <w:spacing w:after="0" w:line="240" w:lineRule="auto"/>
      </w:pPr>
      <w:r>
        <w:separator/>
      </w:r>
    </w:p>
  </w:footnote>
  <w:footnote w:type="continuationSeparator" w:id="0">
    <w:p w:rsidR="00581FBB" w:rsidRDefault="000A6010">
      <w:pPr>
        <w:spacing w:after="0" w:line="240" w:lineRule="auto"/>
      </w:pPr>
      <w:r>
        <w:continuationSeparator/>
      </w:r>
    </w:p>
  </w:footnote>
  <w:footnote w:type="continuationNotice" w:id="1">
    <w:p w:rsidR="00581FBB" w:rsidRDefault="00581FBB">
      <w:pPr>
        <w:spacing w:after="0" w:line="240" w:lineRule="auto"/>
      </w:pPr>
    </w:p>
  </w:footnote>
  <w:footnote w:id="2">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COM(2019) 640 final.</w:t>
      </w:r>
    </w:p>
  </w:footnote>
  <w:footnote w:id="3">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67 final.</w:t>
      </w:r>
    </w:p>
  </w:footnote>
  <w:footnote w:id="4">
    <w:p w:rsidR="00581FBB" w:rsidRDefault="000A601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e közleménnyel párhuzamosan célzott kkv-stratégiát fogad el: Kkv-stratégia a fenntartható és digitális Európáért, COM(2020) 103 final.</w:t>
      </w:r>
    </w:p>
  </w:footnote>
  <w:footnote w:id="5">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66 final.</w:t>
      </w:r>
    </w:p>
  </w:footnote>
  <w:footnote w:id="6">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Közlemény és kapcsolódó jelentés: Az egységes piaci akadályok azonosítása és megszün</w:t>
      </w:r>
      <w:r>
        <w:rPr>
          <w:rFonts w:ascii="Times New Roman" w:hAnsi="Times New Roman"/>
        </w:rPr>
        <w:t>tetése, COM(2020) 93 final.</w:t>
      </w:r>
    </w:p>
  </w:footnote>
  <w:footnote w:id="7">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Hosszú távú cselekvési terv az egységes piaci szabályok végrehajtásának és érvényesítésének javítására, COM(2020) 94 final.</w:t>
      </w:r>
    </w:p>
  </w:footnote>
  <w:footnote w:id="8">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22 final.</w:t>
      </w:r>
    </w:p>
  </w:footnote>
  <w:footnote w:id="9">
    <w:p w:rsidR="00581FBB" w:rsidRDefault="000A6010">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98 final.</w:t>
      </w:r>
    </w:p>
  </w:footnote>
  <w:footnote w:id="10">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80 final.</w:t>
      </w:r>
    </w:p>
  </w:footnote>
  <w:footnote w:id="11">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Az (EU) 2019/452 rendelet.</w:t>
      </w:r>
    </w:p>
  </w:footnote>
  <w:footnote w:id="12">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w:t>
      </w:r>
      <w:r>
        <w:rPr>
          <w:rFonts w:ascii="Times New Roman" w:hAnsi="Times New Roman"/>
        </w:rPr>
        <w:t>020) 50 final.</w:t>
      </w:r>
    </w:p>
  </w:footnote>
  <w:footnote w:id="13">
    <w:p w:rsidR="00581FBB" w:rsidRDefault="000A601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B" w:rsidRDefault="0058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C7E6CB-8648-47F7-B1CB-C0E352555987"/>
    <w:docVar w:name="LW_COVERPAGE_TYPE" w:val="1"/>
    <w:docVar w:name="LW_CROSSREFERENCE" w:val="&lt;UNUSED&gt;"/>
    <w:docVar w:name="LW_DocType" w:val="NORMAL"/>
    <w:docVar w:name="LW_EMISSION" w:val="2020.3.10."/>
    <w:docVar w:name="LW_EMISSION_ISODATE" w:val="2020-03-10"/>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Új európai iparstratégia"/>
    <w:docVar w:name="LW_TYPE.DOC.CP" w:val="A BIZOTTSÁG KÖZLEMÉNYE"/>
    <w:docVar w:name="LW_TYPE.DOC.CP.USERTEXT" w:val="AZ EURÓPAI PARLAMENTNEK, AZ EURÓPAI TANÁCSNAK, A TANÁCSNAK, AZ EURÓPAI GAZDASÁGI ÉS SZOCIÁLIS BIZOTTSÁGNAK ÉS A RÉGIÓK BIZOTTSÁGÁNAK"/>
  </w:docVars>
  <w:rsids>
    <w:rsidRoot w:val="00581FBB"/>
    <w:rsid w:val="000A6010"/>
    <w:rsid w:val="005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0BFAE"/>
  <w15:docId w15:val="{75640D9B-E669-42A2-87F0-19E3B5F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hu-HU"/>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u-HU"/>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hu-HU"/>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3.xml><?xml version="1.0" encoding="utf-8"?>
<ds:datastoreItem xmlns:ds="http://schemas.openxmlformats.org/officeDocument/2006/customXml" ds:itemID="{33FDFB05-A1AB-441E-8661-898BBDE96943}">
  <ds:schemaRefs>
    <ds:schemaRef ds:uri="http://schemas.microsoft.com/office/2006/metadata/properties"/>
    <ds:schemaRef ds:uri="http://schemas.microsoft.com/office/infopath/2007/PartnerControls"/>
    <ds:schemaRef ds:uri="6343bd70-33bf-416e-baf7-97eb05a26235"/>
  </ds:schemaRefs>
</ds:datastoreItem>
</file>

<file path=customXml/itemProps4.xml><?xml version="1.0" encoding="utf-8"?>
<ds:datastoreItem xmlns:ds="http://schemas.openxmlformats.org/officeDocument/2006/customXml" ds:itemID="{3A7AACA0-C0C8-4BFA-A6E2-1A59BA81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6929</Words>
  <Characters>48990</Characters>
  <Application>Microsoft Office Word</Application>
  <DocSecurity>0</DocSecurity>
  <Lines>742</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25</cp:revision>
  <cp:lastPrinted>2020-03-09T12:45:00Z</cp:lastPrinted>
  <dcterms:created xsi:type="dcterms:W3CDTF">2020-03-09T17:57:00Z</dcterms:created>
  <dcterms:modified xsi:type="dcterms:W3CDTF">2020-03-12T15:50:00Z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0x010100258AA79CEB83498886A3A086811232500050DEB4CD0BADD943B8C610D650D943A4</vt:lpwstr>
  </property>
</Properties>
</file>