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B49ADB-A77F-4F42-84C9-D7E33B5A3257" style="width:455.3pt;height:586.1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Összefoglaló</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Folytatódtak a szlovák igazságszolgáltatási rendszer függetlenségének, integritásának, minőségének és hatékonyságának javítása érdekében tett azon jelentős erőfeszítések, amelyek a 2020. évi jogállamisági jelentésben már említésre kerültek. A parlament 2020 decemberében elfogadta az Alkotmány átfogó reformját, valamint az igazságszolgáltatási rendszerre vonatkozó végrehajtási jogszabályokat, különös tekintettel az Alkotmánybíróságra és a Bírói Tanácsra. A hatóságok is fokozott erőfeszítéseket tettek az igazságszolgáltatás terén tapasztalható korrupció kezelésére. Az Európa Tanács részvételével előkészületben van az igazságügyi térkép reformja, amelynek keretében számos észrevétel érkezett az érdekelt felektől. Létrehozták a Legfelsőbb Közigazgatási Bíróságot. Új, átlátható eljárás során új legfőbb ügyészt és különleges ügyészt választottak. E reformok az igazságszolgáltatási rendszer javítására irányuló erőfeszítéseket tükrözik, és fontos, hogy végrehajtásuk során figyelembe veszik az igazságszolgáltatás függetlenségét biztosító, vonatkozó európai normákat. Ez azért is lényeges, mert a bírói függetlenség megítélése a lakosság körében továbbra is nagyon alacsony, habár a vállalkozások körében javult.</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A korrupció visszaszorítására irányuló szlovák erőfeszítések jelentős mértékben fokozódtak, és ennek hatása megmutatkozik számos magas szinten elkövetett korrupciós ügy kivizsgálásában és büntetőeljárás alá vonásában. Vezető tisztviselők is kiválasztásra és kinevezésre kerültek, ideértve a visszaélést bejelentő személyek védelmével foglalkozó új hivatal vezetőjét, aki 2021. szeptember 1-jétől látja el feladatait. A korrupciós bűncselekmények felderítésére és kivizsgálására való képességet tovább lehet erősíteni a szakosodásba, az e célra rendelkezésre álló elemzői szakértelembe, valamint a Nemzeti Nyomozó Ügynökségnél szervezett integritási képzésekbe való befektetések révén. Lassú az előrehaladás a korrupció megelőzése terén. A lobbitevékenységek szabályozására irányuló számos kísérlet eddig sikertelennek bizonyult. Ugyanakkor a lobbitevékenységre, a „forgóajtó-jelenségre”, a vagyonnyilatkozatokra, a parlamenti képviselők összeférhetetlenségére és a közbeszerzésre vonatkozó jogszabálytervezetek tervezési vagy kezdeti szakaszban vannak.</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Szlovákia alkotmánya és másodlagos joga biztosítja a jogi keretet a véleménynyilvánítás szabadságának védelméhez, a közérdekű információkhoz való hozzáférés jogának érvényesítéséhez, valamint a médiapluralizmus és a sajtójogok biztosításához. A jelenleg megvitatás alatt álló és 2021 szeptemberében elfogadni tervezett törvénytervezet várhatóan olyan keretet vezet be, amely biztosítja a média-tulajdonjogok átláthatóságát. Az újságírók számára kedvezőbb környezet biztosítását célzó törvényjavaslattal kapcsolatos kormányzati terveket elhalasztották. Az állami hirdetések elosztása továbbra is szabályozatlan. A Ján Kuciak oknyomozó újságíró és menyasszonya 2018-as meggyilkolásában részt vevő személyek ügyében számos ítéletet hirdettek. A Legfelsőbb Bíróság megsemmisítette a gyilkosság állítólagos kitervelőinek felmentését, amelynek következtében az ügyet visszautalták a Szakosított Büntetőbírósághoz. Egy ítéletet helyben hagytak. A Covid19-világjárvány hatásának ellensúlyozására nem vezettek be új médiatámogatási rendszert.</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Amint az a 2020. évi jogállamisági jelentésben már említésre került, a fékek és ellensúlyok rendszerét illetően Szlovákiában szükség van a jogalkotási folyamat javítására az érdekelt felek és a civil társadalom részvételének erősítésével. A 2020. decemberi alkotmányos reform kifejezetten kizárja az Alkotmánybíróság alkotmánytörvények felülvizsgálatára vonatkozó hatáskörét, ami e rendelkezés alkotmánybírósági felülvizsgálatához vezetett. A Covid19-</w:t>
      </w:r>
      <w:r>
        <w:rPr>
          <w:noProof/>
        </w:rPr>
        <w:lastRenderedPageBreak/>
        <w:t>világjárvánnyal kapcsolatos szükségállapot 2020 nagy részében fennállt és 2021 májusában ért véget, miután 2020 decemberében annak meghosszabbítása érdekében jogszabályt módosítottak. Az állampolgári jogok biztosa és a Nemzeti Emberi Jogi Központ aktív szerepet töltött be az alapvető jogok világjárvány során való védelmében. Egyre több aggály merül fel egyes nem kormányzati szervezetek finanszírozásával kapcsolatban, különös tekintettel a nemek közötti egyenlőség területén dolgozó nem kormányzati szervezetekre vonatkozó korlátozásokra.</w:t>
      </w:r>
      <w:r>
        <w:rPr>
          <w:noProof/>
        </w:rPr>
        <w:br w:type="page"/>
      </w:r>
    </w:p>
    <w:p>
      <w:pPr>
        <w:pStyle w:val="Heading1"/>
        <w:rPr>
          <w:noProof/>
        </w:rPr>
      </w:pPr>
      <w:r>
        <w:rPr>
          <w:noProof/>
        </w:rPr>
        <w:t xml:space="preserve">Igazságszolgáltatási rendszer </w:t>
      </w:r>
    </w:p>
    <w:p>
      <w:pPr>
        <w:rPr>
          <w:rFonts w:eastAsia="Times New Roman" w:cs="Times New Roman"/>
          <w:noProof/>
          <w:szCs w:val="20"/>
        </w:rPr>
      </w:pPr>
      <w:r>
        <w:rPr>
          <w:noProof/>
        </w:rPr>
        <w:t>A Szlovák Köztársaság bírósági rendszere 54 körzeti bíróságot, 8 regionális bíróságot, a Szakosított Büntetőbíróságot, a Legfelsőbb Bíróságot, a Legfelsőbb Közigazgatási Bíróságot és az Alkotmánybíróságot foglalja magában</w:t>
      </w:r>
      <w:r>
        <w:rPr>
          <w:rFonts w:eastAsia="Times New Roman" w:cs="Times New Roman"/>
          <w:noProof/>
          <w:vertAlign w:val="superscript"/>
          <w:lang w:eastAsia="fr-FR"/>
        </w:rPr>
        <w:footnoteReference w:id="2"/>
      </w:r>
      <w:r>
        <w:rPr>
          <w:noProof/>
        </w:rPr>
        <w:t>. A regionális bíróságok járnak el másodfokú bíróságként polgári, kereskedelmi és büntetőügyekben, ugyanakkor pedig elsőfokú bíróságként járnak el közigazgatási ügyekben. A Szakosított Büntetőbíróság rendelkezik hatáskörrel a büntetőeljárási törvénykönyv megfelelő rendelkezéseiben</w:t>
      </w:r>
      <w:r>
        <w:rPr>
          <w:rFonts w:eastAsia="Times New Roman" w:cs="Times New Roman"/>
          <w:noProof/>
          <w:vertAlign w:val="superscript"/>
          <w:lang w:eastAsia="fr-FR"/>
        </w:rPr>
        <w:footnoteReference w:id="3"/>
      </w:r>
      <w:r>
        <w:rPr>
          <w:noProof/>
        </w:rPr>
        <w:t xml:space="preserve"> felsorolt súlyos büntetőügyek elbírálására. A Bírói Tanács központi szerepet játszik az igazságszolgáltatás önigazgatásában és a bírák kinevezésében, felfüggesztésében és felmentésében, valamint a bírói etika fenntartásában. Tagjai felét (18 tagból 9-et) bírótársaik választják meg. A Bírói Tanács többi tagját Szlovákia államfője, parlamentje és kormánya nevezi ki</w:t>
      </w:r>
      <w:r>
        <w:rPr>
          <w:rFonts w:eastAsia="Times New Roman" w:cs="Times New Roman"/>
          <w:noProof/>
          <w:vertAlign w:val="superscript"/>
          <w:lang w:eastAsia="fr-FR"/>
        </w:rPr>
        <w:footnoteReference w:id="4"/>
      </w:r>
      <w:r>
        <w:rPr>
          <w:noProof/>
        </w:rPr>
        <w:t>. Szlovákia ügyészsége független állami hatóság, amelynek élén a legfőbb ügyész áll</w:t>
      </w:r>
      <w:r>
        <w:rPr>
          <w:rFonts w:eastAsia="Times New Roman" w:cs="Times New Roman"/>
          <w:noProof/>
          <w:vertAlign w:val="superscript"/>
          <w:lang w:eastAsia="fr-FR"/>
        </w:rPr>
        <w:footnoteReference w:id="5"/>
      </w:r>
      <w:r>
        <w:rPr>
          <w:noProof/>
        </w:rPr>
        <w:t>.</w:t>
      </w:r>
      <w:r>
        <w:rPr>
          <w:i/>
          <w:iCs/>
          <w:noProof/>
        </w:rPr>
        <w:t xml:space="preserve"> </w:t>
      </w:r>
      <w:r>
        <w:rPr>
          <w:noProof/>
        </w:rPr>
        <w:t>Szlovákia részt vesz az Európai Ügyészség munkájában. A szlovák ügyvédi kamara független önigazgatási szakmai szervezet</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Függetlenség </w:t>
      </w:r>
    </w:p>
    <w:p>
      <w:pPr>
        <w:rPr>
          <w:rFonts w:eastAsia="Times New Roman" w:cs="Times New Roman"/>
          <w:noProof/>
          <w:szCs w:val="20"/>
        </w:rPr>
      </w:pPr>
      <w:r>
        <w:rPr>
          <w:b/>
          <w:bCs/>
          <w:noProof/>
        </w:rPr>
        <w:t xml:space="preserve">A bíróságok érzékelt függetlenségének megítélése javult a vállalkozások körében, ugyanakkor a lakosság körében továbbra is alacsony vagy nagyon alacsony. </w:t>
      </w:r>
      <w:r>
        <w:rPr>
          <w:noProof/>
        </w:rPr>
        <w:t>A vállalkozások 30 %-a úgy ítéli meg, hogy a bírói függetlenség „nagyon jó” vagy „meglehetősen jó”, ami jelentős javulást jelent 2020-hoz képest (15 %)</w:t>
      </w:r>
      <w:r>
        <w:rPr>
          <w:rStyle w:val="FootnoteReference"/>
          <w:rFonts w:eastAsia="Times New Roman" w:cs="Times New Roman"/>
          <w:noProof/>
          <w:lang w:eastAsia="fr-FR"/>
        </w:rPr>
        <w:footnoteReference w:id="7"/>
      </w:r>
      <w:r>
        <w:rPr>
          <w:noProof/>
        </w:rPr>
        <w:t>. A lakosság körében viszont nem történt ilyen javulás a bíróságok és bírák függetlenségének megítélése terén: 28 % szerint a bírói függetlenség „meglehetősen jó vagy nagyon jó” és 65 % szerint „meglehetősen rossz vagy nagyon rossz”</w:t>
      </w:r>
      <w:r>
        <w:rPr>
          <w:rStyle w:val="FootnoteReference"/>
          <w:rFonts w:eastAsia="Times New Roman" w:cs="Times New Roman"/>
          <w:noProof/>
          <w:lang w:eastAsia="fr-FR"/>
        </w:rPr>
        <w:footnoteReference w:id="8"/>
      </w:r>
      <w:r>
        <w:rPr>
          <w:noProof/>
        </w:rPr>
        <w:t>, ami összhangban van a 2020. évi jogállamisági jelentésben már említett hosszú távú tendenciával</w:t>
      </w:r>
      <w:r>
        <w:rPr>
          <w:rStyle w:val="FootnoteReference"/>
          <w:rFonts w:eastAsia="Times New Roman" w:cs="Times New Roman"/>
          <w:noProof/>
          <w:lang w:eastAsia="fr-FR"/>
        </w:rPr>
        <w:footnoteReference w:id="9"/>
      </w:r>
      <w:r>
        <w:rPr>
          <w:noProof/>
        </w:rPr>
        <w:t>. A függetlenség érzékelt hiányának leggyakrabban felhozott indokai szinte azonos mértékben kapcsolódnak a kormány és a politikusok beavatkozásához vagy nyomásgyakorlásához, valamint a gazdasági vagy egyéb sajátos érdekeket szolgáló nyomásgyakorláshoz</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A hatóságok lépéseket tettek az igazságszolgáltatás terén tapasztalható állítólagos korrupció és hivatali visszaélés kezelése érdekében. </w:t>
      </w:r>
      <w:r>
        <w:rPr>
          <w:noProof/>
        </w:rPr>
        <w:t>A 2020. évi jogállamisági jelentésben említett magas szintű rendőrségi műveletek</w:t>
      </w:r>
      <w:r>
        <w:rPr>
          <w:rStyle w:val="FootnoteReference"/>
          <w:noProof/>
        </w:rPr>
        <w:footnoteReference w:id="11"/>
      </w:r>
      <w:r>
        <w:rPr>
          <w:noProof/>
        </w:rPr>
        <w:t xml:space="preserve"> után további műveletek kezdődtek. A közigazgatási szerveknek az igazságszolgáltatási rendszerben tapasztalható korrupció csökkentése érdekében tett fokozott erőfeszítései következtében jelenleg 20 bíró</w:t>
      </w:r>
      <w:r>
        <w:rPr>
          <w:rStyle w:val="FootnoteReference"/>
          <w:rFonts w:cs="Times New Roman"/>
          <w:noProof/>
        </w:rPr>
        <w:footnoteReference w:id="12"/>
      </w:r>
      <w:r>
        <w:rPr>
          <w:noProof/>
        </w:rPr>
        <w:t xml:space="preserve"> és az igazságszolgáltatás és bűnüldözés egyéb képviselői</w:t>
      </w:r>
      <w:r>
        <w:rPr>
          <w:rStyle w:val="FootnoteReference"/>
          <w:rFonts w:cs="Times New Roman"/>
          <w:noProof/>
        </w:rPr>
        <w:footnoteReference w:id="13"/>
      </w:r>
      <w:r>
        <w:rPr>
          <w:noProof/>
        </w:rPr>
        <w:t xml:space="preserve"> ellen folyik büntetőeljárás a korrupcióra és hivatali visszaélésre vonatkozó súlyos állításokhoz kapcsolódóan. Egy bírót elítéltek. A büntetőeljárás következtében számos bíró lemondott hivataláról vagy ideiglenesen felfüggesztették hivatalából</w:t>
      </w:r>
      <w:r>
        <w:rPr>
          <w:rStyle w:val="FootnoteReference"/>
          <w:rFonts w:cs="Times New Roman"/>
          <w:noProof/>
        </w:rPr>
        <w:footnoteReference w:id="14"/>
      </w:r>
      <w:r>
        <w:rPr>
          <w:noProof/>
        </w:rPr>
        <w:t>. Az igazságszolgáltatási rendszer általános integritásával kapcsolatos konkrét aggályok további kezelésének szükségessége az európai szemeszter keretében is felvetődött, és Szlovákia e tekintetben országspecifikus ajánlást kapott</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Átfogó igazságszolgáltatási reformot fogadtak el, amely az Alkotmány és a végrehajtási jogszabályok módosításából áll. </w:t>
      </w:r>
      <w:r>
        <w:rPr>
          <w:noProof/>
        </w:rPr>
        <w:t>Ez azt követően történt, hogy a kormány bejelentette a jogállamiságba vetett közbizalom növelése érdekében elindított reform végrehajtását</w:t>
      </w:r>
      <w:r>
        <w:rPr>
          <w:rStyle w:val="FootnoteReference"/>
          <w:rFonts w:eastAsia="Times New Roman" w:cs="Times New Roman"/>
          <w:noProof/>
          <w:lang w:eastAsia="fr-FR"/>
        </w:rPr>
        <w:footnoteReference w:id="16"/>
      </w:r>
      <w:r>
        <w:rPr>
          <w:noProof/>
        </w:rPr>
        <w:t>, a 2020. évi jogállamisági jelentésben kifejtettek szerint</w:t>
      </w:r>
      <w:r>
        <w:rPr>
          <w:rStyle w:val="FootnoteReference"/>
          <w:rFonts w:eastAsia="Times New Roman" w:cs="Times New Roman"/>
          <w:noProof/>
          <w:lang w:eastAsia="fr-FR"/>
        </w:rPr>
        <w:footnoteReference w:id="17"/>
      </w:r>
      <w:r>
        <w:rPr>
          <w:noProof/>
        </w:rPr>
        <w:t>. 2020 decemberében elfogadták az Alkotmány és a végrehajtási jogszabályok módosítását, amely létrehozta különösen a Legfelsőbb Közigazgatási Bíróságot, módosításokat vezetett be</w:t>
      </w:r>
      <w:r>
        <w:rPr>
          <w:rStyle w:val="FootnoteReference"/>
          <w:rFonts w:eastAsia="Times New Roman" w:cs="Times New Roman"/>
          <w:noProof/>
          <w:lang w:eastAsia="fr-FR"/>
        </w:rPr>
        <w:footnoteReference w:id="18"/>
      </w:r>
      <w:r>
        <w:rPr>
          <w:noProof/>
        </w:rPr>
        <w:t xml:space="preserve"> az Alkotmánybíróság bíráinak kiválasztása és kinevezése terén, továbbá a Bírói Tanáccsal kapcsolatos számos rendelkezést módosított. Az érdekelt felek megjegyezték, hogy a reform tükrözi az igazságszolgáltatási rendszer javítására és függetlenségének megerősítésére irányuló erőfeszítéseket</w:t>
      </w:r>
      <w:r>
        <w:rPr>
          <w:rStyle w:val="FootnoteReference"/>
          <w:rFonts w:eastAsia="Times New Roman" w:cs="Times New Roman"/>
          <w:noProof/>
          <w:lang w:eastAsia="fr-FR"/>
        </w:rPr>
        <w:footnoteReference w:id="19"/>
      </w:r>
      <w:r>
        <w:rPr>
          <w:noProof/>
        </w:rPr>
        <w:t xml:space="preserve">, de a reform egyes részei ellenállásba ütköztek (lásd alább). </w:t>
      </w:r>
    </w:p>
    <w:p>
      <w:pPr>
        <w:rPr>
          <w:rFonts w:eastAsia="Times New Roman" w:cs="Times New Roman"/>
          <w:noProof/>
          <w:szCs w:val="20"/>
        </w:rPr>
      </w:pPr>
      <w:r>
        <w:rPr>
          <w:b/>
          <w:bCs/>
          <w:noProof/>
        </w:rPr>
        <w:t>Bár a Bírói Tanácsot érintő reform egyes elemeit üdvözölték, aggályok merültek fel a tanácsi tagok felmentésével kapcsolatos rendszer tekintetében.</w:t>
      </w:r>
      <w:r>
        <w:rPr>
          <w:noProof/>
        </w:rPr>
        <w:t xml:space="preserve"> Az alkotmányos reform változtatásokat eszközölt a Bírói Tanács tagjainak kinevezési módjával kapcsolatban, kiterjesztette a Tanács hatásköreit és módosította a tanácsi tagok felmentésére vonatkozó rendelkezést</w:t>
      </w:r>
      <w:r>
        <w:rPr>
          <w:rStyle w:val="FootnoteReference"/>
          <w:rFonts w:eastAsia="Times New Roman" w:cs="Times New Roman"/>
          <w:noProof/>
          <w:lang w:eastAsia="fr-FR"/>
        </w:rPr>
        <w:footnoteReference w:id="20"/>
      </w:r>
      <w:r>
        <w:rPr>
          <w:noProof/>
        </w:rPr>
        <w:t>. A reform bevezette azt a szabályt, amely szerint a Tanács bírói tagjainak megválasztására több választókerületben kerülne sor</w:t>
      </w:r>
      <w:r>
        <w:rPr>
          <w:rStyle w:val="FootnoteReference"/>
          <w:rFonts w:eastAsia="Times New Roman" w:cs="Times New Roman"/>
          <w:noProof/>
          <w:lang w:eastAsia="fr-FR"/>
        </w:rPr>
        <w:footnoteReference w:id="21"/>
      </w:r>
      <w:r>
        <w:rPr>
          <w:noProof/>
        </w:rPr>
        <w:t>. A kormány szerint a változtatás célja a Tanács legitimitásának növelése a bírák sokszínűbb képviseletének biztosítása révén. E célkitűzés összhangban van az Európa Tanács ajánlásaival</w:t>
      </w:r>
      <w:r>
        <w:rPr>
          <w:rStyle w:val="FootnoteReference"/>
          <w:rFonts w:eastAsia="Times New Roman" w:cs="Times New Roman"/>
          <w:noProof/>
          <w:lang w:eastAsia="fr-FR"/>
        </w:rPr>
        <w:footnoteReference w:id="22"/>
      </w:r>
      <w:r>
        <w:rPr>
          <w:noProof/>
        </w:rPr>
        <w:t>. A reform a Bíró Tanács hatáskörét is kiterjeszti</w:t>
      </w:r>
      <w:r>
        <w:rPr>
          <w:rStyle w:val="FootnoteReference"/>
          <w:rFonts w:eastAsia="Times New Roman" w:cs="Times New Roman"/>
          <w:noProof/>
          <w:lang w:eastAsia="fr-FR"/>
        </w:rPr>
        <w:footnoteReference w:id="23"/>
      </w:r>
      <w:r>
        <w:rPr>
          <w:noProof/>
        </w:rPr>
        <w:t>. A reform emellett kifejezetten előírja, hogy a Bírói Tanács tagjait, ideértve annak elnökét és alelnökét is, az őket kinevező hatóság bármikor felmentheti</w:t>
      </w:r>
      <w:r>
        <w:rPr>
          <w:rStyle w:val="FootnoteReference"/>
          <w:rFonts w:eastAsia="Times New Roman" w:cs="Times New Roman"/>
          <w:noProof/>
          <w:lang w:eastAsia="fr-FR"/>
        </w:rPr>
        <w:footnoteReference w:id="24"/>
      </w:r>
      <w:r>
        <w:rPr>
          <w:noProof/>
        </w:rPr>
        <w:t>. Az indokolás</w:t>
      </w:r>
      <w:r>
        <w:rPr>
          <w:rStyle w:val="FootnoteReference"/>
          <w:rFonts w:eastAsia="Times New Roman" w:cs="Times New Roman"/>
          <w:noProof/>
          <w:lang w:eastAsia="fr-FR"/>
        </w:rPr>
        <w:footnoteReference w:id="25"/>
      </w:r>
      <w:r>
        <w:rPr>
          <w:noProof/>
        </w:rPr>
        <w:t xml:space="preserve"> szerint ebből az következik, hogy a felmentésre vonatkozó ilyen javaslatnak nem szükséges jogilag előírt követelményeken alapulnia</w:t>
      </w:r>
      <w:r>
        <w:rPr>
          <w:rStyle w:val="FootnoteReference"/>
          <w:rFonts w:eastAsia="Times New Roman" w:cs="Times New Roman"/>
          <w:noProof/>
          <w:lang w:eastAsia="fr-FR"/>
        </w:rPr>
        <w:footnoteReference w:id="26"/>
      </w:r>
      <w:r>
        <w:rPr>
          <w:noProof/>
        </w:rPr>
        <w:t>, hanem ehelyett a felmentést a bizalom hiánya indokolhatja</w:t>
      </w:r>
      <w:r>
        <w:rPr>
          <w:rStyle w:val="FootnoteReference"/>
          <w:rFonts w:eastAsia="Times New Roman" w:cs="Times New Roman"/>
          <w:noProof/>
          <w:lang w:eastAsia="fr-FR"/>
        </w:rPr>
        <w:footnoteReference w:id="27"/>
      </w:r>
      <w:r>
        <w:rPr>
          <w:noProof/>
        </w:rPr>
        <w:t>. Az érdekelt felek aggodalmuknak adtak hangot, hogy a reform e vonatkozása negatív hatással lehet a Bírói Tanács függetlenségére</w:t>
      </w:r>
      <w:r>
        <w:rPr>
          <w:rStyle w:val="FootnoteReference"/>
          <w:rFonts w:eastAsia="Times New Roman" w:cs="Times New Roman"/>
          <w:noProof/>
          <w:lang w:eastAsia="fr-FR"/>
        </w:rPr>
        <w:footnoteReference w:id="28"/>
      </w:r>
      <w:r>
        <w:rPr>
          <w:noProof/>
        </w:rPr>
        <w:t>. Az Európai bírák Konzultatív Tanácsa (CCJE) által 2020. december 9-én kiadott vélemény is tükrözi ezen aggodalmakat</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A felmentett tagok alkotmányjogi panasz benyújtásával az Alkotmánybíróság előtt megtámadhatják a felmentésükről szóló határozatot</w:t>
      </w:r>
      <w:r>
        <w:rPr>
          <w:rStyle w:val="FootnoteReference"/>
          <w:rFonts w:eastAsia="Times New Roman" w:cs="Times New Roman"/>
          <w:noProof/>
          <w:lang w:eastAsia="fr-FR"/>
        </w:rPr>
        <w:footnoteReference w:id="30"/>
      </w:r>
      <w:r>
        <w:rPr>
          <w:noProof/>
        </w:rPr>
        <w:t>. Lényeges, hogy a Bírói Tanácsra a törvényhozástól és végrehajtó hatalomtól való függetlenség tekintetében megfelelő garanciák vonatkozzanak, ideértve a tanácsi tagok felmentésének módját is</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A kiszámíthatóság biztosítása érdekében nyugdíjkorhatárt vezettek be a bírák esetében</w:t>
      </w:r>
      <w:r>
        <w:rPr>
          <w:rStyle w:val="FootnoteReference"/>
          <w:rFonts w:eastAsia="Times New Roman" w:cs="Times New Roman"/>
          <w:b/>
          <w:noProof/>
          <w:szCs w:val="20"/>
          <w:lang w:eastAsia="fr-FR"/>
        </w:rPr>
        <w:footnoteReference w:id="32"/>
      </w:r>
      <w:r>
        <w:rPr>
          <w:b/>
          <w:noProof/>
          <w:szCs w:val="20"/>
        </w:rPr>
        <w:t>.</w:t>
      </w:r>
      <w:r>
        <w:rPr>
          <w:noProof/>
        </w:rPr>
        <w:t xml:space="preserve"> Az Alkotmány módosításait követően a bírák 67. életévük betöltésével nyugdíjba vonulnak</w:t>
      </w:r>
      <w:r>
        <w:rPr>
          <w:rStyle w:val="FootnoteReference"/>
          <w:rFonts w:eastAsia="Times New Roman" w:cs="Times New Roman"/>
          <w:noProof/>
          <w:szCs w:val="20"/>
          <w:lang w:eastAsia="fr-FR"/>
        </w:rPr>
        <w:footnoteReference w:id="33"/>
      </w:r>
      <w:r>
        <w:rPr>
          <w:noProof/>
        </w:rPr>
        <w:t xml:space="preserve">. Mivel a reform megszüntette a Bírói Tanács arra vonatkozó mérlegelési jogkörét, hogy javaslatot tegyen a 65 év feletti bírák nyugdíjba vonulására, a módosítás fokozza a jogbiztonságot és stabilitást a bírák számára. </w:t>
      </w:r>
    </w:p>
    <w:p>
      <w:pPr>
        <w:rPr>
          <w:noProof/>
          <w:sz w:val="22"/>
        </w:rPr>
      </w:pPr>
      <w:r>
        <w:rPr>
          <w:b/>
          <w:noProof/>
        </w:rPr>
        <w:t xml:space="preserve">Módosult a bírák büntetőjogi felelősségi rendszere. </w:t>
      </w:r>
      <w:r>
        <w:rPr>
          <w:noProof/>
        </w:rPr>
        <w:t>2020 októberében elfogadták a büntető törvénykönyv módosítását</w:t>
      </w:r>
      <w:r>
        <w:rPr>
          <w:rStyle w:val="FootnoteReference"/>
          <w:rFonts w:eastAsia="Times New Roman" w:cs="Times New Roman"/>
          <w:noProof/>
          <w:szCs w:val="20"/>
          <w:lang w:eastAsia="fr-FR"/>
        </w:rPr>
        <w:footnoteReference w:id="34"/>
      </w:r>
      <w:r>
        <w:rPr>
          <w:noProof/>
        </w:rPr>
        <w:t>, amelyet a bírák mentelmi jogára vonatkozó alkotmányos rendelkezés módosítása követett. A reformok alapján a bírák</w:t>
      </w:r>
      <w:r>
        <w:rPr>
          <w:rStyle w:val="FootnoteReference"/>
          <w:rFonts w:eastAsia="Times New Roman" w:cs="Times New Roman"/>
          <w:noProof/>
          <w:lang w:eastAsia="fr-FR"/>
        </w:rPr>
        <w:footnoteReference w:id="35"/>
      </w:r>
      <w:r>
        <w:rPr>
          <w:noProof/>
        </w:rPr>
        <w:t xml:space="preserve"> nem vonhatók felelősségre a döntéshozatal során kifejtett véleményükért, kivéve, ha a bíró döntéshozatala bűncselekménynek minősíthető</w:t>
      </w:r>
      <w:r>
        <w:rPr>
          <w:rStyle w:val="FootnoteReference"/>
          <w:rFonts w:eastAsia="Times New Roman" w:cs="Times New Roman"/>
          <w:noProof/>
          <w:lang w:eastAsia="fr-FR"/>
        </w:rPr>
        <w:footnoteReference w:id="36"/>
      </w:r>
      <w:r>
        <w:rPr>
          <w:noProof/>
        </w:rPr>
        <w:t>. E tekintetben a büntető törvénykönyvbe új bűncselekményként bekerült a „joggal való visszaélés”</w:t>
      </w:r>
      <w:r>
        <w:rPr>
          <w:rStyle w:val="FootnoteReference"/>
          <w:rFonts w:eastAsia="Times New Roman" w:cs="Times New Roman"/>
          <w:noProof/>
          <w:lang w:eastAsia="fr-FR"/>
        </w:rPr>
        <w:footnoteReference w:id="37"/>
      </w:r>
      <w:r>
        <w:rPr>
          <w:noProof/>
        </w:rPr>
        <w:t>. E rendelkezés értelmében a bírák</w:t>
      </w:r>
      <w:r>
        <w:rPr>
          <w:rStyle w:val="FootnoteReference"/>
          <w:rFonts w:eastAsia="Times New Roman" w:cs="Times New Roman"/>
          <w:noProof/>
          <w:lang w:eastAsia="fr-FR"/>
        </w:rPr>
        <w:footnoteReference w:id="38"/>
      </w:r>
      <w:r>
        <w:rPr>
          <w:noProof/>
        </w:rPr>
        <w:t xml:space="preserve"> ellen büntetőeljárás indítható bármely olyan önkényes határozat miatt, amely egy másik személynek kárt okoz vagy szívességet tesz</w:t>
      </w:r>
      <w:r>
        <w:rPr>
          <w:rStyle w:val="FootnoteReference"/>
          <w:rFonts w:eastAsia="Times New Roman" w:cs="Times New Roman"/>
          <w:noProof/>
          <w:lang w:eastAsia="fr-FR"/>
        </w:rPr>
        <w:footnoteReference w:id="39"/>
      </w:r>
      <w:r>
        <w:rPr>
          <w:noProof/>
        </w:rPr>
        <w:t>. A rendelkezést a tervek szerint csak nyilvánvalóan önkényes vagy helytelen határozatok esetén alkalmazzák</w:t>
      </w:r>
      <w:r>
        <w:rPr>
          <w:rStyle w:val="FootnoteReference"/>
          <w:rFonts w:eastAsia="Times New Roman" w:cs="Times New Roman"/>
          <w:noProof/>
          <w:lang w:eastAsia="fr-FR"/>
        </w:rPr>
        <w:footnoteReference w:id="40"/>
      </w:r>
      <w:r>
        <w:rPr>
          <w:noProof/>
        </w:rPr>
        <w:t>. A különleges ügyész és a Szakosított Büntetőbíróság vezeti a büntetőeljárásokat. Az ilyen bűncselekménnyel vádolt bíráknak joguk van arra kérni a Bírói Tanácsot, hogy nyilvánítsa ki egyet nem értését a büntetőeljárás lefolytatásával, ami – amennyiben megadják – az eljárás megszüntetésével egyenértékű</w:t>
      </w:r>
      <w:r>
        <w:rPr>
          <w:rStyle w:val="FootnoteReference"/>
          <w:rFonts w:eastAsia="Times New Roman" w:cs="Times New Roman"/>
          <w:noProof/>
          <w:lang w:eastAsia="fr-FR"/>
        </w:rPr>
        <w:footnoteReference w:id="41"/>
      </w:r>
      <w:r>
        <w:rPr>
          <w:noProof/>
        </w:rPr>
        <w:t>. A büntetőeljárás alá vont bírót kizárólag a fegyelmi bíróság határozatával lehet ideiglenesen felfüggeszteni</w:t>
      </w:r>
      <w:r>
        <w:rPr>
          <w:rStyle w:val="FootnoteReference"/>
          <w:rFonts w:eastAsia="Times New Roman" w:cs="Times New Roman"/>
          <w:noProof/>
          <w:lang w:eastAsia="fr-FR"/>
        </w:rPr>
        <w:footnoteReference w:id="42"/>
      </w:r>
      <w:r>
        <w:rPr>
          <w:noProof/>
        </w:rPr>
        <w:t>. Mivel az európai normák előírják, hogy a bírák döntéshozatalért való felelősségre vonása a rosszhiszeműség vagy súlyos gondatlanság kivételes eseteiben történhet meg, a bírák felelősségét szabályozó bármely rendszernek egyértelműen és pontosan biztosítania kell a szükséges garanciákat azon kockázatok megelőzése érdekében, hogy ezt a rendszert a bírósági tevékenységre gyakorolt nyomásgyakorlás eszközeként vagy a bírósági határozatok tartalmának politikai ellenőrzésére szolgáló rendszerként használják fel</w:t>
      </w:r>
      <w:r>
        <w:rPr>
          <w:rStyle w:val="FootnoteReference"/>
          <w:rFonts w:eastAsia="Times New Roman" w:cs="Times New Roman"/>
          <w:noProof/>
          <w:lang w:eastAsia="fr-FR"/>
        </w:rPr>
        <w:footnoteReference w:id="43"/>
      </w:r>
      <w:r>
        <w:rPr>
          <w:noProof/>
        </w:rPr>
        <w:t>. Fontos, hogy ezen új rendelkezések gyakorlati alkalmazása során e biztosítékokat az európai normákkal összhangban megfelelően betartsák. Egyes érdekelt felek aggodalmukat fejezték ki a bírák mentelmi jogáról szóló alkotmánymódosítással kapcsolatban, és megjegyezték, hogy annak tág és homályos megfogalmazása a visszaélés lehetséges kockázatát hordozhatja magában</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A közelmúltbeli alkotmányos reform módosította a bírák hozzájárulás nélküli áthelyezésére vonatkozó rendszert. </w:t>
      </w:r>
      <w:r>
        <w:rPr>
          <w:noProof/>
        </w:rPr>
        <w:t>A közelmúltbeli alkotmányos reform előírta, hogy a bírákat az igazságügyi térkép módosítása esetén hozzájárulásuk nélkül is át lehet helyezni, amennyiben ez az áthelyezés szükséges az igazságszolgáltatás megfelelő működésének biztosításához</w:t>
      </w:r>
      <w:r>
        <w:rPr>
          <w:rStyle w:val="FootnoteReference"/>
          <w:rFonts w:eastAsia="Times New Roman" w:cs="Times New Roman"/>
          <w:noProof/>
          <w:lang w:eastAsia="fr-FR"/>
        </w:rPr>
        <w:footnoteReference w:id="45"/>
      </w:r>
      <w:r>
        <w:rPr>
          <w:noProof/>
        </w:rPr>
        <w:t>. Az európai normák értelmében kivételes esetekben lehetséges a bírák hozzájárulásuk nélküli áthelyezése, feltéve, hogy megfelelő biztosítékok vannak érvényben. E biztosítékok közé tartoznak az arra vonatkozó követelmények, hogy a bírákat ne helyezzék alacsonyabb szinten eljáró bíróságokhoz, illetve, hogy a bírák jogosultak bírósági jogorvoslathoz folyamodni</w:t>
      </w:r>
      <w:r>
        <w:rPr>
          <w:rStyle w:val="FootnoteReference"/>
          <w:rFonts w:eastAsia="Times New Roman" w:cs="Times New Roman"/>
          <w:noProof/>
          <w:lang w:eastAsia="fr-FR"/>
        </w:rPr>
        <w:footnoteReference w:id="46"/>
      </w:r>
      <w:r>
        <w:rPr>
          <w:noProof/>
        </w:rPr>
        <w:t>. Fontos lesz, hogy a végrehajtási törvény</w:t>
      </w:r>
      <w:r>
        <w:rPr>
          <w:rStyle w:val="FootnoteReference"/>
          <w:rFonts w:eastAsia="Times New Roman" w:cs="Times New Roman"/>
          <w:noProof/>
          <w:lang w:eastAsia="fr-FR"/>
        </w:rPr>
        <w:footnoteReference w:id="47"/>
      </w:r>
      <w:r>
        <w:rPr>
          <w:noProof/>
        </w:rPr>
        <w:t xml:space="preserve"> megfelelő biztosítékokat nyújtson, figyelembe véve az európai normákat.</w:t>
      </w:r>
    </w:p>
    <w:p>
      <w:pPr>
        <w:rPr>
          <w:rFonts w:eastAsia="Times New Roman" w:cs="Times New Roman"/>
          <w:noProof/>
        </w:rPr>
      </w:pPr>
      <w:r>
        <w:rPr>
          <w:b/>
          <w:bCs/>
          <w:noProof/>
        </w:rPr>
        <w:t xml:space="preserve">Az igazságügyi térképre vonatkozó reformtervezet előkészítés alatt áll. </w:t>
      </w:r>
      <w:r>
        <w:rPr>
          <w:noProof/>
        </w:rPr>
        <w:t>Az Igazságszolgáltatás Hatékonyságáért küzdő Európai Bizottság (CEPEJ) jelentésének ajánlásai alapján</w:t>
      </w:r>
      <w:r>
        <w:rPr>
          <w:rStyle w:val="FootnoteReference"/>
          <w:rFonts w:eastAsia="Times New Roman" w:cs="Times New Roman"/>
          <w:noProof/>
          <w:lang w:eastAsia="fr-FR"/>
        </w:rPr>
        <w:footnoteReference w:id="48"/>
      </w:r>
      <w:r>
        <w:rPr>
          <w:noProof/>
        </w:rPr>
        <w:t>, amelyek többek között a bírák fokozott szakosodásának és az igazságügyi térkép módosításának, különösen a körzeti bíróságok számának csökkentésének mérlegelésére vonatkoznak</w:t>
      </w:r>
      <w:r>
        <w:rPr>
          <w:rStyle w:val="FootnoteReference"/>
          <w:rFonts w:eastAsia="Times New Roman" w:cs="Times New Roman"/>
          <w:noProof/>
          <w:lang w:eastAsia="fr-FR"/>
        </w:rPr>
        <w:footnoteReference w:id="49"/>
      </w:r>
      <w:r>
        <w:rPr>
          <w:noProof/>
        </w:rPr>
        <w:t>, az Igazságügyi Minisztérium többek között bírákból álló munkacsoportokat szervezett az igazságügyi térkép reformtervezetének előkészítésére</w:t>
      </w:r>
      <w:r>
        <w:rPr>
          <w:rStyle w:val="FootnoteReference"/>
          <w:rFonts w:eastAsia="Times New Roman" w:cs="Times New Roman"/>
          <w:noProof/>
          <w:lang w:eastAsia="fr-FR"/>
        </w:rPr>
        <w:footnoteReference w:id="50"/>
      </w:r>
      <w:r>
        <w:rPr>
          <w:noProof/>
        </w:rPr>
        <w:t>. A reform célja az igazságszolgáltatásba vetett közbizalom növelése, illetve hatékonyságának és minőségének javítása</w:t>
      </w:r>
      <w:r>
        <w:rPr>
          <w:rStyle w:val="FootnoteReference"/>
          <w:rFonts w:eastAsia="Times New Roman" w:cs="Times New Roman"/>
          <w:noProof/>
          <w:lang w:eastAsia="fr-FR"/>
        </w:rPr>
        <w:footnoteReference w:id="51"/>
      </w:r>
      <w:r>
        <w:rPr>
          <w:noProof/>
        </w:rPr>
        <w:t>. A térkép tervezete a bíróságok megfelelő méretének szükségességén alapul, hogy lehetővé váljon a bírák szakosodásának javítása valamennyi bíróságon, a kulturális és regionális identitások tiszteletben tartása és az igazságszolgáltatás hozzáférhetősége</w:t>
      </w:r>
      <w:r>
        <w:rPr>
          <w:rStyle w:val="FootnoteReference"/>
          <w:rFonts w:eastAsia="Times New Roman" w:cs="Times New Roman"/>
          <w:noProof/>
          <w:lang w:eastAsia="fr-FR"/>
        </w:rPr>
        <w:footnoteReference w:id="52"/>
      </w:r>
      <w:r>
        <w:rPr>
          <w:noProof/>
        </w:rPr>
        <w:t>. A jelenlegi bíróságok munkaterhelésére, valamint az infrastruktúrára és a bíróságok hozzáférhetőségére vonatkozó adatok alapján a reformtervezet a körzeti bíróságok számát 54-ről 30-ra, míg a regionális bíróságok számát 8-ról 3-ra csökkentené</w:t>
      </w:r>
      <w:r>
        <w:rPr>
          <w:rStyle w:val="FootnoteReference"/>
          <w:rFonts w:eastAsia="Times New Roman" w:cs="Times New Roman"/>
          <w:noProof/>
          <w:lang w:eastAsia="fr-FR"/>
        </w:rPr>
        <w:footnoteReference w:id="53"/>
      </w:r>
      <w:r>
        <w:rPr>
          <w:noProof/>
        </w:rPr>
        <w:t>. A bírákat, igazságügyi alkalmazottakat és a megszüntetett bíróságok fennmaradó ügyeit a jogutód bíróságokra helyeznék át</w:t>
      </w:r>
      <w:r>
        <w:rPr>
          <w:rStyle w:val="FootnoteReference"/>
          <w:rFonts w:eastAsia="Times New Roman" w:cs="Times New Roman"/>
          <w:noProof/>
          <w:lang w:eastAsia="fr-FR"/>
        </w:rPr>
        <w:footnoteReference w:id="54"/>
      </w:r>
      <w:r>
        <w:rPr>
          <w:noProof/>
        </w:rPr>
        <w:t>. A reformtervezetet 2020 szeptembere és decembere között bemutatták a bíráknak és más érdekelt feleknek; a megbeszélések 2021 januárjában és februárjában is folytatódtak</w:t>
      </w:r>
      <w:r>
        <w:rPr>
          <w:rStyle w:val="FootnoteReference"/>
          <w:rFonts w:eastAsia="Times New Roman" w:cs="Times New Roman"/>
          <w:noProof/>
          <w:lang w:eastAsia="fr-FR"/>
        </w:rPr>
        <w:footnoteReference w:id="55"/>
      </w:r>
      <w:r>
        <w:rPr>
          <w:noProof/>
        </w:rPr>
        <w:t>. Az Igazságügyi Minisztérium jelenleg értékeli a 2020. december közepétől 2021. március elejéig tartó nyilvános konzultáció keretében benyújtott észrevételeket</w:t>
      </w:r>
      <w:r>
        <w:rPr>
          <w:rStyle w:val="FootnoteReference"/>
          <w:rFonts w:eastAsia="Times New Roman" w:cs="Times New Roman"/>
          <w:noProof/>
          <w:lang w:eastAsia="fr-FR"/>
        </w:rPr>
        <w:footnoteReference w:id="56"/>
      </w:r>
      <w:r>
        <w:rPr>
          <w:noProof/>
        </w:rPr>
        <w:t>. A reformtervezetet számos érdekelt fél bírálta, akik többek között arról számoltak be, hogy nem vonták be őket a szövegezési folyamatba, továbbá aggodalmukat fejezték ki a bíróságok hozzáférhetőségével kapcsolatban</w:t>
      </w:r>
      <w:r>
        <w:rPr>
          <w:rStyle w:val="FootnoteReference"/>
          <w:rFonts w:eastAsia="Times New Roman" w:cs="Times New Roman"/>
          <w:noProof/>
          <w:lang w:eastAsia="fr-FR"/>
        </w:rPr>
        <w:footnoteReference w:id="57"/>
      </w:r>
      <w:r>
        <w:rPr>
          <w:noProof/>
        </w:rPr>
        <w:t>. A bírálatokat követően az Igazságügyi Minisztérium a bírákkal való konzultáció 2021 szeptemberéig való folytatása mellett határozott, amelyet követően az igazságügyi térképre vonatkozó reform átfogalmazott javaslatát ismét nyilvános konzultációra bocsátják</w:t>
      </w:r>
      <w:r>
        <w:rPr>
          <w:rStyle w:val="FootnoteReference"/>
          <w:rFonts w:eastAsia="Times New Roman" w:cs="Times New Roman"/>
          <w:noProof/>
          <w:lang w:eastAsia="fr-FR"/>
        </w:rPr>
        <w:footnoteReference w:id="58"/>
      </w:r>
      <w:r>
        <w:rPr>
          <w:noProof/>
        </w:rPr>
        <w:t>. Mivel a reform magában foglalja a bírák áthelyezését</w:t>
      </w:r>
      <w:r>
        <w:rPr>
          <w:rStyle w:val="FootnoteReference"/>
          <w:rFonts w:eastAsia="Times New Roman" w:cs="Times New Roman"/>
          <w:noProof/>
          <w:lang w:eastAsia="fr-FR"/>
        </w:rPr>
        <w:footnoteReference w:id="59"/>
      </w:r>
      <w:r>
        <w:rPr>
          <w:noProof/>
        </w:rPr>
        <w:t>, megjegyzendő, hogy az európai normák szerint a reform keretében hozzájárulásuk nélkül áthelyezett bírákra eljárási garanciáknak kell vonatkozniuk annak biztosítása érdekében, hogy függetlenségük ne kerüljön veszélybe (lásd fent). A reformtervezet CEPEJ általi felülvizsgálata megállapította, hogy az alkalmazott módszertan összhangban van a szervezet iránymutatásaival és értékelő jelentésével, továbbá kiemelte a szlovák hatóságok által elfogadott, bizonyítékokon alapuló szemléletet</w:t>
      </w:r>
      <w:r>
        <w:rPr>
          <w:rStyle w:val="FootnoteReference"/>
          <w:rFonts w:eastAsia="Times New Roman" w:cs="Times New Roman"/>
          <w:noProof/>
          <w:lang w:eastAsia="fr-FR"/>
        </w:rPr>
        <w:footnoteReference w:id="60"/>
      </w:r>
      <w:r>
        <w:rPr>
          <w:noProof/>
        </w:rPr>
        <w:t>. A CEPEJ további ajánlásokat is kiadott, például mérlegelte a reform végrehajtásának elhalasztását</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Létrehozták a Legfelsőbb Közigazgatási Bíróságot és előirányozták a közigazgatási bíróságok létrehozását</w:t>
      </w:r>
      <w:r>
        <w:rPr>
          <w:rStyle w:val="FootnoteReference"/>
          <w:noProof/>
        </w:rPr>
        <w:footnoteReference w:id="62"/>
      </w:r>
      <w:r>
        <w:rPr>
          <w:noProof/>
        </w:rPr>
        <w:t>.</w:t>
      </w:r>
      <w:r>
        <w:rPr>
          <w:b w:val="0"/>
          <w:noProof/>
        </w:rPr>
        <w:t xml:space="preserve"> A közigazgatási bíróságok új rendszere várhatóan az igazságügyi térképre vonatkozó reformtervezet által javasolt három közigazgatási bíróság, valamint a közelmúltbeli alkotmányos reform által létrehozott és várhatóan 2021 augusztusától működőképes Legfelsőbb Közigazgatási Bíróság létrehozásából áll</w:t>
      </w:r>
      <w:r>
        <w:rPr>
          <w:rStyle w:val="FootnoteReference"/>
          <w:b w:val="0"/>
          <w:noProof/>
        </w:rPr>
        <w:footnoteReference w:id="63"/>
      </w:r>
      <w:r>
        <w:rPr>
          <w:b w:val="0"/>
          <w:noProof/>
        </w:rPr>
        <w:t>. 2020 májusában kinevezték a Legfelsőbb Közigazgatási Bíróság elnökét,</w:t>
      </w:r>
      <w:r>
        <w:rPr>
          <w:rStyle w:val="FootnoteReference"/>
          <w:b w:val="0"/>
          <w:noProof/>
        </w:rPr>
        <w:footnoteReference w:id="64"/>
      </w:r>
      <w:r>
        <w:rPr>
          <w:b w:val="0"/>
          <w:noProof/>
        </w:rPr>
        <w:t xml:space="preserve"> és a bírák kiválasztási eljárása folyamatban van. A Bírói Tanács választja majd ki a Bíróság bíráit</w:t>
      </w:r>
      <w:r>
        <w:rPr>
          <w:rStyle w:val="FootnoteReference"/>
          <w:b w:val="0"/>
          <w:noProof/>
        </w:rPr>
        <w:footnoteReference w:id="65"/>
      </w:r>
      <w:r>
        <w:rPr>
          <w:b w:val="0"/>
          <w:noProof/>
        </w:rPr>
        <w:t>. Az igazságügyi térképre vonatkozó reformtervezet (lásd fent) három különálló közigazgatási bíróság létrehozását irányozza elő. A tervek szerint</w:t>
      </w:r>
      <w:r>
        <w:rPr>
          <w:rStyle w:val="FootnoteReference"/>
          <w:b w:val="0"/>
          <w:noProof/>
        </w:rPr>
        <w:footnoteReference w:id="66"/>
      </w:r>
      <w:r>
        <w:rPr>
          <w:b w:val="0"/>
          <w:noProof/>
        </w:rPr>
        <w:t xml:space="preserve"> ezen új közigazgatási bíróságok elnökeit egy öttagú bizottság választja ki, amelyek tagjait az igazságügyi miniszter választja ki, és akik közül kettőt a Bírói Tanács jelöltjei közül kell kinevezni</w:t>
      </w:r>
      <w:r>
        <w:rPr>
          <w:rStyle w:val="FootnoteReference"/>
          <w:b w:val="0"/>
          <w:noProof/>
        </w:rPr>
        <w:footnoteReference w:id="67"/>
      </w:r>
      <w:r>
        <w:rPr>
          <w:b w:val="0"/>
          <w:noProof/>
        </w:rPr>
        <w:t>. A közigazgatási bíróságok bíráinak kiválasztása tekintetében az a javaslat született,</w:t>
      </w:r>
      <w:r>
        <w:rPr>
          <w:rStyle w:val="FootnoteReference"/>
          <w:b w:val="0"/>
          <w:noProof/>
        </w:rPr>
        <w:footnoteReference w:id="68"/>
      </w:r>
      <w:r>
        <w:rPr>
          <w:b w:val="0"/>
          <w:noProof/>
        </w:rPr>
        <w:t xml:space="preserve"> hogy az igazságügyi miniszter</w:t>
      </w:r>
      <w:r>
        <w:rPr>
          <w:rStyle w:val="FootnoteReference"/>
          <w:b w:val="0"/>
          <w:noProof/>
        </w:rPr>
        <w:footnoteReference w:id="69"/>
      </w:r>
      <w:r>
        <w:rPr>
          <w:b w:val="0"/>
          <w:noProof/>
        </w:rPr>
        <w:t xml:space="preserve"> határozza meg, mely pozíciókat töltsék be bírák áthelyezésével,</w:t>
      </w:r>
      <w:r>
        <w:rPr>
          <w:rStyle w:val="FootnoteReference"/>
          <w:b w:val="0"/>
          <w:noProof/>
        </w:rPr>
        <w:footnoteReference w:id="70"/>
      </w:r>
      <w:r>
        <w:rPr>
          <w:b w:val="0"/>
          <w:noProof/>
        </w:rPr>
        <w:t xml:space="preserve"> és mely pozíciókat kiválasztási eljárás</w:t>
      </w:r>
      <w:r>
        <w:rPr>
          <w:rStyle w:val="FootnoteReference"/>
          <w:b w:val="0"/>
          <w:noProof/>
        </w:rPr>
        <w:footnoteReference w:id="71"/>
      </w:r>
      <w:r>
        <w:rPr>
          <w:b w:val="0"/>
          <w:noProof/>
        </w:rPr>
        <w:t xml:space="preserve"> útján. Fontos, hogy e bíróságok felállítása, valamint az e bíróságok esetében alkalmazandó rendszer figyelembe vegye az európai normákat</w:t>
      </w:r>
      <w:r>
        <w:rPr>
          <w:rStyle w:val="FootnoteReference"/>
          <w:b w:val="0"/>
          <w:noProof/>
        </w:rPr>
        <w:footnoteReference w:id="72"/>
      </w:r>
      <w:r>
        <w:rPr>
          <w:b w:val="0"/>
          <w:noProof/>
        </w:rPr>
        <w:t>.</w:t>
      </w:r>
    </w:p>
    <w:p>
      <w:pPr>
        <w:rPr>
          <w:rFonts w:eastAsia="Times New Roman" w:cs="Times New Roman"/>
          <w:noProof/>
        </w:rPr>
      </w:pPr>
      <w:r>
        <w:rPr>
          <w:b/>
          <w:bCs/>
          <w:noProof/>
        </w:rPr>
        <w:t xml:space="preserve">Új </w:t>
      </w:r>
      <w:r>
        <w:rPr>
          <w:b/>
          <w:noProof/>
        </w:rPr>
        <w:t xml:space="preserve">eljárás során legfőbb ügyészt </w:t>
      </w:r>
      <w:r>
        <w:rPr>
          <w:b/>
          <w:bCs/>
          <w:noProof/>
        </w:rPr>
        <w:t>és</w:t>
      </w:r>
      <w:r>
        <w:rPr>
          <w:b/>
          <w:noProof/>
        </w:rPr>
        <w:t xml:space="preserve"> különleges ügyészt választottak.</w:t>
      </w:r>
      <w:r>
        <w:rPr>
          <w:noProof/>
        </w:rPr>
        <w:t xml:space="preserve"> A parlament 2020 szeptemberében törvényt</w:t>
      </w:r>
      <w:r>
        <w:rPr>
          <w:rStyle w:val="FootnoteReference"/>
          <w:rFonts w:eastAsia="Times New Roman" w:cs="Times New Roman"/>
          <w:noProof/>
          <w:szCs w:val="20"/>
          <w:lang w:eastAsia="fr-FR"/>
        </w:rPr>
        <w:footnoteReference w:id="73"/>
      </w:r>
      <w:r>
        <w:rPr>
          <w:noProof/>
        </w:rPr>
        <w:t xml:space="preserve"> fogadott el, amely számos változtatást vezetett be a legfőbb ügyész és a különleges ügyész megválasztási eljárása tekintetében</w:t>
      </w:r>
      <w:r>
        <w:rPr>
          <w:rStyle w:val="FootnoteReference"/>
          <w:rFonts w:eastAsia="Times New Roman" w:cs="Times New Roman"/>
          <w:noProof/>
          <w:lang w:eastAsia="fr-FR"/>
        </w:rPr>
        <w:footnoteReference w:id="74"/>
      </w:r>
      <w:r>
        <w:rPr>
          <w:noProof/>
        </w:rPr>
        <w:t>. A törvény kibővítette azon személyek körét, akiknek jogukban áll a legfőbb ügyészi tisztségre jelöltet javasolni</w:t>
      </w:r>
      <w:r>
        <w:rPr>
          <w:rStyle w:val="FootnoteReference"/>
          <w:rFonts w:eastAsia="Times New Roman" w:cs="Times New Roman"/>
          <w:noProof/>
          <w:szCs w:val="20"/>
          <w:lang w:eastAsia="fr-FR"/>
        </w:rPr>
        <w:footnoteReference w:id="75"/>
      </w:r>
      <w:r>
        <w:rPr>
          <w:noProof/>
        </w:rPr>
        <w:t>, nem ügyészek számára is lehetővé tette az erre a tisztségre való jelöltséget, valamint bevezette azt a követelményt, hogy a legfőbb ügyészi és a különleges ügyészi tisztség jelöltjeinek nyilvános parlamenti meghallgatáson kell részt venniük</w:t>
      </w:r>
      <w:r>
        <w:rPr>
          <w:rStyle w:val="FootnoteReference"/>
          <w:rFonts w:eastAsia="Times New Roman" w:cs="Times New Roman"/>
          <w:noProof/>
          <w:lang w:eastAsia="fr-FR"/>
        </w:rPr>
        <w:footnoteReference w:id="76"/>
      </w:r>
      <w:r>
        <w:rPr>
          <w:noProof/>
        </w:rPr>
        <w:t>. Az új szabályokat 2020 decemberében és 2021 februárjában is alkalmazták a legfőbb ügyészi és a különleges ügyészi tisztség jelöltjeinek megválasztása során. A média képviselői mindkét választást szorosan nyomon követték és az érdekelt felek megjegyezték, hogy az eljárás átláthatóbbá vált</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Minőség </w:t>
      </w:r>
    </w:p>
    <w:p>
      <w:pPr>
        <w:rPr>
          <w:b/>
          <w:noProof/>
        </w:rPr>
      </w:pPr>
      <w:r>
        <w:rPr>
          <w:b/>
          <w:noProof/>
        </w:rPr>
        <w:t>A digitalizáció előmozdítása érdekében tett erőfeszítések eredményeket mutatnak, de gyakorlati hiányosságok mutatkoznak.</w:t>
      </w:r>
      <w:r>
        <w:rPr>
          <w:noProof/>
        </w:rPr>
        <w:t xml:space="preserve"> Az igazságszolgáltatási rendszer digitalizációjának előmozdítása érdekében az elmúlt években elkezdődő aktív szerepvállalás</w:t>
      </w:r>
      <w:r>
        <w:rPr>
          <w:rStyle w:val="FootnoteReference"/>
          <w:noProof/>
          <w:lang w:eastAsia="en-GB"/>
        </w:rPr>
        <w:footnoteReference w:id="78"/>
      </w:r>
      <w:r>
        <w:rPr>
          <w:noProof/>
        </w:rPr>
        <w:t xml:space="preserve"> kezdi meghozni első eredményeit. Szlovákia rendelkezik a digitális technológia bíróságokon való használatát lehetővé tevő eljárási szabályokkal</w:t>
      </w:r>
      <w:r>
        <w:rPr>
          <w:rStyle w:val="FootnoteReference"/>
          <w:noProof/>
          <w:lang w:eastAsia="en-GB"/>
        </w:rPr>
        <w:footnoteReference w:id="79"/>
      </w:r>
      <w:r>
        <w:rPr>
          <w:noProof/>
        </w:rPr>
        <w:t>, továbbá számos olyan eszközzel és infrastruktúrával, amely lehetővé teszi a távolsági kommunikációt és a munkahelyhez való biztonságos távoli hozzáférést</w:t>
      </w:r>
      <w:r>
        <w:rPr>
          <w:rStyle w:val="FootnoteReference"/>
          <w:noProof/>
          <w:lang w:eastAsia="en-GB"/>
        </w:rPr>
        <w:footnoteReference w:id="80"/>
      </w:r>
      <w:r>
        <w:rPr>
          <w:noProof/>
        </w:rPr>
        <w:t>, a bírósági szolgálatok, illetve jogi szakemberek és intézmények közötti biztonságos elektronikus kommunikációt</w:t>
      </w:r>
      <w:r>
        <w:rPr>
          <w:rStyle w:val="FootnoteReference"/>
          <w:noProof/>
          <w:lang w:eastAsia="en-GB"/>
        </w:rPr>
        <w:footnoteReference w:id="81"/>
      </w:r>
      <w:r>
        <w:rPr>
          <w:noProof/>
        </w:rPr>
        <w:t xml:space="preserve"> vagy azt, hogy a felhasználók polgári, kereskedelmi és közigazgatási ügyekben eljárásokat kezdeményezzenek és azokat nyomon kövessék</w:t>
      </w:r>
      <w:r>
        <w:rPr>
          <w:rStyle w:val="FootnoteReference"/>
          <w:noProof/>
          <w:lang w:eastAsia="en-GB"/>
        </w:rPr>
        <w:footnoteReference w:id="82"/>
      </w:r>
      <w:r>
        <w:rPr>
          <w:noProof/>
        </w:rPr>
        <w:t>. Különösen az ügyészség</w:t>
      </w:r>
      <w:r>
        <w:rPr>
          <w:rStyle w:val="FootnoteReference"/>
          <w:noProof/>
          <w:lang w:eastAsia="en-GB"/>
        </w:rPr>
        <w:footnoteReference w:id="83"/>
      </w:r>
      <w:r>
        <w:rPr>
          <w:noProof/>
        </w:rPr>
        <w:t xml:space="preserve"> és a büntetőügyekben folytatott bírósági eljárások esetében alkalmazott digitális megoldások</w:t>
      </w:r>
      <w:r>
        <w:rPr>
          <w:rStyle w:val="FootnoteReference"/>
          <w:noProof/>
          <w:lang w:eastAsia="en-GB"/>
        </w:rPr>
        <w:footnoteReference w:id="84"/>
      </w:r>
      <w:r>
        <w:rPr>
          <w:noProof/>
        </w:rPr>
        <w:t xml:space="preserve"> terén mutatkoznak hiányosságok. Vannak azonban arra utaló jelek, hogy bár az eszközök és az infrastruktúrák rendelkezésre állnak, gyakorlati alkalmazásuk akadályokba ütközhet, ideértve az alacsony felhasználóbarátsághoz, a különböző alkalmazott információs rendszerek inkompatibilitásához vagy a felhasználók hiányos készségeihez hasonló akadályokat</w:t>
      </w:r>
      <w:r>
        <w:rPr>
          <w:rStyle w:val="FootnoteReference"/>
          <w:noProof/>
          <w:lang w:eastAsia="en-GB"/>
        </w:rPr>
        <w:footnoteReference w:id="85"/>
      </w:r>
      <w:r>
        <w:rPr>
          <w:noProof/>
        </w:rPr>
        <w:t>. Bár a Covid19-világjárvány összességében hozzájárult a digitalizálási folyamat fellendüléséhez, a folyamat egyes gyakorlati hiányosságait is feltárta</w:t>
      </w:r>
      <w:r>
        <w:rPr>
          <w:rStyle w:val="FootnoteReference"/>
          <w:noProof/>
          <w:lang w:eastAsia="en-GB"/>
        </w:rPr>
        <w:footnoteReference w:id="86"/>
      </w:r>
      <w:r>
        <w:rPr>
          <w:noProof/>
        </w:rPr>
        <w:t>. Az Igazságügyi Minisztériumon belül felállított új informatikai osztály vezetése alatt számos projekt van folyamatban az igazságszolgáltatási rendszer szükségleteinek kielégítése érdekében, ideértve a szlovák helyreállítási és rezilienciaépítési tervben is szereplő új ügyviteli rendszer és egy új cégnyilvántartás kidolgozását</w:t>
      </w:r>
      <w:r>
        <w:rPr>
          <w:rStyle w:val="FootnoteReference"/>
          <w:noProof/>
          <w:lang w:eastAsia="en-GB"/>
        </w:rPr>
        <w:footnoteReference w:id="87"/>
      </w:r>
      <w:r>
        <w:rPr>
          <w:noProof/>
        </w:rPr>
        <w:t xml:space="preserve">. </w:t>
      </w:r>
    </w:p>
    <w:p>
      <w:pPr>
        <w:rPr>
          <w:noProof/>
        </w:rPr>
      </w:pPr>
      <w:r>
        <w:rPr>
          <w:b/>
          <w:noProof/>
        </w:rPr>
        <w:t>Bár a világjárvány számottevő hatást gyakorolt az igazságszolgáltatási rendszerre, a bíróságok és az ügyvédek összességében folytatni tudták munkájukat.</w:t>
      </w:r>
      <w:r>
        <w:rPr>
          <w:noProof/>
        </w:rPr>
        <w:t xml:space="preserve"> A körzeti és regionális bíróságokon folytatott tárgyalások száma csökkent. Amennyiben sor került rájuk, a tárgyalásokat videokonferencia útján vagy szükség esetén, a biztonsági intézkedések betartása mellett, személyesen folytatták le. A világjárvány kevésbé érintette a Legfelsőbb Bíróságot, többek között azért, mert eljárásait többnyire írásba foglalják</w:t>
      </w:r>
      <w:r>
        <w:rPr>
          <w:rStyle w:val="FootnoteReference"/>
          <w:noProof/>
        </w:rPr>
        <w:footnoteReference w:id="88"/>
      </w:r>
      <w:r>
        <w:rPr>
          <w:noProof/>
        </w:rPr>
        <w:t>. Az ügyvédeket is érintette a világjárvány, de nem számoltak be a munkavégzésük útjában álló jelentősebb akadályokról</w:t>
      </w:r>
      <w:r>
        <w:rPr>
          <w:rStyle w:val="FootnoteReference"/>
          <w:noProof/>
        </w:rPr>
        <w:footnoteReference w:id="89"/>
      </w:r>
      <w:r>
        <w:rPr>
          <w:noProof/>
        </w:rPr>
        <w:t>. A Bírói Tanács szorosan figyelemmel kíséri a bíróságokon kialakult helyzetet. Az Igazságügyi Minisztérium iránymutatásokat és információkat tett közzé a korlátozásokkal kapcsolatban, amit a bíróságok nagyra értékeltek</w:t>
      </w:r>
      <w:r>
        <w:rPr>
          <w:rStyle w:val="FootnoteReference"/>
          <w:noProof/>
        </w:rPr>
        <w:footnoteReference w:id="90"/>
      </w:r>
      <w:r>
        <w:rPr>
          <w:noProof/>
        </w:rPr>
        <w:t>.</w:t>
      </w:r>
    </w:p>
    <w:p>
      <w:pPr>
        <w:pStyle w:val="Heading2"/>
        <w:rPr>
          <w:noProof/>
        </w:rPr>
      </w:pPr>
      <w:r>
        <w:rPr>
          <w:noProof/>
        </w:rPr>
        <w:t>Hatékonyság</w:t>
      </w:r>
    </w:p>
    <w:p>
      <w:pPr>
        <w:rPr>
          <w:rFonts w:eastAsia="Times New Roman" w:cs="Times New Roman"/>
          <w:b/>
          <w:smallCaps/>
          <w:noProof/>
          <w:szCs w:val="24"/>
          <w:u w:val="single"/>
        </w:rPr>
      </w:pPr>
      <w:r>
        <w:rPr>
          <w:b/>
          <w:noProof/>
        </w:rPr>
        <w:t>A közigazgatási ügyekben lefolytatott eljárások hatékonysága tovább csökkent.</w:t>
      </w:r>
      <w:r>
        <w:rPr>
          <w:noProof/>
        </w:rPr>
        <w:t xml:space="preserve"> Ezen eljárások uniós szempontból viszonylag hosszúak, és a közigazgatási ügyekben lefolytatott eljárások növekvő időtartamának tendenciája 2019-ben is folytatódott, és a 2018-as 157 naphoz képest elérte az 518 napot</w:t>
      </w:r>
      <w:r>
        <w:rPr>
          <w:rStyle w:val="FootnoteReference"/>
          <w:noProof/>
        </w:rPr>
        <w:footnoteReference w:id="91"/>
      </w:r>
      <w:r>
        <w:rPr>
          <w:noProof/>
        </w:rPr>
        <w:t>. Ezzel egyidejűleg a lezárási arány továbbra is csökken, és 2019-ben elérte a 81,4 %-ot (a 2018-as 96,1 %-hoz képest)</w:t>
      </w:r>
      <w:r>
        <w:rPr>
          <w:rStyle w:val="FootnoteReference"/>
          <w:noProof/>
        </w:rPr>
        <w:footnoteReference w:id="92"/>
      </w:r>
      <w:r>
        <w:rPr>
          <w:noProof/>
        </w:rPr>
        <w:t>. Ez arra utal, hogy a rendszernek nem sikerül hatékonyan kezelnie a közigazgatási ügyek által jelentett munkaterhelést. Ami a polgári és kereskedelmi ügyeket illeti, 2019-ben a polgári és kereskedelmi peres ügyekben folytatott eljárások becsült hossza is növekedett a 2018-as értékhez képest, elérve a 170 napot (a 2018-as 157 naphoz képest)</w:t>
      </w:r>
      <w:r>
        <w:rPr>
          <w:rStyle w:val="FootnoteReference"/>
          <w:noProof/>
        </w:rPr>
        <w:footnoteReference w:id="93"/>
      </w:r>
      <w:r>
        <w:rPr>
          <w:noProof/>
        </w:rPr>
        <w:t>. Az Európa Tanács számos, a polgári eljárások túlzott hosszával kapcsolatos ügycsoportot vizsgált meg</w:t>
      </w:r>
      <w:r>
        <w:rPr>
          <w:rStyle w:val="FootnoteReference"/>
          <w:noProof/>
        </w:rPr>
        <w:footnoteReference w:id="94"/>
      </w:r>
      <w:r>
        <w:rPr>
          <w:noProof/>
        </w:rPr>
        <w:t xml:space="preserve">. </w:t>
      </w:r>
    </w:p>
    <w:p>
      <w:pPr>
        <w:pStyle w:val="Heading1"/>
        <w:rPr>
          <w:noProof/>
        </w:rPr>
      </w:pPr>
      <w:r>
        <w:rPr>
          <w:noProof/>
        </w:rPr>
        <w:t xml:space="preserve">Korrupcióellenes keret </w:t>
      </w:r>
    </w:p>
    <w:p>
      <w:pPr>
        <w:rPr>
          <w:rFonts w:cstheme="minorHAnsi"/>
          <w:noProof/>
          <w:color w:val="000000"/>
          <w:shd w:val="clear" w:color="auto" w:fill="FFFFFF"/>
        </w:rPr>
      </w:pPr>
      <w:r>
        <w:rPr>
          <w:noProof/>
          <w:color w:val="000000"/>
          <w:bdr w:val="none" w:sz="0" w:space="0" w:color="auto" w:frame="1"/>
        </w:rPr>
        <w:t>Szlovákiában a korrupció megelőzése, felderítése és üldözése több hatóság közös hatáskörébe tartozik. A korrupció megelőzésének koordinálásáért felelős központi szervezet a Kormányhivatal, amely közvetlenül a Miniszterelnökségnek jelent. A Rendőri Testület Elnöksége Nemzeti Nyomozó Ügynökségének feladata a korrupciós bűncselekmények felderítése és kivizsgálása, kivéve a rendőrség és bizonyos bűnüldöző szervezetek tagjai által elkövetett korrupciós bűncselekményeket, amelyek a Belső Ellenőrzési Hivatal hatáskörébe tartoznak</w:t>
      </w:r>
      <w:r>
        <w:rPr>
          <w:rStyle w:val="FootnoteReference"/>
          <w:rFonts w:cstheme="minorHAnsi"/>
          <w:noProof/>
          <w:color w:val="000000"/>
          <w:bdr w:val="none" w:sz="0" w:space="0" w:color="auto" w:frame="1"/>
        </w:rPr>
        <w:footnoteReference w:id="95"/>
      </w:r>
      <w:r>
        <w:rPr>
          <w:noProof/>
          <w:color w:val="000000"/>
          <w:bdr w:val="none" w:sz="0" w:space="0" w:color="auto" w:frame="1"/>
        </w:rPr>
        <w:t>. A különleges ügyészség</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kizárólagos hatáskörrel</w:t>
      </w:r>
      <w:r>
        <w:rPr>
          <w:noProof/>
        </w:rPr>
        <w:t xml:space="preserve"> </w:t>
      </w:r>
      <w:r>
        <w:rPr>
          <w:noProof/>
          <w:color w:val="000000"/>
          <w:bdr w:val="none" w:sz="0" w:space="0" w:color="auto" w:frame="1"/>
        </w:rPr>
        <w:t>rendelkezik a Szakosított Büntetőbíróság anyagi hatáskörébe tartozó a bűncselekményekkel kapcsolatban végzett nyomozás tekintetében, ideértve a korrupciós bűncselekményeket is</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A szakértők és az üzleti vezetők úgy vélik, hogy a közszektorban a korrupció szintje továbbra is magas. </w:t>
      </w:r>
      <w:r>
        <w:rPr>
          <w:noProof/>
        </w:rPr>
        <w:t>A Transparency International 2020. évi korrupcióérzékelési indexe szerint Szlovákia 49/100 pontot ért el, ezzel az Európai Unió országai között a 17., világszinten pedig a 60. helyen áll</w:t>
      </w:r>
      <w:r>
        <w:rPr>
          <w:rFonts w:cs="Times New Roman"/>
          <w:bCs/>
          <w:noProof/>
          <w:szCs w:val="24"/>
          <w:vertAlign w:val="superscript"/>
        </w:rPr>
        <w:footnoteReference w:id="98"/>
      </w:r>
      <w:r>
        <w:rPr>
          <w:noProof/>
        </w:rPr>
        <w:t>. Ez a megítélés viszonylag stabil volt</w:t>
      </w:r>
      <w:r>
        <w:rPr>
          <w:rFonts w:cs="Times New Roman"/>
          <w:noProof/>
          <w:szCs w:val="24"/>
          <w:vertAlign w:val="superscript"/>
        </w:rPr>
        <w:footnoteReference w:id="99"/>
      </w:r>
      <w:r>
        <w:rPr>
          <w:noProof/>
        </w:rPr>
        <w:t xml:space="preserve"> az elmúlt öt évben</w:t>
      </w:r>
      <w:r>
        <w:rPr>
          <w:rFonts w:cs="Times New Roman"/>
          <w:noProof/>
          <w:szCs w:val="24"/>
          <w:vertAlign w:val="superscript"/>
        </w:rPr>
        <w:footnoteReference w:id="100"/>
      </w:r>
      <w:r>
        <w:rPr>
          <w:noProof/>
        </w:rPr>
        <w:t>.</w:t>
      </w:r>
    </w:p>
    <w:p>
      <w:pPr>
        <w:rPr>
          <w:rFonts w:cs="Times New Roman"/>
          <w:noProof/>
        </w:rPr>
      </w:pPr>
      <w:r>
        <w:rPr>
          <w:b/>
          <w:bCs/>
          <w:noProof/>
        </w:rPr>
        <w:t xml:space="preserve">A korrupció elleni küzdelem stratégiai keretét a 2019–2023-as időszakra vonatkozó korrupcióellenes politika biztosítja. </w:t>
      </w:r>
      <w:r>
        <w:rPr>
          <w:noProof/>
        </w:rPr>
        <w:t>A politika</w:t>
      </w:r>
      <w:r>
        <w:rPr>
          <w:rFonts w:cs="Times New Roman"/>
          <w:noProof/>
          <w:vertAlign w:val="superscript"/>
        </w:rPr>
        <w:footnoteReference w:id="101"/>
      </w:r>
      <w:r>
        <w:rPr>
          <w:noProof/>
        </w:rPr>
        <w:t xml:space="preserve"> elsősorban a puha intézkedéseken keresztül történő megelőzésre összpontosít, valamint cselekvési terv, nemzeti korrupcióellenes program</w:t>
      </w:r>
      <w:r>
        <w:rPr>
          <w:rFonts w:cs="Times New Roman"/>
          <w:noProof/>
          <w:vertAlign w:val="superscript"/>
        </w:rPr>
        <w:footnoteReference w:id="102"/>
      </w:r>
      <w:r>
        <w:rPr>
          <w:noProof/>
        </w:rPr>
        <w:t xml:space="preserve"> és számos ágazati program</w:t>
      </w:r>
      <w:r>
        <w:rPr>
          <w:rFonts w:cs="Times New Roman"/>
          <w:noProof/>
          <w:vertAlign w:val="superscript"/>
        </w:rPr>
        <w:footnoteReference w:id="103"/>
      </w:r>
      <w:r>
        <w:rPr>
          <w:noProof/>
        </w:rPr>
        <w:t xml:space="preserve"> kíséri. Mivel lényegében megegyezik a szakpolitikai dokumentummal, a jelenlegi cselekvési terv nem javasol konkrét operatív lépéseket a politikai prioritások végrehajtásának elősegítése érdekében. A nemzeti korrupcióellenes programot jelenleg aktualizálják</w:t>
      </w:r>
      <w:r>
        <w:rPr>
          <w:rFonts w:cs="Times New Roman"/>
          <w:noProof/>
          <w:vertAlign w:val="superscript"/>
        </w:rPr>
        <w:footnoteReference w:id="104"/>
      </w:r>
      <w:r>
        <w:rPr>
          <w:noProof/>
        </w:rPr>
        <w:t>. A Kormányhivatal Korrupciómegelőzési Osztálya felügyeli a politika és a cselekvési terv végrehajtását. Az ágazati programok végrehajtásának felügyelete az érintett központi államigazgatási szervek hatáskörébe tartozik</w:t>
      </w:r>
      <w:r>
        <w:rPr>
          <w:rFonts w:cs="Times New Roman"/>
          <w:noProof/>
          <w:vertAlign w:val="superscript"/>
        </w:rPr>
        <w:footnoteReference w:id="105"/>
      </w:r>
      <w:r>
        <w:rPr>
          <w:noProof/>
        </w:rPr>
        <w:t xml:space="preserve">. </w:t>
      </w:r>
    </w:p>
    <w:p>
      <w:pPr>
        <w:rPr>
          <w:rFonts w:cs="Times New Roman"/>
          <w:noProof/>
        </w:rPr>
      </w:pPr>
      <w:r>
        <w:rPr>
          <w:b/>
          <w:bCs/>
          <w:noProof/>
        </w:rPr>
        <w:t>A büntetőjogi keret kiegészült a vagyonlefoglalásról szóló új törvény hatálybalépésével.</w:t>
      </w:r>
      <w:r>
        <w:rPr>
          <w:noProof/>
        </w:rPr>
        <w:t xml:space="preserve"> A vagyonlefoglalásról szóló. 2021 januárjában hatályba lépett törvény</w:t>
      </w:r>
      <w:r>
        <w:rPr>
          <w:rFonts w:cs="Times New Roman"/>
          <w:noProof/>
          <w:vertAlign w:val="superscript"/>
        </w:rPr>
        <w:footnoteReference w:id="106"/>
      </w:r>
      <w:r>
        <w:rPr>
          <w:noProof/>
        </w:rPr>
        <w:t xml:space="preserve"> többek között megakadályozza a bűncselekményből származó vagyon harmadik személyek részére történő átadás útján való legalizálását, továbbá módosítja a büntető törvénykönyvet olyan új bűncselekmények bevezetésével, mint a jogalap nélküli vagyoni előnyök vagy jogtalan előnyök elfogadásának vagy felajánlásának bűncselekménye, illetve a közvetett korrupció bűncselekménye</w:t>
      </w:r>
      <w:r>
        <w:rPr>
          <w:rFonts w:cs="Times New Roman"/>
          <w:noProof/>
          <w:vertAlign w:val="superscript"/>
        </w:rPr>
        <w:footnoteReference w:id="107"/>
      </w:r>
      <w:r>
        <w:rPr>
          <w:noProof/>
        </w:rPr>
        <w:t>. Emellett a törvény bevezeti a bűncselekményből származó jövedelem fogalmát. Nevezetesen, a törvény létrehozza az Elkobzott Vagyontárgyak Kezelésével foglalkozó új hivatalt</w:t>
      </w:r>
      <w:r>
        <w:rPr>
          <w:rFonts w:cs="Times New Roman"/>
          <w:noProof/>
          <w:vertAlign w:val="superscript"/>
        </w:rPr>
        <w:footnoteReference w:id="108"/>
      </w:r>
      <w:r>
        <w:rPr>
          <w:noProof/>
        </w:rPr>
        <w:t>. Jogalkotási hiányosságok állnak fenn a rendőrség arra való felhatalmazása tekintetében, hogy az ilyen bűncselekmények nyomozati szakaszában bekérje a bankoktól a gyanúsítottak pénzügyi adatait</w:t>
      </w:r>
      <w:r>
        <w:rPr>
          <w:rFonts w:cs="Times New Roman"/>
          <w:noProof/>
          <w:vertAlign w:val="superscript"/>
        </w:rPr>
        <w:footnoteReference w:id="109"/>
      </w:r>
      <w:r>
        <w:rPr>
          <w:noProof/>
        </w:rPr>
        <w:t>, valamint a feltételezett befolyással üzérkedés bűncselekménnyé nyilvánítása tekintetében</w:t>
      </w:r>
      <w:r>
        <w:rPr>
          <w:rFonts w:cs="Times New Roman"/>
          <w:noProof/>
          <w:vertAlign w:val="superscript"/>
        </w:rPr>
        <w:footnoteReference w:id="110"/>
      </w:r>
      <w:r>
        <w:rPr>
          <w:noProof/>
        </w:rPr>
        <w:t>.</w:t>
      </w:r>
    </w:p>
    <w:p>
      <w:pPr>
        <w:rPr>
          <w:rFonts w:cs="Times New Roman"/>
          <w:bCs/>
          <w:noProof/>
          <w:szCs w:val="24"/>
        </w:rPr>
      </w:pPr>
      <w:r>
        <w:rPr>
          <w:b/>
          <w:bCs/>
          <w:noProof/>
          <w:szCs w:val="24"/>
        </w:rPr>
        <w:t>A különleges ügyészség erőforrásainak növelésére irányuló intézkedéseket</w:t>
      </w:r>
      <w:r>
        <w:rPr>
          <w:b/>
          <w:noProof/>
          <w:szCs w:val="24"/>
        </w:rPr>
        <w:t xml:space="preserve"> hajtanak végre az ügyészség kapacitásainak megerősítése érdekében.</w:t>
      </w:r>
      <w:r>
        <w:rPr>
          <w:noProof/>
        </w:rPr>
        <w:t xml:space="preserve"> A kormány 2021. február 10-én elfogadta a különleges ügyészség erőforrásainak és szakosodott személyzeti létszámának növeléséről szóló javaslatot</w:t>
      </w:r>
      <w:r>
        <w:rPr>
          <w:rFonts w:cs="Times New Roman"/>
          <w:bCs/>
          <w:noProof/>
          <w:szCs w:val="24"/>
          <w:vertAlign w:val="superscript"/>
        </w:rPr>
        <w:footnoteReference w:id="111"/>
      </w:r>
      <w:r>
        <w:rPr>
          <w:noProof/>
        </w:rPr>
        <w:t>. Összességében az ügyészek száma 2021-ben 35-ről 38 főre nőtt. A magas szinten elkövetett korrupcióval kapcsolatos büntetőeljárások lefolytatása céljából fennálló korlátozott erőforrások és kapacitások miatti aggodalmak kezelése érdekében</w:t>
      </w:r>
      <w:r>
        <w:rPr>
          <w:rFonts w:cs="Times New Roman"/>
          <w:bCs/>
          <w:noProof/>
          <w:szCs w:val="24"/>
          <w:vertAlign w:val="superscript"/>
        </w:rPr>
        <w:footnoteReference w:id="112"/>
      </w:r>
      <w:r>
        <w:rPr>
          <w:noProof/>
        </w:rPr>
        <w:t xml:space="preserve"> a korrupcióval kapcsolatos bűncselekményekkel foglalkozó osztály személyzetének létszámát megduplázták, és a különleges ügyészségen dolgozó ügyészek száma ötről tíz főre nőtt</w:t>
      </w:r>
      <w:r>
        <w:rPr>
          <w:rFonts w:cs="Times New Roman"/>
          <w:bCs/>
          <w:noProof/>
          <w:szCs w:val="24"/>
          <w:vertAlign w:val="superscript"/>
        </w:rPr>
        <w:footnoteReference w:id="113"/>
      </w:r>
      <w:r>
        <w:rPr>
          <w:noProof/>
        </w:rPr>
        <w:t>. Az átszervezésre 2021 folyamán került sor</w:t>
      </w:r>
      <w:r>
        <w:rPr>
          <w:rFonts w:cs="Times New Roman"/>
          <w:bCs/>
          <w:noProof/>
          <w:szCs w:val="24"/>
          <w:vertAlign w:val="superscript"/>
        </w:rPr>
        <w:footnoteReference w:id="114"/>
      </w:r>
      <w:r>
        <w:rPr>
          <w:noProof/>
        </w:rPr>
        <w:t>. A különleges ügyészség költségvetési forrásainak jelentős növeléséről is megállapodás született</w:t>
      </w:r>
      <w:r>
        <w:rPr>
          <w:rFonts w:cs="Times New Roman"/>
          <w:bCs/>
          <w:noProof/>
          <w:szCs w:val="24"/>
          <w:vertAlign w:val="superscript"/>
        </w:rPr>
        <w:footnoteReference w:id="115"/>
      </w:r>
      <w:r>
        <w:rPr>
          <w:noProof/>
        </w:rPr>
        <w:t>. Továbbra is fennállnak az aggályok a rendőrség iránti bizalom szintjével, valamint a rendőrség szakosodásával és digitalizálásával kapcsolatban, ami befolyásolja az ügyészség rendőrséggel való együttműködését, valamint a korrupció és a korrupcióval kapcsolatos bűncselekmények felderítését</w:t>
      </w:r>
      <w:r>
        <w:rPr>
          <w:rFonts w:cs="Times New Roman"/>
          <w:bCs/>
          <w:noProof/>
          <w:szCs w:val="24"/>
          <w:vertAlign w:val="superscript"/>
        </w:rPr>
        <w:footnoteReference w:id="116"/>
      </w:r>
      <w:r>
        <w:rPr>
          <w:noProof/>
        </w:rPr>
        <w:t>. A 2020. évi jogállamisági jelentésben foglaltaknak megfelelően a Nemzeti Nyomozó Ügynökség igazságügyi és elemzési kapacitásainak megerősítése különösen hozzájárulna a hatékonyabb pénzügyi nyomozásokhoz</w:t>
      </w:r>
      <w:r>
        <w:rPr>
          <w:rStyle w:val="FootnoteReference"/>
          <w:rFonts w:cs="Times New Roman"/>
          <w:bCs/>
          <w:noProof/>
          <w:szCs w:val="24"/>
        </w:rPr>
        <w:footnoteReference w:id="117"/>
      </w:r>
      <w:r>
        <w:rPr>
          <w:noProof/>
        </w:rPr>
        <w:t>. 2022 júniusáig átfogó rendőrségi reformot terveznek a rendőrség modernizálása céljából</w:t>
      </w:r>
      <w:r>
        <w:rPr>
          <w:rFonts w:cs="Times New Roman"/>
          <w:bCs/>
          <w:noProof/>
          <w:szCs w:val="24"/>
          <w:vertAlign w:val="superscript"/>
        </w:rPr>
        <w:footnoteReference w:id="118"/>
      </w:r>
      <w:r>
        <w:rPr>
          <w:noProof/>
        </w:rPr>
        <w:t>.</w:t>
      </w:r>
    </w:p>
    <w:p>
      <w:pPr>
        <w:rPr>
          <w:rFonts w:cs="Times New Roman"/>
          <w:noProof/>
        </w:rPr>
      </w:pPr>
      <w:r>
        <w:rPr>
          <w:b/>
          <w:bCs/>
          <w:noProof/>
        </w:rPr>
        <w:t xml:space="preserve">A jelentéstételi időszak során a magas szinten elkövetett korrupció elleni küzdelemre irányuló erőfeszítések jelentős mértékben fokozódtak Szlovákiában. </w:t>
      </w:r>
      <w:r>
        <w:rPr>
          <w:noProof/>
        </w:rPr>
        <w:t>A magas szinten elkövetett korrupcióval kapcsolatos nyomozás és büntetőeljárás lefolytatásának képessége jelentős mértékben javult a magas szinten elkövetett korrupció – Ján Kuciak újságíró és mennyasszonya, Martina Kušnírová 2018. évi meggyilkolásával összefüggésben fényre derült információk alapján – érzékelt büntetlensége elleni nyilvános tömegdemonstrációkat követően. 2020 októberétől a rendőrség, az ügyészség és az igazságszolgáltatás, valamint a magánszektor számos korábbi magas rangú képviselője ellen emeltek vádat korrupció és korrupcióval kapcsolatos bűncselekmények miatt</w:t>
      </w:r>
      <w:r>
        <w:rPr>
          <w:rFonts w:cs="Times New Roman"/>
          <w:noProof/>
          <w:vertAlign w:val="superscript"/>
        </w:rPr>
        <w:footnoteReference w:id="119"/>
      </w:r>
      <w:r>
        <w:rPr>
          <w:noProof/>
        </w:rPr>
        <w:t>. 2020-ban a Nemzeti Nyomozó Ügynökség 158 korrupciós ügyben indított eljárást</w:t>
      </w:r>
      <w:r>
        <w:rPr>
          <w:rFonts w:cs="Times New Roman"/>
          <w:noProof/>
          <w:vertAlign w:val="superscript"/>
        </w:rPr>
        <w:footnoteReference w:id="120"/>
      </w:r>
      <w:r>
        <w:rPr>
          <w:noProof/>
        </w:rPr>
        <w:t>. A korrupciós bűncselekmények miatt elítélt személyek száma 2019 és 2020 között több mint kétszeresére nőtt (62 ítéletről 128 ítéletre)</w:t>
      </w:r>
      <w:r>
        <w:rPr>
          <w:rFonts w:cs="Times New Roman"/>
          <w:noProof/>
          <w:vertAlign w:val="superscript"/>
        </w:rPr>
        <w:footnoteReference w:id="121"/>
      </w:r>
      <w:r>
        <w:rPr>
          <w:noProof/>
        </w:rPr>
        <w:t>. Nemrég, 2021 májusában a Nemzeti Nyomozó Ügynökség őrizetbe vette a Földalap</w:t>
      </w:r>
      <w:r>
        <w:rPr>
          <w:rFonts w:cs="Times New Roman"/>
          <w:noProof/>
          <w:vertAlign w:val="superscript"/>
        </w:rPr>
        <w:footnoteReference w:id="122"/>
      </w:r>
      <w:r>
        <w:rPr>
          <w:noProof/>
        </w:rPr>
        <w:t xml:space="preserve"> számos magas rangú tisztviselőjét is, akik állítólag korrupciós rendszerekben vettek részt 2016 és 2020 között</w:t>
      </w:r>
      <w:r>
        <w:rPr>
          <w:rFonts w:cs="Times New Roman"/>
          <w:noProof/>
          <w:vertAlign w:val="superscript"/>
        </w:rPr>
        <w:footnoteReference w:id="123"/>
      </w:r>
      <w:r>
        <w:rPr>
          <w:noProof/>
        </w:rPr>
        <w:t>. E tekintetben az Európai Csalás Elleni Hivatal (OLAF) már 2020-ban aggodalmának adott hangot, miután a mezőgazdasági kifizetésekkel kapcsolatban három igazgatási vizsgálatot folytatott le a Földalap átláthatósága, földbérletet kérelmezőkkel szembeni egyenlő bánásmódja és belső eljárásainak jogbiztonsága terén fennálló hiányosságai tekintetében</w:t>
      </w:r>
      <w:r>
        <w:rPr>
          <w:rFonts w:cs="Times New Roman"/>
          <w:noProof/>
          <w:vertAlign w:val="superscript"/>
        </w:rPr>
        <w:footnoteReference w:id="124"/>
      </w:r>
      <w:r>
        <w:rPr>
          <w:noProof/>
        </w:rPr>
        <w:t>. A korrupció jobb felderítése és dokumentálása érdekében azonban a Nemzeti Nyomozó Ügynökség, a Nemzetbiztonsági Hatóság, a Számvevőszék és a Pénzügyi Hírszerző Egység közötti együttműködés tovább javulhat és szorosabbá válhat</w:t>
      </w:r>
      <w:r>
        <w:rPr>
          <w:rFonts w:cs="Times New Roman"/>
          <w:noProof/>
          <w:vertAlign w:val="superscript"/>
        </w:rPr>
        <w:footnoteReference w:id="125"/>
      </w:r>
      <w:r>
        <w:rPr>
          <w:noProof/>
        </w:rPr>
        <w:t>. A külföldi megvesztegetések kivizsgálásának hatékony végrehajtása továbbra is aggodalomra ad okot</w:t>
      </w:r>
      <w:r>
        <w:rPr>
          <w:rFonts w:cs="Times New Roman"/>
          <w:noProof/>
          <w:vertAlign w:val="superscript"/>
        </w:rPr>
        <w:footnoteReference w:id="126"/>
      </w:r>
      <w:r>
        <w:rPr>
          <w:noProof/>
        </w:rPr>
        <w:t>.</w:t>
      </w:r>
    </w:p>
    <w:p>
      <w:pPr>
        <w:rPr>
          <w:rFonts w:cs="Times New Roman"/>
          <w:noProof/>
        </w:rPr>
      </w:pPr>
      <w:r>
        <w:rPr>
          <w:b/>
          <w:noProof/>
        </w:rPr>
        <w:t>A szlovák parlament 2021 februárjában kinevezte a visszaélést bejelentő személyek védelmével foglalkozó hivatal vezetőjét.</w:t>
      </w:r>
      <w:r>
        <w:rPr>
          <w:noProof/>
        </w:rPr>
        <w:t xml:space="preserve"> E kinevezést</w:t>
      </w:r>
      <w:r>
        <w:rPr>
          <w:rFonts w:cs="Times New Roman"/>
          <w:noProof/>
          <w:szCs w:val="24"/>
          <w:vertAlign w:val="superscript"/>
        </w:rPr>
        <w:footnoteReference w:id="127"/>
      </w:r>
      <w:r>
        <w:rPr>
          <w:noProof/>
        </w:rPr>
        <w:t xml:space="preserve"> követően a hivatal működőképessé válik és hat hónapon belül megkezdi feladatai ellátását</w:t>
      </w:r>
      <w:r>
        <w:rPr>
          <w:rFonts w:cs="Times New Roman"/>
          <w:noProof/>
          <w:vertAlign w:val="superscript"/>
        </w:rPr>
        <w:footnoteReference w:id="128"/>
      </w:r>
      <w:r>
        <w:rPr>
          <w:noProof/>
        </w:rPr>
        <w:t>. A hivatalvezető hivatali ideje hét év. A hivatal minden egyéb szervezeti egységtől független</w:t>
      </w:r>
      <w:r>
        <w:rPr>
          <w:rFonts w:cs="Times New Roman"/>
          <w:noProof/>
          <w:vertAlign w:val="superscript"/>
        </w:rPr>
        <w:footnoteReference w:id="129"/>
      </w:r>
      <w:r>
        <w:rPr>
          <w:noProof/>
        </w:rPr>
        <w:t>. A hivatal megbízatása a jogsértésekre és a bejelentett szervezet által a titoktartás és névtelenség elvei alapján meghozott megtorló intézkedésekkel szembeni védelemre összpontosít</w:t>
      </w:r>
      <w:r>
        <w:rPr>
          <w:rFonts w:cs="Times New Roman"/>
          <w:noProof/>
          <w:vertAlign w:val="superscript"/>
        </w:rPr>
        <w:footnoteReference w:id="130"/>
      </w:r>
      <w:r>
        <w:rPr>
          <w:noProof/>
        </w:rPr>
        <w:t xml:space="preserve">. A hivatal feladata, hogy a visszaélések bejelentésével kapcsolatban tanácsadást, képzést, módszertani iránymutatást nyújtson, illetve növelje az ezzel kapcsolatos tudatosságot, ideértve a korrupciós ügyeket is. A hivatal elszámolási kötelezettséggel a parlament felé tartozik, és éves jelentést készít. A hivatal célközönsége az állami és a magánszektort is felöleli. </w:t>
      </w:r>
    </w:p>
    <w:p>
      <w:pPr>
        <w:rPr>
          <w:rFonts w:cs="Times New Roman"/>
          <w:noProof/>
          <w:szCs w:val="24"/>
        </w:rPr>
      </w:pPr>
      <w:r>
        <w:rPr>
          <w:b/>
          <w:bCs/>
          <w:noProof/>
        </w:rPr>
        <w:t>Szlovákia kötelezettséget vállalt arra, hogy 2021 novemberében benyújtja a lobbitevékenységről szóló törvénytervezetet.</w:t>
      </w:r>
      <w:r>
        <w:rPr>
          <w:noProof/>
        </w:rPr>
        <w:t xml:space="preserve"> A kormányhivatal által irányított folyamat</w:t>
      </w:r>
      <w:r>
        <w:rPr>
          <w:rFonts w:cs="Times New Roman"/>
          <w:noProof/>
          <w:vertAlign w:val="superscript"/>
        </w:rPr>
        <w:footnoteReference w:id="131"/>
      </w:r>
      <w:r>
        <w:rPr>
          <w:noProof/>
        </w:rPr>
        <w:t xml:space="preserve"> kezdeti előkészítő szakaszában tart</w:t>
      </w:r>
      <w:r>
        <w:rPr>
          <w:rFonts w:cs="Times New Roman"/>
          <w:noProof/>
          <w:vertAlign w:val="superscript"/>
        </w:rPr>
        <w:footnoteReference w:id="132"/>
      </w:r>
      <w:r>
        <w:rPr>
          <w:noProof/>
        </w:rPr>
        <w:t>. Számos kísérlet történt jogszabályok elfogadására, de a lobbitevékenység mostanáig szabályozatlanul maradt Szlovákiában</w:t>
      </w:r>
      <w:r>
        <w:rPr>
          <w:rStyle w:val="FootnoteReference"/>
          <w:rFonts w:cs="Times New Roman"/>
          <w:noProof/>
        </w:rPr>
        <w:footnoteReference w:id="133"/>
      </w:r>
      <w:r>
        <w:rPr>
          <w:noProof/>
        </w:rPr>
        <w:t>. Ennek következtében nincs jogi meghatározása a lobbistáknak, a lobbitevékenységeknek és a lobbicéloknak, nincsenek érvényben hatékony szankciók a jogosulatlan lobbizás esetére, illetve nem létezik jogalkotási lábnyom sem</w:t>
      </w:r>
      <w:r>
        <w:rPr>
          <w:rFonts w:cs="Times New Roman"/>
          <w:noProof/>
          <w:vertAlign w:val="superscript"/>
        </w:rPr>
        <w:footnoteReference w:id="134"/>
      </w:r>
      <w:r>
        <w:rPr>
          <w:noProof/>
        </w:rPr>
        <w:t>. A kapcsolódó jogszabályok és eszközök azonban lehetővé teszik az érdekelt felek észrevételeinek, valamint annak nyomon követését, hogy ezeket milyen mértékben foglalták bele egy adott jogszabálytervezetbe</w:t>
      </w:r>
      <w:r>
        <w:rPr>
          <w:rFonts w:cs="Times New Roman"/>
          <w:noProof/>
          <w:vertAlign w:val="superscript"/>
        </w:rPr>
        <w:footnoteReference w:id="135"/>
      </w:r>
      <w:r>
        <w:rPr>
          <w:noProof/>
        </w:rPr>
        <w:t>. A parlamenti képviselők etikai kódexe</w:t>
      </w:r>
      <w:r>
        <w:rPr>
          <w:rFonts w:cs="Times New Roman"/>
          <w:noProof/>
          <w:vertAlign w:val="superscript"/>
        </w:rPr>
        <w:footnoteReference w:id="136"/>
      </w:r>
      <w:r>
        <w:rPr>
          <w:noProof/>
        </w:rPr>
        <w:t xml:space="preserve"> és a munkaviszony megszűnése utáni szabályokról („forgóajtó-jelenség”) szóló jogalkotási rendelet is a 2021-es jogalkotási terv részét képezi</w:t>
      </w:r>
      <w:r>
        <w:rPr>
          <w:rFonts w:cs="Times New Roman"/>
          <w:noProof/>
          <w:vertAlign w:val="superscript"/>
        </w:rPr>
        <w:footnoteReference w:id="137"/>
      </w:r>
      <w:r>
        <w:rPr>
          <w:noProof/>
        </w:rPr>
        <w:t>. Hatályba léptek a közérdek védelméről szóló törvény módosításai, amelyek előírják az ajándékok vagy egyéb juttatások, illetve az ingó vagy ingatlan vagyontárgyak használatának bejelentési kötelezettségét</w:t>
      </w:r>
      <w:r>
        <w:rPr>
          <w:rFonts w:cs="Times New Roman"/>
          <w:noProof/>
          <w:vertAlign w:val="superscript"/>
        </w:rPr>
        <w:footnoteReference w:id="138"/>
      </w:r>
      <w:r>
        <w:rPr>
          <w:noProof/>
        </w:rPr>
        <w:t>.</w:t>
      </w:r>
    </w:p>
    <w:p>
      <w:pPr>
        <w:rPr>
          <w:rFonts w:cs="Times New Roman"/>
          <w:noProof/>
          <w:szCs w:val="24"/>
        </w:rPr>
      </w:pPr>
      <w:r>
        <w:rPr>
          <w:b/>
          <w:noProof/>
        </w:rPr>
        <w:t>A kormány célja egy új, központosított hivatal létrehozása a vagyoni eszközök nyomon követése és ellenőrzése céljából, ideértve a vezető tisztviselők vagyonát is.</w:t>
      </w:r>
      <w:r>
        <w:rPr>
          <w:noProof/>
        </w:rPr>
        <w:t xml:space="preserve"> A kormányhivatal a parlamenttel együttműködve az egységes hivatal létrehozására irányuló jogalkotási javaslattal kapcsolatos koncepció kidolgozásának kezdeti szakaszában van</w:t>
      </w:r>
      <w:r>
        <w:rPr>
          <w:rFonts w:cs="Times New Roman"/>
          <w:noProof/>
          <w:vertAlign w:val="superscript"/>
        </w:rPr>
        <w:footnoteReference w:id="139"/>
      </w:r>
      <w:r>
        <w:rPr>
          <w:noProof/>
        </w:rPr>
        <w:t>. Eddig a parlamenti képviselők, bírák, ügyészek, tisztviselők és köztisztviselők esetében alkalmazott vagyonnyilatkozati rendszer decentralizált volt. 2021 elején jelentős késedelmekről számoltak be a parlamenti képviselők 2019-es vagyonnyilatkozatainak 2020 augusztusában esedékes közzététele tekintetében, amelynek okai a Covid19-világjárványhoz és a meg nem felelés miatti bírságok kiszabására irányuló, folyamatban lévő folyamatokhoz kötődtek</w:t>
      </w:r>
      <w:r>
        <w:rPr>
          <w:rFonts w:cs="Times New Roman"/>
          <w:noProof/>
          <w:vertAlign w:val="superscript"/>
        </w:rPr>
        <w:footnoteReference w:id="140"/>
      </w:r>
      <w:r>
        <w:rPr>
          <w:noProof/>
        </w:rPr>
        <w:t>.</w:t>
      </w:r>
    </w:p>
    <w:p>
      <w:pPr>
        <w:rPr>
          <w:rFonts w:cs="Times New Roman"/>
          <w:noProof/>
        </w:rPr>
      </w:pPr>
      <w:r>
        <w:rPr>
          <w:b/>
          <w:bCs/>
          <w:noProof/>
        </w:rPr>
        <w:t>A politikai pártok pénzügyei átláthatóak, de a felügyeletet tovább lehet erősíteni.</w:t>
      </w:r>
      <w:r>
        <w:rPr>
          <w:noProof/>
        </w:rPr>
        <w:t xml:space="preserve"> Szlovákiában a politikai pártok finanszírozását szabályozó fő törvény a politikai pártokról és mozgalmakról szóló törvény</w:t>
      </w:r>
      <w:r>
        <w:rPr>
          <w:rFonts w:cs="Times New Roman"/>
          <w:noProof/>
          <w:vertAlign w:val="superscript"/>
        </w:rPr>
        <w:footnoteReference w:id="141"/>
      </w:r>
      <w:r>
        <w:rPr>
          <w:noProof/>
        </w:rPr>
        <w:t>. A politikai pártok számára nyújtott adományok összege naptári évenként 5 000 EUR-ra korlátozódik, ugyanakkor a választási időszakokban e korlátozás nem áll fenn. A külföldi gazdálkodó egységektől és névtelen adományozóktól nem fogadhatók el adományok. A szabályok nem teljesítése a választásokkal és a politikai pártok finanszírozásának ellenőrzésével foglalkozó állami bizottság által kiszabott bírsággal járhat, amelynek összege az adományból vagy az ingyenes szolgáltatásból származó bevétel kétszerese. A feleknek pénzügyeikről évente jelentést kell készíteniük az állami bizottságnak. A pénzügyi jelentéseket nyilvánosan hozzáférhetővé teszik. A Szlovák Köztársaság Nemzeti Tanácsa felügyeli a jelentéseket, és azokban fel kell tüntetni a választási kampányokkal kapcsolatos pénzügyi információkat és az adományozók személyazonosságát</w:t>
      </w:r>
      <w:r>
        <w:rPr>
          <w:rFonts w:cs="Times New Roman"/>
          <w:noProof/>
          <w:vertAlign w:val="superscript"/>
        </w:rPr>
        <w:footnoteReference w:id="142"/>
      </w:r>
      <w:r>
        <w:rPr>
          <w:noProof/>
        </w:rPr>
        <w:t>. A felügyeleti szervek munkaerő-kapacitásai korlátozottak, és aggályok merültek fel a szervezeteken belüli politikai kinevezésekkel kapcsolatban</w:t>
      </w:r>
      <w:r>
        <w:rPr>
          <w:rFonts w:cs="Times New Roman"/>
          <w:noProof/>
          <w:vertAlign w:val="superscript"/>
        </w:rPr>
        <w:footnoteReference w:id="143"/>
      </w:r>
      <w:r>
        <w:rPr>
          <w:noProof/>
        </w:rPr>
        <w:t>. Az adományok korlátozása révén a 2020-as választások kampányfinanszírozási szabályait szigorító, két napon belül elfogadandó törvénytervezet</w:t>
      </w:r>
      <w:r>
        <w:rPr>
          <w:rFonts w:cs="Times New Roman"/>
          <w:noProof/>
          <w:vertAlign w:val="superscript"/>
        </w:rPr>
        <w:footnoteReference w:id="144"/>
      </w:r>
      <w:r>
        <w:rPr>
          <w:noProof/>
        </w:rPr>
        <w:t xml:space="preserve"> különösen az újonnan létrehozott pártokat érintette és ezért az új pártok, a civil társadalom és a média körében aggályokat vetett fel a pártok közötti tisztességes verseny tekintetében.</w:t>
      </w:r>
    </w:p>
    <w:p>
      <w:pPr>
        <w:rPr>
          <w:rFonts w:cs="Times New Roman"/>
          <w:noProof/>
        </w:rPr>
      </w:pPr>
      <w:r>
        <w:rPr>
          <w:b/>
          <w:bCs/>
          <w:noProof/>
        </w:rPr>
        <w:t>Az ügyészség szerint a Covid19-világjárvány a jelentések alapján nem volt konkrét hatással Szlovákiában a korrupció előfordulására, a korrupció felderítésére vagy a korrupció elleni küzdelem érdekében tett erőfeszítésekre.</w:t>
      </w:r>
      <w:r>
        <w:rPr>
          <w:noProof/>
        </w:rPr>
        <w:t xml:space="preserve"> A Covid19-világjárvány miatt egyes tárgyalásokat elhalasztottak, ami hozzájárult az ügyhátralékhoz</w:t>
      </w:r>
      <w:r>
        <w:rPr>
          <w:rFonts w:cs="Times New Roman"/>
          <w:noProof/>
          <w:vertAlign w:val="superscript"/>
        </w:rPr>
        <w:footnoteReference w:id="145"/>
      </w:r>
      <w:r>
        <w:rPr>
          <w:noProof/>
        </w:rPr>
        <w:t>. A világjárvány előtt korrupciónak kitett magas kockázatú ágazatok többnyire a világjárvány közben is ki voltak téve a korrupciónak, ideértve a közbeszerzést és az egészségügyi ágazatot; az utóbbi ágazatban megnövekedett a kockázata és az előfordulása is a világjárványhoz kötődő támogatási csalási rendszereknek</w:t>
      </w:r>
      <w:r>
        <w:rPr>
          <w:rFonts w:cs="Times New Roman"/>
          <w:noProof/>
          <w:vertAlign w:val="superscript"/>
        </w:rPr>
        <w:footnoteReference w:id="146"/>
      </w:r>
      <w:r>
        <w:rPr>
          <w:noProof/>
        </w:rPr>
        <w:t>. Az egészségügyi minisztérium ágazati korrupcióellenes programja</w:t>
      </w:r>
      <w:r>
        <w:rPr>
          <w:rFonts w:cs="Times New Roman"/>
          <w:noProof/>
          <w:vertAlign w:val="superscript"/>
        </w:rPr>
        <w:footnoteReference w:id="147"/>
      </w:r>
      <w:r>
        <w:rPr>
          <w:noProof/>
        </w:rPr>
        <w:t xml:space="preserve"> keretében külön munkacsoportot hoztak létre a Covid19-világjárvánnyal összefüggő korrupciós kockázatok értékelése céljából, amely két kockázati területet azonosított a nem elszámolható költségek iránti kérelmek és a visszatérítési kérelmek vonatkozásában</w:t>
      </w:r>
      <w:r>
        <w:rPr>
          <w:rFonts w:cs="Times New Roman"/>
          <w:noProof/>
          <w:vertAlign w:val="superscript"/>
        </w:rPr>
        <w:footnoteReference w:id="148"/>
      </w:r>
      <w:r>
        <w:rPr>
          <w:noProof/>
        </w:rPr>
        <w:t>. Az áruk, szolgáltatások és építési beruházások világjárvány idején történő beszerzéséhez szükséges időtartam lerövidítése céljából a kormány kidolgozott egy jogalkotási javaslatot,</w:t>
      </w:r>
      <w:r>
        <w:rPr>
          <w:rFonts w:cs="Times New Roman"/>
          <w:noProof/>
          <w:vertAlign w:val="superscript"/>
        </w:rPr>
        <w:footnoteReference w:id="149"/>
      </w:r>
      <w:r>
        <w:rPr>
          <w:noProof/>
        </w:rPr>
        <w:t xml:space="preserve"> amely módosította a közbeszerzési törvényt. A javaslatot azonban 2021 májusában felülvizsgálták, miután nyilvános petíciót nyújtottak be és kritikával illették a közbeszerzési hivatal kizárását az eredetileg tervezett felülvizsgálati eljárásból, ami ezáltal kizárta a nagy értékű megbízatások feletti állami ellenőrzést is</w:t>
      </w:r>
      <w:r>
        <w:rPr>
          <w:rFonts w:cs="Times New Roman"/>
          <w:noProof/>
          <w:vertAlign w:val="superscript"/>
        </w:rPr>
        <w:footnoteReference w:id="150"/>
      </w:r>
      <w:r>
        <w:rPr>
          <w:noProof/>
        </w:rPr>
        <w:t>. A civil társadalom szerint a felülvizsgált jogalkotási javaslat kezeli a petícióban felvetett aggályokat, fokozza az átláthatóságot és az állami ellenőrzést és ezáltal csökkenti a korrupciós kockázatokat</w:t>
      </w:r>
      <w:r>
        <w:rPr>
          <w:rFonts w:cs="Times New Roman"/>
          <w:noProof/>
          <w:vertAlign w:val="superscript"/>
        </w:rPr>
        <w:footnoteReference w:id="151"/>
      </w:r>
      <w:r>
        <w:rPr>
          <w:noProof/>
        </w:rPr>
        <w:t>.</w:t>
      </w:r>
    </w:p>
    <w:p>
      <w:pPr>
        <w:pStyle w:val="Heading1"/>
        <w:rPr>
          <w:noProof/>
        </w:rPr>
      </w:pPr>
      <w:r>
        <w:rPr>
          <w:noProof/>
        </w:rPr>
        <w:t xml:space="preserve">Médiapluralizmus és médiaszabadság </w:t>
      </w:r>
    </w:p>
    <w:p>
      <w:pPr>
        <w:rPr>
          <w:rFonts w:cs="Times New Roman"/>
          <w:noProof/>
          <w:szCs w:val="24"/>
        </w:rPr>
      </w:pPr>
      <w:r>
        <w:rPr>
          <w:noProof/>
        </w:rPr>
        <w:t>A szlovák alkotmány rögzíti a szavakkal, nyomtatott formában, képpel vagy más módon történő véleménynyilvánításhoz való jogot, az eszmék és információk felkutatásához, átvételéhez és terjesztéséhez való jogot, valamint az információhoz való hozzáférés jogát. Az információhoz való hozzáférés jogát jogszabályi szinten az információ szabadságáról szóló törvény</w:t>
      </w:r>
      <w:r>
        <w:rPr>
          <w:rFonts w:cs="Times New Roman"/>
          <w:noProof/>
          <w:vertAlign w:val="superscript"/>
        </w:rPr>
        <w:footnoteReference w:id="152"/>
      </w:r>
      <w:r>
        <w:rPr>
          <w:noProof/>
        </w:rPr>
        <w:t xml:space="preserve"> állapítja meg. A műsorszolgáltatásról és a továbbközvetítésről szóló törvény</w:t>
      </w:r>
      <w:r>
        <w:rPr>
          <w:rFonts w:cs="Times New Roman"/>
          <w:noProof/>
          <w:vertAlign w:val="superscript"/>
        </w:rPr>
        <w:footnoteReference w:id="153"/>
      </w:r>
      <w:r>
        <w:rPr>
          <w:noProof/>
        </w:rPr>
        <w:t xml:space="preserve"> célja a tájékoztatás sokszínűségének biztosítása, míg a sajtótörvény</w:t>
      </w:r>
      <w:r>
        <w:rPr>
          <w:rFonts w:cs="Times New Roman"/>
          <w:noProof/>
          <w:vertAlign w:val="superscript"/>
        </w:rPr>
        <w:footnoteReference w:id="154"/>
      </w:r>
      <w:r>
        <w:rPr>
          <w:noProof/>
        </w:rPr>
        <w:t xml:space="preserve"> a sajtóra és az újságírókra vonatkozó szabályokat állapít meg</w:t>
      </w:r>
      <w:r>
        <w:rPr>
          <w:rStyle w:val="FootnoteReference"/>
          <w:rFonts w:cs="Times New Roman"/>
          <w:noProof/>
        </w:rPr>
        <w:footnoteReference w:id="155"/>
      </w:r>
      <w:r>
        <w:rPr>
          <w:noProof/>
        </w:rPr>
        <w:t>. A műsorszolgáltatásról és a továbbközvetítésről szóló törvény audiovizuális médiaszolgáltatásokról szóló irányelvvel való összehangolásáról szóló jogszabály még folyamatban van</w:t>
      </w:r>
      <w:r>
        <w:rPr>
          <w:rStyle w:val="FootnoteReference"/>
          <w:rFonts w:cs="Times New Roman"/>
          <w:noProof/>
        </w:rPr>
        <w:footnoteReference w:id="156"/>
      </w:r>
      <w:r>
        <w:rPr>
          <w:noProof/>
        </w:rPr>
        <w:t xml:space="preserve">. </w:t>
      </w:r>
    </w:p>
    <w:p>
      <w:pPr>
        <w:rPr>
          <w:rFonts w:cs="Times New Roman"/>
          <w:noProof/>
          <w:szCs w:val="24"/>
        </w:rPr>
      </w:pPr>
      <w:r>
        <w:rPr>
          <w:b/>
          <w:noProof/>
          <w:szCs w:val="24"/>
        </w:rPr>
        <w:t>A műsorszolgáltatás és továbbközvetítés tanácsa autonóm módon működik</w:t>
      </w:r>
      <w:r>
        <w:rPr>
          <w:rStyle w:val="FootnoteReference"/>
          <w:rFonts w:cs="Times New Roman"/>
          <w:b/>
          <w:noProof/>
          <w:szCs w:val="24"/>
        </w:rPr>
        <w:footnoteReference w:id="157"/>
      </w:r>
      <w:r>
        <w:rPr>
          <w:b/>
          <w:noProof/>
          <w:szCs w:val="24"/>
        </w:rPr>
        <w:t xml:space="preserve">. </w:t>
      </w:r>
      <w:r>
        <w:rPr>
          <w:noProof/>
        </w:rPr>
        <w:t>Mivel a műsorszolgáltatási tanács önálló költségvetéssel rendelkezik, az elkülönített források elegendőnek tekinthetők feladatai elvégzéséhez</w:t>
      </w:r>
      <w:r>
        <w:rPr>
          <w:rFonts w:cs="Times New Roman"/>
          <w:noProof/>
          <w:szCs w:val="24"/>
          <w:vertAlign w:val="superscript"/>
        </w:rPr>
        <w:footnoteReference w:id="158"/>
      </w:r>
      <w:r>
        <w:rPr>
          <w:noProof/>
        </w:rPr>
        <w:t xml:space="preserve"> és a tanács tagjainak kinevezésére és felmentésére vonatkozó egyértelmű szabályokat törvény állapítja meg</w:t>
      </w:r>
      <w:r>
        <w:rPr>
          <w:rFonts w:cs="Times New Roman"/>
          <w:noProof/>
          <w:szCs w:val="24"/>
          <w:vertAlign w:val="superscript"/>
        </w:rPr>
        <w:footnoteReference w:id="159"/>
      </w:r>
      <w:r>
        <w:rPr>
          <w:noProof/>
        </w:rPr>
        <w:t>, a 2021. évi Médiapluralizmus Monitor</w:t>
      </w:r>
      <w:r>
        <w:rPr>
          <w:rFonts w:cs="Times New Roman"/>
          <w:noProof/>
          <w:szCs w:val="24"/>
          <w:vertAlign w:val="superscript"/>
        </w:rPr>
        <w:footnoteReference w:id="160"/>
      </w:r>
      <w:r>
        <w:rPr>
          <w:noProof/>
        </w:rPr>
        <w:t xml:space="preserve"> megerősíti, hogy a tanács függetlensége összességében biztosított, de az esetenkénti politikai kinevezések továbbra is problémát jelentenek. </w:t>
      </w:r>
    </w:p>
    <w:p>
      <w:pPr>
        <w:rPr>
          <w:rFonts w:cs="Times New Roman"/>
          <w:noProof/>
        </w:rPr>
      </w:pPr>
      <w:r>
        <w:rPr>
          <w:b/>
          <w:bCs/>
          <w:noProof/>
        </w:rPr>
        <w:t>A műsorszolgáltatásról és a továbbközvetítésről szóló törvényt módosító törvénytervezet várhatóan olyan keretet vezet be, amely biztosítja a média-tulajdonjogok átláthatóságát.</w:t>
      </w:r>
      <w:r>
        <w:rPr>
          <w:noProof/>
        </w:rPr>
        <w:t xml:space="preserve"> A tervek szerint 2021 végéig elfogadott, a tulajdonosi szerkezet és a tényleges tulajdonosok átláthatósága tekintetében az audiovizuális médiaszolgáltatásokról szóló irányelvben előirányzottak szerint várhatóan rendelkezéseket bevezető említett törvénytervezet elfogadására várva,</w:t>
      </w:r>
      <w:r>
        <w:rPr>
          <w:rStyle w:val="FootnoteReference"/>
          <w:rFonts w:cs="Times New Roman"/>
          <w:noProof/>
        </w:rPr>
        <w:footnoteReference w:id="161"/>
      </w:r>
      <w:r>
        <w:rPr>
          <w:noProof/>
        </w:rPr>
        <w:t xml:space="preserve"> a 2021. évi Médiapluralizmus Monitor ismételten</w:t>
      </w:r>
      <w:r>
        <w:rPr>
          <w:rStyle w:val="FootnoteReference"/>
          <w:rFonts w:cs="Times New Roman"/>
          <w:noProof/>
        </w:rPr>
        <w:footnoteReference w:id="162"/>
      </w:r>
      <w:r>
        <w:rPr>
          <w:noProof/>
        </w:rPr>
        <w:t xml:space="preserve"> úgy véli, hogy a szabályozás hiánya miatt e terület továbbra is magas kockázatú terület marad</w:t>
      </w:r>
      <w:r>
        <w:rPr>
          <w:rStyle w:val="FootnoteReference"/>
          <w:rFonts w:cs="Times New Roman"/>
          <w:noProof/>
        </w:rPr>
        <w:footnoteReference w:id="163"/>
      </w:r>
      <w:r>
        <w:rPr>
          <w:noProof/>
        </w:rPr>
        <w:t>. A műsorszolgáltatásról és a továbbközvetítésről szóló törvény felső határokat és korlátozásokat tartalmaz a televízió- és rádiópiacokon fennálló magas szintű horizontális tulajdonosi koncentráció megelőzése céljából. Ugyanakkor a bevételekkel és a közönség piaci részesedésével kapcsolatos adatok hiánya megnehezíti a tényleges helyzet értékelését</w:t>
      </w:r>
      <w:r>
        <w:rPr>
          <w:rStyle w:val="FootnoteReference"/>
          <w:noProof/>
        </w:rPr>
        <w:footnoteReference w:id="164"/>
      </w:r>
      <w:r>
        <w:rPr>
          <w:noProof/>
        </w:rPr>
        <w:t>.</w:t>
      </w:r>
    </w:p>
    <w:p>
      <w:pPr>
        <w:rPr>
          <w:rFonts w:eastAsia="Calibri"/>
          <w:noProof/>
          <w:szCs w:val="24"/>
        </w:rPr>
      </w:pPr>
      <w:r>
        <w:rPr>
          <w:b/>
          <w:bCs/>
          <w:noProof/>
        </w:rPr>
        <w:t xml:space="preserve">A Ján Kuciak újságíró és menyasszonya, Martina Kušnírová 2018-as meggyilkolásában részt vevő személyek ügyében számos ítéletet hoztak. </w:t>
      </w:r>
      <w:r>
        <w:rPr>
          <w:noProof/>
        </w:rPr>
        <w:t>A Szakosított Büntetőbíróság három személyt 15 és 25 év közötti szabadságvesztésre ítélt. Az egyik ítélet ellen a vádlott fellebbezést nyújtott be. Az ügyészség fellebbezett a merénylet feltételezett kitervelőinek első fokú bíróság által hozott felmentő ítéletei ellen</w:t>
      </w:r>
      <w:r>
        <w:rPr>
          <w:rStyle w:val="FootnoteReference"/>
          <w:rFonts w:cs="Times New Roman"/>
          <w:noProof/>
        </w:rPr>
        <w:footnoteReference w:id="165"/>
      </w:r>
      <w:r>
        <w:rPr>
          <w:noProof/>
        </w:rPr>
        <w:t>. A Legfelsőbb Bíróság 2021. június 15-én megsemmisítette a Szakosított Büntetőbíróság által első fokon hozott felmentő ítéleteket és visszautalta az ügyet az utóbbi bíróságnak. A Legfelsőbb Bíróság is megerősítette a 25 év szabadságvesztést, amelyet egy másik vádlottra szabtak ki</w:t>
      </w:r>
      <w:r>
        <w:rPr>
          <w:rStyle w:val="FootnoteReference"/>
          <w:rFonts w:eastAsia="Times New Roman" w:cs="Times New Roman"/>
          <w:noProof/>
          <w:lang w:eastAsia="fr-FR"/>
        </w:rPr>
        <w:footnoteReference w:id="166"/>
      </w:r>
      <w:r>
        <w:rPr>
          <w:noProof/>
        </w:rPr>
        <w:t>.</w:t>
      </w:r>
    </w:p>
    <w:p>
      <w:pPr>
        <w:rPr>
          <w:noProof/>
        </w:rPr>
      </w:pPr>
      <w:r>
        <w:rPr>
          <w:b/>
          <w:bCs/>
          <w:noProof/>
        </w:rPr>
        <w:t xml:space="preserve">Beszámolók érkeztek a kormányzati és ellenzéki politikusok újságírókkal és médiaszolgáltatókkal szembeni szóbeli támadásairól. </w:t>
      </w:r>
      <w:r>
        <w:rPr>
          <w:noProof/>
        </w:rPr>
        <w:t>Az újságírókat „rosszakarattal”, valamint azzal vádolták, hogy a Covid19-világjárvány aláásták a kormány munkáját.</w:t>
      </w:r>
      <w:r>
        <w:rPr>
          <w:b/>
          <w:bCs/>
          <w:noProof/>
        </w:rPr>
        <w:t xml:space="preserve"> </w:t>
      </w:r>
      <w:r>
        <w:rPr>
          <w:noProof/>
        </w:rPr>
        <w:t>2020 szeptembere óta az Európa Tanács keretei között működő, az újságírás védelmének és az újságírók biztonságának előmozdításával foglalkozó platform egy esetben adott ki riasztást Szlovákia esetében</w:t>
      </w:r>
      <w:r>
        <w:rPr>
          <w:rFonts w:cs="Times New Roman"/>
          <w:noProof/>
          <w:vertAlign w:val="superscript"/>
        </w:rPr>
        <w:footnoteReference w:id="167"/>
      </w:r>
      <w:r>
        <w:rPr>
          <w:noProof/>
        </w:rPr>
        <w:t>, amely egy újságíró ismeretlenek általi megfigyelésére vonatkozott</w:t>
      </w:r>
      <w:r>
        <w:rPr>
          <w:rStyle w:val="FootnoteReference"/>
          <w:rFonts w:cs="Times New Roman"/>
          <w:noProof/>
        </w:rPr>
        <w:footnoteReference w:id="168"/>
      </w:r>
      <w:r>
        <w:rPr>
          <w:noProof/>
        </w:rPr>
        <w:t>. Az újságírók védelmének megerősítését célzó jogszabályjavaslatot a Covid19-világjárvány miatt elhalasztották</w:t>
      </w:r>
      <w:r>
        <w:rPr>
          <w:rStyle w:val="FootnoteReference"/>
          <w:rFonts w:cs="Times New Roman"/>
          <w:noProof/>
        </w:rPr>
        <w:footnoteReference w:id="169"/>
      </w:r>
      <w:r>
        <w:rPr>
          <w:noProof/>
        </w:rPr>
        <w:t>. A javaslatok magukban foglalják az újságírók jogállásának meghatározását, az újságírói források védelmét, valamint az információkhoz való jobb hozzáférést. A kormány továbbá a rágalmazásra vonatkozó, jelenleg szigorú szlovák büntetőjogi törvények módosítását készíti elő annak érdekében, hogy védelmet nyújtson az újságírók számára. A Covid19-világjárvány hatásának ellensúlyozására nem vezettek be új médiatámogatási rendszert</w:t>
      </w:r>
      <w:r>
        <w:rPr>
          <w:rStyle w:val="FootnoteReference"/>
          <w:rFonts w:cs="Times New Roman"/>
          <w:noProof/>
        </w:rPr>
        <w:footnoteReference w:id="170"/>
      </w:r>
      <w:r>
        <w:rPr>
          <w:noProof/>
        </w:rPr>
        <w:t xml:space="preserve">. </w:t>
      </w:r>
    </w:p>
    <w:p>
      <w:pPr>
        <w:pStyle w:val="Heading1"/>
        <w:rPr>
          <w:noProof/>
        </w:rPr>
      </w:pPr>
      <w:r>
        <w:rPr>
          <w:noProof/>
        </w:rPr>
        <w:t>A fékekkel és ellensúlyokkal kapcsolatos egyéb intézményi kérdések</w:t>
      </w:r>
    </w:p>
    <w:p>
      <w:pPr>
        <w:rPr>
          <w:rFonts w:cs="Times New Roman"/>
          <w:noProof/>
          <w:szCs w:val="24"/>
        </w:rPr>
      </w:pPr>
      <w:r>
        <w:rPr>
          <w:noProof/>
        </w:rPr>
        <w:t>Szlovákia parlamentáris köztársaság, ahol a Nemzeti Tanács (a parlament) az egyedüli alkotmányos és jogalkotó szerv</w:t>
      </w:r>
      <w:r>
        <w:rPr>
          <w:rFonts w:cs="Times New Roman"/>
          <w:noProof/>
          <w:szCs w:val="24"/>
          <w:vertAlign w:val="superscript"/>
        </w:rPr>
        <w:footnoteReference w:id="171"/>
      </w:r>
      <w:r>
        <w:rPr>
          <w:noProof/>
        </w:rPr>
        <w:t>. A jogszabályok bevezetésének joga a parlamenti bizottságokat, a parlamenti képviselőket és a kormányt illeti meg</w:t>
      </w:r>
      <w:r>
        <w:rPr>
          <w:rFonts w:cs="Times New Roman"/>
          <w:noProof/>
          <w:szCs w:val="24"/>
          <w:vertAlign w:val="superscript"/>
        </w:rPr>
        <w:footnoteReference w:id="172"/>
      </w:r>
      <w:r>
        <w:rPr>
          <w:noProof/>
        </w:rPr>
        <w:t xml:space="preserve">. Az Alkotmánybíróság dönt arról, hogy a törvények összhangban állnak-e az alkotmánnyal, az alkotmánytörvényekkel és a nemzetközi megállapodásokkal, valamint biztosítja az alapvető és alkotmányos jogok tiszteletben tartását. Független hatóságok is szerepet játszanak az alapvető jogok védelmében. </w:t>
      </w:r>
    </w:p>
    <w:p>
      <w:pPr>
        <w:rPr>
          <w:rFonts w:eastAsia="Times New Roman" w:cs="Times New Roman"/>
          <w:noProof/>
          <w:szCs w:val="20"/>
        </w:rPr>
      </w:pPr>
      <w:r>
        <w:rPr>
          <w:b/>
          <w:bCs/>
          <w:noProof/>
        </w:rPr>
        <w:t xml:space="preserve">Aggályok merültek fel a jogalkotási folyamat inkluzivitásával kapcsolatban. </w:t>
      </w:r>
      <w:r>
        <w:rPr>
          <w:noProof/>
        </w:rPr>
        <w:t>A közelmúltbeli alkotmányos reformot (lásd az I. szakaszt) a 2020. áprilisi kormányzati programnyilatkozatban jelentették be, majd a több érdekelt félnek való bemutatását</w:t>
      </w:r>
      <w:r>
        <w:rPr>
          <w:rStyle w:val="FootnoteReference"/>
          <w:rFonts w:eastAsia="Times New Roman" w:cs="Times New Roman"/>
          <w:noProof/>
          <w:lang w:eastAsia="fr-FR"/>
        </w:rPr>
        <w:footnoteReference w:id="173"/>
      </w:r>
      <w:r>
        <w:rPr>
          <w:noProof/>
        </w:rPr>
        <w:t xml:space="preserve"> és a 2020. júliusi írásbeli nyilvános konzultációt követően 2020. október elején benyújtották a parlamentnek, amely 2020 decemberében elfogadta. Tekintettel a reform hatókörére és jelentőségére, az érdekelt felek aggodalmukat fejezték ki azzal kapcsolatban, hogy a reform fő jellemzőiről nem folytattak széles körű és megalapozott vitát, valamint a Velencei Bizottsággal nem folytattak konzultációt</w:t>
      </w:r>
      <w:r>
        <w:rPr>
          <w:rStyle w:val="FootnoteReference"/>
          <w:rFonts w:eastAsia="Times New Roman" w:cs="Times New Roman"/>
          <w:noProof/>
          <w:lang w:eastAsia="fr-FR"/>
        </w:rPr>
        <w:footnoteReference w:id="174"/>
      </w:r>
      <w:r>
        <w:rPr>
          <w:noProof/>
        </w:rPr>
        <w:t>. Az érdekelt felek hangsúlyozták annak fontosságát, hogy az Alkotmány módosításaira az európai normákkal összhangban az érdekelt felek és a civil társadalom részvételével zajló nyílt és időszerű nyilvános vitát követően kerüljön sor</w:t>
      </w:r>
      <w:r>
        <w:rPr>
          <w:rStyle w:val="FootnoteReference"/>
          <w:rFonts w:eastAsia="Times New Roman" w:cs="Times New Roman"/>
          <w:noProof/>
          <w:lang w:eastAsia="fr-FR"/>
        </w:rPr>
        <w:footnoteReference w:id="175"/>
      </w:r>
      <w:r>
        <w:rPr>
          <w:noProof/>
        </w:rPr>
        <w:t>. Az érdekelt felek aggodalmuknak adtak hangot amiatt is, hogy nem vonták be őket az egyéb jogalkotási folyamatokba,</w:t>
      </w:r>
      <w:r>
        <w:rPr>
          <w:rStyle w:val="FootnoteReference"/>
          <w:rFonts w:eastAsia="Times New Roman" w:cs="Times New Roman"/>
          <w:noProof/>
          <w:lang w:eastAsia="fr-FR"/>
        </w:rPr>
        <w:footnoteReference w:id="176"/>
      </w:r>
      <w:r>
        <w:rPr>
          <w:noProof/>
        </w:rPr>
        <w:t xml:space="preserve"> valamint, hogy a parlament gyakran a világjárványhoz szorosan nem kapcsolódó jogszabályok esetében is gyorsított eljárásokat alkalmazott</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A jogalkotási folyamat jobbá tételére és a közigazgatás átláthatóságának, hatékonyságának és elszámoltathatóságának fokozására 2020-ban bejelentett tervek még nem valósultak meg</w:t>
      </w:r>
      <w:r>
        <w:rPr>
          <w:rStyle w:val="FootnoteReference"/>
          <w:b/>
          <w:bCs/>
          <w:noProof/>
        </w:rPr>
        <w:footnoteReference w:id="178"/>
      </w:r>
      <w:r>
        <w:rPr>
          <w:b/>
          <w:bCs/>
          <w:noProof/>
        </w:rPr>
        <w:t xml:space="preserve">. </w:t>
      </w:r>
      <w:r>
        <w:rPr>
          <w:noProof/>
        </w:rPr>
        <w:t>A 2021 áprilisától hivatalban lévő új kormány programnyilatkozatába foglalta az előző kormány arra vonatkozó kötelezettségvállalásait,</w:t>
      </w:r>
      <w:r>
        <w:rPr>
          <w:rStyle w:val="FootnoteReference"/>
          <w:noProof/>
        </w:rPr>
        <w:footnoteReference w:id="179"/>
      </w:r>
      <w:r>
        <w:rPr>
          <w:noProof/>
        </w:rPr>
        <w:t xml:space="preserve"> hogy javítja a törvények előkészítésének és elfogadásának folyamatát, fokozza a közigazgatás átláthatóságát, hatékonyságát és elszámoltathatóságát, kiterjeszti az információkhoz való hozzáférést, valamint kiszélesíti a nyílt kormányzás alkalmazását. Átvette a Számvevőszék hatásköreinek megerősítésére vonatkozó kötelezettségvállalást is</w:t>
      </w:r>
      <w:r>
        <w:rPr>
          <w:rStyle w:val="FootnoteReference"/>
          <w:noProof/>
        </w:rPr>
        <w:footnoteReference w:id="180"/>
      </w:r>
      <w:r>
        <w:rPr>
          <w:noProof/>
        </w:rPr>
        <w:t>. Az e célokat szolgáló javaslatokat még nem terjesztették elő, és az érdekelt felekkel folytatandó konzultációk sem kezdődtek el. Az információkhoz való szabad hozzáférésről szóló törvény módosítása a kormány általi előkészítő szakaszában van</w:t>
      </w:r>
      <w:r>
        <w:rPr>
          <w:rStyle w:val="FootnoteReference"/>
          <w:noProof/>
        </w:rPr>
        <w:footnoteReference w:id="181"/>
      </w:r>
      <w:r>
        <w:rPr>
          <w:noProof/>
        </w:rPr>
        <w:t xml:space="preserve">. </w:t>
      </w:r>
    </w:p>
    <w:p>
      <w:pPr>
        <w:rPr>
          <w:rFonts w:eastAsia="Times New Roman" w:cs="Times New Roman"/>
          <w:noProof/>
          <w:szCs w:val="20"/>
        </w:rPr>
      </w:pPr>
      <w:r>
        <w:rPr>
          <w:b/>
          <w:bCs/>
          <w:noProof/>
        </w:rPr>
        <w:t>Az alkotmányos reform kifejezetten kimondja, hogy az Alkotmánybíróság nem rendelkezik hatáskörrel az alkotmánytörvények felülvizsgálatára.</w:t>
      </w:r>
      <w:r>
        <w:rPr>
          <w:noProof/>
        </w:rPr>
        <w:t xml:space="preserve"> Az Alkotmánybíróság a múltban érvényesítette az alkotmánytörvények alkotmányosságának értékelésére vonatkozó hatáskörét, amelyet egyszer a bírói függetlenség védelmében is alkalmazott</w:t>
      </w:r>
      <w:r>
        <w:rPr>
          <w:rStyle w:val="FootnoteReference"/>
          <w:rFonts w:eastAsia="Times New Roman" w:cs="Times New Roman"/>
          <w:noProof/>
          <w:lang w:eastAsia="fr-FR"/>
        </w:rPr>
        <w:footnoteReference w:id="182"/>
      </w:r>
      <w:r>
        <w:rPr>
          <w:noProof/>
        </w:rPr>
        <w:t>. A közelmúltbeli alkotmányos reform (lásd az I. szakaszt) megváltoztatta az Alkotmány szövegét, hogy kifejezetten megtiltsa a Bíróság számára az ilyen törvények alkotmányosságának felülvizsgálatát. Az érdekelt felek bírálták a változást</w:t>
      </w:r>
      <w:r>
        <w:rPr>
          <w:rStyle w:val="FootnoteReference"/>
          <w:rFonts w:eastAsia="Times New Roman" w:cs="Times New Roman"/>
          <w:noProof/>
          <w:lang w:eastAsia="fr-FR"/>
        </w:rPr>
        <w:footnoteReference w:id="183"/>
      </w:r>
      <w:r>
        <w:rPr>
          <w:noProof/>
        </w:rPr>
        <w:t>. E módosítás alkotmányosságát megtámadták az Alkotmánybíróság előtt, ahol az ügy még mindig folyamatban van</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A parlament módosította a szükségállapotról szóló jogszabályt, hogy lehetővé tegye annak 90 napon túli meghosszabbítását.</w:t>
      </w:r>
      <w:r>
        <w:rPr>
          <w:noProof/>
        </w:rPr>
        <w:t xml:space="preserve"> A szükségállapot idején a parlament jelentős fennakadások nélkül tudta folytatni működését</w:t>
      </w:r>
      <w:r>
        <w:rPr>
          <w:rStyle w:val="FootnoteReference"/>
          <w:rFonts w:eastAsia="Times New Roman" w:cs="Times New Roman"/>
          <w:noProof/>
          <w:lang w:eastAsia="fr-FR"/>
        </w:rPr>
        <w:footnoteReference w:id="185"/>
      </w:r>
      <w:r>
        <w:rPr>
          <w:noProof/>
        </w:rPr>
        <w:t>. A szükségállapot lehetővé teszi a kormány számára, hogy olyan rendeleteket fogadjon el, amelyek a mozgás szabadságához hasonló jogokat és szabadságokat korlátozzák</w:t>
      </w:r>
      <w:r>
        <w:rPr>
          <w:rStyle w:val="FootnoteReference"/>
          <w:rFonts w:eastAsia="Times New Roman" w:cs="Times New Roman"/>
          <w:noProof/>
          <w:lang w:eastAsia="fr-FR"/>
        </w:rPr>
        <w:footnoteReference w:id="186"/>
      </w:r>
      <w:r>
        <w:rPr>
          <w:noProof/>
        </w:rPr>
        <w:t>. A kormány legfeljebb 90 napra, az alkotmánytörvényben meghatározott feltételek mellett hirdetheti ki a szükségállapotot</w:t>
      </w:r>
      <w:r>
        <w:rPr>
          <w:rStyle w:val="FootnoteReference"/>
          <w:rFonts w:eastAsia="Times New Roman" w:cs="Times New Roman"/>
          <w:noProof/>
          <w:lang w:eastAsia="fr-FR"/>
        </w:rPr>
        <w:footnoteReference w:id="187"/>
      </w:r>
      <w:r>
        <w:rPr>
          <w:noProof/>
        </w:rPr>
        <w:t>. A 2020. március 16-tól 2020. június 13-ig tartó szükségállapot</w:t>
      </w:r>
      <w:r>
        <w:rPr>
          <w:rStyle w:val="FootnoteReference"/>
          <w:rFonts w:eastAsia="Times New Roman" w:cs="Times New Roman"/>
          <w:noProof/>
          <w:lang w:eastAsia="fr-FR"/>
        </w:rPr>
        <w:footnoteReference w:id="188"/>
      </w:r>
      <w:r>
        <w:rPr>
          <w:noProof/>
        </w:rPr>
        <w:t xml:space="preserve"> alkalmazását követően a kormány 2020. október 1-jétől új szükségállapotot hirdetett ki. A parlament 2020 decemberében módosította a vonatkozó jogszabályt, hogy a kormány számára lehetővé tegye a szükségállapot 40 nappal való ismételt, parlament utólagos jóváhagyása melletti meghosszabbítását</w:t>
      </w:r>
      <w:r>
        <w:rPr>
          <w:rStyle w:val="FootnoteReference"/>
          <w:rFonts w:eastAsia="Times New Roman" w:cs="Times New Roman"/>
          <w:noProof/>
          <w:lang w:eastAsia="fr-FR"/>
        </w:rPr>
        <w:footnoteReference w:id="189"/>
      </w:r>
      <w:r>
        <w:rPr>
          <w:noProof/>
        </w:rPr>
        <w:t>. A szükségállapot 2021. május 15-én véget ért. Az Alkotmánybíróság hatáskörrel rendelkezik a szükségállapot kihirdetésének és meghosszabbításának alkotmányossági felülvizsgálatára</w:t>
      </w:r>
      <w:r>
        <w:rPr>
          <w:rStyle w:val="FootnoteReference"/>
          <w:rFonts w:eastAsia="Times New Roman" w:cs="Times New Roman"/>
          <w:noProof/>
          <w:lang w:eastAsia="fr-FR"/>
        </w:rPr>
        <w:footnoteReference w:id="190"/>
      </w:r>
      <w:r>
        <w:rPr>
          <w:noProof/>
        </w:rPr>
        <w:t>. Az érdekelt felek ugyanakkor megjegyezték, hogy rövidek az ilyen felülvizsgálatra megszabott határidők</w:t>
      </w:r>
      <w:r>
        <w:rPr>
          <w:rStyle w:val="FootnoteReference"/>
          <w:rFonts w:eastAsia="Times New Roman" w:cs="Times New Roman"/>
          <w:noProof/>
          <w:lang w:eastAsia="fr-FR"/>
        </w:rPr>
        <w:footnoteReference w:id="191"/>
      </w:r>
      <w:r>
        <w:rPr>
          <w:noProof/>
        </w:rPr>
        <w:t>. Az Alkotmánybíróságtól kérelmezték a kihirdetés, valamint az egyik meghosszabbítás alkotmányosságának felülvizsgálatát, és az Alkotmánybíróság mindkét alkalommal megállapította a vonatkozó jogszabályoknak való megfelelést</w:t>
      </w:r>
      <w:r>
        <w:rPr>
          <w:rStyle w:val="FootnoteReference"/>
          <w:rFonts w:eastAsia="Times New Roman" w:cs="Times New Roman"/>
          <w:noProof/>
          <w:lang w:eastAsia="fr-FR"/>
        </w:rPr>
        <w:footnoteReference w:id="192"/>
      </w:r>
      <w:r>
        <w:rPr>
          <w:noProof/>
        </w:rPr>
        <w:t>. Az Alkotmánybíróság a világjárvány keretében elfogadott számos intézkedést is felülvizsgált, és tisztázta a rendes bíróságok ilyen intézkedések elbírálására vonatkozó hatáskörét. Ugyanakkor a későbbi jogszabályi változásokat</w:t>
      </w:r>
      <w:r>
        <w:rPr>
          <w:rStyle w:val="FootnoteReference"/>
          <w:rFonts w:eastAsia="Times New Roman" w:cs="Times New Roman"/>
          <w:noProof/>
          <w:lang w:eastAsia="fr-FR"/>
        </w:rPr>
        <w:footnoteReference w:id="193"/>
      </w:r>
      <w:r>
        <w:rPr>
          <w:noProof/>
        </w:rPr>
        <w:t xml:space="preserve"> követően aggályok merültek fel azzal kapcsolatban, hogy egyes intézkedések esetében a bírósági jogorvoslatához való jog nem biztosított kellőképpen</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Az állampolgári jogok biztosa és a Nemzeti Emberi Jogi Központ aktív szerepet töltött be az állampolgárok jogainak világjárvány során való védelmében. </w:t>
      </w:r>
      <w:r>
        <w:rPr>
          <w:noProof/>
        </w:rPr>
        <w:t>Az állampolgári jogok biztosa egy független szerv, amelynek feladata az alapvető jogok és szabadságok védelme a közigazgatási és más közjogi szervek előtt zajló eljárások során, míg a szlovák Nemzeti Emberi Jogi Központ az illetékes nemzeti emberi jogi intézmény, valamint Szlovákia illetékes nemzeti emberi jogi szervezete és egyben egyenlőséggel foglalkozó szerve</w:t>
      </w:r>
      <w:r>
        <w:rPr>
          <w:rStyle w:val="FootnoteReference"/>
          <w:rFonts w:eastAsia="Times New Roman" w:cs="Times New Roman"/>
          <w:noProof/>
          <w:lang w:eastAsia="fr-FR"/>
        </w:rPr>
        <w:footnoteReference w:id="195"/>
      </w:r>
      <w:r>
        <w:rPr>
          <w:noProof/>
        </w:rPr>
        <w:t>. A Covid19-világjárvány során közel 50 %-kal nőtt az állampolgári jogok biztosának benyújtott panaszok száma, valamint nőt a lakosság részéről a világjárvánnyal kapcsolatos intézkedésekkel kapcsolatos iránymutatás iránti kérelmek száma</w:t>
      </w:r>
      <w:r>
        <w:rPr>
          <w:rStyle w:val="FootnoteReference"/>
          <w:rFonts w:eastAsia="Times New Roman" w:cs="Times New Roman"/>
          <w:noProof/>
          <w:lang w:eastAsia="fr-FR"/>
        </w:rPr>
        <w:footnoteReference w:id="196"/>
      </w:r>
      <w:r>
        <w:rPr>
          <w:noProof/>
        </w:rPr>
        <w:t>. A Nemzeti Emberi Jogi Központ munkaterhelése az elmúlt évek munkaterhelésével összevethető volt, de a panaszok tartalma megváltozott, és többségük a világjárvánnyal kapcsolatos intézkedésekre vonatkozott</w:t>
      </w:r>
      <w:r>
        <w:rPr>
          <w:rStyle w:val="FootnoteReference"/>
          <w:rFonts w:eastAsia="Times New Roman" w:cs="Times New Roman"/>
          <w:noProof/>
          <w:lang w:eastAsia="fr-FR"/>
        </w:rPr>
        <w:footnoteReference w:id="197"/>
      </w:r>
      <w:r>
        <w:rPr>
          <w:noProof/>
        </w:rPr>
        <w:t>. Az intézmények számos területen találtak jogsértéseket, mint például a külföldről visszatérő személyek államilag elrendelt karanténja, a teljes roma települések karanténja, és az egészségügyi ellátáshoz való hozzáférés és az oktatáshoz való jog korlátozásai tekintetében</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A civil társadalmat támogató jogi keret továbbra is érvényben van, de aggályok merültek fel egyes nem kormányzati szervezetek finanszírozásának korlátozásával kapcsolatban</w:t>
      </w:r>
      <w:r>
        <w:rPr>
          <w:rStyle w:val="FootnoteReference"/>
          <w:rFonts w:eastAsia="Times New Roman" w:cs="Times New Roman"/>
          <w:b/>
          <w:bCs/>
          <w:noProof/>
          <w:lang w:eastAsia="fr-FR"/>
        </w:rPr>
        <w:footnoteReference w:id="199"/>
      </w:r>
      <w:r>
        <w:rPr>
          <w:b/>
          <w:bCs/>
          <w:noProof/>
        </w:rPr>
        <w:t xml:space="preserve">. </w:t>
      </w:r>
      <w:r>
        <w:rPr>
          <w:noProof/>
        </w:rPr>
        <w:t>Az új kormány átvette a civil társadalom további erősítésére vonatkozó kötelezettségvállalást</w:t>
      </w:r>
      <w:r>
        <w:rPr>
          <w:rStyle w:val="FootnoteReference"/>
          <w:rFonts w:eastAsia="Times New Roman" w:cs="Times New Roman"/>
          <w:noProof/>
          <w:lang w:eastAsia="fr-FR"/>
        </w:rPr>
        <w:footnoteReference w:id="200"/>
      </w:r>
      <w:r>
        <w:rPr>
          <w:noProof/>
        </w:rPr>
        <w:t>. 2020 decemberében elindult a nem kormányzati szervezetek új nyilvántartása</w:t>
      </w:r>
      <w:r>
        <w:rPr>
          <w:rStyle w:val="FootnoteReference"/>
          <w:rFonts w:eastAsia="Times New Roman" w:cs="Times New Roman"/>
          <w:noProof/>
          <w:lang w:eastAsia="fr-FR"/>
        </w:rPr>
        <w:footnoteReference w:id="201"/>
      </w:r>
      <w:r>
        <w:rPr>
          <w:noProof/>
        </w:rPr>
        <w:t>. A nyilvántartás a vonatkozó törvényben meghatározott, Szlovákiában működő valamennyi szervezet egységes, nyilvános nyilvántartását jelenti, és célja az átláthatóság további javítása. Az érdekelt felek aggodalmukról számoltak be a közigazgatási szervek és politikusok által az aktivisták és a civil társadalmi szervezetek ellen intézett szóbeli támadásokkal</w:t>
      </w:r>
      <w:r>
        <w:rPr>
          <w:rStyle w:val="FootnoteReference"/>
          <w:rFonts w:eastAsia="Times New Roman" w:cs="Times New Roman"/>
          <w:noProof/>
          <w:lang w:eastAsia="fr-FR"/>
        </w:rPr>
        <w:footnoteReference w:id="202"/>
      </w:r>
      <w:r>
        <w:rPr>
          <w:noProof/>
        </w:rPr>
        <w:t xml:space="preserve"> és a nemek közötti egyenlőséget előmozdító szervezeteknek juttatott állami pénzeszközök szándékos korlátozásával kapcsolatban</w:t>
      </w:r>
      <w:r>
        <w:rPr>
          <w:rStyle w:val="FootnoteReference"/>
          <w:rFonts w:eastAsia="Times New Roman" w:cs="Times New Roman"/>
          <w:noProof/>
          <w:lang w:eastAsia="fr-FR"/>
        </w:rPr>
        <w:footnoteReference w:id="203"/>
      </w:r>
      <w:r>
        <w:rPr>
          <w:noProof/>
        </w:rPr>
        <w:t>. Ezenkívül a Covid19-világjárvány miatt számos civil szervezet működésére nyomás nehezedik, és az érdekelt felek különös aggodalmukat fejezték ki a világjárványnak a nem kormányzati szervezetek pénzügyi helyzetére gyakorolt általános hatásaival kapcsolatban</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I. melléklet: Források betűrend szerinti jegyzéke*</w:t>
      </w:r>
    </w:p>
    <w:p>
      <w:pPr>
        <w:spacing w:after="120"/>
        <w:rPr>
          <w:rFonts w:eastAsia="Times New Roman" w:cs="Times New Roman"/>
          <w:i/>
          <w:iCs/>
          <w:noProof/>
          <w:sz w:val="22"/>
        </w:rPr>
      </w:pPr>
      <w:r>
        <w:rPr>
          <w:i/>
          <w:iCs/>
          <w:noProof/>
          <w:sz w:val="22"/>
        </w:rPr>
        <w:t xml:space="preserve">* A 2021. évi jogállamisági jelentéshez kapcsolódó konzultáció keretében beérkezett észrevételek jegyzéke megtalálható a következő weboldalon: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noProof/>
          <w:sz w:val="22"/>
        </w:rPr>
        <w:t>A Szlovák Alkotmánybíróság 2019. január 30-i ítélete, Pl ÚS 21/2014-96.</w:t>
      </w:r>
    </w:p>
    <w:p>
      <w:pPr>
        <w:spacing w:after="120"/>
        <w:rPr>
          <w:rFonts w:eastAsia="Times New Roman" w:cs="Times New Roman"/>
          <w:noProof/>
          <w:sz w:val="22"/>
        </w:rPr>
      </w:pPr>
      <w:r>
        <w:rPr>
          <w:noProof/>
          <w:sz w:val="22"/>
        </w:rPr>
        <w:t>A Szlovák Alkotmánybíróság 2020. október 14-i ítélete, Pl ÚS 22/2020.</w:t>
      </w:r>
    </w:p>
    <w:p>
      <w:pPr>
        <w:spacing w:after="120"/>
        <w:rPr>
          <w:rFonts w:eastAsia="Times New Roman" w:cs="Times New Roman"/>
          <w:noProof/>
          <w:sz w:val="22"/>
        </w:rPr>
      </w:pPr>
      <w:r>
        <w:rPr>
          <w:noProof/>
          <w:sz w:val="22"/>
        </w:rPr>
        <w:t>A Szlovák Alkotmánybíróság 2021. március 31-i ítélete, Pl ÚS 2/2021.</w:t>
      </w:r>
    </w:p>
    <w:p>
      <w:pPr>
        <w:spacing w:after="120"/>
        <w:jc w:val="left"/>
        <w:rPr>
          <w:noProof/>
          <w:sz w:val="22"/>
        </w:rPr>
      </w:pPr>
      <w:r>
        <w:rPr>
          <w:noProof/>
          <w:sz w:val="22"/>
        </w:rPr>
        <w:t xml:space="preserve">A szlovák bírák kommunikációs platformja és a szlovák bírák szövetsége (2021), </w:t>
      </w:r>
      <w:r>
        <w:rPr>
          <w:i/>
          <w:iCs/>
          <w:noProof/>
          <w:sz w:val="22"/>
        </w:rPr>
        <w:t>hozzájárulás a 2021. évi jogállamisági jelentéshez.</w:t>
      </w:r>
    </w:p>
    <w:p>
      <w:pPr>
        <w:spacing w:after="120"/>
        <w:rPr>
          <w:rFonts w:eastAsia="Times New Roman" w:cs="Times New Roman"/>
          <w:noProof/>
          <w:sz w:val="22"/>
        </w:rPr>
      </w:pPr>
      <w:r>
        <w:rPr>
          <w:iCs/>
          <w:noProof/>
          <w:sz w:val="22"/>
        </w:rPr>
        <w:t xml:space="preserve">Aktuality.sk (2021), </w:t>
      </w:r>
      <w:r>
        <w:rPr>
          <w:i/>
          <w:iCs/>
          <w:noProof/>
          <w:sz w:val="22"/>
        </w:rPr>
        <w:t xml:space="preserve">A NAKA ismét őrizetbe vette Kvietik pénzügyi támogatót és a Szlovák Földalap több emberét </w:t>
      </w:r>
      <w:r>
        <w:rPr>
          <w:iCs/>
          <w:noProof/>
          <w:sz w:val="22"/>
        </w:rPr>
        <w:t>(</w:t>
      </w:r>
      <w:r>
        <w:rPr>
          <w:i/>
          <w:iCs/>
          <w:noProof/>
          <w:sz w:val="22"/>
        </w:rPr>
        <w:t>NAKA opäť zadržala finančníka Kvietika aj viacero ľudí zo Slovenského pozemkového fondu</w:t>
      </w:r>
      <w:r>
        <w:rPr>
          <w:iCs/>
          <w:noProof/>
          <w:sz w:val="22"/>
        </w:rPr>
        <w:t>)</w:t>
      </w:r>
      <w:r>
        <w:rPr>
          <w:noProof/>
          <w:sz w:val="22"/>
        </w:rPr>
        <w:t xml:space="preserve">. </w:t>
      </w:r>
      <w:hyperlink r:id="rId20" w:history="1">
        <w:r>
          <w:rPr>
            <w:rStyle w:val="Hyperlink"/>
            <w:noProof/>
            <w:sz w:val="22"/>
          </w:rPr>
          <w:t>https://www.aktuality.sk/clanok/892385/naka-opat-zadrzala-financnika-martina-kvietika</w:t>
        </w:r>
      </w:hyperlink>
    </w:p>
    <w:p>
      <w:pPr>
        <w:spacing w:after="120"/>
        <w:rPr>
          <w:rFonts w:eastAsia="Times New Roman" w:cs="Times New Roman"/>
          <w:noProof/>
          <w:sz w:val="22"/>
        </w:rPr>
      </w:pPr>
      <w:r>
        <w:rPr>
          <w:noProof/>
          <w:sz w:val="22"/>
        </w:rPr>
        <w:t xml:space="preserve">Az állampolgári jogok biztosa (2020), </w:t>
      </w:r>
      <w:r>
        <w:rPr>
          <w:i/>
          <w:noProof/>
          <w:sz w:val="22"/>
        </w:rPr>
        <w:t>Éves jelentés az állampolgári jogok biztosának tevékenységeiről</w:t>
      </w:r>
      <w:r>
        <w:rPr>
          <w:noProof/>
          <w:sz w:val="22"/>
        </w:rPr>
        <w:t xml:space="preserve"> (</w:t>
      </w:r>
      <w:r>
        <w:rPr>
          <w:i/>
          <w:noProof/>
          <w:sz w:val="22"/>
        </w:rPr>
        <w:t>Správa o činnosti verejného ochrancu práv za obdobie roka 2020</w:t>
      </w:r>
      <w:r>
        <w:rPr>
          <w:noProof/>
          <w:sz w:val="22"/>
        </w:rPr>
        <w:t xml:space="preserve">). </w:t>
      </w:r>
      <w:hyperlink r:id="rId21" w:history="1">
        <w:r>
          <w:rPr>
            <w:rStyle w:val="Hyperlink"/>
            <w:noProof/>
            <w:sz w:val="22"/>
          </w:rPr>
          <w:t>https://www.vop.gov.sk/files/VOP_VS20_SK_1.pdf</w:t>
        </w:r>
      </w:hyperlink>
    </w:p>
    <w:p>
      <w:pPr>
        <w:spacing w:after="120"/>
        <w:rPr>
          <w:rFonts w:eastAsia="Times New Roman" w:cs="Times New Roman"/>
          <w:noProof/>
          <w:sz w:val="22"/>
        </w:rPr>
      </w:pPr>
      <w:r>
        <w:rPr>
          <w:noProof/>
          <w:sz w:val="22"/>
        </w:rPr>
        <w:t>Az Emberi Jogok Európai Bíróságának 2012. július 24-i ítélete, Maxian és Maxianova, 44482/09, végrehajtási állapot.</w:t>
      </w:r>
      <w:r>
        <w:rPr>
          <w:noProof/>
        </w:rPr>
        <w:t xml:space="preserve"> </w:t>
      </w:r>
      <w:hyperlink r:id="rId22" w:history="1">
        <w:r>
          <w:rPr>
            <w:rStyle w:val="Hyperlink"/>
            <w:noProof/>
            <w:sz w:val="22"/>
          </w:rPr>
          <w:t>http://hudoc.exec.coe.int/eng?i=004-7711</w:t>
        </w:r>
      </w:hyperlink>
    </w:p>
    <w:p>
      <w:pPr>
        <w:spacing w:after="120"/>
        <w:rPr>
          <w:rFonts w:eastAsia="Times New Roman" w:cs="Times New Roman"/>
          <w:noProof/>
          <w:sz w:val="22"/>
        </w:rPr>
      </w:pPr>
      <w:r>
        <w:rPr>
          <w:noProof/>
          <w:sz w:val="22"/>
        </w:rPr>
        <w:t xml:space="preserve">Az Emberi Jogok Európai Bíróságának 2015. szeptember 15-i ítélete, Javor és Javorova, 42360/10, végrehajtási állapot. </w:t>
      </w:r>
      <w:hyperlink r:id="rId23" w:history="1">
        <w:r>
          <w:rPr>
            <w:rStyle w:val="Hyperlink"/>
            <w:noProof/>
            <w:sz w:val="22"/>
          </w:rPr>
          <w:t>http://hudoc.exec.coe.int/eng?i=004-7717</w:t>
        </w:r>
      </w:hyperlink>
    </w:p>
    <w:p>
      <w:pPr>
        <w:spacing w:after="120"/>
        <w:rPr>
          <w:rFonts w:eastAsia="Times New Roman" w:cs="Times New Roman"/>
          <w:noProof/>
          <w:sz w:val="22"/>
        </w:rPr>
      </w:pPr>
      <w:r>
        <w:rPr>
          <w:noProof/>
          <w:sz w:val="22"/>
        </w:rPr>
        <w:t>Az Emberi Jogok Európai Bíróságának 2017. június 27-i ítélete, Ivan, 57405/15, végrehajtási állapot.</w:t>
      </w:r>
      <w:r>
        <w:rPr>
          <w:noProof/>
        </w:rPr>
        <w:t xml:space="preserve"> </w:t>
      </w:r>
      <w:hyperlink r:id="rId24" w:history="1">
        <w:r>
          <w:rPr>
            <w:rStyle w:val="Hyperlink"/>
            <w:noProof/>
            <w:sz w:val="22"/>
          </w:rPr>
          <w:t>http://hudoc.exec.coe.int/eng?i=004-47309</w:t>
        </w:r>
      </w:hyperlink>
    </w:p>
    <w:p>
      <w:pPr>
        <w:spacing w:after="120"/>
        <w:rPr>
          <w:rFonts w:eastAsia="Times New Roman" w:cs="Times New Roman"/>
          <w:noProof/>
          <w:sz w:val="22"/>
        </w:rPr>
      </w:pPr>
      <w:r>
        <w:rPr>
          <w:noProof/>
          <w:sz w:val="22"/>
        </w:rPr>
        <w:t>Az Emberi Jogok Európai Bíróságának 2018. augusztus 31-i ítélete, Balogh és társai, 35142/15, végrehajtási állapot.</w:t>
      </w:r>
      <w:r>
        <w:rPr>
          <w:noProof/>
        </w:rPr>
        <w:t xml:space="preserve"> </w:t>
      </w:r>
      <w:hyperlink r:id="rId25" w:history="1">
        <w:r>
          <w:rPr>
            <w:rStyle w:val="Hyperlink"/>
            <w:noProof/>
            <w:sz w:val="22"/>
          </w:rPr>
          <w:t>http://hudoc.exec.coe.int/eng?i=004-51541</w:t>
        </w:r>
      </w:hyperlink>
    </w:p>
    <w:p>
      <w:pPr>
        <w:spacing w:after="120"/>
        <w:rPr>
          <w:rFonts w:eastAsia="Times New Roman" w:cs="Times New Roman"/>
          <w:noProof/>
          <w:sz w:val="22"/>
        </w:rPr>
      </w:pPr>
      <w:r>
        <w:rPr>
          <w:noProof/>
          <w:sz w:val="22"/>
        </w:rPr>
        <w:t>Az Emberi Jogok Európai Bíróságának 2021. március 9-i ítélete, Bilgen kontra Törökország, 1571/07.</w:t>
      </w:r>
    </w:p>
    <w:p>
      <w:pPr>
        <w:spacing w:after="120"/>
        <w:rPr>
          <w:rFonts w:eastAsia="Times New Roman" w:cs="Times New Roman"/>
          <w:noProof/>
          <w:sz w:val="22"/>
        </w:rPr>
      </w:pPr>
      <w:r>
        <w:rPr>
          <w:noProof/>
          <w:sz w:val="22"/>
        </w:rPr>
        <w:t xml:space="preserve">Az Európai Unió Bíróságának 2018. július 25-i ítélete, LM, C‑216/18 PPU. </w:t>
      </w:r>
    </w:p>
    <w:p>
      <w:pPr>
        <w:spacing w:after="120"/>
        <w:rPr>
          <w:rFonts w:eastAsia="Times New Roman" w:cs="Times New Roman"/>
          <w:noProof/>
          <w:sz w:val="22"/>
        </w:rPr>
      </w:pPr>
      <w:r>
        <w:rPr>
          <w:noProof/>
          <w:sz w:val="22"/>
        </w:rPr>
        <w:t>Az Európai Unió Bíróságának 2021. május 18-i ítélete, C-83/19. sz., C-127/19. sz., C-195/19. sz., C-291/19. sz., C-355/19. sz és C-397/19. sz. egyesített román ügyek.</w:t>
      </w:r>
    </w:p>
    <w:p>
      <w:pPr>
        <w:spacing w:after="120"/>
        <w:rPr>
          <w:rFonts w:eastAsia="Times New Roman" w:cs="Times New Roman"/>
          <w:noProof/>
          <w:sz w:val="22"/>
        </w:rPr>
      </w:pPr>
      <w:r>
        <w:rPr>
          <w:noProof/>
          <w:sz w:val="22"/>
        </w:rPr>
        <w:t>Az Európai Unió Bíróságának 2021. április 20-i ítélete, Repubblika, C-896/19.</w:t>
      </w:r>
    </w:p>
    <w:p>
      <w:pPr>
        <w:spacing w:after="120"/>
        <w:rPr>
          <w:rFonts w:eastAsia="Times New Roman" w:cs="Times New Roman"/>
          <w:noProof/>
          <w:sz w:val="22"/>
        </w:rPr>
      </w:pPr>
      <w:r>
        <w:rPr>
          <w:noProof/>
          <w:sz w:val="22"/>
        </w:rPr>
        <w:t>Az Igazságszolgáltatási Tanácsok Európai Hálózata (2012–2013),</w:t>
      </w:r>
      <w:r>
        <w:rPr>
          <w:i/>
          <w:iCs/>
          <w:noProof/>
          <w:sz w:val="22"/>
        </w:rPr>
        <w:t xml:space="preserve"> Jelentés a szakmai teljesítmény értékelésének minimumszabályairól és a bírák elmozdíthatatlanságáról.</w:t>
      </w:r>
    </w:p>
    <w:p>
      <w:pPr>
        <w:spacing w:after="120"/>
        <w:rPr>
          <w:rFonts w:eastAsia="Times New Roman" w:cs="Times New Roman"/>
          <w:noProof/>
          <w:sz w:val="22"/>
        </w:rPr>
      </w:pPr>
      <w:r>
        <w:rPr>
          <w:noProof/>
          <w:sz w:val="22"/>
        </w:rPr>
        <w:t xml:space="preserve">Centre for Media Pluralism and Media Freedom (2021), </w:t>
      </w:r>
      <w:r>
        <w:rPr>
          <w:i/>
          <w:iCs/>
          <w:noProof/>
          <w:sz w:val="22"/>
        </w:rPr>
        <w:t>Media pluralism monitor 2021</w:t>
      </w:r>
      <w:r>
        <w:rPr>
          <w:noProof/>
          <w:sz w:val="22"/>
        </w:rPr>
        <w:t>.</w:t>
      </w:r>
    </w:p>
    <w:p>
      <w:pPr>
        <w:spacing w:after="120"/>
        <w:rPr>
          <w:rFonts w:eastAsia="Times New Roman" w:cs="Times New Roman"/>
          <w:i/>
          <w:iCs/>
          <w:noProof/>
          <w:sz w:val="22"/>
        </w:rPr>
      </w:pPr>
      <w:r>
        <w:rPr>
          <w:noProof/>
          <w:sz w:val="22"/>
        </w:rPr>
        <w:t xml:space="preserve">Európa Tanács (2020): </w:t>
      </w:r>
      <w:r>
        <w:rPr>
          <w:i/>
          <w:iCs/>
          <w:noProof/>
          <w:sz w:val="22"/>
        </w:rPr>
        <w:t>2020. május 20-i ajánlás Szlovákia 2020. évi nemzeti reformprogramjáról, amelyben a Tanács véleményezi Szlovákia 2020. évi stabilitási programját, COM(2020) 525 final.</w:t>
      </w:r>
    </w:p>
    <w:p>
      <w:pPr>
        <w:spacing w:after="120"/>
        <w:rPr>
          <w:rFonts w:eastAsia="Times New Roman" w:cs="Times New Roman"/>
          <w:i/>
          <w:iCs/>
          <w:noProof/>
          <w:sz w:val="22"/>
        </w:rPr>
      </w:pPr>
      <w:r>
        <w:rPr>
          <w:noProof/>
          <w:sz w:val="22"/>
        </w:rPr>
        <w:t xml:space="preserve">Európa Tanács, Velencei Bizottság (2013), </w:t>
      </w:r>
      <w:r>
        <w:rPr>
          <w:i/>
          <w:iCs/>
          <w:noProof/>
          <w:sz w:val="22"/>
        </w:rPr>
        <w:t>A Grúzia rendes bíróságairól szóló sarkalatos törvény módosítástervezeteiről megfogalmazott vélemény, CDL-AD(2013)007-e.</w:t>
      </w:r>
    </w:p>
    <w:p>
      <w:pPr>
        <w:spacing w:after="120"/>
        <w:jc w:val="left"/>
        <w:rPr>
          <w:noProof/>
          <w:sz w:val="22"/>
        </w:rPr>
      </w:pPr>
      <w:r>
        <w:rPr>
          <w:noProof/>
          <w:sz w:val="22"/>
        </w:rPr>
        <w:t xml:space="preserve">Európa Tanács: Miniszterek Bizottsága (2010), </w:t>
      </w:r>
      <w:r>
        <w:rPr>
          <w:i/>
          <w:iCs/>
          <w:noProof/>
          <w:sz w:val="22"/>
        </w:rPr>
        <w:t>A Miniszterek Bizottságának CM/Rec(2010)12. sz. ajánlása a tagállamok részére a bírákról: függetlenség, hatékonyság és feladatok.</w:t>
      </w:r>
    </w:p>
    <w:p>
      <w:pPr>
        <w:spacing w:after="120"/>
        <w:rPr>
          <w:rFonts w:eastAsia="Times New Roman" w:cs="Times New Roman"/>
          <w:noProof/>
          <w:sz w:val="22"/>
        </w:rPr>
      </w:pPr>
      <w:r>
        <w:rPr>
          <w:noProof/>
          <w:sz w:val="22"/>
        </w:rPr>
        <w:t xml:space="preserve">Európa Tanács: Velencei Bizottság (2005), </w:t>
      </w:r>
      <w:r>
        <w:rPr>
          <w:i/>
          <w:iCs/>
          <w:noProof/>
          <w:sz w:val="22"/>
        </w:rPr>
        <w:t>Második időközi vélemény az Örmény Köztársaság alkotmányos reformjairól, CDL-AD(2005)016.</w:t>
      </w:r>
    </w:p>
    <w:p>
      <w:pPr>
        <w:spacing w:after="120"/>
        <w:rPr>
          <w:rFonts w:eastAsia="Times New Roman" w:cs="Times New Roman"/>
          <w:noProof/>
          <w:sz w:val="22"/>
        </w:rPr>
      </w:pPr>
      <w:r>
        <w:rPr>
          <w:noProof/>
          <w:color w:val="000000" w:themeColor="text1"/>
          <w:sz w:val="22"/>
        </w:rPr>
        <w:t>Európa Tanács</w:t>
      </w:r>
      <w:r>
        <w:rPr>
          <w:noProof/>
          <w:sz w:val="22"/>
        </w:rPr>
        <w:t xml:space="preserve">: Velencei Bizottság (2010), </w:t>
      </w:r>
      <w:r>
        <w:rPr>
          <w:i/>
          <w:iCs/>
          <w:noProof/>
          <w:sz w:val="22"/>
        </w:rPr>
        <w:t>Az alkotmánymódosításról szóló jelentés</w:t>
      </w:r>
      <w:r>
        <w:rPr>
          <w:noProof/>
          <w:sz w:val="22"/>
        </w:rPr>
        <w:t xml:space="preserve">, </w:t>
      </w:r>
      <w:r>
        <w:rPr>
          <w:i/>
          <w:iCs/>
          <w:noProof/>
          <w:sz w:val="22"/>
        </w:rPr>
        <w:t>CDL-AD(2010)001.</w:t>
      </w:r>
    </w:p>
    <w:p>
      <w:pPr>
        <w:spacing w:after="120"/>
        <w:rPr>
          <w:rFonts w:eastAsia="Times New Roman" w:cs="Times New Roman"/>
          <w:i/>
          <w:iCs/>
          <w:noProof/>
          <w:sz w:val="22"/>
        </w:rPr>
      </w:pPr>
      <w:r>
        <w:rPr>
          <w:noProof/>
          <w:sz w:val="22"/>
        </w:rPr>
        <w:t xml:space="preserve">Európai Bírák Konzultatív Tanácsa (2007), </w:t>
      </w:r>
      <w:r>
        <w:rPr>
          <w:i/>
          <w:iCs/>
          <w:noProof/>
          <w:sz w:val="22"/>
        </w:rPr>
        <w:t>10. sz. vélemény.</w:t>
      </w:r>
    </w:p>
    <w:p>
      <w:pPr>
        <w:spacing w:after="120"/>
        <w:rPr>
          <w:rFonts w:eastAsia="Times New Roman" w:cs="Times New Roman"/>
          <w:noProof/>
          <w:sz w:val="22"/>
        </w:rPr>
      </w:pPr>
      <w:r>
        <w:rPr>
          <w:noProof/>
          <w:sz w:val="22"/>
        </w:rPr>
        <w:t xml:space="preserve">Európai Bírák Konzultatív Tanácsa (2016), </w:t>
      </w:r>
      <w:r>
        <w:rPr>
          <w:i/>
          <w:iCs/>
          <w:noProof/>
          <w:sz w:val="22"/>
        </w:rPr>
        <w:t>19. sz. vélemény.</w:t>
      </w:r>
    </w:p>
    <w:p>
      <w:pPr>
        <w:spacing w:after="120"/>
        <w:jc w:val="left"/>
        <w:rPr>
          <w:noProof/>
          <w:sz w:val="22"/>
        </w:rPr>
      </w:pPr>
      <w:r>
        <w:rPr>
          <w:noProof/>
          <w:sz w:val="22"/>
        </w:rPr>
        <w:t xml:space="preserve">Európai Bírák Konzultatív Tanácsának elnöksége (2020), </w:t>
      </w:r>
      <w:r>
        <w:rPr>
          <w:i/>
          <w:iCs/>
          <w:noProof/>
          <w:sz w:val="22"/>
        </w:rPr>
        <w:t>2020. december 9-i vélemény</w:t>
      </w:r>
      <w:r>
        <w:rPr>
          <w:noProof/>
          <w:sz w:val="22"/>
        </w:rPr>
        <w:t>, CCJE-BU(2020)3.</w:t>
      </w:r>
    </w:p>
    <w:p>
      <w:pPr>
        <w:spacing w:after="120"/>
        <w:rPr>
          <w:rFonts w:eastAsia="Times New Roman" w:cs="Times New Roman"/>
          <w:noProof/>
          <w:sz w:val="22"/>
        </w:rPr>
      </w:pPr>
      <w:r>
        <w:rPr>
          <w:noProof/>
          <w:sz w:val="22"/>
        </w:rPr>
        <w:t xml:space="preserve">Európai Bizottság (2020), </w:t>
      </w:r>
      <w:r>
        <w:rPr>
          <w:i/>
          <w:iCs/>
          <w:noProof/>
          <w:sz w:val="22"/>
        </w:rPr>
        <w:t>Jogállamisági jelentés, Országfejezet – A jogállamiság helyzete Szlovákiában</w:t>
      </w:r>
      <w:r>
        <w:rPr>
          <w:noProof/>
          <w:sz w:val="22"/>
        </w:rPr>
        <w:t xml:space="preserve">. </w:t>
      </w:r>
    </w:p>
    <w:p>
      <w:pPr>
        <w:spacing w:after="120"/>
        <w:rPr>
          <w:rFonts w:eastAsia="Times New Roman" w:cs="Times New Roman"/>
          <w:noProof/>
          <w:color w:val="0563C1"/>
          <w:sz w:val="22"/>
          <w:u w:val="single"/>
        </w:rPr>
      </w:pPr>
      <w:r>
        <w:rPr>
          <w:noProof/>
          <w:sz w:val="22"/>
        </w:rPr>
        <w:t>Európai Bizottság (2021), 03/2021. sz. sajtóközlemény, Az OLAF lezárja az uniós mezőgazdasági alapokkal kapcsolatos ügyeket Szlovákiában.</w:t>
      </w:r>
      <w:r>
        <w:rPr>
          <w:noProof/>
        </w:rPr>
        <w:t xml:space="preserve"> </w:t>
      </w:r>
      <w:hyperlink r:id="rId26" w:history="1">
        <w:r>
          <w:rPr>
            <w:rStyle w:val="Hyperlink"/>
            <w:noProof/>
            <w:sz w:val="22"/>
          </w:rPr>
          <w:t>https://ec.europa.eu/anti-fraud/media-corner/news/21-01-2021/olaf-closes-cases-eu-agricultural-funds-slovakia_en</w:t>
        </w:r>
      </w:hyperlink>
    </w:p>
    <w:p>
      <w:pPr>
        <w:spacing w:after="120"/>
        <w:rPr>
          <w:rFonts w:eastAsia="Times New Roman" w:cs="Times New Roman"/>
          <w:noProof/>
          <w:sz w:val="22"/>
        </w:rPr>
      </w:pPr>
      <w:r>
        <w:rPr>
          <w:noProof/>
          <w:sz w:val="22"/>
        </w:rPr>
        <w:t xml:space="preserve">Európai Bizottság (2021), </w:t>
      </w:r>
      <w:r>
        <w:rPr>
          <w:i/>
          <w:iCs/>
          <w:noProof/>
          <w:sz w:val="22"/>
        </w:rPr>
        <w:t>Uniós igazságügyi eredménytábla</w:t>
      </w:r>
      <w:r>
        <w:rPr>
          <w:noProof/>
          <w:sz w:val="22"/>
        </w:rPr>
        <w:t>.</w:t>
      </w:r>
    </w:p>
    <w:p>
      <w:pPr>
        <w:spacing w:after="120"/>
        <w:rPr>
          <w:rFonts w:eastAsia="Times New Roman" w:cs="Times New Roman"/>
          <w:noProof/>
          <w:sz w:val="22"/>
        </w:rPr>
      </w:pPr>
      <w:r>
        <w:rPr>
          <w:noProof/>
          <w:sz w:val="22"/>
        </w:rPr>
        <w:t xml:space="preserve">Európai Bizottság, az Igazságszolgáltatás Hatékonyságáért küzdő Európai Bizottság által végrehajtva (2017), </w:t>
      </w:r>
      <w:r>
        <w:rPr>
          <w:i/>
          <w:iCs/>
          <w:noProof/>
          <w:sz w:val="22"/>
        </w:rPr>
        <w:t>Efficiency and quality of the Slovak judicial system, Assessment and recommendations on the basis of CEPEJ tools (A szlovák igazságszolgáltatási rendszer hatékonysága és minősége. Értékelések és ajánlások a CEPEJ eszközei alapján)</w:t>
      </w:r>
      <w:r>
        <w:rPr>
          <w:noProof/>
          <w:sz w:val="22"/>
        </w:rPr>
        <w:t>, CEPEJ-COOP(2017)14.</w:t>
      </w:r>
    </w:p>
    <w:p>
      <w:pPr>
        <w:spacing w:after="120"/>
        <w:rPr>
          <w:rFonts w:eastAsia="Times New Roman" w:cs="Times New Roman"/>
          <w:noProof/>
          <w:sz w:val="22"/>
        </w:rPr>
      </w:pPr>
      <w:r>
        <w:rPr>
          <w:noProof/>
          <w:sz w:val="22"/>
        </w:rPr>
        <w:t xml:space="preserve">Európai Bizottság, az Igazságszolgáltatás Hatékonyságáért küzdő Európai Bizottság által végrehajtva (2020), </w:t>
      </w:r>
      <w:r>
        <w:rPr>
          <w:i/>
          <w:iCs/>
          <w:noProof/>
          <w:sz w:val="22"/>
        </w:rPr>
        <w:t>CEPEJ Experts’ review of the Judicial Map Reform in the Slovak Republic (A CEPEJ szakértői felülvizsgálata a Szlovák Köztársaság igazságügyi térképének reformjáról).</w:t>
      </w:r>
    </w:p>
    <w:p>
      <w:pPr>
        <w:spacing w:after="120"/>
        <w:rPr>
          <w:rFonts w:eastAsia="Times New Roman" w:cs="Times New Roman"/>
          <w:noProof/>
          <w:sz w:val="22"/>
        </w:rPr>
      </w:pPr>
      <w:r>
        <w:rPr>
          <w:noProof/>
          <w:sz w:val="22"/>
        </w:rPr>
        <w:t xml:space="preserve">Európai Bizottság, az Igazságszolgáltatás Hatékonyságáért küzdő Európai Bizottság által végrehajtva, </w:t>
      </w:r>
      <w:r>
        <w:rPr>
          <w:i/>
          <w:iCs/>
          <w:noProof/>
          <w:sz w:val="22"/>
        </w:rPr>
        <w:t>Éves tanulmány.</w:t>
      </w:r>
    </w:p>
    <w:p>
      <w:pPr>
        <w:spacing w:after="120"/>
        <w:rPr>
          <w:rFonts w:eastAsia="Times New Roman" w:cs="Times New Roman"/>
          <w:i/>
          <w:iCs/>
          <w:noProof/>
          <w:sz w:val="22"/>
        </w:rPr>
      </w:pPr>
      <w:r>
        <w:rPr>
          <w:noProof/>
          <w:sz w:val="22"/>
        </w:rPr>
        <w:t xml:space="preserve">Európai Szövetség a Szabadságjogokért (2021), </w:t>
      </w:r>
      <w:r>
        <w:rPr>
          <w:i/>
          <w:iCs/>
          <w:noProof/>
          <w:sz w:val="22"/>
        </w:rPr>
        <w:t>Hozzájárulás a 2021. évi jogállamisági jelentéshez.</w:t>
      </w:r>
    </w:p>
    <w:p>
      <w:pPr>
        <w:spacing w:after="120"/>
        <w:rPr>
          <w:rFonts w:eastAsia="Times New Roman" w:cs="Times New Roman"/>
          <w:noProof/>
          <w:sz w:val="22"/>
        </w:rPr>
      </w:pPr>
      <w:r>
        <w:rPr>
          <w:noProof/>
          <w:sz w:val="22"/>
        </w:rPr>
        <w:t xml:space="preserve">GRECO (2019), </w:t>
      </w:r>
      <w:r>
        <w:rPr>
          <w:i/>
          <w:iCs/>
          <w:noProof/>
          <w:sz w:val="22"/>
        </w:rPr>
        <w:t>Negyedik értékelési kör. A második megfelelőségi jelentés kiegészítése. Szlovák Köztársaság</w:t>
      </w:r>
      <w:r>
        <w:rPr>
          <w:noProof/>
          <w:sz w:val="22"/>
        </w:rPr>
        <w:t>.</w:t>
      </w:r>
    </w:p>
    <w:p>
      <w:pPr>
        <w:spacing w:after="120"/>
        <w:rPr>
          <w:rFonts w:eastAsia="Times New Roman" w:cs="Times New Roman"/>
          <w:noProof/>
          <w:sz w:val="22"/>
        </w:rPr>
      </w:pPr>
      <w:r>
        <w:rPr>
          <w:noProof/>
          <w:sz w:val="22"/>
        </w:rPr>
        <w:t xml:space="preserve">GRECO (2019), </w:t>
      </w:r>
      <w:r>
        <w:rPr>
          <w:i/>
          <w:iCs/>
          <w:noProof/>
          <w:sz w:val="22"/>
        </w:rPr>
        <w:t>Ötödik értékelési kör. Értékelő jelentés. Szlovák Köztársaság</w:t>
      </w:r>
      <w:r>
        <w:rPr>
          <w:noProof/>
          <w:sz w:val="22"/>
        </w:rPr>
        <w:t>.</w:t>
      </w:r>
    </w:p>
    <w:p>
      <w:pPr>
        <w:spacing w:after="120"/>
        <w:rPr>
          <w:rFonts w:eastAsia="Times New Roman" w:cs="Times New Roman"/>
          <w:i/>
          <w:iCs/>
          <w:noProof/>
          <w:sz w:val="22"/>
        </w:rPr>
      </w:pPr>
      <w:r>
        <w:rPr>
          <w:noProof/>
          <w:sz w:val="22"/>
        </w:rPr>
        <w:t xml:space="preserve">GRECO (2021), </w:t>
      </w:r>
      <w:r>
        <w:rPr>
          <w:i/>
          <w:iCs/>
          <w:noProof/>
          <w:sz w:val="22"/>
        </w:rPr>
        <w:t>Negyedik értékelési kör. A második megfelelőségi jelentés második kiegészítése. Szlovák Köztársaság</w:t>
      </w:r>
      <w:r>
        <w:rPr>
          <w:noProof/>
          <w:sz w:val="22"/>
        </w:rPr>
        <w:t>.</w:t>
      </w:r>
    </w:p>
    <w:p>
      <w:pPr>
        <w:spacing w:after="120"/>
        <w:rPr>
          <w:rFonts w:eastAsia="Times New Roman" w:cs="Times New Roman"/>
          <w:noProof/>
          <w:color w:val="0563C1"/>
          <w:sz w:val="22"/>
          <w:u w:val="single"/>
        </w:rPr>
      </w:pPr>
      <w:r>
        <w:rPr>
          <w:noProof/>
          <w:sz w:val="22"/>
        </w:rPr>
        <w:t xml:space="preserve">GRECO (2021), Slovakia: GRECO regrets slow progress in prevention corruption of parliamentarians, judges and prosecutors (A GRECO sajnálatát fejezi ki amiatt, hogy lassú előrelépés történt a parlamenti képviselők, bírák és ügyészek által elkövetett korrupció megelőzése terén) </w:t>
      </w:r>
      <w:hyperlink r:id="rId27" w:history="1">
        <w:r>
          <w:rPr>
            <w:rStyle w:val="Hyperlink"/>
            <w:noProof/>
            <w:sz w:val="22"/>
          </w:rPr>
          <w:t>https://www.coe.int/en/web/portal/-/slovakia-greco-regrets-slow-progress-in-preventing-corruption-of-parliamentarians-judges-and-prosecutors</w:t>
        </w:r>
      </w:hyperlink>
    </w:p>
    <w:p>
      <w:pPr>
        <w:spacing w:after="120" w:line="254" w:lineRule="auto"/>
        <w:rPr>
          <w:rFonts w:eastAsia="Times New Roman" w:cs="Times New Roman"/>
          <w:noProof/>
          <w:sz w:val="22"/>
        </w:rPr>
      </w:pPr>
      <w:r>
        <w:rPr>
          <w:noProof/>
          <w:sz w:val="22"/>
        </w:rPr>
        <w:t xml:space="preserve">Kommunikációs Főigazgatóság (2019), </w:t>
      </w:r>
      <w:r>
        <w:rPr>
          <w:i/>
          <w:iCs/>
          <w:noProof/>
          <w:sz w:val="22"/>
        </w:rPr>
        <w:t>482. sz. Eurobarométer gyorsfelmérés: a vállalkozások korrupcióhoz való hozzáállása az EU-ban.</w:t>
      </w:r>
    </w:p>
    <w:p>
      <w:pPr>
        <w:spacing w:after="120" w:line="254" w:lineRule="auto"/>
        <w:rPr>
          <w:rFonts w:eastAsia="Times New Roman" w:cs="Times New Roman"/>
          <w:noProof/>
          <w:sz w:val="22"/>
        </w:rPr>
      </w:pPr>
      <w:r>
        <w:rPr>
          <w:noProof/>
          <w:sz w:val="22"/>
        </w:rPr>
        <w:t xml:space="preserve">Kommunikációs Főigazgatóság (2020), </w:t>
      </w:r>
      <w:r>
        <w:rPr>
          <w:i/>
          <w:iCs/>
          <w:noProof/>
          <w:sz w:val="22"/>
        </w:rPr>
        <w:t>502. sz. Eurobarométer tematikus felmérés: korrupció.</w:t>
      </w:r>
    </w:p>
    <w:p>
      <w:pPr>
        <w:spacing w:after="120"/>
        <w:rPr>
          <w:rFonts w:eastAsia="Times New Roman" w:cs="Times New Roman"/>
          <w:noProof/>
          <w:sz w:val="22"/>
        </w:rPr>
      </w:pPr>
      <w:r>
        <w:rPr>
          <w:noProof/>
          <w:sz w:val="22"/>
        </w:rPr>
        <w:t xml:space="preserve">Nemzeti emberi jogi intézmények európai hálózata (European Network of National Human Rights Institutions – ENNRHI) (2021), </w:t>
      </w:r>
      <w:r>
        <w:rPr>
          <w:i/>
          <w:iCs/>
          <w:noProof/>
          <w:sz w:val="22"/>
        </w:rPr>
        <w:t>Hozzájárulás a 2021. évi jogállamisági jelentéshez.</w:t>
      </w:r>
    </w:p>
    <w:p>
      <w:pPr>
        <w:spacing w:after="120"/>
        <w:rPr>
          <w:rFonts w:eastAsia="Times New Roman" w:cs="Times New Roman"/>
          <w:noProof/>
          <w:sz w:val="22"/>
        </w:rPr>
      </w:pPr>
      <w:r>
        <w:rPr>
          <w:noProof/>
          <w:sz w:val="22"/>
        </w:rPr>
        <w:t xml:space="preserve">OECD (2012), </w:t>
      </w:r>
      <w:r>
        <w:rPr>
          <w:i/>
          <w:iCs/>
          <w:noProof/>
          <w:sz w:val="22"/>
        </w:rPr>
        <w:t>Az OECD megvesztegetés elleni egyezménye végrehajtása, 3. fázis: Szlovák Köztársaság.</w:t>
      </w:r>
    </w:p>
    <w:p>
      <w:pPr>
        <w:spacing w:after="120"/>
        <w:rPr>
          <w:rFonts w:eastAsia="Times New Roman" w:cs="Times New Roman"/>
          <w:noProof/>
          <w:sz w:val="22"/>
        </w:rPr>
      </w:pPr>
      <w:r>
        <w:rPr>
          <w:noProof/>
          <w:sz w:val="22"/>
        </w:rPr>
        <w:t xml:space="preserve">OECD (2014), </w:t>
      </w:r>
      <w:r>
        <w:rPr>
          <w:i/>
          <w:iCs/>
          <w:noProof/>
          <w:sz w:val="22"/>
        </w:rPr>
        <w:t>Az OECD megvesztegetés elleni egyezményének végrehajtása, a 3. fázis jelentésének és ajánlásainak nyomon követése: Szlovák Köztársaság.</w:t>
      </w:r>
    </w:p>
    <w:p>
      <w:pPr>
        <w:spacing w:after="120"/>
        <w:rPr>
          <w:rFonts w:eastAsia="Times New Roman" w:cs="Times New Roman"/>
          <w:noProof/>
          <w:sz w:val="22"/>
        </w:rPr>
      </w:pPr>
      <w:r>
        <w:rPr>
          <w:noProof/>
          <w:sz w:val="22"/>
        </w:rPr>
        <w:t xml:space="preserve">OECD (2017), </w:t>
      </w:r>
      <w:r>
        <w:rPr>
          <w:i/>
          <w:iCs/>
          <w:noProof/>
          <w:sz w:val="22"/>
        </w:rPr>
        <w:t>Az OECD megvesztegetés elleni egyezményének végrehajtása, az 1a. fázis jelentése: Szlovák Köztársaság.</w:t>
      </w:r>
    </w:p>
    <w:p>
      <w:pPr>
        <w:spacing w:after="120"/>
        <w:rPr>
          <w:rFonts w:eastAsia="Times New Roman" w:cs="Times New Roman"/>
          <w:noProof/>
          <w:sz w:val="22"/>
        </w:rPr>
      </w:pPr>
      <w:r>
        <w:rPr>
          <w:noProof/>
          <w:sz w:val="22"/>
        </w:rPr>
        <w:t>Szlovák Egészségügyi Minisztérium, ágazati korrupcióellenes program (</w:t>
      </w:r>
      <w:hyperlink r:id="rId28"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color w:val="0563C1"/>
          <w:sz w:val="22"/>
          <w:u w:val="single"/>
        </w:rPr>
      </w:pPr>
      <w:r>
        <w:rPr>
          <w:noProof/>
          <w:sz w:val="22"/>
        </w:rPr>
        <w:t xml:space="preserve">Szlovák Igazságügyi Minisztérium, </w:t>
      </w:r>
      <w:r>
        <w:rPr>
          <w:i/>
          <w:iCs/>
          <w:noProof/>
          <w:sz w:val="22"/>
        </w:rPr>
        <w:t>Az igazságügyi térkép reformjával kapcsolatos szövegezési folyamat ütemterve</w:t>
      </w:r>
      <w:r>
        <w:rPr>
          <w:noProof/>
          <w:sz w:val="22"/>
        </w:rPr>
        <w:t>.</w:t>
      </w:r>
      <w:r>
        <w:rPr>
          <w:noProof/>
        </w:rPr>
        <w:t xml:space="preserve"> </w:t>
      </w:r>
      <w:hyperlink r:id="rId29" w:history="1">
        <w:r>
          <w:rPr>
            <w:rStyle w:val="Hyperlink"/>
            <w:noProof/>
            <w:sz w:val="22"/>
          </w:rPr>
          <w:t>http://web.ac-mssr.sk/wp-content/uploads/2020/sudna_mapa/20210223_Casov%C3%A1_os_Sudna_mapa_v.2.pdf</w:t>
        </w:r>
      </w:hyperlink>
    </w:p>
    <w:p>
      <w:pPr>
        <w:spacing w:after="120"/>
        <w:rPr>
          <w:rFonts w:eastAsia="Times New Roman" w:cs="Times New Roman"/>
          <w:noProof/>
          <w:color w:val="0563C1"/>
          <w:sz w:val="22"/>
          <w:u w:val="single"/>
        </w:rPr>
      </w:pPr>
      <w:r>
        <w:rPr>
          <w:noProof/>
          <w:sz w:val="22"/>
        </w:rPr>
        <w:t xml:space="preserve">Szlovák Igazságügyi Minisztérium, Elemzőközpont (2020), </w:t>
      </w:r>
      <w:r>
        <w:rPr>
          <w:i/>
          <w:iCs/>
          <w:noProof/>
          <w:sz w:val="22"/>
        </w:rPr>
        <w:t>Az igazságügyi térkép reformja</w:t>
      </w:r>
      <w:r>
        <w:rPr>
          <w:noProof/>
          <w:sz w:val="22"/>
        </w:rPr>
        <w:t>.</w:t>
      </w:r>
      <w:r>
        <w:rPr>
          <w:noProof/>
        </w:rPr>
        <w:t xml:space="preserve"> </w:t>
      </w:r>
      <w:hyperlink r:id="rId30" w:history="1">
        <w:r>
          <w:rPr>
            <w:rStyle w:val="Hyperlink"/>
            <w:noProof/>
            <w:sz w:val="22"/>
          </w:rPr>
          <w:t>http://web.ac-mssr.sk/wp-content/uploads/2020/sudna_mapa/Reforma_sudnej_mapy_na_citanie.pdf</w:t>
        </w:r>
      </w:hyperlink>
    </w:p>
    <w:p>
      <w:pPr>
        <w:spacing w:after="120"/>
        <w:rPr>
          <w:rFonts w:eastAsia="Times New Roman" w:cs="Times New Roman"/>
          <w:noProof/>
          <w:color w:val="0563C1"/>
          <w:sz w:val="22"/>
          <w:u w:val="single"/>
        </w:rPr>
      </w:pPr>
      <w:r>
        <w:rPr>
          <w:noProof/>
          <w:sz w:val="22"/>
        </w:rPr>
        <w:t xml:space="preserve">Szlovák Igazságügyi Minisztérium, Elemzőközpont (2020), </w:t>
      </w:r>
      <w:r>
        <w:rPr>
          <w:i/>
          <w:iCs/>
          <w:noProof/>
          <w:sz w:val="22"/>
        </w:rPr>
        <w:t>Az új igazságügyi térkép elkészítésére vonatkozó ajánlások</w:t>
      </w:r>
      <w:r>
        <w:rPr>
          <w:noProof/>
          <w:sz w:val="22"/>
        </w:rPr>
        <w:t>.</w:t>
      </w:r>
      <w:r>
        <w:rPr>
          <w:noProof/>
        </w:rPr>
        <w:t xml:space="preserve"> </w:t>
      </w:r>
      <w:hyperlink r:id="rId31" w:history="1">
        <w:r>
          <w:rPr>
            <w:rStyle w:val="Hyperlink"/>
            <w:noProof/>
            <w:sz w:val="22"/>
          </w:rPr>
          <w:t>http://web.ac-mssr.sk/wp-content/uploads/2020/sudna_mapa/nova_sudna_mapa_3_0_final.pdf</w:t>
        </w:r>
      </w:hyperlink>
    </w:p>
    <w:p>
      <w:pPr>
        <w:spacing w:after="120"/>
        <w:rPr>
          <w:rFonts w:eastAsia="Times New Roman" w:cs="Times New Roman"/>
          <w:noProof/>
          <w:sz w:val="22"/>
        </w:rPr>
      </w:pPr>
      <w:r>
        <w:rPr>
          <w:noProof/>
          <w:sz w:val="22"/>
        </w:rPr>
        <w:t xml:space="preserve">Szlovák Igazságügyi Minisztérium, Elemzőközpont (2020), </w:t>
      </w:r>
      <w:r>
        <w:rPr>
          <w:i/>
          <w:iCs/>
          <w:noProof/>
          <w:sz w:val="22"/>
        </w:rPr>
        <w:t>Odporúčania pre tvorbu novej súdnej mapy</w:t>
      </w:r>
      <w:r>
        <w:rPr>
          <w:noProof/>
          <w:sz w:val="22"/>
        </w:rPr>
        <w:t xml:space="preserve">. </w:t>
      </w:r>
      <w:hyperlink r:id="rId32" w:history="1">
        <w:r>
          <w:rPr>
            <w:rStyle w:val="Hyperlink"/>
            <w:noProof/>
            <w:sz w:val="22"/>
          </w:rPr>
          <w:t>http://web.ac-mssr.sk/wp-content/uploads/2020/sudna_mapa/nova_sudna_mapa_3_0_final.pdf</w:t>
        </w:r>
      </w:hyperlink>
    </w:p>
    <w:p>
      <w:pPr>
        <w:spacing w:after="120"/>
        <w:rPr>
          <w:rFonts w:eastAsia="Times New Roman" w:cs="Times New Roman"/>
          <w:noProof/>
          <w:color w:val="0563C1"/>
          <w:sz w:val="22"/>
          <w:u w:val="single"/>
        </w:rPr>
      </w:pPr>
      <w:r>
        <w:rPr>
          <w:noProof/>
          <w:sz w:val="22"/>
        </w:rPr>
        <w:t xml:space="preserve">Szlovák kormány (2018), </w:t>
      </w:r>
      <w:r>
        <w:rPr>
          <w:i/>
          <w:iCs/>
          <w:noProof/>
          <w:sz w:val="22"/>
        </w:rPr>
        <w:t>A Szlovák Köztársaság 2019-2023-as időszakra vonatkozó korrupcióellenes politikája</w:t>
      </w:r>
      <w:r>
        <w:rPr>
          <w:noProof/>
          <w:sz w:val="22"/>
        </w:rPr>
        <w:t>.</w:t>
      </w:r>
      <w:r>
        <w:rPr>
          <w:noProof/>
        </w:rPr>
        <w:t xml:space="preserve"> </w:t>
      </w:r>
      <w:hyperlink r:id="rId33" w:history="1">
        <w:r>
          <w:rPr>
            <w:rStyle w:val="Hyperlink"/>
            <w:noProof/>
            <w:sz w:val="22"/>
          </w:rPr>
          <w:t>https://rokovania.gov.sk/download.dat?id=588DFBA123494910A70AF18737B85A81-034BF7E75BABC88FC3A419E44DED1345</w:t>
        </w:r>
      </w:hyperlink>
    </w:p>
    <w:p>
      <w:pPr>
        <w:spacing w:after="120"/>
        <w:rPr>
          <w:rFonts w:eastAsia="Times New Roman" w:cs="Times New Roman"/>
          <w:noProof/>
          <w:color w:val="0563C1"/>
          <w:sz w:val="22"/>
          <w:u w:val="single"/>
        </w:rPr>
      </w:pPr>
      <w:r>
        <w:rPr>
          <w:noProof/>
          <w:sz w:val="22"/>
        </w:rPr>
        <w:t xml:space="preserve">Szlovák kormány (2019), </w:t>
      </w:r>
      <w:r>
        <w:rPr>
          <w:i/>
          <w:iCs/>
          <w:noProof/>
          <w:sz w:val="22"/>
        </w:rPr>
        <w:t>A Szlovák Köztársaság nemzeti korrupcióellenes programja</w:t>
      </w:r>
      <w:r>
        <w:rPr>
          <w:noProof/>
          <w:sz w:val="22"/>
        </w:rPr>
        <w:t>.</w:t>
      </w:r>
      <w:r>
        <w:rPr>
          <w:noProof/>
        </w:rPr>
        <w:t xml:space="preserve"> </w:t>
      </w:r>
      <w:hyperlink r:id="rId34" w:history="1">
        <w:r>
          <w:rPr>
            <w:rStyle w:val="Hyperlink"/>
            <w:noProof/>
            <w:sz w:val="22"/>
          </w:rPr>
          <w:t>https://rokovania.gov.sk/download.dat?id=F75436C4AF3C4D96AE93D60FD6BCA184-99C291B1BA87B0B9BF1E773CB8DA6BA0</w:t>
        </w:r>
      </w:hyperlink>
    </w:p>
    <w:p>
      <w:pPr>
        <w:spacing w:after="120"/>
        <w:rPr>
          <w:rFonts w:eastAsia="Times New Roman" w:cs="Times New Roman"/>
          <w:noProof/>
          <w:sz w:val="22"/>
        </w:rPr>
      </w:pPr>
      <w:r>
        <w:rPr>
          <w:noProof/>
          <w:sz w:val="22"/>
        </w:rPr>
        <w:t xml:space="preserve">Szlovák kormány (2020), </w:t>
      </w:r>
      <w:r>
        <w:rPr>
          <w:i/>
          <w:iCs/>
          <w:noProof/>
          <w:sz w:val="22"/>
        </w:rPr>
        <w:t>Éves jelentés az állampolgári jogok biztosának tevékenységeiről</w:t>
      </w:r>
      <w:r>
        <w:rPr>
          <w:noProof/>
          <w:sz w:val="22"/>
        </w:rPr>
        <w:t>.</w:t>
      </w:r>
      <w:r>
        <w:rPr>
          <w:noProof/>
        </w:rPr>
        <w:t xml:space="preserve"> </w:t>
      </w:r>
      <w:hyperlink r:id="rId35" w:history="1">
        <w:r>
          <w:rPr>
            <w:rStyle w:val="Hyperlink"/>
            <w:noProof/>
            <w:sz w:val="22"/>
          </w:rPr>
          <w:t>https://www.vop.gov.sk/files/VOP_VS20_SK_1.pdf</w:t>
        </w:r>
      </w:hyperlink>
    </w:p>
    <w:p>
      <w:pPr>
        <w:spacing w:after="120"/>
        <w:rPr>
          <w:rFonts w:eastAsia="Times New Roman" w:cs="Times New Roman"/>
          <w:noProof/>
          <w:color w:val="0563C1"/>
          <w:sz w:val="22"/>
          <w:u w:val="single"/>
        </w:rPr>
      </w:pPr>
      <w:r>
        <w:rPr>
          <w:noProof/>
          <w:color w:val="0563C1"/>
          <w:sz w:val="22"/>
          <w:u w:val="single"/>
        </w:rPr>
        <w:t>Szlovák kormány (2021), helyreállítási és rezilienciaépítési terv (</w:t>
      </w:r>
      <w:r>
        <w:rPr>
          <w:i/>
          <w:noProof/>
          <w:color w:val="0563C1"/>
          <w:sz w:val="22"/>
          <w:u w:val="single"/>
        </w:rPr>
        <w:t>Plán obnovy a odolnosti Slovenskej republiky</w:t>
      </w:r>
      <w:r>
        <w:rPr>
          <w:noProof/>
          <w:color w:val="0563C1"/>
          <w:sz w:val="22"/>
          <w:u w:val="single"/>
        </w:rPr>
        <w:t>) (https://www.planobnovy.sk/files/dokumenty/kompletny-plan_obnovy.pdf)</w:t>
      </w:r>
    </w:p>
    <w:p>
      <w:pPr>
        <w:spacing w:after="120"/>
        <w:rPr>
          <w:rFonts w:eastAsia="Times New Roman" w:cs="Times New Roman"/>
          <w:i/>
          <w:iCs/>
          <w:noProof/>
          <w:sz w:val="22"/>
        </w:rPr>
      </w:pPr>
      <w:r>
        <w:rPr>
          <w:noProof/>
          <w:sz w:val="22"/>
        </w:rPr>
        <w:t xml:space="preserve">Szlovák kormány (2021), </w:t>
      </w:r>
      <w:r>
        <w:rPr>
          <w:i/>
          <w:iCs/>
          <w:noProof/>
          <w:sz w:val="22"/>
        </w:rPr>
        <w:t>Szlovákia hozzájárulása a 2021. évi jogállamisági jelentéshez.</w:t>
      </w:r>
    </w:p>
    <w:p>
      <w:pPr>
        <w:spacing w:after="120"/>
        <w:rPr>
          <w:rFonts w:eastAsia="Times New Roman" w:cs="Times New Roman"/>
          <w:noProof/>
          <w:color w:val="0563C1"/>
          <w:sz w:val="22"/>
          <w:u w:val="single"/>
        </w:rPr>
      </w:pPr>
      <w:r>
        <w:rPr>
          <w:noProof/>
          <w:sz w:val="22"/>
        </w:rPr>
        <w:t xml:space="preserve">Szlovák kormány, </w:t>
      </w:r>
      <w:r>
        <w:rPr>
          <w:i/>
          <w:iCs/>
          <w:noProof/>
          <w:sz w:val="22"/>
        </w:rPr>
        <w:t>2020–2024-es programnyilatkozat</w:t>
      </w:r>
      <w:r>
        <w:rPr>
          <w:noProof/>
          <w:sz w:val="22"/>
        </w:rPr>
        <w:t>.</w:t>
      </w:r>
      <w:r>
        <w:rPr>
          <w:noProof/>
        </w:rPr>
        <w:t xml:space="preserve"> </w:t>
      </w:r>
      <w:hyperlink r:id="rId36" w:history="1">
        <w:r>
          <w:rPr>
            <w:rStyle w:val="Hyperlink"/>
            <w:noProof/>
            <w:sz w:val="22"/>
          </w:rPr>
          <w:t>https://www.mpsr.sk/programove-vyhlasenie-vlady-slovenskej-republiky-na-obdobie-rokov-2020-2024/800-17-800-15434/</w:t>
        </w:r>
      </w:hyperlink>
    </w:p>
    <w:p>
      <w:pPr>
        <w:spacing w:after="120"/>
        <w:rPr>
          <w:rFonts w:eastAsia="Times New Roman" w:cs="Times New Roman"/>
          <w:noProof/>
          <w:sz w:val="22"/>
        </w:rPr>
      </w:pPr>
      <w:r>
        <w:rPr>
          <w:noProof/>
          <w:sz w:val="22"/>
        </w:rPr>
        <w:t xml:space="preserve">Szlovák kormány, </w:t>
      </w:r>
      <w:r>
        <w:rPr>
          <w:i/>
          <w:iCs/>
          <w:noProof/>
          <w:sz w:val="22"/>
        </w:rPr>
        <w:t>2021–2024-es programnyilatkozat</w:t>
      </w:r>
      <w:r>
        <w:rPr>
          <w:noProof/>
          <w:sz w:val="22"/>
        </w:rPr>
        <w:t>.</w:t>
      </w:r>
      <w:r>
        <w:rPr>
          <w:noProof/>
        </w:rPr>
        <w:t xml:space="preserve"> </w:t>
      </w:r>
      <w:hyperlink r:id="rId37" w:history="1">
        <w:r>
          <w:rPr>
            <w:rStyle w:val="Hyperlink"/>
            <w:noProof/>
            <w:sz w:val="22"/>
          </w:rPr>
          <w:t>https://www.nrsr.sk/web/Dynamic/DocumentPreview.aspx?DocID=494677</w:t>
        </w:r>
      </w:hyperlink>
    </w:p>
    <w:p>
      <w:pPr>
        <w:spacing w:after="120"/>
        <w:rPr>
          <w:rFonts w:eastAsia="Times New Roman" w:cs="Times New Roman"/>
          <w:noProof/>
          <w:color w:val="0563C1"/>
          <w:sz w:val="22"/>
          <w:u w:val="single"/>
        </w:rPr>
      </w:pPr>
      <w:r>
        <w:rPr>
          <w:noProof/>
          <w:sz w:val="22"/>
        </w:rPr>
        <w:t xml:space="preserve">Szlovák kormány, </w:t>
      </w:r>
      <w:r>
        <w:rPr>
          <w:i/>
          <w:iCs/>
          <w:noProof/>
          <w:sz w:val="22"/>
        </w:rPr>
        <w:t>A Szlovák Köztársaság kormányának 2021.évi jogalkotási feladatterve</w:t>
      </w:r>
      <w:r>
        <w:rPr>
          <w:noProof/>
        </w:rPr>
        <w:t xml:space="preserve">. </w:t>
      </w:r>
      <w:hyperlink r:id="rId38"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p>
    <w:p>
      <w:pPr>
        <w:spacing w:after="120"/>
        <w:rPr>
          <w:rFonts w:eastAsia="Times New Roman" w:cs="Times New Roman"/>
          <w:noProof/>
          <w:color w:val="0563C1"/>
          <w:sz w:val="22"/>
          <w:u w:val="single"/>
        </w:rPr>
      </w:pPr>
      <w:r>
        <w:rPr>
          <w:noProof/>
          <w:sz w:val="22"/>
        </w:rPr>
        <w:t xml:space="preserve">Szlovák Nemzeti Emberi Jogi Központ (2019), </w:t>
      </w:r>
      <w:r>
        <w:rPr>
          <w:i/>
          <w:iCs/>
          <w:noProof/>
          <w:sz w:val="22"/>
        </w:rPr>
        <w:t>Éves jelentés az emberi jogok tiszteletben tartásáról</w:t>
      </w:r>
      <w:r>
        <w:rPr>
          <w:noProof/>
          <w:sz w:val="22"/>
        </w:rPr>
        <w:t>.</w:t>
      </w:r>
      <w:r>
        <w:rPr>
          <w:noProof/>
        </w:rPr>
        <w:t xml:space="preserve"> </w:t>
      </w:r>
      <w:hyperlink r:id="rId39" w:history="1">
        <w:r>
          <w:rPr>
            <w:rStyle w:val="Hyperlink"/>
            <w:noProof/>
            <w:sz w:val="22"/>
          </w:rPr>
          <w:t>http://www.snslp.sk/wp-content/uploads/Sprava-o-LP-v-SR-za-rok-2020-.pdf</w:t>
        </w:r>
      </w:hyperlink>
    </w:p>
    <w:p>
      <w:pPr>
        <w:spacing w:after="120"/>
        <w:rPr>
          <w:rFonts w:eastAsia="Times New Roman" w:cs="Times New Roman"/>
          <w:noProof/>
          <w:color w:val="0563C1"/>
          <w:sz w:val="22"/>
          <w:u w:val="single"/>
        </w:rPr>
      </w:pPr>
      <w:r>
        <w:rPr>
          <w:noProof/>
          <w:sz w:val="22"/>
        </w:rPr>
        <w:t xml:space="preserve">Szlovák Regionális Fejlesztési Minisztérium (2020), sajtóközlemény, </w:t>
      </w:r>
      <w:r>
        <w:rPr>
          <w:i/>
          <w:noProof/>
          <w:sz w:val="22"/>
        </w:rPr>
        <w:t>Remišová miniszterelnök-helyettes: 1,1 millió euró a Covid19 elleni harcban részt vevő nem kormányzati szervezeteknek nyújtott segítségre (Vicepremiérka Remišová: 1,1 milióna eur na pomoc mimovládnym organizáciám v boji s COVID–19</w:t>
      </w:r>
      <w:r>
        <w:rPr>
          <w:noProof/>
          <w:sz w:val="22"/>
        </w:rPr>
        <w:t xml:space="preserve">) </w:t>
      </w:r>
      <w:hyperlink r:id="rId40" w:history="1">
        <w:r>
          <w:rPr>
            <w:rStyle w:val="Hyperlink"/>
            <w:noProof/>
            <w:sz w:val="22"/>
          </w:rPr>
          <w:t>https://www.mirri.gov.sk/aktuality/podpredsednicka-vlady/vicepremierka-remisova-11-miliona-eur-na-pomoc-mimovladnym-organizaciam-v-boji-s-covid-19/</w:t>
        </w:r>
      </w:hyperlink>
    </w:p>
    <w:p>
      <w:pPr>
        <w:spacing w:after="120"/>
        <w:rPr>
          <w:rFonts w:eastAsia="Times New Roman" w:cs="Times New Roman"/>
          <w:noProof/>
          <w:sz w:val="22"/>
        </w:rPr>
      </w:pPr>
      <w:r>
        <w:rPr>
          <w:noProof/>
          <w:sz w:val="22"/>
        </w:rPr>
        <w:t xml:space="preserve">Szlovák ügyvédek, </w:t>
      </w:r>
      <w:r>
        <w:rPr>
          <w:i/>
          <w:iCs/>
          <w:noProof/>
          <w:sz w:val="22"/>
        </w:rPr>
        <w:t>Nyílt felhívás és hozzájárulás a 2021. évi jogállamisági jelentéshez</w:t>
      </w:r>
      <w:r>
        <w:rPr>
          <w:noProof/>
          <w:sz w:val="22"/>
        </w:rPr>
        <w:t xml:space="preserve">. </w:t>
      </w:r>
      <w:hyperlink r:id="rId41" w:history="1">
        <w:r>
          <w:rPr>
            <w:rStyle w:val="Hyperlink"/>
            <w:noProof/>
            <w:sz w:val="22"/>
          </w:rPr>
          <w:t>https://pravnystat.eu/en/</w:t>
        </w:r>
      </w:hyperlink>
    </w:p>
    <w:p>
      <w:pPr>
        <w:spacing w:after="120"/>
        <w:rPr>
          <w:rFonts w:eastAsia="Times New Roman" w:cs="Times New Roman"/>
          <w:noProof/>
          <w:color w:val="0563C1"/>
          <w:sz w:val="22"/>
          <w:u w:val="single"/>
        </w:rPr>
      </w:pPr>
      <w:r>
        <w:rPr>
          <w:noProof/>
          <w:sz w:val="22"/>
        </w:rPr>
        <w:t xml:space="preserve">Szlovák ügyvédi kamara (2021), 2021. március 23-i sajtóközlemény. </w:t>
      </w:r>
      <w:r>
        <w:rPr>
          <w:i/>
          <w:iCs/>
          <w:noProof/>
          <w:sz w:val="22"/>
        </w:rPr>
        <w:t>A szlovák ügyvédi kamara elnöke meglátogatta a börtön- és igazságügyi őrség új főigazgatóját</w:t>
      </w:r>
      <w:r>
        <w:rPr>
          <w:noProof/>
          <w:sz w:val="22"/>
        </w:rPr>
        <w:t xml:space="preserve"> (</w:t>
      </w:r>
      <w:r>
        <w:rPr>
          <w:i/>
          <w:iCs/>
          <w:noProof/>
          <w:sz w:val="22"/>
        </w:rPr>
        <w:t>Predseda SAK navštívil nového generálneho riaditeľa Zboru väzenskej a justičnej stráže</w:t>
      </w:r>
      <w:r>
        <w:rPr>
          <w:noProof/>
          <w:sz w:val="22"/>
        </w:rPr>
        <w:t>).</w:t>
      </w:r>
      <w:r>
        <w:rPr>
          <w:noProof/>
        </w:rPr>
        <w:t xml:space="preserve"> </w:t>
      </w:r>
      <w:hyperlink r:id="rId42" w:history="1">
        <w:r>
          <w:rPr>
            <w:rStyle w:val="Hyperlink"/>
            <w:noProof/>
            <w:sz w:val="22"/>
          </w:rPr>
          <w:t>https://www.sak.sk/web/sk/cms/news/form/list/form/row/596497/_event</w:t>
        </w:r>
      </w:hyperlink>
    </w:p>
    <w:p>
      <w:pPr>
        <w:spacing w:after="120"/>
        <w:rPr>
          <w:rFonts w:eastAsia="Times New Roman" w:cs="Times New Roman"/>
          <w:noProof/>
          <w:sz w:val="22"/>
        </w:rPr>
      </w:pPr>
      <w:r>
        <w:rPr>
          <w:noProof/>
          <w:sz w:val="22"/>
        </w:rPr>
        <w:t>Szlovák ügyvédi kamara (2021), Hozzájárulás a 2021. évi jogállamisági jelentéshez.</w:t>
      </w:r>
    </w:p>
    <w:p>
      <w:pPr>
        <w:spacing w:after="120"/>
        <w:rPr>
          <w:rFonts w:eastAsia="Times New Roman" w:cs="Times New Roman"/>
          <w:noProof/>
          <w:sz w:val="22"/>
        </w:rPr>
      </w:pPr>
      <w:r>
        <w:rPr>
          <w:noProof/>
          <w:sz w:val="22"/>
        </w:rPr>
        <w:t xml:space="preserve">Transparency International (2020), </w:t>
      </w:r>
      <w:r>
        <w:rPr>
          <w:i/>
          <w:iCs/>
          <w:noProof/>
          <w:sz w:val="22"/>
        </w:rPr>
        <w:t>Exporting corruption (A korrupció exportálása).</w:t>
      </w:r>
      <w:r>
        <w:rPr>
          <w:noProof/>
          <w:sz w:val="22"/>
        </w:rPr>
        <w:t xml:space="preserve"> </w:t>
      </w:r>
    </w:p>
    <w:p>
      <w:pPr>
        <w:spacing w:after="120"/>
        <w:rPr>
          <w:rFonts w:eastAsia="Times New Roman" w:cs="Times New Roman"/>
          <w:noProof/>
          <w:sz w:val="22"/>
        </w:rPr>
      </w:pPr>
      <w:r>
        <w:rPr>
          <w:noProof/>
          <w:sz w:val="22"/>
        </w:rPr>
        <w:t xml:space="preserve">Transparency International (2021), </w:t>
      </w:r>
      <w:r>
        <w:rPr>
          <w:i/>
          <w:iCs/>
          <w:noProof/>
          <w:sz w:val="22"/>
        </w:rPr>
        <w:t>2020. évi korrupcióérzékelési index.</w:t>
      </w:r>
      <w:r>
        <w:rPr>
          <w:noProof/>
          <w:sz w:val="22"/>
        </w:rPr>
        <w:t xml:space="preserve"> </w:t>
      </w:r>
    </w:p>
    <w:p>
      <w:pPr>
        <w:spacing w:after="120"/>
        <w:rPr>
          <w:rFonts w:eastAsia="Times New Roman" w:cs="Times New Roman"/>
          <w:noProof/>
          <w:sz w:val="22"/>
        </w:rPr>
      </w:pPr>
      <w:r>
        <w:rPr>
          <w:noProof/>
          <w:sz w:val="22"/>
        </w:rPr>
        <w:t xml:space="preserve">UNCAC, </w:t>
      </w:r>
      <w:r>
        <w:rPr>
          <w:i/>
          <w:iCs/>
          <w:noProof/>
          <w:sz w:val="22"/>
        </w:rPr>
        <w:t xml:space="preserve">Végrehajtási felülvizsgálat – 1. ciklus (2010–2015), országspecifikus véleményezési jelentés, Szlovák Köztársaság. </w:t>
      </w:r>
      <w:hyperlink r:id="rId43" w:history="1">
        <w:r>
          <w:rPr>
            <w:rStyle w:val="Hyperlink"/>
            <w:noProof/>
            <w:sz w:val="22"/>
          </w:rPr>
          <w:t>https://www.unodc.org/documents/treaties/UNCAC/CountryVisitFinalReports/2013_07_11_Slovakia_Final_Country_Report.pdf</w:t>
        </w:r>
      </w:hyperlink>
    </w:p>
    <w:p>
      <w:pPr>
        <w:pageBreakBefore/>
        <w:spacing w:after="120" w:line="264" w:lineRule="auto"/>
        <w:rPr>
          <w:rFonts w:eastAsia="Times New Roman" w:cs="Times New Roman"/>
          <w:b/>
          <w:bCs/>
          <w:noProof/>
          <w:sz w:val="22"/>
        </w:rPr>
      </w:pPr>
      <w:r>
        <w:rPr>
          <w:b/>
          <w:bCs/>
          <w:noProof/>
          <w:sz w:val="22"/>
        </w:rPr>
        <w:t>II. melléklet: Országlátogatás Szlovákiában</w:t>
      </w:r>
    </w:p>
    <w:p>
      <w:pPr>
        <w:spacing w:after="120" w:line="264" w:lineRule="auto"/>
        <w:rPr>
          <w:rFonts w:eastAsia="Times New Roman" w:cs="Times New Roman"/>
          <w:noProof/>
          <w:sz w:val="22"/>
          <w:szCs w:val="20"/>
          <w:shd w:val="clear" w:color="auto" w:fill="FFFFFF"/>
        </w:rPr>
      </w:pPr>
      <w:r>
        <w:rPr>
          <w:noProof/>
          <w:sz w:val="22"/>
          <w:szCs w:val="20"/>
        </w:rPr>
        <w:t>A Bizottság szolgálatai 2021 áprilisában virtuális találkozókat tartottak az alábbiakkal:</w:t>
      </w:r>
    </w:p>
    <w:p>
      <w:pPr>
        <w:numPr>
          <w:ilvl w:val="0"/>
          <w:numId w:val="2"/>
        </w:numPr>
        <w:spacing w:after="0" w:line="264" w:lineRule="auto"/>
        <w:rPr>
          <w:rFonts w:eastAsia="Times New Roman" w:cs="Times New Roman"/>
          <w:noProof/>
          <w:sz w:val="22"/>
          <w:szCs w:val="20"/>
        </w:rPr>
      </w:pPr>
      <w:r>
        <w:rPr>
          <w:noProof/>
          <w:sz w:val="22"/>
          <w:szCs w:val="20"/>
        </w:rPr>
        <w:t>Alapvető jogok biztosa</w:t>
      </w:r>
    </w:p>
    <w:p>
      <w:pPr>
        <w:numPr>
          <w:ilvl w:val="0"/>
          <w:numId w:val="2"/>
        </w:numPr>
        <w:spacing w:after="0" w:line="264" w:lineRule="auto"/>
        <w:rPr>
          <w:rFonts w:eastAsia="Times New Roman" w:cs="Times New Roman"/>
          <w:noProof/>
          <w:sz w:val="22"/>
          <w:szCs w:val="20"/>
        </w:rPr>
      </w:pPr>
      <w:r>
        <w:rPr>
          <w:noProof/>
          <w:sz w:val="22"/>
          <w:szCs w:val="20"/>
        </w:rPr>
        <w:t>Belügyminisztérium</w:t>
      </w:r>
    </w:p>
    <w:p>
      <w:pPr>
        <w:numPr>
          <w:ilvl w:val="0"/>
          <w:numId w:val="2"/>
        </w:numPr>
        <w:spacing w:after="0" w:line="264" w:lineRule="auto"/>
        <w:rPr>
          <w:rFonts w:eastAsia="Times New Roman" w:cs="Times New Roman"/>
          <w:noProof/>
          <w:sz w:val="22"/>
          <w:szCs w:val="20"/>
        </w:rPr>
      </w:pPr>
      <w:r>
        <w:rPr>
          <w:noProof/>
          <w:sz w:val="22"/>
          <w:szCs w:val="20"/>
        </w:rPr>
        <w:t>Bírák a Nyílt Igazságszolgáltatásért (Judges For Open Judiciary)</w:t>
      </w:r>
    </w:p>
    <w:p>
      <w:pPr>
        <w:numPr>
          <w:ilvl w:val="0"/>
          <w:numId w:val="2"/>
        </w:numPr>
        <w:spacing w:after="0" w:line="264" w:lineRule="auto"/>
        <w:rPr>
          <w:rFonts w:eastAsia="Times New Roman" w:cs="Times New Roman"/>
          <w:noProof/>
          <w:sz w:val="22"/>
          <w:szCs w:val="20"/>
        </w:rPr>
      </w:pPr>
      <w:r>
        <w:rPr>
          <w:noProof/>
          <w:sz w:val="22"/>
          <w:szCs w:val="20"/>
        </w:rPr>
        <w:t>Bírói szövetség (Association of Judges)</w:t>
      </w:r>
    </w:p>
    <w:p>
      <w:pPr>
        <w:numPr>
          <w:ilvl w:val="0"/>
          <w:numId w:val="2"/>
        </w:numPr>
        <w:spacing w:after="0" w:line="264" w:lineRule="auto"/>
        <w:rPr>
          <w:rFonts w:eastAsia="Times New Roman" w:cs="Times New Roman"/>
          <w:noProof/>
          <w:sz w:val="22"/>
          <w:szCs w:val="20"/>
        </w:rPr>
      </w:pPr>
      <w:r>
        <w:rPr>
          <w:noProof/>
          <w:sz w:val="22"/>
          <w:szCs w:val="20"/>
        </w:rPr>
        <w:t>Bírói Tanács</w:t>
      </w:r>
    </w:p>
    <w:p>
      <w:pPr>
        <w:numPr>
          <w:ilvl w:val="0"/>
          <w:numId w:val="2"/>
        </w:numPr>
        <w:spacing w:after="0" w:line="264" w:lineRule="auto"/>
        <w:rPr>
          <w:rFonts w:eastAsia="Times New Roman" w:cs="Times New Roman"/>
          <w:noProof/>
          <w:sz w:val="22"/>
          <w:szCs w:val="20"/>
        </w:rPr>
      </w:pPr>
      <w:r>
        <w:rPr>
          <w:noProof/>
          <w:sz w:val="22"/>
          <w:szCs w:val="20"/>
        </w:rPr>
        <w:t>Egészségügyi Minisztérium</w:t>
      </w:r>
    </w:p>
    <w:p>
      <w:pPr>
        <w:numPr>
          <w:ilvl w:val="0"/>
          <w:numId w:val="2"/>
        </w:numPr>
        <w:spacing w:after="0" w:line="264" w:lineRule="auto"/>
        <w:rPr>
          <w:rFonts w:eastAsia="Times New Roman" w:cs="Times New Roman"/>
          <w:noProof/>
          <w:sz w:val="22"/>
          <w:szCs w:val="20"/>
        </w:rPr>
      </w:pPr>
      <w:r>
        <w:rPr>
          <w:noProof/>
          <w:sz w:val="22"/>
          <w:szCs w:val="20"/>
        </w:rPr>
        <w:t>Emberi Jogi Liga</w:t>
      </w:r>
    </w:p>
    <w:p>
      <w:pPr>
        <w:numPr>
          <w:ilvl w:val="0"/>
          <w:numId w:val="2"/>
        </w:numPr>
        <w:spacing w:after="0" w:line="264" w:lineRule="auto"/>
        <w:rPr>
          <w:rFonts w:eastAsia="Times New Roman" w:cs="Times New Roman"/>
          <w:noProof/>
          <w:sz w:val="22"/>
          <w:szCs w:val="20"/>
        </w:rPr>
      </w:pPr>
      <w:r>
        <w:rPr>
          <w:noProof/>
          <w:sz w:val="22"/>
          <w:szCs w:val="20"/>
        </w:rPr>
        <w:t xml:space="preserve">Igazságügyi Minisztérium </w:t>
      </w:r>
    </w:p>
    <w:p>
      <w:pPr>
        <w:numPr>
          <w:ilvl w:val="0"/>
          <w:numId w:val="2"/>
        </w:numPr>
        <w:spacing w:after="0" w:line="264" w:lineRule="auto"/>
        <w:rPr>
          <w:rFonts w:eastAsia="Times New Roman" w:cs="Times New Roman"/>
          <w:noProof/>
          <w:sz w:val="22"/>
          <w:szCs w:val="20"/>
        </w:rPr>
      </w:pPr>
      <w:r>
        <w:rPr>
          <w:noProof/>
          <w:sz w:val="22"/>
          <w:szCs w:val="20"/>
        </w:rPr>
        <w:t>Kormányhivatal – Korrupciómegelőzési Osztály</w:t>
      </w:r>
    </w:p>
    <w:p>
      <w:pPr>
        <w:numPr>
          <w:ilvl w:val="0"/>
          <w:numId w:val="2"/>
        </w:numPr>
        <w:spacing w:after="0" w:line="264" w:lineRule="auto"/>
        <w:rPr>
          <w:rFonts w:eastAsia="Times New Roman" w:cs="Times New Roman"/>
          <w:noProof/>
          <w:sz w:val="22"/>
          <w:szCs w:val="20"/>
        </w:rPr>
      </w:pPr>
      <w:r>
        <w:rPr>
          <w:noProof/>
          <w:sz w:val="22"/>
          <w:szCs w:val="20"/>
        </w:rPr>
        <w:t>Kulturális Minisztérium</w:t>
      </w:r>
    </w:p>
    <w:p>
      <w:pPr>
        <w:numPr>
          <w:ilvl w:val="0"/>
          <w:numId w:val="2"/>
        </w:numPr>
        <w:spacing w:after="0" w:line="264" w:lineRule="auto"/>
        <w:rPr>
          <w:rFonts w:eastAsia="Times New Roman" w:cs="Times New Roman"/>
          <w:noProof/>
          <w:sz w:val="22"/>
          <w:szCs w:val="20"/>
        </w:rPr>
      </w:pPr>
      <w:r>
        <w:rPr>
          <w:noProof/>
          <w:sz w:val="22"/>
          <w:szCs w:val="20"/>
        </w:rPr>
        <w:t xml:space="preserve">Különleges Ügyészség </w:t>
      </w:r>
    </w:p>
    <w:p>
      <w:pPr>
        <w:numPr>
          <w:ilvl w:val="0"/>
          <w:numId w:val="2"/>
        </w:numPr>
        <w:spacing w:after="0" w:line="264" w:lineRule="auto"/>
        <w:rPr>
          <w:rFonts w:eastAsia="Times New Roman" w:cs="Times New Roman"/>
          <w:noProof/>
          <w:sz w:val="22"/>
          <w:szCs w:val="20"/>
        </w:rPr>
      </w:pPr>
      <w:r>
        <w:rPr>
          <w:noProof/>
          <w:sz w:val="22"/>
          <w:szCs w:val="20"/>
        </w:rPr>
        <w:t>Legfelsőbb Bíróság</w:t>
      </w:r>
    </w:p>
    <w:p>
      <w:pPr>
        <w:numPr>
          <w:ilvl w:val="0"/>
          <w:numId w:val="2"/>
        </w:numPr>
        <w:spacing w:after="0" w:line="264" w:lineRule="auto"/>
        <w:rPr>
          <w:rFonts w:eastAsia="Times New Roman" w:cs="Times New Roman"/>
          <w:noProof/>
          <w:sz w:val="22"/>
          <w:szCs w:val="20"/>
        </w:rPr>
      </w:pPr>
      <w:r>
        <w:rPr>
          <w:noProof/>
          <w:sz w:val="22"/>
          <w:szCs w:val="20"/>
        </w:rPr>
        <w:t xml:space="preserve">Legfőbb Ügyészség </w:t>
      </w:r>
    </w:p>
    <w:p>
      <w:pPr>
        <w:numPr>
          <w:ilvl w:val="0"/>
          <w:numId w:val="2"/>
        </w:numPr>
        <w:spacing w:after="0" w:line="264" w:lineRule="auto"/>
        <w:rPr>
          <w:rFonts w:eastAsia="Times New Roman" w:cs="Times New Roman"/>
          <w:noProof/>
          <w:sz w:val="22"/>
          <w:szCs w:val="20"/>
        </w:rPr>
      </w:pPr>
      <w:r>
        <w:rPr>
          <w:noProof/>
          <w:sz w:val="22"/>
          <w:szCs w:val="20"/>
        </w:rPr>
        <w:t>Nemzeti Emberi Jogi Központ</w:t>
      </w:r>
    </w:p>
    <w:p>
      <w:pPr>
        <w:numPr>
          <w:ilvl w:val="0"/>
          <w:numId w:val="2"/>
        </w:numPr>
        <w:spacing w:after="0" w:line="264" w:lineRule="auto"/>
        <w:rPr>
          <w:rFonts w:eastAsia="Times New Roman" w:cs="Times New Roman"/>
          <w:noProof/>
          <w:sz w:val="22"/>
          <w:szCs w:val="20"/>
        </w:rPr>
      </w:pPr>
      <w:r>
        <w:rPr>
          <w:noProof/>
          <w:sz w:val="22"/>
          <w:szCs w:val="20"/>
        </w:rPr>
        <w:t>Nemzeti Nyomozó Ügynökség</w:t>
      </w:r>
    </w:p>
    <w:p>
      <w:pPr>
        <w:numPr>
          <w:ilvl w:val="0"/>
          <w:numId w:val="2"/>
        </w:numPr>
        <w:spacing w:after="0" w:line="264" w:lineRule="auto"/>
        <w:rPr>
          <w:rFonts w:eastAsia="Times New Roman" w:cs="Times New Roman"/>
          <w:noProof/>
          <w:sz w:val="22"/>
          <w:szCs w:val="20"/>
        </w:rPr>
      </w:pPr>
      <w:r>
        <w:rPr>
          <w:noProof/>
          <w:sz w:val="22"/>
          <w:szCs w:val="20"/>
        </w:rPr>
        <w:t>Nyílt Kormányzati Együttműködés</w:t>
      </w:r>
    </w:p>
    <w:p>
      <w:pPr>
        <w:numPr>
          <w:ilvl w:val="0"/>
          <w:numId w:val="2"/>
        </w:numPr>
        <w:spacing w:after="0" w:line="264" w:lineRule="auto"/>
        <w:rPr>
          <w:rFonts w:eastAsia="Times New Roman" w:cs="Times New Roman"/>
          <w:noProof/>
          <w:sz w:val="22"/>
          <w:szCs w:val="20"/>
        </w:rPr>
      </w:pPr>
      <w:r>
        <w:rPr>
          <w:noProof/>
          <w:sz w:val="22"/>
          <w:szCs w:val="20"/>
        </w:rPr>
        <w:t>Szlovák Műsorszolgáltatási Tanács</w:t>
      </w:r>
    </w:p>
    <w:p>
      <w:pPr>
        <w:numPr>
          <w:ilvl w:val="0"/>
          <w:numId w:val="2"/>
        </w:numPr>
        <w:spacing w:after="0" w:line="264" w:lineRule="auto"/>
        <w:rPr>
          <w:rFonts w:eastAsia="Times New Roman" w:cs="Times New Roman"/>
          <w:noProof/>
          <w:sz w:val="22"/>
          <w:szCs w:val="20"/>
        </w:rPr>
      </w:pPr>
      <w:r>
        <w:rPr>
          <w:noProof/>
          <w:sz w:val="22"/>
          <w:szCs w:val="20"/>
        </w:rPr>
        <w:t>Szlovák ügyvédi kamara</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A Bizottság ezenkívül az alábbi szervezetekkel is találkozott számos horizontális megbeszélés során:</w:t>
      </w:r>
    </w:p>
    <w:p>
      <w:pPr>
        <w:pStyle w:val="ListParagraph"/>
        <w:numPr>
          <w:ilvl w:val="0"/>
          <w:numId w:val="9"/>
        </w:numPr>
        <w:spacing w:after="160" w:line="259" w:lineRule="auto"/>
        <w:jc w:val="left"/>
        <w:rPr>
          <w:rFonts w:cs="Times New Roman"/>
          <w:noProof/>
          <w:sz w:val="22"/>
        </w:rPr>
      </w:pPr>
      <w:r>
        <w:rPr>
          <w:noProof/>
          <w:sz w:val="22"/>
        </w:rPr>
        <w:t>A sajtó- és médiaszabadság európai központja</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Centre for Reproductive Rights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Society Europe</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Európai Civil Fórum</w:t>
      </w:r>
    </w:p>
    <w:p>
      <w:pPr>
        <w:pStyle w:val="ListParagraph"/>
        <w:numPr>
          <w:ilvl w:val="0"/>
          <w:numId w:val="9"/>
        </w:numPr>
        <w:spacing w:after="160" w:line="259" w:lineRule="auto"/>
        <w:jc w:val="left"/>
        <w:rPr>
          <w:rFonts w:cs="Times New Roman"/>
          <w:noProof/>
          <w:sz w:val="22"/>
        </w:rPr>
      </w:pPr>
      <w:r>
        <w:rPr>
          <w:noProof/>
          <w:sz w:val="22"/>
        </w:rPr>
        <w:t>Európai Egyházak Konferenciája</w:t>
      </w:r>
    </w:p>
    <w:p>
      <w:pPr>
        <w:pStyle w:val="ListParagraph"/>
        <w:numPr>
          <w:ilvl w:val="0"/>
          <w:numId w:val="9"/>
        </w:numPr>
        <w:spacing w:after="160" w:line="259" w:lineRule="auto"/>
        <w:jc w:val="left"/>
        <w:rPr>
          <w:rFonts w:cs="Times New Roman"/>
          <w:noProof/>
          <w:sz w:val="22"/>
        </w:rPr>
      </w:pPr>
      <w:r>
        <w:rPr>
          <w:noProof/>
          <w:sz w:val="22"/>
        </w:rPr>
        <w:t>Európai Ifjúsági Fórum</w:t>
      </w:r>
    </w:p>
    <w:p>
      <w:pPr>
        <w:pStyle w:val="ListParagraph"/>
        <w:numPr>
          <w:ilvl w:val="0"/>
          <w:numId w:val="9"/>
        </w:numPr>
        <w:spacing w:after="160" w:line="259" w:lineRule="auto"/>
        <w:jc w:val="left"/>
        <w:rPr>
          <w:rFonts w:cs="Times New Roman"/>
          <w:noProof/>
          <w:sz w:val="22"/>
        </w:rPr>
      </w:pPr>
      <w:r>
        <w:rPr>
          <w:noProof/>
          <w:sz w:val="22"/>
        </w:rPr>
        <w:t>Európai Nonprofit Jogi Központ</w:t>
      </w:r>
    </w:p>
    <w:p>
      <w:pPr>
        <w:pStyle w:val="ListParagraph"/>
        <w:numPr>
          <w:ilvl w:val="0"/>
          <w:numId w:val="9"/>
        </w:numPr>
        <w:spacing w:after="160" w:line="259" w:lineRule="auto"/>
        <w:jc w:val="left"/>
        <w:rPr>
          <w:rFonts w:cs="Times New Roman"/>
          <w:noProof/>
          <w:sz w:val="22"/>
        </w:rPr>
      </w:pPr>
      <w:r>
        <w:rPr>
          <w:noProof/>
          <w:sz w:val="22"/>
        </w:rPr>
        <w:t>Európai Szövetség a Szabadságjogokért</w:t>
      </w:r>
    </w:p>
    <w:p>
      <w:pPr>
        <w:pStyle w:val="ListParagraph"/>
        <w:numPr>
          <w:ilvl w:val="0"/>
          <w:numId w:val="9"/>
        </w:numPr>
        <w:spacing w:after="160" w:line="259" w:lineRule="auto"/>
        <w:jc w:val="left"/>
        <w:rPr>
          <w:rFonts w:cs="Times New Roman"/>
          <w:noProof/>
          <w:sz w:val="22"/>
        </w:rPr>
      </w:pPr>
      <w:r>
        <w:rPr>
          <w:noProof/>
          <w:sz w:val="22"/>
        </w:rPr>
        <w:t>Európai Újságíró Szövetség</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Holland Helsinki Bizottság </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International Planned Parenthood Federation European Network (IPPF EN)</w:t>
      </w:r>
    </w:p>
    <w:p>
      <w:pPr>
        <w:pStyle w:val="ListParagraph"/>
        <w:numPr>
          <w:ilvl w:val="0"/>
          <w:numId w:val="9"/>
        </w:numPr>
        <w:spacing w:after="160" w:line="259" w:lineRule="auto"/>
        <w:jc w:val="left"/>
        <w:rPr>
          <w:rFonts w:cs="Times New Roman"/>
          <w:noProof/>
          <w:sz w:val="22"/>
        </w:rPr>
      </w:pPr>
      <w:r>
        <w:rPr>
          <w:noProof/>
          <w:sz w:val="22"/>
        </w:rPr>
        <w:t>Nemzetközi Emberi Jogi Föderáció</w:t>
      </w:r>
    </w:p>
    <w:p>
      <w:pPr>
        <w:pStyle w:val="ListParagraph"/>
        <w:numPr>
          <w:ilvl w:val="0"/>
          <w:numId w:val="9"/>
        </w:numPr>
        <w:spacing w:after="160" w:line="259" w:lineRule="auto"/>
        <w:jc w:val="left"/>
        <w:rPr>
          <w:rFonts w:cs="Times New Roman"/>
          <w:noProof/>
          <w:sz w:val="22"/>
        </w:rPr>
      </w:pPr>
      <w:r>
        <w:rPr>
          <w:noProof/>
          <w:sz w:val="22"/>
        </w:rPr>
        <w:t>Nemzetközi Jogászbizottság</w:t>
      </w:r>
    </w:p>
    <w:p>
      <w:pPr>
        <w:pStyle w:val="ListParagraph"/>
        <w:numPr>
          <w:ilvl w:val="0"/>
          <w:numId w:val="9"/>
        </w:numPr>
        <w:spacing w:after="160" w:line="259" w:lineRule="auto"/>
        <w:jc w:val="left"/>
        <w:rPr>
          <w:rFonts w:cs="Times New Roman"/>
          <w:noProof/>
          <w:sz w:val="22"/>
        </w:rPr>
      </w:pPr>
      <w:r>
        <w:rPr>
          <w:noProof/>
          <w:sz w:val="22"/>
        </w:rPr>
        <w:t>Nemzetközi Sajtóintézet</w:t>
      </w:r>
    </w:p>
    <w:p>
      <w:pPr>
        <w:pStyle w:val="ListParagraph"/>
        <w:numPr>
          <w:ilvl w:val="0"/>
          <w:numId w:val="9"/>
        </w:numPr>
        <w:spacing w:after="160" w:line="259" w:lineRule="auto"/>
        <w:jc w:val="left"/>
        <w:rPr>
          <w:rFonts w:cs="Times New Roman"/>
          <w:noProof/>
          <w:sz w:val="22"/>
        </w:rPr>
      </w:pPr>
      <w:r>
        <w:rPr>
          <w:noProof/>
          <w:sz w:val="22"/>
        </w:rPr>
        <w:t>Nyílt Társadalom Európai Politikai Intézet</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Riporterek Határok Nélkül</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A bírósági szervezet leírása megtalálható pl. az Igazságszolgáltatás Hatékonyságáért küzdő Európai Bizottság (CEPEJ) által az Európai Bizottságnak készített éves tanulmányban.</w:t>
      </w:r>
    </w:p>
  </w:footnote>
  <w:footnote w:id="3">
    <w:p>
      <w:pPr>
        <w:pStyle w:val="FootnoteText"/>
        <w:rPr>
          <w:rFonts w:cs="Times New Roman"/>
        </w:rPr>
      </w:pPr>
      <w:r>
        <w:rPr>
          <w:rStyle w:val="FootnoteReference"/>
          <w:rFonts w:cs="Times New Roman"/>
        </w:rPr>
        <w:footnoteRef/>
      </w:r>
      <w:r>
        <w:t xml:space="preserve"> </w:t>
      </w:r>
      <w:r>
        <w:tab/>
        <w:t>Szlovákia büntetőeljárási törvénykönyvének 14. bekezdése (pl. előre megfontolt szándékkal elkövetett emberölés, korrupció, terrorizmus, szervezett bűnözés, súlyos gazdasági bűncselekmények, az EU pénzügyi érdekeinek sérelme, stb.).</w:t>
      </w:r>
    </w:p>
  </w:footnote>
  <w:footnote w:id="4">
    <w:p>
      <w:pPr>
        <w:pStyle w:val="FootnoteText"/>
        <w:rPr>
          <w:rFonts w:cs="Times New Roman"/>
        </w:rPr>
      </w:pPr>
      <w:r>
        <w:rPr>
          <w:rStyle w:val="FootnoteReference"/>
          <w:rFonts w:cs="Times New Roman"/>
        </w:rPr>
        <w:footnoteRef/>
      </w:r>
      <w:r>
        <w:t xml:space="preserve"> </w:t>
      </w:r>
      <w:r>
        <w:tab/>
        <w:t>A Szlovák Alkotmány 141a. cikke.</w:t>
      </w:r>
    </w:p>
  </w:footnote>
  <w:footnote w:id="5">
    <w:p>
      <w:pPr>
        <w:pStyle w:val="FootnoteText"/>
        <w:rPr>
          <w:rFonts w:cs="Times New Roman"/>
        </w:rPr>
      </w:pPr>
      <w:r>
        <w:rPr>
          <w:rStyle w:val="FootnoteReference"/>
          <w:rFonts w:cs="Times New Roman"/>
        </w:rPr>
        <w:footnoteRef/>
      </w:r>
      <w:r>
        <w:t xml:space="preserve"> </w:t>
      </w:r>
      <w:r>
        <w:tab/>
        <w:t>A Szlovák Alkotmány 149–151. cikke; 153/2001. sz. törvény az ügyészségről.</w:t>
      </w:r>
    </w:p>
  </w:footnote>
  <w:footnote w:id="6">
    <w:p>
      <w:pPr>
        <w:pStyle w:val="FootnoteText"/>
        <w:rPr>
          <w:rFonts w:cs="Times New Roman"/>
        </w:rPr>
      </w:pPr>
      <w:r>
        <w:rPr>
          <w:rStyle w:val="FootnoteReference"/>
          <w:rFonts w:cs="Times New Roman"/>
        </w:rPr>
        <w:footnoteRef/>
      </w:r>
      <w:r>
        <w:t xml:space="preserve"> </w:t>
      </w:r>
      <w:r>
        <w:tab/>
        <w:t>2003. december 4-i 586/2003. számú törvény a jogi szakmáról, valamint az üzleti és önfoglalkoztatási szolgáltatásokról szóló 455/1991. számú törvény (vállalkozások engedélyezéséről szóló törvény) módosításáról.</w:t>
      </w:r>
    </w:p>
  </w:footnote>
  <w:footnote w:id="7">
    <w:p>
      <w:pPr>
        <w:pStyle w:val="FootnoteText"/>
      </w:pPr>
      <w:r>
        <w:rPr>
          <w:rStyle w:val="FootnoteReference"/>
        </w:rPr>
        <w:footnoteRef/>
      </w:r>
      <w:r>
        <w:t xml:space="preserve"> </w:t>
      </w:r>
      <w:r>
        <w:tab/>
        <w:t>2021. évi uniós igazságügyi eredménytábla, 50. ábra. Az eredménytábla a bírói függetlenség szintjét a következő kategóriákba sorolja: nagyon alacsony (a válaszadók kevesebb, mint 30 %-a véli úgy, hogy a bírói függetlenség szintje „meglehetősen jó” vagy „nagyon jó”); alacsony (30 % és 39 % között), átlagos (40 % és 59 % között), magas (60 % és 75 % között), nagyon magas (75 % felett).</w:t>
      </w:r>
    </w:p>
  </w:footnote>
  <w:footnote w:id="8">
    <w:p>
      <w:pPr>
        <w:pStyle w:val="FootnoteText"/>
      </w:pPr>
      <w:r>
        <w:rPr>
          <w:rStyle w:val="FootnoteReference"/>
        </w:rPr>
        <w:footnoteRef/>
      </w:r>
      <w:r>
        <w:t xml:space="preserve"> </w:t>
      </w:r>
      <w:r>
        <w:tab/>
        <w:t xml:space="preserve">2021. évi uniós igazságügyi eredménytábla, 49. ábra. </w:t>
      </w:r>
    </w:p>
  </w:footnote>
  <w:footnote w:id="9">
    <w:p>
      <w:pPr>
        <w:pStyle w:val="FootnoteText"/>
      </w:pPr>
      <w:r>
        <w:rPr>
          <w:rStyle w:val="FootnoteReference"/>
        </w:rPr>
        <w:footnoteRef/>
      </w:r>
      <w:r>
        <w:t xml:space="preserve"> </w:t>
      </w:r>
      <w:r>
        <w:tab/>
        <w:t>2020. évi jogállamisági jelentés, Országfejezet – A jogállamiság helyzete Szlovákiában, 2–3. oldal.</w:t>
      </w:r>
    </w:p>
  </w:footnote>
  <w:footnote w:id="10">
    <w:p>
      <w:pPr>
        <w:pStyle w:val="FootnoteText"/>
      </w:pPr>
      <w:r>
        <w:rPr>
          <w:rStyle w:val="FootnoteReference"/>
        </w:rPr>
        <w:footnoteRef/>
      </w:r>
      <w:r>
        <w:t xml:space="preserve"> </w:t>
      </w:r>
      <w:r>
        <w:tab/>
        <w:t xml:space="preserve">2021. évi uniós igazságügyi eredménytábla, 49. és 51. ábra. </w:t>
      </w:r>
    </w:p>
  </w:footnote>
  <w:footnote w:id="11">
    <w:p>
      <w:pPr>
        <w:pStyle w:val="FootnoteText"/>
      </w:pPr>
      <w:r>
        <w:rPr>
          <w:rStyle w:val="FootnoteReference"/>
        </w:rPr>
        <w:footnoteRef/>
      </w:r>
      <w:r>
        <w:t xml:space="preserve"> </w:t>
      </w:r>
      <w:r>
        <w:tab/>
        <w:t>2020. évi jogállamisági jelentés, Országfejezet – A jogállamiság helyzete Szlovákiában, 2. oldal.</w:t>
      </w:r>
    </w:p>
  </w:footnote>
  <w:footnote w:id="12">
    <w:p>
      <w:pPr>
        <w:pStyle w:val="FootnoteText"/>
      </w:pPr>
      <w:r>
        <w:rPr>
          <w:rStyle w:val="FootnoteReference"/>
        </w:rPr>
        <w:footnoteRef/>
      </w:r>
      <w:r>
        <w:t xml:space="preserve"> </w:t>
      </w:r>
      <w:r>
        <w:tab/>
        <w:t>2021 májusától. A Szlovák Bírói Tanács által szolgáltatott információk.</w:t>
      </w:r>
    </w:p>
  </w:footnote>
  <w:footnote w:id="13">
    <w:p>
      <w:pPr>
        <w:pStyle w:val="FootnoteText"/>
      </w:pPr>
      <w:r>
        <w:rPr>
          <w:rStyle w:val="FootnoteReference"/>
        </w:rPr>
        <w:footnoteRef/>
      </w:r>
      <w:r>
        <w:t xml:space="preserve"> </w:t>
      </w:r>
      <w:r>
        <w:tab/>
        <w:t xml:space="preserve">Ügyészek, rendőrtisztek és ügyvédek, ideértve magas rangú tisztviselőket is, mint például a rendőrség korábbi elnöke, a legfőbb ügyész, a különleges ügyész vagy az Igazságügyi Minisztérium korábbi államtitkára. </w:t>
      </w:r>
    </w:p>
  </w:footnote>
  <w:footnote w:id="14">
    <w:p>
      <w:pPr>
        <w:pStyle w:val="FootnoteText"/>
      </w:pPr>
      <w:r>
        <w:rPr>
          <w:rStyle w:val="FootnoteReference"/>
        </w:rPr>
        <w:footnoteRef/>
      </w:r>
      <w:r>
        <w:t xml:space="preserve"> </w:t>
      </w:r>
      <w:r>
        <w:tab/>
        <w:t>A szlovák hatóságok által szolgáltatott tájékoztatás.</w:t>
      </w:r>
    </w:p>
  </w:footnote>
  <w:footnote w:id="15">
    <w:p>
      <w:pPr>
        <w:pStyle w:val="FootnoteText"/>
      </w:pPr>
      <w:r>
        <w:rPr>
          <w:rStyle w:val="FootnoteReference"/>
        </w:rPr>
        <w:footnoteRef/>
      </w:r>
      <w:r>
        <w:t xml:space="preserve"> </w:t>
      </w:r>
      <w:r>
        <w:tab/>
        <w:t>A Tanács ajánlása (2020. május 20.) Szlovákia 2020. évi nemzeti reformprogramjáról, amelyben a Tanács véleményezi Szlovákia 2020. évi stabilitási programját, COM(2020) 525 final.</w:t>
      </w:r>
    </w:p>
  </w:footnote>
  <w:footnote w:id="16">
    <w:p>
      <w:pPr>
        <w:pStyle w:val="FootnoteText"/>
      </w:pPr>
      <w:r>
        <w:rPr>
          <w:rStyle w:val="FootnoteReference"/>
        </w:rPr>
        <w:footnoteRef/>
      </w:r>
      <w:r>
        <w:t xml:space="preserve"> </w:t>
      </w:r>
      <w:r>
        <w:tab/>
        <w:t>A Szlovák Köztársaság kormányának 2020–2024-es programnyilatkozata (2020. április 19.), 8. o.</w:t>
      </w:r>
    </w:p>
  </w:footnote>
  <w:footnote w:id="17">
    <w:p>
      <w:pPr>
        <w:pStyle w:val="FootnoteText"/>
      </w:pPr>
      <w:r>
        <w:rPr>
          <w:rStyle w:val="FootnoteReference"/>
        </w:rPr>
        <w:footnoteRef/>
      </w:r>
      <w:r>
        <w:t xml:space="preserve"> </w:t>
      </w:r>
      <w:r>
        <w:tab/>
        <w:t>2020. évi jogállamisági jelentés, Országfejezet – A jogállamiság helyzete Szlovákiában, 4. o.</w:t>
      </w:r>
    </w:p>
  </w:footnote>
  <w:footnote w:id="18">
    <w:p>
      <w:pPr>
        <w:pStyle w:val="FootnoteText"/>
      </w:pPr>
      <w:r>
        <w:rPr>
          <w:rStyle w:val="FootnoteReference"/>
        </w:rPr>
        <w:footnoteRef/>
      </w:r>
      <w:r>
        <w:t xml:space="preserve"> </w:t>
      </w:r>
      <w:r>
        <w:tab/>
        <w:t xml:space="preserve">A Via Iuris (Szövetség a Szabadságjogokért) hozzájárulása a 2021. évi jogállamisági jelentéshez, 3. o.; a Szlovákiában tett országlátogatás keretében kapott tájékoztatás. </w:t>
      </w:r>
    </w:p>
  </w:footnote>
  <w:footnote w:id="19">
    <w:p>
      <w:pPr>
        <w:pStyle w:val="FootnoteText"/>
      </w:pPr>
      <w:r>
        <w:rPr>
          <w:rStyle w:val="FootnoteReference"/>
        </w:rPr>
        <w:footnoteRef/>
      </w:r>
      <w:r>
        <w:t xml:space="preserve"> </w:t>
      </w:r>
      <w:r>
        <w:tab/>
        <w:t>A Via Iuris (Szövetség a Szabadságjogokért) hozzájárulása a 2021. évi jogállamisági jelentéshez, 3. o.; a Szlovákiában tett országlátogatás keretében kapott tájékoztatás.</w:t>
      </w:r>
    </w:p>
  </w:footnote>
  <w:footnote w:id="20">
    <w:p>
      <w:pPr>
        <w:pStyle w:val="FootnoteText"/>
      </w:pPr>
      <w:r>
        <w:rPr>
          <w:rStyle w:val="FootnoteReference"/>
        </w:rPr>
        <w:footnoteRef/>
      </w:r>
      <w:r>
        <w:t xml:space="preserve"> </w:t>
      </w:r>
      <w:r>
        <w:tab/>
        <w:t>2020. évi jogállamisági jelentés, Országfejezet – A jogállamiság helyzete Szlovákiában, 3. o.</w:t>
      </w:r>
    </w:p>
  </w:footnote>
  <w:footnote w:id="21">
    <w:p>
      <w:pPr>
        <w:pStyle w:val="FootnoteText"/>
      </w:pPr>
      <w:r>
        <w:rPr>
          <w:rStyle w:val="FootnoteReference"/>
        </w:rPr>
        <w:footnoteRef/>
      </w:r>
      <w:r>
        <w:t xml:space="preserve"> </w:t>
      </w:r>
      <w:r>
        <w:tab/>
        <w:t>A Tanács 18 tagból áll, akiknek fele a bírótársaik által megválasztott bírák. A kormány, a parlament és a köztársasági elnök továbbá három-három tagot választ. Ez az összetétel összhangban van az Európa Tanács Miniszteri Bizottságának CM/Rec(2010)12. sz. ajánlása 26–27. pontjával.</w:t>
      </w:r>
    </w:p>
  </w:footnote>
  <w:footnote w:id="22">
    <w:p>
      <w:pPr>
        <w:pStyle w:val="FootnoteText"/>
      </w:pPr>
      <w:r>
        <w:rPr>
          <w:rStyle w:val="FootnoteReference"/>
        </w:rPr>
        <w:footnoteRef/>
      </w:r>
      <w:r>
        <w:t xml:space="preserve"> </w:t>
      </w:r>
      <w:r>
        <w:tab/>
        <w:t>Az Európa Tanács Miniszteri Bizottságának CM/Rec(2010)12. számú ajánlása, 27. pont.</w:t>
      </w:r>
    </w:p>
  </w:footnote>
  <w:footnote w:id="23">
    <w:p>
      <w:pPr>
        <w:pStyle w:val="FootnoteText"/>
      </w:pPr>
      <w:r>
        <w:rPr>
          <w:rStyle w:val="FootnoteReference"/>
        </w:rPr>
        <w:footnoteRef/>
      </w:r>
      <w:r>
        <w:t xml:space="preserve"> </w:t>
      </w:r>
      <w:r>
        <w:tab/>
        <w:t xml:space="preserve">Nevezetesen, a módosítás a bírók vagyonnyilatkozatainak értékelésére vonatkozó hatáskört a Bírói Tanácsra ruházza. </w:t>
      </w:r>
    </w:p>
  </w:footnote>
  <w:footnote w:id="24">
    <w:p>
      <w:pPr>
        <w:pStyle w:val="FootnoteText"/>
      </w:pPr>
      <w:r>
        <w:rPr>
          <w:rStyle w:val="FootnoteReference"/>
        </w:rPr>
        <w:footnoteRef/>
      </w:r>
      <w:r>
        <w:t xml:space="preserve"> </w:t>
      </w:r>
      <w:r>
        <w:tab/>
        <w:t>A kinevezésre vonatkozó további információkért lásd a 20. lábjegyzetet. A 422/20. sz. alkotmánytörvény indokolása szerint (20. o.) e lehetőség már korábban is létezett az Alkotmányban és a módosítás kifejezetten megerősíti e lehetőség fennállását. Az Alkotmánybíróság azonban a 2018. szeptember 19-i PLz. ÚS 2/2018. sz. egységesítő véleményében ennek ellenkezőjét állapította meg.</w:t>
      </w:r>
    </w:p>
  </w:footnote>
  <w:footnote w:id="25">
    <w:p>
      <w:pPr>
        <w:pStyle w:val="FootnoteText"/>
      </w:pPr>
      <w:r>
        <w:rPr>
          <w:rStyle w:val="FootnoteReference"/>
        </w:rPr>
        <w:footnoteRef/>
      </w:r>
      <w:r>
        <w:t xml:space="preserve"> </w:t>
      </w:r>
      <w:r>
        <w:tab/>
        <w:t>A 422/20. sz. alkotmánytörvény indokolása, 24. o.</w:t>
      </w:r>
    </w:p>
  </w:footnote>
  <w:footnote w:id="26">
    <w:p>
      <w:pPr>
        <w:pStyle w:val="FootnoteText"/>
      </w:pPr>
      <w:r>
        <w:rPr>
          <w:rStyle w:val="FootnoteReference"/>
        </w:rPr>
        <w:footnoteRef/>
      </w:r>
      <w:r>
        <w:t xml:space="preserve"> </w:t>
      </w:r>
      <w:r>
        <w:tab/>
        <w:t>A szlovák kormány képviselőinek magyarázata szerint az Alkotmánybíróság állandó ítélkezési gyakorlatával összhangban a felmentés nem lehet diszkriminatív vagy önkényes; a 2020. évi jogállamisági jelentés nyomonkövetési találkozójának keretében kapott tájékoztatás.</w:t>
      </w:r>
    </w:p>
  </w:footnote>
  <w:footnote w:id="27">
    <w:p>
      <w:pPr>
        <w:pStyle w:val="FootnoteText"/>
      </w:pPr>
      <w:r>
        <w:rPr>
          <w:rStyle w:val="FootnoteReference"/>
        </w:rPr>
        <w:footnoteRef/>
      </w:r>
      <w:r>
        <w:t xml:space="preserve"> </w:t>
      </w:r>
      <w:r>
        <w:tab/>
        <w:t>A 2020. évi jogállamisági jelentés nyomonkövetési találkozójának keretében kapott tájékoztatás.</w:t>
      </w:r>
    </w:p>
  </w:footnote>
  <w:footnote w:id="28">
    <w:p>
      <w:pPr>
        <w:pStyle w:val="FootnoteText"/>
      </w:pPr>
      <w:r>
        <w:rPr>
          <w:rStyle w:val="FootnoteReference"/>
        </w:rPr>
        <w:footnoteRef/>
      </w:r>
      <w:r>
        <w:t xml:space="preserve"> </w:t>
      </w:r>
      <w:r>
        <w:tab/>
        <w:t xml:space="preserve">A szlovák ügyvédek </w:t>
      </w:r>
      <w:hyperlink r:id="rId1" w:history="1">
        <w:r>
          <w:rPr>
            <w:rStyle w:val="Hyperlink"/>
          </w:rPr>
          <w:t>https://pravnystat.eu/en/</w:t>
        </w:r>
      </w:hyperlink>
      <w:r>
        <w:t xml:space="preserve"> honlapon elérhető és az érdekelt felekkel a 2021. évi jogállamisági jelentésről folytatott konzultációhoz hozzájárulásként benyújtott nyílt felhívása. A rendelkezést az Alkotmánybíróság előtt megtámadták, és az ügy jelenleg is folyamatban van (414/2021. sz. akta). </w:t>
      </w:r>
    </w:p>
  </w:footnote>
  <w:footnote w:id="29">
    <w:p>
      <w:pPr>
        <w:pStyle w:val="FootnoteText"/>
      </w:pPr>
      <w:r>
        <w:rPr>
          <w:rStyle w:val="FootnoteReference"/>
        </w:rPr>
        <w:footnoteRef/>
      </w:r>
      <w:r>
        <w:t xml:space="preserve"> </w:t>
      </w:r>
      <w:r>
        <w:tab/>
        <w:t>Az Európai Bírák Konzultatív Tanácsának elnöksége által (CCJE) CCJE-BU(2020)3. számon, a szlovák CCJE-tag szlovák igazságszolgáltatási reformra vonatkozóan benyújtott kérelmét követően 2020. december 9-én kiadott véleményének 2–3. oldala szerint a Bírói Tanács tagjainak függetlenségét és külső nyomásgyakorlással szembeni védelmét biztosítani kell, ideértve különösen a határozott hivatali időre történő kinevezésük általi garanciát. Lásd továbbá: a CCJE 10. (2007) sz. véleményét, 36. o.; A Grúzia rendes bíróságairól szóló sarkalatos törvény módosítástervezeteiről megfogalmazott vélemény (CDL-AD(2013)007-e, 71. pont) szerint: „</w:t>
      </w:r>
      <w:r>
        <w:rPr>
          <w:i/>
          <w:iCs/>
        </w:rPr>
        <w:t>A Velencei Bizottság azon a véleményen van, hogy amikor a Parlament jogalkotói hatáskörét az igazságszolgáltatás jövőbeli szervezetének és működésének kialakítására használja, tartózkodnia kell az olyan intézkedések elfogadásától, amelyek veszélyeztetnék a Legfelsőbb Bírói Tanács tagságának folyamatosságát</w:t>
      </w:r>
      <w:r>
        <w:t>.” A szlovák Alkotmánybíróság hasonló következtetésekre jutott a 2018. szeptember 19-i, PLz. ÚS 2/2018. sz. ítéletének 12. pontjában.</w:t>
      </w:r>
    </w:p>
  </w:footnote>
  <w:footnote w:id="30">
    <w:p>
      <w:pPr>
        <w:pStyle w:val="FootnoteText"/>
      </w:pPr>
      <w:r>
        <w:rPr>
          <w:rStyle w:val="FootnoteReference"/>
        </w:rPr>
        <w:footnoteRef/>
      </w:r>
      <w:r>
        <w:t xml:space="preserve"> </w:t>
      </w:r>
      <w:r>
        <w:tab/>
        <w:t xml:space="preserve">Nem egyértelmű, hogy az Alkotmánybíróság a bírói függetlenség szempontjából milyen mértékben értékelhetné a felmentésről szóló határozatot. A 2020. évi jogállamisági jelentés nyomonkövetési találkozójának keretében kapott tájékoztatás. </w:t>
      </w:r>
    </w:p>
  </w:footnote>
  <w:footnote w:id="31">
    <w:p>
      <w:pPr>
        <w:pStyle w:val="FootnoteText"/>
      </w:pPr>
      <w:r>
        <w:rPr>
          <w:rStyle w:val="FootnoteReference"/>
        </w:rPr>
        <w:footnoteRef/>
      </w:r>
      <w:r>
        <w:t xml:space="preserve"> </w:t>
      </w:r>
      <w:r>
        <w:tab/>
        <w:t>A Bíróság a bírói kar tagjainak kinevezési eljárása tekintetében emlékeztetett arra, hogy az Igazságszolgáltatási Tanácsnak magának is kellő mértékben függetlennek kell lennie a törvényhozástól, a végrehajtó hatalomtól és a bírói pozícióra jelentkezők értékelésére vonatkozó vélemény benyújtására kötelezett hatóságtól ahhoz, hogy e folyamat objektívebbé tételéhez hozzá tudjon járulni. Lásd: az EUB 2021. április 20-i ítélete, Repubblika, C-896/19, 66. pont.</w:t>
      </w:r>
    </w:p>
  </w:footnote>
  <w:footnote w:id="32">
    <w:p>
      <w:pPr>
        <w:pStyle w:val="FootnoteText"/>
      </w:pPr>
      <w:r>
        <w:rPr>
          <w:rStyle w:val="FootnoteReference"/>
        </w:rPr>
        <w:footnoteRef/>
      </w:r>
      <w:r>
        <w:t xml:space="preserve"> </w:t>
      </w:r>
      <w:r>
        <w:tab/>
        <w:t>2020. évi jogállamisági jelentés, Országfejezet – A jogállamiság helyzete Szlovákiában, 4. o.</w:t>
      </w:r>
    </w:p>
  </w:footnote>
  <w:footnote w:id="33">
    <w:p>
      <w:pPr>
        <w:pStyle w:val="FootnoteText"/>
      </w:pPr>
      <w:r>
        <w:rPr>
          <w:rStyle w:val="FootnoteReference"/>
        </w:rPr>
        <w:footnoteRef/>
      </w:r>
      <w:r>
        <w:t xml:space="preserve"> </w:t>
      </w:r>
      <w:r>
        <w:tab/>
        <w:t xml:space="preserve">Egy átmeneti rendelkezés előírta, hogy az alkotmánymódosítás hatálybalépésekor (2021. január 1.) 67. életévüket betöltő bíráknak 2021. február 1-jéig kell nyugdíjba vonulniuk. A szlovák hatóságok megerősítették, hogy nem volt ilyen bíró és ezért a rendelkezést nem alkalmazták. </w:t>
      </w:r>
    </w:p>
  </w:footnote>
  <w:footnote w:id="34">
    <w:p>
      <w:pPr>
        <w:pStyle w:val="FootnoteText"/>
      </w:pPr>
      <w:r>
        <w:rPr>
          <w:rStyle w:val="FootnoteReference"/>
        </w:rPr>
        <w:footnoteRef/>
      </w:r>
      <w:r>
        <w:t xml:space="preserve"> </w:t>
      </w:r>
      <w:r>
        <w:tab/>
        <w:t>A vagyonelkobzásról és az elkobzott vagyontárgyak kezeléséről, valamint egyes törvények módosításáról szóló 312/2020. sz. törvény, amely 2021. január 1-jétől hatályos.</w:t>
      </w:r>
    </w:p>
  </w:footnote>
  <w:footnote w:id="35">
    <w:p>
      <w:pPr>
        <w:pStyle w:val="FootnoteText"/>
      </w:pPr>
      <w:r>
        <w:rPr>
          <w:rStyle w:val="FootnoteReference"/>
        </w:rPr>
        <w:footnoteRef/>
      </w:r>
      <w:r>
        <w:t xml:space="preserve"> </w:t>
      </w:r>
      <w:r>
        <w:tab/>
        <w:t>A rendelkezés a békebírókra is alkalmazandó.</w:t>
      </w:r>
    </w:p>
  </w:footnote>
  <w:footnote w:id="36">
    <w:p>
      <w:pPr>
        <w:pStyle w:val="FootnoteText"/>
      </w:pPr>
      <w:r>
        <w:rPr>
          <w:rStyle w:val="FootnoteReference"/>
        </w:rPr>
        <w:footnoteRef/>
      </w:r>
      <w:r>
        <w:t xml:space="preserve"> </w:t>
      </w:r>
      <w:r>
        <w:tab/>
        <w:t>Az Alkotmány 148. cikkének (4) bekezdése.</w:t>
      </w:r>
    </w:p>
  </w:footnote>
  <w:footnote w:id="37">
    <w:p>
      <w:pPr>
        <w:pStyle w:val="FootnoteText"/>
      </w:pPr>
      <w:r>
        <w:rPr>
          <w:rStyle w:val="FootnoteReference"/>
        </w:rPr>
        <w:footnoteRef/>
      </w:r>
      <w:r>
        <w:t xml:space="preserve"> </w:t>
      </w:r>
      <w:r>
        <w:tab/>
        <w:t>A büntető törvénykönyv 326a. cikke.</w:t>
      </w:r>
    </w:p>
  </w:footnote>
  <w:footnote w:id="38">
    <w:p>
      <w:pPr>
        <w:pStyle w:val="FootnoteText"/>
      </w:pPr>
      <w:r>
        <w:rPr>
          <w:rStyle w:val="FootnoteReference"/>
        </w:rPr>
        <w:footnoteRef/>
      </w:r>
      <w:r>
        <w:t xml:space="preserve"> </w:t>
      </w:r>
      <w:r>
        <w:tab/>
        <w:t>A rendelkezés a békebírókra és a választottbírókra is alkalmazandó.</w:t>
      </w:r>
    </w:p>
  </w:footnote>
  <w:footnote w:id="39">
    <w:p>
      <w:pPr>
        <w:pStyle w:val="FootnoteText"/>
      </w:pPr>
      <w:r>
        <w:rPr>
          <w:rStyle w:val="FootnoteReference"/>
        </w:rPr>
        <w:footnoteRef/>
      </w:r>
      <w:r>
        <w:t xml:space="preserve"> </w:t>
      </w:r>
      <w:r>
        <w:tab/>
        <w:t>További információkért lásd a Via Iuris (Szövetség a Szabadságjogokért) hozzájárulását a 2021. évi jogállamisági jelentéshez, 8. o.</w:t>
      </w:r>
    </w:p>
  </w:footnote>
  <w:footnote w:id="40">
    <w:p>
      <w:pPr>
        <w:pStyle w:val="FootnoteText"/>
      </w:pPr>
      <w:r>
        <w:rPr>
          <w:rStyle w:val="FootnoteReference"/>
        </w:rPr>
        <w:footnoteRef/>
      </w:r>
      <w:r>
        <w:t xml:space="preserve"> </w:t>
      </w:r>
      <w:r>
        <w:tab/>
        <w:t>A 312/2020. sz. törvény indokolása, 40. o.; a 2020. évi jogállamisági jelentés nyomonkövetési találkozójának keretében kapott tájékoztatás.</w:t>
      </w:r>
    </w:p>
  </w:footnote>
  <w:footnote w:id="41">
    <w:p>
      <w:pPr>
        <w:pStyle w:val="FootnoteText"/>
      </w:pPr>
      <w:r>
        <w:rPr>
          <w:rStyle w:val="FootnoteReference"/>
        </w:rPr>
        <w:footnoteRef/>
      </w:r>
      <w:r>
        <w:t xml:space="preserve"> </w:t>
      </w:r>
      <w:r>
        <w:tab/>
        <w:t>Úgy tűnik azonban, hogy e biztosíték csak 2024-ig marad érvényben, 423/2020. sz. törvény, III. és XXX. cikk.</w:t>
      </w:r>
    </w:p>
  </w:footnote>
  <w:footnote w:id="42">
    <w:p>
      <w:pPr>
        <w:pStyle w:val="FootnoteText"/>
      </w:pPr>
      <w:r>
        <w:rPr>
          <w:rStyle w:val="FootnoteReference"/>
        </w:rPr>
        <w:footnoteRef/>
      </w:r>
      <w:r>
        <w:t xml:space="preserve"> </w:t>
      </w:r>
      <w:r>
        <w:tab/>
        <w:t>A bíróságokról szóló 385/2000. sz. törvény 22. cikke. A 22a. cikk szerint a bírákat a Bírói Tanács határozatával ideiglenesen fel lehet függeszteni, amennyiben indokolt kétségek merülnek fel arra vonatkozóan, hogy adott bíró megfelel-e a bírói minősítéshez szükséges követelményeknek, vagy ha a bírói hatalom hitelessége vagy hírneve súlyos veszélybe kerülne. Az alkotmánymódosítás 2021 decemberi elfogadását követően a bírák őrizetbe vételéhez a továbbiakban nincs szükség az Alkotmánybíróság egyetértésére. További információkért lásd a Via Iuris (Szövetség a Szabadságjogokért) hozzájárulását a 2021. évi jogállamisági jelentéshez, 8. o.</w:t>
      </w:r>
    </w:p>
  </w:footnote>
  <w:footnote w:id="43">
    <w:p>
      <w:pPr>
        <w:pStyle w:val="FootnoteText"/>
      </w:pPr>
      <w:r>
        <w:rPr>
          <w:rStyle w:val="FootnoteReference"/>
        </w:rPr>
        <w:footnoteRef/>
      </w:r>
      <w:r>
        <w:t xml:space="preserve"> </w:t>
      </w:r>
      <w:r>
        <w:tab/>
        <w:t>Az Európa Tanács Miniszteri Bizottságának CM/Rec(2010)12. számú ajánlása, 68. pont; lásd analógia útján a bírákkal szembeni fegyelmi eljárások esetében: az EUB 2019. november 19-i ítélete, LM, C-216/18, 67. pont; a bírák felelőssége tekintetében lásd még: az EUB 2021. május 18-i ítélete, C-83/19., C-127/19., C-195/19., C-291/19., C-355/19. és C-397/19. sz. egyesített ügyek, 228–239. pont.</w:t>
      </w:r>
    </w:p>
  </w:footnote>
  <w:footnote w:id="44">
    <w:p>
      <w:pPr>
        <w:pStyle w:val="FootnoteText"/>
      </w:pPr>
      <w:r>
        <w:rPr>
          <w:rStyle w:val="FootnoteReference"/>
        </w:rPr>
        <w:footnoteRef/>
      </w:r>
      <w:r>
        <w:t xml:space="preserve"> </w:t>
      </w:r>
      <w:r>
        <w:tab/>
        <w:t xml:space="preserve">Az Európai Bírák Konzultatív Tanácsa elnökségének 2020. december 9-én az Alkotmánnyal kapcsolatban kiadott véleménye (CCJE-BU(2020)3, 5. o.) szerint az Alkotmány új szövege homályos és a visszaélés potenciális kockázatát hordozza magában; a szlovák ügyvédek </w:t>
      </w:r>
      <w:hyperlink r:id="rId2" w:history="1">
        <w:r>
          <w:rPr>
            <w:rStyle w:val="Hyperlink"/>
          </w:rPr>
          <w:t>https://pravnystat.eu/en/</w:t>
        </w:r>
      </w:hyperlink>
      <w:r>
        <w:t xml:space="preserve"> honlapon elérhető és az érdekelt felekkel a 2021. évi jogállamisági jelentésről folytatott konzultációhoz hozzájárulásként benyújtott nyílt felhívása.</w:t>
      </w:r>
    </w:p>
  </w:footnote>
  <w:footnote w:id="45">
    <w:p>
      <w:pPr>
        <w:pStyle w:val="FootnoteText"/>
      </w:pPr>
      <w:r>
        <w:rPr>
          <w:rStyle w:val="FootnoteReference"/>
        </w:rPr>
        <w:footnoteRef/>
      </w:r>
      <w:r>
        <w:t xml:space="preserve"> </w:t>
      </w:r>
      <w:r>
        <w:tab/>
        <w:t>Korábban a bírákat csak bírósági eljárás eredményeképpen lehetett hozzájárulásuk nélkül áthelyezni. Az Alkotmány 148. cikkének (1) bekezdése.</w:t>
      </w:r>
    </w:p>
  </w:footnote>
  <w:footnote w:id="46">
    <w:p>
      <w:pPr>
        <w:pStyle w:val="FootnoteText"/>
      </w:pPr>
      <w:r>
        <w:rPr>
          <w:rStyle w:val="FootnoteReference"/>
        </w:rPr>
        <w:footnoteRef/>
      </w:r>
      <w:r>
        <w:t xml:space="preserve"> </w:t>
      </w:r>
      <w:r>
        <w:tab/>
        <w:t xml:space="preserve">Az Európa Tanács Miniszteri Bizottságának CM/Rec(2010)12. számú ajánlása, 52. pont; a bírák jogállásáról szóló európai charta, 1.4. és 3.4. cikk; az Igazságszolgáltatási Tanácsok Európai Hálózatának jelentése, </w:t>
      </w:r>
      <w:r>
        <w:rPr>
          <w:rStyle w:val="sb8d990e2"/>
        </w:rPr>
        <w:t>a szakmai teljesítmény értékelésének minimumszabályairól és a bírák elmozdíthatatlanságáról, 4.21. sz. javaslat; az Emberi Jogok Európai Bíróságának 2021. március 9-i ítélete, Bilgen kontra Törökország, 1571/07, 96. pont.</w:t>
      </w:r>
    </w:p>
  </w:footnote>
  <w:footnote w:id="47">
    <w:p>
      <w:pPr>
        <w:pStyle w:val="FootnoteText"/>
      </w:pPr>
      <w:r>
        <w:rPr>
          <w:rStyle w:val="FootnoteReference"/>
        </w:rPr>
        <w:footnoteRef/>
      </w:r>
      <w:r>
        <w:t xml:space="preserve"> </w:t>
      </w:r>
      <w:r>
        <w:tab/>
        <w:t>Az Alkotmány 148. cikkének (1) bekezdése szerint a végrehajtási törvény tovább pontosítja az igazságügyi térkép módosítása esetén történő áthelyezést.</w:t>
      </w:r>
    </w:p>
  </w:footnote>
  <w:footnote w:id="48">
    <w:p>
      <w:pPr>
        <w:pStyle w:val="FootnoteText"/>
      </w:pPr>
      <w:r>
        <w:rPr>
          <w:rStyle w:val="FootnoteReference"/>
        </w:rPr>
        <w:footnoteRef/>
      </w:r>
      <w:r>
        <w:t xml:space="preserve"> </w:t>
      </w:r>
      <w:r>
        <w:tab/>
        <w:t>2020. évi jogállamisági jelentés, Országfejezet – A jogállamiság helyzete Szlovákiában, 4. o.</w:t>
      </w:r>
    </w:p>
  </w:footnote>
  <w:footnote w:id="49">
    <w:p>
      <w:pPr>
        <w:pStyle w:val="FootnoteText"/>
      </w:pPr>
      <w:r>
        <w:rPr>
          <w:rStyle w:val="FootnoteReference"/>
        </w:rPr>
        <w:footnoteRef/>
      </w:r>
      <w:r>
        <w:t xml:space="preserve"> </w:t>
      </w:r>
      <w:r>
        <w:tab/>
        <w:t>CEPEJ (2017. november), Efficiency and quality of the Slovak judicial system, Assessment and recommendations on the basis of CEPEJ tools (A szlovák igazságszolgáltatási rendszer hatékonysága és minősége. Értékelések és ajánlások a CEPEJ eszközei alapján), CEPEJ-COOP(2017)14, 20–28. o.</w:t>
      </w:r>
    </w:p>
  </w:footnote>
  <w:footnote w:id="50">
    <w:p>
      <w:pPr>
        <w:pStyle w:val="FootnoteText"/>
      </w:pPr>
      <w:r>
        <w:rPr>
          <w:rStyle w:val="FootnoteReference"/>
        </w:rPr>
        <w:footnoteRef/>
      </w:r>
      <w:r>
        <w:t xml:space="preserve"> </w:t>
      </w:r>
      <w:r>
        <w:tab/>
        <w:t xml:space="preserve">A szövegezési folyamat számos szakaszból állt. Az első szakaszban egy közel 50 tagból (akiknek többsége bíró volt, ideértve az első- és másodfokú bíróságok elnökeit, valamint a Bíró Tanács tagja volt, ideértve a Tanács elnökét) álló munkacsoport megállapodott a reform főbb jellemzőiben. A 2020 első felében zajló második szakaszban egy körülbelül 10 tagból (amelyből 4 tag bíró volt) álló új, kisebb munkacsoport az első munkacsoport ajánlásai alapján megszövegezte a reformot. Az érdekelt felek azonban megkérdőjelezik, hogy az ajánlások milyen mértékben tükröződtek a szövegben. Az első szakaszban tevékenykedő munkacsoport üléseiről készült jegyzőkönyvek és jelenléti ívek elérhetők az alábbi honlapon: </w:t>
      </w:r>
      <w:hyperlink r:id="rId3" w:history="1">
        <w:r>
          <w:rPr>
            <w:rStyle w:val="Hyperlink"/>
          </w:rPr>
          <w:t>http://web.ac-mssr.sk/sudna-mapa-otazky-a-odpovede/</w:t>
        </w:r>
      </w:hyperlink>
      <w:r>
        <w:t xml:space="preserve"> A Szlovákiában tett országlátogatás keretében kapott tájékoztatás; az Igazságügyi Minisztérium által az új bírósági térképről szóló honlapon közzétett információ, </w:t>
      </w:r>
      <w:hyperlink r:id="rId4" w:history="1">
        <w:r>
          <w:rPr>
            <w:rStyle w:val="Hyperlink"/>
          </w:rPr>
          <w:t>http://web.ac-mssr.sk/sudna-mapa-otazky-a-odpovede/</w:t>
        </w:r>
      </w:hyperlink>
      <w:r>
        <w:t>; az Igazságügyi Minisztérium elemzőközpontja (2020. december), az új igazságügyi térkép elkészítésére vonatkozó ajánlások, 15–17. o.</w:t>
      </w:r>
    </w:p>
  </w:footnote>
  <w:footnote w:id="51">
    <w:p>
      <w:pPr>
        <w:pStyle w:val="FootnoteText"/>
      </w:pPr>
      <w:r>
        <w:rPr>
          <w:rStyle w:val="FootnoteReference"/>
        </w:rPr>
        <w:footnoteRef/>
      </w:r>
      <w:r>
        <w:t xml:space="preserve"> </w:t>
      </w:r>
      <w:r>
        <w:tab/>
        <w:t>Az Igazságügyi Minisztérium elemzőközpontja (2020. november), az új igazságügyi térkép reformja, 4. o.</w:t>
      </w:r>
    </w:p>
  </w:footnote>
  <w:footnote w:id="52">
    <w:p>
      <w:pPr>
        <w:pStyle w:val="FootnoteText"/>
      </w:pPr>
      <w:r>
        <w:rPr>
          <w:rStyle w:val="FootnoteReference"/>
        </w:rPr>
        <w:footnoteRef/>
      </w:r>
      <w:r>
        <w:t xml:space="preserve"> </w:t>
      </w:r>
      <w:r>
        <w:tab/>
        <w:t xml:space="preserve">Az Igazságügyi Minisztérium elemzőközpontja (2020. november), az új igazságügyi térkép reformja, 20–21. o. E követelmények értékelésének egyes körzetekre vonatkozó magyarázata az alábbi dokumentumban található: Az Igazságügyi Minisztérium elemzőközpontja (2020. november), Odporúčania pre tvorbu novej súdnej mapy, </w:t>
      </w:r>
      <w:hyperlink r:id="rId5" w:history="1">
        <w:r>
          <w:rPr>
            <w:rStyle w:val="Hyperlink"/>
          </w:rPr>
          <w:t>http://web.ac-mssr.sk/wp-content/uploads/2020/sudna_mapa/nova_sudna_mapa_3_0_final.pdf</w:t>
        </w:r>
      </w:hyperlink>
    </w:p>
  </w:footnote>
  <w:footnote w:id="53">
    <w:p>
      <w:pPr>
        <w:pStyle w:val="FootnoteText"/>
      </w:pPr>
      <w:r>
        <w:rPr>
          <w:rStyle w:val="FootnoteReference"/>
        </w:rPr>
        <w:footnoteRef/>
      </w:r>
      <w:r>
        <w:t xml:space="preserve"> </w:t>
      </w:r>
      <w:r>
        <w:tab/>
        <w:t>A munkacsoport célja az volt, hogy a jelenlegi bíróságokhoz beérkező ügyek átlagos száma alapján olyan körzeteket hozzon létre, ahol 3 szakosodott bíró / 3 szakosodott szenátus számára elegendő ügy áll rendelkezésre minden napirendi pontban. A reformtervezet továbbá javaslatot tett külön közigazgatási bíróságok létrehozására (lásd alább). Az Igazságügyi Minisztérium elemzőközpontja (2020. november), az új igazságügyi térkép reformja, 20–21. o.; Az Igazságügyi Minisztérium elemzőközpontja (2020. november), Odporúčania pre tvorbu novej súdnej mapy, 20–21., 34., 43. o.</w:t>
      </w:r>
    </w:p>
  </w:footnote>
  <w:footnote w:id="54">
    <w:p>
      <w:pPr>
        <w:pStyle w:val="FootnoteText"/>
      </w:pPr>
      <w:r>
        <w:rPr>
          <w:rStyle w:val="FootnoteReference"/>
        </w:rPr>
        <w:footnoteRef/>
      </w:r>
      <w:r>
        <w:t xml:space="preserve"> </w:t>
      </w:r>
      <w:r>
        <w:tab/>
        <w:t>A bíróságok székhelyéről és területi illetékességéről szóló törvény tervezete, 10(2) és 11(2) cikk, elérhető: https://www.slov-lex.sk/legislativne-procesy/SK/LP/2020/587.</w:t>
      </w:r>
    </w:p>
  </w:footnote>
  <w:footnote w:id="55">
    <w:p>
      <w:pPr>
        <w:pStyle w:val="FootnoteText"/>
      </w:pPr>
      <w:r>
        <w:rPr>
          <w:rStyle w:val="FootnoteReference"/>
        </w:rPr>
        <w:footnoteRef/>
      </w:r>
      <w:r>
        <w:t xml:space="preserve"> </w:t>
      </w:r>
      <w:r>
        <w:tab/>
        <w:t xml:space="preserve">Igazságügyi Minisztérium, a szövegezési folyamat ütemterve, elérhető az alábbi honlapon: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Slov-Lex tájékoztató portál, </w:t>
      </w:r>
      <w:hyperlink r:id="rId7" w:history="1">
        <w:r>
          <w:rPr>
            <w:rStyle w:val="Hyperlink"/>
          </w:rPr>
          <w:t>https://www.slov-lex.sk/legislativne-procesy/SK/LP/2020/587</w:t>
        </w:r>
      </w:hyperlink>
    </w:p>
  </w:footnote>
  <w:footnote w:id="57">
    <w:p>
      <w:pPr>
        <w:pStyle w:val="FootnoteText"/>
      </w:pPr>
      <w:r>
        <w:rPr>
          <w:rStyle w:val="FootnoteReference"/>
        </w:rPr>
        <w:footnoteRef/>
      </w:r>
      <w:r>
        <w:t xml:space="preserve"> </w:t>
      </w:r>
      <w:r>
        <w:tab/>
        <w:t xml:space="preserve">A szlovák bírák Sudnamoc.sk elnevezésű kommunikációs platformjának, valamint a szlovák bírák szövetségének hozzájárulása a 2021. évi jogállamisági jelentéshez; a Szlovákiában tett országlátogatás keretében kapott tájékoztatás. A tervezet is különféle alternatívákat tartalmaz a bírósági elnökök kiválasztása tekintetében, ami kérdéseket vet fel a végrehajtó hatalomra ruházott mérlegelési jogkörrel kapcsolatban; a bíróságok székhelyéről és illetékességéről szóló törvénytervezet XVI. cikkének 35. pontja, amely kiegészíti a 101f. cikk (4) bekezdésével a bíróságokról szóló 757/2004. sz. törvényt. </w:t>
      </w:r>
    </w:p>
  </w:footnote>
  <w:footnote w:id="58">
    <w:p>
      <w:pPr>
        <w:pStyle w:val="FootnoteText"/>
      </w:pPr>
      <w:r>
        <w:rPr>
          <w:rStyle w:val="FootnoteReference"/>
        </w:rPr>
        <w:footnoteRef/>
      </w:r>
      <w:r>
        <w:t xml:space="preserve"> </w:t>
      </w:r>
      <w:r>
        <w:tab/>
        <w:t>A szlovák hatóságoktól kapott tájékoztatás.</w:t>
      </w:r>
    </w:p>
  </w:footnote>
  <w:footnote w:id="59">
    <w:p>
      <w:pPr>
        <w:pStyle w:val="FootnoteText"/>
      </w:pPr>
      <w:r>
        <w:rPr>
          <w:rStyle w:val="FootnoteReference"/>
        </w:rPr>
        <w:footnoteRef/>
      </w:r>
      <w:r>
        <w:t xml:space="preserve"> </w:t>
      </w:r>
      <w:r>
        <w:tab/>
        <w:t xml:space="preserve">Megjegyzendő, hogy a reformtervezet a bírák egyetemleges jogutódlás útján történő áthelyezését javasolja, a bírák áthelyezésére vonatkozó, a bíróságokról szóló 385/2000. sz. törvény 14. cikkében előírt rendelkezés alkalmazása nélkül. Az áthelyezésre vonatkozó európai normák ettől függetlenül alkalmazandók. </w:t>
      </w:r>
    </w:p>
  </w:footnote>
  <w:footnote w:id="60">
    <w:p>
      <w:pPr>
        <w:pStyle w:val="FootnoteText"/>
      </w:pPr>
      <w:r>
        <w:rPr>
          <w:rStyle w:val="FootnoteReference"/>
        </w:rPr>
        <w:footnoteRef/>
      </w:r>
      <w:r>
        <w:t xml:space="preserve"> </w:t>
      </w:r>
      <w:r>
        <w:tab/>
        <w:t>CEPEJ (2020. december 14.), CEPEJ Experts’ review of the Judicial Map Reform in the Slovak Republic (A CEPEJ szakértői felülvizsgálata a Szlovák Köztársaság igazságügyi térképének reformjáról), 8–9. o.</w:t>
      </w:r>
    </w:p>
  </w:footnote>
  <w:footnote w:id="61">
    <w:p>
      <w:pPr>
        <w:pStyle w:val="FootnoteText"/>
      </w:pPr>
      <w:r>
        <w:rPr>
          <w:rStyle w:val="FootnoteReference"/>
        </w:rPr>
        <w:footnoteRef/>
      </w:r>
      <w:r>
        <w:t xml:space="preserve"> </w:t>
      </w:r>
      <w:r>
        <w:tab/>
        <w:t>CEPEJ (2020. december 14.), CEPEJ Experts’ review of the Judicial Map Reform in the Slovak Republic (A CEPEJ szakértői felülvizsgálata a Szlovák Köztársaság igazságügyi térképének reformjáról), 10–11. o.</w:t>
      </w:r>
    </w:p>
  </w:footnote>
  <w:footnote w:id="62">
    <w:p>
      <w:pPr>
        <w:pStyle w:val="FootnoteText"/>
      </w:pPr>
      <w:r>
        <w:rPr>
          <w:rStyle w:val="FootnoteReference"/>
        </w:rPr>
        <w:footnoteRef/>
      </w:r>
      <w:r>
        <w:rPr>
          <w:rStyle w:val="FootnoteReference"/>
        </w:rPr>
        <w:t xml:space="preserve"> </w:t>
      </w:r>
      <w:r>
        <w:tab/>
        <w:t>A Legfelsőbb Közigazgatási Bíróság többek között a másodfokú közigazgatási bíróság szerepét is betölti. Az első fokon tárgyalt közigazgatási ügyeket jelenleg a közigazgatási szenátusok kezelik, és ezen ügyeket az új közigazgatási bíróságok létrehozását követően áthelyezik ezekhez a bíróságokhoz.</w:t>
      </w:r>
    </w:p>
  </w:footnote>
  <w:footnote w:id="63">
    <w:p>
      <w:pPr>
        <w:pStyle w:val="FootnoteText"/>
      </w:pPr>
      <w:r>
        <w:rPr>
          <w:rStyle w:val="FootnoteReference"/>
        </w:rPr>
        <w:footnoteRef/>
      </w:r>
      <w:r>
        <w:t xml:space="preserve"> </w:t>
      </w:r>
      <w:r>
        <w:tab/>
        <w:t>Az Igazságügyi Minisztérium 2021. június 2-án kikérte a Velencei Bizottság véleményét a Legfelsőbb Közigazgatási Bíróság azon esetleges hatásköréről, hogy fellebbezési testületként felülvizsgálja a szlovák ügyvédi kamara ügyvédeit érintő fegyelmi határozatokat, továbbá az ügyvédek szlovák jogrendszerben betöltött pozíciójáról és jogállásáról. Jelenleg nincs előkészítés alatt olyan jogszabály, amely ilyen hatáskört ruházna a Bíróságra, de a 422/20. sz. alkotmánytörvény indokolásának 28. oldalán szerepel erre vonatkozóan javaslat.</w:t>
      </w:r>
    </w:p>
  </w:footnote>
  <w:footnote w:id="64">
    <w:p>
      <w:pPr>
        <w:pStyle w:val="FootnoteText"/>
      </w:pPr>
      <w:r>
        <w:rPr>
          <w:rStyle w:val="FootnoteReference"/>
        </w:rPr>
        <w:footnoteRef/>
      </w:r>
      <w:r>
        <w:t xml:space="preserve"> </w:t>
      </w:r>
      <w:r>
        <w:tab/>
        <w:t>Az Alkotmány 154g. cikke (7) bekezdésében foglalt átmeneti rendelkezés értelmében a Bírói Tanács javaslata alapján a köztársasági elnök nevezte ki a Legfelsőbb Bíróság elnökét.</w:t>
      </w:r>
    </w:p>
  </w:footnote>
  <w:footnote w:id="65">
    <w:p>
      <w:pPr>
        <w:pStyle w:val="FootnoteText"/>
      </w:pPr>
      <w:r>
        <w:rPr>
          <w:rStyle w:val="FootnoteReference"/>
        </w:rPr>
        <w:footnoteRef/>
      </w:r>
      <w:r>
        <w:t xml:space="preserve"> </w:t>
      </w:r>
      <w:r>
        <w:tab/>
        <w:t xml:space="preserve">A bíróságokról szóló 385/2000. sz. törvény 151zf. cikke. </w:t>
      </w:r>
    </w:p>
  </w:footnote>
  <w:footnote w:id="66">
    <w:p>
      <w:pPr>
        <w:pStyle w:val="FootnoteText"/>
      </w:pPr>
      <w:r>
        <w:rPr>
          <w:rStyle w:val="FootnoteReference"/>
        </w:rPr>
        <w:footnoteRef/>
      </w:r>
      <w:r>
        <w:t xml:space="preserve"> </w:t>
      </w:r>
      <w:r>
        <w:tab/>
        <w:t>A bíróságok székhelyéről és illetékességéről szóló törvénytervezet XVI. cikkének 35. pontja, amely a 101f. cikk (1) bekezdésével kiegészíti a bíróságokról szóló 757/2004. sz. törvényt.</w:t>
      </w:r>
    </w:p>
  </w:footnote>
  <w:footnote w:id="67">
    <w:p>
      <w:pPr>
        <w:pStyle w:val="FootnoteText"/>
      </w:pPr>
      <w:r>
        <w:rPr>
          <w:rStyle w:val="FootnoteReference"/>
        </w:rPr>
        <w:footnoteRef/>
      </w:r>
      <w:r>
        <w:t xml:space="preserve"> </w:t>
      </w:r>
      <w:r>
        <w:tab/>
        <w:t xml:space="preserve">A bírósági elnököknek a bíróságokról szóló 750/2004. sz. törvény 36. és 37. cikkében előírt szokásos kinevezési eljárása szerint a kiválasztási bizottság négy tagját az igazságügyi miniszter választja ki a jelöltek listájáról úgy, hogy a listán szereplő egyik tagot a Bírói Tanács, míg három további tagot a miniszter jelöl. A kiválasztási bizottság egyik tagját az adott bíróság bírói tanácsa választja meg. A jelöltek listája elérhető az Igazságügyi Minisztérium honlapján: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A bíróságok székhelyéről és illetékességéről szóló törvénytervezet IX. cikkének 17. pontja, amely a 151zg. cikkel kiegészíti a bírákról szóló 385/2000. sz. törvényt.</w:t>
      </w:r>
    </w:p>
  </w:footnote>
  <w:footnote w:id="69">
    <w:p>
      <w:pPr>
        <w:pStyle w:val="FootnoteText"/>
      </w:pPr>
      <w:r>
        <w:rPr>
          <w:rStyle w:val="FootnoteReference"/>
        </w:rPr>
        <w:footnoteRef/>
      </w:r>
      <w:r>
        <w:t xml:space="preserve"> </w:t>
      </w:r>
      <w:r>
        <w:tab/>
        <w:t>A Bírói Tanáccsal folytatott megbeszélést követően.</w:t>
      </w:r>
    </w:p>
  </w:footnote>
  <w:footnote w:id="70">
    <w:p>
      <w:pPr>
        <w:pStyle w:val="FootnoteText"/>
      </w:pPr>
      <w:r>
        <w:rPr>
          <w:rStyle w:val="FootnoteReference"/>
        </w:rPr>
        <w:footnoteRef/>
      </w:r>
      <w:r>
        <w:t xml:space="preserve"> </w:t>
      </w:r>
      <w:r>
        <w:tab/>
        <w:t>A Bírói Tanács hajtja végre a bírák áthelyezését egy adott bíró kérelmére vagy hozzájárulásával, vagy fegyelmi határozat alapján; lásd: a bíróságokról szóló 385/2000. sz. törvény 14. cikke.</w:t>
      </w:r>
    </w:p>
  </w:footnote>
  <w:footnote w:id="71">
    <w:p>
      <w:pPr>
        <w:pStyle w:val="FootnoteText"/>
      </w:pPr>
      <w:r>
        <w:rPr>
          <w:rStyle w:val="FootnoteReference"/>
        </w:rPr>
        <w:footnoteRef/>
      </w:r>
      <w:r>
        <w:t xml:space="preserve"> </w:t>
      </w:r>
      <w:r>
        <w:tab/>
        <w:t>Az igazságügyi miniszter által jelölt két tagból, valamint a Bírói Tanács által jelölt három tagból álló kiválasztási bizottság hajtja végre a kiválasztási eljárást; lásd: a bíróságokról szóló 385/2000. sz. törvény 29. cikke.</w:t>
      </w:r>
    </w:p>
  </w:footnote>
  <w:footnote w:id="72">
    <w:p>
      <w:pPr>
        <w:pStyle w:val="FootnoteText"/>
      </w:pPr>
      <w:r>
        <w:rPr>
          <w:rStyle w:val="FootnoteReference"/>
        </w:rPr>
        <w:footnoteRef/>
      </w:r>
      <w:r>
        <w:t xml:space="preserve"> </w:t>
      </w:r>
      <w:r>
        <w:tab/>
        <w:t>Az Európai bírák Konzultatív Tanácsa (2016), 19. sz. vélemény, The role of court presidents (a bírósági elnökök szerepe), 53. pont.</w:t>
      </w:r>
    </w:p>
  </w:footnote>
  <w:footnote w:id="73">
    <w:p>
      <w:pPr>
        <w:pStyle w:val="FootnoteText"/>
      </w:pPr>
      <w:r>
        <w:rPr>
          <w:rStyle w:val="FootnoteReference"/>
        </w:rPr>
        <w:footnoteRef/>
      </w:r>
      <w:r>
        <w:t xml:space="preserve"> </w:t>
      </w:r>
      <w:r>
        <w:tab/>
        <w:t>A 241/2020. sz. törvény.</w:t>
      </w:r>
    </w:p>
  </w:footnote>
  <w:footnote w:id="74">
    <w:p>
      <w:pPr>
        <w:pStyle w:val="FootnoteText"/>
      </w:pPr>
      <w:r>
        <w:rPr>
          <w:rStyle w:val="FootnoteReference"/>
        </w:rPr>
        <w:footnoteRef/>
      </w:r>
      <w:r>
        <w:t xml:space="preserve"> </w:t>
      </w:r>
      <w:r>
        <w:tab/>
        <w:t>Az Alkotmány 150. cikke szerint a parlament javaslata alapján a köztársasági elnök nevezi ki a legfőbb ügyészt. A parlament választja meg a különleges ügyészt; lásd: az ügyészekről szóló 154/2001. sz. törvény 24a. cikke.</w:t>
      </w:r>
    </w:p>
  </w:footnote>
  <w:footnote w:id="75">
    <w:p>
      <w:pPr>
        <w:pStyle w:val="FootnoteText"/>
      </w:pPr>
      <w:r>
        <w:rPr>
          <w:rStyle w:val="FootnoteReference"/>
        </w:rPr>
        <w:footnoteRef/>
      </w:r>
      <w:r>
        <w:t xml:space="preserve"> </w:t>
      </w:r>
      <w:r>
        <w:tab/>
        <w:t>A parlamenti képviselők, az igazságügyi miniszter, az ombudsman, az Ügyészi Tanács, az ügyvédek szakmai szervezete, a jogi kar és a Tudományos Akadémia jelölhet jelölteket. Korábban csak a parlamenti képviselők voltak jogosultak jelöltet javasolni; lásd: az ügyészségről szóló 153/2001. sz. törvény 7. cikkének (4) bekezdése.</w:t>
      </w:r>
    </w:p>
  </w:footnote>
  <w:footnote w:id="76">
    <w:p>
      <w:pPr>
        <w:pStyle w:val="FootnoteText"/>
      </w:pPr>
      <w:r>
        <w:rPr>
          <w:rStyle w:val="FootnoteReference"/>
        </w:rPr>
        <w:footnoteRef/>
      </w:r>
      <w:r>
        <w:t xml:space="preserve"> </w:t>
      </w:r>
      <w:r>
        <w:tab/>
        <w:t>Az ügyészségről szóló 153/2001. sz. törvény 125. cikkének (2) bekezdése.</w:t>
      </w:r>
    </w:p>
  </w:footnote>
  <w:footnote w:id="77">
    <w:p>
      <w:pPr>
        <w:pStyle w:val="FootnoteText"/>
      </w:pPr>
      <w:r>
        <w:rPr>
          <w:rStyle w:val="FootnoteReference"/>
        </w:rPr>
        <w:footnoteRef/>
      </w:r>
      <w:r>
        <w:t xml:space="preserve"> </w:t>
      </w:r>
      <w:r>
        <w:tab/>
        <w:t>A Via Iuris (Szövetség a Szabadságjogokért) hozzájárulása a 2021. évi jogállamisági jelentéshez, 9. o.; A Szlovákiában tett országlátogatás keretében kapott tájékoztatás.</w:t>
      </w:r>
    </w:p>
  </w:footnote>
  <w:footnote w:id="78">
    <w:p>
      <w:pPr>
        <w:pStyle w:val="FootnoteText"/>
      </w:pPr>
      <w:r>
        <w:rPr>
          <w:rStyle w:val="FootnoteReference"/>
        </w:rPr>
        <w:footnoteRef/>
      </w:r>
      <w:r>
        <w:t xml:space="preserve"> </w:t>
      </w:r>
      <w:r>
        <w:tab/>
        <w:t xml:space="preserve">2020. évi jogállamisági jelentés, Országfejezet – A jogállamiság helyzete Szlovákiában, 5. o. </w:t>
      </w:r>
    </w:p>
  </w:footnote>
  <w:footnote w:id="79">
    <w:p>
      <w:pPr>
        <w:pStyle w:val="FootnoteText"/>
      </w:pPr>
      <w:r>
        <w:rPr>
          <w:rStyle w:val="FootnoteReference"/>
        </w:rPr>
        <w:footnoteRef/>
      </w:r>
      <w:r>
        <w:t xml:space="preserve"> </w:t>
      </w:r>
      <w:r>
        <w:tab/>
        <w:t xml:space="preserve">2021. évi uniós igazságügyi eredménytábla, 41. ábra. </w:t>
      </w:r>
    </w:p>
  </w:footnote>
  <w:footnote w:id="80">
    <w:p>
      <w:pPr>
        <w:pStyle w:val="FootnoteText"/>
      </w:pPr>
      <w:r>
        <w:rPr>
          <w:rStyle w:val="FootnoteReference"/>
        </w:rPr>
        <w:footnoteRef/>
      </w:r>
      <w:r>
        <w:t xml:space="preserve"> </w:t>
      </w:r>
      <w:r>
        <w:tab/>
        <w:t xml:space="preserve">2021. évi uniós igazságügyi eredménytábla, 42. ábra. </w:t>
      </w:r>
    </w:p>
  </w:footnote>
  <w:footnote w:id="81">
    <w:p>
      <w:pPr>
        <w:pStyle w:val="FootnoteText"/>
      </w:pPr>
      <w:r>
        <w:rPr>
          <w:rStyle w:val="FootnoteReference"/>
        </w:rPr>
        <w:footnoteRef/>
      </w:r>
      <w:r>
        <w:t xml:space="preserve"> </w:t>
      </w:r>
      <w:r>
        <w:tab/>
        <w:t xml:space="preserve">2021. évi uniós igazságügyi eredménytábla, 43. ábra. </w:t>
      </w:r>
    </w:p>
  </w:footnote>
  <w:footnote w:id="82">
    <w:p>
      <w:pPr>
        <w:pStyle w:val="FootnoteText"/>
      </w:pPr>
      <w:r>
        <w:rPr>
          <w:rStyle w:val="FootnoteReference"/>
        </w:rPr>
        <w:footnoteRef/>
      </w:r>
      <w:r>
        <w:t xml:space="preserve"> </w:t>
      </w:r>
      <w:r>
        <w:tab/>
        <w:t xml:space="preserve">2021. évi uniós igazságügyi eredménytábla, 45. ábra. </w:t>
      </w:r>
    </w:p>
  </w:footnote>
  <w:footnote w:id="83">
    <w:p>
      <w:pPr>
        <w:pStyle w:val="FootnoteText"/>
      </w:pPr>
      <w:r>
        <w:rPr>
          <w:rStyle w:val="FootnoteReference"/>
        </w:rPr>
        <w:footnoteRef/>
      </w:r>
      <w:r>
        <w:t xml:space="preserve"> </w:t>
      </w:r>
      <w:r>
        <w:tab/>
        <w:t xml:space="preserve">2021. évi uniós igazságügyi eredménytábla, 44. ábra. </w:t>
      </w:r>
    </w:p>
  </w:footnote>
  <w:footnote w:id="84">
    <w:p>
      <w:pPr>
        <w:pStyle w:val="FootnoteText"/>
      </w:pPr>
      <w:r>
        <w:rPr>
          <w:rStyle w:val="FootnoteReference"/>
        </w:rPr>
        <w:footnoteRef/>
      </w:r>
      <w:r>
        <w:t xml:space="preserve"> </w:t>
      </w:r>
      <w:r>
        <w:tab/>
        <w:t xml:space="preserve">2021. évi uniós igazságügyi eredménytábla, 46. ábra. </w:t>
      </w:r>
    </w:p>
  </w:footnote>
  <w:footnote w:id="85">
    <w:p>
      <w:pPr>
        <w:pStyle w:val="FootnoteText"/>
      </w:pPr>
      <w:r>
        <w:rPr>
          <w:rStyle w:val="FootnoteReference"/>
        </w:rPr>
        <w:footnoteRef/>
      </w:r>
      <w:r>
        <w:t xml:space="preserve"> </w:t>
      </w:r>
      <w:r>
        <w:tab/>
        <w:t>A szlovák ügyvédi kamara hozzájárulása a 2021. évi jogállamisági jelentéshez.</w:t>
      </w:r>
    </w:p>
  </w:footnote>
  <w:footnote w:id="86">
    <w:p>
      <w:pPr>
        <w:pStyle w:val="FootnoteText"/>
      </w:pPr>
      <w:r>
        <w:rPr>
          <w:rStyle w:val="FootnoteReference"/>
        </w:rPr>
        <w:footnoteRef/>
      </w:r>
      <w:r>
        <w:t xml:space="preserve"> </w:t>
      </w:r>
      <w:r>
        <w:tab/>
        <w:t xml:space="preserve">A Covid19-világjárvány nyomán feltárt másik példa a fogvatartási eljárásoknak az ügyvédek és fogva tartott ügyfeleik közötti digitális kommunikáció biztosítása érdekében történő digitalizálásának szükségessége. A szlovák ügyvédi kamara hozzájárulása a 2021. évi jogállamisági jelentéshez. Lásd még a szlovák ügyvédi kamara 2021. március 23-i sajtóközleményét, Predseda SAK navštívil nového generálneho riaditeľa Zboru väzenskej a justičnej stráže. </w:t>
      </w:r>
    </w:p>
  </w:footnote>
  <w:footnote w:id="87">
    <w:p>
      <w:pPr>
        <w:pStyle w:val="FootnoteText"/>
      </w:pPr>
      <w:r>
        <w:rPr>
          <w:rStyle w:val="FootnoteReference"/>
        </w:rPr>
        <w:footnoteRef/>
      </w:r>
      <w:r>
        <w:t xml:space="preserve"> </w:t>
      </w:r>
      <w:r>
        <w:tab/>
        <w:t>Szlovákia hozzájárulása a 2021. évi jogállamisági jelentéshez, 12. o.;  a szlovák helyreállítási és rezilienciaépítési terv beruházásokat tervez az igazságszolgáltatási rendszer digitalizálása és elemzési kapacitása tekintetében; a szlovák helyreállítási és rezilienciaépítési terv 15. eleme.</w:t>
      </w:r>
    </w:p>
  </w:footnote>
  <w:footnote w:id="88">
    <w:p>
      <w:pPr>
        <w:pStyle w:val="FootnoteText"/>
      </w:pPr>
      <w:r>
        <w:rPr>
          <w:rStyle w:val="FootnoteReference"/>
        </w:rPr>
        <w:footnoteRef/>
      </w:r>
      <w:r>
        <w:t xml:space="preserve"> </w:t>
      </w:r>
      <w:r>
        <w:tab/>
        <w:t>A Szlovákiában tett országlátogatás keretében kapott tájékoztatás.</w:t>
      </w:r>
    </w:p>
  </w:footnote>
  <w:footnote w:id="89">
    <w:p>
      <w:pPr>
        <w:pStyle w:val="FootnoteText"/>
      </w:pPr>
      <w:r>
        <w:rPr>
          <w:rStyle w:val="FootnoteReference"/>
        </w:rPr>
        <w:footnoteRef/>
      </w:r>
      <w:r>
        <w:t xml:space="preserve"> </w:t>
      </w:r>
      <w:r>
        <w:tab/>
        <w:t>A Szlovákiában tett országlátogatás keretében kapott tájékoztatás.</w:t>
      </w:r>
    </w:p>
  </w:footnote>
  <w:footnote w:id="90">
    <w:p>
      <w:pPr>
        <w:pStyle w:val="FootnoteText"/>
      </w:pPr>
      <w:r>
        <w:rPr>
          <w:rStyle w:val="FootnoteReference"/>
        </w:rPr>
        <w:footnoteRef/>
      </w:r>
      <w:r>
        <w:t xml:space="preserve"> </w:t>
      </w:r>
      <w:r>
        <w:tab/>
        <w:t>A Szlovákiában tett országlátogatás keretében kapott tájékoztatás.</w:t>
      </w:r>
    </w:p>
  </w:footnote>
  <w:footnote w:id="91">
    <w:p>
      <w:pPr>
        <w:pStyle w:val="FootnoteText"/>
      </w:pPr>
      <w:r>
        <w:rPr>
          <w:rStyle w:val="FootnoteReference"/>
        </w:rPr>
        <w:footnoteRef/>
      </w:r>
      <w:r>
        <w:t xml:space="preserve"> </w:t>
      </w:r>
      <w:r>
        <w:tab/>
        <w:t xml:space="preserve">2021. évi uniós igazságügyi eredménytábla, 10. ábra. </w:t>
      </w:r>
    </w:p>
  </w:footnote>
  <w:footnote w:id="92">
    <w:p>
      <w:pPr>
        <w:pStyle w:val="FootnoteText"/>
      </w:pPr>
      <w:r>
        <w:rPr>
          <w:rStyle w:val="FootnoteReference"/>
        </w:rPr>
        <w:footnoteRef/>
      </w:r>
      <w:r>
        <w:t xml:space="preserve"> </w:t>
      </w:r>
      <w:r>
        <w:tab/>
        <w:t xml:space="preserve">2021. évi uniós igazságügyi eredménytábla, 13. ábra. </w:t>
      </w:r>
    </w:p>
  </w:footnote>
  <w:footnote w:id="93">
    <w:p>
      <w:pPr>
        <w:pStyle w:val="FootnoteText"/>
      </w:pPr>
      <w:r>
        <w:rPr>
          <w:rStyle w:val="FootnoteReference"/>
        </w:rPr>
        <w:footnoteRef/>
      </w:r>
      <w:r>
        <w:t xml:space="preserve"> </w:t>
      </w:r>
      <w:r>
        <w:tab/>
        <w:t xml:space="preserve">2021. évi uniós igazságügyi eredménytábla, 7. ábra. </w:t>
      </w:r>
    </w:p>
  </w:footnote>
  <w:footnote w:id="94">
    <w:p>
      <w:pPr>
        <w:pStyle w:val="FootnoteText"/>
      </w:pPr>
      <w:r>
        <w:rPr>
          <w:rStyle w:val="FootnoteReference"/>
        </w:rPr>
        <w:footnoteRef/>
      </w:r>
      <w:r>
        <w:t xml:space="preserve"> </w:t>
      </w:r>
      <w:r>
        <w:tab/>
        <w:t>Ezen ügycsoportok a polgári eljárások túlzott hosszára, a büntetőeljárásban érintett sértett fél kártérítési keresetével kapcsolatos eljárás túlzott hosszára, a túlzottan hosszú polgári eljárások során alkalmazott hatékony jogorvoslatra, a földterületek visszaszolgáltatásával kapcsolatos eljárások túlzott hosszára (a Földhivatal előtti közigazgatási szakaszból, valamint másodfokon a bírósági szakaszból álló kétlépcsős eljárás), valamint a hatékony jogorvoslatokra vonatkoznak. Az Emberi Jogok Európai Bírósága határozatokat hozott ezekben az ügyekben és az ítéletek szlovák hatóságok általi végrehajtása folyamatban van, amit az Európa Tanács rendes eljárás szerint nyomon követ. Lásd az Emberi Jogok Európai Bírósága ítéleteinek végrehajtási állapotát az alábbi ügyekben: 2012. július 24., Maxian és Maxianova, 44482/09; 2015. szeptember 15.,Javor és Javorova, 42360/10; 2017. június 27., Ivan, 57405/15; 2018. augusztus 31., Balogh és társai,</w:t>
      </w:r>
      <w:r>
        <w:rPr>
          <w:rStyle w:val="Hyperlink"/>
        </w:rPr>
        <w:t xml:space="preserve"> </w:t>
      </w:r>
      <w:r>
        <w:t xml:space="preserve">35142/15. </w:t>
      </w:r>
    </w:p>
  </w:footnote>
  <w:footnote w:id="95">
    <w:p>
      <w:pPr>
        <w:pStyle w:val="FootnoteText"/>
      </w:pPr>
      <w:r>
        <w:rPr>
          <w:rStyle w:val="FootnoteReference"/>
        </w:rPr>
        <w:footnoteRef/>
      </w:r>
      <w:r>
        <w:t xml:space="preserve"> </w:t>
      </w:r>
      <w:r>
        <w:tab/>
        <w:t>Vö. a rendőrségről szóló 171/1993. sz. törvény 4. cikkének (3) bekezdésével.</w:t>
      </w:r>
    </w:p>
  </w:footnote>
  <w:footnote w:id="96">
    <w:p>
      <w:pPr>
        <w:pStyle w:val="FootnoteText"/>
      </w:pPr>
      <w:r>
        <w:rPr>
          <w:rStyle w:val="FootnoteReference"/>
        </w:rPr>
        <w:footnoteRef/>
      </w:r>
      <w:r>
        <w:t xml:space="preserve"> </w:t>
      </w:r>
      <w:r>
        <w:tab/>
        <w:t>A Szlovák Köztársaság Nemzeti Tanácsának 458/2003 sz. törvénye a különleges bíróság és a különleges ügyészség létrehozásáról.</w:t>
      </w:r>
    </w:p>
  </w:footnote>
  <w:footnote w:id="97">
    <w:p>
      <w:pPr>
        <w:pStyle w:val="FootnoteText"/>
        <w:rPr>
          <w:rFonts w:cs="Arial"/>
          <w:szCs w:val="14"/>
        </w:rPr>
      </w:pPr>
      <w:r>
        <w:rPr>
          <w:rStyle w:val="FootnoteReference"/>
        </w:rPr>
        <w:footnoteRef/>
      </w:r>
      <w:r>
        <w:t xml:space="preserve"> 291/2009. sz. törvény a Szakosított Büntetőbíróságról.</w:t>
      </w:r>
    </w:p>
  </w:footnote>
  <w:footnote w:id="98">
    <w:p>
      <w:pPr>
        <w:pStyle w:val="FootnoteText"/>
      </w:pPr>
      <w:r>
        <w:rPr>
          <w:rStyle w:val="FootnoteReference"/>
        </w:rPr>
        <w:footnoteRef/>
      </w:r>
      <w:r>
        <w:t xml:space="preserve"> </w:t>
      </w:r>
      <w:r>
        <w:tab/>
        <w:t>A Transparency International 2020. évi korrupcióérzékelési indexe (2021), 2–3. o. Az eredménytábla az észlelt korrupció szintjét a következő kategóriákba sorolja: alacsony (a szakértők és az üzletemberek körében a közszektorbeli korrupció érzékeltszintje 79 feletti pontszámot ér el); viszonylag alacsony (79–60 közötti pontszám), viszonylag magas (59–50 közötti pontszám), magas (50 alatti pontszám).</w:t>
      </w:r>
    </w:p>
  </w:footnote>
  <w:footnote w:id="99">
    <w:p>
      <w:pPr>
        <w:pStyle w:val="FootnoteText"/>
      </w:pPr>
      <w:r>
        <w:rPr>
          <w:rStyle w:val="FootnoteReference"/>
        </w:rPr>
        <w:footnoteRef/>
      </w:r>
      <w:r>
        <w:t xml:space="preserve"> </w:t>
      </w:r>
      <w:r>
        <w:tab/>
        <w:t>2015-ben a pontszám 51, míg 2020-ban 49 volt. A szám több mint 5 pontos változása jelentős növekedést/csökkenést jelent; javulás/romlás (4–5 pont közötti változás); az elmúlt 5 évben viszonylag stabil (1–3 pont közötti változás).</w:t>
      </w:r>
    </w:p>
  </w:footnote>
  <w:footnote w:id="100">
    <w:p>
      <w:pPr>
        <w:pStyle w:val="FootnoteText"/>
      </w:pPr>
      <w:r>
        <w:rPr>
          <w:rStyle w:val="FootnoteReference"/>
        </w:rPr>
        <w:footnoteRef/>
      </w:r>
      <w:r>
        <w:t xml:space="preserve"> </w:t>
      </w:r>
      <w:r>
        <w:tab/>
        <w:t>A múlt évi jelentésben szereplő, érzékelt korrupcióra, valamint a polgárok és vállalkozások tapasztalataira vonatkozó Eurobarométer-adatokat kétévente frissítik. A legfrissebb adatkészletet az 502 sz. Eurobarométer tematikus felmérés (2020) és a 482. sz. Eurobarométer gyorsfelmérés (2019) alkotja.</w:t>
      </w:r>
    </w:p>
  </w:footnote>
  <w:footnote w:id="101">
    <w:p>
      <w:pPr>
        <w:pStyle w:val="FootnoteText"/>
      </w:pPr>
      <w:r>
        <w:rPr>
          <w:rStyle w:val="FootnoteReference"/>
        </w:rPr>
        <w:footnoteRef/>
      </w:r>
      <w:r>
        <w:t xml:space="preserve"> </w:t>
      </w:r>
      <w:r>
        <w:tab/>
        <w:t>A Szlovák Köztársaság kormánya, a Szlovák Köztársaság 2019–2023-as időszakra vonatkozó korrupcióellenes politikája (2018).</w:t>
      </w:r>
    </w:p>
  </w:footnote>
  <w:footnote w:id="102">
    <w:p>
      <w:pPr>
        <w:pStyle w:val="FootnoteText"/>
      </w:pPr>
      <w:r>
        <w:rPr>
          <w:rStyle w:val="FootnoteReference"/>
        </w:rPr>
        <w:footnoteRef/>
      </w:r>
      <w:r>
        <w:t xml:space="preserve"> </w:t>
      </w:r>
      <w:r>
        <w:tab/>
        <w:t>A Szlovák Köztársaság kormánya, a Szlovák Köztársaság nemzeti korrupcióellenes programja (2019).</w:t>
      </w:r>
    </w:p>
  </w:footnote>
  <w:footnote w:id="103">
    <w:p>
      <w:pPr>
        <w:pStyle w:val="FootnoteText"/>
      </w:pPr>
      <w:r>
        <w:rPr>
          <w:rStyle w:val="FootnoteReference"/>
        </w:rPr>
        <w:footnoteRef/>
      </w:r>
      <w:r>
        <w:t xml:space="preserve"> </w:t>
      </w:r>
      <w:r>
        <w:tab/>
        <w:t>A minisztériumok és egyéb intézmények ágazati programokat fogadtak el, ideértve többek között az Igazságügyi, a Gazdasági, a Belügy-, a Közlekedési és Építésügyi, a Környezetvédelmi, a Pénzügy-, a Kül- és Európaügyi, az Egészségügyi és a Munkaügyi Minisztériumot. Az elfogadott cselekvési tervek elsősorban megelőző elemeket tartalmaznak, ideértve a tudatosságnövelésre, a korrupcióellenes oktatásra és a korrupcióval kapcsolatos kockázatkezelésre vonatkozó elemeket.</w:t>
      </w:r>
    </w:p>
  </w:footnote>
  <w:footnote w:id="104">
    <w:p>
      <w:pPr>
        <w:pStyle w:val="FootnoteText"/>
      </w:pPr>
      <w:r>
        <w:rPr>
          <w:rStyle w:val="FootnoteReference"/>
        </w:rPr>
        <w:footnoteRef/>
      </w:r>
      <w:r>
        <w:t xml:space="preserve"> </w:t>
      </w:r>
      <w:r>
        <w:tab/>
        <w:t>Az új nemzeti korrupcióellenes program előkészítési szakaszban van. A szlovák kormány szerint már sor került a nyilvános konzultációkra. Szlovákia további hozzájárulása a 2021. évi jogállamisági jelentéshez, 7. o.</w:t>
      </w:r>
    </w:p>
  </w:footnote>
  <w:footnote w:id="105">
    <w:p>
      <w:pPr>
        <w:pStyle w:val="FootnoteText"/>
      </w:pPr>
      <w:r>
        <w:rPr>
          <w:rStyle w:val="FootnoteReference"/>
        </w:rPr>
        <w:footnoteRef/>
      </w:r>
      <w:r>
        <w:t xml:space="preserve"> </w:t>
      </w:r>
      <w:r>
        <w:tab/>
        <w:t>A Kormányhivatal Korrupciómegelőzési Osztályának szerepe annak ellenőrzésére korlátozódik, hogy az illetékes minisztérium elkészítette-e a programot, ugyanakkor nem értékeli annak tartalmát. A Korrupciómegelőzési Osztály ugyanakkor együttműködik a korrupcióellenes koordinátorokkal, valamint a Korrupcióellenes Koordinátorok Tanácsával. A Szlovákiában tett országlátogatás keretében kapott tájékoztatás.</w:t>
      </w:r>
    </w:p>
  </w:footnote>
  <w:footnote w:id="106">
    <w:p>
      <w:pPr>
        <w:pStyle w:val="FootnoteText"/>
      </w:pPr>
      <w:r>
        <w:rPr>
          <w:rStyle w:val="FootnoteReference"/>
        </w:rPr>
        <w:footnoteRef/>
      </w:r>
      <w:r>
        <w:t xml:space="preserve"> </w:t>
      </w:r>
      <w:r>
        <w:tab/>
        <w:t>A vagyonelkobzásról és az elkobzott vagyontárgyak kezeléséről, valamint egyes törvények módosításáról szóló 312/2020. sz. törvény, amely 2021. január 1-jétől hatályos.</w:t>
      </w:r>
    </w:p>
  </w:footnote>
  <w:footnote w:id="107">
    <w:p>
      <w:pPr>
        <w:pStyle w:val="FootnoteText"/>
      </w:pPr>
      <w:r>
        <w:rPr>
          <w:rStyle w:val="FootnoteReference"/>
        </w:rPr>
        <w:footnoteRef/>
      </w:r>
      <w:r>
        <w:t xml:space="preserve"> </w:t>
      </w:r>
      <w:r>
        <w:tab/>
        <w:t>A törvény újrafogalmazta a bűnözői tevékenységből származó jövedelmek tisztára mosásának fogalmát is, valamint bevezette a joggal való visszaélés új bűncselekményét is, lásd a fenti I. szakaszt. Az aktív, passzív, közvetlen és közvetett korrupció valamennyi formáját már korábban bűncselekménnyé nyilvánították Szlovákiában.</w:t>
      </w:r>
    </w:p>
  </w:footnote>
  <w:footnote w:id="108">
    <w:p>
      <w:pPr>
        <w:pStyle w:val="FootnoteText"/>
      </w:pPr>
      <w:r>
        <w:rPr>
          <w:rStyle w:val="FootnoteReference"/>
        </w:rPr>
        <w:footnoteRef/>
      </w:r>
      <w:r>
        <w:t xml:space="preserve"> </w:t>
      </w:r>
      <w:r>
        <w:tab/>
        <w:t>Az igazgatói tisztség betöltésére vonatkozó kiválasztási eljárások folyamatban voltak e jelentés készítésekor; lásd: Szlovákia hozzájárulása a 2021. évi jogállamisági jelentéshez, 22. o. Számos további, korrupcióval kapcsolatos módosítást vezettek be, többek között a pénzmosás elleni védelemről és a terrorizmus finanszírozásáról szóló 297/2008. sz. törvényt módosító és kiegészítő 279/2020. sz. törvényt (2020. szeptember).</w:t>
      </w:r>
    </w:p>
  </w:footnote>
  <w:footnote w:id="109">
    <w:p>
      <w:pPr>
        <w:pStyle w:val="FootnoteText"/>
      </w:pPr>
      <w:r>
        <w:rPr>
          <w:rStyle w:val="FootnoteReference"/>
        </w:rPr>
        <w:footnoteRef/>
      </w:r>
      <w:r>
        <w:t xml:space="preserve"> </w:t>
      </w:r>
      <w:r>
        <w:tab/>
        <w:t>Szlovákia hozzájárulása a 2021. évi jogállamisági jelentéshez, 24. o., hivatkozás a rendőrségről szóló 171/1993. sz. törvény 29(a) szakaszának 4. bekezdésére, annak ellenére, hogy a rendőrség más bűncselekmények esetében jogosult ilyen információk beszerzésére, például adókijátszás, illegális pénzügyi műveletek vagy a bűncselekményből származó jövedelmek legalizálása esetében. Nevezetesen, a bankszámlák központi nyilvántartásáról szóló törvénytervezet 2021. december 1-jétől várhatóan kezeli ezeket a hiányosságokat.</w:t>
      </w:r>
    </w:p>
  </w:footnote>
  <w:footnote w:id="110">
    <w:p>
      <w:pPr>
        <w:pStyle w:val="FootnoteText"/>
      </w:pPr>
      <w:r>
        <w:rPr>
          <w:rStyle w:val="FootnoteReference"/>
        </w:rPr>
        <w:footnoteRef/>
      </w:r>
      <w:r>
        <w:t xml:space="preserve"> </w:t>
      </w:r>
      <w:r>
        <w:tab/>
        <w:t>UNCAC végrehajtási felülvizsgálat – 1. ciklus (2010–2015), országspecifikus véleményezési jelentés, Szlovák Köztársaság, 22. o. A befolyással üzérkedést a büntető törvénykönyv 336. szakasza nyilvánította bűncselekménnyé, de nem terjed ki olyan esetekre, amikor egy adott személy csúszópénzt ajánlott fel vagy fogadott el egy másik személytől, aki valójában nem rendelkezett azzal a befolyással, amelynek tekintetében a csúszópénzt adták, amint azt az UNCAC-egyezmény előírja.</w:t>
      </w:r>
    </w:p>
  </w:footnote>
  <w:footnote w:id="111">
    <w:p>
      <w:pPr>
        <w:pStyle w:val="FootnoteText"/>
      </w:pPr>
      <w:r>
        <w:rPr>
          <w:rStyle w:val="FootnoteReference"/>
        </w:rPr>
        <w:footnoteRef/>
      </w:r>
      <w:r>
        <w:t xml:space="preserve"> </w:t>
      </w:r>
      <w:r>
        <w:tab/>
        <w:t xml:space="preserve">UV-1860/2021. sz. határozat. Vö. Szlovák Köztársaság kormánya, javaslat a Szlovák Köztársaság legfőbb ügyészségén belül működő különleges ügyészség feladatainak végrehajtására kijelölt személyek létszámának megnöveléséről és feladatkörök szerinti besorolásukról. </w:t>
      </w:r>
    </w:p>
  </w:footnote>
  <w:footnote w:id="112">
    <w:p>
      <w:pPr>
        <w:pStyle w:val="FootnoteText"/>
      </w:pPr>
      <w:r>
        <w:rPr>
          <w:rStyle w:val="FootnoteReference"/>
        </w:rPr>
        <w:footnoteRef/>
      </w:r>
      <w:r>
        <w:t xml:space="preserve"> </w:t>
      </w:r>
      <w:r>
        <w:tab/>
        <w:t>Szlovákia hozzájárulása a 2021. évi jogállamisági jelentéshez, 15. o. A különleges ügyészség aggodalmát fejezte ki és jelezte, hogy valamennyi ügyész egy időben átlagosan körülbelül 80 ügyért felel, ami kérdéseket vet fel a nyomozások hatékony felügyeletével kapcsolatban. Vö. a jogállamiságról szóló jelentés (2020) 7. oldalával.</w:t>
      </w:r>
    </w:p>
  </w:footnote>
  <w:footnote w:id="113">
    <w:p>
      <w:pPr>
        <w:pStyle w:val="FootnoteText"/>
      </w:pPr>
      <w:r>
        <w:rPr>
          <w:rStyle w:val="FootnoteReference"/>
        </w:rPr>
        <w:footnoteRef/>
      </w:r>
      <w:r>
        <w:t xml:space="preserve"> </w:t>
      </w:r>
      <w:r>
        <w:tab/>
        <w:t>A különleges ügyészségen működő általános bűnügyi osztály egy vezető ügyészből és 9 ügyészből áll; lásd: Szlovákia hozzájárulása a 2021. évi jogállamisági jelentéshez, 16. o.</w:t>
      </w:r>
    </w:p>
  </w:footnote>
  <w:footnote w:id="114">
    <w:p>
      <w:pPr>
        <w:pStyle w:val="FootnoteText"/>
      </w:pPr>
      <w:r>
        <w:rPr>
          <w:rStyle w:val="FootnoteReference"/>
        </w:rPr>
        <w:footnoteRef/>
      </w:r>
      <w:r>
        <w:t xml:space="preserve"> </w:t>
      </w:r>
      <w:r>
        <w:tab/>
        <w:t>A különleges ügyészségen működő általános bűnügyi osztály egy vezető ügyészből és 9 ügyészből áll; lásd: Szlovákia hozzájárulása a 2021. évi jogállamisági jelentéshez, 16. o.</w:t>
      </w:r>
    </w:p>
  </w:footnote>
  <w:footnote w:id="115">
    <w:p>
      <w:pPr>
        <w:pStyle w:val="FootnoteText"/>
      </w:pPr>
      <w:r>
        <w:rPr>
          <w:rStyle w:val="FootnoteReference"/>
        </w:rPr>
        <w:footnoteRef/>
      </w:r>
      <w:r>
        <w:t xml:space="preserve"> </w:t>
      </w:r>
      <w:r>
        <w:tab/>
        <w:t>A különleges ügyészség további 1,3 millió EUR-t kap a reform megvalósítása céljából.</w:t>
      </w:r>
    </w:p>
  </w:footnote>
  <w:footnote w:id="116">
    <w:p>
      <w:pPr>
        <w:pStyle w:val="FootnoteText"/>
      </w:pPr>
      <w:r>
        <w:rPr>
          <w:rStyle w:val="FootnoteReference"/>
        </w:rPr>
        <w:footnoteRef/>
      </w:r>
      <w:r>
        <w:t xml:space="preserve"> </w:t>
      </w:r>
      <w:r>
        <w:tab/>
        <w:t>Vö. GRECO (2019), Ötödik értékelési kör. Értékelő jelentés. Szlovák Köztársaság, 37–57. o.</w:t>
      </w:r>
    </w:p>
  </w:footnote>
  <w:footnote w:id="117">
    <w:p>
      <w:pPr>
        <w:pStyle w:val="FootnoteText"/>
      </w:pPr>
      <w:r>
        <w:rPr>
          <w:rStyle w:val="FootnoteReference"/>
        </w:rPr>
        <w:footnoteRef/>
      </w:r>
      <w:r>
        <w:t xml:space="preserve"> </w:t>
      </w:r>
      <w:r>
        <w:tab/>
        <w:t>2020. évi jogállamisági jelentés, Országfejezet – A jogállamiság helyzete Szlovákiában, 8. o.</w:t>
      </w:r>
    </w:p>
  </w:footnote>
  <w:footnote w:id="118">
    <w:p>
      <w:pPr>
        <w:pStyle w:val="FootnoteText"/>
      </w:pPr>
      <w:r>
        <w:rPr>
          <w:rStyle w:val="FootnoteReference"/>
        </w:rPr>
        <w:footnoteRef/>
      </w:r>
      <w:r>
        <w:t xml:space="preserve"> </w:t>
      </w:r>
      <w:r>
        <w:tab/>
        <w:t>Vö. a Szlovák Köztársaság helyreállítási és rezilienciaépítési tervével.</w:t>
      </w:r>
    </w:p>
  </w:footnote>
  <w:footnote w:id="119">
    <w:p>
      <w:pPr>
        <w:pStyle w:val="FootnoteText"/>
      </w:pPr>
      <w:r>
        <w:rPr>
          <w:rStyle w:val="FootnoteReference"/>
        </w:rPr>
        <w:footnoteRef/>
      </w:r>
      <w:r>
        <w:t xml:space="preserve"> </w:t>
      </w:r>
      <w:r>
        <w:tab/>
        <w:t>A Szlovákiában tett országlátogatás keretében kapott tájékoztatás. Lásd még az I. szakaszt.</w:t>
      </w:r>
    </w:p>
  </w:footnote>
  <w:footnote w:id="120">
    <w:p>
      <w:pPr>
        <w:pStyle w:val="FootnoteText"/>
      </w:pPr>
      <w:r>
        <w:rPr>
          <w:rStyle w:val="FootnoteReference"/>
        </w:rPr>
        <w:footnoteRef/>
      </w:r>
      <w:r>
        <w:t xml:space="preserve"> </w:t>
      </w:r>
      <w:r>
        <w:tab/>
        <w:t>A Szlovákiában tett országlátogatás keretében kapott tájékoztatás alapján a 158 megindított korrupciós ügyből 73 ügy csúszópénz átadásán, 71 csúszópénz elfogadásán, 8 közvetett korrupción, 5 választás során elkövetett korrupción és 1 sportmérkőzések megbundázásán alapult.</w:t>
      </w:r>
    </w:p>
  </w:footnote>
  <w:footnote w:id="121">
    <w:p>
      <w:pPr>
        <w:pStyle w:val="FootnoteText"/>
        <w:rPr>
          <w:rFonts w:cs="Times New Roman"/>
        </w:rPr>
      </w:pPr>
      <w:r>
        <w:rPr>
          <w:rStyle w:val="FootnoteReference"/>
        </w:rPr>
        <w:footnoteRef/>
      </w:r>
      <w:r>
        <w:t xml:space="preserve"> </w:t>
      </w:r>
      <w:r>
        <w:tab/>
        <w:t xml:space="preserve">A statisztikákban szereplő bűncselekmények közé tartozik a passzív hivatali vesztegetés (328. cikk), passzív hivatali vesztegetés – általános érdekű cikkek beszerzése (329. cikk), aktív hivatali vesztegetés (332. cikk), aktív hivatali vesztegetés – általános érdekű cikkek beszerzése (333. cikk), befolyással való kereskedés (336. cikk), választási vesztegetés (336a. cikk), sportot érintő korrupció (336b. cikk). Szlovákia további hozzájárulása a 2021. évi jogállamisági jelentéshez, elérhető az alábbi honlapon: </w:t>
      </w:r>
      <w:hyperlink r:id="rId9" w:history="1">
        <w:r>
          <w:rPr>
            <w:color w:val="0563C1" w:themeColor="hyperlink"/>
            <w:u w:val="single"/>
          </w:rPr>
          <w:t>http://web.ac-mssr.sk/wp-content/uploads/2020/rocenka2019/I.-Trestn%C3%A1-agenda_2019_pdf.pdf</w:t>
        </w:r>
      </w:hyperlink>
      <w:r>
        <w:rPr>
          <w:color w:val="0563C1"/>
          <w:u w:val="single"/>
        </w:rPr>
        <w:t xml:space="preserve"> </w:t>
      </w:r>
      <w:r>
        <w:t>Emellett a Nemzeti Nyomozó Ügynökség éves jelentései tartalmaznak korrupcióval kapcsolatos statisztikákat a nyomozások és büntetőeljárások száma, valamint a korrupciós bűncselekményekkel vádolt személyek száma tekintetében. A Belügyminisztérium továbbá havonta közöl online bűnügyi statisztikákat.</w:t>
      </w:r>
    </w:p>
  </w:footnote>
  <w:footnote w:id="122">
    <w:p>
      <w:pPr>
        <w:pStyle w:val="FootnoteText"/>
      </w:pPr>
      <w:r>
        <w:rPr>
          <w:rStyle w:val="FootnoteReference"/>
        </w:rPr>
        <w:footnoteRef/>
      </w:r>
      <w:r>
        <w:rPr>
          <w:rStyle w:val="FootnoteReference"/>
        </w:rPr>
        <w:t xml:space="preserve"> </w:t>
      </w:r>
      <w:r>
        <w:tab/>
        <w:t xml:space="preserve">A Szlovák Földalap felel az állami tulajdonban lévő mezőgazdasági földterületek vagy az ismert magántulajdonossal nem rendelkező földterületek kezeléséért. E parcellák körülbelül a szlovák mezőgazdasági földterületek 20 %-át teszik ki és többségük jogosult közvetlen uniós kifizetések igénybevételére. </w:t>
      </w:r>
    </w:p>
  </w:footnote>
  <w:footnote w:id="123">
    <w:p>
      <w:pPr>
        <w:pStyle w:val="FootnoteText"/>
      </w:pPr>
      <w:r>
        <w:rPr>
          <w:rStyle w:val="FootnoteReference"/>
        </w:rPr>
        <w:footnoteRef/>
      </w:r>
      <w:r>
        <w:rPr>
          <w:rStyle w:val="FootnoteReference"/>
        </w:rPr>
        <w:t xml:space="preserve"> </w:t>
      </w:r>
      <w:r>
        <w:tab/>
        <w:t>Aktuality.sk (2021. március 19.), a NAKA ismét őrizetbe vette Kvietik pénzügyi támogatót és a Szlovák Földalap több emberét.</w:t>
      </w:r>
    </w:p>
  </w:footnote>
  <w:footnote w:id="124">
    <w:p>
      <w:pPr>
        <w:pStyle w:val="FootnoteText"/>
      </w:pPr>
      <w:r>
        <w:rPr>
          <w:rStyle w:val="FootnoteReference"/>
        </w:rPr>
        <w:footnoteRef/>
      </w:r>
      <w:r>
        <w:rPr>
          <w:rStyle w:val="FootnoteReference"/>
        </w:rPr>
        <w:t xml:space="preserve"> </w:t>
      </w:r>
      <w:r>
        <w:tab/>
        <w:t xml:space="preserve">\x{FDDF} az Európai Csalás Elleni Hivatal sajtóközleménye (2021. január 21.), Az OLAF lezárja az uniós mezőgazdasági alapokkal kapcsolatos ügyeket Szlovákiában. </w:t>
      </w:r>
    </w:p>
  </w:footnote>
  <w:footnote w:id="125">
    <w:p>
      <w:pPr>
        <w:pStyle w:val="FootnoteText"/>
        <w:rPr>
          <w:rFonts w:cs="Times New Roman"/>
        </w:rPr>
      </w:pPr>
      <w:r>
        <w:rPr>
          <w:rStyle w:val="FootnoteReference"/>
          <w:rFonts w:cs="Times New Roman"/>
        </w:rPr>
        <w:footnoteRef/>
      </w:r>
      <w:r>
        <w:t xml:space="preserve"> </w:t>
      </w:r>
      <w:r>
        <w:tab/>
        <w:t>Szlovákia hozzájárulása a 2021. évi jogállamisági jelentéshez, 25. o.</w:t>
      </w:r>
    </w:p>
  </w:footnote>
  <w:footnote w:id="126">
    <w:p>
      <w:pPr>
        <w:pStyle w:val="FootnoteText"/>
      </w:pPr>
      <w:r>
        <w:rPr>
          <w:rStyle w:val="FootnoteReference"/>
          <w:rFonts w:cs="Times New Roman"/>
        </w:rPr>
        <w:footnoteRef/>
      </w:r>
      <w:r>
        <w:t xml:space="preserve"> </w:t>
      </w:r>
      <w:r>
        <w:tab/>
        <w:t>Transparency International (2020), Exporting corruption (A korrupció exportálása) című jelentésének 102. oldala szerint Szlovákia a 2016–2019 közötti időszakban ismeretlen számú vizsgálatot indított, valamint nem indított és nem zárt le egy ügyet sem. Az OECD megvesztegetés elleni egyezményének végrehajtása, 3. fázis: Szlovák Köztársaság (2012), és a 3. fázis jelentésének és ajánlásainak nyomon követése, Szlovák Köztársaság (2014) c. dokumentumokban megfogalmazott ajánlások nyomán módosultak a külföldi megvesztegetéssel kapcsolatos bűncselekményekre vonatkozó nemzeti rendelkezések. A jogi személyek külföldi megvesztegetéssel szembeni felelőssége tekintetében lásd: OECD, 1a. szakasz, jelentés: Szlovák Köztársaság (2017). A Szlovák Köztársaságban a tervek szerint 2025 során kerül sor az egyezmény végrehajtásának 4. fázisában esedékes felülvizsgálatra, amelynek során felülvizsgálják a korábbi értékelések és végrehajtási erőfeszítések során feltárt hiányosságok kezelése érdekében tett intézkedéseket.</w:t>
      </w:r>
    </w:p>
  </w:footnote>
  <w:footnote w:id="127">
    <w:p>
      <w:pPr>
        <w:pStyle w:val="FootnoteText"/>
      </w:pPr>
      <w:r>
        <w:rPr>
          <w:rStyle w:val="FootnoteReference"/>
        </w:rPr>
        <w:footnoteRef/>
      </w:r>
      <w:r>
        <w:t xml:space="preserve"> </w:t>
      </w:r>
      <w:r>
        <w:tab/>
        <w:t>Szlovákia hozzájárulása a 2021. évi jogállamisági jelentéshez, 19. o.; 2020. évi jogállamisági jelentés, Országfejezet – A jogállamiság helyzete Szlovákiában, 9. o.</w:t>
      </w:r>
    </w:p>
  </w:footnote>
  <w:footnote w:id="128">
    <w:p>
      <w:pPr>
        <w:pStyle w:val="FootnoteText"/>
      </w:pPr>
      <w:r>
        <w:rPr>
          <w:rStyle w:val="FootnoteReference"/>
        </w:rPr>
        <w:footnoteRef/>
      </w:r>
      <w:r>
        <w:t xml:space="preserve"> </w:t>
      </w:r>
      <w:r>
        <w:tab/>
        <w:t>A visszaélést bejelentő személyek védelmével foglalkozó hivatalt a 2019 márciusa óta hatályban lévő, a visszaélést bejelentő személyek védelméről szóló 54/2019. sz. törvény hozza létre.</w:t>
      </w:r>
    </w:p>
  </w:footnote>
  <w:footnote w:id="129">
    <w:p>
      <w:pPr>
        <w:pStyle w:val="FootnoteText"/>
      </w:pPr>
      <w:r>
        <w:rPr>
          <w:rStyle w:val="FootnoteReference"/>
        </w:rPr>
        <w:footnoteRef/>
      </w:r>
      <w:r>
        <w:t xml:space="preserve"> </w:t>
      </w:r>
      <w:r>
        <w:tab/>
        <w:t>A személyzeti és működési költségek évente körülbelül 1,1 millió EUR-t tesznek ki.</w:t>
      </w:r>
    </w:p>
  </w:footnote>
  <w:footnote w:id="130">
    <w:p>
      <w:pPr>
        <w:pStyle w:val="FootnoteText"/>
      </w:pPr>
      <w:r>
        <w:rPr>
          <w:rStyle w:val="FootnoteReference"/>
        </w:rPr>
        <w:footnoteRef/>
      </w:r>
      <w:r>
        <w:t xml:space="preserve"> </w:t>
      </w:r>
      <w:r>
        <w:tab/>
        <w:t>Szlovákiában 2019 óta külön törvény van hatályban a visszaélést bejelentő személyek védelméről, ez a visszaélést bejelentő személyek védelméről szóló 54/2019. sz. törvény.</w:t>
      </w:r>
    </w:p>
  </w:footnote>
  <w:footnote w:id="131">
    <w:p>
      <w:pPr>
        <w:pStyle w:val="FootnoteText"/>
      </w:pPr>
      <w:r>
        <w:rPr>
          <w:rStyle w:val="FootnoteReference"/>
        </w:rPr>
        <w:footnoteRef/>
      </w:r>
      <w:r>
        <w:t xml:space="preserve"> </w:t>
      </w:r>
      <w:r>
        <w:tab/>
        <w:t xml:space="preserve">A Szlovák Köztársaság kormánya, A Szlovák Köztársaság kormányának 2021.évi jogalkotási feladatterve,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p>
  </w:footnote>
  <w:footnote w:id="132">
    <w:p>
      <w:pPr>
        <w:pStyle w:val="FootnoteText"/>
      </w:pPr>
      <w:r>
        <w:rPr>
          <w:rStyle w:val="FootnoteReference"/>
        </w:rPr>
        <w:footnoteRef/>
      </w:r>
      <w:r>
        <w:t xml:space="preserve"> </w:t>
      </w:r>
      <w:r>
        <w:tab/>
        <w:t>A Szlovákiában tett országlátogatás keretében a kormánytól kapott tájékoztatás.</w:t>
      </w:r>
    </w:p>
  </w:footnote>
  <w:footnote w:id="133">
    <w:p>
      <w:pPr>
        <w:pStyle w:val="FootnoteText"/>
      </w:pPr>
      <w:r>
        <w:rPr>
          <w:rStyle w:val="FootnoteReference"/>
        </w:rPr>
        <w:footnoteRef/>
      </w:r>
      <w:r>
        <w:t xml:space="preserve"> </w:t>
      </w:r>
      <w:r>
        <w:tab/>
        <w:t>2020. évi jogállamisági jelentés, Országfejezet – A jogállamiság helyzete Szlovákiában, 9. o.</w:t>
      </w:r>
    </w:p>
  </w:footnote>
  <w:footnote w:id="134">
    <w:p>
      <w:pPr>
        <w:pStyle w:val="FootnoteText"/>
      </w:pPr>
      <w:r>
        <w:rPr>
          <w:rStyle w:val="FootnoteReference"/>
        </w:rPr>
        <w:footnoteRef/>
      </w:r>
      <w:r>
        <w:t xml:space="preserve"> </w:t>
      </w:r>
      <w:r>
        <w:tab/>
        <w:t>Vö. GRECO (2019), Negyedik értékelési kör. A második megfelelőségi jelentés kiegészítése. Szlovák Köztársaság, 8. pont, és GRECO (2013), Negyedik értékelési kör. Értékelő jelentés. Szlovák Köztársaság, 25. pont (a parlamenti képviselők tekintetében); GRECO (2019), Ötödik értékelési kör. Értékelő jelentés. Szlovák Köztársaság, 89. pont (a központi kormányzat/felső vezetői funkciók tekintetében); GRECO (2019), Negyedik értékelési kör. A második megfelelőségi jelentés kiegészítése. Szlovák Köztársaság.</w:t>
      </w:r>
    </w:p>
  </w:footnote>
  <w:footnote w:id="135">
    <w:p>
      <w:pPr>
        <w:pStyle w:val="FootnoteText"/>
      </w:pPr>
      <w:r>
        <w:rPr>
          <w:rStyle w:val="FootnoteReference"/>
        </w:rPr>
        <w:footnoteRef/>
      </w:r>
      <w:r>
        <w:t xml:space="preserve"> </w:t>
      </w:r>
      <w:r>
        <w:tab/>
        <w:t>Ezek közé tartozik többek között a törvény az információhoz való szabad hozzáférésről, valamint a 357/2004. sz. alkotmánytörvény az összeférhetetlenségről.</w:t>
      </w:r>
    </w:p>
  </w:footnote>
  <w:footnote w:id="136">
    <w:p>
      <w:pPr>
        <w:pStyle w:val="FootnoteText"/>
      </w:pPr>
      <w:r>
        <w:rPr>
          <w:rStyle w:val="FootnoteReference"/>
        </w:rPr>
        <w:footnoteRef/>
      </w:r>
      <w:r>
        <w:t xml:space="preserve"> </w:t>
      </w:r>
      <w:r>
        <w:tab/>
        <w:t>A parlamenti képviselők etikai kódexe a kormányhivatal lobbitevékenységről szóló törvénytervezetének részét képezi. Az állami alkalmazottak esetében a közszolgálati törvény 2019-es jogszabályi módosításai magukban foglalták az állami alkalmazottak etikai kódexét, valamint a megfelelés értékelésére szolgáló rendszert; 400/2019. sz. rendelet az állami alkalmazottak etikai kódexéről. A parlamenti képviselők etikai kódexének bevezetése tekintetében lásd még: GRECO (2021), Negyedik értékelési kör. A második megfelelőségi jelentés második kiegészítése. Szlovák Köztársaság.</w:t>
      </w:r>
    </w:p>
  </w:footnote>
  <w:footnote w:id="137">
    <w:p>
      <w:pPr>
        <w:pStyle w:val="FootnoteText"/>
      </w:pPr>
      <w:r>
        <w:rPr>
          <w:rStyle w:val="FootnoteReference"/>
        </w:rPr>
        <w:footnoteRef/>
      </w:r>
      <w:r>
        <w:t xml:space="preserve"> </w:t>
      </w:r>
      <w:r>
        <w:tab/>
        <w:t>Szlovákia hozzájárulása a 2021. évi jogállamisági jelentéshez, 19. o., valamint a Szlovákiában tett országlátogatás keretében a kormány Korrupciómegelőzési Osztályától kapott tájékoztatás. A munkaviszony megszűnése utáni szabályokat mostanáig a vezető funkciókat betöltő vagy egy testületi szervben tagként tevékenykedő tisztviselőkre vonatkozó összeférhetetlenségről szóló törvény tartalmazta, de hatályukat tekintve ezek korlátozottnak bizonyultak. Vö. GRECO (2019), Ötödik értékelési kör. Értékelő jelentés. Szlovák Köztársaság, 127–128. pont.</w:t>
      </w:r>
    </w:p>
  </w:footnote>
  <w:footnote w:id="138">
    <w:p>
      <w:pPr>
        <w:pStyle w:val="FootnoteText"/>
      </w:pPr>
      <w:r>
        <w:rPr>
          <w:rStyle w:val="FootnoteReference"/>
        </w:rPr>
        <w:footnoteRef/>
      </w:r>
      <w:r>
        <w:rPr>
          <w:rStyle w:val="FootnoteReference"/>
        </w:rPr>
        <w:t xml:space="preserve"> </w:t>
      </w:r>
      <w:r>
        <w:tab/>
        <w:t>Az 545/2005. sz. alkotmánytörvény által módosított, 357/2004. sz. alkotmánytörvény a tisztviselők hivatali tevékenységeinek ellátásához fűződő közérdek védelméről. Nevezetesen, a jelenlegi kormányprogram további átfogó törvényi módosításokat irányoz elő, különösen a parlamenti képviselőknek nyújtott ajándékok tekintetében, hogy kezelni lehessen a minimálbérekkel kapcsolatos küszöbértékek tekintetében fennmaradó aggályokat. Vö. GRECO (2021), Negyedik értékelési kör. A második megfelelőségi jelentés második kiegészítése. Szlovák Köztársaság, 20–21. pont. Lásd még: GRECO (2021), Slovakia: GRECO regrets slow progress in prevention corruption of parliamentarians, judges and prosecutors (A GRECO sajnálatát fejezi ki amiatt, hogy lassú előrelépés történt a parlamenti képviselők, bírák és ügyészek által elkövetett korrupció megelőzése terén)</w:t>
      </w:r>
      <w:r>
        <w:rPr>
          <w:rStyle w:val="Hyperlink"/>
          <w:color w:val="auto"/>
          <w:u w:val="none"/>
        </w:rPr>
        <w:t>.</w:t>
      </w:r>
    </w:p>
  </w:footnote>
  <w:footnote w:id="139">
    <w:p>
      <w:pPr>
        <w:pStyle w:val="FootnoteText"/>
      </w:pPr>
      <w:r>
        <w:rPr>
          <w:rStyle w:val="FootnoteReference"/>
        </w:rPr>
        <w:footnoteRef/>
      </w:r>
      <w:r>
        <w:t xml:space="preserve"> </w:t>
      </w:r>
      <w:r>
        <w:tab/>
        <w:t>A Szlovákiában tett országlátogatás keretében kapott tájékoztatás. Lásd még: 2020. évi jogállamisági jelentés, Országfejezet – A jogállamiság helyzete Szlovákiában, 9–10. oldal.</w:t>
      </w:r>
    </w:p>
  </w:footnote>
  <w:footnote w:id="140">
    <w:p>
      <w:pPr>
        <w:pStyle w:val="FootnoteText"/>
      </w:pPr>
      <w:r>
        <w:rPr>
          <w:rStyle w:val="FootnoteReference"/>
        </w:rPr>
        <w:footnoteRef/>
      </w:r>
      <w:r>
        <w:t xml:space="preserve"> </w:t>
      </w:r>
      <w:r>
        <w:tab/>
        <w:t>A Szlovákiában tett országlátogatás keretében kapott tájékoztatás. A parlamenti képviselők negyede (381) 2021 januárjáig nem nyújtotta be vagyonnyilatkozatát a parlamenti bizottságnak.</w:t>
      </w:r>
    </w:p>
  </w:footnote>
  <w:footnote w:id="141">
    <w:p>
      <w:pPr>
        <w:pStyle w:val="FootnoteText"/>
      </w:pPr>
      <w:r>
        <w:rPr>
          <w:rStyle w:val="FootnoteReference"/>
        </w:rPr>
        <w:footnoteRef/>
      </w:r>
      <w:r>
        <w:t xml:space="preserve"> </w:t>
      </w:r>
      <w:r>
        <w:tab/>
        <w:t>A 2005. évi (2019-ben módosított) 85. sz. törvény a politikai pártokról és a politikai mozgalmakról.</w:t>
      </w:r>
    </w:p>
  </w:footnote>
  <w:footnote w:id="142">
    <w:p>
      <w:pPr>
        <w:pStyle w:val="FootnoteText"/>
      </w:pPr>
      <w:r>
        <w:rPr>
          <w:rStyle w:val="FootnoteReference"/>
        </w:rPr>
        <w:footnoteRef/>
      </w:r>
      <w:r>
        <w:t xml:space="preserve"> </w:t>
      </w:r>
      <w:r>
        <w:tab/>
        <w:t>A politikai pártokról és a politikai mozgalmakról szóló 2005. évi (2019-ben módosított) 85. sz. törvény 22. cikkének (5) bekezdése.</w:t>
      </w:r>
    </w:p>
  </w:footnote>
  <w:footnote w:id="143">
    <w:p>
      <w:pPr>
        <w:pStyle w:val="FootnoteText"/>
      </w:pPr>
      <w:r>
        <w:rPr>
          <w:rStyle w:val="FootnoteReference"/>
        </w:rPr>
        <w:footnoteRef/>
      </w:r>
      <w:r>
        <w:t xml:space="preserve"> </w:t>
      </w:r>
      <w:r>
        <w:tab/>
        <w:t>A Szlovákiában tett országlátogatás keretében kapott tájékoztatás.</w:t>
      </w:r>
    </w:p>
  </w:footnote>
  <w:footnote w:id="144">
    <w:p>
      <w:pPr>
        <w:pStyle w:val="FootnoteText"/>
      </w:pPr>
      <w:r>
        <w:rPr>
          <w:rStyle w:val="FootnoteReference"/>
        </w:rPr>
        <w:footnoteRef/>
      </w:r>
      <w:r>
        <w:t xml:space="preserve"> </w:t>
      </w:r>
      <w:r>
        <w:tab/>
        <w:t xml:space="preserve">A 2005. évi (2019-ben módosított) 85. sz. törvény a politikai pártokról és a politikai mozgalmakról. A törvénytervezet a pártok adományból és kölcsönökből származó bevételét négyéves időtartamra 3,5 millió EUR összegben korlátozta, és a párttagok éves adományait fejenként 10 000 EUR-ban maximálta. </w:t>
      </w:r>
    </w:p>
  </w:footnote>
  <w:footnote w:id="145">
    <w:p>
      <w:pPr>
        <w:pStyle w:val="FootnoteText"/>
      </w:pPr>
      <w:r>
        <w:rPr>
          <w:rStyle w:val="FootnoteReference"/>
        </w:rPr>
        <w:footnoteRef/>
      </w:r>
      <w:r>
        <w:rPr>
          <w:rStyle w:val="FootnoteReference"/>
        </w:rPr>
        <w:t xml:space="preserve"> </w:t>
      </w:r>
      <w:r>
        <w:tab/>
        <w:t>A Szlovákiában tett országlátogatás keretében kapott tájékoztatás. Lásd még az I. szakaszt.</w:t>
      </w:r>
    </w:p>
  </w:footnote>
  <w:footnote w:id="146">
    <w:p>
      <w:pPr>
        <w:pStyle w:val="FootnoteText"/>
      </w:pPr>
      <w:r>
        <w:rPr>
          <w:rStyle w:val="FootnoteReference"/>
        </w:rPr>
        <w:footnoteRef/>
      </w:r>
      <w:r>
        <w:rPr>
          <w:rStyle w:val="FootnoteReference"/>
        </w:rPr>
        <w:t xml:space="preserve"> </w:t>
      </w:r>
      <w:r>
        <w:tab/>
        <w:t>A Szlovákiában tett országlátogatás keretében kapott tájékoztatás.</w:t>
      </w:r>
    </w:p>
  </w:footnote>
  <w:footnote w:id="147">
    <w:p>
      <w:pPr>
        <w:pStyle w:val="FootnoteText"/>
      </w:pPr>
      <w:r>
        <w:rPr>
          <w:rStyle w:val="FootnoteReference"/>
        </w:rPr>
        <w:footnoteRef/>
      </w:r>
      <w:r>
        <w:rPr>
          <w:rStyle w:val="FootnoteReference"/>
        </w:rPr>
        <w:t xml:space="preserve"> </w:t>
      </w:r>
      <w:r>
        <w:tab/>
        <w:t xml:space="preserve">A program elérhető az alábbi honlapon: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A Szlovákiában tett országlátogatás keretében kapott tájékoztatás.</w:t>
      </w:r>
    </w:p>
  </w:footnote>
  <w:footnote w:id="149">
    <w:p>
      <w:pPr>
        <w:pStyle w:val="FootnoteText"/>
      </w:pPr>
      <w:r>
        <w:rPr>
          <w:rStyle w:val="FootnoteReference"/>
        </w:rPr>
        <w:footnoteRef/>
      </w:r>
      <w:r>
        <w:t xml:space="preserve"> </w:t>
      </w:r>
      <w:r>
        <w:tab/>
        <w:t xml:space="preserve">A Szlovák Köztársaság miniszterelnök-helyettese, a közbeszerzésről és egyes törvények módosításáról szóló 343/2015. sz. módosított törvényt módosító törvénytervezet,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p>
  </w:footnote>
  <w:footnote w:id="150">
    <w:p>
      <w:pPr>
        <w:pStyle w:val="FootnoteText"/>
      </w:pPr>
      <w:r>
        <w:rPr>
          <w:rStyle w:val="FootnoteReference"/>
        </w:rPr>
        <w:footnoteRef/>
      </w:r>
      <w:r>
        <w:t xml:space="preserve"> </w:t>
      </w:r>
      <w:r>
        <w:tab/>
        <w:t>A javaslat alapján a közbeszerzési eljárás felülvizsgálata ehelyett közvetlenül bírósági vizsgálat tárgyát képezné. Az ajánlattételi feltételekkel szembeni kifogásoknak például nem lenne halasztó hatályuk, ha azokat a bíróságon teszik, és a szerződéseket a bírósági határozat meghozatala előtt alá lehet írni.</w:t>
      </w:r>
    </w:p>
  </w:footnote>
  <w:footnote w:id="151">
    <w:p>
      <w:pPr>
        <w:pStyle w:val="FootnoteText"/>
      </w:pPr>
      <w:r>
        <w:rPr>
          <w:rStyle w:val="FootnoteReference"/>
        </w:rPr>
        <w:footnoteRef/>
      </w:r>
      <w:r>
        <w:t xml:space="preserve"> </w:t>
      </w:r>
      <w:r>
        <w:tab/>
        <w:t xml:space="preserve">Transparency International Szlovákia, A Szlovákiában tett országlátogatás keretében kapott tájékoztatás. </w:t>
      </w:r>
    </w:p>
  </w:footnote>
  <w:footnote w:id="152">
    <w:p>
      <w:pPr>
        <w:pStyle w:val="FootnoteText"/>
        <w:rPr>
          <w:rFonts w:cs="Times New Roman"/>
        </w:rPr>
      </w:pPr>
      <w:r>
        <w:rPr>
          <w:rStyle w:val="FootnoteReference"/>
          <w:rFonts w:cs="Times New Roman"/>
        </w:rPr>
        <w:footnoteRef/>
      </w:r>
      <w:r>
        <w:t xml:space="preserve"> </w:t>
      </w:r>
      <w:r>
        <w:tab/>
        <w:t>211/2000. sz. törvény az információhoz való szabad hozzáférésről.</w:t>
      </w:r>
    </w:p>
  </w:footnote>
  <w:footnote w:id="153">
    <w:p>
      <w:pPr>
        <w:pStyle w:val="FootnoteText"/>
        <w:rPr>
          <w:rFonts w:cs="Times New Roman"/>
        </w:rPr>
      </w:pPr>
      <w:r>
        <w:rPr>
          <w:rStyle w:val="FootnoteReference"/>
          <w:rFonts w:cs="Times New Roman"/>
        </w:rPr>
        <w:footnoteRef/>
      </w:r>
      <w:r>
        <w:t xml:space="preserve"> </w:t>
      </w:r>
      <w:r>
        <w:tab/>
        <w:t>308/2000. sz. törvény a műsorszolgáltatásról és a továbbközvetítésről.</w:t>
      </w:r>
    </w:p>
  </w:footnote>
  <w:footnote w:id="154">
    <w:p>
      <w:pPr>
        <w:pStyle w:val="FootnoteText"/>
        <w:rPr>
          <w:rFonts w:cs="Times New Roman"/>
        </w:rPr>
      </w:pPr>
      <w:r>
        <w:rPr>
          <w:rStyle w:val="FootnoteReference"/>
          <w:rFonts w:cs="Times New Roman"/>
        </w:rPr>
        <w:footnoteRef/>
      </w:r>
      <w:r>
        <w:t xml:space="preserve"> </w:t>
      </w:r>
      <w:r>
        <w:tab/>
        <w:t>167/2008. sz. törvény a sajtóról.</w:t>
      </w:r>
    </w:p>
  </w:footnote>
  <w:footnote w:id="155">
    <w:p>
      <w:pPr>
        <w:pStyle w:val="FootnoteText"/>
      </w:pPr>
      <w:r>
        <w:rPr>
          <w:rStyle w:val="FootnoteReference"/>
        </w:rPr>
        <w:footnoteRef/>
      </w:r>
      <w:r>
        <w:rPr>
          <w:rStyle w:val="FootnoteReference"/>
        </w:rPr>
        <w:t xml:space="preserve"> </w:t>
      </w:r>
      <w:r>
        <w:tab/>
        <w:t xml:space="preserve">Szlovákia két hellyel visszaesett a Riporterek Határok Nélkül sajtószabadság-indexében, és jelenleg világviszonylatban a 35. helyen, és az Unión belül a 17. helyen áll. Ez jórészt a politikusok újságírókkal és médiaszolgáltatókkal szembeni szóbeli támadásainak köszönhető. </w:t>
      </w:r>
    </w:p>
  </w:footnote>
  <w:footnote w:id="156">
    <w:p>
      <w:pPr>
        <w:pStyle w:val="FootnoteText"/>
      </w:pPr>
      <w:r>
        <w:rPr>
          <w:rStyle w:val="FootnoteReference"/>
        </w:rPr>
        <w:footnoteRef/>
      </w:r>
      <w:r>
        <w:rPr>
          <w:rStyle w:val="FootnoteReference"/>
        </w:rPr>
        <w:t xml:space="preserve"> </w:t>
      </w:r>
      <w:r>
        <w:tab/>
        <w:t>A 2018. november 14-i (EU) 2018/1808 irányelv.</w:t>
      </w:r>
    </w:p>
  </w:footnote>
  <w:footnote w:id="157">
    <w:p>
      <w:pPr>
        <w:pStyle w:val="FootnoteText"/>
      </w:pPr>
      <w:r>
        <w:rPr>
          <w:rStyle w:val="FootnoteReference"/>
        </w:rPr>
        <w:footnoteRef/>
      </w:r>
      <w:r>
        <w:t xml:space="preserve"> </w:t>
      </w:r>
      <w:r>
        <w:tab/>
        <w:t>További információkért lásd: 2020. évi jogállamisági jelentés, Országfejezet – A jogállamiság helyzete Szlovákiában, 11. oldal.</w:t>
      </w:r>
    </w:p>
  </w:footnote>
  <w:footnote w:id="158">
    <w:p>
      <w:pPr>
        <w:pStyle w:val="FootnoteText"/>
        <w:rPr>
          <w:rFonts w:cs="Times New Roman"/>
        </w:rPr>
      </w:pPr>
      <w:r>
        <w:rPr>
          <w:rStyle w:val="FootnoteReference"/>
          <w:rFonts w:cs="Times New Roman"/>
        </w:rPr>
        <w:footnoteRef/>
      </w:r>
      <w:r>
        <w:t xml:space="preserve"> </w:t>
      </w:r>
      <w:r>
        <w:tab/>
        <w:t>A Szlovákiában tett országlátogatás keretében kapott tájékoztatás.</w:t>
      </w:r>
    </w:p>
  </w:footnote>
  <w:footnote w:id="159">
    <w:p>
      <w:pPr>
        <w:pStyle w:val="FootnoteText"/>
        <w:rPr>
          <w:rFonts w:cs="Times New Roman"/>
        </w:rPr>
      </w:pPr>
      <w:r>
        <w:rPr>
          <w:rStyle w:val="FootnoteReference"/>
          <w:rFonts w:cs="Times New Roman"/>
        </w:rPr>
        <w:footnoteRef/>
      </w:r>
      <w:r>
        <w:t xml:space="preserve"> </w:t>
      </w:r>
      <w:r>
        <w:tab/>
        <w:t>A tanács kilenc tagból áll, akiket a Szlovák Köztársaság Nemzeti Tanácsa (a parlament) választ meg és hív vissza.</w:t>
      </w:r>
    </w:p>
  </w:footnote>
  <w:footnote w:id="160">
    <w:p>
      <w:pPr>
        <w:pStyle w:val="FootnoteText"/>
        <w:rPr>
          <w:rFonts w:cs="Times New Roman"/>
        </w:rPr>
      </w:pPr>
      <w:r>
        <w:rPr>
          <w:rStyle w:val="FootnoteReference"/>
          <w:rFonts w:cs="Times New Roman"/>
        </w:rPr>
        <w:footnoteRef/>
      </w:r>
      <w:r>
        <w:t xml:space="preserve"> </w:t>
      </w:r>
      <w:r>
        <w:tab/>
        <w:t>2021. évi Médiapluralizmus Monitor, Szlovákiáról szóló jelentés, 10. o.</w:t>
      </w:r>
    </w:p>
  </w:footnote>
  <w:footnote w:id="161">
    <w:p>
      <w:pPr>
        <w:pStyle w:val="FootnoteText"/>
      </w:pPr>
      <w:r>
        <w:rPr>
          <w:rStyle w:val="FootnoteReference"/>
        </w:rPr>
        <w:footnoteRef/>
      </w:r>
      <w:r>
        <w:t xml:space="preserve"> </w:t>
      </w:r>
      <w:r>
        <w:tab/>
        <w:t>Szlovákia hozzájárulása a 2021. évi jogállamisági jelentéshez, 26. o.; a Szlovákiában tett országlátogatás keretében kapott tájékoztatás.</w:t>
      </w:r>
    </w:p>
  </w:footnote>
  <w:footnote w:id="162">
    <w:p>
      <w:pPr>
        <w:pStyle w:val="FootnoteText"/>
      </w:pPr>
      <w:r>
        <w:rPr>
          <w:rStyle w:val="FootnoteReference"/>
        </w:rPr>
        <w:footnoteRef/>
      </w:r>
      <w:r>
        <w:t xml:space="preserve"> </w:t>
      </w:r>
      <w:r>
        <w:tab/>
        <w:t>2020. évi jogállamisági jelentés, Országfejezet – A jogállamiság helyzete Szlovákiában, 11. o.</w:t>
      </w:r>
    </w:p>
  </w:footnote>
  <w:footnote w:id="163">
    <w:p>
      <w:pPr>
        <w:pStyle w:val="FootnoteText"/>
      </w:pPr>
      <w:r>
        <w:rPr>
          <w:rStyle w:val="FootnoteReference"/>
        </w:rPr>
        <w:footnoteRef/>
      </w:r>
      <w:r>
        <w:t xml:space="preserve"> </w:t>
      </w:r>
      <w:r>
        <w:tab/>
        <w:t>A 2021. évi Médiapluralizmus Monitor, Szlovákiáról szóló jelentés, 11–12. o.</w:t>
      </w:r>
    </w:p>
  </w:footnote>
  <w:footnote w:id="164">
    <w:p>
      <w:pPr>
        <w:pStyle w:val="FootnoteText"/>
      </w:pPr>
      <w:r>
        <w:rPr>
          <w:rStyle w:val="FootnoteReference"/>
        </w:rPr>
        <w:footnoteRef/>
      </w:r>
      <w:r>
        <w:rPr>
          <w:rStyle w:val="FootnoteReference"/>
        </w:rPr>
        <w:t xml:space="preserve"> </w:t>
      </w:r>
      <w:r>
        <w:tab/>
        <w:t xml:space="preserve">A 2021. évi Médiapluralizmus Monitor, Szlovákiáról szóló jelentés, 12. o. </w:t>
      </w:r>
    </w:p>
  </w:footnote>
  <w:footnote w:id="165">
    <w:p>
      <w:pPr>
        <w:pStyle w:val="FootnoteText"/>
      </w:pPr>
      <w:r>
        <w:rPr>
          <w:rStyle w:val="FootnoteReference"/>
        </w:rPr>
        <w:footnoteRef/>
      </w:r>
      <w:r>
        <w:rPr>
          <w:rStyle w:val="FootnoteReference"/>
        </w:rPr>
        <w:t xml:space="preserve"> </w:t>
      </w:r>
      <w:r>
        <w:tab/>
        <w:t xml:space="preserve">A tömegtájékoztatás szabadságára vonatkozó gyorsreagálási platform (Media Freedom Rapid Response Platform) a felmentést az igazságszolgáltatás megcsúfolásának nevezte és üdvözölte az ügyész azon döntését, hogy fellebbez az ügyben. </w:t>
      </w:r>
    </w:p>
  </w:footnote>
  <w:footnote w:id="166">
    <w:p>
      <w:pPr>
        <w:pStyle w:val="FootnoteText"/>
      </w:pPr>
      <w:r>
        <w:rPr>
          <w:rStyle w:val="FootnoteReference"/>
        </w:rPr>
        <w:footnoteRef/>
      </w:r>
      <w:r>
        <w:t xml:space="preserve"> </w:t>
      </w:r>
      <w:r>
        <w:tab/>
        <w:t>A szlovák hatóságoktól kapott tájékoztatás.</w:t>
      </w:r>
    </w:p>
  </w:footnote>
  <w:footnote w:id="167">
    <w:p>
      <w:pPr>
        <w:pStyle w:val="FootnoteText"/>
        <w:rPr>
          <w:rFonts w:cs="Times New Roman"/>
        </w:rPr>
      </w:pPr>
      <w:r>
        <w:rPr>
          <w:rStyle w:val="FootnoteReference"/>
          <w:rFonts w:cs="Times New Roman"/>
        </w:rPr>
        <w:footnoteRef/>
      </w:r>
      <w:r>
        <w:t xml:space="preserve"> </w:t>
      </w:r>
      <w:r>
        <w:tab/>
        <w:t xml:space="preserve">Európa Tanács, Platform az újságírás védelmének és az újságírók biztonságának előmozdítására. </w:t>
      </w:r>
    </w:p>
  </w:footnote>
  <w:footnote w:id="168">
    <w:p>
      <w:pPr>
        <w:pStyle w:val="FootnoteText"/>
      </w:pPr>
      <w:r>
        <w:rPr>
          <w:rStyle w:val="FootnoteReference"/>
        </w:rPr>
        <w:footnoteRef/>
      </w:r>
      <w:r>
        <w:t xml:space="preserve"> </w:t>
      </w:r>
      <w:r>
        <w:tab/>
        <w:t xml:space="preserve">Szlovákia e riasztásra azt válaszolta, hogy az ügyben azonnal rendőrségi vizsgálatot indítottak. </w:t>
      </w:r>
    </w:p>
  </w:footnote>
  <w:footnote w:id="169">
    <w:p>
      <w:pPr>
        <w:pStyle w:val="FootnoteText"/>
      </w:pPr>
      <w:r>
        <w:rPr>
          <w:rStyle w:val="FootnoteReference"/>
        </w:rPr>
        <w:footnoteRef/>
      </w:r>
      <w:r>
        <w:t xml:space="preserve"> </w:t>
      </w:r>
      <w:r>
        <w:tab/>
        <w:t>A tervek szerint 2021 végéig fogadják el. Az országlátogatás során szolgáltatott tájékoztatás, 2021. április 22.</w:t>
      </w:r>
    </w:p>
  </w:footnote>
  <w:footnote w:id="170">
    <w:p>
      <w:pPr>
        <w:pStyle w:val="FootnoteText"/>
      </w:pPr>
      <w:r>
        <w:rPr>
          <w:rStyle w:val="FootnoteReference"/>
        </w:rPr>
        <w:footnoteRef/>
      </w:r>
      <w:r>
        <w:t xml:space="preserve"> </w:t>
      </w:r>
      <w:r>
        <w:tab/>
        <w:t>A szlovák hatóságok szerint az újságírók jogosultak voltak arra, hogy a jelenlegi rendszer keretében a kulturális és kreatív ágazatokra irányuló pénzügyi támogatást igényeljenek.</w:t>
      </w:r>
    </w:p>
  </w:footnote>
  <w:footnote w:id="171">
    <w:p>
      <w:pPr>
        <w:pStyle w:val="FootnoteText"/>
        <w:rPr>
          <w:rFonts w:cs="Times New Roman"/>
        </w:rPr>
      </w:pPr>
      <w:r>
        <w:rPr>
          <w:rStyle w:val="FootnoteReference"/>
          <w:rFonts w:cs="Times New Roman"/>
        </w:rPr>
        <w:footnoteRef/>
      </w:r>
      <w:r>
        <w:t xml:space="preserve"> </w:t>
      </w:r>
      <w:r>
        <w:tab/>
        <w:t>A szlovák alkotmány 72. cikke.</w:t>
      </w:r>
    </w:p>
  </w:footnote>
  <w:footnote w:id="172">
    <w:p>
      <w:pPr>
        <w:pStyle w:val="FootnoteText"/>
        <w:rPr>
          <w:rFonts w:cs="Times New Roman"/>
        </w:rPr>
      </w:pPr>
      <w:r>
        <w:rPr>
          <w:rStyle w:val="FootnoteReference"/>
          <w:rFonts w:cs="Times New Roman"/>
        </w:rPr>
        <w:footnoteRef/>
      </w:r>
      <w:r>
        <w:t xml:space="preserve"> </w:t>
      </w:r>
      <w:r>
        <w:tab/>
        <w:t>A szlovák alkotmány 87. cikke.</w:t>
      </w:r>
    </w:p>
  </w:footnote>
  <w:footnote w:id="173">
    <w:p>
      <w:pPr>
        <w:pStyle w:val="FootnoteText"/>
      </w:pPr>
      <w:r>
        <w:rPr>
          <w:rStyle w:val="FootnoteReference"/>
        </w:rPr>
        <w:footnoteRef/>
      </w:r>
      <w:r>
        <w:t xml:space="preserve"> </w:t>
      </w:r>
      <w:r>
        <w:tab/>
        <w:t>A reformtervezetet bemutatták a Bírói Tanács elnökének, a Legfelsőbb Bíróság elnökének, az Alkotmánybíróság elnökének, a legfőbb ügyészségnek, az ombudsmannak és a jogi szervezetek képviselőinek.</w:t>
      </w:r>
    </w:p>
  </w:footnote>
  <w:footnote w:id="174">
    <w:p>
      <w:pPr>
        <w:pStyle w:val="FootnoteText"/>
      </w:pPr>
      <w:r>
        <w:rPr>
          <w:rStyle w:val="FootnoteReference"/>
        </w:rPr>
        <w:footnoteRef/>
      </w:r>
      <w:r>
        <w:t xml:space="preserve"> </w:t>
      </w:r>
      <w:r>
        <w:tab/>
        <w:t xml:space="preserve">Az érdekelt feleknek az írásbeli nyilvános konzultáció keretében 15 munkanapig volt lehetőségük észrevételeket tenni a tervezettel kapcsolatban a nyári szabadságok időszakában. Az érdekelt felek a nyilvános konzultáció hosszát és időzítését is bírálták. Lásd az ügyészség, a pozsonyi Comenius Egyetem jogi kara, a szlovák ügyvédi kamara, valamint a Bírói Tanács részéről a nyilvános konzultáció során benyújtott észrevételeket, amelyek az alábbi honlapon érhetők el: https://www.slov-lex.sk/legislativne-procesy/SK/LP/2020/267; A szlovák ügyvédek </w:t>
      </w:r>
      <w:hyperlink r:id="rId12" w:history="1">
        <w:r>
          <w:rPr>
            <w:rStyle w:val="Hyperlink"/>
          </w:rPr>
          <w:t>https://pravnystat.eu/en/</w:t>
        </w:r>
      </w:hyperlink>
      <w:r>
        <w:t xml:space="preserve"> honlapon elérhető és az érdekelt felekkel a 2021. évi jogállamisági jelentésről folytatott konzultációhoz hozzájárulásként benyújtott nyílt felhívása.</w:t>
      </w:r>
    </w:p>
  </w:footnote>
  <w:footnote w:id="175">
    <w:p>
      <w:pPr>
        <w:pStyle w:val="FootnoteText"/>
      </w:pPr>
      <w:r>
        <w:rPr>
          <w:rStyle w:val="FootnoteReference"/>
        </w:rPr>
        <w:footnoteRef/>
      </w:r>
      <w:r>
        <w:t xml:space="preserve"> </w:t>
      </w:r>
      <w:r>
        <w:tab/>
        <w:t>Velencei Bizottság (2010. január 19.), Az alkotmánymódosításról szóló jelentés, CDL-AD(2010)001, 205. pont; Velencei Bizottság, Második időközi vélemény az Örmény Köztársaság alkotmányos reformjairól, CDL-AD(2005)016, 31. pont.</w:t>
      </w:r>
    </w:p>
  </w:footnote>
  <w:footnote w:id="176">
    <w:p>
      <w:pPr>
        <w:pStyle w:val="FootnoteText"/>
      </w:pPr>
      <w:r>
        <w:rPr>
          <w:rStyle w:val="FootnoteReference"/>
        </w:rPr>
        <w:footnoteRef/>
      </w:r>
      <w:r>
        <w:t xml:space="preserve"> </w:t>
      </w:r>
      <w:r>
        <w:tab/>
        <w:t>A Via Iuris (Szövetség a Szabadságjogokért) hozzájárulása a 2021. évi jogállamisági jelentéshez, 19. o.; az ENNHRI hozzájárulása a 2021. évi jogállamisági jelentéshez, 293. o.</w:t>
      </w:r>
    </w:p>
  </w:footnote>
  <w:footnote w:id="177">
    <w:p>
      <w:pPr>
        <w:pStyle w:val="FootnoteText"/>
      </w:pPr>
      <w:r>
        <w:rPr>
          <w:rStyle w:val="FootnoteReference"/>
        </w:rPr>
        <w:footnoteRef/>
      </w:r>
      <w:r>
        <w:t xml:space="preserve"> </w:t>
      </w:r>
      <w:r>
        <w:tab/>
        <w:t>Az ENNHRI hozzájárulása a 2021. évi jogállamisági jelentéshez, 298. o.; a szlovák ügyvédi kamara hozzájárulása a 2021. évi jogállamisági jelentéshez, 3. o.; a Szlovákiában tett országlátogatás keretében kapott tájékoztatás.</w:t>
      </w:r>
    </w:p>
  </w:footnote>
  <w:footnote w:id="178">
    <w:p>
      <w:pPr>
        <w:pStyle w:val="FootnoteText"/>
      </w:pPr>
      <w:r>
        <w:rPr>
          <w:rStyle w:val="FootnoteReference"/>
        </w:rPr>
        <w:footnoteRef/>
      </w:r>
      <w:r>
        <w:t xml:space="preserve"> </w:t>
      </w:r>
      <w:r>
        <w:tab/>
        <w:t>2020. évi jogállamisági jelentés, Országfejezet – A jogállamiság helyzete Szlovákiában, 11–13. oldal.</w:t>
      </w:r>
    </w:p>
  </w:footnote>
  <w:footnote w:id="179">
    <w:p>
      <w:pPr>
        <w:pStyle w:val="FootnoteText"/>
      </w:pPr>
      <w:r>
        <w:rPr>
          <w:rStyle w:val="FootnoteReference"/>
        </w:rPr>
        <w:footnoteRef/>
      </w:r>
      <w:r>
        <w:t xml:space="preserve"> </w:t>
      </w:r>
      <w:r>
        <w:tab/>
        <w:t xml:space="preserve">A Szlovák Köztársaság kormányának 2020–2024-es programnyilatkozata (2020. április 19.). </w:t>
      </w:r>
    </w:p>
  </w:footnote>
  <w:footnote w:id="180">
    <w:p>
      <w:pPr>
        <w:pStyle w:val="FootnoteText"/>
      </w:pPr>
      <w:r>
        <w:rPr>
          <w:rStyle w:val="FootnoteReference"/>
        </w:rPr>
        <w:footnoteRef/>
      </w:r>
      <w:r>
        <w:t xml:space="preserve"> </w:t>
      </w:r>
      <w:r>
        <w:tab/>
        <w:t xml:space="preserve">A Szlovák Köztársaság kormányának 2021–2024-es programnyilatkozata, 13–17. o. </w:t>
      </w:r>
    </w:p>
  </w:footnote>
  <w:footnote w:id="181">
    <w:p>
      <w:pPr>
        <w:pStyle w:val="FootnoteText"/>
      </w:pPr>
      <w:r>
        <w:rPr>
          <w:rStyle w:val="FootnoteReference"/>
        </w:rPr>
        <w:footnoteRef/>
      </w:r>
      <w:r>
        <w:t xml:space="preserve"> </w:t>
      </w:r>
      <w:r>
        <w:tab/>
        <w:t xml:space="preserve">A PI/2020/146. sz. módosított törvénytervezet az információhoz való szabad hozzáférésről és egyes törvények módosításáról szóló 211/2000. sz. törvény (az információszabadsági törvény), valamint egyes törvények módosításáról. </w:t>
      </w:r>
    </w:p>
  </w:footnote>
  <w:footnote w:id="182">
    <w:p>
      <w:pPr>
        <w:pStyle w:val="FootnoteText"/>
      </w:pPr>
      <w:r>
        <w:rPr>
          <w:rStyle w:val="FootnoteReference"/>
        </w:rPr>
        <w:footnoteRef/>
      </w:r>
      <w:r>
        <w:t xml:space="preserve"> </w:t>
      </w:r>
      <w:r>
        <w:tab/>
        <w:t>Lásd a Pl ÚS 21/2014-96. sz. ügyben 2019. január 30-án hozott ítéletet. E változtatás reakció erre az ítéletre; a 2020. évi jogállamisági jelentés nyomonkövetési találkozójának keretében kapott tájékoztatás.</w:t>
      </w:r>
    </w:p>
  </w:footnote>
  <w:footnote w:id="183">
    <w:p>
      <w:pPr>
        <w:pStyle w:val="FootnoteText"/>
      </w:pPr>
      <w:r>
        <w:rPr>
          <w:rStyle w:val="FootnoteReference"/>
        </w:rPr>
        <w:footnoteRef/>
      </w:r>
      <w:r>
        <w:t xml:space="preserve"> </w:t>
      </w:r>
      <w:r>
        <w:tab/>
        <w:t xml:space="preserve">A szlovák ügyvédek </w:t>
      </w:r>
      <w:hyperlink r:id="rId13" w:history="1">
        <w:r>
          <w:rPr>
            <w:rStyle w:val="Hyperlink"/>
          </w:rPr>
          <w:t>https://pravnystat.eu/en/</w:t>
        </w:r>
      </w:hyperlink>
      <w:r>
        <w:t xml:space="preserve"> honlapon elérhető és az érdekelt felekkel a 2021. évi jogállamisági jelentésről folytatott konzultációhoz hozzájárulásként benyújtott nyílt felhívása, 1. pont.; lásd még az Alkotmánybíróság elnökének 2020. december 3-i parlamenti nyilatkozatát, amelyben aggodalmát fejezte ki a változtatással kapcsolatban és arra kérte a parlamenti képviselőket, hogy mérlegeljék tovább e kérdést; elérhető az alábbi honlapon: </w:t>
      </w:r>
      <w:hyperlink r:id="rId14" w:history="1">
        <w:r>
          <w:rPr>
            <w:rStyle w:val="Hyperlink"/>
          </w:rPr>
          <w:t>https://tv.nrsr.sk/videokanaly/osoba/8/Ivan.Fiacan?id=233541</w:t>
        </w:r>
      </w:hyperlink>
    </w:p>
  </w:footnote>
  <w:footnote w:id="184">
    <w:p>
      <w:pPr>
        <w:pStyle w:val="FootnoteText"/>
      </w:pPr>
      <w:r>
        <w:rPr>
          <w:rStyle w:val="FootnoteReference"/>
        </w:rPr>
        <w:footnoteRef/>
      </w:r>
      <w:r>
        <w:t xml:space="preserve"> </w:t>
      </w:r>
      <w:r>
        <w:tab/>
        <w:t>2879/2020. sz. ügyirat.</w:t>
      </w:r>
    </w:p>
  </w:footnote>
  <w:footnote w:id="185">
    <w:p>
      <w:pPr>
        <w:pStyle w:val="FootnoteText"/>
      </w:pPr>
      <w:r>
        <w:rPr>
          <w:rStyle w:val="FootnoteReference"/>
        </w:rPr>
        <w:footnoteRef/>
      </w:r>
      <w:r>
        <w:t xml:space="preserve"> </w:t>
      </w:r>
      <w:r>
        <w:tab/>
        <w:t>A parlamenti képviselők számára lehetővé tették, hogy személyesen részt vegyenek az üléseken, kivéve azokat a képviselőket, akiknek a Covid19-világjárvánnyal kapcsolatos intézkedések értelmében önkéntes karanténba kellett vonulniuk. Egyes ülésekre hibrid formában került sor, vagyis egyes parlamenti képviselők személyesen, míg mások videokonferencia útján voltak jelen. Szlovákia hozzájárulása a 2021. évi jogállamisági jelentéshez, 37. o.</w:t>
      </w:r>
    </w:p>
  </w:footnote>
  <w:footnote w:id="186">
    <w:p>
      <w:pPr>
        <w:pStyle w:val="FootnoteText"/>
      </w:pPr>
      <w:r>
        <w:rPr>
          <w:rStyle w:val="FootnoteReference"/>
        </w:rPr>
        <w:footnoteRef/>
      </w:r>
      <w:r>
        <w:t xml:space="preserve"> </w:t>
      </w:r>
      <w:r>
        <w:tab/>
        <w:t>Az állam biztonságáról szóló 227/2002. sz. törvény 5. cikkének (3) bekezdése.</w:t>
      </w:r>
    </w:p>
  </w:footnote>
  <w:footnote w:id="187">
    <w:p>
      <w:pPr>
        <w:pStyle w:val="FootnoteText"/>
      </w:pPr>
      <w:r>
        <w:rPr>
          <w:rStyle w:val="FootnoteReference"/>
        </w:rPr>
        <w:footnoteRef/>
      </w:r>
      <w:r>
        <w:t xml:space="preserve"> </w:t>
      </w:r>
      <w:r>
        <w:tab/>
        <w:t>Az állam biztonságáról szóló 227/2002. sz. törvény 5. cikkének (1) bekezdése.</w:t>
      </w:r>
    </w:p>
  </w:footnote>
  <w:footnote w:id="188">
    <w:p>
      <w:pPr>
        <w:pStyle w:val="FootnoteText"/>
      </w:pPr>
      <w:r>
        <w:rPr>
          <w:rStyle w:val="FootnoteReference"/>
        </w:rPr>
        <w:footnoteRef/>
      </w:r>
      <w:r>
        <w:t xml:space="preserve"> </w:t>
      </w:r>
      <w:r>
        <w:tab/>
        <w:t>2020. évi jogállamisági jelentés, Országfejezet – A jogállamiság helyzete Szlovákiában, 14. o.</w:t>
      </w:r>
    </w:p>
  </w:footnote>
  <w:footnote w:id="189">
    <w:p>
      <w:pPr>
        <w:pStyle w:val="FootnoteText"/>
      </w:pPr>
      <w:r>
        <w:rPr>
          <w:rStyle w:val="FootnoteReference"/>
        </w:rPr>
        <w:footnoteRef/>
      </w:r>
      <w:r>
        <w:t xml:space="preserve"> </w:t>
      </w:r>
      <w:r>
        <w:tab/>
        <w:t xml:space="preserve">Az állam biztonságáról szóló 227/2002. sz. törvény 5. cikkének (2) bekezdése. A parlamentnek a hatályba lépését követő 20 napon belül jóvá kell hagynia a szükségállapotot, különben a szükségállapot megszűnik. A meghosszabbítás csak akkor engedélyezett, ha a szükségállapotot a világjárvány keretében hirdették ki. Az ENNHRI hozzájárulása a 2021. évi jogállamisági jelentéshez, 296–297. o. </w:t>
      </w:r>
    </w:p>
  </w:footnote>
  <w:footnote w:id="190">
    <w:p>
      <w:pPr>
        <w:pStyle w:val="FootnoteText"/>
      </w:pPr>
      <w:r>
        <w:rPr>
          <w:rStyle w:val="FootnoteReference"/>
        </w:rPr>
        <w:footnoteRef/>
      </w:r>
      <w:r>
        <w:t xml:space="preserve"> </w:t>
      </w:r>
      <w:r>
        <w:tab/>
        <w:t xml:space="preserve">Az Alkotmány 129. cikkének (6) bekezdése. </w:t>
      </w:r>
    </w:p>
  </w:footnote>
  <w:footnote w:id="191">
    <w:p>
      <w:pPr>
        <w:pStyle w:val="FootnoteText"/>
      </w:pPr>
      <w:r>
        <w:rPr>
          <w:rStyle w:val="FootnoteReference"/>
        </w:rPr>
        <w:footnoteRef/>
      </w:r>
      <w:r>
        <w:t xml:space="preserve"> </w:t>
      </w:r>
      <w:r>
        <w:tab/>
        <w:t>A petíciót a szükségállapot kihirdetésétől / meghosszabbításától számított öt napon belül kell benyújtani, és a Bíróságnak az eljárás megindításától számított 10 napon belül kell döntenie. Az Alkotmánybíróságról szóló 314/2002. sz. törvény 193. és 195. cikke. A Szlovákiában tett országlátogatás keretében kapott tájékoztatás.</w:t>
      </w:r>
    </w:p>
  </w:footnote>
  <w:footnote w:id="192">
    <w:p>
      <w:pPr>
        <w:pStyle w:val="FootnoteText"/>
      </w:pPr>
      <w:r>
        <w:rPr>
          <w:rStyle w:val="FootnoteReference"/>
        </w:rPr>
        <w:footnoteRef/>
      </w:r>
      <w:r>
        <w:t xml:space="preserve"> </w:t>
      </w:r>
      <w:r>
        <w:tab/>
        <w:t>Az Alkotmánybíróság 2020. október 14-i ítélete, Pl ÚS, 22/2020, és az Alkotmánybíróság 2021. március 31-i ítélete, Pl ÚS, 2/2021.</w:t>
      </w:r>
    </w:p>
  </w:footnote>
  <w:footnote w:id="193">
    <w:p>
      <w:pPr>
        <w:pStyle w:val="FootnoteText"/>
      </w:pPr>
      <w:r>
        <w:rPr>
          <w:rStyle w:val="FootnoteReference"/>
        </w:rPr>
        <w:footnoteRef/>
      </w:r>
      <w:r>
        <w:t xml:space="preserve"> </w:t>
      </w:r>
      <w:r>
        <w:tab/>
        <w:t>A 355/2007. sz. törvény módosítása.</w:t>
      </w:r>
    </w:p>
  </w:footnote>
  <w:footnote w:id="194">
    <w:p>
      <w:pPr>
        <w:pStyle w:val="FootnoteText"/>
      </w:pPr>
      <w:r>
        <w:rPr>
          <w:rStyle w:val="FootnoteReference"/>
        </w:rPr>
        <w:footnoteRef/>
      </w:r>
      <w:r>
        <w:t xml:space="preserve"> </w:t>
      </w:r>
      <w:r>
        <w:tab/>
        <w:t>Az állampolgári jogok biztosának az Alkotmánybírósághoz 2021. február 10-én benyújtott beadványa, 268/2021. sz. ügyirat, 26–35. o.</w:t>
      </w:r>
    </w:p>
  </w:footnote>
  <w:footnote w:id="195">
    <w:p>
      <w:pPr>
        <w:pStyle w:val="FootnoteText"/>
      </w:pPr>
      <w:r>
        <w:rPr>
          <w:rStyle w:val="FootnoteReference"/>
        </w:rPr>
        <w:footnoteRef/>
      </w:r>
      <w:r>
        <w:t xml:space="preserve"> </w:t>
      </w:r>
      <w:r>
        <w:tab/>
        <w:t>2020. évi jogállamisági jelentés, Országfejezet – A jogállamiság helyzete Csehországban, 14–15. oldal.</w:t>
      </w:r>
    </w:p>
  </w:footnote>
  <w:footnote w:id="196">
    <w:p>
      <w:pPr>
        <w:pStyle w:val="FootnoteText"/>
      </w:pPr>
      <w:r>
        <w:rPr>
          <w:rStyle w:val="FootnoteReference"/>
        </w:rPr>
        <w:footnoteRef/>
      </w:r>
      <w:r>
        <w:t xml:space="preserve"> </w:t>
      </w:r>
      <w:r>
        <w:tab/>
        <w:t>A Szlovákiában tett országlátogatás keretében kapott tájékoztatás.</w:t>
      </w:r>
    </w:p>
  </w:footnote>
  <w:footnote w:id="197">
    <w:p>
      <w:pPr>
        <w:pStyle w:val="FootnoteText"/>
      </w:pPr>
      <w:r>
        <w:rPr>
          <w:rStyle w:val="FootnoteReference"/>
        </w:rPr>
        <w:footnoteRef/>
      </w:r>
      <w:r>
        <w:t xml:space="preserve"> </w:t>
      </w:r>
      <w:r>
        <w:tab/>
        <w:t xml:space="preserve">A Szlovákiában tett országlátogatás keretében kapott tájékoztatás. </w:t>
      </w:r>
    </w:p>
  </w:footnote>
  <w:footnote w:id="198">
    <w:p>
      <w:pPr>
        <w:pStyle w:val="FootnoteText"/>
      </w:pPr>
      <w:r>
        <w:rPr>
          <w:rStyle w:val="FootnoteReference"/>
        </w:rPr>
        <w:footnoteRef/>
      </w:r>
      <w:r>
        <w:t xml:space="preserve"> </w:t>
      </w:r>
      <w:r>
        <w:tab/>
        <w:t>Éves jelentés az állampolgári jogok biztosának tevékenységeiről (2020), a jelentést a parlamentben 2021. május 7-én megvitatták és szavazásra bocsátották, amelynek eredményeképpen nem ismerték el a jelentést; a Szlovákiában tett országlátogatás keretében kapott tájékoztatás; a szlovák Nemzeti Emberi Jogi Központ éves jelentése az emberi jogok tiszteletben tartásáról; az ENNHRI hozzájárulása a 2021. évi jogállamisági jelentéshez, 309–312. o.</w:t>
      </w:r>
    </w:p>
  </w:footnote>
  <w:footnote w:id="199">
    <w:p>
      <w:pPr>
        <w:pStyle w:val="FootnoteText"/>
      </w:pPr>
      <w:r>
        <w:rPr>
          <w:rStyle w:val="FootnoteReference"/>
        </w:rPr>
        <w:footnoteRef/>
      </w:r>
      <w:r>
        <w:t xml:space="preserve"> </w:t>
      </w:r>
      <w:r>
        <w:tab/>
        <w:t>2020. évi jogállamisági jelentés, Országfejezet – A jogállamiság helyzete Szlovákiában, 16. oldal.</w:t>
      </w:r>
    </w:p>
  </w:footnote>
  <w:footnote w:id="200">
    <w:p>
      <w:pPr>
        <w:pStyle w:val="FootnoteText"/>
      </w:pPr>
      <w:r>
        <w:rPr>
          <w:rStyle w:val="FootnoteReference"/>
        </w:rPr>
        <w:footnoteRef/>
      </w:r>
      <w:r>
        <w:t xml:space="preserve"> </w:t>
      </w:r>
      <w:r>
        <w:tab/>
        <w:t xml:space="preserve">A Szlovák Köztársaság kormányának 2021–2024-es programnyilatkozata, 16–17. o. </w:t>
      </w:r>
    </w:p>
  </w:footnote>
  <w:footnote w:id="201">
    <w:p>
      <w:pPr>
        <w:pStyle w:val="FootnoteText"/>
      </w:pPr>
      <w:r>
        <w:rPr>
          <w:rStyle w:val="FootnoteReference"/>
        </w:rPr>
        <w:footnoteRef/>
      </w:r>
      <w:r>
        <w:t xml:space="preserve"> </w:t>
      </w:r>
      <w:r>
        <w:tab/>
        <w:t xml:space="preserve">A nem kormányzati szervezetek nyilvántartásáról szóló 346/2018. sz. törvény által létrehozva; az adatbázis elérhető a következő honlapon: </w:t>
      </w:r>
      <w:hyperlink r:id="rId15" w:history="1">
        <w:r>
          <w:rPr>
            <w:rStyle w:val="Hyperlink"/>
          </w:rPr>
          <w:t>https://ives.minv.sk/rmno/?lang=sk</w:t>
        </w:r>
      </w:hyperlink>
    </w:p>
  </w:footnote>
  <w:footnote w:id="202">
    <w:p>
      <w:pPr>
        <w:pStyle w:val="FootnoteText"/>
      </w:pPr>
      <w:r>
        <w:rPr>
          <w:rStyle w:val="FootnoteReference"/>
        </w:rPr>
        <w:footnoteRef/>
      </w:r>
      <w:r>
        <w:t xml:space="preserve"> </w:t>
      </w:r>
      <w:r>
        <w:tab/>
        <w:t xml:space="preserve">A Via Iuris (Szövetség a Szabadságjogokért) hozzájárulása a 2021. évi jogállamisági jelentéshez, 13–14. o., és az ENNHRI hozzájárulása a 2021. évi jogállamisági jelentéshez, 294. o. </w:t>
      </w:r>
    </w:p>
  </w:footnote>
  <w:footnote w:id="203">
    <w:p>
      <w:pPr>
        <w:pStyle w:val="FootnoteText"/>
      </w:pPr>
      <w:r>
        <w:rPr>
          <w:rStyle w:val="FootnoteReference"/>
        </w:rPr>
        <w:footnoteRef/>
      </w:r>
      <w:r>
        <w:t xml:space="preserve"> </w:t>
      </w:r>
      <w:r>
        <w:tab/>
        <w:t xml:space="preserve">Ez arra a folyamatra utal, amelynek keretében a Munkaügyi, Szociális és Családügyi Minisztérium 2020-ban újraosztja a nemek közötti egyenlőség előmozdítására szánt támogatásokat a konzervatív, életpárti szervezetek támogatása érdekében, amelyek általánosságban nem foglalkoznak a nemek közötti egyenlőséggel kapcsolatos kérdésekkel. Emellett a támogatásokról szóló 544/2010 sz. törvényt módosító 2020. december 17-i törvény elfogadását követően a nemek közötti egyenlőség helyett az egyenlő foglalkoztatási esélyeket, valamint a házasságot és a családi értékeket támogató szervezeteket fogják támogatni. Lásd az alábbi szervezetek hozzájárulását a 2021. évi jogállamisági jelentéshez: Nemzeti emberi jogi intézmények európai hálózata, 294. o., Európai Szövetség a Szabadságjogokért, 14. o. és ENNHRI, 294–295. o. </w:t>
      </w:r>
    </w:p>
  </w:footnote>
  <w:footnote w:id="204">
    <w:p>
      <w:pPr>
        <w:pStyle w:val="FootnoteText"/>
      </w:pPr>
      <w:r>
        <w:rPr>
          <w:rStyle w:val="FootnoteReference"/>
        </w:rPr>
        <w:footnoteRef/>
      </w:r>
      <w:r>
        <w:t xml:space="preserve"> </w:t>
      </w:r>
      <w:r>
        <w:tab/>
        <w:t xml:space="preserve">A kormány erőfeszítései ellenére, amely további 1,1 millió EUR összegű támogatást nyújtott a Covid19-világjárvány hatását enyhítő nem kormányzati szervezetek tevékenységének támogatására; a Regionális Fejlesztési Minisztérium 2020. augusztus 12-i sajtóközleménye, Remišová miniszterelnök-helyettes: 1,1 millió EUR a Covid19 elleni harcban részt vevő nem kormányzati szervezeteknek nyújtott segítségre; A Szlovákiában tett országlátogatás keretében kapott tájékoztatás. Lásd még a Via Iuris (Szövetség a Szabadságjogokért) hozzájárulása a 2021. évi jogállamisági jelentéshez, 15–17. 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mely a következ\u337? dokumentumot kíséri"/>
    <w:docVar w:name="LW_CORRIGENDUM" w:val="&lt;UNUSED&gt;"/>
    <w:docVar w:name="LW_COVERPAGE_EXISTS" w:val="True"/>
    <w:docVar w:name="LW_COVERPAGE_GUID" w:val="0FB49ADB-A77F-4F42-84C9-D7E33B5A3257"/>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21.7.20."/>
    <w:docVar w:name="LW_EMISSION_ISODATE" w:val="2021-07-20"/>
    <w:docVar w:name="LW_EMISSION_LOCATION" w:val="BRX"/>
    <w:docVar w:name="LW_EMISSION_PREFIX" w:val="Brüsszel, "/>
    <w:docVar w:name="LW_EMISSION_SUFFIX" w:val=" "/>
    <w:docVar w:name="LW_ID_DOCTYPE_NONLW" w:val="CP-025"/>
    <w:docVar w:name="LW_LANGUE" w:val="HU"/>
    <w:docVar w:name="LW_LEVEL_OF_SENSITIVITY" w:val="Standard treatment"/>
    <w:docVar w:name="LW_NOM.INST" w:val="EURÓPAI BIZOTTSÁG"/>
    <w:docVar w:name="LW_NOM.INST_JOINTDOC" w:val="&lt;EMPTY&gt;"/>
    <w:docVar w:name="LW_OBJETACTEPRINCIPAL.CP" w:val="2021. évi jogállamisági jelentés_x000d__x000d__x000b_A jogállamiság helyzete az Európai Unióban_x000d__x000d__x000d__x000d__x000b__x000d__x000d__x000d__x000d__x000d__x000b_"/>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évi jogállamisági jelentés_x000d__x000b_Országfejezet - A jogállamiság helyzete Szlovákiában"/>
    <w:docVar w:name="LW_TYPE.DOC.CP" w:val="BIZOTTSÁGI SZOLGÁLATI MUNKADOKUMENTUM"/>
    <w:docVar w:name="LW_TYPEACTEPRINCIPAL.CP" w:val="A BIZOTTSÁG KÖZLEMÉNYE AZ EURÓPAI PARLAMENTNEK, A TANÁCSNAK, AZ EURÓPAI GAZDASÁGI ÉS SZOCIÁLIS BIZOTTSÁGNAK ÉS A RÉGIÓK TANÁCSÁNAK"/>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u-HU"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u-HU"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u-HU"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u-HU"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anti-fraud/media-corner/news/21-01-2021/olaf-closes-cases-eu-agricultural-funds-slovakia_en" TargetMode="External"/><Relationship Id="rId39" Type="http://schemas.openxmlformats.org/officeDocument/2006/relationships/hyperlink" Target="http://www.snslp.sk/wp-content/uploads/Sprava-o-LP-v-SR-za-rok-2020-.pdf" TargetMode="External"/><Relationship Id="rId3" Type="http://schemas.openxmlformats.org/officeDocument/2006/relationships/customXml" Target="../customXml/item3.xml"/><Relationship Id="rId21" Type="http://schemas.openxmlformats.org/officeDocument/2006/relationships/hyperlink" Target="https://www.vop.gov.sk/files/VOP_VS20_SK_1.pdf" TargetMode="External"/><Relationship Id="rId34" Type="http://schemas.openxmlformats.org/officeDocument/2006/relationships/hyperlink" Target="https://rokovania.gov.sk/download.dat?id=F75436C4AF3C4D96AE93D60FD6BCA184-99C291B1BA87B0B9BF1E773CB8DA6BA0" TargetMode="External"/><Relationship Id="rId42" Type="http://schemas.openxmlformats.org/officeDocument/2006/relationships/hyperlink" Target="https://www.sak.sk/web/sk/cms/news/form/list/form/row/596497/_event"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51541" TargetMode="External"/><Relationship Id="rId33" Type="http://schemas.openxmlformats.org/officeDocument/2006/relationships/hyperlink" Target="https://rokovania.gov.sk/download.dat?id=588DFBA123494910A70AF18737B85A81-034BF7E75BABC88FC3A419E44DED1345" TargetMode="External"/><Relationship Id="rId38"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web.ac-mssr.sk/wp-content/uploads/2020/sudna_mapa/20210223_Casov&#225;_os_Sudna_mapa_v.2.pdf" TargetMode="External"/><Relationship Id="rId41" Type="http://schemas.openxmlformats.org/officeDocument/2006/relationships/hyperlink" Target="https://pravnystat.eu/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47309" TargetMode="External"/><Relationship Id="rId32" Type="http://schemas.openxmlformats.org/officeDocument/2006/relationships/hyperlink" Target="http://web.ac-mssr.sk/wp-content/uploads/2020/sudna_mapa/nova_sudna_mapa_3_0_final.pdf" TargetMode="External"/><Relationship Id="rId37" Type="http://schemas.openxmlformats.org/officeDocument/2006/relationships/hyperlink" Target="https://www.nrsr.sk/web/Dynamic/DocumentPreview.aspx?DocID=494677" TargetMode="External"/><Relationship Id="rId40" Type="http://schemas.openxmlformats.org/officeDocument/2006/relationships/hyperlink" Target="https://www.mirri.gov.sk/aktuality/podpredsednicka-vlady/vicepremierka-remisova-11-miliona-eur-na-pomoc-mimovladnym-organizaciam-v-boji-s-covid-19/"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7" TargetMode="External"/><Relationship Id="rId28" Type="http://schemas.openxmlformats.org/officeDocument/2006/relationships/hyperlink" Target="https://www.health.gov.sk/Zdroje?/dokumenty/mzsr/rezortny-protikorupcny-program.rtf" TargetMode="External"/><Relationship Id="rId36" Type="http://schemas.openxmlformats.org/officeDocument/2006/relationships/hyperlink" Target="https://www.mpsr.sk/programove-vyhlasenie-vlady-slovenskej-republiky-na-obdobie-rokov-2020-2024/800-17-800-15434/"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web.ac-mssr.sk/wp-content/uploads/2020/sudna_mapa/nova_sudna_mapa_3_0_final.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1" TargetMode="External"/><Relationship Id="rId27" Type="http://schemas.openxmlformats.org/officeDocument/2006/relationships/hyperlink" Target="https://www.coe.int/en/web/portal/-/slovakia-greco-regrets-slow-progress-in-preventing-corruption-of-parliamentarians-judges-and-prosecutors" TargetMode="External"/><Relationship Id="rId30" Type="http://schemas.openxmlformats.org/officeDocument/2006/relationships/hyperlink" Target="http://web.ac-mssr.sk/wp-content/uploads/2020/sudna_mapa/Reforma_sudnej_mapy_na_citanie.pdf" TargetMode="External"/><Relationship Id="rId35" Type="http://schemas.openxmlformats.org/officeDocument/2006/relationships/hyperlink" Target="https://www.vop.gov.sk/files/VOP_VS20_SK_1.pdf"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3.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2296C-1DD8-4AA5-8506-16CECAAC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6886</Words>
  <Characters>52612</Characters>
  <Application>Microsoft Office Word</Application>
  <DocSecurity>0</DocSecurity>
  <Lines>773</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72</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_LW_INVALIDATED__LW_INVALIDATED__LW_INVALIDATED__LW_INVALIDATED_ContentTypeId">
    <vt:lpwstr>0x0101001FB8E9DEAEFB414DAE5EC193F8A440AF</vt:lpwstr>
  </property>
</Properties>
</file>