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4829" w14:textId="04F68385" w:rsidR="008D2948" w:rsidRPr="00782585" w:rsidRDefault="001B62E6" w:rsidP="001B62E6">
      <w:pPr>
        <w:pStyle w:val="Pagedecouverture"/>
        <w:rPr>
          <w:noProof/>
        </w:rPr>
      </w:pPr>
      <w:bookmarkStart w:id="0" w:name="LW_BM_COVERPAGE"/>
      <w:r>
        <w:rPr>
          <w:noProof/>
        </w:rPr>
        <w:pict w14:anchorId="003E6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FED9AE1-1F62-41A6-B6CC-8EBC441E3A65" style="width:455.25pt;height:336.75pt">
            <v:imagedata r:id="rId8" o:title=""/>
          </v:shape>
        </w:pict>
      </w:r>
    </w:p>
    <w:bookmarkEnd w:id="0"/>
    <w:p w14:paraId="6A60077C" w14:textId="21A87152" w:rsidR="00BC036C" w:rsidRPr="00806E40" w:rsidRDefault="00BC036C" w:rsidP="00782585">
      <w:pPr>
        <w:spacing w:line="240" w:lineRule="auto"/>
        <w:rPr>
          <w:rFonts w:ascii="Times New Roman" w:hAnsi="Times New Roman" w:cs="Times New Roman"/>
          <w:noProof/>
          <w:lang w:val="en-IE"/>
        </w:rPr>
        <w:sectPr w:rsidR="00BC036C" w:rsidRPr="00806E40" w:rsidSect="001B62E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10C21E7" w14:textId="77777777" w:rsidR="008D2948" w:rsidRPr="00782585" w:rsidRDefault="008D2948" w:rsidP="00782585">
      <w:pPr>
        <w:spacing w:line="240" w:lineRule="auto"/>
        <w:rPr>
          <w:rFonts w:ascii="Times New Roman" w:hAnsi="Times New Roman" w:cs="Times New Roman"/>
          <w:noProof/>
          <w:color w:val="000000" w:themeColor="text1"/>
          <w:sz w:val="24"/>
        </w:rPr>
      </w:pPr>
      <w:bookmarkStart w:id="1" w:name="_GoBack"/>
      <w:bookmarkEnd w:id="1"/>
      <w:r>
        <w:rPr>
          <w:rFonts w:ascii="Times New Roman" w:hAnsi="Times New Roman"/>
          <w:b/>
          <w:noProof/>
          <w:color w:val="000000" w:themeColor="text1"/>
          <w:sz w:val="24"/>
        </w:rPr>
        <w:lastRenderedPageBreak/>
        <w:t xml:space="preserve">1. PRIMEGGIARE NELLA NUOVA ONDATA DI INNOVAZIONI AD ELEVATISSIMO CONTENUTO TECNOLOGICO </w:t>
      </w:r>
    </w:p>
    <w:p w14:paraId="497D4614" w14:textId="7911472B"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è essenziale per incentivare la competitività dell</w:t>
      </w:r>
      <w:r w:rsidR="00013882">
        <w:rPr>
          <w:rFonts w:ascii="Times New Roman" w:hAnsi="Times New Roman"/>
          <w:noProof/>
          <w:color w:val="000000" w:themeColor="text1"/>
          <w:sz w:val="24"/>
        </w:rPr>
        <w:t>'</w:t>
      </w:r>
      <w:r>
        <w:rPr>
          <w:rFonts w:ascii="Times New Roman" w:hAnsi="Times New Roman"/>
          <w:noProof/>
          <w:color w:val="000000" w:themeColor="text1"/>
          <w:sz w:val="24"/>
        </w:rPr>
        <w:t>Europa e garantire la salute e il benessere dei suoi cittadini.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forgia i mercati, trasforma le economie, incentiva cambiamenti graduali nella qualità dei servizi pubblici ed è indispensabile per conseguire gli obiettivi generali della duplice transizione, verde e digitale.</w:t>
      </w:r>
    </w:p>
    <w:p w14:paraId="65F638B8" w14:textId="06E53D91" w:rsidR="00AF744F" w:rsidRPr="00782585" w:rsidRDefault="008D2948" w:rsidP="001663FD">
      <w:pPr>
        <w:spacing w:line="240" w:lineRule="auto"/>
        <w:jc w:val="both"/>
        <w:rPr>
          <w:rFonts w:ascii="Times New Roman" w:hAnsi="Times New Roman" w:cs="Times New Roman"/>
          <w:noProof/>
          <w:color w:val="000000" w:themeColor="text1"/>
          <w:sz w:val="24"/>
        </w:rPr>
      </w:pPr>
      <w:r>
        <w:rPr>
          <w:rFonts w:ascii="Times New Roman" w:hAnsi="Times New Roman"/>
          <w:noProof/>
          <w:sz w:val="24"/>
        </w:rPr>
        <w:t>È in arrivo una nuova ondata di innovazion</w:t>
      </w:r>
      <w:r w:rsidR="00125908">
        <w:rPr>
          <w:rFonts w:ascii="Times New Roman" w:hAnsi="Times New Roman"/>
          <w:noProof/>
          <w:sz w:val="24"/>
        </w:rPr>
        <w:t xml:space="preserve">i: innovazioni </w:t>
      </w:r>
      <w:r w:rsidR="00013882">
        <w:rPr>
          <w:rFonts w:ascii="Times New Roman" w:hAnsi="Times New Roman"/>
          <w:noProof/>
          <w:sz w:val="24"/>
        </w:rPr>
        <w:t>"</w:t>
      </w:r>
      <w:r w:rsidR="00125908">
        <w:rPr>
          <w:rFonts w:ascii="Times New Roman" w:hAnsi="Times New Roman"/>
          <w:noProof/>
          <w:sz w:val="24"/>
        </w:rPr>
        <w:t>deep tech</w:t>
      </w:r>
      <w:r w:rsidR="00013882">
        <w:rPr>
          <w:rFonts w:ascii="Times New Roman" w:hAnsi="Times New Roman"/>
          <w:noProof/>
          <w:sz w:val="24"/>
        </w:rPr>
        <w:t>"</w:t>
      </w:r>
      <w:r w:rsidR="007E6397">
        <w:rPr>
          <w:rFonts w:ascii="Times New Roman" w:hAnsi="Times New Roman"/>
          <w:noProof/>
          <w:sz w:val="24"/>
        </w:rPr>
        <w:t xml:space="preserve"> - </w:t>
      </w:r>
      <w:r w:rsidR="00125908">
        <w:rPr>
          <w:rFonts w:ascii="Times New Roman" w:hAnsi="Times New Roman"/>
          <w:noProof/>
          <w:sz w:val="24"/>
        </w:rPr>
        <w:t>a</w:t>
      </w:r>
      <w:r>
        <w:rPr>
          <w:rFonts w:ascii="Times New Roman" w:hAnsi="Times New Roman"/>
          <w:noProof/>
          <w:sz w:val="24"/>
        </w:rPr>
        <w:t xml:space="preserve"> elevatissimo contenuto</w:t>
      </w:r>
      <w:r w:rsidR="007E6397">
        <w:rPr>
          <w:rFonts w:ascii="Times New Roman" w:hAnsi="Times New Roman"/>
          <w:noProof/>
          <w:sz w:val="24"/>
        </w:rPr>
        <w:t xml:space="preserve"> tecnologico e a forte impatto </w:t>
      </w:r>
      <w:r>
        <w:rPr>
          <w:rFonts w:ascii="Times New Roman" w:hAnsi="Times New Roman"/>
          <w:noProof/>
          <w:sz w:val="24"/>
        </w:rPr>
        <w:t>- che scaturisc</w:t>
      </w:r>
      <w:r w:rsidR="007E6397">
        <w:rPr>
          <w:rFonts w:ascii="Times New Roman" w:hAnsi="Times New Roman"/>
          <w:noProof/>
          <w:sz w:val="24"/>
        </w:rPr>
        <w:t>ono</w:t>
      </w:r>
      <w:r>
        <w:rPr>
          <w:rFonts w:ascii="Times New Roman" w:hAnsi="Times New Roman"/>
          <w:noProof/>
          <w:sz w:val="24"/>
        </w:rPr>
        <w:t xml:space="preserve"> da scienza, tecnologia e ingegneria d</w:t>
      </w:r>
      <w:r w:rsidR="00013882">
        <w:rPr>
          <w:rFonts w:ascii="Times New Roman" w:hAnsi="Times New Roman"/>
          <w:noProof/>
          <w:sz w:val="24"/>
        </w:rPr>
        <w:t>'</w:t>
      </w:r>
      <w:r>
        <w:rPr>
          <w:rFonts w:ascii="Times New Roman" w:hAnsi="Times New Roman"/>
          <w:noProof/>
          <w:sz w:val="24"/>
        </w:rPr>
        <w:t>avanguardia, spesso associa</w:t>
      </w:r>
      <w:r w:rsidR="007E6397">
        <w:rPr>
          <w:rFonts w:ascii="Times New Roman" w:hAnsi="Times New Roman"/>
          <w:noProof/>
          <w:sz w:val="24"/>
        </w:rPr>
        <w:t>ndo</w:t>
      </w:r>
      <w:r>
        <w:rPr>
          <w:rFonts w:ascii="Times New Roman" w:hAnsi="Times New Roman"/>
          <w:noProof/>
          <w:sz w:val="24"/>
        </w:rPr>
        <w:t xml:space="preserve"> i progressi ottenuti dai settori della fisica, della biologia e del digitale, e che ha</w:t>
      </w:r>
      <w:r w:rsidR="007E6397">
        <w:rPr>
          <w:rFonts w:ascii="Times New Roman" w:hAnsi="Times New Roman"/>
          <w:noProof/>
          <w:sz w:val="24"/>
        </w:rPr>
        <w:t>nno</w:t>
      </w:r>
      <w:r>
        <w:rPr>
          <w:rFonts w:ascii="Times New Roman" w:hAnsi="Times New Roman"/>
          <w:noProof/>
          <w:sz w:val="24"/>
        </w:rPr>
        <w:t xml:space="preserve"> il potenziale di offrire soluzioni rivoluzionarie alle sfide globali.</w:t>
      </w:r>
      <w:r>
        <w:rPr>
          <w:rFonts w:ascii="Times New Roman" w:hAnsi="Times New Roman"/>
          <w:noProof/>
          <w:color w:val="000000"/>
          <w:sz w:val="24"/>
        </w:rPr>
        <w:t xml:space="preserve"> Le innovazioni deep tech che stanno emergendo da un insieme sempre più nutrito di start-up innovative nell</w:t>
      </w:r>
      <w:r w:rsidR="00013882">
        <w:rPr>
          <w:rFonts w:ascii="Times New Roman" w:hAnsi="Times New Roman"/>
          <w:noProof/>
          <w:color w:val="000000"/>
          <w:sz w:val="24"/>
        </w:rPr>
        <w:t>'</w:t>
      </w:r>
      <w:r>
        <w:rPr>
          <w:rFonts w:ascii="Times New Roman" w:hAnsi="Times New Roman"/>
          <w:noProof/>
          <w:color w:val="000000"/>
          <w:sz w:val="24"/>
        </w:rPr>
        <w:t>UE sono potenzialmente in grado di stimolare l</w:t>
      </w:r>
      <w:r w:rsidR="00013882">
        <w:rPr>
          <w:rFonts w:ascii="Times New Roman" w:hAnsi="Times New Roman"/>
          <w:noProof/>
          <w:color w:val="000000"/>
          <w:sz w:val="24"/>
        </w:rPr>
        <w:t>'</w:t>
      </w:r>
      <w:r>
        <w:rPr>
          <w:rFonts w:ascii="Times New Roman" w:hAnsi="Times New Roman"/>
          <w:noProof/>
          <w:color w:val="000000"/>
          <w:sz w:val="24"/>
        </w:rPr>
        <w:t>innovazione nell</w:t>
      </w:r>
      <w:r w:rsidR="00013882">
        <w:rPr>
          <w:rFonts w:ascii="Times New Roman" w:hAnsi="Times New Roman"/>
          <w:noProof/>
          <w:color w:val="000000"/>
          <w:sz w:val="24"/>
        </w:rPr>
        <w:t>'</w:t>
      </w:r>
      <w:r>
        <w:rPr>
          <w:rFonts w:ascii="Times New Roman" w:hAnsi="Times New Roman"/>
          <w:noProof/>
          <w:color w:val="000000"/>
          <w:sz w:val="24"/>
        </w:rPr>
        <w:t>economia e nella società. Ciò può a sua volta trasformare il panorama imprenditoriale dell</w:t>
      </w:r>
      <w:r w:rsidR="00013882">
        <w:rPr>
          <w:rFonts w:ascii="Times New Roman" w:hAnsi="Times New Roman"/>
          <w:noProof/>
          <w:color w:val="000000"/>
          <w:sz w:val="24"/>
        </w:rPr>
        <w:t>'</w:t>
      </w:r>
      <w:r>
        <w:rPr>
          <w:rFonts w:ascii="Times New Roman" w:hAnsi="Times New Roman"/>
          <w:noProof/>
          <w:color w:val="000000"/>
          <w:sz w:val="24"/>
        </w:rPr>
        <w:t xml:space="preserve">UE e i mercati associati e contribuire </w:t>
      </w:r>
      <w:r w:rsidR="007E6397">
        <w:rPr>
          <w:rFonts w:ascii="Times New Roman" w:hAnsi="Times New Roman"/>
          <w:noProof/>
          <w:color w:val="000000"/>
          <w:sz w:val="24"/>
        </w:rPr>
        <w:t>a far fronte al</w:t>
      </w:r>
      <w:r>
        <w:rPr>
          <w:rFonts w:ascii="Times New Roman" w:hAnsi="Times New Roman"/>
          <w:noProof/>
          <w:color w:val="000000"/>
          <w:sz w:val="24"/>
        </w:rPr>
        <w:t>le sfide sociali più urgenti, anche attraverso il conseguimento degli obiettivi di sviluppo s</w:t>
      </w:r>
      <w:r w:rsidR="007E6397">
        <w:rPr>
          <w:rFonts w:ascii="Times New Roman" w:hAnsi="Times New Roman"/>
          <w:noProof/>
          <w:color w:val="000000"/>
          <w:sz w:val="24"/>
        </w:rPr>
        <w:t>ostenibile delle Nazioni Unite.</w:t>
      </w:r>
      <w:r>
        <w:rPr>
          <w:rFonts w:ascii="Times New Roman" w:hAnsi="Times New Roman"/>
          <w:noProof/>
          <w:color w:val="000000" w:themeColor="text1"/>
          <w:sz w:val="24"/>
        </w:rPr>
        <w:t xml:space="preserve"> </w:t>
      </w:r>
    </w:p>
    <w:p w14:paraId="31EACCC7" w14:textId="7DBB0D8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Europa vanta una lunga e ricca storia in materia di innovazione e si trova in una posizione ottimale per guidare questa ondata di innovazioni </w:t>
      </w:r>
      <w:r w:rsidR="00125908">
        <w:rPr>
          <w:rFonts w:ascii="Times New Roman" w:hAnsi="Times New Roman"/>
          <w:noProof/>
          <w:color w:val="000000" w:themeColor="text1"/>
          <w:sz w:val="24"/>
        </w:rPr>
        <w:t xml:space="preserve">a elevatissimo contenuto tecnologico </w:t>
      </w:r>
      <w:r>
        <w:rPr>
          <w:rFonts w:ascii="Times New Roman" w:hAnsi="Times New Roman"/>
          <w:noProof/>
          <w:color w:val="000000" w:themeColor="text1"/>
          <w:sz w:val="24"/>
        </w:rPr>
        <w:t>per quattro motivi di fondo.</w:t>
      </w:r>
    </w:p>
    <w:p w14:paraId="17BEB148" w14:textId="73C365D6" w:rsidR="008D2948" w:rsidRPr="00806E40"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 primo luogo: la leadership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ambito scientifico. L</w:t>
      </w:r>
      <w:r w:rsidR="00013882">
        <w:rPr>
          <w:rFonts w:ascii="Times New Roman" w:hAnsi="Times New Roman"/>
          <w:noProof/>
          <w:color w:val="000000" w:themeColor="text1"/>
          <w:sz w:val="24"/>
        </w:rPr>
        <w:t>'</w:t>
      </w:r>
      <w:r>
        <w:rPr>
          <w:rFonts w:ascii="Times New Roman" w:hAnsi="Times New Roman"/>
          <w:noProof/>
          <w:color w:val="000000" w:themeColor="text1"/>
          <w:sz w:val="24"/>
        </w:rPr>
        <w:t>UE primeggia nella produzione di conoscenze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deep tech sfrutta le nuove conoscenze scientifiche e tecnologiche basate sui più elevati standard etici e di integrità. </w:t>
      </w:r>
      <w:r w:rsidR="00013882">
        <w:rPr>
          <w:rFonts w:ascii="Times New Roman" w:hAnsi="Times New Roman"/>
          <w:noProof/>
          <w:color w:val="000000" w:themeColor="text1"/>
        </w:rPr>
        <w:t>Con il 6 </w:t>
      </w:r>
      <w:r>
        <w:rPr>
          <w:rFonts w:ascii="Times New Roman" w:hAnsi="Times New Roman"/>
          <w:noProof/>
          <w:color w:val="000000" w:themeColor="text1"/>
        </w:rPr>
        <w:t>% della popolazione del pianeta, l</w:t>
      </w:r>
      <w:r w:rsidR="00013882">
        <w:rPr>
          <w:rFonts w:ascii="Times New Roman" w:hAnsi="Times New Roman"/>
          <w:noProof/>
          <w:color w:val="000000" w:themeColor="text1"/>
        </w:rPr>
        <w:t>'</w:t>
      </w:r>
      <w:r>
        <w:rPr>
          <w:rFonts w:ascii="Times New Roman" w:hAnsi="Times New Roman"/>
          <w:noProof/>
          <w:color w:val="000000" w:themeColor="text1"/>
        </w:rPr>
        <w:t>UE è responsabile di ben un quinto delle pubblicazioni</w:t>
      </w:r>
      <w:r>
        <w:rPr>
          <w:rStyle w:val="FootnoteReference"/>
          <w:rFonts w:ascii="Times New Roman" w:hAnsi="Times New Roman" w:cs="Times New Roman"/>
          <w:noProof/>
          <w:color w:val="000000" w:themeColor="text1"/>
        </w:rPr>
        <w:footnoteReference w:id="2"/>
      </w:r>
      <w:r>
        <w:rPr>
          <w:rFonts w:ascii="Times New Roman" w:hAnsi="Times New Roman"/>
          <w:noProof/>
          <w:color w:val="000000" w:themeColor="text1"/>
        </w:rPr>
        <w:t xml:space="preserve"> mondiali di elevatissima qualità</w:t>
      </w:r>
      <w:bookmarkStart w:id="2" w:name="_Ref103586009"/>
      <w:r>
        <w:rPr>
          <w:rStyle w:val="FootnoteReference"/>
          <w:rFonts w:ascii="Times New Roman" w:hAnsi="Times New Roman" w:cs="Times New Roman"/>
          <w:noProof/>
          <w:color w:val="000000" w:themeColor="text1"/>
        </w:rPr>
        <w:footnoteReference w:id="3"/>
      </w:r>
      <w:bookmarkEnd w:id="2"/>
      <w:r>
        <w:rPr>
          <w:rFonts w:ascii="Times New Roman" w:hAnsi="Times New Roman"/>
          <w:noProof/>
          <w:color w:val="000000" w:themeColor="text1"/>
        </w:rPr>
        <w:t>.</w:t>
      </w:r>
      <w:r>
        <w:rPr>
          <w:rFonts w:ascii="Times New Roman" w:hAnsi="Times New Roman"/>
          <w:noProof/>
          <w:color w:val="000000" w:themeColor="text1"/>
          <w:sz w:val="24"/>
        </w:rPr>
        <w:t xml:space="preserve"> Inoltre, le imprese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sono leader mondiali in materia sia di brevetti verdi di valore elevato sia di brevetti verdi nelle industrie ad alta intensità energetica.</w:t>
      </w:r>
    </w:p>
    <w:p w14:paraId="09A3D979" w14:textId="352BFF6C" w:rsidR="008D2948" w:rsidRPr="00125908" w:rsidRDefault="008D2948" w:rsidP="00782585">
      <w:pPr>
        <w:spacing w:line="240" w:lineRule="auto"/>
        <w:jc w:val="both"/>
        <w:rPr>
          <w:rFonts w:ascii="Times New Roman" w:hAnsi="Times New Roman" w:cs="Times New Roman"/>
          <w:noProof/>
          <w:color w:val="000000" w:themeColor="text1"/>
          <w:sz w:val="24"/>
          <w:szCs w:val="24"/>
        </w:rPr>
      </w:pPr>
      <w:r w:rsidRPr="00125908">
        <w:rPr>
          <w:rFonts w:ascii="Times New Roman" w:hAnsi="Times New Roman"/>
          <w:noProof/>
          <w:color w:val="000000" w:themeColor="text1"/>
          <w:sz w:val="24"/>
          <w:szCs w:val="24"/>
        </w:rPr>
        <w:t xml:space="preserve">In secondo luogo: la forte base industriale europea e un ecosistema di startup sempre più vivace. </w:t>
      </w:r>
      <w:r w:rsidRPr="00125908">
        <w:rPr>
          <w:rFonts w:ascii="Times New Roman" w:hAnsi="Times New Roman"/>
          <w:noProof/>
          <w:sz w:val="24"/>
          <w:szCs w:val="24"/>
        </w:rPr>
        <w:t>L</w:t>
      </w:r>
      <w:r w:rsidR="00013882">
        <w:rPr>
          <w:rFonts w:ascii="Times New Roman" w:hAnsi="Times New Roman"/>
          <w:noProof/>
          <w:sz w:val="24"/>
          <w:szCs w:val="24"/>
        </w:rPr>
        <w:t>'</w:t>
      </w:r>
      <w:r w:rsidRPr="00125908">
        <w:rPr>
          <w:rFonts w:ascii="Times New Roman" w:hAnsi="Times New Roman"/>
          <w:noProof/>
          <w:sz w:val="24"/>
          <w:szCs w:val="24"/>
        </w:rPr>
        <w:t>innovazione deep tech si traduce in prodotti fisici piuttosto che in servizi software puri</w:t>
      </w:r>
      <w:r w:rsidRPr="00125908">
        <w:rPr>
          <w:rStyle w:val="FootnoteReference"/>
          <w:rFonts w:ascii="Times New Roman" w:hAnsi="Times New Roman" w:cs="Times New Roman"/>
          <w:noProof/>
          <w:color w:val="000000" w:themeColor="text1"/>
          <w:sz w:val="24"/>
          <w:szCs w:val="24"/>
        </w:rPr>
        <w:footnoteReference w:id="4"/>
      </w:r>
      <w:r w:rsidRPr="00125908">
        <w:rPr>
          <w:rFonts w:ascii="Times New Roman" w:hAnsi="Times New Roman"/>
          <w:noProof/>
          <w:sz w:val="24"/>
          <w:szCs w:val="24"/>
        </w:rPr>
        <w:t xml:space="preserve"> e, pertanto, spesso beneficia di forti partenariati con le industrie leader.</w:t>
      </w:r>
      <w:r w:rsidRPr="00125908">
        <w:rPr>
          <w:rFonts w:ascii="Times New Roman" w:hAnsi="Times New Roman"/>
          <w:noProof/>
          <w:color w:val="000000" w:themeColor="text1"/>
          <w:sz w:val="24"/>
          <w:szCs w:val="24"/>
        </w:rPr>
        <w:t xml:space="preserve"> I partenariati promossi tra le imprese e con i ricercatori attraverso programmi dell</w:t>
      </w:r>
      <w:r w:rsidR="00013882">
        <w:rPr>
          <w:rFonts w:ascii="Times New Roman" w:hAnsi="Times New Roman"/>
          <w:noProof/>
          <w:color w:val="000000" w:themeColor="text1"/>
          <w:sz w:val="24"/>
          <w:szCs w:val="24"/>
        </w:rPr>
        <w:t>'</w:t>
      </w:r>
      <w:r w:rsidRPr="00125908">
        <w:rPr>
          <w:rFonts w:ascii="Times New Roman" w:hAnsi="Times New Roman"/>
          <w:noProof/>
          <w:color w:val="000000" w:themeColor="text1"/>
          <w:sz w:val="24"/>
          <w:szCs w:val="24"/>
        </w:rPr>
        <w:t>UE, cui si affiancano politiche del calibro della nuova strategia industriale</w:t>
      </w:r>
      <w:r w:rsidRPr="00125908">
        <w:rPr>
          <w:rStyle w:val="FootnoteReference"/>
          <w:rFonts w:ascii="Times New Roman" w:hAnsi="Times New Roman" w:cs="Times New Roman"/>
          <w:noProof/>
          <w:color w:val="000000" w:themeColor="text1"/>
          <w:sz w:val="24"/>
          <w:szCs w:val="24"/>
        </w:rPr>
        <w:footnoteReference w:id="5"/>
      </w:r>
      <w:r w:rsidRPr="00125908">
        <w:rPr>
          <w:rFonts w:ascii="Times New Roman" w:hAnsi="Times New Roman"/>
          <w:noProof/>
          <w:color w:val="000000" w:themeColor="text1"/>
          <w:sz w:val="24"/>
          <w:szCs w:val="24"/>
        </w:rPr>
        <w:t xml:space="preserve"> e iniziative associate, come la normativa europea sui semiconduttori</w:t>
      </w:r>
      <w:r w:rsidRPr="00125908">
        <w:rPr>
          <w:rStyle w:val="FootnoteReference"/>
          <w:rFonts w:ascii="Times New Roman" w:hAnsi="Times New Roman" w:cs="Times New Roman"/>
          <w:noProof/>
          <w:color w:val="000000" w:themeColor="text1"/>
          <w:sz w:val="24"/>
          <w:szCs w:val="24"/>
        </w:rPr>
        <w:footnoteReference w:id="6"/>
      </w:r>
      <w:r w:rsidRPr="00125908">
        <w:rPr>
          <w:rFonts w:ascii="Times New Roman" w:hAnsi="Times New Roman"/>
          <w:noProof/>
          <w:color w:val="000000" w:themeColor="text1"/>
          <w:sz w:val="24"/>
          <w:szCs w:val="24"/>
        </w:rPr>
        <w:t>, consentono all</w:t>
      </w:r>
      <w:r w:rsidR="00013882">
        <w:rPr>
          <w:rFonts w:ascii="Times New Roman" w:hAnsi="Times New Roman"/>
          <w:noProof/>
          <w:color w:val="000000" w:themeColor="text1"/>
          <w:sz w:val="24"/>
          <w:szCs w:val="24"/>
        </w:rPr>
        <w:t>'</w:t>
      </w:r>
      <w:r w:rsidRPr="00125908">
        <w:rPr>
          <w:rFonts w:ascii="Times New Roman" w:hAnsi="Times New Roman"/>
          <w:noProof/>
          <w:color w:val="000000" w:themeColor="text1"/>
          <w:sz w:val="24"/>
          <w:szCs w:val="24"/>
        </w:rPr>
        <w:t>Europa di elaborare proposte forti e importanti catene del valore nei settori deep tech.</w:t>
      </w:r>
    </w:p>
    <w:p w14:paraId="6DDAA0EA" w14:textId="2B6A1C40" w:rsidR="008D2948" w:rsidRPr="00782585" w:rsidRDefault="008D2948" w:rsidP="00782585">
      <w:pPr>
        <w:spacing w:line="240" w:lineRule="auto"/>
        <w:jc w:val="both"/>
        <w:rPr>
          <w:rStyle w:val="normaltextrun"/>
          <w:rFonts w:ascii="Times New Roman" w:hAnsi="Times New Roman" w:cs="Times New Roman"/>
          <w:noProof/>
          <w:color w:val="000000" w:themeColor="text1"/>
          <w:sz w:val="24"/>
          <w:shd w:val="clear" w:color="auto" w:fill="FFFFFF"/>
        </w:rPr>
      </w:pPr>
      <w:r>
        <w:rPr>
          <w:rFonts w:ascii="Times New Roman" w:hAnsi="Times New Roman"/>
          <w:noProof/>
          <w:color w:val="000000" w:themeColor="text1"/>
          <w:sz w:val="24"/>
        </w:rPr>
        <w:t>In terzo luogo: un quadro di condizioni ambiziose che favoriscono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nel mercato unico.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ad elevatissimo contenuto tecnologico mira a trovare soluzioni alle principali sfide per la società. Come dimostrato, ad esempio, </w:t>
      </w:r>
      <w:r>
        <w:rPr>
          <w:rStyle w:val="normaltextrun"/>
          <w:rFonts w:ascii="Times New Roman" w:hAnsi="Times New Roman"/>
          <w:noProof/>
          <w:color w:val="000000" w:themeColor="text1"/>
          <w:sz w:val="24"/>
          <w:shd w:val="clear" w:color="auto" w:fill="FFFFFF"/>
        </w:rPr>
        <w:t>dalla posizione dell</w:t>
      </w:r>
      <w:r w:rsidR="00013882">
        <w:rPr>
          <w:rStyle w:val="normaltextrun"/>
          <w:rFonts w:ascii="Times New Roman" w:hAnsi="Times New Roman"/>
          <w:noProof/>
          <w:color w:val="000000" w:themeColor="text1"/>
          <w:sz w:val="24"/>
          <w:shd w:val="clear" w:color="auto" w:fill="FFFFFF"/>
        </w:rPr>
        <w:t>'</w:t>
      </w:r>
      <w:r>
        <w:rPr>
          <w:rStyle w:val="normaltextrun"/>
          <w:rFonts w:ascii="Times New Roman" w:hAnsi="Times New Roman"/>
          <w:noProof/>
          <w:color w:val="000000" w:themeColor="text1"/>
          <w:sz w:val="24"/>
          <w:shd w:val="clear" w:color="auto" w:fill="FFFFFF"/>
        </w:rPr>
        <w:t>UE nel settore dell</w:t>
      </w:r>
      <w:r w:rsidR="00013882">
        <w:rPr>
          <w:rStyle w:val="normaltextrun"/>
          <w:rFonts w:ascii="Times New Roman" w:hAnsi="Times New Roman"/>
          <w:noProof/>
          <w:color w:val="000000" w:themeColor="text1"/>
          <w:sz w:val="24"/>
          <w:shd w:val="clear" w:color="auto" w:fill="FFFFFF"/>
        </w:rPr>
        <w:t>'</w:t>
      </w:r>
      <w:r>
        <w:rPr>
          <w:rStyle w:val="normaltextrun"/>
          <w:rFonts w:ascii="Times New Roman" w:hAnsi="Times New Roman"/>
          <w:noProof/>
          <w:color w:val="000000" w:themeColor="text1"/>
          <w:sz w:val="24"/>
          <w:shd w:val="clear" w:color="auto" w:fill="FFFFFF"/>
        </w:rPr>
        <w:t>energia eolica</w:t>
      </w:r>
      <w:r>
        <w:rPr>
          <w:rStyle w:val="FootnoteReference"/>
          <w:rFonts w:ascii="Times New Roman" w:hAnsi="Times New Roman" w:cs="Times New Roman"/>
          <w:noProof/>
          <w:color w:val="000000" w:themeColor="text1"/>
          <w:shd w:val="clear" w:color="auto" w:fill="FFFFFF"/>
        </w:rPr>
        <w:footnoteReference w:id="7"/>
      </w:r>
      <w:r>
        <w:rPr>
          <w:rFonts w:ascii="Times New Roman" w:hAnsi="Times New Roman"/>
          <w:noProof/>
          <w:color w:val="000000" w:themeColor="text1"/>
          <w:sz w:val="24"/>
        </w:rPr>
        <w:t>, scelte politiche coraggiose, come quelle in materia di cambiamenti climatici e tutela dell</w:t>
      </w:r>
      <w:r w:rsidR="00013882">
        <w:rPr>
          <w:rFonts w:ascii="Times New Roman" w:hAnsi="Times New Roman"/>
          <w:noProof/>
          <w:color w:val="000000" w:themeColor="text1"/>
          <w:sz w:val="24"/>
        </w:rPr>
        <w:t>'</w:t>
      </w:r>
      <w:r>
        <w:rPr>
          <w:rFonts w:ascii="Times New Roman" w:hAnsi="Times New Roman"/>
          <w:noProof/>
          <w:color w:val="000000" w:themeColor="text1"/>
          <w:sz w:val="24"/>
        </w:rPr>
        <w:t>ambiente, associate a una stretta cooperazione tra il settore pubblico e quello privato - senza dimenticare i punti di forza del mercato unico - hanno creato le condizioni affinché le imprese europee possano prosperare nei settori deep tech del futuro.</w:t>
      </w:r>
      <w:r>
        <w:rPr>
          <w:rStyle w:val="normaltextrun"/>
          <w:rFonts w:ascii="Times New Roman" w:hAnsi="Times New Roman"/>
          <w:noProof/>
          <w:color w:val="000000" w:themeColor="text1"/>
          <w:sz w:val="24"/>
          <w:shd w:val="clear" w:color="auto" w:fill="FFFFFF"/>
        </w:rPr>
        <w:t xml:space="preserve"> </w:t>
      </w:r>
    </w:p>
    <w:p w14:paraId="775C266B" w14:textId="0B99D45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Infine: la riserva di talenti dell</w:t>
      </w:r>
      <w:r w:rsidR="00013882">
        <w:rPr>
          <w:rFonts w:ascii="Times New Roman" w:hAnsi="Times New Roman"/>
          <w:noProof/>
          <w:color w:val="000000" w:themeColor="text1"/>
          <w:sz w:val="24"/>
        </w:rPr>
        <w:t>'</w:t>
      </w:r>
      <w:r>
        <w:rPr>
          <w:rFonts w:ascii="Times New Roman" w:hAnsi="Times New Roman"/>
          <w:noProof/>
          <w:color w:val="000000" w:themeColor="text1"/>
          <w:sz w:val="24"/>
        </w:rPr>
        <w:t>Europa. Le start-up 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deep tech devono poter accedere a una solida offerta di competenze sia scientifiche, tecnologiche, ingegneristiche e matematiche (STEM) sia imprenditoriali, nonché a capacità associate che aderiscono ai più elevati valori e principi in materia di ricerca e sviluppo. L</w:t>
      </w:r>
      <w:r w:rsidR="00013882">
        <w:rPr>
          <w:rFonts w:ascii="Times New Roman" w:hAnsi="Times New Roman"/>
          <w:noProof/>
          <w:color w:val="000000" w:themeColor="text1"/>
          <w:sz w:val="24"/>
        </w:rPr>
        <w:t>'</w:t>
      </w:r>
      <w:r>
        <w:rPr>
          <w:rFonts w:ascii="Times New Roman" w:hAnsi="Times New Roman"/>
          <w:noProof/>
          <w:color w:val="000000" w:themeColor="text1"/>
          <w:sz w:val="24"/>
        </w:rPr>
        <w:t>Europa vanta alcuni degli istituti di istruzione superiore (IIS) e organizzazioni di ricerca migliori del mondo e il loro contributo fondamentale all</w:t>
      </w:r>
      <w:r w:rsidR="00013882">
        <w:rPr>
          <w:rFonts w:ascii="Times New Roman" w:hAnsi="Times New Roman"/>
          <w:noProof/>
          <w:color w:val="000000" w:themeColor="text1"/>
          <w:sz w:val="24"/>
        </w:rPr>
        <w:t>'</w:t>
      </w:r>
      <w:r>
        <w:rPr>
          <w:rFonts w:ascii="Times New Roman" w:hAnsi="Times New Roman"/>
          <w:noProof/>
          <w:color w:val="000000" w:themeColor="text1"/>
          <w:sz w:val="24"/>
        </w:rPr>
        <w:t>agenda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materia di istruzione, ricerca e innovazione continua ad essere rafforzato attraverso iniziative quali la nuova strategia europea per le università</w:t>
      </w:r>
      <w:bookmarkStart w:id="4" w:name="_Ref104922322"/>
      <w:r>
        <w:rPr>
          <w:rStyle w:val="FootnoteReference"/>
          <w:rFonts w:ascii="Times New Roman" w:hAnsi="Times New Roman" w:cs="Times New Roman"/>
          <w:noProof/>
          <w:color w:val="000000" w:themeColor="text1"/>
        </w:rPr>
        <w:footnoteReference w:id="8"/>
      </w:r>
      <w:bookmarkEnd w:id="4"/>
      <w:r w:rsidR="003A1384">
        <w:rPr>
          <w:rFonts w:ascii="Times New Roman" w:hAnsi="Times New Roman"/>
          <w:noProof/>
          <w:color w:val="000000" w:themeColor="text1"/>
          <w:sz w:val="24"/>
        </w:rPr>
        <w:t>. Con 17,5 </w:t>
      </w:r>
      <w:r>
        <w:rPr>
          <w:rFonts w:ascii="Times New Roman" w:hAnsi="Times New Roman"/>
          <w:noProof/>
          <w:color w:val="000000" w:themeColor="text1"/>
          <w:sz w:val="24"/>
        </w:rPr>
        <w:t>milioni di studenti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istruzione terziaria, oltre un milione di ricercatori e un</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attività sempre più importante di concessione di licenze, deposito di brevetti e creazione di start-up in molti paesi, questi istituti stanno già svolgendo un ruolo essenziale nel garantire un flusso di persone competenti e idee valide </w:t>
      </w:r>
      <w:bookmarkStart w:id="5" w:name="_Int_2ceWEjL8"/>
      <w:r>
        <w:rPr>
          <w:rFonts w:ascii="Times New Roman" w:hAnsi="Times New Roman"/>
          <w:noProof/>
          <w:color w:val="000000" w:themeColor="text1"/>
          <w:sz w:val="24"/>
        </w:rPr>
        <w:t>per</w:t>
      </w:r>
      <w:bookmarkEnd w:id="5"/>
      <w:r>
        <w:rPr>
          <w:rFonts w:ascii="Times New Roman" w:hAnsi="Times New Roman"/>
          <w:noProof/>
          <w:color w:val="000000" w:themeColor="text1"/>
          <w:sz w:val="24"/>
        </w:rPr>
        <w:t xml:space="preserv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deep tech.</w:t>
      </w:r>
    </w:p>
    <w:p w14:paraId="1D83C694" w14:textId="07D49CD7" w:rsidR="00EC4212"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Per sfruttare questi punti di forza,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presenterà nuove misure concrete. Queste misure consentiranno agli innovatori, comprese le start-up deep tech, di sfruttare meglio il mercato unico e di attirare nuovi investitori istituzionali per rafforzare i mercati finanziari e dei capitali al fine di commercializzare ed espandere le imprese </w:t>
      </w:r>
      <w:r w:rsidR="00125908">
        <w:rPr>
          <w:rFonts w:ascii="Times New Roman" w:hAnsi="Times New Roman"/>
          <w:noProof/>
          <w:color w:val="000000" w:themeColor="text1"/>
          <w:sz w:val="24"/>
        </w:rPr>
        <w:t>a elevatissimo contenuto tecnologico</w:t>
      </w:r>
      <w:r>
        <w:rPr>
          <w:rFonts w:ascii="Times New Roman" w:hAnsi="Times New Roman"/>
          <w:noProof/>
          <w:color w:val="000000" w:themeColor="text1"/>
          <w:sz w:val="24"/>
        </w:rPr>
        <w:t xml:space="preserv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Le nuove misure aiuteranno le persone a dotarsi delle competenze necessarie per realizzare il potenziale della popolazione diversificata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particolare delle donne, e attirare persone di talento a lavorare sul suo territorio. Le proposte relative ai quadri normativi ci aiuteranno a tenere il passo con il rapido sviluppo tecnologico affinché le innovazioni deep tech possano essere testate e commercializzate nell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w:t>
      </w:r>
    </w:p>
    <w:p w14:paraId="253AC8FD" w14:textId="0F6DD0F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adozione di innovazioni deep tech e la capacità delle regioni di tutta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di contribuire a tali innovazioni e di trarne vantaggio saranno rafforzate anche mediante azioni </w:t>
      </w:r>
      <w:r w:rsidR="007E6397">
        <w:rPr>
          <w:rFonts w:ascii="Times New Roman" w:hAnsi="Times New Roman"/>
          <w:noProof/>
          <w:color w:val="000000" w:themeColor="text1"/>
          <w:sz w:val="24"/>
        </w:rPr>
        <w:t>destinate a</w:t>
      </w:r>
      <w:r>
        <w:rPr>
          <w:rFonts w:ascii="Times New Roman" w:hAnsi="Times New Roman"/>
          <w:noProof/>
          <w:color w:val="000000" w:themeColor="text1"/>
          <w:sz w:val="24"/>
        </w:rPr>
        <w:t xml:space="preserve"> colmare il persistente divario in termini di innovazione all</w:t>
      </w:r>
      <w:r w:rsidR="00013882">
        <w:rPr>
          <w:rFonts w:ascii="Times New Roman" w:hAnsi="Times New Roman"/>
          <w:noProof/>
          <w:color w:val="000000" w:themeColor="text1"/>
          <w:sz w:val="24"/>
        </w:rPr>
        <w:t>'</w:t>
      </w:r>
      <w:r>
        <w:rPr>
          <w:rFonts w:ascii="Times New Roman" w:hAnsi="Times New Roman"/>
          <w:noProof/>
          <w:color w:val="000000" w:themeColor="text1"/>
          <w:sz w:val="24"/>
        </w:rPr>
        <w:t>interno degli Stati membri e delle regioni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Ciò rafforzerà la coesione interna e apporterà benefici economici e sociali più ampi: attualmente, le regioni che registrano i migliori risultati sono fino a nove volte più innovative rispetto a quelle meno efficienti</w:t>
      </w:r>
      <w:r>
        <w:rPr>
          <w:rStyle w:val="FootnoteReference"/>
          <w:rFonts w:ascii="Times New Roman" w:hAnsi="Times New Roman" w:cs="Times New Roman"/>
          <w:noProof/>
          <w:color w:val="000000" w:themeColor="text1"/>
          <w:sz w:val="24"/>
        </w:rPr>
        <w:footnoteReference w:id="9"/>
      </w:r>
      <w:r>
        <w:rPr>
          <w:rFonts w:ascii="Times New Roman" w:hAnsi="Times New Roman"/>
          <w:noProof/>
          <w:color w:val="000000" w:themeColor="text1"/>
          <w:sz w:val="24"/>
        </w:rPr>
        <w:t xml:space="preserve"> e la produzione tecnologica misurata dai brevetti si concentra nelle regioni che ospitano la sede centrale di grandi imprese e vantano una percentuale elevata di imprese manifatturiere</w:t>
      </w:r>
      <w:r>
        <w:rPr>
          <w:rStyle w:val="FootnoteReference"/>
          <w:rFonts w:ascii="Times New Roman" w:hAnsi="Times New Roman" w:cs="Times New Roman"/>
          <w:noProof/>
          <w:color w:val="000000" w:themeColor="text1"/>
          <w:sz w:val="24"/>
        </w:rPr>
        <w:footnoteReference w:id="10"/>
      </w:r>
      <w:r>
        <w:rPr>
          <w:rFonts w:ascii="Times New Roman" w:hAnsi="Times New Roman"/>
          <w:noProof/>
          <w:color w:val="000000" w:themeColor="text1"/>
          <w:sz w:val="24"/>
        </w:rPr>
        <w:t>.</w:t>
      </w:r>
    </w:p>
    <w:p w14:paraId="5B3D5DF6" w14:textId="694A74A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recenti tendenze globali richiedono inoltre un</w:t>
      </w:r>
      <w:r w:rsidR="00013882">
        <w:rPr>
          <w:rFonts w:ascii="Times New Roman" w:hAnsi="Times New Roman"/>
          <w:noProof/>
          <w:color w:val="000000" w:themeColor="text1"/>
          <w:sz w:val="24"/>
        </w:rPr>
        <w:t>'</w:t>
      </w:r>
      <w:r>
        <w:rPr>
          <w:rFonts w:ascii="Times New Roman" w:hAnsi="Times New Roman"/>
          <w:noProof/>
          <w:color w:val="000000" w:themeColor="text1"/>
          <w:sz w:val="24"/>
        </w:rPr>
        <w:t>azione tempestiva e evidenziano la necessità di attenuare le dipendenze strategiche nei settori delle tecnologie chiave e delle materie prime critiche. In linea con le ambizioni del recente piano REPowerEU</w:t>
      </w:r>
      <w:bookmarkStart w:id="6" w:name="_Ref104911487"/>
      <w:r>
        <w:rPr>
          <w:rStyle w:val="FootnoteReference"/>
          <w:rFonts w:ascii="Times New Roman" w:hAnsi="Times New Roman" w:cs="Times New Roman"/>
          <w:noProof/>
          <w:color w:val="000000" w:themeColor="text1"/>
        </w:rPr>
        <w:footnoteReference w:id="11"/>
      </w:r>
      <w:bookmarkEnd w:id="6"/>
      <w:r>
        <w:rPr>
          <w:rFonts w:ascii="Times New Roman" w:hAnsi="Times New Roman"/>
          <w:noProof/>
          <w:color w:val="000000" w:themeColor="text1"/>
          <w:sz w:val="24"/>
        </w:rPr>
        <w:t xml:space="preserve">, che si basa sulle proposte </w:t>
      </w:r>
      <w:r w:rsidR="00013882">
        <w:rPr>
          <w:rFonts w:ascii="Times New Roman" w:hAnsi="Times New Roman"/>
          <w:noProof/>
          <w:color w:val="000000" w:themeColor="text1"/>
          <w:sz w:val="24"/>
        </w:rPr>
        <w:t>"</w:t>
      </w:r>
      <w:r>
        <w:rPr>
          <w:rFonts w:ascii="Times New Roman" w:hAnsi="Times New Roman"/>
          <w:noProof/>
          <w:color w:val="000000" w:themeColor="text1"/>
          <w:sz w:val="24"/>
        </w:rPr>
        <w:t>Pronti per il 55 %</w:t>
      </w:r>
      <w:r w:rsidR="00013882">
        <w:rPr>
          <w:rFonts w:ascii="Times New Roman" w:hAnsi="Times New Roman"/>
          <w:noProof/>
          <w:color w:val="000000" w:themeColor="text1"/>
          <w:sz w:val="24"/>
        </w:rPr>
        <w:t>"</w:t>
      </w:r>
      <w:r>
        <w:rPr>
          <w:rFonts w:ascii="Times New Roman" w:hAnsi="Times New Roman"/>
          <w:noProof/>
          <w:color w:val="000000" w:themeColor="text1"/>
          <w:sz w:val="24"/>
        </w:rPr>
        <w:t>, l</w:t>
      </w:r>
      <w:r w:rsidR="00013882">
        <w:rPr>
          <w:rFonts w:ascii="Times New Roman" w:hAnsi="Times New Roman"/>
          <w:noProof/>
          <w:color w:val="000000" w:themeColor="text1"/>
          <w:sz w:val="24"/>
        </w:rPr>
        <w:t>'</w:t>
      </w:r>
      <w:r>
        <w:rPr>
          <w:rFonts w:ascii="Times New Roman" w:hAnsi="Times New Roman"/>
          <w:noProof/>
          <w:color w:val="000000" w:themeColor="text1"/>
          <w:sz w:val="24"/>
        </w:rPr>
        <w:t>UE deve porre fine alla sua dipendenza dai combustibili fossili russi ben prima del 2030, potenziando gli incrementi di efficienza energetica anche mediante l</w:t>
      </w:r>
      <w:r w:rsidR="00013882">
        <w:rPr>
          <w:rFonts w:ascii="Times New Roman" w:hAnsi="Times New Roman"/>
          <w:noProof/>
          <w:color w:val="000000" w:themeColor="text1"/>
          <w:sz w:val="24"/>
        </w:rPr>
        <w:t>'</w:t>
      </w:r>
      <w:r>
        <w:rPr>
          <w:rFonts w:ascii="Times New Roman" w:hAnsi="Times New Roman"/>
          <w:noProof/>
          <w:color w:val="000000" w:themeColor="text1"/>
          <w:sz w:val="24"/>
        </w:rPr>
        <w:t>adozione dei principi dell</w:t>
      </w:r>
      <w:r w:rsidR="00013882">
        <w:rPr>
          <w:rFonts w:ascii="Times New Roman" w:hAnsi="Times New Roman"/>
          <w:noProof/>
          <w:color w:val="000000" w:themeColor="text1"/>
          <w:sz w:val="24"/>
        </w:rPr>
        <w:t>'</w:t>
      </w:r>
      <w:r>
        <w:rPr>
          <w:rFonts w:ascii="Times New Roman" w:hAnsi="Times New Roman"/>
          <w:noProof/>
          <w:color w:val="000000" w:themeColor="text1"/>
          <w:sz w:val="24"/>
        </w:rPr>
        <w:t>economia circolare, e accelerare inoltre lo sviluppo e la diffusione di tecnologie energetiche pulite, in particolare da fonti rinnovabili compreso 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rinnovabile.</w:t>
      </w:r>
    </w:p>
    <w:p w14:paraId="5C4A8E37" w14:textId="0ACAE6E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Di fronte alle sfide poste dallo sviluppo di un</w:t>
      </w:r>
      <w:r w:rsidR="00013882">
        <w:rPr>
          <w:rFonts w:ascii="Times New Roman" w:hAnsi="Times New Roman"/>
          <w:noProof/>
          <w:color w:val="000000" w:themeColor="text1"/>
          <w:sz w:val="24"/>
        </w:rPr>
        <w:t>'</w:t>
      </w:r>
      <w:r>
        <w:rPr>
          <w:rFonts w:ascii="Times New Roman" w:hAnsi="Times New Roman"/>
          <w:noProof/>
          <w:color w:val="000000" w:themeColor="text1"/>
          <w:sz w:val="24"/>
        </w:rPr>
        <w:t>economia più circolare, digitalizzata ed efficiente sotto il profilo delle risorse, cui si aggiungono la pandemia o l</w:t>
      </w:r>
      <w:r w:rsidR="00013882">
        <w:rPr>
          <w:rFonts w:ascii="Times New Roman" w:hAnsi="Times New Roman"/>
          <w:noProof/>
          <w:color w:val="000000" w:themeColor="text1"/>
          <w:sz w:val="24"/>
        </w:rPr>
        <w:t>'</w:t>
      </w:r>
      <w:r>
        <w:rPr>
          <w:rFonts w:ascii="Times New Roman" w:hAnsi="Times New Roman"/>
          <w:noProof/>
          <w:color w:val="000000" w:themeColor="text1"/>
          <w:sz w:val="24"/>
        </w:rPr>
        <w:t>aggressione della Russia contro l</w:t>
      </w:r>
      <w:r w:rsidR="00013882">
        <w:rPr>
          <w:rFonts w:ascii="Times New Roman" w:hAnsi="Times New Roman"/>
          <w:noProof/>
          <w:color w:val="000000" w:themeColor="text1"/>
          <w:sz w:val="24"/>
        </w:rPr>
        <w:t>'</w:t>
      </w:r>
      <w:r>
        <w:rPr>
          <w:rFonts w:ascii="Times New Roman" w:hAnsi="Times New Roman"/>
          <w:noProof/>
          <w:color w:val="000000" w:themeColor="text1"/>
          <w:sz w:val="24"/>
        </w:rPr>
        <w:t>Ucraina, le imprese dovranno sviluppare nuove capacità e cercare partner affidabili per rafforzare la resilienza della catena di approvvigionamento, creare nuove opportunità commerciali e sviluppare la collaborazione, data la dimensione sempre più internazionale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Orizzonte Europa, Erasmus + e altri programmi e politiche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hanno sempre sostenuto questo tipo di cooperazione con partner affidabili, anche nell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ambito di accordi di associazione. </w:t>
      </w:r>
      <w:bookmarkStart w:id="8" w:name="_Int_O34A0eCS"/>
      <w:r>
        <w:rPr>
          <w:rFonts w:ascii="Times New Roman" w:hAnsi="Times New Roman"/>
          <w:noProof/>
          <w:color w:val="000000" w:themeColor="text1"/>
          <w:sz w:val="24"/>
        </w:rPr>
        <w:t>La comunicazione</w:t>
      </w:r>
      <w:bookmarkEnd w:id="8"/>
      <w:r>
        <w:rPr>
          <w:rFonts w:ascii="Times New Roman" w:hAnsi="Times New Roman"/>
          <w:noProof/>
          <w:color w:val="000000" w:themeColor="text1"/>
          <w:sz w:val="24"/>
        </w:rPr>
        <w:t xml:space="preserve"> sull</w:t>
      </w:r>
      <w:r w:rsidR="00013882">
        <w:rPr>
          <w:rFonts w:ascii="Times New Roman" w:hAnsi="Times New Roman"/>
          <w:noProof/>
          <w:color w:val="000000" w:themeColor="text1"/>
          <w:sz w:val="24"/>
        </w:rPr>
        <w:t>'</w:t>
      </w:r>
      <w:r>
        <w:rPr>
          <w:rFonts w:ascii="Times New Roman" w:hAnsi="Times New Roman"/>
          <w:noProof/>
          <w:color w:val="000000" w:themeColor="text1"/>
          <w:sz w:val="24"/>
        </w:rPr>
        <w:t>approccio globale alla ricerca e all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w:t>
      </w:r>
      <w:r>
        <w:rPr>
          <w:rStyle w:val="FootnoteReference"/>
          <w:rFonts w:ascii="Times New Roman" w:hAnsi="Times New Roman" w:cs="Times New Roman"/>
          <w:noProof/>
          <w:color w:val="000000" w:themeColor="text1"/>
        </w:rPr>
        <w:footnoteReference w:id="12"/>
      </w:r>
      <w:r>
        <w:rPr>
          <w:rFonts w:ascii="Times New Roman" w:hAnsi="Times New Roman"/>
          <w:noProof/>
          <w:color w:val="000000" w:themeColor="text1"/>
          <w:sz w:val="24"/>
        </w:rPr>
        <w:t xml:space="preserve"> offre un quadro più adatto allo sviluppo di una simile cooperazione. Inoltre, la nuova strategia globale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materia di connettività, il cosiddetto Global Gateway</w:t>
      </w:r>
      <w:r>
        <w:rPr>
          <w:rStyle w:val="FootnoteReference"/>
          <w:rFonts w:ascii="Times New Roman" w:hAnsi="Times New Roman" w:cs="Times New Roman"/>
          <w:noProof/>
          <w:color w:val="000000" w:themeColor="text1"/>
        </w:rPr>
        <w:footnoteReference w:id="13"/>
      </w:r>
      <w:r>
        <w:rPr>
          <w:rFonts w:ascii="Times New Roman" w:hAnsi="Times New Roman"/>
          <w:noProof/>
          <w:color w:val="000000" w:themeColor="text1"/>
          <w:sz w:val="24"/>
        </w:rPr>
        <w:t>, e la comunicazione sul riesame della politica commerciale</w:t>
      </w:r>
      <w:r>
        <w:rPr>
          <w:rStyle w:val="FootnoteReference"/>
          <w:rFonts w:ascii="Times New Roman" w:hAnsi="Times New Roman" w:cs="Times New Roman"/>
          <w:noProof/>
          <w:color w:val="000000" w:themeColor="text1"/>
        </w:rPr>
        <w:footnoteReference w:id="14"/>
      </w:r>
      <w:r>
        <w:rPr>
          <w:rFonts w:ascii="Times New Roman" w:hAnsi="Times New Roman"/>
          <w:noProof/>
          <w:color w:val="000000" w:themeColor="text1"/>
          <w:sz w:val="24"/>
        </w:rPr>
        <w:t xml:space="preserve"> sottolineano l</w:t>
      </w:r>
      <w:r w:rsidR="00013882">
        <w:rPr>
          <w:rFonts w:ascii="Times New Roman" w:hAnsi="Times New Roman"/>
          <w:noProof/>
          <w:color w:val="000000" w:themeColor="text1"/>
          <w:sz w:val="24"/>
        </w:rPr>
        <w:t>'</w:t>
      </w:r>
      <w:r>
        <w:rPr>
          <w:rFonts w:ascii="Times New Roman" w:hAnsi="Times New Roman"/>
          <w:noProof/>
          <w:color w:val="000000" w:themeColor="text1"/>
          <w:sz w:val="24"/>
        </w:rPr>
        <w:t>importanza del consolidamento dei partenariati internazionali, della diversificazione delle relazioni commerciali e della valorizzazione delle caratteristiche di apertura e attrattiva del mercato unico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w:t>
      </w:r>
    </w:p>
    <w:p w14:paraId="333ECABE" w14:textId="1839C154" w:rsidR="008D2948" w:rsidRPr="00B32F40"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Le misure contenute nella presente comunicazione, raggruppate in cinque settori faro, possono operare di concerto per sfruttare i punti di forza del mercato unico, la forte base industriale e di talenti, la presenza di </w:t>
      </w:r>
      <w:bookmarkStart w:id="9" w:name="_Int_D6eTIqiY"/>
      <w:r>
        <w:rPr>
          <w:rFonts w:ascii="Times New Roman" w:hAnsi="Times New Roman"/>
          <w:noProof/>
          <w:color w:val="000000" w:themeColor="text1"/>
          <w:sz w:val="24"/>
        </w:rPr>
        <w:t>istituzioni</w:t>
      </w:r>
      <w:bookmarkEnd w:id="9"/>
      <w:r>
        <w:rPr>
          <w:rFonts w:ascii="Times New Roman" w:hAnsi="Times New Roman"/>
          <w:noProof/>
          <w:color w:val="000000" w:themeColor="text1"/>
          <w:sz w:val="24"/>
        </w:rPr>
        <w:t xml:space="preserve"> stabili e società democratiche per stimolare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ad elevatissimo contenuto tecnologico nell</w:t>
      </w:r>
      <w:r w:rsidR="00013882">
        <w:rPr>
          <w:rFonts w:ascii="Times New Roman" w:hAnsi="Times New Roman"/>
          <w:noProof/>
          <w:color w:val="000000" w:themeColor="text1"/>
          <w:sz w:val="24"/>
        </w:rPr>
        <w:t>'</w:t>
      </w:r>
      <w:r>
        <w:rPr>
          <w:rFonts w:ascii="Times New Roman" w:hAnsi="Times New Roman"/>
          <w:noProof/>
          <w:color w:val="000000" w:themeColor="text1"/>
          <w:sz w:val="24"/>
        </w:rPr>
        <w:t>UE, sfruttare le opportunità offerte dalla duplice transizione e costruire partenariati globali duraturi, rispondendo nel contempo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esigenza di una futura autonomia strategica aperta. Si tratta di misure che si </w:t>
      </w:r>
      <w:bookmarkStart w:id="10" w:name="_Int_C57uWq0M"/>
      <w:r>
        <w:rPr>
          <w:rFonts w:ascii="Times New Roman" w:hAnsi="Times New Roman"/>
          <w:noProof/>
          <w:color w:val="000000" w:themeColor="text1"/>
          <w:sz w:val="24"/>
        </w:rPr>
        <w:t>basano</w:t>
      </w:r>
      <w:bookmarkEnd w:id="10"/>
      <w:r>
        <w:rPr>
          <w:rFonts w:ascii="Times New Roman" w:hAnsi="Times New Roman"/>
          <w:noProof/>
          <w:color w:val="000000" w:themeColor="text1"/>
          <w:sz w:val="24"/>
        </w:rPr>
        <w:t xml:space="preserve"> su iniziative passate e in corso destinate a migliorare i risultati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materia di innovazione e a concretizzare gli obiettivi e le priorità del nuovo Spazio europeo della ricerca (SER)</w:t>
      </w:r>
      <w:r>
        <w:rPr>
          <w:rStyle w:val="FootnoteReference"/>
          <w:rFonts w:ascii="Times New Roman" w:hAnsi="Times New Roman" w:cs="Times New Roman"/>
          <w:noProof/>
          <w:color w:val="000000" w:themeColor="text1"/>
        </w:rPr>
        <w:footnoteReference w:id="15"/>
      </w:r>
      <w:r>
        <w:rPr>
          <w:rFonts w:ascii="Times New Roman" w:hAnsi="Times New Roman"/>
          <w:noProof/>
          <w:color w:val="000000" w:themeColor="text1"/>
          <w:sz w:val="24"/>
        </w:rPr>
        <w:t>, dello spazio europeo dell</w:t>
      </w:r>
      <w:r w:rsidR="00013882">
        <w:rPr>
          <w:rFonts w:ascii="Times New Roman" w:hAnsi="Times New Roman"/>
          <w:noProof/>
          <w:color w:val="000000" w:themeColor="text1"/>
          <w:sz w:val="24"/>
        </w:rPr>
        <w:t>'</w:t>
      </w:r>
      <w:r>
        <w:rPr>
          <w:rFonts w:ascii="Times New Roman" w:hAnsi="Times New Roman"/>
          <w:noProof/>
          <w:color w:val="000000" w:themeColor="text1"/>
          <w:sz w:val="24"/>
        </w:rPr>
        <w:t>istruzione</w:t>
      </w:r>
      <w:r>
        <w:rPr>
          <w:rStyle w:val="FootnoteReference"/>
          <w:rFonts w:ascii="Times New Roman" w:hAnsi="Times New Roman" w:cs="Times New Roman"/>
          <w:noProof/>
          <w:color w:val="000000" w:themeColor="text1"/>
          <w:szCs w:val="24"/>
        </w:rPr>
        <w:footnoteReference w:id="16"/>
      </w:r>
      <w:r>
        <w:rPr>
          <w:rFonts w:ascii="Times New Roman" w:hAnsi="Times New Roman"/>
          <w:noProof/>
          <w:color w:val="000000" w:themeColor="text1"/>
          <w:sz w:val="24"/>
        </w:rPr>
        <w:t>, della strategia europea per le università, del piano d</w:t>
      </w:r>
      <w:r w:rsidR="00013882">
        <w:rPr>
          <w:rFonts w:ascii="Times New Roman" w:hAnsi="Times New Roman"/>
          <w:noProof/>
          <w:color w:val="000000" w:themeColor="text1"/>
          <w:sz w:val="24"/>
        </w:rPr>
        <w:t>'</w:t>
      </w:r>
      <w:r>
        <w:rPr>
          <w:rFonts w:ascii="Times New Roman" w:hAnsi="Times New Roman"/>
          <w:noProof/>
          <w:color w:val="000000" w:themeColor="text1"/>
          <w:sz w:val="24"/>
        </w:rPr>
        <w:t>azione per l</w:t>
      </w:r>
      <w:r w:rsidR="00013882">
        <w:rPr>
          <w:rFonts w:ascii="Times New Roman" w:hAnsi="Times New Roman"/>
          <w:noProof/>
          <w:color w:val="000000" w:themeColor="text1"/>
          <w:sz w:val="24"/>
        </w:rPr>
        <w:t>'</w:t>
      </w:r>
      <w:r>
        <w:rPr>
          <w:rFonts w:ascii="Times New Roman" w:hAnsi="Times New Roman"/>
          <w:noProof/>
          <w:color w:val="000000" w:themeColor="text1"/>
          <w:sz w:val="24"/>
        </w:rPr>
        <w:t>istruzione digitale</w:t>
      </w:r>
      <w:r>
        <w:rPr>
          <w:rStyle w:val="FootnoteReference"/>
          <w:rFonts w:ascii="Times New Roman" w:hAnsi="Times New Roman" w:cs="Times New Roman"/>
          <w:noProof/>
          <w:color w:val="000000" w:themeColor="text1"/>
        </w:rPr>
        <w:footnoteReference w:id="17"/>
      </w:r>
      <w:r>
        <w:rPr>
          <w:rFonts w:ascii="Times New Roman" w:hAnsi="Times New Roman"/>
          <w:noProof/>
          <w:color w:val="000000" w:themeColor="text1"/>
          <w:sz w:val="24"/>
        </w:rPr>
        <w:t xml:space="preserve"> e degli obiettivi del decennio digitale</w:t>
      </w:r>
      <w:r>
        <w:rPr>
          <w:rStyle w:val="FootnoteReference"/>
          <w:rFonts w:ascii="Times New Roman" w:hAnsi="Times New Roman" w:cs="Times New Roman"/>
          <w:noProof/>
          <w:color w:val="000000" w:themeColor="text1"/>
          <w:sz w:val="24"/>
        </w:rPr>
        <w:footnoteReference w:id="18"/>
      </w:r>
      <w:r>
        <w:rPr>
          <w:rFonts w:ascii="Times New Roman" w:hAnsi="Times New Roman"/>
          <w:noProof/>
          <w:color w:val="000000" w:themeColor="text1"/>
          <w:sz w:val="24"/>
        </w:rPr>
        <w:t xml:space="preserve"> insieme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obiettivo ad essi associato di disporre di 20 milioni di specialisti del settore delle TIC entro il 2030. </w:t>
      </w:r>
      <w:bookmarkStart w:id="11" w:name="_Int_Fm0CDxsN"/>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obiettivo della presente comunicazione figura anche nella relazione finale (maggio 2022) della Conferenza sul futuro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Europa in cui si chiede di </w:t>
      </w:r>
      <w:r w:rsidR="00013882">
        <w:rPr>
          <w:rFonts w:ascii="Times New Roman" w:hAnsi="Times New Roman"/>
          <w:noProof/>
          <w:color w:val="000000" w:themeColor="text1"/>
          <w:sz w:val="24"/>
        </w:rPr>
        <w:t>"</w:t>
      </w:r>
      <w:r>
        <w:rPr>
          <w:rFonts w:ascii="Times New Roman" w:hAnsi="Times New Roman"/>
          <w:noProof/>
          <w:color w:val="000000" w:themeColor="text1"/>
          <w:sz w:val="24"/>
        </w:rPr>
        <w:t>Garantire una maggiore partecipazione delle start-up e delle PMI ai progetti di innovazione, in quanto ciò incrementa la loro forza innovativa, la loro competitività e la loro creazione di reti</w:t>
      </w:r>
      <w:r>
        <w:rPr>
          <w:rStyle w:val="FootnoteReference"/>
          <w:rFonts w:ascii="Times New Roman" w:hAnsi="Times New Roman" w:cs="Times New Roman"/>
          <w:noProof/>
          <w:color w:val="000000" w:themeColor="text1"/>
        </w:rPr>
        <w:footnoteReference w:id="19"/>
      </w:r>
      <w:r>
        <w:rPr>
          <w:rFonts w:ascii="Times New Roman" w:hAnsi="Times New Roman"/>
          <w:noProof/>
          <w:color w:val="000000" w:themeColor="text1"/>
          <w:sz w:val="24"/>
        </w:rPr>
        <w:t>.</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w:t>
      </w:r>
      <w:r>
        <w:rPr>
          <w:rFonts w:ascii="Times New Roman" w:hAnsi="Times New Roman"/>
          <w:noProof/>
          <w:color w:val="000000" w:themeColor="text1"/>
        </w:rPr>
        <w:t>La comunicazione</w:t>
      </w:r>
      <w:bookmarkEnd w:id="11"/>
      <w:r>
        <w:rPr>
          <w:rFonts w:ascii="Times New Roman" w:hAnsi="Times New Roman"/>
          <w:noProof/>
          <w:color w:val="000000" w:themeColor="text1"/>
        </w:rPr>
        <w:t xml:space="preserve"> contiene inoltre una panoramica delle prestazioni dell</w:t>
      </w:r>
      <w:r w:rsidR="00013882">
        <w:rPr>
          <w:rFonts w:ascii="Times New Roman" w:hAnsi="Times New Roman"/>
          <w:noProof/>
          <w:color w:val="000000" w:themeColor="text1"/>
        </w:rPr>
        <w:t>'</w:t>
      </w:r>
      <w:r>
        <w:rPr>
          <w:rFonts w:ascii="Times New Roman" w:hAnsi="Times New Roman"/>
          <w:noProof/>
          <w:color w:val="000000" w:themeColor="text1"/>
        </w:rPr>
        <w:t>UE in materia di innovazione, esaminate in modo più dettagliato nel documento di lavoro che accompagna la presente comunicazione.</w:t>
      </w:r>
      <w:r>
        <w:rPr>
          <w:rFonts w:ascii="Times New Roman" w:hAnsi="Times New Roman"/>
          <w:noProof/>
          <w:color w:val="000000" w:themeColor="text1"/>
          <w:sz w:val="24"/>
        </w:rPr>
        <w:t xml:space="preserve"> </w:t>
      </w:r>
    </w:p>
    <w:p w14:paraId="6838BA8D" w14:textId="77777777" w:rsidR="008D2948" w:rsidRPr="00125908" w:rsidRDefault="008D2948" w:rsidP="00782585">
      <w:pPr>
        <w:spacing w:line="240" w:lineRule="auto"/>
        <w:jc w:val="both"/>
        <w:rPr>
          <w:rFonts w:ascii="Times New Roman" w:hAnsi="Times New Roman" w:cs="Times New Roman"/>
          <w:b/>
          <w:noProof/>
          <w:color w:val="000000" w:themeColor="text1"/>
          <w:sz w:val="24"/>
        </w:rPr>
      </w:pPr>
    </w:p>
    <w:p w14:paraId="63599EF8" w14:textId="77777777" w:rsidR="008D2948" w:rsidRPr="00782585" w:rsidRDefault="008D2948" w:rsidP="00782585">
      <w:pPr>
        <w:spacing w:line="240" w:lineRule="auto"/>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2. PROSPETTIVE EUROPEE – SFIDE E INIZIATIVE FARO</w:t>
      </w:r>
    </w:p>
    <w:p w14:paraId="00347194" w14:textId="1E0CFD6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2.1. Accedere ai finanziamenti per le imprese in fase di espansione (scale-up) ad elevatissimo contenuto tecnologico</w:t>
      </w:r>
    </w:p>
    <w:p w14:paraId="76F5FA4D"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2.1.1. Sfide da raccogliere </w:t>
      </w:r>
    </w:p>
    <w:p w14:paraId="55905D60" w14:textId="620EB1B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Europa è una delle regioni in cui gli investimenti di capitali privati crescono più rapidamente</w:t>
      </w:r>
      <w:r>
        <w:rPr>
          <w:rStyle w:val="FootnoteReference"/>
          <w:rFonts w:ascii="Times New Roman" w:hAnsi="Times New Roman" w:cs="Times New Roman"/>
          <w:noProof/>
          <w:color w:val="000000" w:themeColor="text1"/>
          <w:szCs w:val="24"/>
        </w:rPr>
        <w:footnoteReference w:id="20"/>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xml:space="preserve"> Tra il 2016 e il 2020 ha registrato una crescita più rapida della Cina e degli Stati Uniti</w:t>
      </w:r>
      <w:r>
        <w:rPr>
          <w:rStyle w:val="FootnoteReference"/>
          <w:rFonts w:ascii="Times New Roman" w:hAnsi="Times New Roman" w:cs="Times New Roman"/>
          <w:noProof/>
          <w:color w:val="000000" w:themeColor="text1"/>
          <w:szCs w:val="24"/>
        </w:rPr>
        <w:footnoteReference w:id="21"/>
      </w:r>
      <w:r>
        <w:rPr>
          <w:rFonts w:ascii="Times New Roman" w:hAnsi="Times New Roman"/>
          <w:noProof/>
          <w:color w:val="000000" w:themeColor="text1"/>
          <w:sz w:val="24"/>
        </w:rPr>
        <w:t>, pur partendo da una base inferiore. Le start-up dell</w:t>
      </w:r>
      <w:r w:rsidR="00013882">
        <w:rPr>
          <w:rFonts w:ascii="Times New Roman" w:hAnsi="Times New Roman"/>
          <w:noProof/>
          <w:color w:val="000000" w:themeColor="text1"/>
          <w:sz w:val="24"/>
        </w:rPr>
        <w:t>'</w:t>
      </w:r>
      <w:r>
        <w:rPr>
          <w:rFonts w:ascii="Times New Roman" w:hAnsi="Times New Roman"/>
          <w:noProof/>
          <w:color w:val="000000" w:themeColor="text1"/>
          <w:sz w:val="24"/>
        </w:rPr>
        <w:t>UE rappresentavano inoltre il 33 % di tutto il capitale investito a livello mondiale a concorrenza di 5 milioni di USD, rispetto al 35 % degli Stati Uniti</w:t>
      </w:r>
      <w:r>
        <w:rPr>
          <w:rStyle w:val="FootnoteReference"/>
          <w:rFonts w:ascii="Times New Roman" w:hAnsi="Times New Roman" w:cs="Times New Roman"/>
          <w:noProof/>
          <w:color w:val="000000" w:themeColor="text1"/>
          <w:szCs w:val="24"/>
        </w:rPr>
        <w:footnoteReference w:id="22"/>
      </w:r>
      <w:r>
        <w:rPr>
          <w:rFonts w:ascii="Times New Roman" w:hAnsi="Times New Roman"/>
          <w:noProof/>
          <w:color w:val="000000" w:themeColor="text1"/>
          <w:sz w:val="24"/>
        </w:rPr>
        <w:t xml:space="preserve">. </w:t>
      </w:r>
    </w:p>
    <w:p w14:paraId="255E8A80" w14:textId="543A846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istituzione del Consiglio europeo per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(CEI) consente alle start-up a elevatissimo contenuto tecnologico più promettenti in Europa di beneficiare di un ulteriore sostegno per espandere le loro innovazioni pionieristiche grazie a una combinazione unica di sovvenzioni pubbliche e investimenti di capitale </w:t>
      </w:r>
      <w:r w:rsidR="00013882">
        <w:rPr>
          <w:rFonts w:ascii="Times New Roman" w:hAnsi="Times New Roman"/>
          <w:noProof/>
          <w:color w:val="000000" w:themeColor="text1"/>
          <w:sz w:val="24"/>
        </w:rPr>
        <w:t>"</w:t>
      </w:r>
      <w:r>
        <w:rPr>
          <w:rFonts w:ascii="Times New Roman" w:hAnsi="Times New Roman"/>
          <w:noProof/>
          <w:color w:val="000000" w:themeColor="text1"/>
          <w:sz w:val="24"/>
        </w:rPr>
        <w:t>paziente</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attraver</w:t>
      </w:r>
      <w:r w:rsidR="007E6397">
        <w:rPr>
          <w:rFonts w:ascii="Times New Roman" w:hAnsi="Times New Roman"/>
          <w:noProof/>
          <w:color w:val="000000" w:themeColor="text1"/>
          <w:sz w:val="24"/>
        </w:rPr>
        <w:t xml:space="preserve">so il fondo del CEI. </w:t>
      </w:r>
      <w:r>
        <w:rPr>
          <w:rFonts w:ascii="Times New Roman" w:hAnsi="Times New Roman"/>
          <w:noProof/>
          <w:color w:val="000000" w:themeColor="text1"/>
          <w:sz w:val="24"/>
        </w:rPr>
        <w:t>Il fondo dovrebbe diventare il massimo investitore nell</w:t>
      </w:r>
      <w:r w:rsidR="00013882">
        <w:rPr>
          <w:rFonts w:ascii="Times New Roman" w:hAnsi="Times New Roman"/>
          <w:noProof/>
          <w:color w:val="000000" w:themeColor="text1"/>
          <w:sz w:val="24"/>
        </w:rPr>
        <w:t>'</w:t>
      </w:r>
      <w:r>
        <w:rPr>
          <w:rFonts w:ascii="Times New Roman" w:hAnsi="Times New Roman"/>
          <w:noProof/>
          <w:color w:val="000000" w:themeColor="text1"/>
          <w:sz w:val="24"/>
        </w:rPr>
        <w:t>avvio di imprese deep tech in Europa: mobilitando un bilancio di 10 miliardi di EUR del CEI per attirare tra 30 e 50 miliardi di EUR</w:t>
      </w:r>
      <w:r>
        <w:rPr>
          <w:rStyle w:val="FootnoteReference"/>
          <w:rFonts w:ascii="Times New Roman" w:hAnsi="Times New Roman" w:cs="Times New Roman"/>
          <w:noProof/>
          <w:color w:val="000000" w:themeColor="text1"/>
          <w:szCs w:val="24"/>
        </w:rPr>
        <w:footnoteReference w:id="23"/>
      </w:r>
      <w:r>
        <w:rPr>
          <w:rFonts w:ascii="Times New Roman" w:hAnsi="Times New Roman"/>
          <w:noProof/>
          <w:color w:val="000000" w:themeColor="text1"/>
          <w:sz w:val="24"/>
        </w:rPr>
        <w:t xml:space="preserve"> da altri investitori privati.</w:t>
      </w:r>
    </w:p>
    <w:p w14:paraId="36F4089F" w14:textId="4ED902BB"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misure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dell</w:t>
      </w:r>
      <w:r w:rsidR="00013882">
        <w:rPr>
          <w:rFonts w:ascii="Times New Roman" w:hAnsi="Times New Roman"/>
          <w:noProof/>
          <w:color w:val="000000" w:themeColor="text1"/>
          <w:sz w:val="24"/>
        </w:rPr>
        <w:t>'</w:t>
      </w:r>
      <w:r>
        <w:rPr>
          <w:rFonts w:ascii="Times New Roman" w:hAnsi="Times New Roman"/>
          <w:noProof/>
          <w:color w:val="000000" w:themeColor="text1"/>
          <w:sz w:val="24"/>
        </w:rPr>
        <w:t>Unione dei mercati dei capitali</w:t>
      </w:r>
      <w:r>
        <w:rPr>
          <w:rStyle w:val="FootnoteReference"/>
          <w:rFonts w:ascii="Times New Roman" w:hAnsi="Times New Roman" w:cs="Times New Roman"/>
          <w:noProof/>
          <w:color w:val="000000" w:themeColor="text1"/>
        </w:rPr>
        <w:footnoteReference w:id="24"/>
      </w:r>
      <w:r>
        <w:rPr>
          <w:rFonts w:ascii="Times New Roman" w:hAnsi="Times New Roman"/>
          <w:noProof/>
          <w:color w:val="000000" w:themeColor="text1"/>
          <w:sz w:val="24"/>
        </w:rPr>
        <w:t xml:space="preserve"> e il sostegno fornito da InvestEU</w:t>
      </w:r>
      <w:r>
        <w:rPr>
          <w:rStyle w:val="FootnoteReference"/>
          <w:rFonts w:ascii="Times New Roman" w:hAnsi="Times New Roman" w:cs="Times New Roman"/>
          <w:noProof/>
          <w:color w:val="000000" w:themeColor="text1"/>
        </w:rPr>
        <w:footnoteReference w:id="25"/>
      </w:r>
      <w:r>
        <w:rPr>
          <w:rFonts w:ascii="Times New Roman" w:hAnsi="Times New Roman"/>
          <w:noProof/>
          <w:color w:val="000000" w:themeColor="text1"/>
          <w:sz w:val="24"/>
        </w:rPr>
        <w:t xml:space="preserve">, che mobilita oltre 370 miliardi di EUR di investimenti aggiuntivi, incentiveranno ulteriormente gli investimenti privati a sostegno di tali innovazioni in Europa. Si prevede inoltre di mobilitare una parte dei circa 13 000 </w:t>
      </w:r>
      <w:bookmarkStart w:id="12" w:name="_Int_Sxmg2TIJ"/>
      <w:r>
        <w:rPr>
          <w:rFonts w:ascii="Times New Roman" w:hAnsi="Times New Roman"/>
          <w:noProof/>
          <w:color w:val="000000" w:themeColor="text1"/>
          <w:sz w:val="24"/>
        </w:rPr>
        <w:t>miliardi</w:t>
      </w:r>
      <w:bookmarkEnd w:id="12"/>
      <w:r>
        <w:rPr>
          <w:rFonts w:ascii="Times New Roman" w:hAnsi="Times New Roman"/>
          <w:noProof/>
          <w:color w:val="000000" w:themeColor="text1"/>
          <w:sz w:val="24"/>
        </w:rPr>
        <w:t xml:space="preserve"> di EUR di </w:t>
      </w:r>
      <w:r w:rsidR="00013882">
        <w:rPr>
          <w:rFonts w:ascii="Times New Roman" w:hAnsi="Times New Roman"/>
          <w:noProof/>
          <w:color w:val="000000" w:themeColor="text1"/>
          <w:sz w:val="24"/>
        </w:rPr>
        <w:t>"</w:t>
      </w:r>
      <w:r>
        <w:rPr>
          <w:rFonts w:ascii="Times New Roman" w:hAnsi="Times New Roman"/>
          <w:noProof/>
          <w:color w:val="000000" w:themeColor="text1"/>
          <w:sz w:val="24"/>
        </w:rPr>
        <w:t>attività gestite</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(AUM - </w:t>
      </w:r>
      <w:r>
        <w:rPr>
          <w:rFonts w:ascii="Times New Roman" w:hAnsi="Times New Roman"/>
          <w:i/>
          <w:iCs/>
          <w:noProof/>
          <w:color w:val="000000" w:themeColor="text1"/>
          <w:sz w:val="24"/>
        </w:rPr>
        <w:t>assets under management</w:t>
      </w:r>
      <w:r>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Cs w:val="24"/>
        </w:rPr>
        <w:footnoteReference w:id="26"/>
      </w:r>
      <w:r>
        <w:rPr>
          <w:rFonts w:ascii="Times New Roman" w:hAnsi="Times New Roman"/>
          <w:noProof/>
          <w:color w:val="000000" w:themeColor="text1"/>
          <w:sz w:val="24"/>
        </w:rPr>
        <w:t xml:space="preserve"> degli investitori istituzionali/privati di lungo termine stabiliti nell</w:t>
      </w:r>
      <w:r w:rsidR="00013882">
        <w:rPr>
          <w:rFonts w:ascii="Times New Roman" w:hAnsi="Times New Roman"/>
          <w:noProof/>
          <w:color w:val="000000" w:themeColor="text1"/>
          <w:sz w:val="24"/>
        </w:rPr>
        <w:t>'</w:t>
      </w:r>
      <w:r>
        <w:rPr>
          <w:rFonts w:ascii="Times New Roman" w:hAnsi="Times New Roman"/>
          <w:noProof/>
          <w:color w:val="000000" w:themeColor="text1"/>
          <w:sz w:val="24"/>
        </w:rPr>
        <w:t>UE, come i fondi pensione e le compagnie di assicurazione, per finanziare investimenti in capitale di rischio destinati alle imprese in espansione nell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p>
    <w:p w14:paraId="30EEE363" w14:textId="78F3E78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Tuttavia, l</w:t>
      </w:r>
      <w:r w:rsidR="00013882">
        <w:rPr>
          <w:rFonts w:ascii="Times New Roman" w:hAnsi="Times New Roman"/>
          <w:noProof/>
          <w:color w:val="000000" w:themeColor="text1"/>
          <w:sz w:val="24"/>
        </w:rPr>
        <w:t>'</w:t>
      </w:r>
      <w:r>
        <w:rPr>
          <w:rFonts w:ascii="Times New Roman" w:hAnsi="Times New Roman"/>
          <w:noProof/>
          <w:color w:val="000000" w:themeColor="text1"/>
          <w:sz w:val="24"/>
        </w:rPr>
        <w:t>UE ha un numero notevolmente inferiore di scale-up tecnologiche rispetto agli Stati Uniti e alla Cina e i finanziamenti a favore di queste imprese sono inferiori rispetto a quelli destinati alle start-up</w:t>
      </w:r>
      <w:r>
        <w:rPr>
          <w:rStyle w:val="FootnoteReference"/>
          <w:rFonts w:ascii="Times New Roman" w:hAnsi="Times New Roman" w:cs="Times New Roman"/>
          <w:noProof/>
          <w:color w:val="000000" w:themeColor="text1"/>
          <w:szCs w:val="24"/>
        </w:rPr>
        <w:footnoteReference w:id="27"/>
      </w:r>
      <w:r>
        <w:rPr>
          <w:rFonts w:ascii="Times New Roman" w:hAnsi="Times New Roman"/>
          <w:noProof/>
          <w:color w:val="000000" w:themeColor="text1"/>
          <w:sz w:val="24"/>
        </w:rPr>
        <w:t>. Una serie di fattori frenano l</w:t>
      </w:r>
      <w:r w:rsidR="00013882">
        <w:rPr>
          <w:rFonts w:ascii="Times New Roman" w:hAnsi="Times New Roman"/>
          <w:noProof/>
          <w:color w:val="000000" w:themeColor="text1"/>
          <w:sz w:val="24"/>
        </w:rPr>
        <w:t>'</w:t>
      </w:r>
      <w:r>
        <w:rPr>
          <w:rFonts w:ascii="Times New Roman" w:hAnsi="Times New Roman"/>
          <w:noProof/>
          <w:color w:val="000000" w:themeColor="text1"/>
          <w:sz w:val="24"/>
        </w:rPr>
        <w:t>UE. I prodotti bancari tradizionali, quali prestiti, linee di credito e scoperti bancari, continuano a essere la principale fonte di finanziamento esterno per le imprese europee</w:t>
      </w:r>
      <w:r>
        <w:rPr>
          <w:rStyle w:val="FootnoteReference"/>
          <w:rFonts w:ascii="Times New Roman" w:hAnsi="Times New Roman" w:cs="Times New Roman"/>
          <w:noProof/>
          <w:color w:val="000000" w:themeColor="text1"/>
          <w:szCs w:val="24"/>
        </w:rPr>
        <w:footnoteReference w:id="28"/>
      </w:r>
      <w:r>
        <w:rPr>
          <w:rFonts w:ascii="Times New Roman" w:hAnsi="Times New Roman"/>
          <w:noProof/>
          <w:color w:val="000000" w:themeColor="text1"/>
          <w:sz w:val="24"/>
        </w:rPr>
        <w:t xml:space="preserve">. Le </w:t>
      </w:r>
      <w:bookmarkStart w:id="13" w:name="_Int_k0gsKptX"/>
      <w:r>
        <w:rPr>
          <w:rFonts w:ascii="Times New Roman" w:hAnsi="Times New Roman"/>
          <w:noProof/>
          <w:color w:val="000000" w:themeColor="text1"/>
          <w:sz w:val="24"/>
        </w:rPr>
        <w:t>risorse</w:t>
      </w:r>
      <w:bookmarkEnd w:id="13"/>
      <w:r>
        <w:rPr>
          <w:rFonts w:ascii="Times New Roman" w:hAnsi="Times New Roman"/>
          <w:noProof/>
          <w:color w:val="000000" w:themeColor="text1"/>
          <w:sz w:val="24"/>
        </w:rPr>
        <w:t xml:space="preserve"> alternative disponibili sul mercato, come il capitale proprio, svolgono un ruolo relativamente marginale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e il sistema fiscale rafforza lo status quo, in quanto gli interessi pagati sul finanziamento di un debito sono deducibili fiscalmente, mentre nella maggior parte degli Stati membri i costi connessi al finanziamento esterno tramite capitale di rischio non lo sono</w:t>
      </w:r>
      <w:r>
        <w:rPr>
          <w:rStyle w:val="FootnoteReference"/>
          <w:rFonts w:ascii="Times New Roman" w:hAnsi="Times New Roman" w:cs="Times New Roman"/>
          <w:noProof/>
          <w:color w:val="000000" w:themeColor="text1"/>
          <w:szCs w:val="24"/>
        </w:rPr>
        <w:footnoteReference w:id="29"/>
      </w:r>
      <w:r>
        <w:rPr>
          <w:rFonts w:ascii="Times New Roman" w:hAnsi="Times New Roman"/>
          <w:noProof/>
          <w:color w:val="000000" w:themeColor="text1"/>
          <w:sz w:val="24"/>
        </w:rPr>
        <w:t xml:space="preserve">. </w:t>
      </w:r>
    </w:p>
    <w:p w14:paraId="57960C0E" w14:textId="3793678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 breve durata dei finanziamenti tradizionali e il relativo svantaggio fiscale dei finanziamenti tramite capitale proprio rispetto al debito costituiscono un ostacolo significativo agli investimenti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 particolare in fase di espansione.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deep tech richiede ingenti quantità di capitale proprio paziente in quanto le imprese interessate generalmente non dispongono né di flussi di entrate né di flussi di contanti garantiti; sono ricche di proprietà intellettuale (PI) ma hanno poche garanzie collaterali; e occorrerà loro del tempo per trasformare i risultati in prodotti commercializzabili</w:t>
      </w:r>
      <w:r w:rsidR="00125908">
        <w:rPr>
          <w:rFonts w:ascii="Times New Roman" w:hAnsi="Times New Roman"/>
          <w:noProof/>
          <w:color w:val="000000" w:themeColor="text1"/>
          <w:sz w:val="24"/>
        </w:rPr>
        <w:t xml:space="preserve"> e un ritorno</w:t>
      </w:r>
      <w:r>
        <w:rPr>
          <w:rFonts w:ascii="Times New Roman" w:hAnsi="Times New Roman"/>
          <w:noProof/>
          <w:color w:val="000000" w:themeColor="text1"/>
          <w:sz w:val="24"/>
        </w:rPr>
        <w:t xml:space="preserve"> dal punto di vista finanziario. </w:t>
      </w:r>
    </w:p>
    <w:p w14:paraId="32594CAE" w14:textId="3E11C5D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UE, a differenza di Stati Uniti e Cina, non dispone inoltre di grandi fondi di capitale di rischio disposti a sottoscrivere operazioni di ingente entità. La distribuzione degli investitori di capitale di rischio tra i diversi tipi di investitori rivela che i fondi pensione e le compagnie di assicurazione rappresentano solo il 12,7 % del totale dei fondi di capitale di rischio raccolti nell</w:t>
      </w:r>
      <w:r w:rsidR="00013882">
        <w:rPr>
          <w:rFonts w:ascii="Times New Roman" w:hAnsi="Times New Roman"/>
          <w:noProof/>
          <w:color w:val="000000" w:themeColor="text1"/>
          <w:sz w:val="24"/>
        </w:rPr>
        <w:t>'</w:t>
      </w:r>
      <w:r>
        <w:rPr>
          <w:rFonts w:ascii="Times New Roman" w:hAnsi="Times New Roman"/>
          <w:noProof/>
          <w:color w:val="000000" w:themeColor="text1"/>
          <w:sz w:val="24"/>
        </w:rPr>
        <w:t>UE nel 2020</w:t>
      </w:r>
      <w:r>
        <w:rPr>
          <w:rStyle w:val="FootnoteReference"/>
          <w:rFonts w:ascii="Times New Roman" w:hAnsi="Times New Roman" w:cs="Times New Roman"/>
          <w:noProof/>
          <w:color w:val="000000" w:themeColor="text1"/>
          <w:szCs w:val="24"/>
        </w:rPr>
        <w:footnoteReference w:id="30"/>
      </w:r>
      <w:r>
        <w:rPr>
          <w:rFonts w:ascii="Times New Roman" w:hAnsi="Times New Roman"/>
          <w:noProof/>
          <w:color w:val="000000" w:themeColor="text1"/>
          <w:sz w:val="24"/>
        </w:rPr>
        <w:t>. Le agenzie governative, d</w:t>
      </w:r>
      <w:r w:rsidR="00013882">
        <w:rPr>
          <w:rFonts w:ascii="Times New Roman" w:hAnsi="Times New Roman"/>
          <w:noProof/>
          <w:color w:val="000000" w:themeColor="text1"/>
          <w:sz w:val="24"/>
        </w:rPr>
        <w:t>'</w:t>
      </w:r>
      <w:r>
        <w:rPr>
          <w:rFonts w:ascii="Times New Roman" w:hAnsi="Times New Roman"/>
          <w:noProof/>
          <w:color w:val="000000" w:themeColor="text1"/>
          <w:sz w:val="24"/>
        </w:rPr>
        <w:t>altro canto, rappresentavano la quota maggiore (quasi il 35 %). Ciò mette in evidenza la frammentazione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avversione al rischio del mercato europeo dei capitali di rischio, in cui molti investitori si concentrano sui mercati regionali, ristretti e in fase di avvio, determinando in Europa cicli di investimento meno numerosi e più ridotti in una fase più avanzata. </w:t>
      </w:r>
    </w:p>
    <w:p w14:paraId="26DF6FA7" w14:textId="2E158DAF" w:rsidR="008D2948" w:rsidRPr="00782585" w:rsidRDefault="006A344C"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 maggior parte dei cicli di investimento più importanti è stata alimentata da investitori d</w:t>
      </w:r>
      <w:r w:rsidR="00013882">
        <w:rPr>
          <w:rFonts w:ascii="Times New Roman" w:hAnsi="Times New Roman"/>
          <w:noProof/>
          <w:color w:val="000000" w:themeColor="text1"/>
          <w:sz w:val="24"/>
        </w:rPr>
        <w:t>'</w:t>
      </w:r>
      <w:r>
        <w:rPr>
          <w:rFonts w:ascii="Times New Roman" w:hAnsi="Times New Roman"/>
          <w:noProof/>
          <w:color w:val="000000" w:themeColor="text1"/>
          <w:sz w:val="24"/>
        </w:rPr>
        <w:t>oltreoceano (fondi di capitale di rischio con sede in paesi terzi)</w:t>
      </w:r>
      <w:r>
        <w:rPr>
          <w:rStyle w:val="FootnoteReference"/>
          <w:rFonts w:ascii="Times New Roman" w:hAnsi="Times New Roman" w:cs="Times New Roman"/>
          <w:noProof/>
          <w:color w:val="000000" w:themeColor="text1"/>
          <w:szCs w:val="24"/>
        </w:rPr>
        <w:footnoteReference w:id="31"/>
      </w:r>
      <w:r>
        <w:rPr>
          <w:rFonts w:ascii="Times New Roman" w:hAnsi="Times New Roman"/>
          <w:noProof/>
          <w:color w:val="000000" w:themeColor="text1"/>
          <w:sz w:val="24"/>
        </w:rPr>
        <w:t>, e anche le offerte pubbliche iniziali (IPO) svolgono nell</w:t>
      </w:r>
      <w:r w:rsidR="00013882">
        <w:rPr>
          <w:rFonts w:ascii="Times New Roman" w:hAnsi="Times New Roman"/>
          <w:noProof/>
          <w:color w:val="000000" w:themeColor="text1"/>
          <w:sz w:val="24"/>
        </w:rPr>
        <w:t>'</w:t>
      </w:r>
      <w:r>
        <w:rPr>
          <w:rFonts w:ascii="Times New Roman" w:hAnsi="Times New Roman"/>
          <w:noProof/>
          <w:color w:val="000000" w:themeColor="text1"/>
          <w:sz w:val="24"/>
        </w:rPr>
        <w:t>UE un ruolo relativamente ridotto nei finanziamenti rispetto agli Stati Uniti. Un mercato delle IPO sottodimensionato limita le fonti di finanziamento azionario per le imprese</w:t>
      </w:r>
      <w:r>
        <w:rPr>
          <w:rStyle w:val="FootnoteReference"/>
          <w:rFonts w:ascii="Times New Roman" w:hAnsi="Times New Roman" w:cs="Times New Roman"/>
          <w:noProof/>
          <w:color w:val="000000" w:themeColor="text1"/>
        </w:rPr>
        <w:footnoteReference w:id="32"/>
      </w:r>
      <w:r>
        <w:rPr>
          <w:rFonts w:ascii="Times New Roman" w:hAnsi="Times New Roman"/>
          <w:noProof/>
          <w:color w:val="000000" w:themeColor="text1"/>
          <w:sz w:val="24"/>
        </w:rPr>
        <w:t xml:space="preserve"> e le opportunità di investimento per gli investitori. Limita inoltre le possibilità di uscita per quegli investitori in capitale di rischio e private equity che potrebbero aver investito in una fase precedente dello sviluppo dell</w:t>
      </w:r>
      <w:r w:rsidR="00013882">
        <w:rPr>
          <w:rFonts w:ascii="Times New Roman" w:hAnsi="Times New Roman"/>
          <w:noProof/>
          <w:color w:val="000000" w:themeColor="text1"/>
          <w:sz w:val="24"/>
        </w:rPr>
        <w:t>'</w:t>
      </w:r>
      <w:r>
        <w:rPr>
          <w:rFonts w:ascii="Times New Roman" w:hAnsi="Times New Roman"/>
          <w:noProof/>
          <w:color w:val="000000" w:themeColor="text1"/>
          <w:sz w:val="24"/>
        </w:rPr>
        <w:t>impresa. Nel 2020 solo il 5 % dell</w:t>
      </w:r>
      <w:r w:rsidR="00013882">
        <w:rPr>
          <w:rFonts w:ascii="Times New Roman" w:hAnsi="Times New Roman"/>
          <w:noProof/>
          <w:color w:val="000000" w:themeColor="text1"/>
          <w:sz w:val="24"/>
        </w:rPr>
        <w:t>'</w:t>
      </w:r>
      <w:r>
        <w:rPr>
          <w:rFonts w:ascii="Times New Roman" w:hAnsi="Times New Roman"/>
          <w:noProof/>
          <w:color w:val="000000" w:themeColor="text1"/>
          <w:sz w:val="24"/>
        </w:rPr>
        <w:t>importo totale dei disinvestimenti è stato effettuato tramite IPO nell</w:t>
      </w:r>
      <w:r w:rsidR="00013882">
        <w:rPr>
          <w:rFonts w:ascii="Times New Roman" w:hAnsi="Times New Roman"/>
          <w:noProof/>
          <w:color w:val="000000" w:themeColor="text1"/>
          <w:sz w:val="24"/>
        </w:rPr>
        <w:t>'</w:t>
      </w:r>
      <w:r>
        <w:rPr>
          <w:rFonts w:ascii="Times New Roman" w:hAnsi="Times New Roman"/>
          <w:noProof/>
          <w:color w:val="000000" w:themeColor="text1"/>
          <w:sz w:val="24"/>
        </w:rPr>
        <w:t>UE, rispetto al 30 % registrato negli Stati Uniti</w:t>
      </w:r>
      <w:r>
        <w:rPr>
          <w:rStyle w:val="FootnoteReference"/>
          <w:rFonts w:ascii="Times New Roman" w:hAnsi="Times New Roman" w:cs="Times New Roman"/>
          <w:noProof/>
          <w:color w:val="000000" w:themeColor="text1"/>
          <w:szCs w:val="24"/>
        </w:rPr>
        <w:footnoteReference w:id="33"/>
      </w:r>
      <w:r>
        <w:rPr>
          <w:rFonts w:ascii="Times New Roman" w:hAnsi="Times New Roman"/>
          <w:noProof/>
          <w:color w:val="000000" w:themeColor="text1"/>
          <w:sz w:val="24"/>
        </w:rPr>
        <w:t>. È dimostrato che, nel loro insieme, questi fattori hanno spinto le imprese europee a delocalizzarsi, anche attraverso quotazioni e uscite all</w:t>
      </w:r>
      <w:r w:rsidR="00013882">
        <w:rPr>
          <w:rFonts w:ascii="Times New Roman" w:hAnsi="Times New Roman"/>
          <w:noProof/>
          <w:color w:val="000000" w:themeColor="text1"/>
          <w:sz w:val="24"/>
        </w:rPr>
        <w:t>'</w:t>
      </w:r>
      <w:r>
        <w:rPr>
          <w:rFonts w:ascii="Times New Roman" w:hAnsi="Times New Roman"/>
          <w:noProof/>
          <w:color w:val="000000" w:themeColor="text1"/>
          <w:sz w:val="24"/>
        </w:rPr>
        <w:t>estero, comprese le vendite commerciali</w:t>
      </w:r>
      <w:r>
        <w:rPr>
          <w:rStyle w:val="FootnoteReference"/>
          <w:rFonts w:ascii="Times New Roman" w:hAnsi="Times New Roman" w:cs="Times New Roman"/>
          <w:noProof/>
          <w:color w:val="000000" w:themeColor="text1"/>
          <w:szCs w:val="24"/>
        </w:rPr>
        <w:footnoteReference w:id="34"/>
      </w:r>
      <w:r>
        <w:rPr>
          <w:rFonts w:ascii="Times New Roman" w:hAnsi="Times New Roman"/>
          <w:noProof/>
          <w:color w:val="000000" w:themeColor="text1"/>
          <w:sz w:val="24"/>
        </w:rPr>
        <w:t>.</w:t>
      </w:r>
    </w:p>
    <w:p w14:paraId="64CB153C" w14:textId="177F0F4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Inoltre, le donne e le persone che provengono da contesti diversi continuano a essere sottorappresentati sia nelle start-up ad elevatissimo contenuto tecnologico che nei fondi di investimento, nonostante la chiara correlazione tra la crescita delle imprese e la presenza di équipe variegate</w:t>
      </w:r>
      <w:r>
        <w:rPr>
          <w:rStyle w:val="FootnoteReference"/>
          <w:rFonts w:ascii="Times New Roman" w:hAnsi="Times New Roman" w:cs="Times New Roman"/>
          <w:noProof/>
          <w:color w:val="000000" w:themeColor="text1"/>
          <w:szCs w:val="24"/>
        </w:rPr>
        <w:footnoteReference w:id="35"/>
      </w:r>
      <w:r>
        <w:rPr>
          <w:rFonts w:ascii="Times New Roman" w:hAnsi="Times New Roman"/>
          <w:noProof/>
          <w:color w:val="000000" w:themeColor="text1"/>
          <w:sz w:val="24"/>
        </w:rPr>
        <w:t>, tra cui il numero di donne in posizioni dirigenziali. Nel 2020 le imprese tecnologiche fondate da donne hanno assorbito solo l</w:t>
      </w:r>
      <w:r w:rsidR="00013882">
        <w:rPr>
          <w:rFonts w:ascii="Times New Roman" w:hAnsi="Times New Roman"/>
          <w:noProof/>
          <w:color w:val="000000" w:themeColor="text1"/>
          <w:sz w:val="24"/>
        </w:rPr>
        <w:t>'</w:t>
      </w:r>
      <w:r>
        <w:rPr>
          <w:rFonts w:ascii="Times New Roman" w:hAnsi="Times New Roman"/>
          <w:noProof/>
          <w:color w:val="000000" w:themeColor="text1"/>
          <w:sz w:val="24"/>
        </w:rPr>
        <w:t>1,7 % del capitale raccolto sui mercati europei del capitale di rischio</w:t>
      </w:r>
      <w:r>
        <w:rPr>
          <w:rStyle w:val="FootnoteReference"/>
          <w:rFonts w:ascii="Times New Roman" w:hAnsi="Times New Roman" w:cs="Times New Roman"/>
          <w:noProof/>
          <w:color w:val="000000" w:themeColor="text1"/>
          <w:szCs w:val="24"/>
        </w:rPr>
        <w:footnoteReference w:id="36"/>
      </w:r>
      <w:r>
        <w:rPr>
          <w:rFonts w:ascii="Times New Roman" w:hAnsi="Times New Roman"/>
          <w:noProof/>
          <w:color w:val="000000" w:themeColor="text1"/>
          <w:sz w:val="24"/>
        </w:rPr>
        <w:t xml:space="preserve"> e la differenza tra le imprese a guida maschile e quelle fondate da donne, o cofondate da donne e uomini, è rimasta significativa in termini sia di </w:t>
      </w:r>
      <w:bookmarkStart w:id="14" w:name="_Int_jZxxPItI"/>
      <w:r>
        <w:rPr>
          <w:rFonts w:ascii="Times New Roman" w:hAnsi="Times New Roman"/>
          <w:noProof/>
          <w:color w:val="000000" w:themeColor="text1"/>
          <w:sz w:val="24"/>
        </w:rPr>
        <w:t>capitale</w:t>
      </w:r>
      <w:bookmarkEnd w:id="14"/>
      <w:r>
        <w:rPr>
          <w:rFonts w:ascii="Times New Roman" w:hAnsi="Times New Roman"/>
          <w:noProof/>
          <w:color w:val="000000" w:themeColor="text1"/>
          <w:sz w:val="24"/>
        </w:rPr>
        <w:t xml:space="preserve"> raccolto che di numero di operazioni. I dati indicano una sottorappresentanza analoga anche per altri gruppi minoritari. Questa situazione limita il flusso di idee e talenti in grado di ri</w:t>
      </w:r>
      <w:r w:rsidR="00125908">
        <w:rPr>
          <w:rFonts w:ascii="Times New Roman" w:hAnsi="Times New Roman"/>
          <w:noProof/>
          <w:color w:val="000000" w:themeColor="text1"/>
          <w:sz w:val="24"/>
        </w:rPr>
        <w:t>s</w:t>
      </w:r>
      <w:r>
        <w:rPr>
          <w:rFonts w:ascii="Times New Roman" w:hAnsi="Times New Roman"/>
          <w:noProof/>
          <w:color w:val="000000" w:themeColor="text1"/>
          <w:sz w:val="24"/>
        </w:rPr>
        <w:t>pondere alle esigenze della popolazione diversificata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e alle opportunità offerte nei mercati globali. </w:t>
      </w:r>
    </w:p>
    <w:p w14:paraId="5DFA8825" w14:textId="77777777" w:rsidR="008D2948" w:rsidRPr="00125908" w:rsidRDefault="008D2948" w:rsidP="00782585">
      <w:pPr>
        <w:spacing w:line="240" w:lineRule="auto"/>
        <w:jc w:val="both"/>
        <w:rPr>
          <w:rFonts w:ascii="Times New Roman" w:hAnsi="Times New Roman" w:cs="Times New Roman"/>
          <w:noProof/>
          <w:color w:val="000000" w:themeColor="text1"/>
          <w:sz w:val="24"/>
        </w:rPr>
      </w:pPr>
    </w:p>
    <w:p w14:paraId="6F45DC1D" w14:textId="4642811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2.1.2 Iniziativa faro - Finanziamenti destinati alle </w:t>
      </w:r>
      <w:r w:rsidR="00125908">
        <w:rPr>
          <w:rFonts w:ascii="Times New Roman" w:hAnsi="Times New Roman"/>
          <w:b/>
          <w:i/>
          <w:noProof/>
          <w:color w:val="000000" w:themeColor="text1"/>
          <w:sz w:val="24"/>
        </w:rPr>
        <w:t>imprese in fase di espansione</w:t>
      </w:r>
      <w:r>
        <w:rPr>
          <w:rFonts w:ascii="Times New Roman" w:hAnsi="Times New Roman"/>
          <w:b/>
          <w:i/>
          <w:noProof/>
          <w:color w:val="000000" w:themeColor="text1"/>
          <w:sz w:val="24"/>
        </w:rPr>
        <w:t xml:space="preserve"> a elevatissimo contenuto tecnologico </w:t>
      </w:r>
    </w:p>
    <w:p w14:paraId="661A3B38" w14:textId="512DC01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Questa iniziativa faro si incentra su misure che accelereranno la crescita delle start-up </w:t>
      </w:r>
      <w:r w:rsidR="00827F42">
        <w:rPr>
          <w:rFonts w:ascii="Times New Roman" w:hAnsi="Times New Roman"/>
          <w:noProof/>
          <w:color w:val="000000" w:themeColor="text1"/>
          <w:sz w:val="24"/>
        </w:rPr>
        <w:t>a elevatissimo contenuto tecnologico</w:t>
      </w:r>
      <w:r>
        <w:rPr>
          <w:rFonts w:ascii="Times New Roman" w:hAnsi="Times New Roman"/>
          <w:noProof/>
          <w:color w:val="000000" w:themeColor="text1"/>
          <w:sz w:val="24"/>
        </w:rPr>
        <w:t xml:space="preserv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Entro il 2025 potrebbero essere mobilitati cir</w:t>
      </w:r>
      <w:r w:rsidR="00DB41F6">
        <w:rPr>
          <w:rFonts w:ascii="Times New Roman" w:hAnsi="Times New Roman"/>
          <w:noProof/>
          <w:color w:val="000000" w:themeColor="text1"/>
          <w:sz w:val="24"/>
        </w:rPr>
        <w:t>ca 45 </w:t>
      </w:r>
      <w:r>
        <w:rPr>
          <w:rFonts w:ascii="Times New Roman" w:hAnsi="Times New Roman"/>
          <w:noProof/>
          <w:color w:val="000000" w:themeColor="text1"/>
          <w:sz w:val="24"/>
        </w:rPr>
        <w:t>miliardi di EUR di finanziamenti per le scale-up</w:t>
      </w:r>
      <w:r>
        <w:rPr>
          <w:rStyle w:val="FootnoteReference"/>
          <w:rFonts w:ascii="Times New Roman" w:hAnsi="Times New Roman" w:cs="Times New Roman"/>
          <w:noProof/>
          <w:color w:val="000000" w:themeColor="text1"/>
          <w:szCs w:val="24"/>
        </w:rPr>
        <w:footnoteReference w:id="37"/>
      </w:r>
      <w:r>
        <w:rPr>
          <w:rFonts w:ascii="Times New Roman" w:hAnsi="Times New Roman"/>
          <w:noProof/>
          <w:color w:val="000000" w:themeColor="text1"/>
          <w:sz w:val="24"/>
        </w:rPr>
        <w:t xml:space="preserve"> provenienti da fonti capitali privati non sfruttate, e anche il costo della quotazione sui mercati pubblici potrebbe essere ridotto.</w:t>
      </w:r>
    </w:p>
    <w:p w14:paraId="175EC8C2" w14:textId="7777777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Riequilibrare gli incentivi in materia di indebitamento-capitali propri</w:t>
      </w:r>
    </w:p>
    <w:p w14:paraId="2A488628" w14:textId="376FD5D4"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 xml:space="preserve">La Commissione ha proposto </w:t>
      </w:r>
      <w:r>
        <w:rPr>
          <w:rFonts w:ascii="Times New Roman" w:hAnsi="Times New Roman"/>
          <w:b/>
          <w:noProof/>
          <w:color w:val="000000" w:themeColor="text1"/>
          <w:sz w:val="24"/>
        </w:rPr>
        <w:t>un</w:t>
      </w:r>
      <w:r w:rsidR="00013882">
        <w:rPr>
          <w:rFonts w:ascii="Times New Roman" w:hAnsi="Times New Roman"/>
          <w:b/>
          <w:noProof/>
          <w:color w:val="000000" w:themeColor="text1"/>
          <w:sz w:val="24"/>
        </w:rPr>
        <w:t>'</w:t>
      </w:r>
      <w:r>
        <w:rPr>
          <w:rFonts w:ascii="Times New Roman" w:hAnsi="Times New Roman"/>
          <w:b/>
          <w:noProof/>
          <w:color w:val="000000" w:themeColor="text1"/>
          <w:sz w:val="24"/>
        </w:rPr>
        <w:t>indennità per ridurre la distorsione a favore del debito rispetto al capitale proprio (DEBRA) per l</w:t>
      </w:r>
      <w:r w:rsidR="00013882">
        <w:rPr>
          <w:rFonts w:ascii="Times New Roman" w:hAnsi="Times New Roman"/>
          <w:b/>
          <w:noProof/>
          <w:color w:val="000000" w:themeColor="text1"/>
          <w:sz w:val="24"/>
        </w:rPr>
        <w:t>'</w:t>
      </w:r>
      <w:r>
        <w:rPr>
          <w:rFonts w:ascii="Times New Roman" w:hAnsi="Times New Roman"/>
          <w:b/>
          <w:noProof/>
          <w:color w:val="000000" w:themeColor="text1"/>
          <w:sz w:val="24"/>
        </w:rPr>
        <w:t>imposta sulle società</w:t>
      </w:r>
      <w:r>
        <w:rPr>
          <w:rStyle w:val="FootnoteReference"/>
          <w:rFonts w:ascii="Times New Roman" w:hAnsi="Times New Roman" w:cs="Times New Roman"/>
          <w:noProof/>
          <w:color w:val="000000" w:themeColor="text1"/>
        </w:rPr>
        <w:footnoteReference w:id="38"/>
      </w:r>
      <w:r>
        <w:rPr>
          <w:rFonts w:ascii="Times New Roman" w:hAnsi="Times New Roman"/>
          <w:noProof/>
          <w:color w:val="000000" w:themeColor="text1"/>
          <w:sz w:val="24"/>
        </w:rPr>
        <w:t xml:space="preserve"> che aumenterebbe la disponibilità di fondi propri e la renderebbe più attraente per le imprese, riducendo il costo dei nuovi fondi propri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Se adottata dal Consiglio, la direttiva garantirebbe una riduzione del costo della raccolta di capitali e una limitazione della deducibilità degli interessi. Tutte le società non finanziarie potrebbero beneficiare di questa riduzione sui fondi propri nuovi e le piccole e medie imprese (PMI) potrebbero ottenere un tasso di interesse nozionale più elevato (ossia beneficiare di deduzioni più elevate) rispetto alle imprese più grandi. </w:t>
      </w:r>
    </w:p>
    <w:p w14:paraId="3B4F718A" w14:textId="7777777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Quotazioni in borsa</w:t>
      </w:r>
    </w:p>
    <w:p w14:paraId="397FB4AF" w14:textId="68E467D0" w:rsidR="003451BD" w:rsidRPr="007A79C3"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In linea con gli obiettivi del piano d</w:t>
      </w:r>
      <w:r w:rsidR="00013882">
        <w:rPr>
          <w:rFonts w:ascii="Times New Roman" w:hAnsi="Times New Roman"/>
          <w:noProof/>
          <w:color w:val="000000" w:themeColor="text1"/>
          <w:sz w:val="24"/>
        </w:rPr>
        <w:t>'</w:t>
      </w:r>
      <w:r>
        <w:rPr>
          <w:rFonts w:ascii="Times New Roman" w:hAnsi="Times New Roman"/>
          <w:noProof/>
          <w:color w:val="000000" w:themeColor="text1"/>
          <w:sz w:val="24"/>
        </w:rPr>
        <w:t>azione della Commissione per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Unione dei mercati dei capitali (UMC) del 2020, nella seconda metà del 2022 la </w:t>
      </w:r>
      <w:r>
        <w:rPr>
          <w:rFonts w:ascii="Times New Roman" w:hAnsi="Times New Roman"/>
          <w:b/>
          <w:noProof/>
          <w:color w:val="000000" w:themeColor="text1"/>
          <w:sz w:val="24"/>
        </w:rPr>
        <w:t>Commi</w:t>
      </w:r>
      <w:r w:rsidR="00125908">
        <w:rPr>
          <w:rFonts w:ascii="Times New Roman" w:hAnsi="Times New Roman"/>
          <w:b/>
          <w:noProof/>
          <w:color w:val="000000" w:themeColor="text1"/>
          <w:sz w:val="24"/>
        </w:rPr>
        <w:t xml:space="preserve">ssione proporrà una normativa sulle </w:t>
      </w:r>
      <w:r>
        <w:rPr>
          <w:rFonts w:ascii="Times New Roman" w:hAnsi="Times New Roman"/>
          <w:b/>
          <w:noProof/>
          <w:color w:val="000000" w:themeColor="text1"/>
          <w:sz w:val="24"/>
        </w:rPr>
        <w:t>quotazion</w:t>
      </w:r>
      <w:r w:rsidR="00125908">
        <w:rPr>
          <w:rFonts w:ascii="Times New Roman" w:hAnsi="Times New Roman"/>
          <w:b/>
          <w:noProof/>
          <w:color w:val="000000" w:themeColor="text1"/>
          <w:sz w:val="24"/>
        </w:rPr>
        <w:t>i</w:t>
      </w:r>
      <w:r>
        <w:rPr>
          <w:rFonts w:ascii="Times New Roman" w:hAnsi="Times New Roman"/>
          <w:noProof/>
          <w:color w:val="000000" w:themeColor="text1"/>
          <w:sz w:val="24"/>
        </w:rPr>
        <w:t xml:space="preserve">. </w:t>
      </w:r>
      <w:r w:rsidR="00125908">
        <w:rPr>
          <w:rFonts w:ascii="Times New Roman" w:hAnsi="Times New Roman"/>
          <w:noProof/>
          <w:color w:val="000000" w:themeColor="text1"/>
          <w:sz w:val="24"/>
        </w:rPr>
        <w:t>Questa</w:t>
      </w:r>
      <w:r>
        <w:rPr>
          <w:rFonts w:ascii="Times New Roman" w:hAnsi="Times New Roman"/>
          <w:noProof/>
          <w:color w:val="000000" w:themeColor="text1"/>
          <w:sz w:val="24"/>
        </w:rPr>
        <w:t xml:space="preserve"> normativa semplificherà e allenterà gli obblighi di quotazione iniziale e corrente per alcuni tipi di impresa al fine di ridurre i costi e aumentare la certezza del diritto per gli emittenti, salvaguardando nel contempo la tutela degli investitori e l</w:t>
      </w:r>
      <w:r w:rsidR="00013882">
        <w:rPr>
          <w:rFonts w:ascii="Times New Roman" w:hAnsi="Times New Roman"/>
          <w:noProof/>
          <w:color w:val="000000" w:themeColor="text1"/>
          <w:sz w:val="24"/>
        </w:rPr>
        <w:t>'</w:t>
      </w:r>
      <w:r>
        <w:rPr>
          <w:rFonts w:ascii="Times New Roman" w:hAnsi="Times New Roman"/>
          <w:noProof/>
          <w:color w:val="000000" w:themeColor="text1"/>
          <w:sz w:val="24"/>
        </w:rPr>
        <w:t>integrità del mercato. Inoltre, per consentire ai fondatori di imprese e alle loro famiglie (ad esempio emittenti quotati in Borsa sui mercati di crescita delle PMI) di mantenere il controllo dopo la quotazione, raccogliendo nel contempo un importo più elevato di fondi e beneficiando dei vantaggi associati alla quotazione, la normativa sulle quotazioni può anche proporre un</w:t>
      </w:r>
      <w:r w:rsidR="00013882">
        <w:rPr>
          <w:rFonts w:ascii="Times New Roman" w:hAnsi="Times New Roman"/>
          <w:noProof/>
          <w:color w:val="000000" w:themeColor="text1"/>
          <w:sz w:val="24"/>
        </w:rPr>
        <w:t>'</w:t>
      </w:r>
      <w:r>
        <w:rPr>
          <w:rFonts w:ascii="Times New Roman" w:hAnsi="Times New Roman"/>
          <w:noProof/>
          <w:color w:val="000000" w:themeColor="text1"/>
          <w:sz w:val="24"/>
        </w:rPr>
        <w:t>armonizzazione minima dei regimi giuridici nazionali relativi alle strutture azionarie a doppia classe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 Inoltre, grazie a una garanzia dell</w:t>
      </w:r>
      <w:r w:rsidR="00013882">
        <w:rPr>
          <w:rFonts w:ascii="Times New Roman" w:hAnsi="Times New Roman"/>
          <w:noProof/>
          <w:color w:val="000000" w:themeColor="text1"/>
          <w:sz w:val="24"/>
        </w:rPr>
        <w:t>'</w:t>
      </w:r>
      <w:r>
        <w:rPr>
          <w:rFonts w:ascii="Times New Roman" w:hAnsi="Times New Roman"/>
          <w:noProof/>
          <w:color w:val="000000" w:themeColor="text1"/>
          <w:sz w:val="24"/>
        </w:rPr>
        <w:t>UE concessa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dell</w:t>
      </w:r>
      <w:r w:rsidR="00013882">
        <w:rPr>
          <w:rFonts w:ascii="Times New Roman" w:hAnsi="Times New Roman"/>
          <w:noProof/>
          <w:color w:val="000000" w:themeColor="text1"/>
          <w:sz w:val="24"/>
        </w:rPr>
        <w:t>'</w:t>
      </w:r>
      <w:r>
        <w:rPr>
          <w:rFonts w:ascii="Times New Roman" w:hAnsi="Times New Roman"/>
          <w:noProof/>
          <w:color w:val="000000" w:themeColor="text1"/>
          <w:sz w:val="24"/>
        </w:rPr>
        <w:t>iniziativa OPI delle PMI</w:t>
      </w:r>
      <w:r>
        <w:rPr>
          <w:rStyle w:val="FootnoteReference"/>
          <w:rFonts w:ascii="Times New Roman" w:hAnsi="Times New Roman" w:cs="Times New Roman"/>
          <w:noProof/>
          <w:color w:val="000000" w:themeColor="text1"/>
        </w:rPr>
        <w:footnoteReference w:id="39"/>
      </w:r>
      <w:r>
        <w:rPr>
          <w:rFonts w:ascii="Times New Roman" w:hAnsi="Times New Roman"/>
          <w:noProof/>
          <w:color w:val="000000" w:themeColor="text1"/>
          <w:sz w:val="24"/>
        </w:rPr>
        <w:t xml:space="preserve"> del programma InvestEU, il Fondo europeo per gli investimenti investirà in PMI che entrano in Borsa o intendono farlo. Ciò attirerà ulteriori investimenti privati a favore della crescita e dell</w:t>
      </w:r>
      <w:r w:rsidR="00013882">
        <w:rPr>
          <w:rFonts w:ascii="Times New Roman" w:hAnsi="Times New Roman"/>
          <w:noProof/>
          <w:color w:val="000000" w:themeColor="text1"/>
          <w:sz w:val="24"/>
        </w:rPr>
        <w:t>'</w:t>
      </w:r>
      <w:r>
        <w:rPr>
          <w:rFonts w:ascii="Times New Roman" w:hAnsi="Times New Roman"/>
          <w:noProof/>
          <w:color w:val="000000" w:themeColor="text1"/>
          <w:sz w:val="24"/>
        </w:rPr>
        <w:t>espansione delle PMI.</w:t>
      </w:r>
    </w:p>
    <w:p w14:paraId="78E332DB" w14:textId="0303A1ED"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Finanziamento con capitale di rischio in una fase successiva</w:t>
      </w:r>
    </w:p>
    <w:p w14:paraId="3C0A3A9F" w14:textId="34B0789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accordo di garanzia InvestEU firmato dalla Commissione europea e dal gruppo BEI nel marzo 2022 </w:t>
      </w:r>
      <w:bookmarkStart w:id="16" w:name="_Int_ZxODdbvT"/>
      <w:r>
        <w:rPr>
          <w:rFonts w:ascii="Times New Roman" w:hAnsi="Times New Roman"/>
          <w:noProof/>
          <w:color w:val="000000" w:themeColor="text1"/>
          <w:sz w:val="24"/>
        </w:rPr>
        <w:t>apre</w:t>
      </w:r>
      <w:bookmarkEnd w:id="16"/>
      <w:r>
        <w:rPr>
          <w:rFonts w:ascii="Times New Roman" w:hAnsi="Times New Roman"/>
          <w:noProof/>
          <w:color w:val="000000" w:themeColor="text1"/>
          <w:sz w:val="24"/>
        </w:rPr>
        <w:t xml:space="preserve"> la strada all</w:t>
      </w:r>
      <w:r w:rsidR="00013882">
        <w:rPr>
          <w:rFonts w:ascii="Times New Roman" w:hAnsi="Times New Roman"/>
          <w:noProof/>
          <w:color w:val="000000" w:themeColor="text1"/>
          <w:sz w:val="24"/>
        </w:rPr>
        <w:t>'</w:t>
      </w:r>
      <w:r>
        <w:rPr>
          <w:rFonts w:ascii="Times New Roman" w:hAnsi="Times New Roman"/>
          <w:noProof/>
          <w:color w:val="000000" w:themeColor="text1"/>
          <w:sz w:val="24"/>
        </w:rPr>
        <w:t>attuazione dei prodotti finanziari InvestEU nell</w:t>
      </w:r>
      <w:r w:rsidR="00013882">
        <w:rPr>
          <w:rFonts w:ascii="Times New Roman" w:hAnsi="Times New Roman"/>
          <w:noProof/>
          <w:color w:val="000000" w:themeColor="text1"/>
          <w:sz w:val="24"/>
        </w:rPr>
        <w:t>'</w:t>
      </w:r>
      <w:r>
        <w:rPr>
          <w:rFonts w:ascii="Times New Roman" w:hAnsi="Times New Roman"/>
          <w:b/>
          <w:noProof/>
          <w:color w:val="000000" w:themeColor="text1"/>
          <w:sz w:val="24"/>
        </w:rPr>
        <w:t>ambito d</w:t>
      </w:r>
      <w:r w:rsidR="00013882">
        <w:rPr>
          <w:rFonts w:ascii="Times New Roman" w:hAnsi="Times New Roman"/>
          <w:b/>
          <w:noProof/>
          <w:color w:val="000000" w:themeColor="text1"/>
          <w:sz w:val="24"/>
        </w:rPr>
        <w:t>'</w:t>
      </w:r>
      <w:r>
        <w:rPr>
          <w:rFonts w:ascii="Times New Roman" w:hAnsi="Times New Roman"/>
          <w:b/>
          <w:noProof/>
          <w:color w:val="000000" w:themeColor="text1"/>
          <w:sz w:val="24"/>
        </w:rPr>
        <w:t xml:space="preserve">intervento </w:t>
      </w:r>
      <w:r w:rsidR="00013882">
        <w:rPr>
          <w:rFonts w:ascii="Times New Roman" w:hAnsi="Times New Roman"/>
          <w:b/>
          <w:noProof/>
          <w:color w:val="000000" w:themeColor="text1"/>
          <w:sz w:val="24"/>
        </w:rPr>
        <w:t>"</w:t>
      </w:r>
      <w:r>
        <w:rPr>
          <w:rFonts w:ascii="Times New Roman" w:hAnsi="Times New Roman"/>
          <w:b/>
          <w:noProof/>
          <w:color w:val="000000" w:themeColor="text1"/>
          <w:sz w:val="24"/>
        </w:rPr>
        <w:t>Ricerca, innovazione e digitalizzazione</w:t>
      </w:r>
      <w:r w:rsidR="00013882">
        <w:rPr>
          <w:rFonts w:ascii="Times New Roman" w:hAnsi="Times New Roman"/>
          <w:b/>
          <w:noProof/>
          <w:color w:val="000000" w:themeColor="text1"/>
          <w:sz w:val="24"/>
        </w:rPr>
        <w:t>"</w:t>
      </w:r>
      <w:r>
        <w:rPr>
          <w:rFonts w:ascii="Times New Roman" w:hAnsi="Times New Roman"/>
          <w:noProof/>
          <w:color w:val="000000" w:themeColor="text1"/>
          <w:sz w:val="24"/>
        </w:rPr>
        <w:t>, mediante il qua</w:t>
      </w:r>
      <w:r w:rsidR="00DB41F6">
        <w:rPr>
          <w:rFonts w:ascii="Times New Roman" w:hAnsi="Times New Roman"/>
          <w:noProof/>
          <w:color w:val="000000" w:themeColor="text1"/>
          <w:sz w:val="24"/>
        </w:rPr>
        <w:t>le il gruppo BEI mobiliterà 5,5 </w:t>
      </w:r>
      <w:r>
        <w:rPr>
          <w:rFonts w:ascii="Times New Roman" w:hAnsi="Times New Roman"/>
          <w:noProof/>
          <w:color w:val="000000" w:themeColor="text1"/>
          <w:sz w:val="24"/>
        </w:rPr>
        <w:t>miliardi di EUR a sostegno di innovazioni pionieristiche fino al 2027</w:t>
      </w:r>
      <w:r>
        <w:rPr>
          <w:rStyle w:val="FootnoteReference"/>
          <w:rFonts w:ascii="Times New Roman" w:hAnsi="Times New Roman" w:cs="Times New Roman"/>
          <w:noProof/>
          <w:color w:val="000000" w:themeColor="text1"/>
          <w:szCs w:val="24"/>
        </w:rPr>
        <w:footnoteReference w:id="40"/>
      </w:r>
      <w:r>
        <w:rPr>
          <w:rFonts w:ascii="Times New Roman" w:hAnsi="Times New Roman"/>
          <w:noProof/>
          <w:color w:val="000000" w:themeColor="text1"/>
          <w:sz w:val="24"/>
        </w:rPr>
        <w:t xml:space="preserve"> Sulla base di un progetto pilota di successo</w:t>
      </w:r>
      <w:r>
        <w:rPr>
          <w:rStyle w:val="FootnoteReference"/>
          <w:rFonts w:ascii="Times New Roman" w:hAnsi="Times New Roman" w:cs="Times New Roman"/>
          <w:noProof/>
          <w:color w:val="000000" w:themeColor="text1"/>
          <w:szCs w:val="24"/>
        </w:rPr>
        <w:footnoteReference w:id="41"/>
      </w:r>
      <w:r>
        <w:rPr>
          <w:rFonts w:ascii="Times New Roman" w:hAnsi="Times New Roman"/>
          <w:noProof/>
          <w:color w:val="000000" w:themeColor="text1"/>
          <w:sz w:val="24"/>
        </w:rPr>
        <w:t xml:space="preserve">, </w:t>
      </w:r>
      <w:r>
        <w:rPr>
          <w:rFonts w:ascii="Times New Roman" w:hAnsi="Times New Roman"/>
          <w:b/>
          <w:noProof/>
          <w:color w:val="000000" w:themeColor="text1"/>
          <w:sz w:val="24"/>
        </w:rPr>
        <w:t>il meccanismo ESCALAR (azione europea di sviluppo per il capitale di rischio a favore delle scale-up) sarà ampliato nell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ambito di InvestEU.</w:t>
      </w:r>
      <w:r>
        <w:rPr>
          <w:rFonts w:ascii="Times New Roman" w:hAnsi="Times New Roman"/>
          <w:noProof/>
          <w:color w:val="000000" w:themeColor="text1"/>
          <w:sz w:val="24"/>
        </w:rPr>
        <w:t xml:space="preserve"> Questo ampliamento attirerà in particolare un maggior numero di fondi privati e investitori istituzionali anche nuovi, integrando i capitali di rischio con quasi-capitali caratterizzati da un profilo di rischio ridotto. Un fondo di capitale di rischio potrebbe potenzialmente raddoppiare la sua capacità di investimento, senza snaturare il carattere del capitale di rischio europeo, attirando ulteriori investimenti privati sulla base di un approccio non pari-passu</w:t>
      </w:r>
      <w:r>
        <w:rPr>
          <w:rStyle w:val="FootnoteReference"/>
          <w:rFonts w:ascii="Times New Roman" w:hAnsi="Times New Roman" w:cs="Times New Roman"/>
          <w:noProof/>
          <w:color w:val="000000" w:themeColor="text1"/>
          <w:szCs w:val="24"/>
        </w:rPr>
        <w:footnoteReference w:id="42"/>
      </w:r>
      <w:r>
        <w:rPr>
          <w:rFonts w:ascii="Times New Roman" w:hAnsi="Times New Roman"/>
          <w:noProof/>
          <w:color w:val="000000" w:themeColor="text1"/>
          <w:sz w:val="24"/>
        </w:rPr>
        <w:t xml:space="preserve">. </w:t>
      </w:r>
    </w:p>
    <w:p w14:paraId="6F77C0B9" w14:textId="3DC3A440"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In quest</w:t>
      </w:r>
      <w:r w:rsidR="00013882">
        <w:rPr>
          <w:rFonts w:ascii="Times New Roman" w:hAnsi="Times New Roman"/>
          <w:noProof/>
          <w:color w:val="000000" w:themeColor="text1"/>
          <w:sz w:val="24"/>
        </w:rPr>
        <w:t>'</w:t>
      </w:r>
      <w:r>
        <w:rPr>
          <w:rFonts w:ascii="Times New Roman" w:hAnsi="Times New Roman"/>
          <w:noProof/>
          <w:color w:val="000000" w:themeColor="text1"/>
          <w:sz w:val="24"/>
        </w:rPr>
        <w:t>ottica, la Commissione riunirà i leader dei grandi investitori istituzionali (fondi pensione, assicurazioni e fondi sovrani) ed esaminerà le opportunità e i requisiti per aumentare gli investimenti nei fondi di capitale di rischio.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di InvestEU saranno inoltre esaminate le iniziative volte ad aiutare gli istituti finanziari e i loro esperti in materia di investimenti a valutare e valorizzare meglio le attività immateriali per facilitare l</w:t>
      </w:r>
      <w:r w:rsidR="00013882">
        <w:rPr>
          <w:rFonts w:ascii="Times New Roman" w:hAnsi="Times New Roman"/>
          <w:noProof/>
          <w:color w:val="000000" w:themeColor="text1"/>
          <w:sz w:val="24"/>
        </w:rPr>
        <w:t>'</w:t>
      </w:r>
      <w:r>
        <w:rPr>
          <w:rFonts w:ascii="Times New Roman" w:hAnsi="Times New Roman"/>
          <w:noProof/>
          <w:color w:val="000000" w:themeColor="text1"/>
          <w:sz w:val="24"/>
        </w:rPr>
        <w:t>uso della proprietà intellettuale come garanzia collaterale da parte delle PMI.</w:t>
      </w:r>
    </w:p>
    <w:p w14:paraId="602966AD" w14:textId="01CDAFE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Inoltre, insieme agli Stati membri e alla BEI, la Commissione valuterà le complementarità tra gli strumenti di finanziamento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esistenti e alcune recenti iniziative, come l</w:t>
      </w:r>
      <w:r w:rsidR="00013882">
        <w:rPr>
          <w:rFonts w:ascii="Times New Roman" w:hAnsi="Times New Roman"/>
          <w:noProof/>
          <w:color w:val="000000" w:themeColor="text1"/>
          <w:sz w:val="24"/>
        </w:rPr>
        <w:t>'</w:t>
      </w:r>
      <w:r>
        <w:rPr>
          <w:rFonts w:ascii="Times New Roman" w:hAnsi="Times New Roman"/>
          <w:noProof/>
          <w:color w:val="000000" w:themeColor="text1"/>
          <w:sz w:val="24"/>
        </w:rPr>
        <w:t>iniziativa European Tech Champions</w:t>
      </w:r>
      <w:r>
        <w:rPr>
          <w:rStyle w:val="FootnoteReference"/>
          <w:rFonts w:ascii="Times New Roman" w:hAnsi="Times New Roman" w:cs="Times New Roman"/>
          <w:noProof/>
          <w:color w:val="000000" w:themeColor="text1"/>
        </w:rPr>
        <w:footnoteReference w:id="43"/>
      </w:r>
      <w:r>
        <w:rPr>
          <w:rFonts w:ascii="Times New Roman" w:hAnsi="Times New Roman"/>
          <w:noProof/>
          <w:color w:val="000000" w:themeColor="text1"/>
          <w:sz w:val="24"/>
        </w:rPr>
        <w:t xml:space="preserve"> (ETCI, a cui il gruppo BEI destinerà inizialmente fino a 500 milioni di EUR), al fine di colmare il divario di espansione delle imprese europee deep tech.</w:t>
      </w:r>
    </w:p>
    <w:p w14:paraId="343F7D66" w14:textId="77777777" w:rsidR="00826BA4" w:rsidRPr="00125908" w:rsidRDefault="00826BA4" w:rsidP="00782585">
      <w:pPr>
        <w:spacing w:after="120" w:line="240" w:lineRule="auto"/>
        <w:jc w:val="both"/>
        <w:rPr>
          <w:rFonts w:ascii="Times New Roman" w:hAnsi="Times New Roman" w:cs="Times New Roman"/>
          <w:i/>
          <w:noProof/>
          <w:color w:val="000000" w:themeColor="text1"/>
          <w:sz w:val="24"/>
        </w:rPr>
      </w:pPr>
    </w:p>
    <w:p w14:paraId="2F54E339" w14:textId="2AA9196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Aumentare la diversità e migliorare il flusso delle opportunità di investimento</w:t>
      </w:r>
    </w:p>
    <w:p w14:paraId="669DDC85" w14:textId="5BE9D5CF"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La Commissione </w:t>
      </w:r>
      <w:r>
        <w:rPr>
          <w:rFonts w:ascii="Times New Roman" w:hAnsi="Times New Roman"/>
          <w:b/>
          <w:noProof/>
          <w:color w:val="000000" w:themeColor="text1"/>
          <w:sz w:val="24"/>
        </w:rPr>
        <w:t>varerà un indice di genere e diversità nel settore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innovazione</w:t>
      </w:r>
      <w:r>
        <w:rPr>
          <w:rFonts w:ascii="Times New Roman" w:hAnsi="Times New Roman"/>
          <w:noProof/>
          <w:color w:val="000000" w:themeColor="text1"/>
          <w:sz w:val="24"/>
        </w:rPr>
        <w:t xml:space="preserve"> che includerà dati su donne e altri gruppi meno rappresentati, comprese le persone con disabilità, nelle start-up e nelle scale-up innovative, nonché tra gli investitori e i fondi che investono in questo tipo di imprese.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indice si baserà su uno studio inteso a valutare il divario di genere nel campo degli investimenti, sia a livello delle imprese guidate da donne che dei fondi diretti da donne. Lo studio svilupperà una metodologia armonizzata per una raccolta di dati solida e sistematica e proporrà analisi dei dati adeguate per informare più adeguatamente i responsabili delle politiche. I programmi come </w:t>
      </w:r>
      <w:r>
        <w:rPr>
          <w:rFonts w:ascii="Times New Roman" w:hAnsi="Times New Roman"/>
          <w:b/>
          <w:noProof/>
          <w:color w:val="000000" w:themeColor="text1"/>
          <w:sz w:val="24"/>
        </w:rPr>
        <w:t>Women2Invest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Istituto europeo di innovazione e tecnologia (EIT)</w:t>
      </w:r>
      <w:r>
        <w:rPr>
          <w:rStyle w:val="FootnoteReference"/>
          <w:rFonts w:ascii="Times New Roman" w:hAnsi="Times New Roman" w:cs="Times New Roman"/>
          <w:noProof/>
          <w:color w:val="000000" w:themeColor="text1"/>
          <w:sz w:val="24"/>
        </w:rPr>
        <w:footnoteReference w:id="44"/>
      </w:r>
      <w:r>
        <w:rPr>
          <w:rFonts w:ascii="Times New Roman" w:hAnsi="Times New Roman"/>
          <w:noProof/>
          <w:color w:val="000000" w:themeColor="text1"/>
          <w:sz w:val="24"/>
        </w:rPr>
        <w:t xml:space="preserve"> sosterranno ulteriormente gli sforzi per </w:t>
      </w:r>
      <w:r w:rsidR="003E2D46">
        <w:rPr>
          <w:rFonts w:ascii="Times New Roman" w:hAnsi="Times New Roman"/>
          <w:noProof/>
          <w:color w:val="000000" w:themeColor="text1"/>
          <w:sz w:val="24"/>
        </w:rPr>
        <w:t>incrementare</w:t>
      </w:r>
      <w:r>
        <w:rPr>
          <w:rFonts w:ascii="Times New Roman" w:hAnsi="Times New Roman"/>
          <w:noProof/>
          <w:color w:val="000000" w:themeColor="text1"/>
          <w:sz w:val="24"/>
        </w:rPr>
        <w:t xml:space="preserve"> la diversità aiutando gli investitori a stabilire contatti e ad assumere persone da un bacino di talenti più diversificato. </w:t>
      </w:r>
    </w:p>
    <w:p w14:paraId="15E3AA61" w14:textId="77777777" w:rsidR="008D2948" w:rsidRPr="00125908" w:rsidRDefault="008D2948" w:rsidP="00782585">
      <w:pPr>
        <w:spacing w:line="240" w:lineRule="auto"/>
        <w:jc w:val="both"/>
        <w:rPr>
          <w:rFonts w:ascii="Times New Roman" w:hAnsi="Times New Roman" w:cs="Times New Roman"/>
          <w:noProof/>
          <w:color w:val="000000" w:themeColor="text1"/>
          <w:sz w:val="24"/>
        </w:rPr>
      </w:pPr>
    </w:p>
    <w:p w14:paraId="5A0BF7F8" w14:textId="38F0E344"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 Condizioni quadro per 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innovazione a elevatissimo contenuto tecnologico</w:t>
      </w:r>
    </w:p>
    <w:p w14:paraId="1834CFC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2.2.1. Sfide da raccogliere </w:t>
      </w:r>
    </w:p>
    <w:p w14:paraId="3D146B66" w14:textId="463FD3FB"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condizioni quadro, tra cui le disposizioni regolamentari, possono favorire o ostacolare lo sviluppo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adozione di nuovi prodotti e processi innovativi. </w:t>
      </w:r>
    </w:p>
    <w:p w14:paraId="5368FAED" w14:textId="3C987799"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UE ha adottato misure per rafforzare l</w:t>
      </w:r>
      <w:r w:rsidR="00013882">
        <w:rPr>
          <w:rFonts w:ascii="Times New Roman" w:hAnsi="Times New Roman"/>
          <w:noProof/>
          <w:color w:val="000000" w:themeColor="text1"/>
          <w:sz w:val="24"/>
        </w:rPr>
        <w:t>'</w:t>
      </w:r>
      <w:r>
        <w:rPr>
          <w:rFonts w:ascii="Times New Roman" w:hAnsi="Times New Roman"/>
          <w:noProof/>
          <w:color w:val="000000" w:themeColor="text1"/>
          <w:sz w:val="24"/>
        </w:rPr>
        <w:t>integrazione nel mercato unico e adottare disposizioni che equilibrino la necessità di proteggere con quella di innovare, come dimostrato dagli orientamenti della Commissione per legiferare meglio e dagli strumenti associati</w:t>
      </w:r>
      <w:r>
        <w:rPr>
          <w:rStyle w:val="FootnoteReference"/>
          <w:rFonts w:ascii="Times New Roman" w:hAnsi="Times New Roman" w:cs="Times New Roman"/>
          <w:noProof/>
          <w:color w:val="000000" w:themeColor="text1"/>
        </w:rPr>
        <w:footnoteReference w:id="45"/>
      </w:r>
      <w:r>
        <w:rPr>
          <w:rFonts w:ascii="Times New Roman" w:hAnsi="Times New Roman"/>
          <w:noProof/>
          <w:color w:val="000000" w:themeColor="text1"/>
          <w:sz w:val="24"/>
        </w:rPr>
        <w:t>. Nel settore digitale</w:t>
      </w:r>
      <w:r>
        <w:rPr>
          <w:rStyle w:val="FootnoteReference"/>
          <w:rFonts w:ascii="Times New Roman" w:hAnsi="Times New Roman" w:cs="Times New Roman"/>
          <w:noProof/>
          <w:color w:val="000000" w:themeColor="text1"/>
        </w:rPr>
        <w:footnoteReference w:id="46"/>
      </w:r>
      <w:r>
        <w:rPr>
          <w:rFonts w:ascii="Times New Roman" w:hAnsi="Times New Roman"/>
          <w:noProof/>
          <w:color w:val="000000" w:themeColor="text1"/>
          <w:sz w:val="24"/>
        </w:rPr>
        <w:t xml:space="preserve"> esistono clausole di sperimentazione che aprono la strada a un</w:t>
      </w:r>
      <w:r w:rsidR="00013882">
        <w:rPr>
          <w:rFonts w:ascii="Times New Roman" w:hAnsi="Times New Roman"/>
          <w:noProof/>
          <w:color w:val="000000" w:themeColor="text1"/>
          <w:sz w:val="24"/>
        </w:rPr>
        <w:t>'</w:t>
      </w:r>
      <w:r>
        <w:rPr>
          <w:rFonts w:ascii="Times New Roman" w:hAnsi="Times New Roman"/>
          <w:noProof/>
          <w:color w:val="000000" w:themeColor="text1"/>
          <w:sz w:val="24"/>
        </w:rPr>
        <w:t>evoluzione più dinamica della regolamentazione, come ad esempio l</w:t>
      </w:r>
      <w:r w:rsidR="00013882">
        <w:rPr>
          <w:rFonts w:ascii="Times New Roman" w:hAnsi="Times New Roman"/>
          <w:noProof/>
          <w:color w:val="000000" w:themeColor="text1"/>
          <w:sz w:val="24"/>
        </w:rPr>
        <w:t>'</w:t>
      </w:r>
      <w:r>
        <w:rPr>
          <w:rFonts w:ascii="Times New Roman" w:hAnsi="Times New Roman"/>
          <w:noProof/>
          <w:color w:val="000000" w:themeColor="text1"/>
          <w:sz w:val="24"/>
        </w:rPr>
        <w:t>infrastruttura europea di servizi blockchain (EBSI), finanziata dal programma Europa digitale, che offre una piattaforma paneuropea di carattere generale per i servizi pubblici transfrontalieri. La recente valutazione del quadro europeo di interoperabilità</w:t>
      </w:r>
      <w:r>
        <w:rPr>
          <w:rStyle w:val="FootnoteReference"/>
          <w:rFonts w:ascii="Times New Roman" w:hAnsi="Times New Roman" w:cs="Times New Roman"/>
          <w:noProof/>
          <w:color w:val="000000" w:themeColor="text1"/>
          <w:szCs w:val="24"/>
        </w:rPr>
        <w:footnoteReference w:id="47"/>
      </w:r>
      <w:r>
        <w:rPr>
          <w:rFonts w:ascii="Times New Roman" w:hAnsi="Times New Roman"/>
          <w:noProof/>
          <w:color w:val="000000" w:themeColor="text1"/>
          <w:sz w:val="24"/>
        </w:rPr>
        <w:t xml:space="preserve"> ha inoltre rilevato che l</w:t>
      </w:r>
      <w:r w:rsidR="00013882">
        <w:rPr>
          <w:rFonts w:ascii="Times New Roman" w:hAnsi="Times New Roman"/>
          <w:noProof/>
          <w:color w:val="000000" w:themeColor="text1"/>
          <w:sz w:val="24"/>
        </w:rPr>
        <w:t>'</w:t>
      </w:r>
      <w:r>
        <w:rPr>
          <w:rFonts w:ascii="Times New Roman" w:hAnsi="Times New Roman"/>
          <w:noProof/>
          <w:color w:val="000000" w:themeColor="text1"/>
          <w:sz w:val="24"/>
        </w:rPr>
        <w:t>istituzione di una cooperazione strutturata in materia di interoperabilità dei servizi pubblici digitali potrebbe avere un impatto concreto sull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nel settore pubblico. In alcuni Stati membri hanno beneficiato di approcci di questo tipo anche i settori dei trasporti e dell</w:t>
      </w:r>
      <w:r w:rsidR="00013882">
        <w:rPr>
          <w:rFonts w:ascii="Times New Roman" w:hAnsi="Times New Roman"/>
          <w:noProof/>
          <w:color w:val="000000" w:themeColor="text1"/>
          <w:sz w:val="24"/>
        </w:rPr>
        <w:t>'</w:t>
      </w:r>
      <w:r>
        <w:rPr>
          <w:rFonts w:ascii="Times New Roman" w:hAnsi="Times New Roman"/>
          <w:noProof/>
          <w:color w:val="000000" w:themeColor="text1"/>
          <w:sz w:val="24"/>
        </w:rPr>
        <w:t>energia.</w:t>
      </w:r>
      <w:r>
        <w:rPr>
          <w:rStyle w:val="normaltextrun"/>
          <w:rFonts w:ascii="Times New Roman" w:hAnsi="Times New Roman"/>
          <w:noProof/>
          <w:color w:val="000000" w:themeColor="text1"/>
          <w:sz w:val="24"/>
          <w:shd w:val="clear" w:color="auto" w:fill="FFFFFF"/>
        </w:rPr>
        <w:t xml:space="preserve"> </w:t>
      </w:r>
    </w:p>
    <w:p w14:paraId="7D6F2BE3" w14:textId="2299D11C" w:rsidR="008D2948" w:rsidRPr="00903218"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Più di recente, la proposta di revisione della direttiva sulle energie rinnovabili della Commissione</w:t>
      </w:r>
      <w:r>
        <w:rPr>
          <w:rStyle w:val="FootnoteReference"/>
          <w:rFonts w:ascii="Times New Roman" w:hAnsi="Times New Roman" w:cs="Times New Roman"/>
          <w:noProof/>
          <w:color w:val="000000" w:themeColor="text1"/>
        </w:rPr>
        <w:footnoteReference w:id="48"/>
      </w:r>
      <w:r>
        <w:rPr>
          <w:rFonts w:ascii="Times New Roman" w:hAnsi="Times New Roman"/>
          <w:noProof/>
          <w:color w:val="000000" w:themeColor="text1"/>
          <w:sz w:val="24"/>
        </w:rPr>
        <w:t xml:space="preserve"> ha offerto la possibilità di creare spazi di sperimentazione normativa al fine di promuovere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nel settore delle energie rinnovabili e nel piano REPowerEU è stata inclusa </w:t>
      </w:r>
      <w:r>
        <w:rPr>
          <w:rStyle w:val="normaltextrun"/>
          <w:rFonts w:ascii="Times New Roman" w:hAnsi="Times New Roman"/>
          <w:noProof/>
          <w:color w:val="000000" w:themeColor="text1"/>
          <w:sz w:val="24"/>
        </w:rPr>
        <w:t>una raccomandazione</w:t>
      </w:r>
      <w:r>
        <w:rPr>
          <w:rFonts w:ascii="Times New Roman" w:hAnsi="Times New Roman"/>
          <w:noProof/>
          <w:color w:val="000000" w:themeColor="text1"/>
          <w:sz w:val="24"/>
        </w:rPr>
        <w:t xml:space="preserve"> destinata ad autorizzare rapidamente la diffusione di progetti in materia di energie rinnovabili</w:t>
      </w:r>
      <w:bookmarkStart w:id="17" w:name="_Ref104912177"/>
      <w:r>
        <w:rPr>
          <w:rFonts w:ascii="Times New Roman" w:hAnsi="Times New Roman"/>
          <w:noProof/>
          <w:color w:val="000000" w:themeColor="text1"/>
          <w:sz w:val="24"/>
          <w:shd w:val="clear" w:color="auto" w:fill="FFFFFF"/>
        </w:rPr>
        <w:t>. La proposta di revisione della direttiva sulle emissioni industriali (IED)</w:t>
      </w:r>
      <w:r>
        <w:rPr>
          <w:rStyle w:val="FootnoteReference"/>
          <w:rFonts w:ascii="Times New Roman" w:hAnsi="Times New Roman" w:cs="Times New Roman"/>
          <w:noProof/>
          <w:color w:val="000000" w:themeColor="text1"/>
          <w:szCs w:val="24"/>
          <w:shd w:val="clear" w:color="auto" w:fill="FFFFFF"/>
        </w:rPr>
        <w:footnoteReference w:id="49"/>
      </w:r>
      <w:bookmarkEnd w:id="17"/>
      <w:r>
        <w:rPr>
          <w:rFonts w:ascii="Times New Roman" w:hAnsi="Times New Roman"/>
          <w:noProof/>
          <w:color w:val="000000" w:themeColor="text1"/>
          <w:sz w:val="24"/>
          <w:shd w:val="clear" w:color="auto" w:fill="FFFFFF"/>
        </w:rPr>
        <w:t xml:space="preserve"> promuove anche l</w:t>
      </w:r>
      <w:r w:rsidR="00013882">
        <w:rPr>
          <w:rFonts w:ascii="Times New Roman" w:hAnsi="Times New Roman"/>
          <w:noProof/>
          <w:color w:val="000000" w:themeColor="text1"/>
          <w:sz w:val="24"/>
          <w:shd w:val="clear" w:color="auto" w:fill="FFFFFF"/>
        </w:rPr>
        <w:t>'</w:t>
      </w:r>
      <w:r>
        <w:rPr>
          <w:rFonts w:ascii="Times New Roman" w:hAnsi="Times New Roman"/>
          <w:noProof/>
          <w:color w:val="000000" w:themeColor="text1"/>
          <w:sz w:val="24"/>
          <w:shd w:val="clear" w:color="auto" w:fill="FFFFFF"/>
        </w:rPr>
        <w:t>adozione di tecnologie e tecniche innovative nell</w:t>
      </w:r>
      <w:r w:rsidR="00013882">
        <w:rPr>
          <w:rFonts w:ascii="Times New Roman" w:hAnsi="Times New Roman"/>
          <w:noProof/>
          <w:color w:val="000000" w:themeColor="text1"/>
          <w:sz w:val="24"/>
          <w:shd w:val="clear" w:color="auto" w:fill="FFFFFF"/>
        </w:rPr>
        <w:t>'</w:t>
      </w:r>
      <w:r>
        <w:rPr>
          <w:rFonts w:ascii="Times New Roman" w:hAnsi="Times New Roman"/>
          <w:noProof/>
          <w:color w:val="000000" w:themeColor="text1"/>
          <w:sz w:val="24"/>
          <w:shd w:val="clear" w:color="auto" w:fill="FFFFFF"/>
        </w:rPr>
        <w:t>ambito della trasformazione industriale in corso, prevedendo tra l</w:t>
      </w:r>
      <w:r w:rsidR="00013882">
        <w:rPr>
          <w:rFonts w:ascii="Times New Roman" w:hAnsi="Times New Roman"/>
          <w:noProof/>
          <w:color w:val="000000" w:themeColor="text1"/>
          <w:sz w:val="24"/>
          <w:shd w:val="clear" w:color="auto" w:fill="FFFFFF"/>
        </w:rPr>
        <w:t>'</w:t>
      </w:r>
      <w:r>
        <w:rPr>
          <w:rFonts w:ascii="Times New Roman" w:hAnsi="Times New Roman"/>
          <w:noProof/>
          <w:color w:val="000000" w:themeColor="text1"/>
          <w:sz w:val="24"/>
          <w:shd w:val="clear" w:color="auto" w:fill="FFFFFF"/>
        </w:rPr>
        <w:t>altro deroghe temporanee ai limiti di emissione per testare tecniche emergenti o applicare tecniche all</w:t>
      </w:r>
      <w:r w:rsidR="00013882">
        <w:rPr>
          <w:rFonts w:ascii="Times New Roman" w:hAnsi="Times New Roman"/>
          <w:noProof/>
          <w:color w:val="000000" w:themeColor="text1"/>
          <w:sz w:val="24"/>
          <w:shd w:val="clear" w:color="auto" w:fill="FFFFFF"/>
        </w:rPr>
        <w:t>'</w:t>
      </w:r>
      <w:r>
        <w:rPr>
          <w:rFonts w:ascii="Times New Roman" w:hAnsi="Times New Roman"/>
          <w:noProof/>
          <w:color w:val="000000" w:themeColor="text1"/>
          <w:sz w:val="24"/>
          <w:shd w:val="clear" w:color="auto" w:fill="FFFFFF"/>
        </w:rPr>
        <w:t>avanguardia.</w:t>
      </w:r>
      <w:r>
        <w:rPr>
          <w:noProof/>
        </w:rPr>
        <w:t xml:space="preserve"> </w:t>
      </w:r>
      <w:r>
        <w:rPr>
          <w:rFonts w:ascii="Times New Roman" w:hAnsi="Times New Roman"/>
          <w:noProof/>
          <w:color w:val="000000" w:themeColor="text1"/>
          <w:sz w:val="24"/>
        </w:rPr>
        <w:t>Inoltre,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 piano d</w:t>
      </w:r>
      <w:r w:rsidR="00013882">
        <w:rPr>
          <w:rFonts w:ascii="Times New Roman" w:hAnsi="Times New Roman"/>
          <w:noProof/>
          <w:color w:val="000000" w:themeColor="text1"/>
          <w:sz w:val="24"/>
        </w:rPr>
        <w:t>'</w:t>
      </w:r>
      <w:r>
        <w:rPr>
          <w:rFonts w:ascii="Times New Roman" w:hAnsi="Times New Roman"/>
          <w:noProof/>
          <w:color w:val="000000" w:themeColor="text1"/>
          <w:sz w:val="24"/>
        </w:rPr>
        <w:t>azione per l</w:t>
      </w:r>
      <w:r w:rsidR="00013882">
        <w:rPr>
          <w:rFonts w:ascii="Times New Roman" w:hAnsi="Times New Roman"/>
          <w:noProof/>
          <w:color w:val="000000" w:themeColor="text1"/>
          <w:sz w:val="24"/>
        </w:rPr>
        <w:t>'</w:t>
      </w:r>
      <w:r>
        <w:rPr>
          <w:rFonts w:ascii="Times New Roman" w:hAnsi="Times New Roman"/>
          <w:noProof/>
          <w:color w:val="000000" w:themeColor="text1"/>
          <w:sz w:val="24"/>
        </w:rPr>
        <w:t>inquinamento zero</w:t>
      </w:r>
      <w:r>
        <w:rPr>
          <w:rStyle w:val="FootnoteReference"/>
          <w:rFonts w:ascii="Times New Roman" w:hAnsi="Times New Roman" w:cs="Times New Roman"/>
          <w:noProof/>
          <w:color w:val="000000" w:themeColor="text1"/>
        </w:rPr>
        <w:footnoteReference w:id="50"/>
      </w:r>
      <w:r>
        <w:rPr>
          <w:rFonts w:ascii="Times New Roman" w:hAnsi="Times New Roman"/>
          <w:noProof/>
          <w:color w:val="000000" w:themeColor="text1"/>
          <w:sz w:val="24"/>
        </w:rPr>
        <w:t>, i laboratori viventi per soluzioni digitali verdi e un inquinamento zero intelligente sosterranno la collaborazione con gli enti regionali e locali e i portatori di interessi per sviluppare azioni locali per la transizione verde e digitale.</w:t>
      </w:r>
    </w:p>
    <w:p w14:paraId="2CF3A2D8" w14:textId="2B49CCE1" w:rsidR="008D2948" w:rsidRPr="003E2D46" w:rsidRDefault="008D2948" w:rsidP="00782585">
      <w:pPr>
        <w:spacing w:line="240" w:lineRule="auto"/>
        <w:jc w:val="both"/>
        <w:rPr>
          <w:rFonts w:ascii="Times New Roman" w:hAnsi="Times New Roman" w:cs="Times New Roman"/>
          <w:noProof/>
          <w:color w:val="000000" w:themeColor="text1"/>
          <w:sz w:val="24"/>
          <w:szCs w:val="24"/>
          <w:shd w:val="clear" w:color="auto" w:fill="FFFFFF"/>
        </w:rPr>
      </w:pPr>
      <w:r w:rsidRPr="003E2D46">
        <w:rPr>
          <w:rFonts w:ascii="Times New Roman" w:hAnsi="Times New Roman"/>
          <w:noProof/>
          <w:sz w:val="24"/>
          <w:szCs w:val="24"/>
          <w:shd w:val="clear" w:color="auto" w:fill="FFFFFF"/>
        </w:rPr>
        <w:t>La natura delle innovazioni deep tech pionieristiche e l</w:t>
      </w:r>
      <w:r w:rsidR="00013882">
        <w:rPr>
          <w:rFonts w:ascii="Times New Roman" w:hAnsi="Times New Roman"/>
          <w:noProof/>
          <w:sz w:val="24"/>
          <w:szCs w:val="24"/>
          <w:shd w:val="clear" w:color="auto" w:fill="FFFFFF"/>
        </w:rPr>
        <w:t>'</w:t>
      </w:r>
      <w:r w:rsidRPr="003E2D46">
        <w:rPr>
          <w:rFonts w:ascii="Times New Roman" w:hAnsi="Times New Roman"/>
          <w:noProof/>
          <w:sz w:val="24"/>
          <w:szCs w:val="24"/>
          <w:shd w:val="clear" w:color="auto" w:fill="FFFFFF"/>
        </w:rPr>
        <w:t>urgenza della duplice transizione richiedono tuttavia un</w:t>
      </w:r>
      <w:r w:rsidR="00013882">
        <w:rPr>
          <w:rFonts w:ascii="Times New Roman" w:hAnsi="Times New Roman"/>
          <w:noProof/>
          <w:sz w:val="24"/>
          <w:szCs w:val="24"/>
          <w:shd w:val="clear" w:color="auto" w:fill="FFFFFF"/>
        </w:rPr>
        <w:t>'</w:t>
      </w:r>
      <w:r w:rsidRPr="003E2D46">
        <w:rPr>
          <w:rFonts w:ascii="Times New Roman" w:hAnsi="Times New Roman"/>
          <w:noProof/>
          <w:sz w:val="24"/>
          <w:szCs w:val="24"/>
          <w:shd w:val="clear" w:color="auto" w:fill="FFFFFF"/>
        </w:rPr>
        <w:t>elaborazione più rapida di quadri normativi responsabili che facilitino la sperimentazione da parte degli innovatori, garantiscano l</w:t>
      </w:r>
      <w:r w:rsidR="00013882">
        <w:rPr>
          <w:rFonts w:ascii="Times New Roman" w:hAnsi="Times New Roman"/>
          <w:noProof/>
          <w:sz w:val="24"/>
          <w:szCs w:val="24"/>
          <w:shd w:val="clear" w:color="auto" w:fill="FFFFFF"/>
        </w:rPr>
        <w:t>'</w:t>
      </w:r>
      <w:r w:rsidRPr="003E2D46">
        <w:rPr>
          <w:rFonts w:ascii="Times New Roman" w:hAnsi="Times New Roman"/>
          <w:noProof/>
          <w:sz w:val="24"/>
          <w:szCs w:val="24"/>
          <w:shd w:val="clear" w:color="auto" w:fill="FFFFFF"/>
        </w:rPr>
        <w:t>accettazione da parte del pubblico e consentano l</w:t>
      </w:r>
      <w:r w:rsidR="00013882">
        <w:rPr>
          <w:rFonts w:ascii="Times New Roman" w:hAnsi="Times New Roman"/>
          <w:noProof/>
          <w:sz w:val="24"/>
          <w:szCs w:val="24"/>
          <w:shd w:val="clear" w:color="auto" w:fill="FFFFFF"/>
        </w:rPr>
        <w:t>'</w:t>
      </w:r>
      <w:r w:rsidRPr="003E2D46">
        <w:rPr>
          <w:rFonts w:ascii="Times New Roman" w:hAnsi="Times New Roman"/>
          <w:noProof/>
          <w:sz w:val="24"/>
          <w:szCs w:val="24"/>
          <w:shd w:val="clear" w:color="auto" w:fill="FFFFFF"/>
        </w:rPr>
        <w:t>apprendimento e l</w:t>
      </w:r>
      <w:r w:rsidR="00013882">
        <w:rPr>
          <w:rFonts w:ascii="Times New Roman" w:hAnsi="Times New Roman"/>
          <w:noProof/>
          <w:sz w:val="24"/>
          <w:szCs w:val="24"/>
          <w:shd w:val="clear" w:color="auto" w:fill="FFFFFF"/>
        </w:rPr>
        <w:t>'</w:t>
      </w:r>
      <w:r w:rsidRPr="003E2D46">
        <w:rPr>
          <w:rFonts w:ascii="Times New Roman" w:hAnsi="Times New Roman"/>
          <w:noProof/>
          <w:sz w:val="24"/>
          <w:szCs w:val="24"/>
          <w:shd w:val="clear" w:color="auto" w:fill="FFFFFF"/>
        </w:rPr>
        <w:t>adattamento da parte delle autorità di regolamentazione in nuovi settori.</w:t>
      </w:r>
      <w:r w:rsidRPr="003E2D46">
        <w:rPr>
          <w:rFonts w:ascii="Times New Roman" w:hAnsi="Times New Roman"/>
          <w:noProof/>
          <w:color w:val="000000" w:themeColor="text1"/>
          <w:sz w:val="24"/>
          <w:szCs w:val="24"/>
          <w:shd w:val="clear" w:color="auto" w:fill="FFFFFF"/>
        </w:rPr>
        <w:t xml:space="preserve"> </w:t>
      </w:r>
      <w:r w:rsidRPr="003E2D46">
        <w:rPr>
          <w:rFonts w:ascii="Times New Roman" w:hAnsi="Times New Roman"/>
          <w:noProof/>
          <w:color w:val="000000" w:themeColor="text1"/>
          <w:sz w:val="24"/>
          <w:szCs w:val="24"/>
        </w:rPr>
        <w:t xml:space="preserve">Resta inoltre molto da </w:t>
      </w:r>
      <w:r w:rsidRPr="003E2D46">
        <w:rPr>
          <w:rStyle w:val="normaltextrun"/>
          <w:rFonts w:ascii="Times New Roman" w:hAnsi="Times New Roman"/>
          <w:noProof/>
          <w:color w:val="000000" w:themeColor="text1"/>
          <w:sz w:val="24"/>
          <w:szCs w:val="24"/>
        </w:rPr>
        <w:t>imparare dai vari approcci adottati negli Stati membri dell</w:t>
      </w:r>
      <w:r w:rsidR="00013882">
        <w:rPr>
          <w:rStyle w:val="normaltextrun"/>
          <w:rFonts w:ascii="Times New Roman" w:hAnsi="Times New Roman"/>
          <w:noProof/>
          <w:color w:val="000000" w:themeColor="text1"/>
          <w:sz w:val="24"/>
          <w:szCs w:val="24"/>
        </w:rPr>
        <w:t>'</w:t>
      </w:r>
      <w:r w:rsidRPr="003E2D46">
        <w:rPr>
          <w:rStyle w:val="normaltextrun"/>
          <w:rFonts w:ascii="Times New Roman" w:hAnsi="Times New Roman"/>
          <w:noProof/>
          <w:color w:val="000000" w:themeColor="text1"/>
          <w:sz w:val="24"/>
          <w:szCs w:val="24"/>
        </w:rPr>
        <w:t>UE per delineare meglio le opzioni di cui gli innovatori e le autorità di regolamentazione dispongono per agevolare tale sperimentazione.</w:t>
      </w:r>
      <w:r w:rsidRPr="003E2D46">
        <w:rPr>
          <w:rStyle w:val="normaltextrun"/>
          <w:rFonts w:ascii="Times New Roman" w:hAnsi="Times New Roman"/>
          <w:noProof/>
          <w:color w:val="000000" w:themeColor="text1"/>
          <w:sz w:val="24"/>
          <w:szCs w:val="24"/>
          <w:shd w:val="clear" w:color="auto" w:fill="FFFFFF"/>
        </w:rPr>
        <w:t xml:space="preserve"> </w:t>
      </w:r>
    </w:p>
    <w:p w14:paraId="19BB0A38" w14:textId="7D15C5B2"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Inoltre, sfruttare il ruolo di </w:t>
      </w:r>
      <w:r w:rsidR="00013882">
        <w:rPr>
          <w:rFonts w:ascii="Times New Roman" w:hAnsi="Times New Roman"/>
          <w:noProof/>
          <w:color w:val="000000" w:themeColor="text1"/>
          <w:sz w:val="24"/>
        </w:rPr>
        <w:t>"</w:t>
      </w:r>
      <w:r>
        <w:rPr>
          <w:rFonts w:ascii="Times New Roman" w:hAnsi="Times New Roman"/>
          <w:noProof/>
          <w:color w:val="000000" w:themeColor="text1"/>
          <w:sz w:val="24"/>
        </w:rPr>
        <w:t>cliente principale</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del settore pubblico può consentire di plasmare i mercati, fornire servizi migliori e accessibili, attirare investimenti privati dove altrimenti sarebbero assen</w:t>
      </w:r>
      <w:r w:rsidR="00827F42">
        <w:rPr>
          <w:rFonts w:ascii="Times New Roman" w:hAnsi="Times New Roman"/>
          <w:noProof/>
          <w:color w:val="000000" w:themeColor="text1"/>
          <w:sz w:val="24"/>
        </w:rPr>
        <w:t xml:space="preserve">ti e, soprattutto, fornire alle </w:t>
      </w:r>
      <w:r>
        <w:rPr>
          <w:rFonts w:ascii="Times New Roman" w:hAnsi="Times New Roman"/>
          <w:noProof/>
          <w:color w:val="000000" w:themeColor="text1"/>
          <w:sz w:val="24"/>
        </w:rPr>
        <w:t>start-up innovative un primo cliente essenziale.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le autorità pubbliche spendono</w:t>
      </w:r>
      <w:r w:rsidR="00DB41F6">
        <w:rPr>
          <w:rFonts w:ascii="Times New Roman" w:hAnsi="Times New Roman"/>
          <w:noProof/>
          <w:color w:val="000000" w:themeColor="text1"/>
          <w:sz w:val="24"/>
        </w:rPr>
        <w:t xml:space="preserve"> circa il 14 % del PIL (circa 2 </w:t>
      </w:r>
      <w:r>
        <w:rPr>
          <w:rFonts w:ascii="Times New Roman" w:hAnsi="Times New Roman"/>
          <w:noProof/>
          <w:color w:val="000000" w:themeColor="text1"/>
          <w:sz w:val="24"/>
        </w:rPr>
        <w:t>000 miliardi di EUR all</w:t>
      </w:r>
      <w:r w:rsidR="00013882">
        <w:rPr>
          <w:rFonts w:ascii="Times New Roman" w:hAnsi="Times New Roman"/>
          <w:noProof/>
          <w:color w:val="000000" w:themeColor="text1"/>
          <w:sz w:val="24"/>
        </w:rPr>
        <w:t>'</w:t>
      </w:r>
      <w:r>
        <w:rPr>
          <w:rFonts w:ascii="Times New Roman" w:hAnsi="Times New Roman"/>
          <w:noProof/>
          <w:color w:val="000000" w:themeColor="text1"/>
          <w:sz w:val="24"/>
        </w:rPr>
        <w:t>anno) per acquistare prodotti e servizi</w:t>
      </w:r>
      <w:r>
        <w:rPr>
          <w:rStyle w:val="FootnoteReference"/>
          <w:rFonts w:ascii="Times New Roman" w:hAnsi="Times New Roman" w:cs="Times New Roman"/>
          <w:noProof/>
          <w:color w:val="000000" w:themeColor="text1"/>
          <w:szCs w:val="24"/>
        </w:rPr>
        <w:footnoteReference w:id="51"/>
      </w:r>
      <w:r>
        <w:rPr>
          <w:rFonts w:ascii="Times New Roman" w:hAnsi="Times New Roman"/>
          <w:noProof/>
          <w:color w:val="000000" w:themeColor="text1"/>
          <w:sz w:val="24"/>
        </w:rPr>
        <w:t>. Secondo l</w:t>
      </w:r>
      <w:r w:rsidR="00013882">
        <w:rPr>
          <w:rFonts w:ascii="Times New Roman" w:hAnsi="Times New Roman"/>
          <w:noProof/>
          <w:color w:val="000000" w:themeColor="text1"/>
          <w:sz w:val="24"/>
        </w:rPr>
        <w:t>'</w:t>
      </w:r>
      <w:r>
        <w:rPr>
          <w:rFonts w:ascii="Times New Roman" w:hAnsi="Times New Roman"/>
          <w:noProof/>
          <w:color w:val="000000" w:themeColor="text1"/>
          <w:sz w:val="24"/>
        </w:rPr>
        <w:t>analisi comparativa a livello dell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r>
        <w:rPr>
          <w:rStyle w:val="FootnoteReference"/>
          <w:rFonts w:ascii="Times New Roman" w:hAnsi="Times New Roman" w:cs="Times New Roman"/>
          <w:noProof/>
          <w:color w:val="000000" w:themeColor="text1"/>
          <w:szCs w:val="24"/>
        </w:rPr>
        <w:footnoteReference w:id="52"/>
      </w:r>
      <w:r>
        <w:rPr>
          <w:rFonts w:ascii="Times New Roman" w:hAnsi="Times New Roman"/>
          <w:noProof/>
          <w:color w:val="000000" w:themeColor="text1"/>
          <w:sz w:val="24"/>
        </w:rPr>
        <w:t>, la modernizzazione dei servizi pubblici e il rafforzamento della competitività industriale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a livello mondiale richiedono il raddoppio degli investimenti negli appalti per soluzioni innovative. Ad oggi, mentre l</w:t>
      </w:r>
      <w:r w:rsidR="00013882">
        <w:rPr>
          <w:rFonts w:ascii="Times New Roman" w:hAnsi="Times New Roman"/>
          <w:noProof/>
          <w:color w:val="000000" w:themeColor="text1"/>
          <w:sz w:val="24"/>
        </w:rPr>
        <w:t>'</w:t>
      </w:r>
      <w:r>
        <w:rPr>
          <w:rFonts w:ascii="Times New Roman" w:hAnsi="Times New Roman"/>
          <w:noProof/>
          <w:color w:val="000000" w:themeColor="text1"/>
          <w:sz w:val="24"/>
        </w:rPr>
        <w:t>81 % dei paesi OCSE ha sviluppato strategie nazionali con politiche che promuovono gli appalti per soluzioni innovative, solo un terzo degli Stati membri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dispone di strategie analoghe. I dati che possono contribuire a migliorare gli approcci esistenti sono mancanti o incoerenti, il che ostacola un processo decisionale informato. </w:t>
      </w:r>
    </w:p>
    <w:p w14:paraId="3783C057" w14:textId="77777777" w:rsidR="008D2948" w:rsidRPr="00125908" w:rsidRDefault="008D2948" w:rsidP="00782585">
      <w:pPr>
        <w:spacing w:line="240" w:lineRule="auto"/>
        <w:jc w:val="both"/>
        <w:rPr>
          <w:rFonts w:ascii="Times New Roman" w:hAnsi="Times New Roman" w:cs="Times New Roman"/>
          <w:noProof/>
          <w:color w:val="000000" w:themeColor="text1"/>
          <w:sz w:val="24"/>
          <w:szCs w:val="24"/>
        </w:rPr>
      </w:pPr>
    </w:p>
    <w:p w14:paraId="547693B5" w14:textId="600CB2E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2.2.2 Iniziativa faro - Favorire 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innovazione ad elevatissimo contenuto tecnologico mediante spazi di sperimentazione e appalti pubblici</w:t>
      </w:r>
    </w:p>
    <w:p w14:paraId="640D793E" w14:textId="4AB7235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Questa iniziativa faro mira a facilitare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grazie al miglioramento delle condizioni quadro, compresi gli approcci sperimentali alla regolamentazione, attraverso i cosiddetti spazi di sperimentazione normativa</w:t>
      </w:r>
      <w:r>
        <w:rPr>
          <w:rStyle w:val="FootnoteReference"/>
          <w:rFonts w:ascii="Times New Roman" w:hAnsi="Times New Roman" w:cs="Times New Roman"/>
          <w:noProof/>
          <w:color w:val="000000" w:themeColor="text1"/>
          <w:szCs w:val="24"/>
        </w:rPr>
        <w:footnoteReference w:id="53"/>
      </w:r>
      <w:r>
        <w:rPr>
          <w:rFonts w:ascii="Times New Roman" w:hAnsi="Times New Roman"/>
          <w:noProof/>
          <w:color w:val="000000" w:themeColor="text1"/>
          <w:sz w:val="24"/>
        </w:rPr>
        <w:t>, nonché i banchi di prova, i laboratori viventi e gli appalti per soluzioni innovative.</w:t>
      </w:r>
    </w:p>
    <w:p w14:paraId="73F12E57" w14:textId="66659D59"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Spazi di sperimentazione normativa</w:t>
      </w:r>
    </w:p>
    <w:p w14:paraId="068BB240" w14:textId="0EA9AE8A" w:rsidR="008D2948" w:rsidRPr="00782585" w:rsidRDefault="008D2948" w:rsidP="00782585">
      <w:pPr>
        <w:spacing w:line="240" w:lineRule="auto"/>
        <w:jc w:val="both"/>
        <w:rPr>
          <w:rFonts w:ascii="Times New Roman" w:hAnsi="Times New Roman" w:cs="Times New Roman"/>
          <w:noProof/>
          <w:color w:val="000000" w:themeColor="text1"/>
          <w:sz w:val="24"/>
          <w:shd w:val="clear" w:color="auto" w:fill="FFFFFF"/>
        </w:rPr>
      </w:pPr>
      <w:r>
        <w:rPr>
          <w:rStyle w:val="normaltextrun"/>
          <w:rFonts w:ascii="Times New Roman" w:hAnsi="Times New Roman"/>
          <w:noProof/>
          <w:color w:val="000000" w:themeColor="text1"/>
          <w:sz w:val="24"/>
          <w:shd w:val="clear" w:color="auto" w:fill="FFFFFF"/>
        </w:rPr>
        <w:t xml:space="preserve">Nella prima metà del 2023 la Commissione </w:t>
      </w:r>
      <w:r>
        <w:rPr>
          <w:rStyle w:val="normaltextrun"/>
          <w:rFonts w:ascii="Times New Roman" w:hAnsi="Times New Roman"/>
          <w:b/>
          <w:noProof/>
          <w:color w:val="000000" w:themeColor="text1"/>
          <w:sz w:val="24"/>
          <w:shd w:val="clear" w:color="auto" w:fill="FFFFFF"/>
        </w:rPr>
        <w:t>pubblicherà un documento di orientamento</w:t>
      </w:r>
      <w:r>
        <w:rPr>
          <w:rStyle w:val="normaltextrun"/>
          <w:rFonts w:ascii="Times New Roman" w:hAnsi="Times New Roman"/>
          <w:noProof/>
          <w:color w:val="000000" w:themeColor="text1"/>
          <w:sz w:val="24"/>
          <w:shd w:val="clear" w:color="auto" w:fill="FFFFFF"/>
        </w:rPr>
        <w:t xml:space="preserve"> che chiarirà gli utilizzi pertinenti degli spazi di sperimentazione normativa, dei banchi di prova e dei laboratori viventi al fine di sostenere i responsabili politici e gli innovatori nel loro approccio alla sperimentazione nell</w:t>
      </w:r>
      <w:r w:rsidR="00013882">
        <w:rPr>
          <w:rStyle w:val="normaltextrun"/>
          <w:rFonts w:ascii="Times New Roman" w:hAnsi="Times New Roman"/>
          <w:noProof/>
          <w:color w:val="000000" w:themeColor="text1"/>
          <w:sz w:val="24"/>
          <w:shd w:val="clear" w:color="auto" w:fill="FFFFFF"/>
        </w:rPr>
        <w:t>'</w:t>
      </w:r>
      <w:r>
        <w:rPr>
          <w:rStyle w:val="normaltextrun"/>
          <w:rFonts w:ascii="Times New Roman" w:hAnsi="Times New Roman"/>
          <w:noProof/>
          <w:color w:val="000000" w:themeColor="text1"/>
          <w:sz w:val="24"/>
          <w:shd w:val="clear" w:color="auto" w:fill="FFFFFF"/>
        </w:rPr>
        <w:t>UE. Un documento di lavoro dei servizi della Commissione fornirà una panoramica delle principali clausole di sperimentazione e degli spazi di sperimentazione normativa esistenti nel diritto dell</w:t>
      </w:r>
      <w:r w:rsidR="00013882">
        <w:rPr>
          <w:rStyle w:val="normaltextrun"/>
          <w:rFonts w:ascii="Times New Roman" w:hAnsi="Times New Roman"/>
          <w:noProof/>
          <w:color w:val="000000" w:themeColor="text1"/>
          <w:sz w:val="24"/>
          <w:shd w:val="clear" w:color="auto" w:fill="FFFFFF"/>
        </w:rPr>
        <w:t>'</w:t>
      </w:r>
      <w:r>
        <w:rPr>
          <w:rStyle w:val="normaltextrun"/>
          <w:rFonts w:ascii="Times New Roman" w:hAnsi="Times New Roman"/>
          <w:noProof/>
          <w:color w:val="000000" w:themeColor="text1"/>
          <w:sz w:val="24"/>
          <w:shd w:val="clear" w:color="auto" w:fill="FFFFFF"/>
        </w:rPr>
        <w:t>UE e fornirà agli innovatori un sostegno per individuare i settori e creare uno spazio di sperimentazione, come gli spazi di sperimentazione normativa, i laboratori viventi o i banchi di prova, che potrebbero facilitare la diffusione di tecnologie rivoluzionarie mediante futuri inviti a presentare proposte</w:t>
      </w:r>
      <w:r>
        <w:rPr>
          <w:rStyle w:val="FootnoteReference"/>
          <w:rFonts w:ascii="Times New Roman" w:hAnsi="Times New Roman" w:cs="Times New Roman"/>
          <w:noProof/>
          <w:color w:val="000000" w:themeColor="text1"/>
          <w:shd w:val="clear" w:color="auto" w:fill="FFFFFF"/>
        </w:rPr>
        <w:footnoteReference w:id="54"/>
      </w:r>
      <w:r>
        <w:rPr>
          <w:rStyle w:val="normaltextrun"/>
          <w:rFonts w:ascii="Times New Roman" w:hAnsi="Times New Roman"/>
          <w:noProof/>
          <w:color w:val="000000" w:themeColor="text1"/>
          <w:sz w:val="24"/>
          <w:shd w:val="clear" w:color="auto" w:fill="FFFFFF"/>
        </w:rPr>
        <w:t xml:space="preserve">. </w:t>
      </w:r>
    </w:p>
    <w:p w14:paraId="3841F16E" w14:textId="29C32049"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Nel 2023 la Commissione sosterrà inoltre la </w:t>
      </w:r>
      <w:r>
        <w:rPr>
          <w:rFonts w:ascii="Times New Roman" w:hAnsi="Times New Roman"/>
          <w:b/>
          <w:noProof/>
          <w:color w:val="000000" w:themeColor="text1"/>
          <w:sz w:val="24"/>
        </w:rPr>
        <w:t>creazione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incubatore GovTech</w:t>
      </w:r>
      <w:r>
        <w:rPr>
          <w:rFonts w:ascii="Times New Roman" w:hAnsi="Times New Roman"/>
          <w:noProof/>
          <w:color w:val="000000" w:themeColor="text1"/>
          <w:sz w:val="24"/>
        </w:rPr>
        <w:t>, un accordo per la collaborazione transfrontaliera tra gli organismi di digitalizzazione per la diffusione di soluzioni innovative in materia di amministrazione digitale nell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ambito del programma Europa digitale. </w:t>
      </w:r>
    </w:p>
    <w:p w14:paraId="54D7DAEE" w14:textId="12DDAE5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Inoltre, la Commissione piloterà un </w:t>
      </w:r>
      <w:r>
        <w:rPr>
          <w:rFonts w:ascii="Times New Roman" w:hAnsi="Times New Roman"/>
          <w:b/>
          <w:noProof/>
          <w:color w:val="000000" w:themeColor="text1"/>
          <w:sz w:val="24"/>
        </w:rPr>
        <w:t>gruppo consultivo per l</w:t>
      </w:r>
      <w:r w:rsidR="00013882">
        <w:rPr>
          <w:rFonts w:ascii="Times New Roman" w:hAnsi="Times New Roman"/>
          <w:b/>
          <w:noProof/>
          <w:color w:val="000000" w:themeColor="text1"/>
          <w:sz w:val="24"/>
        </w:rPr>
        <w:t>'</w:t>
      </w:r>
      <w:r>
        <w:rPr>
          <w:rFonts w:ascii="Times New Roman" w:hAnsi="Times New Roman"/>
          <w:b/>
          <w:noProof/>
          <w:color w:val="000000" w:themeColor="text1"/>
          <w:sz w:val="24"/>
        </w:rPr>
        <w:t>elaborazione di una regolamentazione favorevole all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innovazione</w:t>
      </w:r>
      <w:r>
        <w:rPr>
          <w:rFonts w:ascii="Times New Roman" w:hAnsi="Times New Roman"/>
          <w:noProof/>
          <w:color w:val="000000" w:themeColor="text1"/>
          <w:sz w:val="24"/>
        </w:rPr>
        <w:t xml:space="preserve"> che offrirà consulenze politiche a monte sulle nuove tecnologie in relazione al contesto normativo e ai modelli aziendali, per incentrarsi sull</w:t>
      </w:r>
      <w:r w:rsidR="00013882">
        <w:rPr>
          <w:rFonts w:ascii="Times New Roman" w:hAnsi="Times New Roman"/>
          <w:noProof/>
          <w:color w:val="000000" w:themeColor="text1"/>
          <w:sz w:val="24"/>
        </w:rPr>
        <w:t>'</w:t>
      </w:r>
      <w:r>
        <w:rPr>
          <w:rFonts w:ascii="Times New Roman" w:hAnsi="Times New Roman"/>
          <w:noProof/>
          <w:color w:val="000000" w:themeColor="text1"/>
          <w:sz w:val="24"/>
        </w:rPr>
        <w:t>uso di tecnologie digitali avanzate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dei servizi pubblici. Ciò comprenderà, in particolare, l</w:t>
      </w:r>
      <w:r w:rsidR="00013882">
        <w:rPr>
          <w:rFonts w:ascii="Times New Roman" w:hAnsi="Times New Roman"/>
          <w:noProof/>
          <w:color w:val="000000" w:themeColor="text1"/>
          <w:sz w:val="24"/>
        </w:rPr>
        <w:t>'</w:t>
      </w:r>
      <w:r>
        <w:rPr>
          <w:rFonts w:ascii="Times New Roman" w:hAnsi="Times New Roman"/>
          <w:noProof/>
          <w:color w:val="000000" w:themeColor="text1"/>
          <w:sz w:val="24"/>
        </w:rPr>
        <w:t>attuazione di determinati casi d</w:t>
      </w:r>
      <w:r w:rsidR="00013882">
        <w:rPr>
          <w:rFonts w:ascii="Times New Roman" w:hAnsi="Times New Roman"/>
          <w:noProof/>
          <w:color w:val="000000" w:themeColor="text1"/>
          <w:sz w:val="24"/>
        </w:rPr>
        <w:t>'</w:t>
      </w:r>
      <w:r>
        <w:rPr>
          <w:rFonts w:ascii="Times New Roman" w:hAnsi="Times New Roman"/>
          <w:noProof/>
          <w:color w:val="000000" w:themeColor="text1"/>
          <w:sz w:val="24"/>
        </w:rPr>
        <w:t>uso nel settore pubblico e requisiti di interoperabilità per le soluzioni digitali adottati dalle amministrazioni pubbliche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Le consulenze del gruppo possono inoltre sostenere azioni e programmi relativi agli appalti pubblici e alla sperimentazione di tecnologie digitali emergenti avanzate da parte delle autorità pubbliche in ambienti controllati (spazi di sperimentazione normativa).</w:t>
      </w:r>
    </w:p>
    <w:p w14:paraId="52D88A4F" w14:textId="6F58D9F3"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Banchi di prova</w:t>
      </w:r>
    </w:p>
    <w:p w14:paraId="583EEC50" w14:textId="4FA660D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Nel 2023 la Commissione istituirà, nell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ambito di Orizzonte Europa, un nuovo </w:t>
      </w:r>
      <w:r>
        <w:rPr>
          <w:rFonts w:ascii="Times New Roman" w:hAnsi="Times New Roman"/>
          <w:b/>
          <w:noProof/>
          <w:color w:val="000000" w:themeColor="text1"/>
          <w:sz w:val="24"/>
        </w:rPr>
        <w:t>banco di prova aperto per 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innovazione nel settore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idrogeno rinnovabile</w:t>
      </w:r>
      <w:r>
        <w:rPr>
          <w:rFonts w:ascii="Times New Roman" w:hAnsi="Times New Roman"/>
          <w:noProof/>
          <w:color w:val="000000" w:themeColor="text1"/>
          <w:sz w:val="24"/>
        </w:rPr>
        <w:t xml:space="preserve"> al fine di fornire accesso a strutture fisiche, capacità e servizi.</w:t>
      </w:r>
      <w:r>
        <w:rPr>
          <w:rStyle w:val="normaltextrun"/>
          <w:rFonts w:ascii="Times New Roman" w:hAnsi="Times New Roman"/>
          <w:noProof/>
          <w:color w:val="000000" w:themeColor="text1"/>
          <w:sz w:val="24"/>
          <w:bdr w:val="none" w:sz="0" w:space="0" w:color="auto" w:frame="1"/>
        </w:rPr>
        <w:t xml:space="preserve"> Nell</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ambito di questo banco di prova, le parti incaricate dell</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attuazione chiederanno orientamenti sul rispetto dei quadri giuridici e normativi europei e sull</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aumento della circolarità fin dalla progettazione (valutazione del ciclo di vita), al fine di sostenere lo sviluppo di un</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economia dell</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idrogeno dinamica lungo l</w:t>
      </w:r>
      <w:r w:rsidR="00013882">
        <w:rPr>
          <w:rStyle w:val="normaltextrun"/>
          <w:rFonts w:ascii="Times New Roman" w:hAnsi="Times New Roman"/>
          <w:noProof/>
          <w:color w:val="000000" w:themeColor="text1"/>
          <w:sz w:val="24"/>
          <w:bdr w:val="none" w:sz="0" w:space="0" w:color="auto" w:frame="1"/>
        </w:rPr>
        <w:t>'</w:t>
      </w:r>
      <w:r>
        <w:rPr>
          <w:rStyle w:val="normaltextrun"/>
          <w:rFonts w:ascii="Times New Roman" w:hAnsi="Times New Roman"/>
          <w:noProof/>
          <w:color w:val="000000" w:themeColor="text1"/>
          <w:sz w:val="24"/>
          <w:bdr w:val="none" w:sz="0" w:space="0" w:color="auto" w:frame="1"/>
        </w:rPr>
        <w:t xml:space="preserve">intera catena del valore. </w:t>
      </w:r>
      <w:r>
        <w:rPr>
          <w:rFonts w:ascii="Times New Roman" w:hAnsi="Times New Roman"/>
          <w:noProof/>
          <w:color w:val="000000" w:themeColor="text1"/>
          <w:sz w:val="24"/>
        </w:rPr>
        <w:t xml:space="preserve">La futura applicabilità di questo </w:t>
      </w:r>
      <w:r w:rsidR="00827F42">
        <w:rPr>
          <w:rFonts w:ascii="Times New Roman" w:hAnsi="Times New Roman"/>
          <w:noProof/>
          <w:color w:val="000000" w:themeColor="text1"/>
          <w:sz w:val="24"/>
        </w:rPr>
        <w:t>approccio</w:t>
      </w:r>
      <w:r w:rsidR="00827F42">
        <w:rPr>
          <w:rFonts w:ascii="Times New Roman" w:hAnsi="Times New Roman"/>
          <w:noProof/>
          <w:color w:val="000000" w:themeColor="text1"/>
          <w:sz w:val="24"/>
          <w:bdr w:val="none" w:sz="0" w:space="0" w:color="auto" w:frame="1"/>
        </w:rPr>
        <w:t xml:space="preserve"> si</w:t>
      </w:r>
      <w:r>
        <w:rPr>
          <w:rFonts w:ascii="Times New Roman" w:hAnsi="Times New Roman"/>
          <w:noProof/>
          <w:color w:val="000000" w:themeColor="text1"/>
          <w:sz w:val="24"/>
          <w:bdr w:val="none" w:sz="0" w:space="0" w:color="auto" w:frame="1"/>
        </w:rPr>
        <w:t xml:space="preserve"> baserà sui dati tratti dai 22 banchi di prova aperti per </w:t>
      </w:r>
      <w:r w:rsidR="00827F42">
        <w:rPr>
          <w:rFonts w:ascii="Times New Roman" w:hAnsi="Times New Roman"/>
          <w:noProof/>
          <w:color w:val="000000" w:themeColor="text1"/>
          <w:sz w:val="24"/>
          <w:bdr w:val="none" w:sz="0" w:space="0" w:color="auto" w:frame="1"/>
        </w:rPr>
        <w:t>l</w:t>
      </w:r>
      <w:r w:rsidR="00013882">
        <w:rPr>
          <w:rFonts w:ascii="Times New Roman" w:hAnsi="Times New Roman"/>
          <w:noProof/>
          <w:color w:val="000000" w:themeColor="text1"/>
          <w:sz w:val="24"/>
          <w:bdr w:val="none" w:sz="0" w:space="0" w:color="auto" w:frame="1"/>
        </w:rPr>
        <w:t>'</w:t>
      </w:r>
      <w:r w:rsidR="00827F42">
        <w:rPr>
          <w:rFonts w:ascii="Times New Roman" w:hAnsi="Times New Roman"/>
          <w:noProof/>
          <w:color w:val="000000" w:themeColor="text1"/>
          <w:sz w:val="24"/>
          <w:bdr w:val="none" w:sz="0" w:space="0" w:color="auto" w:frame="1"/>
        </w:rPr>
        <w:t xml:space="preserve">innovazione </w:t>
      </w:r>
      <w:r w:rsidR="00827F42">
        <w:rPr>
          <w:rFonts w:ascii="Times New Roman" w:hAnsi="Times New Roman"/>
          <w:noProof/>
          <w:color w:val="000000" w:themeColor="text1"/>
          <w:sz w:val="24"/>
        </w:rPr>
        <w:t>a</w:t>
      </w:r>
      <w:r>
        <w:rPr>
          <w:rFonts w:ascii="Times New Roman" w:hAnsi="Times New Roman"/>
          <w:noProof/>
          <w:color w:val="000000" w:themeColor="text1"/>
          <w:sz w:val="24"/>
        </w:rPr>
        <w:t xml:space="preserve"> sostegno della diffusione industriale delle innovazioni tecnologiche nei settori delle nanotecnologie e dei materiali avanzati.</w:t>
      </w:r>
      <w:r>
        <w:rPr>
          <w:rFonts w:ascii="Times New Roman" w:hAnsi="Times New Roman"/>
          <w:noProof/>
          <w:color w:val="000000" w:themeColor="text1"/>
          <w:sz w:val="24"/>
          <w:bdr w:val="none" w:sz="0" w:space="0" w:color="auto" w:frame="1"/>
        </w:rPr>
        <w:t xml:space="preserve"> </w:t>
      </w:r>
      <w:r>
        <w:rPr>
          <w:rFonts w:ascii="Times New Roman" w:hAnsi="Times New Roman"/>
          <w:noProof/>
          <w:color w:val="000000" w:themeColor="text1"/>
          <w:sz w:val="24"/>
        </w:rPr>
        <w:t xml:space="preserve">A questi dati si aggiungeranno i pareri di alcuni gruppi di alto livello quali il </w:t>
      </w:r>
      <w:r w:rsidR="00013882">
        <w:rPr>
          <w:rFonts w:ascii="Times New Roman" w:hAnsi="Times New Roman"/>
          <w:noProof/>
          <w:color w:val="000000" w:themeColor="text1"/>
          <w:sz w:val="24"/>
        </w:rPr>
        <w:t>"</w:t>
      </w:r>
      <w:r>
        <w:rPr>
          <w:rFonts w:ascii="Times New Roman" w:hAnsi="Times New Roman"/>
          <w:noProof/>
          <w:color w:val="000000" w:themeColor="text1"/>
          <w:sz w:val="24"/>
        </w:rPr>
        <w:t>New Mobility Tech Group</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il cui obiettivo è agevolare le prove e le sperimentazioni di tecnologie e soluzioni di mobilità emergenti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UE (banco di prova europeo della mobilità)</w:t>
      </w:r>
      <w:r>
        <w:rPr>
          <w:rStyle w:val="FootnoteReference"/>
          <w:rFonts w:ascii="Times New Roman" w:hAnsi="Times New Roman" w:cs="Times New Roman"/>
          <w:noProof/>
          <w:color w:val="000000" w:themeColor="text1"/>
        </w:rPr>
        <w:footnoteReference w:id="55"/>
      </w:r>
      <w:r>
        <w:rPr>
          <w:rFonts w:ascii="Times New Roman" w:hAnsi="Times New Roman"/>
          <w:noProof/>
          <w:color w:val="000000" w:themeColor="text1"/>
          <w:sz w:val="24"/>
        </w:rPr>
        <w:t>.</w:t>
      </w:r>
    </w:p>
    <w:p w14:paraId="00FC9D52" w14:textId="6168C72D"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Accesso alle infrastrutture per l</w:t>
      </w:r>
      <w:r w:rsidR="00013882">
        <w:rPr>
          <w:rFonts w:ascii="Times New Roman" w:hAnsi="Times New Roman"/>
          <w:i/>
          <w:noProof/>
          <w:color w:val="000000" w:themeColor="text1"/>
          <w:sz w:val="24"/>
        </w:rPr>
        <w:t>'</w:t>
      </w:r>
      <w:r>
        <w:rPr>
          <w:rFonts w:ascii="Times New Roman" w:hAnsi="Times New Roman"/>
          <w:i/>
          <w:noProof/>
          <w:color w:val="000000" w:themeColor="text1"/>
          <w:sz w:val="24"/>
        </w:rPr>
        <w:t>innovazione</w:t>
      </w:r>
    </w:p>
    <w:p w14:paraId="762C079C" w14:textId="336BEA72" w:rsidR="008D2948" w:rsidRPr="00782585" w:rsidRDefault="008D2948" w:rsidP="00782585">
      <w:pPr>
        <w:spacing w:line="240" w:lineRule="auto"/>
        <w:jc w:val="both"/>
        <w:rPr>
          <w:rStyle w:val="normaltextrun"/>
          <w:rFonts w:ascii="Times New Roman" w:hAnsi="Times New Roman" w:cs="Times New Roman"/>
          <w:noProof/>
          <w:color w:val="000000" w:themeColor="text1"/>
          <w:sz w:val="24"/>
          <w:szCs w:val="24"/>
          <w:bdr w:val="none" w:sz="0" w:space="0" w:color="auto" w:frame="1"/>
        </w:rPr>
      </w:pPr>
      <w:r>
        <w:rPr>
          <w:rFonts w:ascii="Times New Roman" w:hAnsi="Times New Roman"/>
          <w:noProof/>
          <w:color w:val="000000" w:themeColor="text1"/>
          <w:sz w:val="24"/>
        </w:rPr>
        <w:t>La disciplina riveduta degli aiuti di Stato in materia di ricerca, sviluppo e innovazione (RSI) includerà, all</w:t>
      </w:r>
      <w:r w:rsidR="00013882">
        <w:rPr>
          <w:rFonts w:ascii="Times New Roman" w:hAnsi="Times New Roman"/>
          <w:noProof/>
          <w:color w:val="000000" w:themeColor="text1"/>
          <w:sz w:val="24"/>
        </w:rPr>
        <w:t>'</w:t>
      </w:r>
      <w:r>
        <w:rPr>
          <w:rFonts w:ascii="Times New Roman" w:hAnsi="Times New Roman"/>
          <w:noProof/>
          <w:color w:val="000000" w:themeColor="text1"/>
          <w:sz w:val="24"/>
        </w:rPr>
        <w:t>atto dell</w:t>
      </w:r>
      <w:r w:rsidR="00013882">
        <w:rPr>
          <w:rFonts w:ascii="Times New Roman" w:hAnsi="Times New Roman"/>
          <w:noProof/>
          <w:color w:val="000000" w:themeColor="text1"/>
          <w:sz w:val="24"/>
        </w:rPr>
        <w:t>'</w:t>
      </w:r>
      <w:r>
        <w:rPr>
          <w:rFonts w:ascii="Times New Roman" w:hAnsi="Times New Roman"/>
          <w:noProof/>
          <w:color w:val="000000" w:themeColor="text1"/>
          <w:sz w:val="24"/>
        </w:rPr>
        <w:t>adozione,</w:t>
      </w:r>
      <w:r>
        <w:rPr>
          <w:rFonts w:ascii="Times New Roman" w:hAnsi="Times New Roman"/>
          <w:b/>
          <w:noProof/>
          <w:color w:val="000000" w:themeColor="text1"/>
          <w:sz w:val="24"/>
        </w:rPr>
        <w:t xml:space="preserve"> una nuova norma che consentirà agli Stati membri di concedere aiuti per la costruzione e l</w:t>
      </w:r>
      <w:r w:rsidR="00013882">
        <w:rPr>
          <w:rFonts w:ascii="Times New Roman" w:hAnsi="Times New Roman"/>
          <w:b/>
          <w:noProof/>
          <w:color w:val="000000" w:themeColor="text1"/>
          <w:sz w:val="24"/>
        </w:rPr>
        <w:t>'</w:t>
      </w:r>
      <w:r>
        <w:rPr>
          <w:rFonts w:ascii="Times New Roman" w:hAnsi="Times New Roman"/>
          <w:b/>
          <w:noProof/>
          <w:color w:val="000000" w:themeColor="text1"/>
          <w:sz w:val="24"/>
        </w:rPr>
        <w:t>ammodernamento di impianti di prova e sperimentazione</w:t>
      </w:r>
      <w:r>
        <w:rPr>
          <w:rFonts w:ascii="Times New Roman" w:hAnsi="Times New Roman"/>
          <w:noProof/>
          <w:color w:val="000000" w:themeColor="text1"/>
          <w:sz w:val="24"/>
        </w:rPr>
        <w:t>. Il quadro di RSI, unitamente al regolamento generale di esenzione per categoria (RGEC), potranno in questo modo aiutare gli Stati membri a sostenere la realizzazione del Green Deal europeo</w:t>
      </w:r>
      <w:r>
        <w:rPr>
          <w:rStyle w:val="FootnoteReference"/>
          <w:rFonts w:ascii="Times New Roman" w:hAnsi="Times New Roman" w:cs="Times New Roman"/>
          <w:noProof/>
          <w:color w:val="000000" w:themeColor="text1"/>
          <w:sz w:val="24"/>
          <w:szCs w:val="24"/>
          <w:bdr w:val="none" w:sz="0" w:space="0" w:color="auto" w:frame="1"/>
        </w:rPr>
        <w:footnoteReference w:id="56"/>
      </w:r>
      <w:r>
        <w:rPr>
          <w:rFonts w:ascii="Times New Roman" w:hAnsi="Times New Roman"/>
          <w:noProof/>
          <w:color w:val="000000" w:themeColor="text1"/>
          <w:sz w:val="24"/>
        </w:rPr>
        <w:t xml:space="preserve"> e delle strategie industriali e digitali della Commissione</w:t>
      </w:r>
      <w:r>
        <w:rPr>
          <w:rStyle w:val="FootnoteReference"/>
          <w:rFonts w:ascii="Times New Roman" w:hAnsi="Times New Roman" w:cs="Times New Roman"/>
          <w:noProof/>
          <w:color w:val="000000" w:themeColor="text1"/>
          <w:sz w:val="24"/>
          <w:szCs w:val="24"/>
          <w:bdr w:val="none" w:sz="0" w:space="0" w:color="auto" w:frame="1"/>
        </w:rPr>
        <w:footnoteReference w:id="57"/>
      </w:r>
      <w:r>
        <w:rPr>
          <w:rFonts w:ascii="Times New Roman" w:hAnsi="Times New Roman"/>
          <w:noProof/>
          <w:color w:val="000000" w:themeColor="text1"/>
          <w:sz w:val="24"/>
        </w:rPr>
        <w:t>.</w:t>
      </w:r>
    </w:p>
    <w:p w14:paraId="122CEE0D" w14:textId="5F9DEDB4" w:rsidR="00AD0C5A" w:rsidRPr="00782585" w:rsidRDefault="00AD0C5A" w:rsidP="00782585">
      <w:pPr>
        <w:spacing w:line="240" w:lineRule="auto"/>
        <w:jc w:val="both"/>
        <w:rPr>
          <w:rStyle w:val="normaltextrun"/>
          <w:rFonts w:ascii="Times New Roman" w:hAnsi="Times New Roman" w:cs="Times New Roman"/>
          <w:noProof/>
          <w:sz w:val="24"/>
          <w:szCs w:val="24"/>
        </w:rPr>
      </w:pPr>
      <w:r>
        <w:rPr>
          <w:rStyle w:val="normaltextrun"/>
          <w:rFonts w:ascii="Times New Roman" w:hAnsi="Times New Roman"/>
          <w:noProof/>
          <w:sz w:val="24"/>
        </w:rPr>
        <w:t xml:space="preserve">Nel 2023 la Commissione varerà inoltre </w:t>
      </w:r>
      <w:r>
        <w:rPr>
          <w:rStyle w:val="normaltextrun"/>
          <w:rFonts w:ascii="Times New Roman" w:hAnsi="Times New Roman"/>
          <w:b/>
          <w:noProof/>
          <w:sz w:val="24"/>
        </w:rPr>
        <w:t>impianti di prova e sperimentazione</w:t>
      </w:r>
      <w:r>
        <w:rPr>
          <w:rStyle w:val="FootnoteReference"/>
          <w:rFonts w:ascii="Times New Roman" w:hAnsi="Times New Roman" w:cs="Times New Roman"/>
          <w:noProof/>
          <w:sz w:val="24"/>
          <w:szCs w:val="24"/>
        </w:rPr>
        <w:footnoteReference w:id="58"/>
      </w:r>
      <w:r>
        <w:rPr>
          <w:rStyle w:val="normaltextrun"/>
          <w:rFonts w:ascii="Times New Roman" w:hAnsi="Times New Roman"/>
          <w:b/>
          <w:noProof/>
          <w:sz w:val="24"/>
        </w:rPr>
        <w:t xml:space="preserve"> per l</w:t>
      </w:r>
      <w:r w:rsidR="00013882">
        <w:rPr>
          <w:rStyle w:val="normaltextrun"/>
          <w:rFonts w:ascii="Times New Roman" w:hAnsi="Times New Roman"/>
          <w:b/>
          <w:noProof/>
          <w:sz w:val="24"/>
        </w:rPr>
        <w:t>'</w:t>
      </w:r>
      <w:r>
        <w:rPr>
          <w:rStyle w:val="normaltextrun"/>
          <w:rFonts w:ascii="Times New Roman" w:hAnsi="Times New Roman"/>
          <w:b/>
          <w:noProof/>
          <w:sz w:val="24"/>
        </w:rPr>
        <w:t>innovazione in materia di IA</w:t>
      </w:r>
      <w:r>
        <w:rPr>
          <w:rStyle w:val="normaltextrun"/>
          <w:rFonts w:ascii="Times New Roman" w:hAnsi="Times New Roman"/>
          <w:noProof/>
          <w:sz w:val="24"/>
        </w:rPr>
        <w:t xml:space="preserve"> a livello europeo. Ciò consentirà agli innovatori di testare soluzioni e prodotti all</w:t>
      </w:r>
      <w:r w:rsidR="00013882">
        <w:rPr>
          <w:rStyle w:val="normaltextrun"/>
          <w:rFonts w:ascii="Times New Roman" w:hAnsi="Times New Roman"/>
          <w:noProof/>
          <w:sz w:val="24"/>
        </w:rPr>
        <w:t>'</w:t>
      </w:r>
      <w:r>
        <w:rPr>
          <w:rStyle w:val="normaltextrun"/>
          <w:rFonts w:ascii="Times New Roman" w:hAnsi="Times New Roman"/>
          <w:noProof/>
          <w:sz w:val="24"/>
        </w:rPr>
        <w:t>avanguardia in ambienti reali e su larga scala.</w:t>
      </w:r>
    </w:p>
    <w:p w14:paraId="3208A580" w14:textId="6135517E"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Appalti per soluzioni innovative</w:t>
      </w:r>
    </w:p>
    <w:p w14:paraId="10C1F67F" w14:textId="0DD5C88A" w:rsidR="008D2948" w:rsidRPr="00782585" w:rsidRDefault="008D2948" w:rsidP="00782585">
      <w:pPr>
        <w:spacing w:line="240" w:lineRule="auto"/>
        <w:jc w:val="both"/>
        <w:rPr>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La Commissione sosterrà la creazione di </w:t>
      </w:r>
      <w:r>
        <w:rPr>
          <w:rStyle w:val="normaltextrun"/>
          <w:rFonts w:ascii="Times New Roman" w:hAnsi="Times New Roman"/>
          <w:b/>
          <w:noProof/>
          <w:color w:val="000000" w:themeColor="text1"/>
          <w:sz w:val="24"/>
        </w:rPr>
        <w:t>un servizio di consulenza specializzato in materia di appalti per soluzioni innovative</w:t>
      </w:r>
      <w:r>
        <w:rPr>
          <w:rStyle w:val="normaltextrun"/>
          <w:rFonts w:ascii="Times New Roman" w:hAnsi="Times New Roman"/>
          <w:noProof/>
          <w:color w:val="000000" w:themeColor="text1"/>
          <w:sz w:val="24"/>
        </w:rPr>
        <w:t xml:space="preserve"> che fungerà da intermediario tra committenti pubblici e fornitori innovativi. La Commissione sosterrà inoltre la creazione di laboratori viventi e incubatori, ad esempio per collegare gli innovatori e gli amministratori pubblici affinché forniscano soluzioni innovative in settori di interesse pubblico</w:t>
      </w:r>
      <w:r>
        <w:rPr>
          <w:rStyle w:val="FootnoteReference"/>
          <w:rFonts w:ascii="Times New Roman" w:hAnsi="Times New Roman" w:cs="Times New Roman"/>
          <w:noProof/>
          <w:color w:val="000000" w:themeColor="text1"/>
          <w:szCs w:val="24"/>
        </w:rPr>
        <w:footnoteReference w:id="59"/>
      </w:r>
      <w:r>
        <w:rPr>
          <w:rStyle w:val="normaltextrun"/>
          <w:rFonts w:ascii="Times New Roman" w:hAnsi="Times New Roman"/>
          <w:noProof/>
          <w:color w:val="000000" w:themeColor="text1"/>
          <w:sz w:val="24"/>
        </w:rPr>
        <w:t>. Inoltre, la Commissione aggiornerà la sua analisi comparativa a livello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w:t>
      </w:r>
      <w:r>
        <w:rPr>
          <w:rStyle w:val="FootnoteReference"/>
          <w:rFonts w:ascii="Times New Roman" w:hAnsi="Times New Roman" w:cs="Times New Roman"/>
          <w:noProof/>
          <w:color w:val="000000" w:themeColor="text1"/>
          <w:szCs w:val="24"/>
        </w:rPr>
        <w:footnoteReference w:id="60"/>
      </w:r>
      <w:r>
        <w:rPr>
          <w:rStyle w:val="normaltextrun"/>
          <w:rFonts w:ascii="Times New Roman" w:hAnsi="Times New Roman"/>
          <w:noProof/>
          <w:color w:val="000000" w:themeColor="text1"/>
          <w:sz w:val="24"/>
        </w:rPr>
        <w:t xml:space="preserve"> dei quadri strategici nazionali e degli investimenti in materia di appalti per soluzioni innovative in Europa e valuterà 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adozione della procedura di partenariato per 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nell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ambito della direttiva sugli appalti del 2014, parallelamente a quella sugli appalti pre-commerciali, che non rientrano nell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ambito di applicazione delle direttive sugli appalti né degli accordi internazionali in materia di appalti.</w:t>
      </w:r>
      <w:r>
        <w:rPr>
          <w:rFonts w:ascii="Times New Roman" w:hAnsi="Times New Roman"/>
          <w:noProof/>
          <w:color w:val="000000" w:themeColor="text1"/>
          <w:sz w:val="24"/>
        </w:rPr>
        <w:t xml:space="preserve"> </w:t>
      </w:r>
    </w:p>
    <w:p w14:paraId="7C1A1530" w14:textId="77777777" w:rsidR="008D2948" w:rsidRPr="00125908" w:rsidRDefault="008D2948" w:rsidP="00782585">
      <w:pPr>
        <w:spacing w:line="240" w:lineRule="auto"/>
        <w:rPr>
          <w:rFonts w:ascii="Times New Roman" w:hAnsi="Times New Roman" w:cs="Times New Roman"/>
          <w:noProof/>
          <w:color w:val="000000" w:themeColor="text1"/>
          <w:sz w:val="24"/>
        </w:rPr>
      </w:pPr>
    </w:p>
    <w:p w14:paraId="0FABD557" w14:textId="09370BA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 Promuovere gli ecosistemi dell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innovazione e colmare il divario in termini di innovazione in tutta 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 xml:space="preserve">UE </w:t>
      </w:r>
    </w:p>
    <w:p w14:paraId="4E242AA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2.3.1 Sfide da raccogliere</w:t>
      </w:r>
    </w:p>
    <w:p w14:paraId="5C85C793" w14:textId="3AFB376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 risultati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materia di innovazione sono costanteme</w:t>
      </w:r>
      <w:r w:rsidR="00DB41F6">
        <w:rPr>
          <w:rFonts w:ascii="Times New Roman" w:hAnsi="Times New Roman"/>
          <w:noProof/>
          <w:color w:val="000000" w:themeColor="text1"/>
          <w:sz w:val="24"/>
        </w:rPr>
        <w:t>nte migliorati nel periodo 2014</w:t>
      </w:r>
      <w:r w:rsidR="00DB41F6">
        <w:rPr>
          <w:rFonts w:ascii="Times New Roman" w:hAnsi="Times New Roman"/>
          <w:noProof/>
          <w:color w:val="000000" w:themeColor="text1"/>
          <w:sz w:val="24"/>
        </w:rPr>
        <w:noBreakHyphen/>
      </w:r>
      <w:r>
        <w:rPr>
          <w:rFonts w:ascii="Times New Roman" w:hAnsi="Times New Roman"/>
          <w:noProof/>
          <w:color w:val="000000" w:themeColor="text1"/>
          <w:sz w:val="24"/>
        </w:rPr>
        <w:t>2021</w:t>
      </w:r>
      <w:r>
        <w:rPr>
          <w:rStyle w:val="FootnoteReference"/>
          <w:rFonts w:ascii="Times New Roman" w:hAnsi="Times New Roman" w:cs="Times New Roman"/>
          <w:noProof/>
          <w:color w:val="000000" w:themeColor="text1"/>
          <w:szCs w:val="24"/>
        </w:rPr>
        <w:footnoteReference w:id="61"/>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L</w:t>
      </w:r>
      <w:r w:rsidR="00013882">
        <w:rPr>
          <w:rFonts w:ascii="Times New Roman" w:hAnsi="Times New Roman"/>
          <w:noProof/>
          <w:color w:val="000000" w:themeColor="text1"/>
          <w:sz w:val="24"/>
        </w:rPr>
        <w:t>'</w:t>
      </w:r>
      <w:r>
        <w:rPr>
          <w:rFonts w:ascii="Times New Roman" w:hAnsi="Times New Roman"/>
          <w:noProof/>
          <w:color w:val="000000" w:themeColor="text1"/>
          <w:sz w:val="24"/>
        </w:rPr>
        <w:t>UE può competere efficacemente con le principali economie mondiali costruendo un vero ecosistema paneuropeo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 sostenuto da ecosistemi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prosperi - e sfruttando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esperienza, le esigenze, la visione e la percezione di una gamma sempre più diversificata di persone, imprese e luoghi. </w:t>
      </w:r>
    </w:p>
    <w:p w14:paraId="134629FF" w14:textId="74CC2C5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strategie di specializzazione intelligente</w:t>
      </w:r>
      <w:r>
        <w:rPr>
          <w:rStyle w:val="FootnoteReference"/>
          <w:rFonts w:ascii="Times New Roman" w:hAnsi="Times New Roman" w:cs="Times New Roman"/>
          <w:noProof/>
          <w:color w:val="000000" w:themeColor="text1"/>
        </w:rPr>
        <w:footnoteReference w:id="62"/>
      </w:r>
      <w:r>
        <w:rPr>
          <w:rFonts w:ascii="Times New Roman" w:hAnsi="Times New Roman"/>
          <w:noProof/>
          <w:color w:val="000000" w:themeColor="text1"/>
          <w:sz w:val="24"/>
        </w:rPr>
        <w:t xml:space="preserve"> svolgono un ruolo centrale per rafforzare gli ecosistemi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affinché siano più idonei a incentivare e sostenere la crescita economica. Queste strategie offrono il quadro di riferimento per sostenere il Fondo europeo di sviluppo regionale (FESR) a favore della ricerca e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per un importo stimato di 56 miliardi di EUR (periodo 2021-2027). Anche le piattaforme e i partenariati tematici di specializzazione intelligente sono diventati strumenti chiave per collegare gli innovatori che vantano punti di forza e priorità simili o complementari in tutti gli Stati membri e in tutte le regioni, anche nei settori tecnologici che sono fondamentali per la duplice transizione verde e digitale. Negli ultimi sei anni 37 partenariati interregionali</w:t>
      </w:r>
      <w:r>
        <w:rPr>
          <w:rStyle w:val="FootnoteReference"/>
          <w:rFonts w:ascii="Times New Roman" w:hAnsi="Times New Roman" w:cs="Times New Roman"/>
          <w:noProof/>
          <w:color w:val="000000" w:themeColor="text1"/>
          <w:szCs w:val="24"/>
        </w:rPr>
        <w:footnoteReference w:id="63"/>
      </w:r>
      <w:r>
        <w:rPr>
          <w:rFonts w:ascii="Times New Roman" w:hAnsi="Times New Roman"/>
          <w:noProof/>
          <w:color w:val="000000" w:themeColor="text1"/>
          <w:sz w:val="24"/>
        </w:rPr>
        <w:t>, che coinvolgono 180 territori di 33 paesi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e di paesi terzi, hanno fornito un sostegno di questo tipo in settori che comprendono </w:t>
      </w:r>
      <w:bookmarkStart w:id="18" w:name="_Int_WIUsKZiD"/>
      <w:r>
        <w:rPr>
          <w:rFonts w:ascii="Times New Roman" w:hAnsi="Times New Roman"/>
          <w:noProof/>
          <w:color w:val="000000" w:themeColor="text1"/>
          <w:sz w:val="24"/>
        </w:rPr>
        <w:t>i materiali</w:t>
      </w:r>
      <w:bookmarkEnd w:id="18"/>
      <w:r>
        <w:rPr>
          <w:rFonts w:ascii="Times New Roman" w:hAnsi="Times New Roman"/>
          <w:noProof/>
          <w:color w:val="000000" w:themeColor="text1"/>
          <w:sz w:val="24"/>
        </w:rPr>
        <w:t xml:space="preserve"> avanzati per le batterie e le tecnologie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idrogeno e delle celle a combustibile. </w:t>
      </w:r>
    </w:p>
    <w:p w14:paraId="543FA60B" w14:textId="3131000A" w:rsidR="002E36AE" w:rsidRPr="00782585" w:rsidRDefault="002E36AE"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infrastrutture di ricerca e tecnologia stanno inoltre contribuendo ad attirare i migliori ricercatori, ingegneri, tecnici e studenti e hanno la capacità di sostenere gli ecosistemi regionali e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Nelle regioni europee, l</w:t>
      </w:r>
      <w:r w:rsidR="00013882">
        <w:rPr>
          <w:rFonts w:ascii="Times New Roman" w:hAnsi="Times New Roman"/>
          <w:noProof/>
          <w:color w:val="000000" w:themeColor="text1"/>
          <w:sz w:val="24"/>
        </w:rPr>
        <w:t>'</w:t>
      </w:r>
      <w:r>
        <w:rPr>
          <w:rFonts w:ascii="Times New Roman" w:hAnsi="Times New Roman"/>
          <w:noProof/>
          <w:color w:val="000000" w:themeColor="text1"/>
          <w:sz w:val="24"/>
        </w:rPr>
        <w:t>allineamento del sostegno del FESR alle strategie di specializzazione intelligente promuove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basata sul territorio e incentiva gli investimenti che sono conformi alle esigenze e alle opportunità delle imprese a livello regionale. Ciò ha portato alla creazione di poli di innovazione regionali e cluster industriali basati sulla co-ubicazione di infrastrutture di ricerca, istituti di istruzione superiore, organizzazioni di ricerca e tecnologia e industria (ad esempio Grenoble, Amburgo o Brno). </w:t>
      </w:r>
      <w:r>
        <w:rPr>
          <w:rFonts w:ascii="Times New Roman" w:hAnsi="Times New Roman"/>
          <w:noProof/>
        </w:rPr>
        <w:t>La piattaforma europea per la collaborazione tra cluster (ECCP)</w:t>
      </w:r>
      <w:r>
        <w:rPr>
          <w:rStyle w:val="FootnoteReference"/>
          <w:rFonts w:ascii="Times New Roman" w:hAnsi="Times New Roman" w:cs="Times New Roman"/>
          <w:noProof/>
          <w:color w:val="000000" w:themeColor="text1"/>
        </w:rPr>
        <w:footnoteReference w:id="64"/>
      </w:r>
      <w:r>
        <w:rPr>
          <w:rFonts w:ascii="Times New Roman" w:hAnsi="Times New Roman"/>
          <w:noProof/>
        </w:rPr>
        <w:t xml:space="preserve"> offre una panoramica della specializzazione e dell</w:t>
      </w:r>
      <w:r w:rsidR="00013882">
        <w:rPr>
          <w:rFonts w:ascii="Times New Roman" w:hAnsi="Times New Roman"/>
          <w:noProof/>
        </w:rPr>
        <w:t>'</w:t>
      </w:r>
      <w:r>
        <w:rPr>
          <w:rFonts w:ascii="Times New Roman" w:hAnsi="Times New Roman"/>
          <w:noProof/>
        </w:rPr>
        <w:t>impatto dei cluster in 201 regioni europee, e dei programmi dell</w:t>
      </w:r>
      <w:r w:rsidR="00013882">
        <w:rPr>
          <w:rFonts w:ascii="Times New Roman" w:hAnsi="Times New Roman"/>
          <w:noProof/>
        </w:rPr>
        <w:t>'</w:t>
      </w:r>
      <w:r>
        <w:rPr>
          <w:rFonts w:ascii="Times New Roman" w:hAnsi="Times New Roman"/>
          <w:noProof/>
        </w:rPr>
        <w:t>UE, compreso l</w:t>
      </w:r>
      <w:r w:rsidR="00013882">
        <w:rPr>
          <w:rFonts w:ascii="Times New Roman" w:hAnsi="Times New Roman"/>
          <w:noProof/>
        </w:rPr>
        <w:t>'</w:t>
      </w:r>
      <w:r>
        <w:rPr>
          <w:rFonts w:ascii="Times New Roman" w:hAnsi="Times New Roman"/>
          <w:noProof/>
        </w:rPr>
        <w:t>operato della rete Enterprise Europe (EEN), facilitando i collegamenti strategici con i partner e le catene di approvvigionamento internazionali, riflettendo l</w:t>
      </w:r>
      <w:r w:rsidR="00013882">
        <w:rPr>
          <w:rFonts w:ascii="Times New Roman" w:hAnsi="Times New Roman"/>
          <w:noProof/>
        </w:rPr>
        <w:t>'</w:t>
      </w:r>
      <w:r>
        <w:rPr>
          <w:rFonts w:ascii="Times New Roman" w:hAnsi="Times New Roman"/>
          <w:noProof/>
        </w:rPr>
        <w:t>importanza dell</w:t>
      </w:r>
      <w:r w:rsidR="00013882">
        <w:rPr>
          <w:rFonts w:ascii="Times New Roman" w:hAnsi="Times New Roman"/>
          <w:noProof/>
        </w:rPr>
        <w:t>'</w:t>
      </w:r>
      <w:r>
        <w:rPr>
          <w:rFonts w:ascii="Times New Roman" w:hAnsi="Times New Roman"/>
          <w:noProof/>
        </w:rPr>
        <w:t>apertura e dei partenariati commerciali per l</w:t>
      </w:r>
      <w:r w:rsidR="00013882">
        <w:rPr>
          <w:rFonts w:ascii="Times New Roman" w:hAnsi="Times New Roman"/>
          <w:noProof/>
        </w:rPr>
        <w:t>'</w:t>
      </w:r>
      <w:r>
        <w:rPr>
          <w:rFonts w:ascii="Times New Roman" w:hAnsi="Times New Roman"/>
          <w:noProof/>
        </w:rPr>
        <w:t>economia dell</w:t>
      </w:r>
      <w:r w:rsidR="00013882">
        <w:rPr>
          <w:rFonts w:ascii="Times New Roman" w:hAnsi="Times New Roman"/>
          <w:noProof/>
        </w:rPr>
        <w:t>'</w:t>
      </w:r>
      <w:r>
        <w:rPr>
          <w:rFonts w:ascii="Times New Roman" w:hAnsi="Times New Roman"/>
          <w:noProof/>
        </w:rPr>
        <w:t>UE</w:t>
      </w:r>
      <w:r>
        <w:rPr>
          <w:rStyle w:val="FootnoteReference"/>
          <w:rFonts w:ascii="Times New Roman" w:hAnsi="Times New Roman" w:cs="Times New Roman"/>
          <w:noProof/>
          <w:color w:val="000000" w:themeColor="text1"/>
          <w:szCs w:val="24"/>
        </w:rPr>
        <w:footnoteReference w:id="65"/>
      </w:r>
      <w:r>
        <w:rPr>
          <w:rFonts w:ascii="Times New Roman" w:hAnsi="Times New Roman"/>
          <w:noProof/>
        </w:rPr>
        <w:t>.</w:t>
      </w:r>
      <w:r>
        <w:rPr>
          <w:rFonts w:ascii="Times New Roman" w:hAnsi="Times New Roman"/>
          <w:noProof/>
          <w:color w:val="000000" w:themeColor="text1"/>
          <w:sz w:val="24"/>
        </w:rPr>
        <w:t xml:space="preserve"> La Commissione ha inoltre avviato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iniziativa </w:t>
      </w:r>
      <w:r w:rsidR="00013882">
        <w:rPr>
          <w:rFonts w:ascii="Times New Roman" w:hAnsi="Times New Roman"/>
          <w:noProof/>
          <w:color w:val="000000" w:themeColor="text1"/>
          <w:sz w:val="24"/>
        </w:rPr>
        <w:t>"</w:t>
      </w:r>
      <w:r>
        <w:rPr>
          <w:rFonts w:ascii="Times New Roman" w:hAnsi="Times New Roman"/>
          <w:noProof/>
          <w:color w:val="000000" w:themeColor="text1"/>
          <w:sz w:val="24"/>
        </w:rPr>
        <w:t>Mappatura comune degli attori che sostengono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 w:val="24"/>
        </w:rPr>
        <w:footnoteReference w:id="66"/>
      </w:r>
      <w:r>
        <w:rPr>
          <w:rFonts w:ascii="Times New Roman" w:hAnsi="Times New Roman"/>
          <w:noProof/>
          <w:color w:val="000000" w:themeColor="text1"/>
          <w:sz w:val="24"/>
        </w:rPr>
        <w:t xml:space="preserve"> per fornire una mappatura</w:t>
      </w:r>
      <w:r w:rsidR="007E6397">
        <w:rPr>
          <w:rFonts w:ascii="Times New Roman" w:hAnsi="Times New Roman"/>
          <w:noProof/>
          <w:color w:val="000000" w:themeColor="text1"/>
          <w:sz w:val="24"/>
        </w:rPr>
        <w:t xml:space="preserve"> completa non solo degli attori</w:t>
      </w:r>
      <w:r>
        <w:rPr>
          <w:rFonts w:ascii="Times New Roman" w:hAnsi="Times New Roman"/>
          <w:noProof/>
          <w:color w:val="000000" w:themeColor="text1"/>
          <w:sz w:val="24"/>
        </w:rPr>
        <w:t xml:space="preserve"> ma anche delle strutture di sostegno di punta in tutti gli ecosistemi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 Europa.</w:t>
      </w:r>
    </w:p>
    <w:p w14:paraId="05C5DC14" w14:textId="49AD69D7"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Questi lavori si aggiungono al finanziamento a favore dell</w:t>
      </w:r>
      <w:r w:rsidR="00013882">
        <w:rPr>
          <w:rFonts w:ascii="Times New Roman" w:hAnsi="Times New Roman"/>
          <w:noProof/>
          <w:color w:val="000000" w:themeColor="text1"/>
          <w:sz w:val="24"/>
        </w:rPr>
        <w:t>'</w:t>
      </w:r>
      <w:r>
        <w:rPr>
          <w:rFonts w:ascii="Times New Roman" w:hAnsi="Times New Roman"/>
          <w:noProof/>
          <w:color w:val="000000" w:themeColor="text1"/>
          <w:sz w:val="24"/>
        </w:rPr>
        <w:t>Istituto europeo di innovazione e tecnologia (EIT) e degli ecosistemi europei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(EIE) nell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ambito del pilastro III di Orizzonte Europa </w:t>
      </w:r>
      <w:r w:rsidR="00013882">
        <w:rPr>
          <w:rFonts w:ascii="Times New Roman" w:hAnsi="Times New Roman"/>
          <w:noProof/>
          <w:color w:val="000000" w:themeColor="text1"/>
          <w:sz w:val="24"/>
        </w:rPr>
        <w:t>"</w:t>
      </w:r>
      <w:r>
        <w:rPr>
          <w:rFonts w:ascii="Times New Roman" w:hAnsi="Times New Roman"/>
          <w:noProof/>
          <w:color w:val="000000" w:themeColor="text1"/>
          <w:sz w:val="24"/>
        </w:rPr>
        <w:t>Europa innovativa</w:t>
      </w:r>
      <w:r w:rsidR="00013882">
        <w:rPr>
          <w:rFonts w:ascii="Times New Roman" w:hAnsi="Times New Roman"/>
          <w:noProof/>
          <w:color w:val="000000" w:themeColor="text1"/>
          <w:sz w:val="24"/>
        </w:rPr>
        <w:t>"</w:t>
      </w:r>
      <w:r>
        <w:rPr>
          <w:rFonts w:ascii="Times New Roman" w:hAnsi="Times New Roman"/>
          <w:noProof/>
          <w:color w:val="000000" w:themeColor="text1"/>
          <w:sz w:val="24"/>
        </w:rPr>
        <w:t>, che crea le condizioni per un ecosistema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paneuropeo che collega gli ecosistemi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 Il sistema di innovazione regionale (SIR) dell</w:t>
      </w:r>
      <w:r w:rsidR="00013882">
        <w:rPr>
          <w:rFonts w:ascii="Times New Roman" w:hAnsi="Times New Roman"/>
          <w:noProof/>
          <w:color w:val="000000" w:themeColor="text1"/>
          <w:sz w:val="24"/>
        </w:rPr>
        <w:t>'</w:t>
      </w:r>
      <w:r>
        <w:rPr>
          <w:rFonts w:ascii="Times New Roman" w:hAnsi="Times New Roman"/>
          <w:noProof/>
          <w:color w:val="000000" w:themeColor="text1"/>
          <w:sz w:val="24"/>
        </w:rPr>
        <w:t>EIT intende in particolare sviluppare degli ecosistemi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nelle regioni europea a bassa intensità di innovazione e al collegare questi ecosistemi alle strategie locali e regionali di specializzazione intelligente. Una nuova serie di progetti EIE integrerà questo aspetto collegando ecosistemi regionali di innovazione adeguatamente sviluppati con ecosistemi meno sviluppati, garantendo un arricchimento reciproco. </w:t>
      </w:r>
    </w:p>
    <w:p w14:paraId="23119572" w14:textId="4CE33E2D" w:rsidR="00782585" w:rsidRPr="00827F42"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Inoltre la Commissione continua a incoraggiare una maggiore coerenza e maggiori sinergie tra le politiche e i meccanismi di finanziamento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a sostegno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delle imprese a tutti i livelli, anche da parte degli Stati membri,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della nuova agenda politica del SER. A tal fine sono previste anche tabelle di marcia per le tecnologie industriali per allineare gli investimenti di ricerca e innovazione a livello nazionale 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promuovendo lo sviluppo e l</w:t>
      </w:r>
      <w:r w:rsidR="00013882">
        <w:rPr>
          <w:rFonts w:ascii="Times New Roman" w:hAnsi="Times New Roman"/>
          <w:noProof/>
          <w:color w:val="000000" w:themeColor="text1"/>
          <w:sz w:val="24"/>
        </w:rPr>
        <w:t>'</w:t>
      </w:r>
      <w:r>
        <w:rPr>
          <w:rFonts w:ascii="Times New Roman" w:hAnsi="Times New Roman"/>
          <w:noProof/>
          <w:color w:val="000000" w:themeColor="text1"/>
          <w:sz w:val="24"/>
        </w:rPr>
        <w:t>adozione di tecnologie innovative</w:t>
      </w:r>
      <w:r>
        <w:rPr>
          <w:rStyle w:val="FootnoteReference"/>
          <w:rFonts w:ascii="Times New Roman" w:hAnsi="Times New Roman" w:cs="Times New Roman"/>
          <w:noProof/>
          <w:color w:val="000000" w:themeColor="text1"/>
        </w:rPr>
        <w:footnoteReference w:id="67"/>
      </w:r>
      <w:r>
        <w:rPr>
          <w:rFonts w:ascii="Times New Roman" w:hAnsi="Times New Roman"/>
          <w:noProof/>
          <w:color w:val="000000" w:themeColor="text1"/>
          <w:sz w:val="24"/>
        </w:rPr>
        <w:t xml:space="preserve"> e i poli del SER. Il dispositivo per la ripresa e la resilienza (RRF) sosterrà ulteriormente questi sviluppi: </w:t>
      </w:r>
      <w:r w:rsidRPr="00827F42">
        <w:rPr>
          <w:rFonts w:ascii="Times New Roman" w:hAnsi="Times New Roman"/>
          <w:noProof/>
          <w:sz w:val="24"/>
          <w:szCs w:val="24"/>
        </w:rPr>
        <w:t>saranno erogati 44 miliardi di EUR (a prezzi 2021)</w:t>
      </w:r>
      <w:r w:rsidRPr="00827F42">
        <w:rPr>
          <w:rStyle w:val="FootnoteReference"/>
          <w:rFonts w:ascii="Times New Roman" w:hAnsi="Times New Roman" w:cs="Times New Roman"/>
          <w:noProof/>
          <w:color w:val="000000" w:themeColor="text1"/>
          <w:sz w:val="24"/>
          <w:szCs w:val="24"/>
        </w:rPr>
        <w:footnoteReference w:id="68"/>
      </w:r>
      <w:r w:rsidRPr="00827F42">
        <w:rPr>
          <w:rFonts w:ascii="Times New Roman" w:hAnsi="Times New Roman"/>
          <w:noProof/>
          <w:sz w:val="24"/>
          <w:szCs w:val="24"/>
        </w:rPr>
        <w:t xml:space="preserve"> sotto forma di prestiti e sovvenzioni per affrontare le difficoltà specifiche di ciascun paese individuate nell</w:t>
      </w:r>
      <w:r w:rsidR="00013882">
        <w:rPr>
          <w:rFonts w:ascii="Times New Roman" w:hAnsi="Times New Roman"/>
          <w:noProof/>
          <w:sz w:val="24"/>
          <w:szCs w:val="24"/>
        </w:rPr>
        <w:t>'</w:t>
      </w:r>
      <w:r w:rsidRPr="00827F42">
        <w:rPr>
          <w:rFonts w:ascii="Times New Roman" w:hAnsi="Times New Roman"/>
          <w:noProof/>
          <w:sz w:val="24"/>
          <w:szCs w:val="24"/>
        </w:rPr>
        <w:t>ambito del semestre europeo e promuovere la transizione verde e digitale; questi finanziamenti contribuiranno alla resilienza a livello di sistema.</w:t>
      </w:r>
      <w:r w:rsidRPr="00827F42">
        <w:rPr>
          <w:rFonts w:ascii="Times New Roman" w:hAnsi="Times New Roman"/>
          <w:noProof/>
          <w:color w:val="000000" w:themeColor="text1"/>
          <w:sz w:val="24"/>
          <w:szCs w:val="24"/>
        </w:rPr>
        <w:t xml:space="preserve"> </w:t>
      </w:r>
    </w:p>
    <w:p w14:paraId="1298A6D6" w14:textId="77EC68B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Sono stati inoltre messi a punto nuovi modelli di collaborazione, anche attraverso le alleanze industriali</w:t>
      </w:r>
      <w:r>
        <w:rPr>
          <w:rStyle w:val="FootnoteReference"/>
          <w:rFonts w:ascii="Times New Roman" w:hAnsi="Times New Roman" w:cs="Times New Roman"/>
          <w:noProof/>
          <w:color w:val="000000" w:themeColor="text1"/>
          <w:sz w:val="24"/>
        </w:rPr>
        <w:footnoteReference w:id="69"/>
      </w:r>
      <w:r>
        <w:rPr>
          <w:rFonts w:ascii="Times New Roman" w:hAnsi="Times New Roman"/>
          <w:noProof/>
          <w:color w:val="000000" w:themeColor="text1"/>
          <w:sz w:val="24"/>
        </w:rPr>
        <w:t>, cui partecipano un</w:t>
      </w:r>
      <w:r w:rsidR="00013882">
        <w:rPr>
          <w:rFonts w:ascii="Times New Roman" w:hAnsi="Times New Roman"/>
          <w:noProof/>
          <w:color w:val="000000" w:themeColor="text1"/>
          <w:sz w:val="24"/>
        </w:rPr>
        <w:t>'</w:t>
      </w:r>
      <w:r>
        <w:rPr>
          <w:rFonts w:ascii="Times New Roman" w:hAnsi="Times New Roman"/>
          <w:noProof/>
          <w:color w:val="000000" w:themeColor="text1"/>
          <w:sz w:val="24"/>
        </w:rPr>
        <w:t>ampia gamma di partner di una determinata industria o catena del valore, inclusi i portatori di interessi del settore pubblico e privato, e gli importanti progetti di comune interesse europeo (IPCEI)</w:t>
      </w:r>
      <w:r>
        <w:rPr>
          <w:rStyle w:val="FootnoteReference"/>
          <w:rFonts w:ascii="Times New Roman" w:hAnsi="Times New Roman" w:cs="Times New Roman"/>
          <w:noProof/>
          <w:color w:val="000000" w:themeColor="text1"/>
          <w:szCs w:val="24"/>
        </w:rPr>
        <w:footnoteReference w:id="70"/>
      </w:r>
      <w:r>
        <w:rPr>
          <w:rFonts w:ascii="Times New Roman" w:hAnsi="Times New Roman"/>
          <w:noProof/>
          <w:color w:val="000000" w:themeColor="text1"/>
          <w:sz w:val="24"/>
        </w:rPr>
        <w:t>, che consentono la commercializzazione di innovazioni pionieristiche in grado di integrare gli sforzi profusi da vari Stati membri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per sostenere la strategia industriale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settori quali 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rinnovabile e a basse emissioni di carbonio e la microelettronica. Inoltre, la rete dei poli europei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digitale sosterrà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digitale nelle PMI e nelle pubbliche amministrazioni nell</w:t>
      </w:r>
      <w:r w:rsidR="00013882">
        <w:rPr>
          <w:rFonts w:ascii="Times New Roman" w:hAnsi="Times New Roman"/>
          <w:noProof/>
          <w:color w:val="000000" w:themeColor="text1"/>
          <w:sz w:val="24"/>
        </w:rPr>
        <w:t>'</w:t>
      </w:r>
      <w:r>
        <w:rPr>
          <w:rFonts w:ascii="Times New Roman" w:hAnsi="Times New Roman"/>
          <w:noProof/>
          <w:color w:val="000000" w:themeColor="text1"/>
          <w:sz w:val="24"/>
        </w:rPr>
        <w:t>insieme delle regioni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integrando le strategie di digitalizzazione nazionali e regionali, al fine di aiutare le imprese a innovare e a diventare più competitive utilizzando le tecnologie digitali.</w:t>
      </w:r>
    </w:p>
    <w:p w14:paraId="7F0D937A" w14:textId="3E5C3B39" w:rsidR="004E7C92" w:rsidRPr="00782585" w:rsidRDefault="004E7C92" w:rsidP="00782585">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Nonostante questi sforzi, le disparità regionali nei risultati della ricerca e dell</w:t>
      </w:r>
      <w:r w:rsidR="00013882">
        <w:rPr>
          <w:rFonts w:ascii="Times New Roman" w:hAnsi="Times New Roman"/>
          <w:noProof/>
          <w:color w:val="000000"/>
          <w:sz w:val="24"/>
        </w:rPr>
        <w:t>'</w:t>
      </w:r>
      <w:r>
        <w:rPr>
          <w:rFonts w:ascii="Times New Roman" w:hAnsi="Times New Roman"/>
          <w:noProof/>
          <w:color w:val="000000"/>
          <w:sz w:val="24"/>
        </w:rPr>
        <w:t>innovazione rimangono significative in tutta l</w:t>
      </w:r>
      <w:r w:rsidR="00013882">
        <w:rPr>
          <w:rFonts w:ascii="Times New Roman" w:hAnsi="Times New Roman"/>
          <w:noProof/>
          <w:color w:val="000000"/>
          <w:sz w:val="24"/>
        </w:rPr>
        <w:t>'</w:t>
      </w:r>
      <w:r>
        <w:rPr>
          <w:rFonts w:ascii="Times New Roman" w:hAnsi="Times New Roman"/>
          <w:noProof/>
          <w:color w:val="000000"/>
          <w:sz w:val="24"/>
        </w:rPr>
        <w:t xml:space="preserve">UE e questo divario in termini di innovazione è in aumento. </w:t>
      </w:r>
      <w:r>
        <w:rPr>
          <w:rFonts w:ascii="Times New Roman" w:hAnsi="Times New Roman"/>
          <w:noProof/>
          <w:sz w:val="24"/>
        </w:rPr>
        <w:t>La diffusione delle innovazioni e l</w:t>
      </w:r>
      <w:r w:rsidR="00013882">
        <w:rPr>
          <w:rFonts w:ascii="Times New Roman" w:hAnsi="Times New Roman"/>
          <w:noProof/>
          <w:sz w:val="24"/>
        </w:rPr>
        <w:t>'</w:t>
      </w:r>
      <w:r>
        <w:rPr>
          <w:rFonts w:ascii="Times New Roman" w:hAnsi="Times New Roman"/>
          <w:noProof/>
          <w:sz w:val="24"/>
        </w:rPr>
        <w:t>adozione di tecnologie pionieristiche, anche attraverso collegamenti interregionali, rimangono subottimali e anche negli ecosistemi regionali dell</w:t>
      </w:r>
      <w:r w:rsidR="00013882">
        <w:rPr>
          <w:rFonts w:ascii="Times New Roman" w:hAnsi="Times New Roman"/>
          <w:noProof/>
          <w:sz w:val="24"/>
        </w:rPr>
        <w:t>'</w:t>
      </w:r>
      <w:r>
        <w:rPr>
          <w:rFonts w:ascii="Times New Roman" w:hAnsi="Times New Roman"/>
          <w:noProof/>
          <w:sz w:val="24"/>
        </w:rPr>
        <w:t>innovazione, spesso incentrati sulle organizzazioni incaricate dell</w:t>
      </w:r>
      <w:r w:rsidR="00013882">
        <w:rPr>
          <w:rFonts w:ascii="Times New Roman" w:hAnsi="Times New Roman"/>
          <w:noProof/>
          <w:sz w:val="24"/>
        </w:rPr>
        <w:t>'</w:t>
      </w:r>
      <w:r>
        <w:rPr>
          <w:rFonts w:ascii="Times New Roman" w:hAnsi="Times New Roman"/>
          <w:noProof/>
          <w:sz w:val="24"/>
        </w:rPr>
        <w:t>istruzione superiore, della ricerca o della formazione, esistono potenzialità non sfruttate.</w:t>
      </w:r>
      <w:r>
        <w:rPr>
          <w:rFonts w:ascii="Times New Roman" w:hAnsi="Times New Roman"/>
          <w:noProof/>
          <w:color w:val="000000" w:themeColor="text1"/>
          <w:sz w:val="24"/>
        </w:rPr>
        <w:t xml:space="preserve"> </w:t>
      </w:r>
      <w:r>
        <w:rPr>
          <w:rFonts w:ascii="Times New Roman" w:hAnsi="Times New Roman"/>
          <w:noProof/>
          <w:sz w:val="24"/>
        </w:rPr>
        <w:t>Questi ecosistemi possono contribuire</w:t>
      </w:r>
      <w:r>
        <w:rPr>
          <w:rStyle w:val="FootnoteReference"/>
          <w:rFonts w:ascii="Times New Roman" w:hAnsi="Times New Roman" w:cs="Times New Roman"/>
          <w:noProof/>
          <w:color w:val="000000" w:themeColor="text1"/>
        </w:rPr>
        <w:footnoteReference w:id="71"/>
      </w:r>
      <w:r>
        <w:rPr>
          <w:rFonts w:ascii="Times New Roman" w:hAnsi="Times New Roman"/>
          <w:noProof/>
          <w:sz w:val="24"/>
        </w:rPr>
        <w:t xml:space="preserve"> ai settori industriali e alle catene del valore globali, ma attualmente non dispongono di incentivi, esperienze e risorse sufficienti per impegnarsi più attivamente, in particolare nelle regioni meno sviluppate.</w:t>
      </w:r>
    </w:p>
    <w:p w14:paraId="4852223F" w14:textId="06B9C8C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Queste carenze in termini di innovazione, che si traducono in una riduzione della crescita economica, della connettività e del reddito, unitamente all</w:t>
      </w:r>
      <w:r w:rsidR="00013882">
        <w:rPr>
          <w:rFonts w:ascii="Times New Roman" w:hAnsi="Times New Roman"/>
          <w:noProof/>
          <w:color w:val="000000" w:themeColor="text1"/>
          <w:sz w:val="24"/>
        </w:rPr>
        <w:t>'</w:t>
      </w:r>
      <w:r>
        <w:rPr>
          <w:rFonts w:ascii="Times New Roman" w:hAnsi="Times New Roman"/>
          <w:noProof/>
          <w:color w:val="000000" w:themeColor="text1"/>
          <w:sz w:val="24"/>
        </w:rPr>
        <w:t>aumento delle disuguaglianze, indeboliscono le prestazioni dell</w:t>
      </w:r>
      <w:r w:rsidR="00013882">
        <w:rPr>
          <w:rFonts w:ascii="Times New Roman" w:hAnsi="Times New Roman"/>
          <w:noProof/>
          <w:color w:val="000000" w:themeColor="text1"/>
          <w:sz w:val="24"/>
        </w:rPr>
        <w:t>'</w:t>
      </w:r>
      <w:r>
        <w:rPr>
          <w:rFonts w:ascii="Times New Roman" w:hAnsi="Times New Roman"/>
          <w:noProof/>
          <w:color w:val="000000" w:themeColor="text1"/>
          <w:sz w:val="24"/>
        </w:rPr>
        <w:t>ecosistema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nel suo complesso e ostacolano la coesione nell</w:t>
      </w:r>
      <w:r w:rsidR="00013882">
        <w:rPr>
          <w:rFonts w:ascii="Times New Roman" w:hAnsi="Times New Roman"/>
          <w:noProof/>
          <w:color w:val="000000" w:themeColor="text1"/>
          <w:sz w:val="24"/>
        </w:rPr>
        <w:t>'</w:t>
      </w:r>
      <w:r>
        <w:rPr>
          <w:rFonts w:ascii="Times New Roman" w:hAnsi="Times New Roman"/>
          <w:noProof/>
          <w:color w:val="000000" w:themeColor="text1"/>
          <w:sz w:val="24"/>
        </w:rPr>
        <w:t>insieme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w:t>
      </w:r>
    </w:p>
    <w:p w14:paraId="00254A13" w14:textId="6B0DC9BF" w:rsidR="008813AA" w:rsidRPr="00125908" w:rsidRDefault="008813AA" w:rsidP="00782585">
      <w:pPr>
        <w:spacing w:line="240" w:lineRule="auto"/>
        <w:jc w:val="both"/>
        <w:rPr>
          <w:rFonts w:ascii="Times New Roman" w:hAnsi="Times New Roman" w:cs="Times New Roman"/>
          <w:noProof/>
          <w:color w:val="000000" w:themeColor="text1"/>
          <w:sz w:val="24"/>
        </w:rPr>
      </w:pPr>
    </w:p>
    <w:p w14:paraId="5F35DC15" w14:textId="6E29E86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2.3.2 Iniziativa faro - Accelerare e rafforzare 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innovazione negli ecosistemi europei dell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innovazione nell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insieme dell</w:t>
      </w:r>
      <w:r w:rsidR="00013882">
        <w:rPr>
          <w:rFonts w:ascii="Times New Roman" w:hAnsi="Times New Roman"/>
          <w:b/>
          <w:i/>
          <w:noProof/>
          <w:color w:val="000000" w:themeColor="text1"/>
          <w:sz w:val="24"/>
        </w:rPr>
        <w:t>'</w:t>
      </w:r>
      <w:r>
        <w:rPr>
          <w:rFonts w:ascii="Times New Roman" w:hAnsi="Times New Roman"/>
          <w:b/>
          <w:i/>
          <w:noProof/>
          <w:color w:val="000000" w:themeColor="text1"/>
          <w:sz w:val="24"/>
        </w:rPr>
        <w:t>UE e ridurre il divario in termini di innovazione</w:t>
      </w:r>
    </w:p>
    <w:p w14:paraId="3048EADF" w14:textId="1C6401F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Questa iniziativa faro mira ad accelerare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e a sbloccare l</w:t>
      </w:r>
      <w:r w:rsidR="00013882">
        <w:rPr>
          <w:rFonts w:ascii="Times New Roman" w:hAnsi="Times New Roman"/>
          <w:noProof/>
          <w:color w:val="000000" w:themeColor="text1"/>
          <w:sz w:val="24"/>
        </w:rPr>
        <w:t>'</w:t>
      </w:r>
      <w:r>
        <w:rPr>
          <w:rFonts w:ascii="Times New Roman" w:hAnsi="Times New Roman"/>
          <w:noProof/>
          <w:color w:val="000000" w:themeColor="text1"/>
          <w:sz w:val="24"/>
        </w:rPr>
        <w:t>eccellenza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 ricorrendo a vari strumenti. Si incentra sulla creazione delle condizioni adeguate per la nascita di valli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interconnesse nell</w:t>
      </w:r>
      <w:r w:rsidR="00013882">
        <w:rPr>
          <w:rFonts w:ascii="Times New Roman" w:hAnsi="Times New Roman"/>
          <w:noProof/>
          <w:color w:val="000000" w:themeColor="text1"/>
          <w:sz w:val="24"/>
        </w:rPr>
        <w:t>'</w:t>
      </w:r>
      <w:r>
        <w:rPr>
          <w:rFonts w:ascii="Times New Roman" w:hAnsi="Times New Roman"/>
          <w:noProof/>
          <w:color w:val="000000" w:themeColor="text1"/>
          <w:sz w:val="24"/>
        </w:rPr>
        <w:t>intero territorio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particolare coinvolgendo le regioni meno efficienti in termini di innovazione, fondandosi su settori strategici di eccellenza e specializzazione regionale, a sostegno delle principali priorità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w:t>
      </w:r>
    </w:p>
    <w:p w14:paraId="78672D4C" w14:textId="476BF737" w:rsidR="008D2948" w:rsidRPr="003E2D46" w:rsidRDefault="008D2948" w:rsidP="00782585">
      <w:pPr>
        <w:spacing w:line="240" w:lineRule="auto"/>
        <w:jc w:val="both"/>
        <w:rPr>
          <w:rFonts w:ascii="Times New Roman" w:hAnsi="Times New Roman" w:cs="Times New Roman"/>
          <w:i/>
          <w:noProof/>
          <w:color w:val="000000" w:themeColor="text1"/>
          <w:sz w:val="24"/>
          <w:szCs w:val="24"/>
        </w:rPr>
      </w:pPr>
      <w:bookmarkStart w:id="19" w:name="_Hlk105307295"/>
      <w:r w:rsidRPr="003E2D46">
        <w:rPr>
          <w:rFonts w:ascii="Times New Roman" w:hAnsi="Times New Roman"/>
          <w:i/>
          <w:noProof/>
          <w:sz w:val="24"/>
          <w:szCs w:val="24"/>
        </w:rPr>
        <w:t>Promozione di valli regionali dell</w:t>
      </w:r>
      <w:r w:rsidR="00013882">
        <w:rPr>
          <w:rFonts w:ascii="Times New Roman" w:hAnsi="Times New Roman"/>
          <w:i/>
          <w:noProof/>
          <w:sz w:val="24"/>
          <w:szCs w:val="24"/>
        </w:rPr>
        <w:t>'</w:t>
      </w:r>
      <w:r w:rsidRPr="003E2D46">
        <w:rPr>
          <w:rFonts w:ascii="Times New Roman" w:hAnsi="Times New Roman"/>
          <w:i/>
          <w:noProof/>
          <w:sz w:val="24"/>
          <w:szCs w:val="24"/>
        </w:rPr>
        <w:t>innovazione deep tech interconnesse in tutta l</w:t>
      </w:r>
      <w:r w:rsidR="00013882">
        <w:rPr>
          <w:rFonts w:ascii="Times New Roman" w:hAnsi="Times New Roman"/>
          <w:i/>
          <w:noProof/>
          <w:sz w:val="24"/>
          <w:szCs w:val="24"/>
        </w:rPr>
        <w:t>'</w:t>
      </w:r>
      <w:r w:rsidRPr="003E2D46">
        <w:rPr>
          <w:rFonts w:ascii="Times New Roman" w:hAnsi="Times New Roman"/>
          <w:i/>
          <w:noProof/>
          <w:sz w:val="24"/>
          <w:szCs w:val="24"/>
        </w:rPr>
        <w:t>UE</w:t>
      </w:r>
      <w:r w:rsidRPr="003E2D46">
        <w:rPr>
          <w:rFonts w:ascii="Times New Roman" w:hAnsi="Times New Roman"/>
          <w:i/>
          <w:noProof/>
          <w:color w:val="000000" w:themeColor="text1"/>
          <w:sz w:val="24"/>
          <w:szCs w:val="24"/>
        </w:rPr>
        <w:t xml:space="preserve"> </w:t>
      </w:r>
    </w:p>
    <w:p w14:paraId="2941B6F8" w14:textId="393BEB94" w:rsidR="00003FEE" w:rsidRPr="00782585" w:rsidRDefault="00003FEE"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Questa iniziativa mirerà a rafforzare gli ecosistemi dell</w:t>
      </w:r>
      <w:r w:rsidR="00013882">
        <w:rPr>
          <w:rFonts w:ascii="Times New Roman" w:hAnsi="Times New Roman"/>
          <w:noProof/>
          <w:sz w:val="24"/>
        </w:rPr>
        <w:t>'</w:t>
      </w:r>
      <w:r>
        <w:rPr>
          <w:rFonts w:ascii="Times New Roman" w:hAnsi="Times New Roman"/>
          <w:noProof/>
          <w:sz w:val="24"/>
        </w:rPr>
        <w:t>innovazione in tutta l</w:t>
      </w:r>
      <w:r w:rsidR="00013882">
        <w:rPr>
          <w:rFonts w:ascii="Times New Roman" w:hAnsi="Times New Roman"/>
          <w:noProof/>
          <w:sz w:val="24"/>
        </w:rPr>
        <w:t>'</w:t>
      </w:r>
      <w:r>
        <w:rPr>
          <w:rFonts w:ascii="Times New Roman" w:hAnsi="Times New Roman"/>
          <w:noProof/>
          <w:sz w:val="24"/>
        </w:rPr>
        <w:t>UE, accelerando lo sviluppo e la diffusione dell</w:t>
      </w:r>
      <w:r w:rsidR="00013882">
        <w:rPr>
          <w:rFonts w:ascii="Times New Roman" w:hAnsi="Times New Roman"/>
          <w:noProof/>
          <w:sz w:val="24"/>
        </w:rPr>
        <w:t>'</w:t>
      </w:r>
      <w:r>
        <w:rPr>
          <w:rFonts w:ascii="Times New Roman" w:hAnsi="Times New Roman"/>
          <w:noProof/>
          <w:sz w:val="24"/>
        </w:rPr>
        <w:t>innovazione, ivi compresa l</w:t>
      </w:r>
      <w:r w:rsidR="00013882">
        <w:rPr>
          <w:rFonts w:ascii="Times New Roman" w:hAnsi="Times New Roman"/>
          <w:noProof/>
          <w:sz w:val="24"/>
        </w:rPr>
        <w:t>'</w:t>
      </w:r>
      <w:r>
        <w:rPr>
          <w:rFonts w:ascii="Times New Roman" w:hAnsi="Times New Roman"/>
          <w:noProof/>
          <w:sz w:val="24"/>
        </w:rPr>
        <w:t>innovazione ad eleva</w:t>
      </w:r>
      <w:r w:rsidR="007E6397">
        <w:rPr>
          <w:rFonts w:ascii="Times New Roman" w:hAnsi="Times New Roman"/>
          <w:noProof/>
          <w:sz w:val="24"/>
        </w:rPr>
        <w:t xml:space="preserve">tissimo contenuto tecnologico. </w:t>
      </w:r>
      <w:r>
        <w:rPr>
          <w:rFonts w:ascii="Times New Roman" w:hAnsi="Times New Roman"/>
          <w:noProof/>
          <w:sz w:val="24"/>
        </w:rPr>
        <w:t>Riunirà regioni meno innovative e più innovative al fine di affrontare le sfide più pressanti cui l</w:t>
      </w:r>
      <w:r w:rsidR="00013882">
        <w:rPr>
          <w:rFonts w:ascii="Times New Roman" w:hAnsi="Times New Roman"/>
          <w:noProof/>
          <w:sz w:val="24"/>
        </w:rPr>
        <w:t>'</w:t>
      </w:r>
      <w:r>
        <w:rPr>
          <w:rFonts w:ascii="Times New Roman" w:hAnsi="Times New Roman"/>
          <w:noProof/>
          <w:sz w:val="24"/>
        </w:rPr>
        <w:t>UE è chiamata a rispondere, vale a dire la riduzione della dipendenza dai combustibili fossili, il rafforzamento della sicurezza alimentare, la gestione della trasformazione digitale (compresa la cibersicurezza), il miglioramento dell</w:t>
      </w:r>
      <w:r w:rsidR="00013882">
        <w:rPr>
          <w:rFonts w:ascii="Times New Roman" w:hAnsi="Times New Roman"/>
          <w:noProof/>
          <w:sz w:val="24"/>
        </w:rPr>
        <w:t>'</w:t>
      </w:r>
      <w:r>
        <w:rPr>
          <w:rFonts w:ascii="Times New Roman" w:hAnsi="Times New Roman"/>
          <w:noProof/>
          <w:sz w:val="24"/>
        </w:rPr>
        <w:t xml:space="preserve">assistenza sanitaria e il conseguimento della circolarità. </w:t>
      </w:r>
    </w:p>
    <w:p w14:paraId="509CFB03" w14:textId="59FF3EC9" w:rsidR="0062666C" w:rsidRPr="00782585" w:rsidRDefault="00BC513A"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Questa iniziativa sarà varata entro la fine del 2023 e individuerà fino a 100 regioni che si sono impegnate a migliorare il coordinamento e la direzionalità dei loro investimenti e delle loro politiche di R&amp;I a livello regionale. Si prevede che queste regioni daranno priorità a 3-4 </w:t>
      </w:r>
      <w:r>
        <w:rPr>
          <w:rFonts w:ascii="Times New Roman" w:hAnsi="Times New Roman"/>
          <w:b/>
          <w:noProof/>
          <w:sz w:val="24"/>
        </w:rPr>
        <w:t>progetti interregionali di innovazione</w:t>
      </w:r>
      <w:r>
        <w:rPr>
          <w:rFonts w:ascii="Times New Roman" w:hAnsi="Times New Roman"/>
          <w:noProof/>
          <w:sz w:val="24"/>
        </w:rPr>
        <w:t>, anche in materia di innovazione deep tech, collegati alle principali priorità dell</w:t>
      </w:r>
      <w:r w:rsidR="00013882">
        <w:rPr>
          <w:rFonts w:ascii="Times New Roman" w:hAnsi="Times New Roman"/>
          <w:noProof/>
          <w:sz w:val="24"/>
        </w:rPr>
        <w:t>'</w:t>
      </w:r>
      <w:r>
        <w:rPr>
          <w:rFonts w:ascii="Times New Roman" w:hAnsi="Times New Roman"/>
          <w:noProof/>
          <w:sz w:val="24"/>
        </w:rPr>
        <w:t>UE.</w:t>
      </w:r>
      <w:r>
        <w:rPr>
          <w:rFonts w:ascii="Times New Roman" w:hAnsi="Times New Roman"/>
          <w:noProof/>
          <w:color w:val="000000" w:themeColor="text1"/>
          <w:sz w:val="24"/>
        </w:rPr>
        <w:t xml:space="preserve"> </w:t>
      </w:r>
      <w:r>
        <w:rPr>
          <w:rFonts w:ascii="Times New Roman" w:hAnsi="Times New Roman"/>
          <w:noProof/>
          <w:sz w:val="24"/>
        </w:rPr>
        <w:t>L</w:t>
      </w:r>
      <w:r w:rsidR="00013882">
        <w:rPr>
          <w:rFonts w:ascii="Times New Roman" w:hAnsi="Times New Roman"/>
          <w:noProof/>
          <w:sz w:val="24"/>
        </w:rPr>
        <w:t>'</w:t>
      </w:r>
      <w:r>
        <w:rPr>
          <w:rFonts w:ascii="Times New Roman" w:hAnsi="Times New Roman"/>
          <w:noProof/>
          <w:sz w:val="24"/>
        </w:rPr>
        <w:t>iniziativa si baserà sulle</w:t>
      </w:r>
      <w:r>
        <w:rPr>
          <w:rFonts w:ascii="Times New Roman" w:hAnsi="Times New Roman"/>
          <w:b/>
          <w:noProof/>
          <w:sz w:val="24"/>
        </w:rPr>
        <w:t xml:space="preserve"> strategie di specializzazione intelligente</w:t>
      </w:r>
      <w:r>
        <w:rPr>
          <w:rFonts w:ascii="Times New Roman" w:hAnsi="Times New Roman"/>
          <w:noProof/>
          <w:sz w:val="24"/>
        </w:rPr>
        <w:t xml:space="preserve"> e, se del caso, sulla partecipazione ai partenariati per l</w:t>
      </w:r>
      <w:r w:rsidR="00013882">
        <w:rPr>
          <w:rFonts w:ascii="Times New Roman" w:hAnsi="Times New Roman"/>
          <w:noProof/>
          <w:sz w:val="24"/>
        </w:rPr>
        <w:t>'</w:t>
      </w:r>
      <w:r>
        <w:rPr>
          <w:rFonts w:ascii="Times New Roman" w:hAnsi="Times New Roman"/>
          <w:noProof/>
          <w:sz w:val="24"/>
        </w:rPr>
        <w:t>innovazione regionale (PRI)</w:t>
      </w:r>
      <w:r>
        <w:rPr>
          <w:rStyle w:val="FootnoteReference"/>
          <w:rFonts w:ascii="Times New Roman" w:hAnsi="Times New Roman" w:cs="Times New Roman"/>
          <w:noProof/>
          <w:sz w:val="24"/>
          <w:szCs w:val="24"/>
        </w:rPr>
        <w:footnoteReference w:id="72"/>
      </w:r>
      <w:r>
        <w:rPr>
          <w:rFonts w:ascii="Times New Roman" w:hAnsi="Times New Roman"/>
          <w:noProof/>
          <w:sz w:val="24"/>
        </w:rPr>
        <w:t>, un progetto pilota che coinvolge 74 territori dell</w:t>
      </w:r>
      <w:r w:rsidR="00013882">
        <w:rPr>
          <w:rFonts w:ascii="Times New Roman" w:hAnsi="Times New Roman"/>
          <w:noProof/>
          <w:sz w:val="24"/>
        </w:rPr>
        <w:t>'</w:t>
      </w:r>
      <w:r>
        <w:rPr>
          <w:rFonts w:ascii="Times New Roman" w:hAnsi="Times New Roman"/>
          <w:noProof/>
          <w:sz w:val="24"/>
        </w:rPr>
        <w:t>UE (tra cui 63 regioni - NUTS2) varato dalla Commissione europea e dal Comitato europeo delle regioni nell</w:t>
      </w:r>
      <w:r w:rsidR="00013882">
        <w:rPr>
          <w:rFonts w:ascii="Times New Roman" w:hAnsi="Times New Roman"/>
          <w:noProof/>
          <w:sz w:val="24"/>
        </w:rPr>
        <w:t>'</w:t>
      </w:r>
      <w:r>
        <w:rPr>
          <w:rFonts w:ascii="Times New Roman" w:hAnsi="Times New Roman"/>
          <w:noProof/>
          <w:sz w:val="24"/>
        </w:rPr>
        <w:t xml:space="preserve">aprile 2022. </w:t>
      </w:r>
    </w:p>
    <w:p w14:paraId="6ACF9DB1" w14:textId="134CCAB0" w:rsidR="00F437C2" w:rsidRPr="00782585" w:rsidRDefault="004E7C92" w:rsidP="00782585">
      <w:pPr>
        <w:spacing w:after="120" w:line="240" w:lineRule="auto"/>
        <w:jc w:val="both"/>
        <w:rPr>
          <w:rFonts w:ascii="Times New Roman" w:hAnsi="Times New Roman" w:cs="Times New Roman"/>
          <w:noProof/>
          <w:sz w:val="24"/>
          <w:szCs w:val="24"/>
        </w:rPr>
      </w:pPr>
      <w:bookmarkStart w:id="20" w:name="_Hlk107388489"/>
      <w:r>
        <w:rPr>
          <w:rFonts w:ascii="Times New Roman" w:hAnsi="Times New Roman"/>
          <w:noProof/>
          <w:sz w:val="24"/>
        </w:rPr>
        <w:t>Al fine di trarre vantaggio da tali investimenti e massimizzarne l</w:t>
      </w:r>
      <w:r w:rsidR="00013882">
        <w:rPr>
          <w:rFonts w:ascii="Times New Roman" w:hAnsi="Times New Roman"/>
          <w:noProof/>
          <w:sz w:val="24"/>
        </w:rPr>
        <w:t>'</w:t>
      </w:r>
      <w:r>
        <w:rPr>
          <w:rFonts w:ascii="Times New Roman" w:hAnsi="Times New Roman"/>
          <w:noProof/>
          <w:sz w:val="24"/>
        </w:rPr>
        <w:t>impatto, la Commissione sosterrà le iniziative che intendono fare della diversità dei territori dell</w:t>
      </w:r>
      <w:r w:rsidR="00013882">
        <w:rPr>
          <w:rFonts w:ascii="Times New Roman" w:hAnsi="Times New Roman"/>
          <w:noProof/>
          <w:sz w:val="24"/>
        </w:rPr>
        <w:t>'</w:t>
      </w:r>
      <w:r>
        <w:rPr>
          <w:rFonts w:ascii="Times New Roman" w:hAnsi="Times New Roman"/>
          <w:noProof/>
          <w:sz w:val="24"/>
        </w:rPr>
        <w:t>UE un punto di forza, mobilitando le risorse specifiche di ciascuna regione e agevolando la collaborazione per costruire nuove catene del valore dell</w:t>
      </w:r>
      <w:r w:rsidR="00013882">
        <w:rPr>
          <w:rFonts w:ascii="Times New Roman" w:hAnsi="Times New Roman"/>
          <w:noProof/>
          <w:sz w:val="24"/>
        </w:rPr>
        <w:t>'</w:t>
      </w:r>
      <w:r>
        <w:rPr>
          <w:rFonts w:ascii="Times New Roman" w:hAnsi="Times New Roman"/>
          <w:noProof/>
          <w:sz w:val="24"/>
        </w:rPr>
        <w:t>UE. Ciò consentirà alle regioni con settori di specializzazione allineati e capacità complementari, nonché livelli di prestazioni diversi in materia di innovazione, di collaborare e portare avanti progetti di innovazione congiunti incentrati sulle priorità dell</w:t>
      </w:r>
      <w:r w:rsidR="00013882">
        <w:rPr>
          <w:rFonts w:ascii="Times New Roman" w:hAnsi="Times New Roman"/>
          <w:noProof/>
          <w:sz w:val="24"/>
        </w:rPr>
        <w:t>'</w:t>
      </w:r>
      <w:r>
        <w:rPr>
          <w:rFonts w:ascii="Times New Roman" w:hAnsi="Times New Roman"/>
          <w:noProof/>
          <w:sz w:val="24"/>
        </w:rPr>
        <w:t xml:space="preserve">UE. </w:t>
      </w:r>
    </w:p>
    <w:p w14:paraId="415654C7" w14:textId="334975CB" w:rsidR="004E7C92" w:rsidRPr="00782585" w:rsidRDefault="004E7C92"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Con un finanziamento di 100 milioni di EUR da Orizzonte Europa e di 70 milioni di EUR dallo strumento per gli investimenti interregionali in materia di innovazione (I3), nell</w:t>
      </w:r>
      <w:r w:rsidR="00013882">
        <w:rPr>
          <w:rFonts w:ascii="Times New Roman" w:hAnsi="Times New Roman"/>
          <w:noProof/>
          <w:sz w:val="24"/>
        </w:rPr>
        <w:t>'</w:t>
      </w:r>
      <w:r>
        <w:rPr>
          <w:rFonts w:ascii="Times New Roman" w:hAnsi="Times New Roman"/>
          <w:noProof/>
          <w:sz w:val="24"/>
        </w:rPr>
        <w:t>ambito del FESR, si sosterranno le attività di collaborazione interregionale che prevedono la collaborazione almeno tra una regione meno innovativa e una più innovativa. Le azioni sostenute potrebbero comprendere la diffusione sul mercato dei risultati della ricerca, il sostegno alle imprese per sviluppare le loro idee, nonché la diffusione e la dimostrazione di tecnologie deep tech in ambienti reali e con gli utenti finali, l</w:t>
      </w:r>
      <w:r w:rsidR="00013882">
        <w:rPr>
          <w:rFonts w:ascii="Times New Roman" w:hAnsi="Times New Roman"/>
          <w:noProof/>
          <w:sz w:val="24"/>
        </w:rPr>
        <w:t>'</w:t>
      </w:r>
      <w:r>
        <w:rPr>
          <w:rFonts w:ascii="Times New Roman" w:hAnsi="Times New Roman"/>
          <w:noProof/>
          <w:sz w:val="24"/>
        </w:rPr>
        <w:t>accesso alle infrastrutture e alle competenze transfrontaliere, lo scambio di personale, la formazione e lo sviluppo di competenze e l</w:t>
      </w:r>
      <w:r w:rsidR="00013882">
        <w:rPr>
          <w:rFonts w:ascii="Times New Roman" w:hAnsi="Times New Roman"/>
          <w:noProof/>
          <w:sz w:val="24"/>
        </w:rPr>
        <w:t>'</w:t>
      </w:r>
      <w:r>
        <w:rPr>
          <w:rFonts w:ascii="Times New Roman" w:hAnsi="Times New Roman"/>
          <w:noProof/>
          <w:sz w:val="24"/>
        </w:rPr>
        <w:t>elaborazione di norme e regolamentazioni mediante gli spazi di sperimentazione e i banchi di prova. Anche le regioni selezionate nell</w:t>
      </w:r>
      <w:r w:rsidR="00013882">
        <w:rPr>
          <w:rFonts w:ascii="Times New Roman" w:hAnsi="Times New Roman"/>
          <w:noProof/>
          <w:sz w:val="24"/>
        </w:rPr>
        <w:t>'</w:t>
      </w:r>
      <w:r>
        <w:rPr>
          <w:rFonts w:ascii="Times New Roman" w:hAnsi="Times New Roman"/>
          <w:noProof/>
          <w:sz w:val="24"/>
        </w:rPr>
        <w:t xml:space="preserve">ambito degli inviti congiunti del programma Orizzonte e dello strumento per gli investimenti interregionali in materia di innovazione (I3) saranno riconosciute come </w:t>
      </w:r>
      <w:r w:rsidR="00013882">
        <w:rPr>
          <w:rFonts w:ascii="Times New Roman" w:hAnsi="Times New Roman"/>
          <w:noProof/>
          <w:sz w:val="24"/>
        </w:rPr>
        <w:t>"</w:t>
      </w:r>
      <w:r>
        <w:rPr>
          <w:rFonts w:ascii="Times New Roman" w:hAnsi="Times New Roman"/>
          <w:b/>
          <w:noProof/>
          <w:sz w:val="24"/>
        </w:rPr>
        <w:t>valli regionali dell</w:t>
      </w:r>
      <w:r w:rsidR="00013882">
        <w:rPr>
          <w:rFonts w:ascii="Times New Roman" w:hAnsi="Times New Roman"/>
          <w:b/>
          <w:noProof/>
          <w:sz w:val="24"/>
        </w:rPr>
        <w:t>'</w:t>
      </w:r>
      <w:r>
        <w:rPr>
          <w:rFonts w:ascii="Times New Roman" w:hAnsi="Times New Roman"/>
          <w:b/>
          <w:noProof/>
          <w:sz w:val="24"/>
        </w:rPr>
        <w:t>innovazione</w:t>
      </w:r>
      <w:r w:rsidR="00013882">
        <w:rPr>
          <w:rFonts w:ascii="Times New Roman" w:hAnsi="Times New Roman"/>
          <w:noProof/>
          <w:sz w:val="24"/>
        </w:rPr>
        <w:t>"</w:t>
      </w:r>
      <w:r>
        <w:rPr>
          <w:rFonts w:ascii="Times New Roman" w:hAnsi="Times New Roman"/>
          <w:noProof/>
          <w:sz w:val="24"/>
        </w:rPr>
        <w:t>.</w:t>
      </w:r>
    </w:p>
    <w:p w14:paraId="789496A3" w14:textId="4EBB5FB2" w:rsidR="004F1766" w:rsidRDefault="004F1766" w:rsidP="00782585">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rPr>
        <w:t>Si prevede che le valli regionali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si avvarranno del sostegno messo a disposizione dai loro programmi FESR nazionali e regionali per massimizzare il loro contributo alle attività interregionali e trarne vantaggio. Si stima che almeno 10 miliardi di EUR messi a disposizione degli Stati membri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delle strategie di specializzazione intelligente saranno destinati all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regionale, compresa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deep tech, in relazione alle priorità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w:t>
      </w:r>
    </w:p>
    <w:p w14:paraId="3CCB2F6B" w14:textId="1CBDC06C" w:rsidR="008D2948" w:rsidRPr="00782585" w:rsidRDefault="005433F9"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Questa azione terrà conto degli sforzi in atto volti a rafforzare e collegare gli ecosistemi industriali e regionali di innovazione,</w:t>
      </w:r>
      <w:r>
        <w:rPr>
          <w:rFonts w:ascii="Times New Roman" w:hAnsi="Times New Roman"/>
          <w:noProof/>
          <w:color w:val="000000" w:themeColor="text1"/>
          <w:sz w:val="24"/>
        </w:rPr>
        <w:t xml:space="preserve"> </w:t>
      </w:r>
      <w:r>
        <w:rPr>
          <w:rFonts w:ascii="Times New Roman" w:hAnsi="Times New Roman"/>
          <w:noProof/>
          <w:sz w:val="24"/>
        </w:rPr>
        <w:t>in particolare: l</w:t>
      </w:r>
      <w:r w:rsidR="00013882">
        <w:rPr>
          <w:rFonts w:ascii="Times New Roman" w:hAnsi="Times New Roman"/>
          <w:noProof/>
          <w:sz w:val="24"/>
        </w:rPr>
        <w:t>'</w:t>
      </w:r>
      <w:r>
        <w:rPr>
          <w:rFonts w:ascii="Times New Roman" w:hAnsi="Times New Roman"/>
          <w:noProof/>
          <w:sz w:val="24"/>
        </w:rPr>
        <w:t>I3 nell</w:t>
      </w:r>
      <w:r w:rsidR="00013882">
        <w:rPr>
          <w:rFonts w:ascii="Times New Roman" w:hAnsi="Times New Roman"/>
          <w:noProof/>
          <w:sz w:val="24"/>
        </w:rPr>
        <w:t>'</w:t>
      </w:r>
      <w:r>
        <w:rPr>
          <w:rFonts w:ascii="Times New Roman" w:hAnsi="Times New Roman"/>
          <w:noProof/>
          <w:sz w:val="24"/>
        </w:rPr>
        <w:t>ambito della politica di coesione; gli Startup Villages</w:t>
      </w:r>
      <w:r>
        <w:rPr>
          <w:rStyle w:val="FootnoteReference"/>
          <w:rFonts w:ascii="Times New Roman" w:hAnsi="Times New Roman" w:cs="Times New Roman"/>
          <w:noProof/>
          <w:sz w:val="24"/>
          <w:szCs w:val="24"/>
        </w:rPr>
        <w:footnoteReference w:id="73"/>
      </w:r>
      <w:r>
        <w:rPr>
          <w:rFonts w:ascii="Times New Roman" w:hAnsi="Times New Roman"/>
          <w:noProof/>
          <w:sz w:val="24"/>
        </w:rPr>
        <w:t xml:space="preserve"> nell</w:t>
      </w:r>
      <w:r w:rsidR="00013882">
        <w:rPr>
          <w:rFonts w:ascii="Times New Roman" w:hAnsi="Times New Roman"/>
          <w:noProof/>
          <w:sz w:val="24"/>
        </w:rPr>
        <w:t>'</w:t>
      </w:r>
      <w:r>
        <w:rPr>
          <w:rFonts w:ascii="Times New Roman" w:hAnsi="Times New Roman"/>
          <w:noProof/>
          <w:sz w:val="24"/>
        </w:rPr>
        <w:t>ambito della visione a lungo termine per le zone rurali</w:t>
      </w:r>
      <w:r>
        <w:rPr>
          <w:rStyle w:val="FootnoteReference"/>
          <w:rFonts w:ascii="Times New Roman" w:hAnsi="Times New Roman" w:cs="Times New Roman"/>
          <w:noProof/>
        </w:rPr>
        <w:footnoteReference w:id="74"/>
      </w:r>
      <w:r>
        <w:rPr>
          <w:rFonts w:ascii="Times New Roman" w:hAnsi="Times New Roman"/>
          <w:noProof/>
          <w:sz w:val="24"/>
        </w:rPr>
        <w:t>; gli Euroclusters</w:t>
      </w:r>
      <w:r>
        <w:rPr>
          <w:rStyle w:val="FootnoteReference"/>
          <w:rFonts w:ascii="Times New Roman" w:hAnsi="Times New Roman" w:cs="Times New Roman"/>
          <w:noProof/>
          <w:sz w:val="24"/>
          <w:szCs w:val="24"/>
        </w:rPr>
        <w:footnoteReference w:id="75"/>
      </w:r>
      <w:r>
        <w:rPr>
          <w:rFonts w:ascii="Times New Roman" w:hAnsi="Times New Roman"/>
          <w:noProof/>
          <w:sz w:val="24"/>
        </w:rPr>
        <w:t xml:space="preserve"> nell</w:t>
      </w:r>
      <w:r w:rsidR="00013882">
        <w:rPr>
          <w:rFonts w:ascii="Times New Roman" w:hAnsi="Times New Roman"/>
          <w:noProof/>
          <w:sz w:val="24"/>
        </w:rPr>
        <w:t>'</w:t>
      </w:r>
      <w:r>
        <w:rPr>
          <w:rFonts w:ascii="Times New Roman" w:hAnsi="Times New Roman"/>
          <w:noProof/>
          <w:sz w:val="24"/>
        </w:rPr>
        <w:t>ambito del programma per il mercato unico; e il programma Orizzonte Europa, compresi gli ecosistemi europei dell</w:t>
      </w:r>
      <w:r w:rsidR="00013882">
        <w:rPr>
          <w:rFonts w:ascii="Times New Roman" w:hAnsi="Times New Roman"/>
          <w:noProof/>
          <w:sz w:val="24"/>
        </w:rPr>
        <w:t>'</w:t>
      </w:r>
      <w:r>
        <w:rPr>
          <w:rFonts w:ascii="Times New Roman" w:hAnsi="Times New Roman"/>
          <w:noProof/>
          <w:sz w:val="24"/>
        </w:rPr>
        <w:t>innovazione, Startup Europe, l</w:t>
      </w:r>
      <w:r w:rsidR="00013882">
        <w:rPr>
          <w:rFonts w:ascii="Times New Roman" w:hAnsi="Times New Roman"/>
          <w:noProof/>
          <w:sz w:val="24"/>
        </w:rPr>
        <w:t>'</w:t>
      </w:r>
      <w:r>
        <w:rPr>
          <w:rFonts w:ascii="Times New Roman" w:hAnsi="Times New Roman"/>
          <w:noProof/>
          <w:sz w:val="24"/>
        </w:rPr>
        <w:t>ampliamento della partecipazione e il rafforzamento dello Spazio europeo della ricerca, le missioni e il lavoro delle comunità della conoscenza e dell</w:t>
      </w:r>
      <w:r w:rsidR="00013882">
        <w:rPr>
          <w:rFonts w:ascii="Times New Roman" w:hAnsi="Times New Roman"/>
          <w:noProof/>
          <w:sz w:val="24"/>
        </w:rPr>
        <w:t>'</w:t>
      </w:r>
      <w:r>
        <w:rPr>
          <w:rFonts w:ascii="Times New Roman" w:hAnsi="Times New Roman"/>
          <w:noProof/>
          <w:sz w:val="24"/>
        </w:rPr>
        <w:t>innovazione (CCI) e del sistema di innovazione regionale dell</w:t>
      </w:r>
      <w:r w:rsidR="00013882">
        <w:rPr>
          <w:rFonts w:ascii="Times New Roman" w:hAnsi="Times New Roman"/>
          <w:noProof/>
          <w:sz w:val="24"/>
        </w:rPr>
        <w:t>'</w:t>
      </w:r>
      <w:r>
        <w:rPr>
          <w:rFonts w:ascii="Times New Roman" w:hAnsi="Times New Roman"/>
          <w:noProof/>
          <w:sz w:val="24"/>
        </w:rPr>
        <w:t>EIT</w:t>
      </w:r>
      <w:bookmarkEnd w:id="19"/>
      <w:r>
        <w:rPr>
          <w:rFonts w:ascii="Times New Roman" w:hAnsi="Times New Roman"/>
          <w:noProof/>
          <w:sz w:val="24"/>
        </w:rPr>
        <w:t>.</w:t>
      </w:r>
    </w:p>
    <w:bookmarkEnd w:id="20"/>
    <w:p w14:paraId="5FEBF516" w14:textId="77777777" w:rsidR="004E7C92" w:rsidRPr="00782585" w:rsidRDefault="004E7C92" w:rsidP="00782585">
      <w:pPr>
        <w:spacing w:line="240" w:lineRule="auto"/>
        <w:jc w:val="both"/>
        <w:rPr>
          <w:rFonts w:ascii="Times New Roman" w:hAnsi="Times New Roman" w:cs="Times New Roman"/>
          <w:i/>
          <w:iCs/>
          <w:noProof/>
          <w:color w:val="000000"/>
          <w:sz w:val="24"/>
          <w:szCs w:val="24"/>
        </w:rPr>
      </w:pPr>
      <w:r>
        <w:rPr>
          <w:rFonts w:ascii="Times New Roman" w:hAnsi="Times New Roman"/>
          <w:i/>
          <w:noProof/>
          <w:color w:val="000000"/>
          <w:sz w:val="24"/>
        </w:rPr>
        <w:t>Sinergie tra i programmi della politica di coesione e Orizzonte Europa</w:t>
      </w:r>
    </w:p>
    <w:p w14:paraId="29443628" w14:textId="5C848C9F" w:rsidR="004E7C92" w:rsidRPr="00782585" w:rsidRDefault="004F351B" w:rsidP="002B2078">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Per realizzare l</w:t>
      </w:r>
      <w:r w:rsidR="00013882">
        <w:rPr>
          <w:rFonts w:ascii="Times New Roman" w:hAnsi="Times New Roman"/>
          <w:noProof/>
          <w:color w:val="000000"/>
          <w:sz w:val="24"/>
        </w:rPr>
        <w:t>'</w:t>
      </w:r>
      <w:r>
        <w:rPr>
          <w:rFonts w:ascii="Times New Roman" w:hAnsi="Times New Roman"/>
          <w:noProof/>
          <w:color w:val="000000"/>
          <w:sz w:val="24"/>
        </w:rPr>
        <w:t xml:space="preserve">obiettivo di creare maggiori sinergie tra la politica di coesione e Orizzonte Europa nel periodo di programmazione 2021-2027, la Commissione pubblicherà un </w:t>
      </w:r>
      <w:r>
        <w:rPr>
          <w:rFonts w:ascii="Times New Roman" w:hAnsi="Times New Roman"/>
          <w:b/>
          <w:noProof/>
          <w:color w:val="000000"/>
          <w:sz w:val="24"/>
        </w:rPr>
        <w:t>documento di orientamento</w:t>
      </w:r>
      <w:r>
        <w:rPr>
          <w:rStyle w:val="FootnoteReference"/>
          <w:rFonts w:ascii="Times New Roman" w:hAnsi="Times New Roman" w:cs="Times New Roman"/>
          <w:noProof/>
          <w:color w:val="000000"/>
          <w:sz w:val="24"/>
          <w:szCs w:val="24"/>
        </w:rPr>
        <w:footnoteReference w:id="76"/>
      </w:r>
      <w:r>
        <w:rPr>
          <w:rFonts w:ascii="Times New Roman" w:hAnsi="Times New Roman"/>
          <w:noProof/>
          <w:color w:val="000000"/>
          <w:sz w:val="24"/>
        </w:rPr>
        <w:t xml:space="preserve"> che illustrerà le complementarità tra i rispettivi strumenti di finanziamento. Questo documento mira ad aiutare autorità di gestione dei programmi della politica di coesione, i punti di contatto nazionali per Orizzonte Europa e i promotori di progetti a sfruttare più adeguatamente le opportunità per promuovere l</w:t>
      </w:r>
      <w:r w:rsidR="00013882">
        <w:rPr>
          <w:rFonts w:ascii="Times New Roman" w:hAnsi="Times New Roman"/>
          <w:noProof/>
          <w:color w:val="000000"/>
          <w:sz w:val="24"/>
        </w:rPr>
        <w:t>'</w:t>
      </w:r>
      <w:r>
        <w:rPr>
          <w:rFonts w:ascii="Times New Roman" w:hAnsi="Times New Roman"/>
          <w:noProof/>
          <w:color w:val="000000"/>
          <w:sz w:val="24"/>
        </w:rPr>
        <w:t>innovazione in tutte le regioni, grazie all</w:t>
      </w:r>
      <w:r w:rsidR="00013882">
        <w:rPr>
          <w:rFonts w:ascii="Times New Roman" w:hAnsi="Times New Roman"/>
          <w:noProof/>
          <w:color w:val="000000"/>
          <w:sz w:val="24"/>
        </w:rPr>
        <w:t>'</w:t>
      </w:r>
      <w:r>
        <w:rPr>
          <w:rFonts w:ascii="Times New Roman" w:hAnsi="Times New Roman"/>
          <w:noProof/>
          <w:color w:val="000000"/>
          <w:sz w:val="24"/>
        </w:rPr>
        <w:t>uso integrato di questi strumenti chiave dell</w:t>
      </w:r>
      <w:r w:rsidR="00013882">
        <w:rPr>
          <w:rFonts w:ascii="Times New Roman" w:hAnsi="Times New Roman"/>
          <w:noProof/>
          <w:color w:val="000000"/>
          <w:sz w:val="24"/>
        </w:rPr>
        <w:t>'</w:t>
      </w:r>
      <w:r>
        <w:rPr>
          <w:rFonts w:ascii="Times New Roman" w:hAnsi="Times New Roman"/>
          <w:noProof/>
          <w:color w:val="000000"/>
          <w:sz w:val="24"/>
        </w:rPr>
        <w:t>UE per facilitare la diffusione e l</w:t>
      </w:r>
      <w:r w:rsidR="00013882">
        <w:rPr>
          <w:rFonts w:ascii="Times New Roman" w:hAnsi="Times New Roman"/>
          <w:noProof/>
          <w:color w:val="000000"/>
          <w:sz w:val="24"/>
        </w:rPr>
        <w:t>'</w:t>
      </w:r>
      <w:r>
        <w:rPr>
          <w:rFonts w:ascii="Times New Roman" w:hAnsi="Times New Roman"/>
          <w:noProof/>
          <w:color w:val="000000"/>
          <w:sz w:val="24"/>
        </w:rPr>
        <w:t>adozione di tecnologie avanzate finanziate attraverso programmi di ricerca e innovazione, aumentandone in tal modo l</w:t>
      </w:r>
      <w:r w:rsidR="00013882">
        <w:rPr>
          <w:rFonts w:ascii="Times New Roman" w:hAnsi="Times New Roman"/>
          <w:noProof/>
          <w:color w:val="000000"/>
          <w:sz w:val="24"/>
        </w:rPr>
        <w:t>'</w:t>
      </w:r>
      <w:r>
        <w:rPr>
          <w:rFonts w:ascii="Times New Roman" w:hAnsi="Times New Roman"/>
          <w:noProof/>
          <w:color w:val="000000"/>
          <w:sz w:val="24"/>
        </w:rPr>
        <w:t>impatto. Queste sinergie saranno ricercate anche altrove, ad esempio attraverso il fondo per l</w:t>
      </w:r>
      <w:r w:rsidR="00013882">
        <w:rPr>
          <w:rFonts w:ascii="Times New Roman" w:hAnsi="Times New Roman"/>
          <w:noProof/>
          <w:color w:val="000000"/>
          <w:sz w:val="24"/>
        </w:rPr>
        <w:t>'</w:t>
      </w:r>
      <w:r>
        <w:rPr>
          <w:rFonts w:ascii="Times New Roman" w:hAnsi="Times New Roman"/>
          <w:noProof/>
          <w:color w:val="000000"/>
          <w:sz w:val="24"/>
        </w:rPr>
        <w:t>innovazione del sistema ETS dell</w:t>
      </w:r>
      <w:r w:rsidR="00013882">
        <w:rPr>
          <w:rFonts w:ascii="Times New Roman" w:hAnsi="Times New Roman"/>
          <w:noProof/>
          <w:color w:val="000000"/>
          <w:sz w:val="24"/>
        </w:rPr>
        <w:t>'</w:t>
      </w:r>
      <w:r>
        <w:rPr>
          <w:rFonts w:ascii="Times New Roman" w:hAnsi="Times New Roman"/>
          <w:noProof/>
          <w:color w:val="000000"/>
          <w:sz w:val="24"/>
        </w:rPr>
        <w:t>UE</w:t>
      </w:r>
      <w:r>
        <w:rPr>
          <w:rStyle w:val="FootnoteReference"/>
          <w:rFonts w:ascii="Times New Roman" w:hAnsi="Times New Roman" w:cs="Times New Roman"/>
          <w:noProof/>
          <w:color w:val="000000"/>
        </w:rPr>
        <w:footnoteReference w:id="77"/>
      </w:r>
      <w:r>
        <w:rPr>
          <w:rFonts w:ascii="Times New Roman" w:hAnsi="Times New Roman"/>
          <w:noProof/>
          <w:color w:val="000000"/>
          <w:sz w:val="24"/>
        </w:rPr>
        <w:t>, che sosterrà la dimostrazione di tecnologie innovative a basse emissioni di carbonio e sosterrà la transizione verso la neutralità climatica.</w:t>
      </w:r>
    </w:p>
    <w:p w14:paraId="0AC3ABEF" w14:textId="7C416C1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Ecosistemi specifici del settore</w:t>
      </w:r>
    </w:p>
    <w:p w14:paraId="0FA79EF5" w14:textId="6A888F81"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 piano REPowerEU, la Commissione europea si è impegnata a promuovere le innovazioni pionieristiche nel settore dell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rinnovabile e a basse emissioni di carbonio, una tecnologia fondamentale per porre fine alla dipendenza dai combustibili fossili. Grazie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integrazione di 200 milioni di EUR provenienti da Orizzonte Europa, a partire dal quarto trimestre del 2022 il numero di </w:t>
      </w:r>
      <w:r>
        <w:rPr>
          <w:rFonts w:ascii="Times New Roman" w:hAnsi="Times New Roman"/>
          <w:b/>
          <w:noProof/>
          <w:color w:val="000000" w:themeColor="text1"/>
          <w:sz w:val="24"/>
        </w:rPr>
        <w:t>distretti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idrogeno</w:t>
      </w:r>
      <w:r>
        <w:rPr>
          <w:rFonts w:ascii="Times New Roman" w:hAnsi="Times New Roman"/>
          <w:noProof/>
          <w:color w:val="000000" w:themeColor="text1"/>
          <w:sz w:val="24"/>
        </w:rPr>
        <w:t xml:space="preserv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raddoppierà - raggiungendo i 50 entro il 2025. Questi distretti si incentreranno su varie applicazioni dell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e si combineranno in un ecosistema regionale integrato in grado di coprire l</w:t>
      </w:r>
      <w:r w:rsidR="00013882">
        <w:rPr>
          <w:rFonts w:ascii="Times New Roman" w:hAnsi="Times New Roman"/>
          <w:noProof/>
          <w:color w:val="000000" w:themeColor="text1"/>
          <w:sz w:val="24"/>
        </w:rPr>
        <w:t>'</w:t>
      </w:r>
      <w:r>
        <w:rPr>
          <w:rFonts w:ascii="Times New Roman" w:hAnsi="Times New Roman"/>
          <w:noProof/>
          <w:color w:val="000000" w:themeColor="text1"/>
          <w:sz w:val="24"/>
        </w:rPr>
        <w:t>intera catena del valore, in linea con le prescrizioni regionali. I distretti dell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esistenti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UE saranno inoltre collegati tra loro per accelerare la diffusione dell</w:t>
      </w:r>
      <w:r w:rsidR="00013882">
        <w:rPr>
          <w:rFonts w:ascii="Times New Roman" w:hAnsi="Times New Roman"/>
          <w:noProof/>
          <w:color w:val="000000" w:themeColor="text1"/>
          <w:sz w:val="24"/>
        </w:rPr>
        <w:t>'</w:t>
      </w:r>
      <w:r>
        <w:rPr>
          <w:rFonts w:ascii="Times New Roman" w:hAnsi="Times New Roman"/>
          <w:noProof/>
          <w:color w:val="000000" w:themeColor="text1"/>
          <w:sz w:val="24"/>
        </w:rPr>
        <w:t>economia dell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nell</w:t>
      </w:r>
      <w:r w:rsidR="00013882">
        <w:rPr>
          <w:rFonts w:ascii="Times New Roman" w:hAnsi="Times New Roman"/>
          <w:noProof/>
          <w:color w:val="000000" w:themeColor="text1"/>
          <w:sz w:val="24"/>
        </w:rPr>
        <w:t>'</w:t>
      </w:r>
      <w:r>
        <w:rPr>
          <w:rFonts w:ascii="Times New Roman" w:hAnsi="Times New Roman"/>
          <w:noProof/>
          <w:color w:val="000000" w:themeColor="text1"/>
          <w:sz w:val="24"/>
        </w:rPr>
        <w:t>UE, con finanziamenti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 meccanismo per collegare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Europa.  </w:t>
      </w:r>
    </w:p>
    <w:p w14:paraId="27336B76" w14:textId="18B6CC99" w:rsidR="00FC5CF2"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noProof/>
          <w:color w:val="000000" w:themeColor="text1"/>
          <w:sz w:val="24"/>
        </w:rPr>
        <w:t xml:space="preserve">Inoltre, attraverso la proposta di </w:t>
      </w:r>
      <w:r>
        <w:rPr>
          <w:rFonts w:ascii="Times New Roman" w:hAnsi="Times New Roman"/>
          <w:b/>
          <w:noProof/>
          <w:color w:val="000000" w:themeColor="text1"/>
          <w:sz w:val="24"/>
        </w:rPr>
        <w:t>normativa dell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UE sui semiconduttori</w:t>
      </w:r>
      <w:r>
        <w:rPr>
          <w:rFonts w:ascii="Times New Roman" w:hAnsi="Times New Roman"/>
          <w:noProof/>
          <w:color w:val="000000" w:themeColor="text1"/>
          <w:sz w:val="24"/>
        </w:rPr>
        <w:t>, saranno adottate misure per rafforzare la competitività e la resilienza dell</w:t>
      </w:r>
      <w:r w:rsidR="00013882">
        <w:rPr>
          <w:rFonts w:ascii="Times New Roman" w:hAnsi="Times New Roman"/>
          <w:noProof/>
          <w:color w:val="000000" w:themeColor="text1"/>
          <w:sz w:val="24"/>
        </w:rPr>
        <w:t>'</w:t>
      </w:r>
      <w:r>
        <w:rPr>
          <w:rFonts w:ascii="Times New Roman" w:hAnsi="Times New Roman"/>
          <w:noProof/>
          <w:color w:val="000000" w:themeColor="text1"/>
          <w:sz w:val="24"/>
        </w:rPr>
        <w:t>Europa nelle tecnologie e nelle applicazioni dei semiconduttori. Ciò contribuirà a sostenere la duplice transizione digitale e verde e a rafforzare la leadership tecnologica dell</w:t>
      </w:r>
      <w:r w:rsidR="00013882">
        <w:rPr>
          <w:rFonts w:ascii="Times New Roman" w:hAnsi="Times New Roman"/>
          <w:noProof/>
          <w:color w:val="000000" w:themeColor="text1"/>
          <w:sz w:val="24"/>
        </w:rPr>
        <w:t>'</w:t>
      </w:r>
      <w:r>
        <w:rPr>
          <w:rFonts w:ascii="Times New Roman" w:hAnsi="Times New Roman"/>
          <w:noProof/>
          <w:color w:val="000000" w:themeColor="text1"/>
          <w:sz w:val="24"/>
        </w:rPr>
        <w:t>Europa e, di conseguenza, le ambizioni di un</w:t>
      </w:r>
      <w:r w:rsidR="00013882">
        <w:rPr>
          <w:rFonts w:ascii="Times New Roman" w:hAnsi="Times New Roman"/>
          <w:noProof/>
          <w:color w:val="000000" w:themeColor="text1"/>
          <w:sz w:val="24"/>
        </w:rPr>
        <w:t>'</w:t>
      </w:r>
      <w:r>
        <w:rPr>
          <w:rFonts w:ascii="Times New Roman" w:hAnsi="Times New Roman"/>
          <w:noProof/>
          <w:color w:val="000000" w:themeColor="text1"/>
          <w:sz w:val="24"/>
        </w:rPr>
        <w:t>autonomia strategica aperta in questo settore. Gli investimenti nella prossima generazione di tecnologie comprenderanno il sostegno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accesso a livello europeo agli strumenti di progettazione e alle linee pilota per la prototipazione, le prove e la sperimentazione. In totale, oltre 43 </w:t>
      </w:r>
      <w:bookmarkStart w:id="21" w:name="_Int_d1dImTq4"/>
      <w:r>
        <w:rPr>
          <w:rFonts w:ascii="Times New Roman" w:hAnsi="Times New Roman"/>
          <w:noProof/>
          <w:color w:val="000000" w:themeColor="text1"/>
          <w:sz w:val="24"/>
        </w:rPr>
        <w:t>miliardi</w:t>
      </w:r>
      <w:bookmarkEnd w:id="21"/>
      <w:r>
        <w:rPr>
          <w:rFonts w:ascii="Times New Roman" w:hAnsi="Times New Roman"/>
          <w:noProof/>
          <w:color w:val="000000" w:themeColor="text1"/>
          <w:sz w:val="24"/>
        </w:rPr>
        <w:t xml:space="preserve"> di EUR di investimenti sosterranno le ambizioni politiche della normativa sui semiconduttori nel periodo fino al 2030, a cui si aggiungeranno investimenti privati a lungo termine dello stesso ordine di grandezza.</w:t>
      </w:r>
    </w:p>
    <w:p w14:paraId="1BA586B8" w14:textId="0FAE27A4" w:rsidR="008D2948" w:rsidRPr="00782585"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i/>
          <w:noProof/>
          <w:color w:val="000000" w:themeColor="text1"/>
          <w:sz w:val="24"/>
        </w:rPr>
        <w:t>Importanti progetti di comune interesse europeo</w:t>
      </w:r>
    </w:p>
    <w:p w14:paraId="382E01CF" w14:textId="66CE0CA2" w:rsidR="008D2948" w:rsidRPr="00782585" w:rsidRDefault="008D2948"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La Commissione continuerà a sostenere attivamente la collaborazione degli Stati membri destinata a portare avanti </w:t>
      </w:r>
      <w:r>
        <w:rPr>
          <w:rFonts w:ascii="Times New Roman" w:hAnsi="Times New Roman"/>
          <w:b/>
          <w:noProof/>
          <w:sz w:val="24"/>
        </w:rPr>
        <w:t>importanti progetti di comune interesse europeo</w:t>
      </w:r>
      <w:r>
        <w:rPr>
          <w:rFonts w:ascii="Times New Roman" w:hAnsi="Times New Roman"/>
          <w:noProof/>
          <w:sz w:val="24"/>
        </w:rPr>
        <w:t xml:space="preserve"> (IPCEI) transfrontalieri, nell</w:t>
      </w:r>
      <w:r w:rsidR="00013882">
        <w:rPr>
          <w:rFonts w:ascii="Times New Roman" w:hAnsi="Times New Roman"/>
          <w:noProof/>
          <w:sz w:val="24"/>
        </w:rPr>
        <w:t>'</w:t>
      </w:r>
      <w:r>
        <w:rPr>
          <w:rFonts w:ascii="Times New Roman" w:hAnsi="Times New Roman"/>
          <w:noProof/>
          <w:sz w:val="24"/>
        </w:rPr>
        <w:t>ambito della disciplina degli aiuti di Stato, per consentire investimenti su vasta scala a sostegno di innovazioni pionieristiche in settori chiave e superare i fallimenti del mercato in tutta l</w:t>
      </w:r>
      <w:r w:rsidR="00013882">
        <w:rPr>
          <w:rFonts w:ascii="Times New Roman" w:hAnsi="Times New Roman"/>
          <w:noProof/>
          <w:sz w:val="24"/>
        </w:rPr>
        <w:t>'</w:t>
      </w:r>
      <w:r>
        <w:rPr>
          <w:rFonts w:ascii="Times New Roman" w:hAnsi="Times New Roman"/>
          <w:noProof/>
          <w:sz w:val="24"/>
        </w:rPr>
        <w:t>UE, ivi comprese le regioni meno sviluppate.</w:t>
      </w:r>
      <w:r>
        <w:rPr>
          <w:rFonts w:ascii="Times New Roman" w:hAnsi="Times New Roman"/>
          <w:noProof/>
          <w:color w:val="000000" w:themeColor="text1"/>
          <w:sz w:val="24"/>
        </w:rPr>
        <w:t xml:space="preserve"> </w:t>
      </w:r>
    </w:p>
    <w:p w14:paraId="5808282E" w14:textId="74BA1BFE"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Finora due IPCEI nella catena del valore delle batterie hanno reso possibile investimenti significativi nella ricerca e nell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nonché a sostegno delle prime applicazioni industriali di nuove tecnologie per le batterie</w:t>
      </w:r>
      <w:r>
        <w:rPr>
          <w:rStyle w:val="FootnoteReference"/>
          <w:rFonts w:ascii="Times New Roman" w:hAnsi="Times New Roman" w:cs="Times New Roman"/>
          <w:noProof/>
          <w:color w:val="000000" w:themeColor="text1"/>
          <w:szCs w:val="24"/>
        </w:rPr>
        <w:footnoteReference w:id="78"/>
      </w:r>
      <w:r>
        <w:rPr>
          <w:rFonts w:ascii="Times New Roman" w:hAnsi="Times New Roman"/>
          <w:noProof/>
          <w:color w:val="000000" w:themeColor="text1"/>
          <w:sz w:val="24"/>
        </w:rPr>
        <w:t>. Oltre 6 miliardi di EUR di finanziamenti degli Stati membri sbloccheranno ulteriori14 miliardi di EUR di investimenti privati. Sarà inoltre realizzato un secondo IPCEI nel settore della microelettronica</w:t>
      </w:r>
      <w:r>
        <w:rPr>
          <w:rStyle w:val="FootnoteReference"/>
          <w:rFonts w:ascii="Times New Roman" w:hAnsi="Times New Roman" w:cs="Times New Roman"/>
          <w:noProof/>
          <w:color w:val="000000" w:themeColor="text1"/>
          <w:szCs w:val="24"/>
        </w:rPr>
        <w:footnoteReference w:id="79"/>
      </w:r>
      <w:r>
        <w:rPr>
          <w:rFonts w:ascii="Times New Roman" w:hAnsi="Times New Roman"/>
          <w:noProof/>
          <w:color w:val="000000" w:themeColor="text1"/>
          <w:sz w:val="24"/>
        </w:rPr>
        <w:t xml:space="preserve">, sulla </w:t>
      </w:r>
      <w:bookmarkStart w:id="22" w:name="_Int_AwCKIQ0V"/>
      <w:r>
        <w:rPr>
          <w:rFonts w:ascii="Times New Roman" w:hAnsi="Times New Roman"/>
          <w:noProof/>
          <w:color w:val="000000" w:themeColor="text1"/>
          <w:sz w:val="24"/>
        </w:rPr>
        <w:t>base</w:t>
      </w:r>
      <w:bookmarkEnd w:id="22"/>
      <w:r>
        <w:rPr>
          <w:rFonts w:ascii="Times New Roman" w:hAnsi="Times New Roman"/>
          <w:noProof/>
          <w:color w:val="000000" w:themeColor="text1"/>
          <w:sz w:val="24"/>
        </w:rPr>
        <w:t xml:space="preserve"> del successo del primo</w:t>
      </w:r>
      <w:r>
        <w:rPr>
          <w:rStyle w:val="FootnoteReference"/>
          <w:rFonts w:ascii="Times New Roman" w:hAnsi="Times New Roman" w:cs="Times New Roman"/>
          <w:noProof/>
          <w:color w:val="000000" w:themeColor="text1"/>
          <w:sz w:val="24"/>
          <w:szCs w:val="24"/>
        </w:rPr>
        <w:footnoteReference w:id="80"/>
      </w:r>
      <w:r>
        <w:rPr>
          <w:rFonts w:ascii="Times New Roman" w:hAnsi="Times New Roman"/>
          <w:noProof/>
          <w:color w:val="000000" w:themeColor="text1"/>
          <w:sz w:val="24"/>
        </w:rPr>
        <w:t>, e la Commissione sosterrà attivamente le iniziative in corso da parte degli Stati membri per la progettazione di IPCEI nei settori della sanità, delle infrastrutture e dei servizi cloud e delle tecnologie e dei sistemi a idrogeno, al fine di completare la valutazione del primo IPCEI sull</w:t>
      </w:r>
      <w:r w:rsidR="00013882">
        <w:rPr>
          <w:rFonts w:ascii="Times New Roman" w:hAnsi="Times New Roman"/>
          <w:noProof/>
          <w:color w:val="000000" w:themeColor="text1"/>
          <w:sz w:val="24"/>
        </w:rPr>
        <w:t>'</w:t>
      </w:r>
      <w:r>
        <w:rPr>
          <w:rFonts w:ascii="Times New Roman" w:hAnsi="Times New Roman"/>
          <w:noProof/>
          <w:color w:val="000000" w:themeColor="text1"/>
          <w:sz w:val="24"/>
        </w:rPr>
        <w:t>idrogeno rinnovabile e a basse emissioni di carbonio entro l</w:t>
      </w:r>
      <w:r w:rsidR="00013882">
        <w:rPr>
          <w:rFonts w:ascii="Times New Roman" w:hAnsi="Times New Roman"/>
          <w:noProof/>
          <w:color w:val="000000" w:themeColor="text1"/>
          <w:sz w:val="24"/>
        </w:rPr>
        <w:t>'</w:t>
      </w:r>
      <w:r>
        <w:rPr>
          <w:rFonts w:ascii="Times New Roman" w:hAnsi="Times New Roman"/>
          <w:noProof/>
          <w:color w:val="000000" w:themeColor="text1"/>
          <w:sz w:val="24"/>
        </w:rPr>
        <w:t>estate 2022. Inoltre,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del piano RePowerEU, la Commissione sosterrà gli sforzi degli Stati membri volti a mettere in comune le risorse incentrate su tecnologie pionieristiche e sull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lungo le catene del valore dell</w:t>
      </w:r>
      <w:r w:rsidR="00013882">
        <w:rPr>
          <w:rFonts w:ascii="Times New Roman" w:hAnsi="Times New Roman"/>
          <w:noProof/>
          <w:color w:val="000000" w:themeColor="text1"/>
          <w:sz w:val="24"/>
        </w:rPr>
        <w:t>'</w:t>
      </w:r>
      <w:r>
        <w:rPr>
          <w:rFonts w:ascii="Times New Roman" w:hAnsi="Times New Roman"/>
          <w:noProof/>
          <w:color w:val="000000" w:themeColor="text1"/>
          <w:sz w:val="24"/>
        </w:rPr>
        <w:t>energia solare ed eolica e delle pompe di calore.</w:t>
      </w:r>
    </w:p>
    <w:p w14:paraId="4BFA5F93" w14:textId="77777777" w:rsidR="008D2948" w:rsidRPr="00782585" w:rsidRDefault="008D2948" w:rsidP="00782585">
      <w:pPr>
        <w:spacing w:after="120"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Innospace</w:t>
      </w:r>
    </w:p>
    <w:p w14:paraId="5F3175B3" w14:textId="5E3F35C1" w:rsidR="008D2948" w:rsidRPr="00782585" w:rsidRDefault="008E2743" w:rsidP="00782585">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La Commissione istituirà </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Innospace</w:t>
      </w:r>
      <w:r w:rsidR="00013882">
        <w:rPr>
          <w:rFonts w:ascii="Times New Roman" w:hAnsi="Times New Roman"/>
          <w:b/>
          <w:noProof/>
          <w:color w:val="000000" w:themeColor="text1"/>
          <w:sz w:val="24"/>
        </w:rPr>
        <w:t>"</w:t>
      </w:r>
      <w:r>
        <w:rPr>
          <w:rFonts w:ascii="Times New Roman" w:hAnsi="Times New Roman"/>
          <w:noProof/>
          <w:color w:val="000000" w:themeColor="text1"/>
          <w:sz w:val="24"/>
        </w:rPr>
        <w:t>, una piattaforma aperta basata sull</w:t>
      </w:r>
      <w:r w:rsidR="00013882">
        <w:rPr>
          <w:rFonts w:ascii="Times New Roman" w:hAnsi="Times New Roman"/>
          <w:noProof/>
          <w:color w:val="000000" w:themeColor="text1"/>
          <w:sz w:val="24"/>
        </w:rPr>
        <w:t>'</w:t>
      </w:r>
      <w:r>
        <w:rPr>
          <w:rFonts w:ascii="Times New Roman" w:hAnsi="Times New Roman"/>
          <w:noProof/>
          <w:color w:val="000000" w:themeColor="text1"/>
          <w:sz w:val="24"/>
        </w:rPr>
        <w:t>IA, per favorire la circolazione delle idee e l</w:t>
      </w:r>
      <w:r w:rsidR="00013882">
        <w:rPr>
          <w:rFonts w:ascii="Times New Roman" w:hAnsi="Times New Roman"/>
          <w:noProof/>
          <w:color w:val="000000" w:themeColor="text1"/>
          <w:sz w:val="24"/>
        </w:rPr>
        <w:t>'</w:t>
      </w:r>
      <w:r>
        <w:rPr>
          <w:rFonts w:ascii="Times New Roman" w:hAnsi="Times New Roman"/>
          <w:noProof/>
          <w:color w:val="000000" w:themeColor="text1"/>
          <w:sz w:val="24"/>
        </w:rPr>
        <w:t>accesso ai risultati della ricerca, mettere in evidenza la domanda e l</w:t>
      </w:r>
      <w:r w:rsidR="00013882">
        <w:rPr>
          <w:rFonts w:ascii="Times New Roman" w:hAnsi="Times New Roman"/>
          <w:noProof/>
          <w:color w:val="000000" w:themeColor="text1"/>
          <w:sz w:val="24"/>
        </w:rPr>
        <w:t>'</w:t>
      </w:r>
      <w:r>
        <w:rPr>
          <w:rFonts w:ascii="Times New Roman" w:hAnsi="Times New Roman"/>
          <w:noProof/>
          <w:color w:val="000000" w:themeColor="text1"/>
          <w:sz w:val="24"/>
        </w:rPr>
        <w:t>offerta di soluzioni innovative e mettere in contatto i portatori di interessi in modo da facilitare la collaborazione. Questa piattaforma fornirà a tutti i portatori di interessi informazioni sulle sfide e le opportunità di innovazione (tendenze tecnologiche e di mercato, proprietà intellettuale, domanda, ecc.) e faciliterà l</w:t>
      </w:r>
      <w:r w:rsidR="00013882">
        <w:rPr>
          <w:rFonts w:ascii="Times New Roman" w:hAnsi="Times New Roman"/>
          <w:noProof/>
          <w:color w:val="000000" w:themeColor="text1"/>
          <w:sz w:val="24"/>
        </w:rPr>
        <w:t>'</w:t>
      </w:r>
      <w:r>
        <w:rPr>
          <w:rFonts w:ascii="Times New Roman" w:hAnsi="Times New Roman"/>
          <w:noProof/>
          <w:color w:val="000000" w:themeColor="text1"/>
          <w:sz w:val="24"/>
        </w:rPr>
        <w:t>individuazione di funzionalità, servizi e opportunità di finanziamento, pubblici o privati, per sostenere la traduzione delle idee in attività e progetti.</w:t>
      </w:r>
    </w:p>
    <w:p w14:paraId="077D3211" w14:textId="4E3D6F2A" w:rsidR="00C939B1" w:rsidRPr="00782585" w:rsidRDefault="00C939B1"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Inoltre, una nuova azione </w:t>
      </w:r>
      <w:r w:rsidR="00013882">
        <w:rPr>
          <w:rFonts w:ascii="Times New Roman" w:hAnsi="Times New Roman"/>
          <w:noProof/>
          <w:color w:val="000000" w:themeColor="text1"/>
          <w:sz w:val="24"/>
        </w:rPr>
        <w:t>"</w:t>
      </w:r>
      <w:r>
        <w:rPr>
          <w:rFonts w:ascii="Times New Roman" w:hAnsi="Times New Roman"/>
          <w:b/>
          <w:noProof/>
          <w:color w:val="000000" w:themeColor="text1"/>
          <w:sz w:val="24"/>
        </w:rPr>
        <w:t xml:space="preserve">ScaleUp 100 del CEI </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rPr>
        <w:footnoteReference w:id="81"/>
      </w:r>
      <w:r>
        <w:rPr>
          <w:rFonts w:ascii="Times New Roman" w:hAnsi="Times New Roman"/>
          <w:noProof/>
          <w:color w:val="000000" w:themeColor="text1"/>
          <w:sz w:val="24"/>
        </w:rPr>
        <w:t xml:space="preserve"> individuerà, dal portafoglio del CEI e da altri programmi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un insieme di cento start-up deep tech dotate del potenziale per diventare leader globali o possibilmente per acquisire lo status di </w:t>
      </w:r>
      <w:r w:rsidR="00013882">
        <w:rPr>
          <w:rFonts w:ascii="Times New Roman" w:hAnsi="Times New Roman"/>
          <w:noProof/>
          <w:color w:val="000000" w:themeColor="text1"/>
          <w:sz w:val="24"/>
        </w:rPr>
        <w:t>"</w:t>
      </w:r>
      <w:r>
        <w:rPr>
          <w:rFonts w:ascii="Times New Roman" w:hAnsi="Times New Roman"/>
          <w:noProof/>
          <w:color w:val="000000" w:themeColor="text1"/>
          <w:sz w:val="24"/>
        </w:rPr>
        <w:t>unicorni</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Cs w:val="24"/>
        </w:rPr>
        <w:footnoteReference w:id="82"/>
      </w:r>
      <w:r>
        <w:rPr>
          <w:rFonts w:ascii="Times New Roman" w:hAnsi="Times New Roman"/>
          <w:noProof/>
          <w:color w:val="000000" w:themeColor="text1"/>
          <w:sz w:val="24"/>
        </w:rPr>
        <w:t>. Entro la metà del 2023 queste imprese inizieranno a ricevere un sostegno rafforzato per sviluppare la loro strategia e la squadra dirigenziale, proteggere la proprietà intellettuale, stabilire contatti con investitori e partner strategici, svilupparsi a livello internazionale ed entrare in contatto con le fonti di sostegno nazionali per poter crescere. Oltre al sostegno diretto alle imprese, l</w:t>
      </w:r>
      <w:r w:rsidR="00013882">
        <w:rPr>
          <w:rFonts w:ascii="Times New Roman" w:hAnsi="Times New Roman"/>
          <w:noProof/>
          <w:color w:val="000000" w:themeColor="text1"/>
          <w:sz w:val="24"/>
        </w:rPr>
        <w:t>'</w:t>
      </w:r>
      <w:r>
        <w:rPr>
          <w:rFonts w:ascii="Times New Roman" w:hAnsi="Times New Roman"/>
          <w:noProof/>
          <w:color w:val="000000" w:themeColor="text1"/>
          <w:sz w:val="24"/>
        </w:rPr>
        <w:t>iniziativa condividerà anche le migliori pratiche tra gli Stati membri e tra le reti di livello europeo.</w:t>
      </w:r>
    </w:p>
    <w:p w14:paraId="68F66813" w14:textId="5255670F" w:rsidR="008D2948" w:rsidRPr="00125908" w:rsidRDefault="008D2948" w:rsidP="00782585">
      <w:pPr>
        <w:spacing w:after="120" w:line="240" w:lineRule="auto"/>
        <w:jc w:val="both"/>
        <w:rPr>
          <w:rFonts w:ascii="Times New Roman" w:hAnsi="Times New Roman" w:cs="Times New Roman"/>
          <w:b/>
          <w:i/>
          <w:noProof/>
          <w:color w:val="000000" w:themeColor="text1"/>
          <w:sz w:val="24"/>
        </w:rPr>
      </w:pPr>
    </w:p>
    <w:p w14:paraId="5003A00E" w14:textId="5837ED7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 Talenti deep tech</w:t>
      </w:r>
    </w:p>
    <w:p w14:paraId="36201C4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2.4.1 Sfide da raccogliere</w:t>
      </w:r>
    </w:p>
    <w:p w14:paraId="1B31164B" w14:textId="5F3456D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dipende dalla capacità di alimentare, attirare e trattenere individui di talento e stimolare un</w:t>
      </w:r>
      <w:r w:rsidR="00013882">
        <w:rPr>
          <w:rFonts w:ascii="Times New Roman" w:hAnsi="Times New Roman"/>
          <w:noProof/>
          <w:color w:val="000000" w:themeColor="text1"/>
          <w:sz w:val="24"/>
        </w:rPr>
        <w:t>'</w:t>
      </w:r>
      <w:r>
        <w:rPr>
          <w:rFonts w:ascii="Times New Roman" w:hAnsi="Times New Roman"/>
          <w:noProof/>
          <w:color w:val="000000" w:themeColor="text1"/>
          <w:sz w:val="24"/>
        </w:rPr>
        <w:t>ampia gamma di competenze. Un</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istruzione di alta qualità e condizioni di lavoro attraenti sono fondamentali per attirare e assicurare un flusso di persone altamente qualificate e di talento che possano contribuire al conseguimento di priorità politiche di più ampio respiro tra cui la duplice transizione e un vantaggio competitivo nelle catene del valore strategiche. </w:t>
      </w:r>
    </w:p>
    <w:p w14:paraId="4530EB93" w14:textId="6EC629E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Finora i processi di Bologna</w:t>
      </w:r>
      <w:r>
        <w:rPr>
          <w:rStyle w:val="FootnoteReference"/>
          <w:rFonts w:ascii="Times New Roman" w:hAnsi="Times New Roman" w:cs="Times New Roman"/>
          <w:noProof/>
          <w:color w:val="000000" w:themeColor="text1"/>
          <w:szCs w:val="24"/>
        </w:rPr>
        <w:footnoteReference w:id="83"/>
      </w:r>
      <w:r>
        <w:rPr>
          <w:rFonts w:ascii="Times New Roman" w:hAnsi="Times New Roman"/>
          <w:noProof/>
          <w:color w:val="000000" w:themeColor="text1"/>
          <w:sz w:val="24"/>
        </w:rPr>
        <w:t xml:space="preserve"> e Lisbona</w:t>
      </w:r>
      <w:r>
        <w:rPr>
          <w:rStyle w:val="FootnoteReference"/>
          <w:rFonts w:ascii="Times New Roman" w:hAnsi="Times New Roman" w:cs="Times New Roman"/>
          <w:noProof/>
          <w:color w:val="000000" w:themeColor="text1"/>
          <w:szCs w:val="24"/>
        </w:rPr>
        <w:footnoteReference w:id="84"/>
      </w:r>
      <w:r>
        <w:rPr>
          <w:rFonts w:ascii="Times New Roman" w:hAnsi="Times New Roman"/>
          <w:noProof/>
          <w:color w:val="000000" w:themeColor="text1"/>
          <w:sz w:val="24"/>
        </w:rPr>
        <w:t xml:space="preserve"> hanno svolto un ruolo fondamentale nel migliorare la competitività europea in materia di istruzione superiore, promuovendo sia la cooperazione che la mobilità all</w:t>
      </w:r>
      <w:r w:rsidR="00013882">
        <w:rPr>
          <w:rFonts w:ascii="Times New Roman" w:hAnsi="Times New Roman"/>
          <w:noProof/>
          <w:color w:val="000000" w:themeColor="text1"/>
          <w:sz w:val="24"/>
        </w:rPr>
        <w:t>'</w:t>
      </w:r>
      <w:r>
        <w:rPr>
          <w:rFonts w:ascii="Times New Roman" w:hAnsi="Times New Roman"/>
          <w:noProof/>
          <w:color w:val="000000" w:themeColor="text1"/>
          <w:sz w:val="24"/>
        </w:rPr>
        <w:t>interno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Europa e incentivando i talenti da tutto il mondo a trasferirsi in Europa. </w:t>
      </w:r>
      <w:r>
        <w:rPr>
          <w:rFonts w:ascii="Times New Roman" w:hAnsi="Times New Roman"/>
          <w:noProof/>
        </w:rPr>
        <w:t>Anche le proposte nell</w:t>
      </w:r>
      <w:r w:rsidR="00013882">
        <w:rPr>
          <w:rFonts w:ascii="Times New Roman" w:hAnsi="Times New Roman"/>
          <w:noProof/>
        </w:rPr>
        <w:t>'</w:t>
      </w:r>
      <w:r>
        <w:rPr>
          <w:rFonts w:ascii="Times New Roman" w:hAnsi="Times New Roman"/>
          <w:noProof/>
        </w:rPr>
        <w:t>ambito del SER, dello spazio europeo dell</w:t>
      </w:r>
      <w:r w:rsidR="00013882">
        <w:rPr>
          <w:rFonts w:ascii="Times New Roman" w:hAnsi="Times New Roman"/>
          <w:noProof/>
        </w:rPr>
        <w:t>'</w:t>
      </w:r>
      <w:r>
        <w:rPr>
          <w:rFonts w:ascii="Times New Roman" w:hAnsi="Times New Roman"/>
          <w:noProof/>
        </w:rPr>
        <w:t>istruzione (SEE), dell</w:t>
      </w:r>
      <w:r w:rsidR="00013882">
        <w:rPr>
          <w:rFonts w:ascii="Times New Roman" w:hAnsi="Times New Roman"/>
          <w:noProof/>
        </w:rPr>
        <w:t>'</w:t>
      </w:r>
      <w:r>
        <w:rPr>
          <w:rFonts w:ascii="Times New Roman" w:hAnsi="Times New Roman"/>
          <w:noProof/>
        </w:rPr>
        <w:t>agenda per le competenze</w:t>
      </w:r>
      <w:r>
        <w:rPr>
          <w:rStyle w:val="FootnoteReference"/>
          <w:rFonts w:ascii="Times New Roman" w:hAnsi="Times New Roman" w:cs="Times New Roman"/>
          <w:noProof/>
          <w:color w:val="000000" w:themeColor="text1"/>
        </w:rPr>
        <w:footnoteReference w:id="85"/>
      </w:r>
      <w:r>
        <w:rPr>
          <w:rFonts w:ascii="Times New Roman" w:hAnsi="Times New Roman"/>
          <w:noProof/>
        </w:rPr>
        <w:t xml:space="preserve">, della strategia europea per le università e del pacchetto </w:t>
      </w:r>
      <w:r w:rsidR="00013882">
        <w:rPr>
          <w:rFonts w:ascii="Times New Roman" w:hAnsi="Times New Roman"/>
          <w:noProof/>
        </w:rPr>
        <w:t>"</w:t>
      </w:r>
      <w:r>
        <w:rPr>
          <w:rFonts w:ascii="Times New Roman" w:hAnsi="Times New Roman"/>
          <w:noProof/>
        </w:rPr>
        <w:t>Competenze e talenti</w:t>
      </w:r>
      <w:r w:rsidR="00013882">
        <w:rPr>
          <w:rFonts w:ascii="Times New Roman" w:hAnsi="Times New Roman"/>
          <w:noProof/>
        </w:rPr>
        <w:t>"</w:t>
      </w:r>
      <w:r>
        <w:rPr>
          <w:rStyle w:val="FootnoteReference"/>
          <w:rFonts w:ascii="Times New Roman" w:hAnsi="Times New Roman" w:cs="Times New Roman"/>
          <w:noProof/>
          <w:color w:val="000000" w:themeColor="text1"/>
        </w:rPr>
        <w:footnoteReference w:id="86"/>
      </w:r>
      <w:r>
        <w:rPr>
          <w:rFonts w:ascii="Times New Roman" w:hAnsi="Times New Roman"/>
          <w:noProof/>
        </w:rPr>
        <w:t>, parallelamente ai programmi dell</w:t>
      </w:r>
      <w:r w:rsidR="00013882">
        <w:rPr>
          <w:rFonts w:ascii="Times New Roman" w:hAnsi="Times New Roman"/>
          <w:noProof/>
        </w:rPr>
        <w:t>'</w:t>
      </w:r>
      <w:r>
        <w:rPr>
          <w:rFonts w:ascii="Times New Roman" w:hAnsi="Times New Roman"/>
          <w:noProof/>
        </w:rPr>
        <w:t>UE quali il Fondo sociale europeo Plus, le azioni Marie Skłodowska Curie (MSCA), Erasmus + ed Erasmus per giovani imprenditori, svolgono un ruolo significativo per sviluppare, attirare e trattenere le competenze.</w:t>
      </w:r>
    </w:p>
    <w:p w14:paraId="00CA4651" w14:textId="54D06BE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La nuova strategia europea per le università </w:t>
      </w:r>
      <w:bookmarkStart w:id="23" w:name="_Int_8m4j6HGP"/>
      <w:r>
        <w:rPr>
          <w:rFonts w:ascii="Times New Roman" w:hAnsi="Times New Roman"/>
          <w:noProof/>
          <w:color w:val="000000" w:themeColor="text1"/>
          <w:sz w:val="24"/>
        </w:rPr>
        <w:t>prevede</w:t>
      </w:r>
      <w:bookmarkEnd w:id="23"/>
      <w:r>
        <w:rPr>
          <w:rFonts w:ascii="Times New Roman" w:hAnsi="Times New Roman"/>
          <w:noProof/>
          <w:color w:val="000000" w:themeColor="text1"/>
          <w:sz w:val="24"/>
        </w:rPr>
        <w:t xml:space="preserve"> misure per trasformare gli istituti di istruzione superiori in motori di innovazione regionale, anche organizzando una </w:t>
      </w:r>
      <w:r w:rsidR="00013882">
        <w:rPr>
          <w:rFonts w:ascii="Times New Roman" w:hAnsi="Times New Roman"/>
          <w:noProof/>
          <w:color w:val="000000" w:themeColor="text1"/>
          <w:sz w:val="24"/>
        </w:rPr>
        <w:t>"</w:t>
      </w:r>
      <w:r>
        <w:rPr>
          <w:rFonts w:ascii="Times New Roman" w:hAnsi="Times New Roman"/>
          <w:noProof/>
          <w:color w:val="000000" w:themeColor="text1"/>
          <w:sz w:val="24"/>
        </w:rPr>
        <w:t>fiera dei talenti</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per far incontrare studenti e start-up, un programma per sostenere la creazione di incubatori negli IIS europei e una nuova iniziativa </w:t>
      </w:r>
      <w:r w:rsidR="00013882">
        <w:rPr>
          <w:rFonts w:ascii="Times New Roman" w:hAnsi="Times New Roman"/>
          <w:noProof/>
          <w:color w:val="000000" w:themeColor="text1"/>
          <w:sz w:val="24"/>
        </w:rPr>
        <w:t>"</w:t>
      </w:r>
      <w:r>
        <w:rPr>
          <w:rFonts w:ascii="Times New Roman" w:hAnsi="Times New Roman"/>
          <w:noProof/>
          <w:color w:val="000000" w:themeColor="text1"/>
          <w:sz w:val="24"/>
        </w:rPr>
        <w:t>innovatori a scuola</w:t>
      </w:r>
      <w:r w:rsidR="00013882">
        <w:rPr>
          <w:rFonts w:ascii="Times New Roman" w:hAnsi="Times New Roman"/>
          <w:noProof/>
          <w:color w:val="000000" w:themeColor="text1"/>
          <w:sz w:val="24"/>
        </w:rPr>
        <w:t>"</w:t>
      </w:r>
      <w:r>
        <w:rPr>
          <w:rFonts w:ascii="Times New Roman" w:hAnsi="Times New Roman"/>
          <w:noProof/>
          <w:color w:val="000000" w:themeColor="text1"/>
          <w:sz w:val="24"/>
        </w:rPr>
        <w:t>. Analogamente, riconoscendo l</w:t>
      </w:r>
      <w:r w:rsidR="00013882">
        <w:rPr>
          <w:rFonts w:ascii="Times New Roman" w:hAnsi="Times New Roman"/>
          <w:noProof/>
          <w:color w:val="000000" w:themeColor="text1"/>
          <w:sz w:val="24"/>
        </w:rPr>
        <w:t>'</w:t>
      </w:r>
      <w:r>
        <w:rPr>
          <w:rFonts w:ascii="Times New Roman" w:hAnsi="Times New Roman"/>
          <w:noProof/>
          <w:color w:val="000000" w:themeColor="text1"/>
          <w:sz w:val="24"/>
        </w:rPr>
        <w:t>importanza dell</w:t>
      </w:r>
      <w:r w:rsidR="00013882">
        <w:rPr>
          <w:rFonts w:ascii="Times New Roman" w:hAnsi="Times New Roman"/>
          <w:noProof/>
          <w:color w:val="000000" w:themeColor="text1"/>
          <w:sz w:val="24"/>
        </w:rPr>
        <w:t>'</w:t>
      </w:r>
      <w:r>
        <w:rPr>
          <w:rFonts w:ascii="Times New Roman" w:hAnsi="Times New Roman"/>
          <w:noProof/>
          <w:color w:val="000000" w:themeColor="text1"/>
          <w:sz w:val="24"/>
        </w:rPr>
        <w:t>istruzione e della formazione professionale, i centri di eccellenza professionale (CoVE)</w:t>
      </w:r>
      <w:r>
        <w:rPr>
          <w:rStyle w:val="FootnoteReference"/>
          <w:rFonts w:ascii="Times New Roman" w:hAnsi="Times New Roman" w:cs="Times New Roman"/>
          <w:noProof/>
          <w:color w:val="000000" w:themeColor="text1"/>
        </w:rPr>
        <w:footnoteReference w:id="87"/>
      </w:r>
      <w:r>
        <w:rPr>
          <w:rFonts w:ascii="Times New Roman" w:hAnsi="Times New Roman"/>
          <w:noProof/>
          <w:color w:val="000000" w:themeColor="text1"/>
          <w:sz w:val="24"/>
        </w:rPr>
        <w:t xml:space="preserve"> </w:t>
      </w:r>
      <w:r w:rsidR="00827F42">
        <w:rPr>
          <w:rFonts w:ascii="Times New Roman" w:hAnsi="Times New Roman"/>
          <w:noProof/>
          <w:color w:val="000000" w:themeColor="text1"/>
          <w:sz w:val="24"/>
        </w:rPr>
        <w:t>offrono</w:t>
      </w:r>
      <w:r>
        <w:rPr>
          <w:rFonts w:ascii="Times New Roman" w:hAnsi="Times New Roman"/>
          <w:noProof/>
          <w:color w:val="000000" w:themeColor="text1"/>
          <w:sz w:val="24"/>
        </w:rPr>
        <w:t xml:space="preserve"> un sostegno di elevata qualità all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 e in seno alle regioni, anche attraverso servizi come i cluster e gli incubatori di imprese per le start-up insieme a iniziative imprenditoriali per i partecipanti.</w:t>
      </w:r>
    </w:p>
    <w:p w14:paraId="6AF831B8" w14:textId="00C11AA3" w:rsidR="008D2948"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EIT ha creato la più grande rete di partner per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che conta 2900 membri, incentrata in particolare su corsi di istruzione che associano competenze tecniche e imprenditoriali, nonché la creazione di start-up e servizi di accelerazione che offrono inv</w:t>
      </w:r>
      <w:r w:rsidR="00DB41F6">
        <w:rPr>
          <w:rFonts w:ascii="Times New Roman" w:hAnsi="Times New Roman"/>
          <w:noProof/>
          <w:color w:val="000000" w:themeColor="text1"/>
          <w:sz w:val="24"/>
        </w:rPr>
        <w:t>estimenti azionari per le start</w:t>
      </w:r>
      <w:r w:rsidR="00DB41F6">
        <w:rPr>
          <w:rFonts w:ascii="Times New Roman" w:hAnsi="Times New Roman"/>
          <w:noProof/>
          <w:color w:val="000000" w:themeColor="text1"/>
          <w:sz w:val="24"/>
        </w:rPr>
        <w:noBreakHyphen/>
      </w:r>
      <w:r>
        <w:rPr>
          <w:rFonts w:ascii="Times New Roman" w:hAnsi="Times New Roman"/>
          <w:noProof/>
          <w:color w:val="000000" w:themeColor="text1"/>
          <w:sz w:val="24"/>
        </w:rPr>
        <w:t>up. Il dialogo strutturato sull</w:t>
      </w:r>
      <w:r w:rsidR="00013882">
        <w:rPr>
          <w:rFonts w:ascii="Times New Roman" w:hAnsi="Times New Roman"/>
          <w:noProof/>
          <w:color w:val="000000" w:themeColor="text1"/>
          <w:sz w:val="24"/>
        </w:rPr>
        <w:t>'</w:t>
      </w:r>
      <w:r>
        <w:rPr>
          <w:rFonts w:ascii="Times New Roman" w:hAnsi="Times New Roman"/>
          <w:noProof/>
          <w:color w:val="000000" w:themeColor="text1"/>
          <w:sz w:val="24"/>
        </w:rPr>
        <w:t>istruzione e le competenze digitali avviato nell</w:t>
      </w:r>
      <w:r w:rsidR="00013882">
        <w:rPr>
          <w:rFonts w:ascii="Times New Roman" w:hAnsi="Times New Roman"/>
          <w:noProof/>
          <w:color w:val="000000" w:themeColor="text1"/>
          <w:sz w:val="24"/>
        </w:rPr>
        <w:t>'</w:t>
      </w:r>
      <w:r>
        <w:rPr>
          <w:rFonts w:ascii="Times New Roman" w:hAnsi="Times New Roman"/>
          <w:noProof/>
          <w:color w:val="000000" w:themeColor="text1"/>
          <w:sz w:val="24"/>
        </w:rPr>
        <w:t>ottobre 2021, a seguito del discorso sullo stato dell</w:t>
      </w:r>
      <w:r w:rsidR="00013882">
        <w:rPr>
          <w:rFonts w:ascii="Times New Roman" w:hAnsi="Times New Roman"/>
          <w:noProof/>
          <w:color w:val="000000" w:themeColor="text1"/>
          <w:sz w:val="24"/>
        </w:rPr>
        <w:t>'</w:t>
      </w:r>
      <w:r>
        <w:rPr>
          <w:rFonts w:ascii="Times New Roman" w:hAnsi="Times New Roman"/>
          <w:noProof/>
          <w:color w:val="000000" w:themeColor="text1"/>
          <w:sz w:val="24"/>
        </w:rPr>
        <w:t>Unione della presidente von der Leyen, sosterrà anche gli Stati membri nei loro sforzi per il conseguimento dell</w:t>
      </w:r>
      <w:r w:rsidR="00013882">
        <w:rPr>
          <w:rFonts w:ascii="Times New Roman" w:hAnsi="Times New Roman"/>
          <w:noProof/>
          <w:color w:val="000000" w:themeColor="text1"/>
          <w:sz w:val="24"/>
        </w:rPr>
        <w:t>'</w:t>
      </w:r>
      <w:r>
        <w:rPr>
          <w:rFonts w:ascii="Times New Roman" w:hAnsi="Times New Roman"/>
          <w:noProof/>
          <w:color w:val="000000" w:themeColor="text1"/>
          <w:sz w:val="24"/>
        </w:rPr>
        <w:t>obiettivo del decennio digitale incentrato sulle competenze. Contribuirà a individuare le lacune esistenti a livello nazionale e a promuovere approcci efficaci per migliorare le competenze digitali e la relativa formazione.</w:t>
      </w:r>
    </w:p>
    <w:p w14:paraId="64A5DB23" w14:textId="63A13C0B" w:rsidR="004E7C92"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Inoltre, diversi Stati membri hanno ora varato </w:t>
      </w:r>
      <w:r w:rsidR="00013882">
        <w:rPr>
          <w:rFonts w:ascii="Times New Roman" w:hAnsi="Times New Roman"/>
          <w:noProof/>
          <w:color w:val="000000" w:themeColor="text1"/>
          <w:sz w:val="24"/>
        </w:rPr>
        <w:t>"</w:t>
      </w:r>
      <w:r>
        <w:rPr>
          <w:rFonts w:ascii="Times New Roman" w:hAnsi="Times New Roman"/>
          <w:noProof/>
          <w:color w:val="000000" w:themeColor="text1"/>
          <w:sz w:val="24"/>
        </w:rPr>
        <w:t>visti per le start-up</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e nel 2021 26 paesi (25 Stati membri e l</w:t>
      </w:r>
      <w:r w:rsidR="00013882">
        <w:rPr>
          <w:rFonts w:ascii="Times New Roman" w:hAnsi="Times New Roman"/>
          <w:noProof/>
          <w:color w:val="000000" w:themeColor="text1"/>
          <w:sz w:val="24"/>
        </w:rPr>
        <w:t>'</w:t>
      </w:r>
      <w:r w:rsidR="00827F42">
        <w:rPr>
          <w:rFonts w:ascii="Times New Roman" w:hAnsi="Times New Roman"/>
          <w:noProof/>
          <w:color w:val="000000" w:themeColor="text1"/>
          <w:sz w:val="24"/>
        </w:rPr>
        <w:t>Islanda</w:t>
      </w:r>
      <w:r>
        <w:rPr>
          <w:rFonts w:ascii="Times New Roman" w:hAnsi="Times New Roman"/>
          <w:noProof/>
          <w:color w:val="000000" w:themeColor="text1"/>
          <w:sz w:val="24"/>
        </w:rPr>
        <w:t>) hanno firmato la dichiarazione sulle norme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EU per le nazioni che intendono incoraggiare le start-up </w:t>
      </w:r>
      <w:r>
        <w:rPr>
          <w:rStyle w:val="FootnoteReference"/>
          <w:rFonts w:ascii="Times New Roman" w:hAnsi="Times New Roman" w:cs="Times New Roman"/>
          <w:noProof/>
          <w:color w:val="000000" w:themeColor="text1"/>
          <w:szCs w:val="24"/>
        </w:rPr>
        <w:footnoteReference w:id="88"/>
      </w:r>
      <w:r>
        <w:rPr>
          <w:rFonts w:ascii="Times New Roman" w:hAnsi="Times New Roman"/>
          <w:noProof/>
          <w:color w:val="000000" w:themeColor="text1"/>
          <w:sz w:val="24"/>
        </w:rPr>
        <w:t>, che promuove politiche in grado di favorire le start-up e facilitare l</w:t>
      </w:r>
      <w:r w:rsidR="00013882">
        <w:rPr>
          <w:rFonts w:ascii="Times New Roman" w:hAnsi="Times New Roman"/>
          <w:noProof/>
          <w:color w:val="000000" w:themeColor="text1"/>
          <w:sz w:val="24"/>
        </w:rPr>
        <w:t>'</w:t>
      </w:r>
      <w:r>
        <w:rPr>
          <w:rFonts w:ascii="Times New Roman" w:hAnsi="Times New Roman"/>
          <w:noProof/>
          <w:color w:val="000000" w:themeColor="text1"/>
          <w:sz w:val="24"/>
        </w:rPr>
        <w:t>accesso ai talenti, anche internazionali.</w:t>
      </w:r>
    </w:p>
    <w:p w14:paraId="429058C6" w14:textId="2BF1F96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Ciononostante </w:t>
      </w:r>
      <w:bookmarkStart w:id="24" w:name="_Int_LYjhH82i"/>
      <w:r>
        <w:rPr>
          <w:rFonts w:ascii="Times New Roman" w:hAnsi="Times New Roman"/>
          <w:noProof/>
          <w:color w:val="000000" w:themeColor="text1"/>
          <w:sz w:val="24"/>
        </w:rPr>
        <w:t>sembra che</w:t>
      </w:r>
      <w:bookmarkEnd w:id="24"/>
      <w:r>
        <w:rPr>
          <w:rFonts w:ascii="Times New Roman" w:hAnsi="Times New Roman"/>
          <w:noProof/>
          <w:color w:val="000000" w:themeColor="text1"/>
          <w:sz w:val="24"/>
        </w:rPr>
        <w:t xml:space="preserve"> l</w:t>
      </w:r>
      <w:r w:rsidR="00013882">
        <w:rPr>
          <w:rFonts w:ascii="Times New Roman" w:hAnsi="Times New Roman"/>
          <w:noProof/>
          <w:color w:val="000000" w:themeColor="text1"/>
          <w:sz w:val="24"/>
        </w:rPr>
        <w:t>'</w:t>
      </w:r>
      <w:r>
        <w:rPr>
          <w:rFonts w:ascii="Times New Roman" w:hAnsi="Times New Roman"/>
          <w:noProof/>
          <w:color w:val="000000" w:themeColor="text1"/>
          <w:sz w:val="24"/>
        </w:rPr>
        <w:t>UE stia perdendo la corsa mondiale per attirare talenti</w:t>
      </w:r>
      <w:r>
        <w:rPr>
          <w:rStyle w:val="FootnoteReference"/>
          <w:rFonts w:ascii="Times New Roman" w:hAnsi="Times New Roman" w:cs="Times New Roman"/>
          <w:noProof/>
          <w:color w:val="000000" w:themeColor="text1"/>
          <w:szCs w:val="24"/>
        </w:rPr>
        <w:footnoteReference w:id="89"/>
      </w:r>
      <w:r>
        <w:rPr>
          <w:rFonts w:ascii="Times New Roman" w:hAnsi="Times New Roman"/>
          <w:noProof/>
          <w:color w:val="000000" w:themeColor="text1"/>
          <w:sz w:val="24"/>
        </w:rPr>
        <w:t>. Ricercatori qualificati e potenziali accademici si sono trasferiti dall</w:t>
      </w:r>
      <w:r w:rsidR="00013882">
        <w:rPr>
          <w:rFonts w:ascii="Times New Roman" w:hAnsi="Times New Roman"/>
          <w:noProof/>
          <w:color w:val="000000" w:themeColor="text1"/>
          <w:sz w:val="24"/>
        </w:rPr>
        <w:t>'</w:t>
      </w:r>
      <w:r>
        <w:rPr>
          <w:rFonts w:ascii="Times New Roman" w:hAnsi="Times New Roman"/>
          <w:noProof/>
          <w:color w:val="000000" w:themeColor="text1"/>
          <w:sz w:val="24"/>
        </w:rPr>
        <w:t>UE negli Stati Uniti e l</w:t>
      </w:r>
      <w:r w:rsidR="00013882">
        <w:rPr>
          <w:rFonts w:ascii="Times New Roman" w:hAnsi="Times New Roman"/>
          <w:noProof/>
          <w:color w:val="000000" w:themeColor="text1"/>
          <w:sz w:val="24"/>
        </w:rPr>
        <w:t>'</w:t>
      </w:r>
      <w:r>
        <w:rPr>
          <w:rFonts w:ascii="Times New Roman" w:hAnsi="Times New Roman"/>
          <w:noProof/>
          <w:color w:val="000000" w:themeColor="text1"/>
          <w:sz w:val="24"/>
        </w:rPr>
        <w:t>UE ha avuto meno successo rispetto ad altri paesi dell</w:t>
      </w:r>
      <w:r w:rsidR="00013882">
        <w:rPr>
          <w:rFonts w:ascii="Times New Roman" w:hAnsi="Times New Roman"/>
          <w:noProof/>
          <w:color w:val="000000" w:themeColor="text1"/>
          <w:sz w:val="24"/>
        </w:rPr>
        <w:t>'</w:t>
      </w:r>
      <w:r>
        <w:rPr>
          <w:rFonts w:ascii="Times New Roman" w:hAnsi="Times New Roman"/>
          <w:noProof/>
          <w:color w:val="000000" w:themeColor="text1"/>
          <w:sz w:val="24"/>
        </w:rPr>
        <w:t>OCSE, come Stati Uniti, Canada e Australia, nell</w:t>
      </w:r>
      <w:r w:rsidR="00013882">
        <w:rPr>
          <w:rFonts w:ascii="Times New Roman" w:hAnsi="Times New Roman"/>
          <w:noProof/>
          <w:color w:val="000000" w:themeColor="text1"/>
          <w:sz w:val="24"/>
        </w:rPr>
        <w:t>'</w:t>
      </w:r>
      <w:r>
        <w:rPr>
          <w:rFonts w:ascii="Times New Roman" w:hAnsi="Times New Roman"/>
          <w:noProof/>
          <w:color w:val="000000" w:themeColor="text1"/>
          <w:sz w:val="24"/>
        </w:rPr>
        <w:t>attirare talenti mondiali nelle prime fasi della carriera, anche a livello di dottorato. L</w:t>
      </w:r>
      <w:r w:rsidR="00013882">
        <w:rPr>
          <w:rFonts w:ascii="Times New Roman" w:hAnsi="Times New Roman"/>
          <w:noProof/>
          <w:color w:val="000000" w:themeColor="text1"/>
          <w:sz w:val="24"/>
        </w:rPr>
        <w:t>'</w:t>
      </w:r>
      <w:r>
        <w:rPr>
          <w:rFonts w:ascii="Times New Roman" w:hAnsi="Times New Roman"/>
          <w:noProof/>
          <w:color w:val="000000" w:themeColor="text1"/>
          <w:sz w:val="24"/>
        </w:rPr>
        <w:t>accesso ai talenti è ostacolato anche da barriere strutturali e da pregiudizi persistenti, che si traducono in una scarsa diversità in particolare nei settori STEM: le donne rappresentano il 22,4 % dei dottorandi nel campo delle TIC e il 29,4 % nel settore dell</w:t>
      </w:r>
      <w:r w:rsidR="00013882">
        <w:rPr>
          <w:rFonts w:ascii="Times New Roman" w:hAnsi="Times New Roman"/>
          <w:noProof/>
          <w:color w:val="000000" w:themeColor="text1"/>
          <w:sz w:val="24"/>
        </w:rPr>
        <w:t>'</w:t>
      </w:r>
      <w:r>
        <w:rPr>
          <w:rFonts w:ascii="Times New Roman" w:hAnsi="Times New Roman"/>
          <w:noProof/>
          <w:color w:val="000000" w:themeColor="text1"/>
          <w:sz w:val="24"/>
        </w:rPr>
        <w:t>ingegneria, della produzione manifatturiera e dell</w:t>
      </w:r>
      <w:r w:rsidR="00013882">
        <w:rPr>
          <w:rFonts w:ascii="Times New Roman" w:hAnsi="Times New Roman"/>
          <w:noProof/>
          <w:color w:val="000000" w:themeColor="text1"/>
          <w:sz w:val="24"/>
        </w:rPr>
        <w:t>'</w:t>
      </w:r>
      <w:r>
        <w:rPr>
          <w:rFonts w:ascii="Times New Roman" w:hAnsi="Times New Roman"/>
          <w:noProof/>
          <w:color w:val="000000" w:themeColor="text1"/>
          <w:sz w:val="24"/>
        </w:rPr>
        <w:t>edilizia.</w:t>
      </w:r>
    </w:p>
    <w:p w14:paraId="36AA844A" w14:textId="7A85961B"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Parallelamente, la popolazione </w:t>
      </w:r>
      <w:bookmarkStart w:id="26" w:name="_Int_QU6eEwMZ"/>
      <w:r>
        <w:rPr>
          <w:rFonts w:ascii="Times New Roman" w:hAnsi="Times New Roman"/>
          <w:noProof/>
          <w:color w:val="000000" w:themeColor="text1"/>
          <w:sz w:val="24"/>
        </w:rPr>
        <w:t>in</w:t>
      </w:r>
      <w:bookmarkEnd w:id="26"/>
      <w:r>
        <w:rPr>
          <w:rFonts w:ascii="Times New Roman" w:hAnsi="Times New Roman"/>
          <w:noProof/>
          <w:color w:val="000000" w:themeColor="text1"/>
          <w:sz w:val="24"/>
        </w:rPr>
        <w:t xml:space="preserve"> età lavorativa dell</w:t>
      </w:r>
      <w:r w:rsidR="00013882">
        <w:rPr>
          <w:rFonts w:ascii="Times New Roman" w:hAnsi="Times New Roman"/>
          <w:noProof/>
          <w:color w:val="000000" w:themeColor="text1"/>
          <w:sz w:val="24"/>
        </w:rPr>
        <w:t>'</w:t>
      </w:r>
      <w:r>
        <w:rPr>
          <w:rFonts w:ascii="Times New Roman" w:hAnsi="Times New Roman"/>
          <w:noProof/>
          <w:color w:val="000000" w:themeColor="text1"/>
          <w:sz w:val="24"/>
        </w:rPr>
        <w:t>UE sta diminuendo a causa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evoluzione demografica e i cambiamenti prevedibili nel mercato del lavoro indicano un rischio di sempre maggiori squilibri tra domanda e offerta di competenze e di future carenze. Vi è, ad esempio, una percentuale </w:t>
      </w:r>
      <w:bookmarkStart w:id="27" w:name="_Int_hytCcucM"/>
      <w:r>
        <w:rPr>
          <w:rFonts w:ascii="Times New Roman" w:hAnsi="Times New Roman"/>
          <w:noProof/>
          <w:color w:val="000000" w:themeColor="text1"/>
          <w:sz w:val="24"/>
        </w:rPr>
        <w:t>relativamente elevata</w:t>
      </w:r>
      <w:bookmarkEnd w:id="27"/>
      <w:r>
        <w:rPr>
          <w:rFonts w:ascii="Times New Roman" w:hAnsi="Times New Roman"/>
          <w:noProof/>
          <w:color w:val="000000" w:themeColor="text1"/>
          <w:sz w:val="24"/>
        </w:rPr>
        <w:t xml:space="preserve"> di professionisti con competenze nelle tecnologie avanzate di produzione manifatturiera e nelle biotecnologie industriali nell</w:t>
      </w:r>
      <w:r w:rsidR="00013882">
        <w:rPr>
          <w:rFonts w:ascii="Times New Roman" w:hAnsi="Times New Roman"/>
          <w:noProof/>
          <w:color w:val="000000" w:themeColor="text1"/>
          <w:sz w:val="24"/>
        </w:rPr>
        <w:t>'</w:t>
      </w:r>
      <w:r>
        <w:rPr>
          <w:rFonts w:ascii="Times New Roman" w:hAnsi="Times New Roman"/>
          <w:noProof/>
          <w:color w:val="000000" w:themeColor="text1"/>
          <w:sz w:val="24"/>
        </w:rPr>
        <w:t>UE-27, ma sussiste un notevole divario rispetto agli Stati Uniti in materia di IA e cibersicurezza</w:t>
      </w:r>
      <w:r>
        <w:rPr>
          <w:rStyle w:val="FootnoteReference"/>
          <w:rFonts w:ascii="Times New Roman" w:hAnsi="Times New Roman" w:cs="Times New Roman"/>
          <w:noProof/>
          <w:color w:val="000000" w:themeColor="text1"/>
          <w:szCs w:val="24"/>
        </w:rPr>
        <w:footnoteReference w:id="90"/>
      </w:r>
      <w:r>
        <w:rPr>
          <w:rFonts w:ascii="Times New Roman" w:hAnsi="Times New Roman"/>
          <w:noProof/>
          <w:color w:val="000000" w:themeColor="text1"/>
          <w:sz w:val="24"/>
        </w:rPr>
        <w:t>.</w:t>
      </w:r>
    </w:p>
    <w:p w14:paraId="46A1D4FD" w14:textId="2D3733D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Elevate concentrazioni di talenti nei diversi Stati membri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accentueranno tali carenze. Dalle relazioni per paese di </w:t>
      </w:r>
      <w:r w:rsidR="00013882">
        <w:rPr>
          <w:rFonts w:ascii="Times New Roman" w:hAnsi="Times New Roman"/>
          <w:noProof/>
          <w:color w:val="000000" w:themeColor="text1"/>
          <w:sz w:val="24"/>
        </w:rPr>
        <w:t>"</w:t>
      </w:r>
      <w:r>
        <w:rPr>
          <w:rFonts w:ascii="Times New Roman" w:hAnsi="Times New Roman"/>
          <w:noProof/>
          <w:color w:val="000000" w:themeColor="text1"/>
          <w:sz w:val="24"/>
        </w:rPr>
        <w:t>HEInnovate</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Cs w:val="24"/>
        </w:rPr>
        <w:footnoteReference w:id="91"/>
      </w:r>
      <w:r>
        <w:rPr>
          <w:rFonts w:ascii="Times New Roman" w:hAnsi="Times New Roman"/>
          <w:noProof/>
          <w:color w:val="000000" w:themeColor="text1"/>
          <w:sz w:val="24"/>
        </w:rPr>
        <w:t xml:space="preserve"> emerge che gli IIS più innovativi e imprenditoriali si concentrano nelle principali città, con una conseguente disparità tra esigenze dell</w:t>
      </w:r>
      <w:r w:rsidR="00013882">
        <w:rPr>
          <w:rFonts w:ascii="Times New Roman" w:hAnsi="Times New Roman"/>
          <w:noProof/>
          <w:color w:val="000000" w:themeColor="text1"/>
          <w:sz w:val="24"/>
        </w:rPr>
        <w:t>'</w:t>
      </w:r>
      <w:r>
        <w:rPr>
          <w:rFonts w:ascii="Times New Roman" w:hAnsi="Times New Roman"/>
          <w:noProof/>
          <w:color w:val="000000" w:themeColor="text1"/>
          <w:sz w:val="24"/>
        </w:rPr>
        <w:t>economia e disponibilità di talenti. Le regioni in grado di sviluppare tecnologie essenziali per la transizione verde, come le energie rinnovabili, sono spesso lontane dalle regioni in cui sono ubicate le industrie in transizione - come l</w:t>
      </w:r>
      <w:r w:rsidR="00013882">
        <w:rPr>
          <w:rFonts w:ascii="Times New Roman" w:hAnsi="Times New Roman"/>
          <w:noProof/>
          <w:color w:val="000000" w:themeColor="text1"/>
          <w:sz w:val="24"/>
        </w:rPr>
        <w:t>'</w:t>
      </w:r>
      <w:r>
        <w:rPr>
          <w:rFonts w:ascii="Times New Roman" w:hAnsi="Times New Roman"/>
          <w:noProof/>
          <w:color w:val="000000" w:themeColor="text1"/>
          <w:sz w:val="24"/>
        </w:rPr>
        <w:t>estrazione del carbone</w:t>
      </w:r>
      <w:r>
        <w:rPr>
          <w:rStyle w:val="FootnoteReference"/>
          <w:rFonts w:ascii="Times New Roman" w:hAnsi="Times New Roman" w:cs="Times New Roman"/>
          <w:noProof/>
          <w:color w:val="000000" w:themeColor="text1"/>
          <w:szCs w:val="24"/>
        </w:rPr>
        <w:footnoteReference w:id="92"/>
      </w:r>
      <w:r>
        <w:rPr>
          <w:rFonts w:ascii="Times New Roman" w:hAnsi="Times New Roman"/>
          <w:noProof/>
          <w:color w:val="000000" w:themeColor="text1"/>
          <w:sz w:val="24"/>
        </w:rPr>
        <w:t xml:space="preserve">. </w:t>
      </w:r>
    </w:p>
    <w:p w14:paraId="4974BA09" w14:textId="685693D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La collaborazione università-industria e quella con le infrastrutture di ricerca e tecnologia è un canale fondamentale per la produzione, la valorizzazione e la diffusione di nuove conoscenze. </w:t>
      </w:r>
      <w:r>
        <w:rPr>
          <w:rFonts w:ascii="Times New Roman" w:hAnsi="Times New Roman"/>
          <w:noProof/>
        </w:rPr>
        <w:t>I dati indicano tuttavia una diffusione limitata del sostegno alla mobilità intersettoriale, nonostante un maggiore riconoscimento del suo valore.</w:t>
      </w:r>
      <w:r>
        <w:rPr>
          <w:rFonts w:ascii="Times New Roman" w:hAnsi="Times New Roman"/>
          <w:noProof/>
          <w:color w:val="000000" w:themeColor="text1"/>
          <w:sz w:val="24"/>
        </w:rPr>
        <w:t xml:space="preserve"> </w:t>
      </w:r>
      <w:r>
        <w:rPr>
          <w:rFonts w:ascii="Times New Roman" w:hAnsi="Times New Roman"/>
          <w:noProof/>
        </w:rPr>
        <w:t>Le infrastrutture dell</w:t>
      </w:r>
      <w:r w:rsidR="00013882">
        <w:rPr>
          <w:rFonts w:ascii="Times New Roman" w:hAnsi="Times New Roman"/>
          <w:noProof/>
        </w:rPr>
        <w:t>'</w:t>
      </w:r>
      <w:r>
        <w:rPr>
          <w:rFonts w:ascii="Times New Roman" w:hAnsi="Times New Roman"/>
          <w:noProof/>
        </w:rPr>
        <w:t xml:space="preserve">istruzione superiore, della ricerca e della tecnologia e gli istituti di formazione, in particolare </w:t>
      </w:r>
      <w:bookmarkStart w:id="28" w:name="_Int_Wfe1KyW4"/>
      <w:r>
        <w:rPr>
          <w:rFonts w:ascii="Times New Roman" w:hAnsi="Times New Roman"/>
          <w:noProof/>
        </w:rPr>
        <w:t>nelle regioni meno innovative,</w:t>
      </w:r>
      <w:bookmarkEnd w:id="28"/>
      <w:r>
        <w:rPr>
          <w:rFonts w:ascii="Times New Roman" w:hAnsi="Times New Roman"/>
          <w:noProof/>
        </w:rPr>
        <w:t xml:space="preserve"> non dispongono attualmente degli incentivi, dell</w:t>
      </w:r>
      <w:r w:rsidR="00013882">
        <w:rPr>
          <w:rFonts w:ascii="Times New Roman" w:hAnsi="Times New Roman"/>
          <w:noProof/>
        </w:rPr>
        <w:t>'</w:t>
      </w:r>
      <w:r>
        <w:rPr>
          <w:rFonts w:ascii="Times New Roman" w:hAnsi="Times New Roman"/>
          <w:noProof/>
        </w:rPr>
        <w:t>esperienza e delle risorse necessari per collaborare più efficacemente con i partner industriali regionali e internazionali.</w:t>
      </w:r>
      <w:r>
        <w:rPr>
          <w:rFonts w:ascii="Times New Roman" w:hAnsi="Times New Roman"/>
          <w:noProof/>
          <w:color w:val="000000" w:themeColor="text1"/>
          <w:sz w:val="24"/>
        </w:rPr>
        <w:t xml:space="preserve"> Anche le reti e la formazione imprenditoriali, essenziali per sviluppare capacità ed esperienza nell</w:t>
      </w:r>
      <w:r w:rsidR="00013882">
        <w:rPr>
          <w:rFonts w:ascii="Times New Roman" w:hAnsi="Times New Roman"/>
          <w:noProof/>
          <w:color w:val="000000" w:themeColor="text1"/>
          <w:sz w:val="24"/>
        </w:rPr>
        <w:t>'</w:t>
      </w:r>
      <w:r>
        <w:rPr>
          <w:rFonts w:ascii="Times New Roman" w:hAnsi="Times New Roman"/>
          <w:noProof/>
          <w:color w:val="000000" w:themeColor="text1"/>
          <w:sz w:val="24"/>
        </w:rPr>
        <w:t>individuazione delle opportunità e nella commercializzazione di proposte innovative, non sono accessibili a tutti in egual misura e l</w:t>
      </w:r>
      <w:r w:rsidR="00013882">
        <w:rPr>
          <w:rFonts w:ascii="Times New Roman" w:hAnsi="Times New Roman"/>
          <w:noProof/>
          <w:color w:val="000000" w:themeColor="text1"/>
          <w:sz w:val="24"/>
        </w:rPr>
        <w:t>'</w:t>
      </w:r>
      <w:r>
        <w:rPr>
          <w:rFonts w:ascii="Times New Roman" w:hAnsi="Times New Roman"/>
          <w:noProof/>
          <w:color w:val="000000" w:themeColor="text1"/>
          <w:sz w:val="24"/>
        </w:rPr>
        <w:t>ecosistema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non riflette la ricca diversità della sua popolazione.</w:t>
      </w:r>
    </w:p>
    <w:p w14:paraId="1E11DA17" w14:textId="19DB44D3" w:rsidR="008D2948" w:rsidRPr="00782585" w:rsidRDefault="0016247B"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Inoltre, nonostante un efficace sistema di stock option</w:t>
      </w:r>
      <w:r>
        <w:rPr>
          <w:rStyle w:val="FootnoteReference"/>
          <w:rFonts w:ascii="Times New Roman" w:hAnsi="Times New Roman" w:cs="Times New Roman"/>
          <w:noProof/>
          <w:color w:val="000000" w:themeColor="text1"/>
          <w:sz w:val="24"/>
        </w:rPr>
        <w:footnoteReference w:id="93"/>
      </w:r>
      <w:r>
        <w:rPr>
          <w:rFonts w:ascii="Times New Roman" w:hAnsi="Times New Roman"/>
          <w:noProof/>
          <w:color w:val="000000" w:themeColor="text1"/>
          <w:sz w:val="24"/>
        </w:rPr>
        <w:t xml:space="preserve"> che consente alle start-up di attirare talenti che dimostrano il proprio valore, i livelli di partecipazione azionaria dei dipendenti rimangono bassi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r>
        <w:rPr>
          <w:rStyle w:val="FootnoteReference"/>
          <w:rFonts w:ascii="Times New Roman" w:hAnsi="Times New Roman" w:cs="Times New Roman"/>
          <w:noProof/>
          <w:color w:val="000000" w:themeColor="text1"/>
        </w:rPr>
        <w:footnoteReference w:id="94"/>
      </w:r>
      <w:r>
        <w:rPr>
          <w:rFonts w:ascii="Times New Roman" w:hAnsi="Times New Roman"/>
          <w:noProof/>
          <w:color w:val="000000" w:themeColor="text1"/>
          <w:sz w:val="24"/>
        </w:rPr>
        <w:t xml:space="preserve">. </w:t>
      </w:r>
      <w:r>
        <w:rPr>
          <w:rFonts w:ascii="Times New Roman" w:hAnsi="Times New Roman"/>
          <w:noProof/>
          <w:color w:val="000000" w:themeColor="text1"/>
        </w:rPr>
        <w:t>L</w:t>
      </w:r>
      <w:r w:rsidR="00013882">
        <w:rPr>
          <w:rFonts w:ascii="Times New Roman" w:hAnsi="Times New Roman"/>
          <w:noProof/>
          <w:color w:val="000000" w:themeColor="text1"/>
        </w:rPr>
        <w:t>'</w:t>
      </w:r>
      <w:r>
        <w:rPr>
          <w:rFonts w:ascii="Times New Roman" w:hAnsi="Times New Roman"/>
          <w:noProof/>
          <w:color w:val="000000" w:themeColor="text1"/>
        </w:rPr>
        <w:t xml:space="preserve">assenza di </w:t>
      </w:r>
      <w:bookmarkStart w:id="29" w:name="_Int_ZwCXCTYA"/>
      <w:r>
        <w:rPr>
          <w:rFonts w:ascii="Times New Roman" w:hAnsi="Times New Roman"/>
          <w:noProof/>
          <w:color w:val="000000" w:themeColor="text1"/>
        </w:rPr>
        <w:t>agevolazioni</w:t>
      </w:r>
      <w:bookmarkEnd w:id="29"/>
      <w:r>
        <w:rPr>
          <w:rFonts w:ascii="Times New Roman" w:hAnsi="Times New Roman"/>
          <w:noProof/>
          <w:color w:val="000000" w:themeColor="text1"/>
        </w:rPr>
        <w:t xml:space="preserve"> per l</w:t>
      </w:r>
      <w:r w:rsidR="00013882">
        <w:rPr>
          <w:rFonts w:ascii="Times New Roman" w:hAnsi="Times New Roman"/>
          <w:noProof/>
          <w:color w:val="000000" w:themeColor="text1"/>
        </w:rPr>
        <w:t>'</w:t>
      </w:r>
      <w:r>
        <w:rPr>
          <w:rFonts w:ascii="Times New Roman" w:hAnsi="Times New Roman"/>
          <w:noProof/>
          <w:color w:val="000000" w:themeColor="text1"/>
        </w:rPr>
        <w:t>acquisto di un</w:t>
      </w:r>
      <w:r w:rsidR="00013882">
        <w:rPr>
          <w:rFonts w:ascii="Times New Roman" w:hAnsi="Times New Roman"/>
          <w:noProof/>
          <w:color w:val="000000" w:themeColor="text1"/>
        </w:rPr>
        <w:t>'</w:t>
      </w:r>
      <w:r>
        <w:rPr>
          <w:rFonts w:ascii="Times New Roman" w:hAnsi="Times New Roman"/>
          <w:noProof/>
          <w:color w:val="000000" w:themeColor="text1"/>
        </w:rPr>
        <w:t>impresa votata all</w:t>
      </w:r>
      <w:r w:rsidR="00013882">
        <w:rPr>
          <w:rFonts w:ascii="Times New Roman" w:hAnsi="Times New Roman"/>
          <w:noProof/>
          <w:color w:val="000000" w:themeColor="text1"/>
        </w:rPr>
        <w:t>'</w:t>
      </w:r>
      <w:r>
        <w:rPr>
          <w:rFonts w:ascii="Times New Roman" w:hAnsi="Times New Roman"/>
          <w:noProof/>
          <w:color w:val="000000" w:themeColor="text1"/>
        </w:rPr>
        <w:t>innovazione da parte dei suoi lavoratori ostacola la capacità delle start-up dell</w:t>
      </w:r>
      <w:r w:rsidR="00013882">
        <w:rPr>
          <w:rFonts w:ascii="Times New Roman" w:hAnsi="Times New Roman"/>
          <w:noProof/>
          <w:color w:val="000000" w:themeColor="text1"/>
        </w:rPr>
        <w:t>'</w:t>
      </w:r>
      <w:r>
        <w:rPr>
          <w:rFonts w:ascii="Times New Roman" w:hAnsi="Times New Roman"/>
          <w:noProof/>
          <w:color w:val="000000" w:themeColor="text1"/>
        </w:rPr>
        <w:t>UE di competere con le grandi imprese tecnologiche nella ricerca di talenti.</w:t>
      </w:r>
    </w:p>
    <w:p w14:paraId="4935CD3E" w14:textId="77777777" w:rsidR="008D2948" w:rsidRPr="00125908" w:rsidRDefault="008D2948" w:rsidP="00782585">
      <w:pPr>
        <w:spacing w:line="240" w:lineRule="auto"/>
        <w:jc w:val="both"/>
        <w:rPr>
          <w:rFonts w:ascii="Times New Roman" w:hAnsi="Times New Roman" w:cs="Times New Roman"/>
          <w:noProof/>
          <w:color w:val="000000" w:themeColor="text1"/>
          <w:sz w:val="24"/>
        </w:rPr>
      </w:pPr>
    </w:p>
    <w:p w14:paraId="300FADEC" w14:textId="5B9C33AC"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2.4.2 Iniziativa faro - Promuovere, attirare e trattenere i talenti deep tech</w:t>
      </w:r>
    </w:p>
    <w:p w14:paraId="64900DE0" w14:textId="38FAC828" w:rsidR="008D2948" w:rsidRPr="00782585" w:rsidRDefault="004E7C92"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Attirare e trattenere talenti nell</w:t>
      </w:r>
      <w:r w:rsidR="00013882">
        <w:rPr>
          <w:rFonts w:ascii="Times New Roman" w:hAnsi="Times New Roman"/>
          <w:noProof/>
          <w:color w:val="000000" w:themeColor="text1"/>
          <w:sz w:val="24"/>
        </w:rPr>
        <w:t>'</w:t>
      </w:r>
      <w:r>
        <w:rPr>
          <w:rFonts w:ascii="Times New Roman" w:hAnsi="Times New Roman"/>
          <w:noProof/>
          <w:color w:val="000000" w:themeColor="text1"/>
          <w:sz w:val="24"/>
        </w:rPr>
        <w:t>UE non è un</w:t>
      </w:r>
      <w:r w:rsidR="00013882">
        <w:rPr>
          <w:rFonts w:ascii="Times New Roman" w:hAnsi="Times New Roman"/>
          <w:noProof/>
          <w:color w:val="000000" w:themeColor="text1"/>
          <w:sz w:val="24"/>
        </w:rPr>
        <w:t>'</w:t>
      </w:r>
      <w:r>
        <w:rPr>
          <w:rFonts w:ascii="Times New Roman" w:hAnsi="Times New Roman"/>
          <w:noProof/>
          <w:color w:val="000000" w:themeColor="text1"/>
          <w:sz w:val="24"/>
        </w:rPr>
        <w:t>operazione semplice, questa iniziativa faro si concentra pertanto sul rafforzamento delle iniziative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attraverso attività che garantiranno lo sviluppo e il flusso di talenti deep tech</w:t>
      </w:r>
      <w:r w:rsidR="00125908">
        <w:rPr>
          <w:rFonts w:ascii="Times New Roman" w:hAnsi="Times New Roman"/>
          <w:noProof/>
          <w:color w:val="000000" w:themeColor="text1"/>
          <w:sz w:val="24"/>
        </w:rPr>
        <w:t xml:space="preserve"> </w:t>
      </w:r>
      <w:r>
        <w:rPr>
          <w:rFonts w:ascii="Times New Roman" w:hAnsi="Times New Roman"/>
          <w:noProof/>
          <w:color w:val="000000" w:themeColor="text1"/>
          <w:sz w:val="24"/>
        </w:rPr>
        <w:t>fondamentali all</w:t>
      </w:r>
      <w:r w:rsidR="00013882">
        <w:rPr>
          <w:rFonts w:ascii="Times New Roman" w:hAnsi="Times New Roman"/>
          <w:noProof/>
          <w:color w:val="000000" w:themeColor="text1"/>
          <w:sz w:val="24"/>
        </w:rPr>
        <w:t>'</w:t>
      </w:r>
      <w:r>
        <w:rPr>
          <w:rFonts w:ascii="Times New Roman" w:hAnsi="Times New Roman"/>
          <w:noProof/>
          <w:color w:val="000000" w:themeColor="text1"/>
          <w:sz w:val="24"/>
        </w:rPr>
        <w:t>interno e verso 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p>
    <w:p w14:paraId="05712DBC" w14:textId="716D70D2"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Talenti deep tech</w:t>
      </w:r>
    </w:p>
    <w:p w14:paraId="61F4333A" w14:textId="43A878CF"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EIT porterà avanti un</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iniziativa volta a raggiungere </w:t>
      </w:r>
      <w:r>
        <w:rPr>
          <w:rFonts w:ascii="Times New Roman" w:hAnsi="Times New Roman"/>
          <w:b/>
          <w:noProof/>
          <w:color w:val="000000" w:themeColor="text1"/>
          <w:sz w:val="24"/>
        </w:rPr>
        <w:t>1 milione di talenti nel settore deep tech</w:t>
      </w:r>
      <w:r>
        <w:rPr>
          <w:rFonts w:ascii="Times New Roman" w:hAnsi="Times New Roman"/>
          <w:noProof/>
          <w:color w:val="000000" w:themeColor="text1"/>
          <w:sz w:val="24"/>
        </w:rPr>
        <w:t xml:space="preserve"> nell</w:t>
      </w:r>
      <w:r w:rsidR="00013882">
        <w:rPr>
          <w:rFonts w:ascii="Times New Roman" w:hAnsi="Times New Roman"/>
          <w:noProof/>
          <w:color w:val="000000" w:themeColor="text1"/>
          <w:sz w:val="24"/>
        </w:rPr>
        <w:t>'</w:t>
      </w:r>
      <w:r>
        <w:rPr>
          <w:rFonts w:ascii="Times New Roman" w:hAnsi="Times New Roman"/>
          <w:noProof/>
          <w:color w:val="000000" w:themeColor="text1"/>
          <w:sz w:val="24"/>
        </w:rPr>
        <w:t>arco di 3 anni in tutti gli Stati membri.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EIT aggiornerà e amplierà i suoi programmi per sviluppare talenti e competenze in base delle esigenze dei settori deep tech - che spaziano dai nuovi materiali e dalla biologia di sintesi alle tecnologie pulite. Le imprese scale-up insieme ad altri rappresentanti del settore orienteranno i programmi di studio in modo da assicurare che soddisfino le nuove esigenze del mercato del lavoro nei rispettivi settori tecnologici. </w:t>
      </w:r>
    </w:p>
    <w:p w14:paraId="705E1F2B" w14:textId="7646802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Nel terzo trimestre del 2023, il CEI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EIT avvieranno inoltre un </w:t>
      </w:r>
      <w:r>
        <w:rPr>
          <w:rFonts w:ascii="Times New Roman" w:hAnsi="Times New Roman"/>
          <w:b/>
          <w:noProof/>
          <w:color w:val="000000" w:themeColor="text1"/>
          <w:sz w:val="24"/>
        </w:rPr>
        <w:t>programma di tirocini per 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innovazione</w:t>
      </w:r>
      <w:r>
        <w:rPr>
          <w:rFonts w:ascii="Times New Roman" w:hAnsi="Times New Roman"/>
          <w:noProof/>
          <w:color w:val="000000" w:themeColor="text1"/>
          <w:sz w:val="24"/>
        </w:rPr>
        <w:t>, al fine di offrire la possibilità a oltre 600 ricercatori e studenti e laureati dell</w:t>
      </w:r>
      <w:r w:rsidR="00013882">
        <w:rPr>
          <w:rFonts w:ascii="Times New Roman" w:hAnsi="Times New Roman"/>
          <w:noProof/>
          <w:color w:val="000000" w:themeColor="text1"/>
          <w:sz w:val="24"/>
        </w:rPr>
        <w:t>'</w:t>
      </w:r>
      <w:r>
        <w:rPr>
          <w:rFonts w:ascii="Times New Roman" w:hAnsi="Times New Roman"/>
          <w:noProof/>
          <w:color w:val="000000" w:themeColor="text1"/>
          <w:sz w:val="24"/>
        </w:rPr>
        <w:t>EIT di maturare un</w:t>
      </w:r>
      <w:r w:rsidR="00013882">
        <w:rPr>
          <w:rFonts w:ascii="Times New Roman" w:hAnsi="Times New Roman"/>
          <w:noProof/>
          <w:color w:val="000000" w:themeColor="text1"/>
          <w:sz w:val="24"/>
        </w:rPr>
        <w:t>'</w:t>
      </w:r>
      <w:r>
        <w:rPr>
          <w:rFonts w:ascii="Times New Roman" w:hAnsi="Times New Roman"/>
          <w:noProof/>
          <w:color w:val="000000" w:themeColor="text1"/>
          <w:sz w:val="24"/>
        </w:rPr>
        <w:t>esperienza in materia di innovazione entro il 2024. I tirocinanti acquisiranno un</w:t>
      </w:r>
      <w:r w:rsidR="00013882">
        <w:rPr>
          <w:rFonts w:ascii="Times New Roman" w:hAnsi="Times New Roman"/>
          <w:noProof/>
          <w:color w:val="000000" w:themeColor="text1"/>
          <w:sz w:val="24"/>
        </w:rPr>
        <w:t>'</w:t>
      </w:r>
      <w:r>
        <w:rPr>
          <w:rFonts w:ascii="Times New Roman" w:hAnsi="Times New Roman"/>
          <w:noProof/>
          <w:color w:val="000000" w:themeColor="text1"/>
          <w:sz w:val="24"/>
        </w:rPr>
        <w:t>esperienza lavorativa in imprese di successo sostenute dal CEI e dall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EIT, e i ricercatori e le imprese associate dovranno mettere a punto i singoli tirocini. </w:t>
      </w:r>
    </w:p>
    <w:p w14:paraId="65DEB26C" w14:textId="514CBD9C"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Commissione offrirà, mediante il programma Europa digitale, un ulteriore sostegno alla formazione agli istituti di istruzione superiore, ivi compresi le alleanze delle università europee, le imprese e i centri di ricerca e innovazione. È prevista anche la formazione di specialisti in settori quali la scienza dei dati,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IA, la cibersicurezza e il quantum per sostenere la futura diffusione di tali tecnologie in tutti i settori economici. </w:t>
      </w:r>
    </w:p>
    <w:p w14:paraId="2B6FD88A" w14:textId="676BA0A9"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Inoltre, la Commissione, in collaborazione con gli Stati membri e i portatori di interessi, creerà entro la prima metà del 2023 un </w:t>
      </w:r>
      <w:r w:rsidR="00013882">
        <w:rPr>
          <w:rFonts w:ascii="Times New Roman" w:hAnsi="Times New Roman"/>
          <w:noProof/>
          <w:color w:val="000000" w:themeColor="text1"/>
          <w:sz w:val="24"/>
        </w:rPr>
        <w:t>"</w:t>
      </w:r>
      <w:r>
        <w:rPr>
          <w:rFonts w:ascii="Times New Roman" w:hAnsi="Times New Roman"/>
          <w:noProof/>
          <w:color w:val="000000" w:themeColor="text1"/>
          <w:sz w:val="24"/>
        </w:rPr>
        <w:t>Bacino di talenti dell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rPr>
        <w:footnoteReference w:id="95"/>
      </w:r>
      <w:r>
        <w:rPr>
          <w:rFonts w:ascii="Times New Roman" w:hAnsi="Times New Roman"/>
          <w:noProof/>
          <w:color w:val="000000" w:themeColor="text1"/>
          <w:sz w:val="24"/>
        </w:rPr>
        <w:t>. Si tratterà di una piattaforma a livello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uno strumento di abbinamento per aiutare le imprese europee, comprese le start-up, a trovare i talenti che non riescono a reperire nel mercato del lavoro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La mobilità delle persone qualificate verso l</w:t>
      </w:r>
      <w:r w:rsidR="00013882">
        <w:rPr>
          <w:rFonts w:ascii="Times New Roman" w:hAnsi="Times New Roman"/>
          <w:noProof/>
          <w:color w:val="000000" w:themeColor="text1"/>
          <w:sz w:val="24"/>
        </w:rPr>
        <w:t>'</w:t>
      </w:r>
      <w:r>
        <w:rPr>
          <w:rFonts w:ascii="Times New Roman" w:hAnsi="Times New Roman"/>
          <w:noProof/>
          <w:color w:val="000000" w:themeColor="text1"/>
          <w:sz w:val="24"/>
        </w:rPr>
        <w:t>Europa e al suo interno aumenterà grazie alle assunzioni internazionali e favorendo i contatti tra i datori di lavoro con sede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e cittadini qualificati di paesi terzi che desiderano lavorare e trasferirsi legalmente nell</w:t>
      </w:r>
      <w:r w:rsidR="00013882">
        <w:rPr>
          <w:rFonts w:ascii="Times New Roman" w:hAnsi="Times New Roman"/>
          <w:noProof/>
          <w:color w:val="000000" w:themeColor="text1"/>
          <w:sz w:val="24"/>
        </w:rPr>
        <w:t>'</w:t>
      </w:r>
      <w:r>
        <w:rPr>
          <w:rFonts w:ascii="Times New Roman" w:hAnsi="Times New Roman"/>
          <w:noProof/>
          <w:color w:val="000000" w:themeColor="text1"/>
          <w:sz w:val="24"/>
        </w:rPr>
        <w:t>UE. La direttiva relativa a studenti e ricercatori</w:t>
      </w:r>
      <w:r>
        <w:rPr>
          <w:rStyle w:val="FootnoteReference"/>
          <w:rFonts w:ascii="Times New Roman" w:hAnsi="Times New Roman" w:cs="Times New Roman"/>
          <w:noProof/>
          <w:color w:val="000000" w:themeColor="text1"/>
        </w:rPr>
        <w:footnoteReference w:id="96"/>
      </w:r>
      <w:r>
        <w:rPr>
          <w:rFonts w:ascii="Times New Roman" w:hAnsi="Times New Roman"/>
          <w:noProof/>
          <w:color w:val="000000" w:themeColor="text1"/>
          <w:sz w:val="24"/>
        </w:rPr>
        <w:t xml:space="preserve"> e la direttiva riveduta </w:t>
      </w:r>
      <w:r w:rsidR="00013882">
        <w:rPr>
          <w:rFonts w:ascii="Times New Roman" w:hAnsi="Times New Roman"/>
          <w:noProof/>
          <w:color w:val="000000" w:themeColor="text1"/>
          <w:sz w:val="24"/>
        </w:rPr>
        <w:t>"</w:t>
      </w:r>
      <w:r>
        <w:rPr>
          <w:rFonts w:ascii="Times New Roman" w:hAnsi="Times New Roman"/>
          <w:noProof/>
          <w:color w:val="000000" w:themeColor="text1"/>
          <w:sz w:val="24"/>
        </w:rPr>
        <w:t>Carta blu dell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rPr>
        <w:footnoteReference w:id="97"/>
      </w:r>
      <w:r w:rsidR="00DB41F6">
        <w:rPr>
          <w:rFonts w:ascii="Times New Roman" w:hAnsi="Times New Roman"/>
          <w:noProof/>
          <w:color w:val="000000" w:themeColor="text1"/>
          <w:sz w:val="24"/>
        </w:rPr>
        <w:t xml:space="preserve"> da recepire entro il 18 </w:t>
      </w:r>
      <w:r>
        <w:rPr>
          <w:rFonts w:ascii="Times New Roman" w:hAnsi="Times New Roman"/>
          <w:noProof/>
          <w:color w:val="000000" w:themeColor="text1"/>
          <w:sz w:val="24"/>
        </w:rPr>
        <w:t>novembre 2023, offriranno inoltre percorsi legali per attirare lavoratori, ricercatori e studenti altamente qualificati provenienti da paesi terzi e facilitarne la mobilità all</w:t>
      </w:r>
      <w:r w:rsidR="00013882">
        <w:rPr>
          <w:rFonts w:ascii="Times New Roman" w:hAnsi="Times New Roman"/>
          <w:noProof/>
          <w:color w:val="000000" w:themeColor="text1"/>
          <w:sz w:val="24"/>
        </w:rPr>
        <w:t>'</w:t>
      </w:r>
      <w:r>
        <w:rPr>
          <w:rFonts w:ascii="Times New Roman" w:hAnsi="Times New Roman"/>
          <w:noProof/>
          <w:color w:val="000000" w:themeColor="text1"/>
          <w:sz w:val="24"/>
        </w:rPr>
        <w:t>interno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Inoltre, in linea con la proposta sulle competenze e i talenti, la Commissione rilancerà le discussioni con gli Stati membri e altri portatori di interessi per valutare la possibilità di ulteriori azioni a livello dell</w:t>
      </w:r>
      <w:r w:rsidR="00013882">
        <w:rPr>
          <w:rFonts w:ascii="Times New Roman" w:hAnsi="Times New Roman"/>
          <w:noProof/>
          <w:color w:val="000000" w:themeColor="text1"/>
          <w:sz w:val="24"/>
        </w:rPr>
        <w:t>'</w:t>
      </w:r>
      <w:r>
        <w:rPr>
          <w:rFonts w:ascii="Times New Roman" w:hAnsi="Times New Roman"/>
          <w:noProof/>
          <w:color w:val="000000" w:themeColor="text1"/>
          <w:sz w:val="24"/>
        </w:rPr>
        <w:t>UE volte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accoglienza di imprenditori e fondatori di start-up di paesi terzi. </w:t>
      </w:r>
    </w:p>
    <w:p w14:paraId="783A0811" w14:textId="200A304D" w:rsidR="00DB7404" w:rsidRPr="00782585" w:rsidRDefault="00DB7404" w:rsidP="00782585">
      <w:pPr>
        <w:spacing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Stock options</w:t>
      </w:r>
    </w:p>
    <w:p w14:paraId="0591DDA8" w14:textId="1AA2B701" w:rsidR="00D2455F" w:rsidRPr="00782585" w:rsidRDefault="00D2455F"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La Commissione istituirà un </w:t>
      </w:r>
      <w:r>
        <w:rPr>
          <w:rFonts w:ascii="Times New Roman" w:hAnsi="Times New Roman"/>
          <w:b/>
          <w:noProof/>
          <w:color w:val="000000" w:themeColor="text1"/>
          <w:sz w:val="24"/>
        </w:rPr>
        <w:t>nell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ambito del forum CEI un gruppo di lavoro sulle stock options</w:t>
      </w:r>
      <w:r>
        <w:rPr>
          <w:rFonts w:ascii="Times New Roman" w:hAnsi="Times New Roman"/>
          <w:noProof/>
          <w:color w:val="000000" w:themeColor="text1"/>
          <w:sz w:val="24"/>
        </w:rPr>
        <w:t xml:space="preserve"> per esaminare il modo in cui superare gli ostacoli amministrativi che attualmente limitano la diffusione delle stock option per i dipendenti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 Il forum consentirà in primo luogo alla Commissione e agli Stati membri di scambiare informazioni e condividere le migliori pratiche al fine di favorire un approccio armonizzato in tutta l</w:t>
      </w:r>
      <w:r w:rsidR="00013882">
        <w:rPr>
          <w:rFonts w:ascii="Times New Roman" w:hAnsi="Times New Roman"/>
          <w:noProof/>
          <w:color w:val="000000" w:themeColor="text1"/>
          <w:sz w:val="24"/>
        </w:rPr>
        <w:t>'</w:t>
      </w:r>
      <w:r>
        <w:rPr>
          <w:rFonts w:ascii="Times New Roman" w:hAnsi="Times New Roman"/>
          <w:noProof/>
          <w:color w:val="000000" w:themeColor="text1"/>
          <w:sz w:val="24"/>
        </w:rPr>
        <w:t>UE.</w:t>
      </w:r>
    </w:p>
    <w:p w14:paraId="7CD2F0E8" w14:textId="6AC52F75"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Donne alla guida dell</w:t>
      </w:r>
      <w:r w:rsidR="00013882">
        <w:rPr>
          <w:rFonts w:ascii="Times New Roman" w:hAnsi="Times New Roman"/>
          <w:i/>
          <w:noProof/>
          <w:color w:val="000000" w:themeColor="text1"/>
          <w:sz w:val="24"/>
        </w:rPr>
        <w:t>'</w:t>
      </w:r>
      <w:r>
        <w:rPr>
          <w:rFonts w:ascii="Times New Roman" w:hAnsi="Times New Roman"/>
          <w:i/>
          <w:noProof/>
          <w:color w:val="000000" w:themeColor="text1"/>
          <w:sz w:val="24"/>
        </w:rPr>
        <w:t>innovazione deep tech</w:t>
      </w:r>
    </w:p>
    <w:p w14:paraId="4370FF20" w14:textId="6D23989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Un</w:t>
      </w:r>
      <w:r>
        <w:rPr>
          <w:rFonts w:ascii="Times New Roman" w:hAnsi="Times New Roman"/>
          <w:b/>
          <w:noProof/>
          <w:color w:val="000000" w:themeColor="text1"/>
          <w:sz w:val="24"/>
        </w:rPr>
        <w:t xml:space="preserve"> programma di imprenditorialità e di leadership femminile</w:t>
      </w:r>
      <w:r>
        <w:rPr>
          <w:rFonts w:ascii="Times New Roman" w:hAnsi="Times New Roman"/>
          <w:noProof/>
          <w:color w:val="000000" w:themeColor="text1"/>
          <w:sz w:val="24"/>
        </w:rPr>
        <w:t xml:space="preserve"> sosterrà nella fase iniziale le start-up tecnologiche guidate da donne, anche attraverso un invito rafforzato </w:t>
      </w:r>
      <w:r w:rsidR="00013882">
        <w:rPr>
          <w:rFonts w:ascii="Times New Roman" w:hAnsi="Times New Roman"/>
          <w:noProof/>
          <w:color w:val="000000" w:themeColor="text1"/>
          <w:sz w:val="24"/>
        </w:rPr>
        <w:t>"</w:t>
      </w:r>
      <w:r>
        <w:rPr>
          <w:rFonts w:ascii="Times New Roman" w:hAnsi="Times New Roman"/>
          <w:noProof/>
          <w:color w:val="000000" w:themeColor="text1"/>
          <w:sz w:val="24"/>
        </w:rPr>
        <w:t>WomenTech EU</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Cs w:val="24"/>
        </w:rPr>
        <w:footnoteReference w:id="98"/>
      </w:r>
      <w:r>
        <w:rPr>
          <w:rFonts w:ascii="Times New Roman" w:hAnsi="Times New Roman"/>
          <w:noProof/>
          <w:color w:val="000000" w:themeColor="text1"/>
          <w:sz w:val="24"/>
        </w:rPr>
        <w:t>. Questo programma confluirà in altre iniziative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UE, come </w:t>
      </w:r>
      <w:r w:rsidR="00013882">
        <w:rPr>
          <w:rFonts w:ascii="Times New Roman" w:hAnsi="Times New Roman"/>
          <w:noProof/>
          <w:color w:val="000000" w:themeColor="text1"/>
          <w:sz w:val="24"/>
        </w:rPr>
        <w:t>"</w:t>
      </w:r>
      <w:r>
        <w:rPr>
          <w:rFonts w:ascii="Times New Roman" w:hAnsi="Times New Roman"/>
          <w:noProof/>
          <w:color w:val="000000" w:themeColor="text1"/>
          <w:sz w:val="24"/>
        </w:rPr>
        <w:t>Women4Cyber</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 w:val="24"/>
        </w:rPr>
        <w:footnoteReference w:id="99"/>
      </w:r>
      <w:r>
        <w:rPr>
          <w:rFonts w:ascii="Times New Roman" w:hAnsi="Times New Roman"/>
          <w:noProof/>
          <w:color w:val="000000" w:themeColor="text1"/>
          <w:sz w:val="24"/>
        </w:rPr>
        <w:t>, e potenzialmente in programmi nazionali di accelerazione, al fine di accelerare la crescita delle imprese guidate da donne. Sarà rafforzata la collaborazione tra il CEI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EIT per sostenere le imprenditrici, aprendo il programma </w:t>
      </w:r>
      <w:r w:rsidR="00013882">
        <w:rPr>
          <w:rFonts w:ascii="Times New Roman" w:hAnsi="Times New Roman"/>
          <w:noProof/>
          <w:color w:val="000000" w:themeColor="text1"/>
          <w:sz w:val="24"/>
        </w:rPr>
        <w:t>"</w:t>
      </w:r>
      <w:r>
        <w:rPr>
          <w:rFonts w:ascii="Times New Roman" w:hAnsi="Times New Roman"/>
          <w:noProof/>
          <w:color w:val="000000" w:themeColor="text1"/>
          <w:sz w:val="24"/>
        </w:rPr>
        <w:t>Women Leadership</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 del CEI alle start-up deep tech dell</w:t>
      </w:r>
      <w:r w:rsidR="00013882">
        <w:rPr>
          <w:rFonts w:ascii="Times New Roman" w:hAnsi="Times New Roman"/>
          <w:noProof/>
          <w:color w:val="000000" w:themeColor="text1"/>
          <w:sz w:val="24"/>
        </w:rPr>
        <w:t>'</w:t>
      </w:r>
      <w:r>
        <w:rPr>
          <w:rFonts w:ascii="Times New Roman" w:hAnsi="Times New Roman"/>
          <w:noProof/>
          <w:color w:val="000000" w:themeColor="text1"/>
          <w:sz w:val="24"/>
        </w:rPr>
        <w:t>EIT a guida femminile. Le attività complementari comprenderanno la possibilità di mettere in rete e collegare le donne beneficiarie di una serie di iniziative; dotare le ragazze e le donne con competenze imprenditoriali e digitali attraverso azioni mirate quali i festival ESTEAM (imprenditorialità, scienza, tecnologia, ingegneria, arte e matematica), affiancati da programmi di tutoraggio, formazione e sostegno</w:t>
      </w:r>
      <w:r>
        <w:rPr>
          <w:rStyle w:val="FootnoteReference"/>
          <w:rFonts w:ascii="Times New Roman" w:hAnsi="Times New Roman" w:cs="Times New Roman"/>
          <w:noProof/>
          <w:color w:val="000000" w:themeColor="text1"/>
        </w:rPr>
        <w:footnoteReference w:id="100"/>
      </w:r>
      <w:r>
        <w:rPr>
          <w:rFonts w:ascii="Times New Roman" w:hAnsi="Times New Roman"/>
          <w:noProof/>
          <w:color w:val="000000" w:themeColor="text1"/>
          <w:sz w:val="24"/>
        </w:rPr>
        <w:t>; sostenere la creazione e lo sviluppo di start-up sociali guidate da donne utilizzando al meglio le azioni previste dal piano d</w:t>
      </w:r>
      <w:r w:rsidR="00013882">
        <w:rPr>
          <w:rFonts w:ascii="Times New Roman" w:hAnsi="Times New Roman"/>
          <w:noProof/>
          <w:color w:val="000000" w:themeColor="text1"/>
          <w:sz w:val="24"/>
        </w:rPr>
        <w:t>'</w:t>
      </w:r>
      <w:r>
        <w:rPr>
          <w:rFonts w:ascii="Times New Roman" w:hAnsi="Times New Roman"/>
          <w:noProof/>
          <w:color w:val="000000" w:themeColor="text1"/>
          <w:sz w:val="24"/>
        </w:rPr>
        <w:t>azione europeo per l</w:t>
      </w:r>
      <w:r w:rsidR="00013882">
        <w:rPr>
          <w:rFonts w:ascii="Times New Roman" w:hAnsi="Times New Roman"/>
          <w:noProof/>
          <w:color w:val="000000" w:themeColor="text1"/>
          <w:sz w:val="24"/>
        </w:rPr>
        <w:t>'</w:t>
      </w:r>
      <w:r>
        <w:rPr>
          <w:rFonts w:ascii="Times New Roman" w:hAnsi="Times New Roman"/>
          <w:noProof/>
          <w:color w:val="000000" w:themeColor="text1"/>
          <w:sz w:val="24"/>
        </w:rPr>
        <w:t>economia sociale</w:t>
      </w:r>
      <w:r>
        <w:rPr>
          <w:rStyle w:val="FootnoteReference"/>
          <w:rFonts w:ascii="Times New Roman" w:hAnsi="Times New Roman" w:cs="Times New Roman"/>
          <w:noProof/>
          <w:color w:val="000000" w:themeColor="text1"/>
          <w:szCs w:val="24"/>
        </w:rPr>
        <w:footnoteReference w:id="101"/>
      </w:r>
      <w:r>
        <w:rPr>
          <w:rFonts w:ascii="Times New Roman" w:hAnsi="Times New Roman"/>
          <w:noProof/>
          <w:color w:val="000000" w:themeColor="text1"/>
          <w:sz w:val="24"/>
        </w:rPr>
        <w:t>.</w:t>
      </w:r>
    </w:p>
    <w:p w14:paraId="60F8386D" w14:textId="20F5D1C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Promuovere una cultura imprenditoriale e dell</w:t>
      </w:r>
      <w:r w:rsidR="00013882">
        <w:rPr>
          <w:rFonts w:ascii="Times New Roman" w:hAnsi="Times New Roman"/>
          <w:i/>
          <w:noProof/>
          <w:color w:val="000000" w:themeColor="text1"/>
          <w:sz w:val="24"/>
        </w:rPr>
        <w:t>'</w:t>
      </w:r>
      <w:r>
        <w:rPr>
          <w:rFonts w:ascii="Times New Roman" w:hAnsi="Times New Roman"/>
          <w:i/>
          <w:noProof/>
          <w:color w:val="000000" w:themeColor="text1"/>
          <w:sz w:val="24"/>
        </w:rPr>
        <w:t>innovazione</w:t>
      </w:r>
    </w:p>
    <w:p w14:paraId="2D99AA94" w14:textId="7A2B7969" w:rsidR="008D2948" w:rsidRPr="00782585" w:rsidRDefault="003A1384"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La Commissione istituirà </w:t>
      </w:r>
      <w:r w:rsidR="008D2948">
        <w:rPr>
          <w:rFonts w:ascii="Times New Roman" w:hAnsi="Times New Roman"/>
          <w:b/>
          <w:noProof/>
          <w:color w:val="000000" w:themeColor="text1"/>
          <w:sz w:val="24"/>
        </w:rPr>
        <w:t>una comunità di politiche e pratiche dell</w:t>
      </w:r>
      <w:r w:rsidR="00013882">
        <w:rPr>
          <w:rFonts w:ascii="Times New Roman" w:hAnsi="Times New Roman"/>
          <w:b/>
          <w:noProof/>
          <w:color w:val="000000" w:themeColor="text1"/>
          <w:sz w:val="24"/>
        </w:rPr>
        <w:t>'</w:t>
      </w:r>
      <w:r w:rsidR="008D2948">
        <w:rPr>
          <w:rFonts w:ascii="Times New Roman" w:hAnsi="Times New Roman"/>
          <w:b/>
          <w:noProof/>
          <w:color w:val="000000" w:themeColor="text1"/>
          <w:sz w:val="24"/>
        </w:rPr>
        <w:t>innovazione per l</w:t>
      </w:r>
      <w:r w:rsidR="00013882">
        <w:rPr>
          <w:rFonts w:ascii="Times New Roman" w:hAnsi="Times New Roman"/>
          <w:b/>
          <w:noProof/>
          <w:color w:val="000000" w:themeColor="text1"/>
          <w:sz w:val="24"/>
        </w:rPr>
        <w:t>'</w:t>
      </w:r>
      <w:r w:rsidR="008D2948">
        <w:rPr>
          <w:rFonts w:ascii="Times New Roman" w:hAnsi="Times New Roman"/>
          <w:b/>
          <w:noProof/>
          <w:color w:val="000000" w:themeColor="text1"/>
          <w:sz w:val="24"/>
        </w:rPr>
        <w:t>apprendimento e l</w:t>
      </w:r>
      <w:r w:rsidR="00013882">
        <w:rPr>
          <w:rFonts w:ascii="Times New Roman" w:hAnsi="Times New Roman"/>
          <w:b/>
          <w:noProof/>
          <w:color w:val="000000" w:themeColor="text1"/>
          <w:sz w:val="24"/>
        </w:rPr>
        <w:t>'</w:t>
      </w:r>
      <w:r w:rsidR="008D2948">
        <w:rPr>
          <w:rFonts w:ascii="Times New Roman" w:hAnsi="Times New Roman"/>
          <w:b/>
          <w:noProof/>
          <w:color w:val="000000" w:themeColor="text1"/>
          <w:sz w:val="24"/>
        </w:rPr>
        <w:t>esame inter pares.</w:t>
      </w:r>
      <w:r w:rsidR="008D2948">
        <w:rPr>
          <w:rFonts w:ascii="Times New Roman" w:hAnsi="Times New Roman"/>
          <w:noProof/>
          <w:color w:val="000000" w:themeColor="text1"/>
          <w:sz w:val="24"/>
        </w:rPr>
        <w:t xml:space="preserve"> In collaborazione con 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OCSE, riunirà gli istituti di istruzione superiore, compresa la nuova rete europea di IIS innovativi, i funzionari pubblici e i principali portatori di interessi per incentivare 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adozione di politiche e pratiche che rafforzino il contributo degli IIS all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innovazione nelle comunità in cui operano. Un vertice annuale sull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istruzione e 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innovazione rafforzerà queste iniziative riunendo gli IIS, le imprese deep tech e gli imprenditori per promuovere la cooperazione e ispirare la più ampia comunità dell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istruzione, della ricerca e dell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innovazione al fine di promuovere una cultura imprenditoriale e dell</w:t>
      </w:r>
      <w:r w:rsidR="00013882">
        <w:rPr>
          <w:rFonts w:ascii="Times New Roman" w:hAnsi="Times New Roman"/>
          <w:noProof/>
          <w:color w:val="000000" w:themeColor="text1"/>
          <w:sz w:val="24"/>
        </w:rPr>
        <w:t>'</w:t>
      </w:r>
      <w:r w:rsidR="008D2948">
        <w:rPr>
          <w:rFonts w:ascii="Times New Roman" w:hAnsi="Times New Roman"/>
          <w:noProof/>
          <w:color w:val="000000" w:themeColor="text1"/>
          <w:sz w:val="24"/>
        </w:rPr>
        <w:t xml:space="preserve">innovazione in Europa. </w:t>
      </w:r>
    </w:p>
    <w:p w14:paraId="6555F306" w14:textId="766301EE" w:rsidR="006C4F9E" w:rsidRPr="000773D5" w:rsidRDefault="006C4F9E" w:rsidP="006C4F9E">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 Commissione continuerà inoltre a sostenere le giovani imprenditrici attraverso il progetto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EIT </w:t>
      </w:r>
      <w:r w:rsidR="00013882">
        <w:rPr>
          <w:rFonts w:ascii="Times New Roman" w:hAnsi="Times New Roman"/>
          <w:noProof/>
          <w:color w:val="000000" w:themeColor="text1"/>
          <w:sz w:val="24"/>
        </w:rPr>
        <w:t>"</w:t>
      </w:r>
      <w:r>
        <w:rPr>
          <w:rFonts w:ascii="Times New Roman" w:hAnsi="Times New Roman"/>
          <w:b/>
          <w:noProof/>
          <w:color w:val="000000" w:themeColor="text1"/>
          <w:sz w:val="24"/>
        </w:rPr>
        <w:t>Girls go circular</w:t>
      </w:r>
      <w:r w:rsidR="00013882">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 w:val="24"/>
        </w:rPr>
        <w:footnoteReference w:id="102"/>
      </w:r>
      <w:r>
        <w:rPr>
          <w:rFonts w:ascii="Times New Roman" w:hAnsi="Times New Roman"/>
          <w:noProof/>
          <w:color w:val="000000" w:themeColor="text1"/>
          <w:sz w:val="24"/>
        </w:rPr>
        <w:t>, estendendolo alle partecipanti di tutti gli Stati membri dell</w:t>
      </w:r>
      <w:r w:rsidR="00013882">
        <w:rPr>
          <w:rFonts w:ascii="Times New Roman" w:hAnsi="Times New Roman"/>
          <w:noProof/>
          <w:color w:val="000000" w:themeColor="text1"/>
          <w:sz w:val="24"/>
        </w:rPr>
        <w:t>'</w:t>
      </w:r>
      <w:r>
        <w:rPr>
          <w:rFonts w:ascii="Times New Roman" w:hAnsi="Times New Roman"/>
          <w:noProof/>
          <w:color w:val="000000" w:themeColor="text1"/>
          <w:sz w:val="24"/>
        </w:rPr>
        <w:t>UE in modo da dotare oltre 40 000 studentesse di competenze digitali e imprenditoriali.</w:t>
      </w:r>
    </w:p>
    <w:p w14:paraId="7B31C8B4" w14:textId="79C0D27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Inoltre, a partire dal 2023, le </w:t>
      </w:r>
      <w:r>
        <w:rPr>
          <w:rFonts w:ascii="Times New Roman" w:hAnsi="Times New Roman"/>
          <w:b/>
          <w:noProof/>
          <w:color w:val="000000" w:themeColor="text1"/>
          <w:sz w:val="24"/>
        </w:rPr>
        <w:t>alleanze Erasmus+ per l</w:t>
      </w:r>
      <w:r w:rsidR="00013882">
        <w:rPr>
          <w:rFonts w:ascii="Times New Roman" w:hAnsi="Times New Roman"/>
          <w:b/>
          <w:noProof/>
          <w:color w:val="000000" w:themeColor="text1"/>
          <w:sz w:val="24"/>
        </w:rPr>
        <w:t>'</w:t>
      </w:r>
      <w:r>
        <w:rPr>
          <w:rFonts w:ascii="Times New Roman" w:hAnsi="Times New Roman"/>
          <w:b/>
          <w:noProof/>
          <w:color w:val="000000" w:themeColor="text1"/>
          <w:sz w:val="24"/>
        </w:rPr>
        <w:t>innovazione</w:t>
      </w:r>
      <w:r>
        <w:rPr>
          <w:rStyle w:val="FootnoteReference"/>
          <w:rFonts w:ascii="Times New Roman" w:hAnsi="Times New Roman" w:cs="Times New Roman"/>
          <w:noProof/>
          <w:color w:val="000000" w:themeColor="text1"/>
        </w:rPr>
        <w:footnoteReference w:id="103"/>
      </w:r>
      <w:r>
        <w:rPr>
          <w:rFonts w:ascii="Times New Roman" w:hAnsi="Times New Roman"/>
          <w:b/>
          <w:noProof/>
          <w:color w:val="000000" w:themeColor="text1"/>
          <w:sz w:val="24"/>
        </w:rPr>
        <w:t xml:space="preserve"> sosterranno lo sviluppo di competenze imprenditoriali, con particolare attenzione alle competenze deep tech</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In questo modo si sosterrà e integrerà lo sviluppo di incubatori all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interno degli IIS, in stretta collaborazione con il settore imprenditoriale, per aiutare gli imprenditori studenti a trasformare le loro idee in imprese, come annunciato nella strategia europea per le università. </w:t>
      </w:r>
    </w:p>
    <w:p w14:paraId="181B500A" w14:textId="61B19C57"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Commissione sosterrà inoltre la creazione di comunità di facilitatori esperti, tra cui le alleanze delle università europee, per aumentare la collaborazione tra l</w:t>
      </w:r>
      <w:r w:rsidR="00013882">
        <w:rPr>
          <w:rFonts w:ascii="Times New Roman" w:hAnsi="Times New Roman"/>
          <w:noProof/>
          <w:color w:val="000000" w:themeColor="text1"/>
          <w:sz w:val="24"/>
        </w:rPr>
        <w:t>'</w:t>
      </w:r>
      <w:r>
        <w:rPr>
          <w:rFonts w:ascii="Times New Roman" w:hAnsi="Times New Roman"/>
          <w:noProof/>
          <w:color w:val="000000" w:themeColor="text1"/>
          <w:sz w:val="24"/>
        </w:rPr>
        <w:t>industria, il mondo accademico e le organizzazioni di ricerca e per contribuire a conciliare l</w:t>
      </w:r>
      <w:r w:rsidR="00013882">
        <w:rPr>
          <w:rFonts w:ascii="Times New Roman" w:hAnsi="Times New Roman"/>
          <w:noProof/>
          <w:color w:val="000000" w:themeColor="text1"/>
          <w:sz w:val="24"/>
        </w:rPr>
        <w:t>'</w:t>
      </w:r>
      <w:r>
        <w:rPr>
          <w:rFonts w:ascii="Times New Roman" w:hAnsi="Times New Roman"/>
          <w:noProof/>
          <w:color w:val="000000" w:themeColor="text1"/>
          <w:sz w:val="24"/>
        </w:rPr>
        <w:t>offerta di conoscenze con le esigenze dell</w:t>
      </w:r>
      <w:r w:rsidR="00013882">
        <w:rPr>
          <w:rFonts w:ascii="Times New Roman" w:hAnsi="Times New Roman"/>
          <w:noProof/>
          <w:color w:val="000000" w:themeColor="text1"/>
          <w:sz w:val="24"/>
        </w:rPr>
        <w:t>'</w:t>
      </w:r>
      <w:r>
        <w:rPr>
          <w:rFonts w:ascii="Times New Roman" w:hAnsi="Times New Roman"/>
          <w:noProof/>
          <w:color w:val="000000" w:themeColor="text1"/>
          <w:sz w:val="24"/>
        </w:rPr>
        <w:t>industria ai fini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w:t>
      </w:r>
    </w:p>
    <w:p w14:paraId="4EBE65FC" w14:textId="77777777" w:rsidR="00A87734" w:rsidRPr="00125908" w:rsidRDefault="00A87734" w:rsidP="00782585">
      <w:pPr>
        <w:spacing w:after="120" w:line="240" w:lineRule="auto"/>
        <w:jc w:val="both"/>
        <w:rPr>
          <w:rFonts w:ascii="Times New Roman" w:hAnsi="Times New Roman" w:cs="Times New Roman"/>
          <w:b/>
          <w:i/>
          <w:noProof/>
          <w:color w:val="000000" w:themeColor="text1"/>
          <w:sz w:val="24"/>
        </w:rPr>
      </w:pPr>
    </w:p>
    <w:p w14:paraId="6ADA40EF" w14:textId="5188F002" w:rsidR="008D2948" w:rsidRPr="00782585" w:rsidRDefault="008D2948" w:rsidP="00DB41F6">
      <w:pPr>
        <w:keepNext/>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 Migliorare il quadro delle politiche in materia di innovazione</w:t>
      </w:r>
    </w:p>
    <w:p w14:paraId="51F9FE98" w14:textId="77777777" w:rsidR="008D2948" w:rsidRPr="00782585" w:rsidRDefault="008D2948" w:rsidP="00DB41F6">
      <w:pPr>
        <w:keepNext/>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2.5.1 Sfide da raccogliere</w:t>
      </w:r>
    </w:p>
    <w:p w14:paraId="7EA8EB1A" w14:textId="311B695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politiche di innovazione efficaci devono basarsi su un monitoraggio e una valutazione accurati.</w:t>
      </w:r>
      <w:r>
        <w:rPr>
          <w:rStyle w:val="normaltextrun"/>
          <w:rFonts w:ascii="Times New Roman" w:hAnsi="Times New Roman"/>
          <w:noProof/>
          <w:color w:val="000000" w:themeColor="text1"/>
          <w:sz w:val="24"/>
        </w:rPr>
        <w:t xml:space="preserve"> </w:t>
      </w:r>
      <w:r>
        <w:rPr>
          <w:rFonts w:ascii="Times New Roman" w:hAnsi="Times New Roman"/>
          <w:noProof/>
          <w:color w:val="000000" w:themeColor="text1"/>
          <w:sz w:val="24"/>
        </w:rPr>
        <w:t>Le politiche a livello sia dell</w:t>
      </w:r>
      <w:r w:rsidR="00013882">
        <w:rPr>
          <w:rFonts w:ascii="Times New Roman" w:hAnsi="Times New Roman"/>
          <w:noProof/>
          <w:color w:val="000000" w:themeColor="text1"/>
          <w:sz w:val="24"/>
        </w:rPr>
        <w:t>'</w:t>
      </w:r>
      <w:r>
        <w:rPr>
          <w:rFonts w:ascii="Times New Roman" w:hAnsi="Times New Roman"/>
          <w:noProof/>
          <w:color w:val="000000" w:themeColor="text1"/>
          <w:sz w:val="24"/>
        </w:rPr>
        <w:t>UE che nazionale devono tenere il passo con la natura mutevole dell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w:t>
      </w:r>
    </w:p>
    <w:p w14:paraId="293118DF" w14:textId="1719ECC1" w:rsidR="004803B8" w:rsidRPr="00782585" w:rsidRDefault="0044315B"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Attualmente, il panorama delle politiche in materia di innovazione è eterogeneo, con molteplici definizioni della terminologia chiave e spesso dati relativi alle politiche difficili da confrontare.</w:t>
      </w:r>
      <w:r>
        <w:rPr>
          <w:rStyle w:val="normaltextrun"/>
          <w:rFonts w:ascii="Times New Roman" w:hAnsi="Times New Roman"/>
          <w:noProof/>
          <w:color w:val="000000" w:themeColor="text1"/>
          <w:sz w:val="24"/>
        </w:rPr>
        <w:t xml:space="preserve"> È quindi difficile per i responsabili politici a livello nazionale e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 avere una visione comune dello stato di avanzamento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e delle diverse componenti e tendenze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nell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 Questa iniziativa faro mira ad affrontare queste sfide insite nella definizione delle politiche e a rafforzare il sostegno alle capacità degli Stati membri che devono migliorare il loro approccio decisionale.</w:t>
      </w:r>
    </w:p>
    <w:p w14:paraId="6E478719" w14:textId="77777777" w:rsidR="00A87734" w:rsidRPr="00125908" w:rsidRDefault="00A87734" w:rsidP="00782585">
      <w:pPr>
        <w:spacing w:line="240" w:lineRule="auto"/>
        <w:jc w:val="both"/>
        <w:rPr>
          <w:rFonts w:ascii="Times New Roman" w:hAnsi="Times New Roman" w:cs="Times New Roman"/>
          <w:b/>
          <w:i/>
          <w:noProof/>
          <w:color w:val="000000" w:themeColor="text1"/>
          <w:sz w:val="24"/>
        </w:rPr>
      </w:pPr>
    </w:p>
    <w:p w14:paraId="1B7361D8" w14:textId="53AA931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2.5.2 Iniziativa faro - Migliorare gli strumenti di elaborazione delle politiche</w:t>
      </w:r>
    </w:p>
    <w:p w14:paraId="347D6905" w14:textId="0A13263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Questa iniziativa faro si concentra sullo sviluppo e sull</w:t>
      </w:r>
      <w:r w:rsidR="00013882">
        <w:rPr>
          <w:rFonts w:ascii="Times New Roman" w:hAnsi="Times New Roman"/>
          <w:noProof/>
          <w:color w:val="000000" w:themeColor="text1"/>
          <w:sz w:val="24"/>
        </w:rPr>
        <w:t>'</w:t>
      </w:r>
      <w:r>
        <w:rPr>
          <w:rFonts w:ascii="Times New Roman" w:hAnsi="Times New Roman"/>
          <w:noProof/>
          <w:color w:val="000000" w:themeColor="text1"/>
          <w:sz w:val="24"/>
        </w:rPr>
        <w:t>uso di serie di dati solide e comparabili e su una tassonomia comune dei dati in grado di orientare le politiche a tutti i livelli nell</w:t>
      </w:r>
      <w:r w:rsidR="00013882">
        <w:rPr>
          <w:rFonts w:ascii="Times New Roman" w:hAnsi="Times New Roman"/>
          <w:noProof/>
          <w:color w:val="000000" w:themeColor="text1"/>
          <w:sz w:val="24"/>
        </w:rPr>
        <w:t>'</w:t>
      </w:r>
      <w:r>
        <w:rPr>
          <w:rFonts w:ascii="Times New Roman" w:hAnsi="Times New Roman"/>
          <w:noProof/>
          <w:color w:val="000000" w:themeColor="text1"/>
          <w:sz w:val="24"/>
        </w:rPr>
        <w:t>insieme dell</w:t>
      </w:r>
      <w:r w:rsidR="00013882">
        <w:rPr>
          <w:rFonts w:ascii="Times New Roman" w:hAnsi="Times New Roman"/>
          <w:noProof/>
          <w:color w:val="000000" w:themeColor="text1"/>
          <w:sz w:val="24"/>
        </w:rPr>
        <w:t>'</w:t>
      </w:r>
      <w:r>
        <w:rPr>
          <w:rFonts w:ascii="Times New Roman" w:hAnsi="Times New Roman"/>
          <w:noProof/>
          <w:color w:val="000000" w:themeColor="text1"/>
          <w:sz w:val="24"/>
        </w:rPr>
        <w:t>UE, nonché sul sostegno strategico agli Stati membri.</w:t>
      </w:r>
    </w:p>
    <w:p w14:paraId="4A32BE95" w14:textId="02FEB238" w:rsidR="008D2948" w:rsidRPr="00782585"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i/>
          <w:noProof/>
          <w:color w:val="000000" w:themeColor="text1"/>
          <w:sz w:val="24"/>
        </w:rPr>
        <w:t>Politica basata sui dati</w:t>
      </w:r>
    </w:p>
    <w:p w14:paraId="17C624D6" w14:textId="12B183C8"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Nel primo trimestre del 2023 la Commissione </w:t>
      </w:r>
      <w:r>
        <w:rPr>
          <w:rStyle w:val="normaltextrun"/>
          <w:rFonts w:ascii="Times New Roman" w:hAnsi="Times New Roman"/>
          <w:b/>
          <w:noProof/>
          <w:color w:val="000000" w:themeColor="text1"/>
          <w:sz w:val="24"/>
        </w:rPr>
        <w:t>elaborerà una relazione esplorativa sulle definizioni relative alle start-up, alle scale-up e all</w:t>
      </w:r>
      <w:r w:rsidR="00013882">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innovazione ad elevatissimo contenuto tecnologico</w:t>
      </w:r>
      <w:r>
        <w:rPr>
          <w:rStyle w:val="normaltextrun"/>
          <w:rFonts w:ascii="Times New Roman" w:hAnsi="Times New Roman"/>
          <w:noProof/>
          <w:color w:val="000000" w:themeColor="text1"/>
          <w:sz w:val="24"/>
        </w:rPr>
        <w:t xml:space="preserve">. </w:t>
      </w:r>
      <w:r w:rsidR="007E6397">
        <w:rPr>
          <w:rStyle w:val="normaltextrun"/>
          <w:rFonts w:ascii="Times New Roman" w:hAnsi="Times New Roman"/>
          <w:noProof/>
          <w:color w:val="000000" w:themeColor="text1"/>
          <w:sz w:val="24"/>
        </w:rPr>
        <w:t>Successivamente u</w:t>
      </w:r>
      <w:r>
        <w:rPr>
          <w:rStyle w:val="normaltextrun"/>
          <w:rFonts w:ascii="Times New Roman" w:hAnsi="Times New Roman"/>
          <w:noProof/>
          <w:color w:val="000000" w:themeColor="text1"/>
          <w:sz w:val="24"/>
        </w:rPr>
        <w:t>no studio pilota stabilirà una serie di indicatori</w:t>
      </w:r>
      <w:r w:rsidR="007E6397">
        <w:rPr>
          <w:rStyle w:val="normaltextrun"/>
          <w:rFonts w:ascii="Times New Roman" w:hAnsi="Times New Roman"/>
          <w:noProof/>
          <w:color w:val="000000" w:themeColor="text1"/>
          <w:sz w:val="24"/>
        </w:rPr>
        <w:t xml:space="preserve"> relativi alle</w:t>
      </w:r>
      <w:r>
        <w:rPr>
          <w:rStyle w:val="normaltextrun"/>
          <w:rFonts w:ascii="Times New Roman" w:hAnsi="Times New Roman"/>
          <w:noProof/>
          <w:color w:val="000000" w:themeColor="text1"/>
          <w:sz w:val="24"/>
        </w:rPr>
        <w:t xml:space="preserve"> </w:t>
      </w:r>
      <w:r>
        <w:rPr>
          <w:rStyle w:val="normaltextrun"/>
          <w:rFonts w:ascii="Times New Roman" w:hAnsi="Times New Roman" w:cs="Times New Roman"/>
          <w:noProof/>
          <w:color w:val="000000" w:themeColor="text1"/>
          <w:sz w:val="24"/>
          <w:vertAlign w:val="superscript"/>
        </w:rPr>
        <w:fldChar w:fldCharType="begin" w:fldLock="1"/>
      </w:r>
      <w:r>
        <w:rPr>
          <w:rStyle w:val="normaltextrun"/>
          <w:rFonts w:ascii="Times New Roman" w:hAnsi="Times New Roman" w:cs="Times New Roman"/>
          <w:noProof/>
          <w:color w:val="000000" w:themeColor="text1"/>
          <w:sz w:val="24"/>
          <w:vertAlign w:val="superscript"/>
        </w:rPr>
        <w:instrText xml:space="preserve"> NOTEREF _Ref104391389 \h  \* MERGEFORMAT </w:instrText>
      </w:r>
      <w:r>
        <w:rPr>
          <w:rStyle w:val="normaltextrun"/>
          <w:rFonts w:ascii="Times New Roman" w:hAnsi="Times New Roman" w:cs="Times New Roman"/>
          <w:noProof/>
          <w:color w:val="000000" w:themeColor="text1"/>
          <w:sz w:val="24"/>
          <w:vertAlign w:val="superscript"/>
        </w:rPr>
      </w:r>
      <w:r>
        <w:rPr>
          <w:rStyle w:val="normaltextrun"/>
          <w:rFonts w:ascii="Times New Roman" w:hAnsi="Times New Roman" w:cs="Times New Roman"/>
          <w:noProof/>
          <w:color w:val="000000" w:themeColor="text1"/>
          <w:sz w:val="24"/>
          <w:vertAlign w:val="superscript"/>
        </w:rPr>
        <w:fldChar w:fldCharType="end"/>
      </w:r>
      <w:r>
        <w:rPr>
          <w:rStyle w:val="normaltextrun"/>
          <w:rFonts w:ascii="Times New Roman" w:hAnsi="Times New Roman"/>
          <w:noProof/>
          <w:color w:val="000000" w:themeColor="text1"/>
          <w:sz w:val="24"/>
        </w:rPr>
        <w:t xml:space="preserve">start-up, </w:t>
      </w:r>
      <w:r w:rsidR="007E6397">
        <w:rPr>
          <w:rStyle w:val="normaltextrun"/>
          <w:rFonts w:ascii="Times New Roman" w:hAnsi="Times New Roman"/>
          <w:noProof/>
          <w:color w:val="000000" w:themeColor="text1"/>
          <w:sz w:val="24"/>
        </w:rPr>
        <w:t>al</w:t>
      </w:r>
      <w:r>
        <w:rPr>
          <w:rStyle w:val="normaltextrun"/>
          <w:rFonts w:ascii="Times New Roman" w:hAnsi="Times New Roman"/>
          <w:noProof/>
          <w:color w:val="000000" w:themeColor="text1"/>
          <w:sz w:val="24"/>
        </w:rPr>
        <w:t xml:space="preserve">le scale-up e </w:t>
      </w:r>
      <w:r w:rsidR="007E6397">
        <w:rPr>
          <w:rStyle w:val="normaltextrun"/>
          <w:rFonts w:ascii="Times New Roman" w:hAnsi="Times New Roman"/>
          <w:noProof/>
          <w:color w:val="000000" w:themeColor="text1"/>
          <w:sz w:val="24"/>
        </w:rPr>
        <w:t>al</w:t>
      </w:r>
      <w:r>
        <w:rPr>
          <w:rStyle w:val="normaltextrun"/>
          <w:rFonts w:ascii="Times New Roman" w:hAnsi="Times New Roman"/>
          <w:noProof/>
          <w:color w:val="000000" w:themeColor="text1"/>
          <w:sz w:val="24"/>
        </w:rPr>
        <w:t>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ad elevatissimo contenuto tecnologico che possono essere utili per analizzare e modellizzare le politiche in materia di ecosistemi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a livello regionale, nazionale ed europeo. Il quadro europeo di valutazione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innovazione sarà aggiornato di conseguenza. </w:t>
      </w:r>
    </w:p>
    <w:p w14:paraId="277FDCE4" w14:textId="77777777" w:rsidR="008D2948" w:rsidRPr="00782585" w:rsidRDefault="008D2948" w:rsidP="00DD6F41">
      <w:pPr>
        <w:keepNext/>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Sostegno agli Stati membri </w:t>
      </w:r>
    </w:p>
    <w:p w14:paraId="6F49E4AD" w14:textId="664242B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b/>
          <w:bCs/>
          <w:noProof/>
          <w:color w:val="000000" w:themeColor="text1"/>
          <w:sz w:val="24"/>
        </w:rPr>
        <w:t>Attraverso lo strumento di sostegno tecnico (STI)</w:t>
      </w:r>
      <w:r>
        <w:rPr>
          <w:rFonts w:ascii="Times New Roman" w:hAnsi="Times New Roman"/>
          <w:noProof/>
          <w:color w:val="000000" w:themeColor="text1"/>
          <w:sz w:val="24"/>
        </w:rPr>
        <w:t xml:space="preserve"> la Commissione </w:t>
      </w:r>
      <w:r>
        <w:rPr>
          <w:rFonts w:ascii="Times New Roman" w:hAnsi="Times New Roman"/>
          <w:b/>
          <w:noProof/>
          <w:color w:val="000000" w:themeColor="text1"/>
          <w:sz w:val="24"/>
        </w:rPr>
        <w:t>sosterrà gli Stati membri e le regioni nell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elaborazione e nell</w:t>
      </w:r>
      <w:r w:rsidR="00013882">
        <w:rPr>
          <w:rFonts w:ascii="Times New Roman" w:hAnsi="Times New Roman"/>
          <w:b/>
          <w:noProof/>
          <w:color w:val="000000" w:themeColor="text1"/>
          <w:sz w:val="24"/>
        </w:rPr>
        <w:t>'</w:t>
      </w:r>
      <w:r>
        <w:rPr>
          <w:rFonts w:ascii="Times New Roman" w:hAnsi="Times New Roman"/>
          <w:b/>
          <w:noProof/>
          <w:color w:val="000000" w:themeColor="text1"/>
          <w:sz w:val="24"/>
        </w:rPr>
        <w:t xml:space="preserve">attuazione delle migliori politiche di </w:t>
      </w:r>
      <w:r w:rsidR="007E6397">
        <w:rPr>
          <w:rFonts w:ascii="Times New Roman" w:hAnsi="Times New Roman"/>
          <w:b/>
          <w:noProof/>
          <w:color w:val="000000" w:themeColor="text1"/>
          <w:sz w:val="24"/>
        </w:rPr>
        <w:t>innovazione</w:t>
      </w:r>
      <w:r>
        <w:rPr>
          <w:rFonts w:ascii="Times New Roman" w:hAnsi="Times New Roman"/>
          <w:noProof/>
          <w:color w:val="000000" w:themeColor="text1"/>
          <w:sz w:val="24"/>
        </w:rPr>
        <w:t xml:space="preserve"> nell</w:t>
      </w:r>
      <w:r w:rsidR="00013882">
        <w:rPr>
          <w:rFonts w:ascii="Times New Roman" w:hAnsi="Times New Roman"/>
          <w:noProof/>
          <w:color w:val="000000" w:themeColor="text1"/>
          <w:sz w:val="24"/>
        </w:rPr>
        <w:t>'</w:t>
      </w:r>
      <w:r>
        <w:rPr>
          <w:rFonts w:ascii="Times New Roman" w:hAnsi="Times New Roman"/>
          <w:noProof/>
          <w:color w:val="000000" w:themeColor="text1"/>
          <w:sz w:val="24"/>
        </w:rPr>
        <w:t>ambito di Next Generation EU</w:t>
      </w:r>
      <w:r>
        <w:rPr>
          <w:rStyle w:val="FootnoteReference"/>
          <w:rFonts w:ascii="Times New Roman" w:hAnsi="Times New Roman" w:cs="Times New Roman"/>
          <w:noProof/>
          <w:color w:val="000000" w:themeColor="text1"/>
          <w:sz w:val="24"/>
          <w:szCs w:val="24"/>
        </w:rPr>
        <w:footnoteReference w:id="104"/>
      </w:r>
      <w:r>
        <w:rPr>
          <w:rFonts w:ascii="Times New Roman" w:hAnsi="Times New Roman"/>
          <w:noProof/>
          <w:color w:val="000000" w:themeColor="text1"/>
          <w:sz w:val="24"/>
        </w:rPr>
        <w:t>. Si tratta di un sostegno essenziale che potrà riguardare, ad esempio, la raccolta di dati per un processo decisionale informato, lo sviluppo di capacità per il personale addetto agli appalti pubblici, servizi di consulenza normativa e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uso di spazi di sperimentazione normativa. </w:t>
      </w:r>
    </w:p>
    <w:p w14:paraId="00D6B67D" w14:textId="05E46AA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 Commissione rafforzerà inoltre lo strumento di sostegno strategico di Orizzonte per offrire un sostegno pratico alla concezione, all</w:t>
      </w:r>
      <w:r w:rsidR="00013882">
        <w:rPr>
          <w:rFonts w:ascii="Times New Roman" w:hAnsi="Times New Roman"/>
          <w:noProof/>
          <w:color w:val="000000" w:themeColor="text1"/>
          <w:sz w:val="24"/>
        </w:rPr>
        <w:t>'</w:t>
      </w:r>
      <w:r>
        <w:rPr>
          <w:rFonts w:ascii="Times New Roman" w:hAnsi="Times New Roman"/>
          <w:noProof/>
          <w:color w:val="000000" w:themeColor="text1"/>
          <w:sz w:val="24"/>
        </w:rPr>
        <w:t>attuazione e alla valutazione delle riforme che migliorano la qualità degli investimenti, delle politiche e dei sistemi di ricerca e innovazione negli Stati membri.</w:t>
      </w:r>
    </w:p>
    <w:p w14:paraId="792DF2E6" w14:textId="0A1E6A56" w:rsidR="008D2948" w:rsidRPr="00782585" w:rsidRDefault="008D2948" w:rsidP="00DB41F6">
      <w:pPr>
        <w:keepNext/>
        <w:spacing w:after="120" w:line="240" w:lineRule="auto"/>
        <w:jc w:val="both"/>
        <w:rPr>
          <w:rStyle w:val="normaltextrun"/>
          <w:rFonts w:ascii="Times New Roman" w:hAnsi="Times New Roman" w:cs="Times New Roman"/>
          <w:i/>
          <w:noProof/>
          <w:color w:val="000000" w:themeColor="text1"/>
          <w:sz w:val="24"/>
        </w:rPr>
      </w:pPr>
      <w:r>
        <w:rPr>
          <w:rStyle w:val="normaltextrun"/>
          <w:rFonts w:ascii="Times New Roman" w:hAnsi="Times New Roman"/>
          <w:i/>
          <w:noProof/>
          <w:color w:val="000000" w:themeColor="text1"/>
          <w:sz w:val="24"/>
        </w:rPr>
        <w:t>Coordinamento delle politiche</w:t>
      </w:r>
    </w:p>
    <w:p w14:paraId="72CC583D" w14:textId="5F8E020D" w:rsidR="008D2948"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Nel corso del 2022 la Commissione rafforzerà il </w:t>
      </w:r>
      <w:r>
        <w:rPr>
          <w:rStyle w:val="normaltextrun"/>
          <w:rFonts w:ascii="Times New Roman" w:hAnsi="Times New Roman"/>
          <w:b/>
          <w:noProof/>
          <w:color w:val="000000" w:themeColor="text1"/>
          <w:sz w:val="24"/>
        </w:rPr>
        <w:t>ruolo del forum del Consiglio europeo per l</w:t>
      </w:r>
      <w:r w:rsidR="00013882">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innovazione</w:t>
      </w:r>
      <w:r>
        <w:rPr>
          <w:rStyle w:val="FootnoteReference"/>
          <w:rFonts w:ascii="Times New Roman" w:hAnsi="Times New Roman" w:cs="Times New Roman"/>
          <w:b/>
          <w:noProof/>
          <w:color w:val="000000" w:themeColor="text1"/>
          <w:szCs w:val="24"/>
        </w:rPr>
        <w:footnoteReference w:id="105"/>
      </w:r>
      <w:r>
        <w:rPr>
          <w:rStyle w:val="normaltextrun"/>
          <w:rFonts w:ascii="Times New Roman" w:hAnsi="Times New Roman"/>
          <w:noProof/>
          <w:color w:val="000000" w:themeColor="text1"/>
          <w:sz w:val="24"/>
        </w:rPr>
        <w:t>, facilitando lo scambio delle migliori pratiche e il coordinamento delle iniziative nazionali in materia di politica dell</w:t>
      </w:r>
      <w:r w:rsidR="00013882">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innovazione. </w:t>
      </w:r>
      <w:r>
        <w:rPr>
          <w:rFonts w:ascii="Times New Roman" w:hAnsi="Times New Roman"/>
          <w:noProof/>
          <w:color w:val="000000" w:themeColor="text1"/>
          <w:sz w:val="24"/>
        </w:rPr>
        <w:t>Gli orientamenti strategici del forum saranno coerenti con il Patto per la ricerca e 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w:t>
      </w:r>
      <w:r>
        <w:rPr>
          <w:rStyle w:val="FootnoteReference"/>
          <w:rFonts w:ascii="Times New Roman" w:hAnsi="Times New Roman" w:cs="Times New Roman"/>
          <w:noProof/>
          <w:color w:val="000000" w:themeColor="text1"/>
          <w:sz w:val="24"/>
          <w:szCs w:val="24"/>
        </w:rPr>
        <w:footnoteReference w:id="106"/>
      </w:r>
      <w:r>
        <w:rPr>
          <w:rFonts w:ascii="Times New Roman" w:hAnsi="Times New Roman"/>
          <w:noProof/>
          <w:color w:val="000000" w:themeColor="text1"/>
          <w:sz w:val="24"/>
        </w:rPr>
        <w:t xml:space="preserve"> e confluiranno nell</w:t>
      </w:r>
      <w:r w:rsidR="00013882">
        <w:rPr>
          <w:rFonts w:ascii="Times New Roman" w:hAnsi="Times New Roman"/>
          <w:noProof/>
          <w:color w:val="000000" w:themeColor="text1"/>
          <w:sz w:val="24"/>
        </w:rPr>
        <w:t>'</w:t>
      </w:r>
      <w:r w:rsidR="00827F42">
        <w:rPr>
          <w:rFonts w:ascii="Times New Roman" w:hAnsi="Times New Roman"/>
          <w:noProof/>
          <w:color w:val="000000" w:themeColor="text1"/>
          <w:sz w:val="24"/>
        </w:rPr>
        <w:t>operato</w:t>
      </w:r>
      <w:r>
        <w:rPr>
          <w:rFonts w:ascii="Times New Roman" w:hAnsi="Times New Roman"/>
          <w:noProof/>
          <w:color w:val="000000" w:themeColor="text1"/>
          <w:sz w:val="24"/>
        </w:rPr>
        <w:t xml:space="preserve"> della governance del SER e del comitato per lo Spazio europeo della ricerca e dell</w:t>
      </w:r>
      <w:r w:rsidR="00013882">
        <w:rPr>
          <w:rFonts w:ascii="Times New Roman" w:hAnsi="Times New Roman"/>
          <w:noProof/>
          <w:color w:val="000000" w:themeColor="text1"/>
          <w:sz w:val="24"/>
        </w:rPr>
        <w:t>'</w:t>
      </w:r>
      <w:r>
        <w:rPr>
          <w:rFonts w:ascii="Times New Roman" w:hAnsi="Times New Roman"/>
          <w:noProof/>
          <w:color w:val="000000" w:themeColor="text1"/>
          <w:sz w:val="24"/>
        </w:rPr>
        <w:t>innovazione, in qualità di comitato congiunto politico strategico ad alto livello con funzioni consultive, che offrirà consulenze tempestive al Consiglio, alla Commissione e agli Stati membri su questioni strategiche in materia di ricerca e innovazione.</w:t>
      </w:r>
    </w:p>
    <w:p w14:paraId="24C740DA" w14:textId="77777777" w:rsidR="009E5C5A" w:rsidRPr="00125908" w:rsidRDefault="009E5C5A" w:rsidP="00782585">
      <w:pPr>
        <w:spacing w:after="120" w:line="240" w:lineRule="auto"/>
        <w:jc w:val="both"/>
        <w:rPr>
          <w:rStyle w:val="normaltextrun"/>
          <w:rFonts w:ascii="Times New Roman" w:hAnsi="Times New Roman" w:cs="Times New Roman"/>
          <w:noProof/>
          <w:color w:val="000000" w:themeColor="text1"/>
          <w:sz w:val="24"/>
        </w:rPr>
      </w:pPr>
    </w:p>
    <w:p w14:paraId="61490027" w14:textId="77777777" w:rsidR="008D2948" w:rsidRPr="00782585" w:rsidRDefault="008D2948" w:rsidP="00782585">
      <w:pPr>
        <w:spacing w:line="240" w:lineRule="auto"/>
        <w:rPr>
          <w:rFonts w:ascii="Times New Roman" w:hAnsi="Times New Roman" w:cs="Times New Roman"/>
          <w:b/>
          <w:noProof/>
          <w:color w:val="000000" w:themeColor="text1"/>
          <w:sz w:val="24"/>
        </w:rPr>
      </w:pPr>
      <w:r>
        <w:rPr>
          <w:rFonts w:ascii="Times New Roman" w:hAnsi="Times New Roman"/>
          <w:b/>
          <w:noProof/>
          <w:color w:val="000000" w:themeColor="text1"/>
          <w:sz w:val="24"/>
        </w:rPr>
        <w:t>3. CONCLUSIONI</w:t>
      </w:r>
    </w:p>
    <w:p w14:paraId="4897CA82" w14:textId="1F18733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w:t>
      </w:r>
      <w:r w:rsidR="00013882">
        <w:rPr>
          <w:rFonts w:ascii="Times New Roman" w:hAnsi="Times New Roman"/>
          <w:noProof/>
          <w:color w:val="000000" w:themeColor="text1"/>
          <w:sz w:val="24"/>
        </w:rPr>
        <w:t>'</w:t>
      </w:r>
      <w:r>
        <w:rPr>
          <w:rFonts w:ascii="Times New Roman" w:hAnsi="Times New Roman"/>
          <w:noProof/>
          <w:color w:val="000000" w:themeColor="text1"/>
          <w:sz w:val="24"/>
        </w:rPr>
        <w:t>Europa può diventare il leader mondiale nell</w:t>
      </w:r>
      <w:r w:rsidR="00013882">
        <w:rPr>
          <w:rFonts w:ascii="Times New Roman" w:hAnsi="Times New Roman"/>
          <w:noProof/>
          <w:color w:val="000000" w:themeColor="text1"/>
          <w:sz w:val="24"/>
        </w:rPr>
        <w:t>'</w:t>
      </w:r>
      <w:r>
        <w:rPr>
          <w:rFonts w:ascii="Times New Roman" w:hAnsi="Times New Roman"/>
          <w:noProof/>
          <w:color w:val="000000" w:themeColor="text1"/>
          <w:sz w:val="24"/>
        </w:rPr>
        <w:t>attuale ondata di innovazioni deep tech, compiendo uno sforzo concertato che sfrutti i suoi talenti diversificati, le sue risorse intellettuali e le sue capacità industriali. Gli Stati membri e le regioni in particolare sono incoraggiati a fare riferimento alle proposte e a collaborare con la Commissione e i portatori di interessi per mobilitare investimenti, garantire condizioni quadro favorevoli e attuare le riforme essenziali.</w:t>
      </w:r>
    </w:p>
    <w:p w14:paraId="75F2CB8B" w14:textId="56A37AE7" w:rsidR="00FC5CF2" w:rsidRPr="009C0D1F" w:rsidRDefault="003B2823" w:rsidP="009C0D1F">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 Commissione monitorerà e riferirà sui progressi e sull</w:t>
      </w:r>
      <w:r w:rsidR="00013882">
        <w:rPr>
          <w:rFonts w:ascii="Times New Roman" w:hAnsi="Times New Roman"/>
          <w:noProof/>
          <w:color w:val="000000" w:themeColor="text1"/>
          <w:sz w:val="24"/>
        </w:rPr>
        <w:t>'</w:t>
      </w:r>
      <w:r>
        <w:rPr>
          <w:rFonts w:ascii="Times New Roman" w:hAnsi="Times New Roman"/>
          <w:noProof/>
          <w:color w:val="000000" w:themeColor="text1"/>
          <w:sz w:val="24"/>
        </w:rPr>
        <w:t>impatto delle azioni individuate nella presente comunicazione entro il 2024, in stretta collaborazione con i rappresentanti degli Stati membri in seno al forum del Consiglio europeo per l</w:t>
      </w:r>
      <w:r w:rsidR="00013882">
        <w:rPr>
          <w:rFonts w:ascii="Times New Roman" w:hAnsi="Times New Roman"/>
          <w:noProof/>
          <w:color w:val="000000" w:themeColor="text1"/>
          <w:sz w:val="24"/>
        </w:rPr>
        <w:t>'</w:t>
      </w:r>
      <w:r>
        <w:rPr>
          <w:rFonts w:ascii="Times New Roman" w:hAnsi="Times New Roman"/>
          <w:noProof/>
          <w:color w:val="000000" w:themeColor="text1"/>
          <w:sz w:val="24"/>
        </w:rPr>
        <w:t xml:space="preserve">innovazione. </w:t>
      </w:r>
    </w:p>
    <w:p w14:paraId="1C4A2BAB" w14:textId="77777777" w:rsidR="00FC5CF2" w:rsidRDefault="00FC5CF2">
      <w:pPr>
        <w:rPr>
          <w:rFonts w:ascii="Times New Roman" w:hAnsi="Times New Roman" w:cs="Times New Roman"/>
          <w:noProof/>
        </w:rPr>
      </w:pPr>
      <w:r>
        <w:rPr>
          <w:noProof/>
        </w:rPr>
        <w:br w:type="page"/>
      </w:r>
    </w:p>
    <w:p w14:paraId="5763A405" w14:textId="4A1793D1" w:rsidR="00FC5CF2" w:rsidRPr="00E33BD2" w:rsidRDefault="00FC5CF2" w:rsidP="00FC5CF2">
      <w:pPr>
        <w:jc w:val="center"/>
        <w:rPr>
          <w:rFonts w:ascii="Times New Roman" w:hAnsi="Times New Roman" w:cs="Times New Roman"/>
          <w:noProof/>
        </w:rPr>
      </w:pPr>
      <w:r>
        <w:rPr>
          <w:rFonts w:ascii="Times New Roman" w:hAnsi="Times New Roman"/>
          <w:b/>
          <w:noProof/>
        </w:rPr>
        <w:t>Elenco delle azioni previste dalla comunicazione</w:t>
      </w:r>
    </w:p>
    <w:tbl>
      <w:tblPr>
        <w:tblStyle w:val="TableGrid"/>
        <w:tblW w:w="10173" w:type="dxa"/>
        <w:tblLook w:val="04A0" w:firstRow="1" w:lastRow="0" w:firstColumn="1" w:lastColumn="0" w:noHBand="0" w:noVBand="1"/>
      </w:tblPr>
      <w:tblGrid>
        <w:gridCol w:w="8582"/>
        <w:gridCol w:w="1591"/>
      </w:tblGrid>
      <w:tr w:rsidR="00FC5CF2" w:rsidRPr="00A83876" w14:paraId="2766B4B6" w14:textId="77777777" w:rsidTr="00FC5CF2">
        <w:tc>
          <w:tcPr>
            <w:tcW w:w="8613" w:type="dxa"/>
            <w:tcBorders>
              <w:top w:val="triple" w:sz="4" w:space="0" w:color="auto"/>
              <w:left w:val="triple" w:sz="4" w:space="0" w:color="auto"/>
              <w:bottom w:val="triple" w:sz="4" w:space="0" w:color="auto"/>
              <w:right w:val="triple" w:sz="4" w:space="0" w:color="auto"/>
            </w:tcBorders>
          </w:tcPr>
          <w:p w14:paraId="24983D78" w14:textId="39F12772" w:rsidR="00FC5CF2" w:rsidRPr="00A83876" w:rsidRDefault="00FC5CF2" w:rsidP="00FC5CF2">
            <w:pPr>
              <w:rPr>
                <w:b/>
                <w:bCs/>
                <w:noProof/>
                <w:sz w:val="22"/>
                <w:szCs w:val="22"/>
              </w:rPr>
            </w:pPr>
            <w:r>
              <w:rPr>
                <w:b/>
                <w:noProof/>
                <w:sz w:val="22"/>
              </w:rPr>
              <w:t>Titolo (Iniziativa faro - Azioni)</w:t>
            </w:r>
          </w:p>
        </w:tc>
        <w:tc>
          <w:tcPr>
            <w:tcW w:w="1560" w:type="dxa"/>
            <w:tcBorders>
              <w:top w:val="triple" w:sz="4" w:space="0" w:color="auto"/>
              <w:left w:val="triple" w:sz="4" w:space="0" w:color="auto"/>
              <w:bottom w:val="triple" w:sz="4" w:space="0" w:color="auto"/>
              <w:right w:val="triple" w:sz="4" w:space="0" w:color="auto"/>
            </w:tcBorders>
          </w:tcPr>
          <w:p w14:paraId="7F7ADC69" w14:textId="77777777" w:rsidR="00FC5CF2" w:rsidRPr="00A83876" w:rsidRDefault="00FC5CF2" w:rsidP="00FC5CF2">
            <w:pPr>
              <w:rPr>
                <w:b/>
                <w:bCs/>
                <w:noProof/>
                <w:sz w:val="22"/>
                <w:szCs w:val="22"/>
              </w:rPr>
            </w:pPr>
            <w:r>
              <w:rPr>
                <w:b/>
                <w:noProof/>
                <w:sz w:val="22"/>
              </w:rPr>
              <w:t>Calendario</w:t>
            </w:r>
          </w:p>
        </w:tc>
      </w:tr>
      <w:tr w:rsidR="00FC5CF2" w:rsidRPr="00A83876" w14:paraId="5C3EBECB" w14:textId="77777777" w:rsidTr="00FC5CF2">
        <w:tc>
          <w:tcPr>
            <w:tcW w:w="10173" w:type="dxa"/>
            <w:gridSpan w:val="2"/>
            <w:tcBorders>
              <w:top w:val="triple" w:sz="4" w:space="0" w:color="auto"/>
            </w:tcBorders>
          </w:tcPr>
          <w:p w14:paraId="2A2F7AAB" w14:textId="77777777" w:rsidR="00FC5CF2" w:rsidRPr="00125908" w:rsidRDefault="00FC5CF2" w:rsidP="00FC5CF2">
            <w:pPr>
              <w:rPr>
                <w:b/>
                <w:bCs/>
                <w:noProof/>
                <w:sz w:val="22"/>
                <w:szCs w:val="22"/>
              </w:rPr>
            </w:pPr>
          </w:p>
          <w:p w14:paraId="7A81AFB5" w14:textId="4BDA62AC" w:rsidR="00FC5CF2" w:rsidRPr="00A83876" w:rsidRDefault="00E35371" w:rsidP="00FC5CF2">
            <w:pPr>
              <w:rPr>
                <w:b/>
                <w:bCs/>
                <w:noProof/>
                <w:sz w:val="22"/>
                <w:szCs w:val="22"/>
              </w:rPr>
            </w:pPr>
            <w:r>
              <w:rPr>
                <w:b/>
                <w:noProof/>
                <w:sz w:val="22"/>
              </w:rPr>
              <w:t>Iniziativa faro: Finanziare le scale-up ad elevatissimo contenuto tecnologico</w:t>
            </w:r>
          </w:p>
        </w:tc>
      </w:tr>
      <w:tr w:rsidR="00FC5CF2" w:rsidRPr="00A83876" w14:paraId="15363839" w14:textId="77777777" w:rsidTr="00FC5CF2">
        <w:tc>
          <w:tcPr>
            <w:tcW w:w="8613" w:type="dxa"/>
          </w:tcPr>
          <w:p w14:paraId="6E2A5E51" w14:textId="39664F5E" w:rsidR="00FC5CF2" w:rsidRPr="00A83876" w:rsidRDefault="00FC5CF2" w:rsidP="00FC5CF2">
            <w:pPr>
              <w:pStyle w:val="ListParagraph"/>
              <w:numPr>
                <w:ilvl w:val="0"/>
                <w:numId w:val="4"/>
              </w:numPr>
              <w:rPr>
                <w:noProof/>
                <w:sz w:val="22"/>
                <w:szCs w:val="22"/>
              </w:rPr>
            </w:pPr>
            <w:r>
              <w:rPr>
                <w:noProof/>
                <w:sz w:val="22"/>
              </w:rPr>
              <w:t>Direttiva concernente l</w:t>
            </w:r>
            <w:r w:rsidR="00013882">
              <w:rPr>
                <w:noProof/>
                <w:sz w:val="22"/>
              </w:rPr>
              <w:t>'</w:t>
            </w:r>
            <w:r>
              <w:rPr>
                <w:noProof/>
                <w:sz w:val="22"/>
              </w:rPr>
              <w:t>indennità per la riduzione della distorsione a favore del debito (DEBRA) relativa all</w:t>
            </w:r>
            <w:r w:rsidR="00013882">
              <w:rPr>
                <w:noProof/>
                <w:sz w:val="22"/>
              </w:rPr>
              <w:t>'</w:t>
            </w:r>
            <w:r>
              <w:rPr>
                <w:noProof/>
                <w:sz w:val="22"/>
              </w:rPr>
              <w:t>imposta sul reddito delle società, proposta della Commissione</w:t>
            </w:r>
          </w:p>
        </w:tc>
        <w:tc>
          <w:tcPr>
            <w:tcW w:w="1560" w:type="dxa"/>
          </w:tcPr>
          <w:p w14:paraId="6A712AD5" w14:textId="77777777" w:rsidR="00FC5CF2" w:rsidRPr="00A83876" w:rsidRDefault="00FC5CF2" w:rsidP="00FC5CF2">
            <w:pPr>
              <w:rPr>
                <w:noProof/>
                <w:sz w:val="22"/>
                <w:szCs w:val="22"/>
              </w:rPr>
            </w:pPr>
            <w:r>
              <w:rPr>
                <w:noProof/>
                <w:sz w:val="22"/>
              </w:rPr>
              <w:t>Secondo trimestre 2022</w:t>
            </w:r>
          </w:p>
          <w:p w14:paraId="12850C51" w14:textId="77777777" w:rsidR="00FC5CF2" w:rsidRPr="00A83876" w:rsidRDefault="00FC5CF2" w:rsidP="00FC5CF2">
            <w:pPr>
              <w:rPr>
                <w:noProof/>
                <w:sz w:val="22"/>
                <w:szCs w:val="22"/>
                <w:lang w:val="en-IE"/>
              </w:rPr>
            </w:pPr>
          </w:p>
        </w:tc>
      </w:tr>
      <w:tr w:rsidR="00FC5CF2" w:rsidRPr="00A83876" w14:paraId="4A8FF082" w14:textId="77777777" w:rsidTr="00FC5CF2">
        <w:tc>
          <w:tcPr>
            <w:tcW w:w="8613" w:type="dxa"/>
          </w:tcPr>
          <w:p w14:paraId="5C17B068" w14:textId="77777777" w:rsidR="00FC5CF2" w:rsidRPr="00A83876" w:rsidRDefault="00FC5CF2" w:rsidP="00FC5CF2">
            <w:pPr>
              <w:pStyle w:val="ListParagraph"/>
              <w:numPr>
                <w:ilvl w:val="0"/>
                <w:numId w:val="4"/>
              </w:numPr>
              <w:rPr>
                <w:noProof/>
                <w:sz w:val="22"/>
                <w:szCs w:val="22"/>
              </w:rPr>
            </w:pPr>
            <w:r>
              <w:rPr>
                <w:noProof/>
                <w:sz w:val="22"/>
              </w:rPr>
              <w:t xml:space="preserve">Normativa sulle quotazioni, proposta della Commissione </w:t>
            </w:r>
          </w:p>
        </w:tc>
        <w:tc>
          <w:tcPr>
            <w:tcW w:w="1560" w:type="dxa"/>
          </w:tcPr>
          <w:p w14:paraId="13D76D7C" w14:textId="77777777" w:rsidR="00FC5CF2" w:rsidRPr="00A83876" w:rsidRDefault="00FC5CF2" w:rsidP="00FC5CF2">
            <w:pPr>
              <w:rPr>
                <w:noProof/>
                <w:sz w:val="22"/>
                <w:szCs w:val="22"/>
              </w:rPr>
            </w:pPr>
            <w:r>
              <w:rPr>
                <w:noProof/>
                <w:sz w:val="22"/>
              </w:rPr>
              <w:t>Quarto trimestre 2022</w:t>
            </w:r>
          </w:p>
        </w:tc>
      </w:tr>
      <w:tr w:rsidR="00FC5CF2" w:rsidRPr="00A83876" w14:paraId="703DFBC5" w14:textId="77777777" w:rsidTr="00FC5CF2">
        <w:tc>
          <w:tcPr>
            <w:tcW w:w="8613" w:type="dxa"/>
          </w:tcPr>
          <w:p w14:paraId="0F0A897D" w14:textId="77777777" w:rsidR="00FC5CF2" w:rsidRPr="00A83876" w:rsidRDefault="00FC5CF2" w:rsidP="00FC5CF2">
            <w:pPr>
              <w:pStyle w:val="ListParagraph"/>
              <w:numPr>
                <w:ilvl w:val="0"/>
                <w:numId w:val="4"/>
              </w:numPr>
              <w:rPr>
                <w:noProof/>
                <w:sz w:val="22"/>
                <w:szCs w:val="22"/>
              </w:rPr>
            </w:pPr>
            <w:r>
              <w:rPr>
                <w:noProof/>
                <w:sz w:val="22"/>
              </w:rPr>
              <w:t>Ampliamento del meccanismo ESCALAR (Azione europea di sviluppo per il capitale di rischio)</w:t>
            </w:r>
          </w:p>
        </w:tc>
        <w:tc>
          <w:tcPr>
            <w:tcW w:w="1560" w:type="dxa"/>
          </w:tcPr>
          <w:p w14:paraId="22494738" w14:textId="77777777" w:rsidR="00FC5CF2" w:rsidRPr="00A83876" w:rsidRDefault="00FC5CF2" w:rsidP="00FC5CF2">
            <w:pPr>
              <w:rPr>
                <w:noProof/>
                <w:sz w:val="22"/>
                <w:szCs w:val="22"/>
              </w:rPr>
            </w:pPr>
            <w:r>
              <w:rPr>
                <w:noProof/>
                <w:sz w:val="22"/>
              </w:rPr>
              <w:t>2023</w:t>
            </w:r>
          </w:p>
        </w:tc>
      </w:tr>
      <w:tr w:rsidR="00FC5CF2" w:rsidRPr="00A83876" w14:paraId="75F3ED17" w14:textId="77777777" w:rsidTr="00FC5CF2">
        <w:tc>
          <w:tcPr>
            <w:tcW w:w="8613" w:type="dxa"/>
          </w:tcPr>
          <w:p w14:paraId="14F098E6" w14:textId="7BFA6E27" w:rsidR="00FC5CF2" w:rsidRPr="00A83876" w:rsidRDefault="00FC5CF2" w:rsidP="00FC5CF2">
            <w:pPr>
              <w:pStyle w:val="ListParagraph"/>
              <w:numPr>
                <w:ilvl w:val="0"/>
                <w:numId w:val="4"/>
              </w:numPr>
              <w:rPr>
                <w:noProof/>
                <w:sz w:val="22"/>
                <w:szCs w:val="22"/>
              </w:rPr>
            </w:pPr>
            <w:r>
              <w:rPr>
                <w:noProof/>
                <w:sz w:val="22"/>
              </w:rPr>
              <w:t>Programma di lavoro 2022 del Consiglio europeo per l</w:t>
            </w:r>
            <w:r w:rsidR="00013882">
              <w:rPr>
                <w:noProof/>
                <w:sz w:val="22"/>
              </w:rPr>
              <w:t>'</w:t>
            </w:r>
            <w:r>
              <w:rPr>
                <w:noProof/>
                <w:sz w:val="22"/>
              </w:rPr>
              <w:t>innovazione - Progetto pilota su un indice europeo i</w:t>
            </w:r>
            <w:r w:rsidR="007E6397">
              <w:rPr>
                <w:noProof/>
                <w:sz w:val="22"/>
              </w:rPr>
              <w:t>n materia di genere e diversità</w:t>
            </w:r>
            <w:r>
              <w:rPr>
                <w:noProof/>
                <w:sz w:val="22"/>
              </w:rPr>
              <w:t xml:space="preserve"> </w:t>
            </w:r>
          </w:p>
        </w:tc>
        <w:tc>
          <w:tcPr>
            <w:tcW w:w="1560" w:type="dxa"/>
          </w:tcPr>
          <w:p w14:paraId="6D266B6C" w14:textId="77777777" w:rsidR="00FC5CF2" w:rsidRPr="00A83876" w:rsidRDefault="00FC5CF2" w:rsidP="00FC5CF2">
            <w:pPr>
              <w:rPr>
                <w:noProof/>
                <w:sz w:val="22"/>
                <w:szCs w:val="22"/>
              </w:rPr>
            </w:pPr>
            <w:r>
              <w:rPr>
                <w:noProof/>
                <w:sz w:val="22"/>
              </w:rPr>
              <w:t>Primo trimestre 2023</w:t>
            </w:r>
          </w:p>
        </w:tc>
      </w:tr>
      <w:tr w:rsidR="00FC5CF2" w:rsidRPr="00A83876" w14:paraId="16714D36" w14:textId="77777777" w:rsidTr="00FC5CF2">
        <w:tc>
          <w:tcPr>
            <w:tcW w:w="8613" w:type="dxa"/>
          </w:tcPr>
          <w:p w14:paraId="29DB8A10" w14:textId="06648C18" w:rsidR="00FC5CF2" w:rsidRPr="00A83876" w:rsidRDefault="00FC5CF2" w:rsidP="00FC5CF2">
            <w:pPr>
              <w:pStyle w:val="ListParagraph"/>
              <w:numPr>
                <w:ilvl w:val="0"/>
                <w:numId w:val="4"/>
              </w:numPr>
              <w:rPr>
                <w:noProof/>
                <w:sz w:val="22"/>
                <w:szCs w:val="22"/>
              </w:rPr>
            </w:pPr>
            <w:r>
              <w:rPr>
                <w:noProof/>
                <w:sz w:val="22"/>
              </w:rPr>
              <w:t>Programma dell</w:t>
            </w:r>
            <w:r w:rsidR="00013882">
              <w:rPr>
                <w:noProof/>
                <w:sz w:val="22"/>
              </w:rPr>
              <w:t>'</w:t>
            </w:r>
            <w:r>
              <w:rPr>
                <w:noProof/>
                <w:sz w:val="22"/>
              </w:rPr>
              <w:t>EIT - Women2Invest</w:t>
            </w:r>
          </w:p>
        </w:tc>
        <w:tc>
          <w:tcPr>
            <w:tcW w:w="1560" w:type="dxa"/>
          </w:tcPr>
          <w:p w14:paraId="664C4148" w14:textId="77777777" w:rsidR="00FC5CF2" w:rsidRPr="00A83876" w:rsidRDefault="00FC5CF2" w:rsidP="00FC5CF2">
            <w:pPr>
              <w:rPr>
                <w:noProof/>
                <w:sz w:val="22"/>
                <w:szCs w:val="22"/>
              </w:rPr>
            </w:pPr>
            <w:r>
              <w:rPr>
                <w:noProof/>
                <w:sz w:val="22"/>
              </w:rPr>
              <w:t>Quarto trimestre 2022</w:t>
            </w:r>
          </w:p>
        </w:tc>
      </w:tr>
      <w:tr w:rsidR="00FC5CF2" w:rsidRPr="00A83876" w14:paraId="60EEC9A1" w14:textId="77777777" w:rsidTr="00FC5CF2">
        <w:tc>
          <w:tcPr>
            <w:tcW w:w="10173" w:type="dxa"/>
            <w:gridSpan w:val="2"/>
          </w:tcPr>
          <w:p w14:paraId="13ABD33B" w14:textId="77777777" w:rsidR="00FC5CF2" w:rsidRPr="00A83876" w:rsidRDefault="00FC5CF2" w:rsidP="00FC5CF2">
            <w:pPr>
              <w:pStyle w:val="ListParagraph"/>
              <w:rPr>
                <w:b/>
                <w:bCs/>
                <w:noProof/>
                <w:sz w:val="22"/>
                <w:szCs w:val="22"/>
                <w:lang w:val="en-IE"/>
              </w:rPr>
            </w:pPr>
          </w:p>
          <w:p w14:paraId="41D34444" w14:textId="110E66E6" w:rsidR="00FC5CF2" w:rsidRPr="00A83876" w:rsidRDefault="00E35371" w:rsidP="00FC5CF2">
            <w:pPr>
              <w:rPr>
                <w:b/>
                <w:bCs/>
                <w:noProof/>
                <w:sz w:val="22"/>
                <w:szCs w:val="22"/>
              </w:rPr>
            </w:pPr>
            <w:r>
              <w:rPr>
                <w:b/>
                <w:noProof/>
                <w:sz w:val="22"/>
              </w:rPr>
              <w:t>Iniziativa faro: Favorire l</w:t>
            </w:r>
            <w:r w:rsidR="00013882">
              <w:rPr>
                <w:b/>
                <w:noProof/>
                <w:sz w:val="22"/>
              </w:rPr>
              <w:t>'</w:t>
            </w:r>
            <w:r>
              <w:rPr>
                <w:b/>
                <w:noProof/>
                <w:sz w:val="22"/>
              </w:rPr>
              <w:t>innovazione ad elevatissimo contenuto tecnologico attraverso spazi di sperimentazione e appalti pubblici</w:t>
            </w:r>
          </w:p>
        </w:tc>
      </w:tr>
      <w:tr w:rsidR="00FC5CF2" w:rsidRPr="00A83876" w14:paraId="45C44DCA" w14:textId="77777777" w:rsidTr="00FC5CF2">
        <w:tc>
          <w:tcPr>
            <w:tcW w:w="8613" w:type="dxa"/>
          </w:tcPr>
          <w:p w14:paraId="43BA1907" w14:textId="77777777" w:rsidR="00FC5CF2" w:rsidRPr="00A83876" w:rsidRDefault="00FC5CF2" w:rsidP="00FC5CF2">
            <w:pPr>
              <w:pStyle w:val="ListParagraph"/>
              <w:numPr>
                <w:ilvl w:val="0"/>
                <w:numId w:val="4"/>
              </w:numPr>
              <w:rPr>
                <w:noProof/>
                <w:sz w:val="22"/>
                <w:szCs w:val="22"/>
              </w:rPr>
            </w:pPr>
            <w:r>
              <w:rPr>
                <w:noProof/>
                <w:sz w:val="22"/>
              </w:rPr>
              <w:t xml:space="preserve">Documento di orientamento sugli spazi di sperimentazione normativa </w:t>
            </w:r>
          </w:p>
          <w:p w14:paraId="555EFED4" w14:textId="77777777" w:rsidR="00FC5CF2" w:rsidRPr="00125908" w:rsidRDefault="00FC5CF2" w:rsidP="00FC5CF2">
            <w:pPr>
              <w:rPr>
                <w:noProof/>
                <w:sz w:val="22"/>
                <w:szCs w:val="22"/>
              </w:rPr>
            </w:pPr>
          </w:p>
        </w:tc>
        <w:tc>
          <w:tcPr>
            <w:tcW w:w="1560" w:type="dxa"/>
          </w:tcPr>
          <w:p w14:paraId="3862EA53" w14:textId="77777777" w:rsidR="00FC5CF2" w:rsidRPr="00A83876" w:rsidRDefault="00FC5CF2" w:rsidP="00FC5CF2">
            <w:pPr>
              <w:rPr>
                <w:noProof/>
                <w:sz w:val="22"/>
                <w:szCs w:val="22"/>
              </w:rPr>
            </w:pPr>
            <w:r>
              <w:rPr>
                <w:noProof/>
                <w:sz w:val="22"/>
              </w:rPr>
              <w:t>Secondo trimestre 2023</w:t>
            </w:r>
          </w:p>
        </w:tc>
      </w:tr>
      <w:tr w:rsidR="00FC5CF2" w:rsidRPr="00A83876" w14:paraId="7DFDBBEB" w14:textId="77777777" w:rsidTr="00FC5CF2">
        <w:tc>
          <w:tcPr>
            <w:tcW w:w="8613" w:type="dxa"/>
          </w:tcPr>
          <w:p w14:paraId="16E91DD8" w14:textId="794BFFE8" w:rsidR="00FC5CF2" w:rsidRPr="00A83876" w:rsidRDefault="00FC5CF2" w:rsidP="00FC5CF2">
            <w:pPr>
              <w:pStyle w:val="ListParagraph"/>
              <w:numPr>
                <w:ilvl w:val="0"/>
                <w:numId w:val="4"/>
              </w:numPr>
              <w:rPr>
                <w:noProof/>
                <w:sz w:val="22"/>
                <w:szCs w:val="22"/>
              </w:rPr>
            </w:pPr>
            <w:r>
              <w:rPr>
                <w:noProof/>
                <w:sz w:val="22"/>
              </w:rPr>
              <w:t>Banco di prova aperto per l</w:t>
            </w:r>
            <w:r w:rsidR="00013882">
              <w:rPr>
                <w:noProof/>
                <w:sz w:val="22"/>
              </w:rPr>
              <w:t>'</w:t>
            </w:r>
            <w:r>
              <w:rPr>
                <w:noProof/>
                <w:sz w:val="22"/>
              </w:rPr>
              <w:t>innovazione nel settore dell</w:t>
            </w:r>
            <w:r w:rsidR="00013882">
              <w:rPr>
                <w:noProof/>
                <w:sz w:val="22"/>
              </w:rPr>
              <w:t>'</w:t>
            </w:r>
            <w:r>
              <w:rPr>
                <w:noProof/>
                <w:sz w:val="22"/>
              </w:rPr>
              <w:t>idrogeno rinnovabile</w:t>
            </w:r>
          </w:p>
        </w:tc>
        <w:tc>
          <w:tcPr>
            <w:tcW w:w="1560" w:type="dxa"/>
          </w:tcPr>
          <w:p w14:paraId="082AAAAF" w14:textId="77777777" w:rsidR="00FC5CF2" w:rsidRPr="00A83876" w:rsidRDefault="00FC5CF2" w:rsidP="00FC5CF2">
            <w:pPr>
              <w:rPr>
                <w:noProof/>
                <w:sz w:val="22"/>
                <w:szCs w:val="22"/>
              </w:rPr>
            </w:pPr>
            <w:r>
              <w:rPr>
                <w:noProof/>
                <w:sz w:val="22"/>
              </w:rPr>
              <w:t>Primo trimestre 2024</w:t>
            </w:r>
          </w:p>
          <w:p w14:paraId="67E2AC6D" w14:textId="77777777" w:rsidR="00FC5CF2" w:rsidRPr="00A83876" w:rsidRDefault="00FC5CF2" w:rsidP="00FC5CF2">
            <w:pPr>
              <w:rPr>
                <w:noProof/>
                <w:sz w:val="22"/>
                <w:szCs w:val="22"/>
                <w:lang w:val="en-IE"/>
              </w:rPr>
            </w:pPr>
          </w:p>
        </w:tc>
      </w:tr>
      <w:tr w:rsidR="00FC5CF2" w:rsidRPr="00A83876" w14:paraId="5CFBC123" w14:textId="77777777" w:rsidTr="00FC5CF2">
        <w:tc>
          <w:tcPr>
            <w:tcW w:w="8613" w:type="dxa"/>
          </w:tcPr>
          <w:p w14:paraId="0A1F1CE9" w14:textId="2877B4B7" w:rsidR="00FC5CF2" w:rsidRPr="00A83876" w:rsidRDefault="00FC5CF2" w:rsidP="00FC5CF2">
            <w:pPr>
              <w:pStyle w:val="ListParagraph"/>
              <w:numPr>
                <w:ilvl w:val="0"/>
                <w:numId w:val="4"/>
              </w:numPr>
              <w:rPr>
                <w:noProof/>
                <w:sz w:val="22"/>
                <w:szCs w:val="22"/>
              </w:rPr>
            </w:pPr>
            <w:r>
              <w:rPr>
                <w:rStyle w:val="normaltextrun"/>
                <w:noProof/>
                <w:sz w:val="22"/>
              </w:rPr>
              <w:t>Varo di strutture di prova e sperimentazione per testare l</w:t>
            </w:r>
            <w:r w:rsidR="00013882">
              <w:rPr>
                <w:rStyle w:val="normaltextrun"/>
                <w:noProof/>
                <w:sz w:val="22"/>
              </w:rPr>
              <w:t>'</w:t>
            </w:r>
            <w:r>
              <w:rPr>
                <w:rStyle w:val="normaltextrun"/>
                <w:noProof/>
                <w:sz w:val="22"/>
              </w:rPr>
              <w:t>innovazione in materia di IA</w:t>
            </w:r>
          </w:p>
        </w:tc>
        <w:tc>
          <w:tcPr>
            <w:tcW w:w="1560" w:type="dxa"/>
          </w:tcPr>
          <w:p w14:paraId="66A4D7E8" w14:textId="77777777" w:rsidR="00FC5CF2" w:rsidRPr="00A83876" w:rsidRDefault="00FC5CF2" w:rsidP="00FC5CF2">
            <w:pPr>
              <w:rPr>
                <w:noProof/>
                <w:sz w:val="22"/>
                <w:szCs w:val="22"/>
              </w:rPr>
            </w:pPr>
            <w:r>
              <w:rPr>
                <w:noProof/>
                <w:sz w:val="22"/>
              </w:rPr>
              <w:t>2023</w:t>
            </w:r>
          </w:p>
        </w:tc>
      </w:tr>
      <w:tr w:rsidR="00FC5CF2" w:rsidRPr="00A83876" w14:paraId="392A96E7" w14:textId="77777777" w:rsidTr="00FC5CF2">
        <w:tc>
          <w:tcPr>
            <w:tcW w:w="8613" w:type="dxa"/>
          </w:tcPr>
          <w:p w14:paraId="412D3E19" w14:textId="77777777" w:rsidR="00FC5CF2" w:rsidRPr="00A83876" w:rsidRDefault="00FC5CF2" w:rsidP="00FC5CF2">
            <w:pPr>
              <w:pStyle w:val="ListParagraph"/>
              <w:numPr>
                <w:ilvl w:val="0"/>
                <w:numId w:val="4"/>
              </w:numPr>
              <w:rPr>
                <w:noProof/>
                <w:sz w:val="22"/>
                <w:szCs w:val="22"/>
              </w:rPr>
            </w:pPr>
            <w:r>
              <w:rPr>
                <w:noProof/>
                <w:sz w:val="22"/>
              </w:rPr>
              <w:t>Revisione della disciplina in materia di aiuti di Stato a favore di ricerca, sviluppo e innovazione</w:t>
            </w:r>
          </w:p>
        </w:tc>
        <w:tc>
          <w:tcPr>
            <w:tcW w:w="1560" w:type="dxa"/>
          </w:tcPr>
          <w:p w14:paraId="7FB40B83" w14:textId="6C4D7510" w:rsidR="00FC5CF2" w:rsidRPr="00A83876" w:rsidRDefault="00D50ECF" w:rsidP="00FC5CF2">
            <w:pPr>
              <w:rPr>
                <w:noProof/>
                <w:sz w:val="22"/>
                <w:szCs w:val="22"/>
              </w:rPr>
            </w:pPr>
            <w:r>
              <w:rPr>
                <w:noProof/>
                <w:sz w:val="22"/>
              </w:rPr>
              <w:t xml:space="preserve">Quarto trimestre 2022 </w:t>
            </w:r>
          </w:p>
        </w:tc>
      </w:tr>
      <w:tr w:rsidR="00FC5CF2" w:rsidRPr="00A83876" w14:paraId="02CBDA98" w14:textId="77777777" w:rsidTr="00FC5CF2">
        <w:tc>
          <w:tcPr>
            <w:tcW w:w="8613" w:type="dxa"/>
          </w:tcPr>
          <w:p w14:paraId="121084ED" w14:textId="77777777" w:rsidR="00FC5CF2" w:rsidRPr="00A83876" w:rsidRDefault="00FC5CF2" w:rsidP="00FC5CF2">
            <w:pPr>
              <w:pStyle w:val="ListParagraph"/>
              <w:numPr>
                <w:ilvl w:val="0"/>
                <w:numId w:val="4"/>
              </w:numPr>
              <w:rPr>
                <w:noProof/>
                <w:sz w:val="22"/>
                <w:szCs w:val="22"/>
              </w:rPr>
            </w:pPr>
            <w:r>
              <w:rPr>
                <w:noProof/>
                <w:sz w:val="22"/>
              </w:rPr>
              <w:t>Varo del servizio di consulenza specializzato per gli appalti per le soluzioni innovative</w:t>
            </w:r>
          </w:p>
        </w:tc>
        <w:tc>
          <w:tcPr>
            <w:tcW w:w="1560" w:type="dxa"/>
          </w:tcPr>
          <w:p w14:paraId="1EC83CA9" w14:textId="77777777" w:rsidR="00FC5CF2" w:rsidRPr="00A83876" w:rsidRDefault="00FC5CF2" w:rsidP="00FC5CF2">
            <w:pPr>
              <w:spacing w:line="259" w:lineRule="auto"/>
              <w:rPr>
                <w:noProof/>
                <w:sz w:val="22"/>
                <w:szCs w:val="22"/>
              </w:rPr>
            </w:pPr>
            <w:r>
              <w:rPr>
                <w:noProof/>
                <w:sz w:val="22"/>
              </w:rPr>
              <w:t>Primo trimestre 2024</w:t>
            </w:r>
          </w:p>
        </w:tc>
      </w:tr>
      <w:tr w:rsidR="00FC5CF2" w:rsidRPr="00A83876" w14:paraId="3667EDD8" w14:textId="77777777" w:rsidTr="00FC5CF2">
        <w:tc>
          <w:tcPr>
            <w:tcW w:w="10173" w:type="dxa"/>
            <w:gridSpan w:val="2"/>
          </w:tcPr>
          <w:p w14:paraId="618D995C" w14:textId="77777777" w:rsidR="00FC5CF2" w:rsidRPr="00A83876" w:rsidRDefault="00FC5CF2" w:rsidP="00FC5CF2">
            <w:pPr>
              <w:pStyle w:val="ListParagraph"/>
              <w:rPr>
                <w:b/>
                <w:iCs/>
                <w:noProof/>
                <w:sz w:val="22"/>
                <w:szCs w:val="22"/>
              </w:rPr>
            </w:pPr>
          </w:p>
          <w:p w14:paraId="10415BB5" w14:textId="14639067" w:rsidR="00FC5CF2" w:rsidRPr="00A83876" w:rsidRDefault="00E35371" w:rsidP="00FC5CF2">
            <w:pPr>
              <w:rPr>
                <w:b/>
                <w:bCs/>
                <w:noProof/>
                <w:sz w:val="22"/>
                <w:szCs w:val="22"/>
              </w:rPr>
            </w:pPr>
            <w:r>
              <w:rPr>
                <w:b/>
                <w:noProof/>
                <w:sz w:val="22"/>
              </w:rPr>
              <w:t>Iniziativa faro: Accelerare e rafforzare l</w:t>
            </w:r>
            <w:r w:rsidR="00013882">
              <w:rPr>
                <w:b/>
                <w:noProof/>
                <w:sz w:val="22"/>
              </w:rPr>
              <w:t>'</w:t>
            </w:r>
            <w:r>
              <w:rPr>
                <w:b/>
                <w:noProof/>
                <w:sz w:val="22"/>
              </w:rPr>
              <w:t>innovazione negli ecosistemi europei dell</w:t>
            </w:r>
            <w:r w:rsidR="00013882">
              <w:rPr>
                <w:b/>
                <w:noProof/>
                <w:sz w:val="22"/>
              </w:rPr>
              <w:t>'</w:t>
            </w:r>
            <w:r>
              <w:rPr>
                <w:b/>
                <w:noProof/>
                <w:sz w:val="22"/>
              </w:rPr>
              <w:t>innovazione in tutta l</w:t>
            </w:r>
            <w:r w:rsidR="00013882">
              <w:rPr>
                <w:b/>
                <w:noProof/>
                <w:sz w:val="22"/>
              </w:rPr>
              <w:t>'</w:t>
            </w:r>
            <w:r>
              <w:rPr>
                <w:b/>
                <w:noProof/>
                <w:sz w:val="22"/>
              </w:rPr>
              <w:t>UE e affrontare il divario in termini di innovazione</w:t>
            </w:r>
          </w:p>
        </w:tc>
      </w:tr>
      <w:tr w:rsidR="00FC5CF2" w:rsidRPr="00A83876" w14:paraId="476C2423" w14:textId="77777777" w:rsidTr="00E825DF">
        <w:trPr>
          <w:trHeight w:val="397"/>
        </w:trPr>
        <w:tc>
          <w:tcPr>
            <w:tcW w:w="8613" w:type="dxa"/>
          </w:tcPr>
          <w:p w14:paraId="4C1C4F0F" w14:textId="77777777" w:rsidR="00FC5CF2" w:rsidRPr="00A83876" w:rsidRDefault="00FC5CF2" w:rsidP="00FC5CF2">
            <w:pPr>
              <w:pStyle w:val="ListParagraph"/>
              <w:numPr>
                <w:ilvl w:val="0"/>
                <w:numId w:val="4"/>
              </w:numPr>
              <w:rPr>
                <w:noProof/>
                <w:sz w:val="22"/>
                <w:szCs w:val="22"/>
              </w:rPr>
            </w:pPr>
            <w:r>
              <w:rPr>
                <w:noProof/>
                <w:sz w:val="22"/>
              </w:rPr>
              <w:t xml:space="preserve">Creare e collegare valli regionali di innovazione deep tech </w:t>
            </w:r>
          </w:p>
        </w:tc>
        <w:tc>
          <w:tcPr>
            <w:tcW w:w="1560" w:type="dxa"/>
          </w:tcPr>
          <w:p w14:paraId="48C84E2E" w14:textId="31001408" w:rsidR="00FC5CF2" w:rsidRPr="00A83876" w:rsidRDefault="00FC5CF2" w:rsidP="00FC5CF2">
            <w:pPr>
              <w:rPr>
                <w:noProof/>
                <w:sz w:val="22"/>
                <w:szCs w:val="22"/>
              </w:rPr>
            </w:pPr>
            <w:r>
              <w:rPr>
                <w:noProof/>
                <w:sz w:val="22"/>
              </w:rPr>
              <w:t>Terzo trimestre 2023</w:t>
            </w:r>
          </w:p>
        </w:tc>
      </w:tr>
      <w:tr w:rsidR="00E35371" w:rsidRPr="00A83876" w14:paraId="37F05332" w14:textId="77777777" w:rsidTr="00FC5CF2">
        <w:tc>
          <w:tcPr>
            <w:tcW w:w="8613" w:type="dxa"/>
          </w:tcPr>
          <w:p w14:paraId="17AC78C6" w14:textId="3D680C52" w:rsidR="00E35371" w:rsidRPr="00A83876" w:rsidRDefault="00E35371" w:rsidP="00680C92">
            <w:pPr>
              <w:pStyle w:val="ListParagraph"/>
              <w:numPr>
                <w:ilvl w:val="0"/>
                <w:numId w:val="4"/>
              </w:numPr>
              <w:rPr>
                <w:noProof/>
                <w:sz w:val="22"/>
                <w:szCs w:val="22"/>
              </w:rPr>
            </w:pPr>
            <w:r>
              <w:rPr>
                <w:noProof/>
                <w:sz w:val="22"/>
              </w:rPr>
              <w:t>Comunicazione della Commissione sulle sinergie tra Orizzonte Europa e il programma del Fondo europeo di sviluppo regionale</w:t>
            </w:r>
          </w:p>
        </w:tc>
        <w:tc>
          <w:tcPr>
            <w:tcW w:w="1560" w:type="dxa"/>
          </w:tcPr>
          <w:p w14:paraId="4EA2003F" w14:textId="0C8635AF" w:rsidR="00E35371" w:rsidRPr="00A83876" w:rsidRDefault="00E35371" w:rsidP="00FC5CF2">
            <w:pPr>
              <w:rPr>
                <w:noProof/>
                <w:sz w:val="22"/>
                <w:szCs w:val="22"/>
              </w:rPr>
            </w:pPr>
            <w:r>
              <w:rPr>
                <w:noProof/>
                <w:sz w:val="22"/>
              </w:rPr>
              <w:t>Terzo trimestre 2022</w:t>
            </w:r>
          </w:p>
        </w:tc>
      </w:tr>
      <w:tr w:rsidR="00FC5CF2" w:rsidRPr="00A83876" w14:paraId="658FF487" w14:textId="77777777" w:rsidTr="00FC5CF2">
        <w:tc>
          <w:tcPr>
            <w:tcW w:w="8613" w:type="dxa"/>
          </w:tcPr>
          <w:p w14:paraId="1AB31BFF" w14:textId="5C311E17" w:rsidR="00FC5CF2" w:rsidRPr="00A83876" w:rsidRDefault="00FC5CF2" w:rsidP="00FC5CF2">
            <w:pPr>
              <w:pStyle w:val="ListParagraph"/>
              <w:numPr>
                <w:ilvl w:val="0"/>
                <w:numId w:val="4"/>
              </w:numPr>
              <w:rPr>
                <w:noProof/>
                <w:sz w:val="22"/>
                <w:szCs w:val="22"/>
              </w:rPr>
            </w:pPr>
            <w:r>
              <w:rPr>
                <w:noProof/>
                <w:sz w:val="22"/>
              </w:rPr>
              <w:t>Raddoppio del numero di distretti dell</w:t>
            </w:r>
            <w:r w:rsidR="00013882">
              <w:rPr>
                <w:noProof/>
                <w:sz w:val="22"/>
              </w:rPr>
              <w:t>'</w:t>
            </w:r>
            <w:r>
              <w:rPr>
                <w:noProof/>
                <w:sz w:val="22"/>
              </w:rPr>
              <w:t>idrogeno nell</w:t>
            </w:r>
            <w:r w:rsidR="00013882">
              <w:rPr>
                <w:noProof/>
                <w:sz w:val="22"/>
              </w:rPr>
              <w:t>'</w:t>
            </w:r>
            <w:r>
              <w:rPr>
                <w:noProof/>
                <w:sz w:val="22"/>
              </w:rPr>
              <w:t>UE</w:t>
            </w:r>
          </w:p>
        </w:tc>
        <w:tc>
          <w:tcPr>
            <w:tcW w:w="1560" w:type="dxa"/>
          </w:tcPr>
          <w:p w14:paraId="6445D1D6" w14:textId="7481535D" w:rsidR="00FC5CF2" w:rsidRPr="00A83876" w:rsidRDefault="00680C92" w:rsidP="00FC5CF2">
            <w:pPr>
              <w:rPr>
                <w:noProof/>
                <w:sz w:val="22"/>
                <w:szCs w:val="22"/>
              </w:rPr>
            </w:pPr>
            <w:r>
              <w:rPr>
                <w:noProof/>
                <w:sz w:val="22"/>
              </w:rPr>
              <w:t>2025</w:t>
            </w:r>
          </w:p>
        </w:tc>
      </w:tr>
      <w:tr w:rsidR="00FC5CF2" w:rsidRPr="00A83876" w14:paraId="0030BA25" w14:textId="77777777" w:rsidTr="00FC5CF2">
        <w:tc>
          <w:tcPr>
            <w:tcW w:w="8613" w:type="dxa"/>
          </w:tcPr>
          <w:p w14:paraId="5EA4CD90" w14:textId="0FC1366F" w:rsidR="00FC5CF2" w:rsidRPr="00A83876" w:rsidRDefault="00FC5CF2" w:rsidP="00FC5CF2">
            <w:pPr>
              <w:pStyle w:val="ListParagraph"/>
              <w:numPr>
                <w:ilvl w:val="0"/>
                <w:numId w:val="4"/>
              </w:numPr>
              <w:rPr>
                <w:noProof/>
                <w:sz w:val="22"/>
                <w:szCs w:val="22"/>
              </w:rPr>
            </w:pPr>
            <w:r>
              <w:rPr>
                <w:noProof/>
                <w:sz w:val="22"/>
              </w:rPr>
              <w:t>Creazione dell</w:t>
            </w:r>
            <w:r w:rsidR="00013882">
              <w:rPr>
                <w:noProof/>
                <w:sz w:val="22"/>
              </w:rPr>
              <w:t>'</w:t>
            </w:r>
            <w:r>
              <w:rPr>
                <w:noProof/>
                <w:sz w:val="22"/>
              </w:rPr>
              <w:t>Innospace - Sportello unico per gli attori degli ecosistemi dell</w:t>
            </w:r>
            <w:r w:rsidR="00013882">
              <w:rPr>
                <w:noProof/>
                <w:sz w:val="22"/>
              </w:rPr>
              <w:t>'</w:t>
            </w:r>
            <w:r>
              <w:rPr>
                <w:noProof/>
                <w:sz w:val="22"/>
              </w:rPr>
              <w:t>innovazione</w:t>
            </w:r>
          </w:p>
        </w:tc>
        <w:tc>
          <w:tcPr>
            <w:tcW w:w="1560" w:type="dxa"/>
          </w:tcPr>
          <w:p w14:paraId="736EE414" w14:textId="20680E73" w:rsidR="00FC5CF2" w:rsidRPr="00A83876" w:rsidRDefault="00FC5CF2" w:rsidP="00FC5CF2">
            <w:pPr>
              <w:rPr>
                <w:noProof/>
                <w:sz w:val="22"/>
                <w:szCs w:val="22"/>
              </w:rPr>
            </w:pPr>
            <w:r>
              <w:rPr>
                <w:noProof/>
                <w:sz w:val="22"/>
              </w:rPr>
              <w:t>2023</w:t>
            </w:r>
          </w:p>
        </w:tc>
      </w:tr>
      <w:tr w:rsidR="00FC5CF2" w:rsidRPr="00A83876" w14:paraId="7BC3B0AF" w14:textId="77777777" w:rsidTr="00FC5CF2">
        <w:tc>
          <w:tcPr>
            <w:tcW w:w="8613" w:type="dxa"/>
          </w:tcPr>
          <w:p w14:paraId="6861E00D" w14:textId="77777777" w:rsidR="00FC5CF2" w:rsidRPr="00A83876" w:rsidRDefault="00FC5CF2" w:rsidP="00FC5CF2">
            <w:pPr>
              <w:pStyle w:val="ListParagraph"/>
              <w:numPr>
                <w:ilvl w:val="0"/>
                <w:numId w:val="4"/>
              </w:numPr>
              <w:rPr>
                <w:noProof/>
                <w:sz w:val="22"/>
                <w:szCs w:val="22"/>
              </w:rPr>
            </w:pPr>
            <w:r>
              <w:rPr>
                <w:noProof/>
                <w:sz w:val="22"/>
              </w:rPr>
              <w:t>Varo di Scaleup 100</w:t>
            </w:r>
          </w:p>
        </w:tc>
        <w:tc>
          <w:tcPr>
            <w:tcW w:w="1560" w:type="dxa"/>
          </w:tcPr>
          <w:p w14:paraId="0DDD3EED" w14:textId="77777777" w:rsidR="00FC5CF2" w:rsidRPr="00A83876" w:rsidDel="004707C5" w:rsidRDefault="00FC5CF2" w:rsidP="00FC5CF2">
            <w:pPr>
              <w:rPr>
                <w:noProof/>
                <w:sz w:val="22"/>
                <w:szCs w:val="22"/>
              </w:rPr>
            </w:pPr>
            <w:r>
              <w:rPr>
                <w:noProof/>
                <w:sz w:val="22"/>
              </w:rPr>
              <w:t>Primo trimestre 2023</w:t>
            </w:r>
          </w:p>
        </w:tc>
      </w:tr>
      <w:tr w:rsidR="00FC5CF2" w:rsidRPr="00A83876" w14:paraId="1A03A457" w14:textId="77777777" w:rsidTr="00FC5CF2">
        <w:tc>
          <w:tcPr>
            <w:tcW w:w="10173" w:type="dxa"/>
            <w:gridSpan w:val="2"/>
          </w:tcPr>
          <w:p w14:paraId="1D5E1852" w14:textId="77777777" w:rsidR="00FC5CF2" w:rsidRPr="00A83876" w:rsidRDefault="00FC5CF2" w:rsidP="00FC5CF2">
            <w:pPr>
              <w:pStyle w:val="ListParagraph"/>
              <w:rPr>
                <w:b/>
                <w:bCs/>
                <w:noProof/>
                <w:sz w:val="22"/>
                <w:szCs w:val="22"/>
                <w:lang w:val="en-IE"/>
              </w:rPr>
            </w:pPr>
          </w:p>
          <w:p w14:paraId="3DD7C740" w14:textId="5C6FED29" w:rsidR="00FC5CF2" w:rsidRPr="00A83876" w:rsidRDefault="00E35371" w:rsidP="00FC5CF2">
            <w:pPr>
              <w:rPr>
                <w:b/>
                <w:bCs/>
                <w:noProof/>
                <w:sz w:val="22"/>
                <w:szCs w:val="22"/>
              </w:rPr>
            </w:pPr>
            <w:r>
              <w:rPr>
                <w:b/>
                <w:noProof/>
                <w:sz w:val="22"/>
              </w:rPr>
              <w:t>Iniziativa faro: Promuovere, attirare e trattenere i talenti deep tech</w:t>
            </w:r>
          </w:p>
        </w:tc>
      </w:tr>
      <w:tr w:rsidR="00FC5CF2" w:rsidRPr="00A83876" w14:paraId="48A78FC6" w14:textId="77777777" w:rsidTr="00FC5CF2">
        <w:tc>
          <w:tcPr>
            <w:tcW w:w="8613" w:type="dxa"/>
          </w:tcPr>
          <w:p w14:paraId="18C45907" w14:textId="60A9B894" w:rsidR="00FC5CF2" w:rsidRPr="00A83876" w:rsidRDefault="00FC5CF2" w:rsidP="00FC5CF2">
            <w:pPr>
              <w:pStyle w:val="ListParagraph"/>
              <w:numPr>
                <w:ilvl w:val="0"/>
                <w:numId w:val="4"/>
              </w:numPr>
              <w:rPr>
                <w:noProof/>
                <w:sz w:val="22"/>
                <w:szCs w:val="22"/>
              </w:rPr>
            </w:pPr>
            <w:r>
              <w:rPr>
                <w:noProof/>
                <w:sz w:val="22"/>
              </w:rPr>
              <w:t>Varare l</w:t>
            </w:r>
            <w:r w:rsidR="00013882">
              <w:rPr>
                <w:noProof/>
                <w:sz w:val="22"/>
              </w:rPr>
              <w:t>'</w:t>
            </w:r>
            <w:r>
              <w:rPr>
                <w:noProof/>
                <w:sz w:val="22"/>
              </w:rPr>
              <w:t>iniziativa dell</w:t>
            </w:r>
            <w:r w:rsidR="00013882">
              <w:rPr>
                <w:noProof/>
                <w:sz w:val="22"/>
              </w:rPr>
              <w:t>'</w:t>
            </w:r>
            <w:r>
              <w:rPr>
                <w:noProof/>
                <w:sz w:val="22"/>
              </w:rPr>
              <w:t xml:space="preserve">EIT per i talenti deep tech </w:t>
            </w:r>
          </w:p>
        </w:tc>
        <w:tc>
          <w:tcPr>
            <w:tcW w:w="1560" w:type="dxa"/>
          </w:tcPr>
          <w:p w14:paraId="3F981698" w14:textId="77777777" w:rsidR="00FC5CF2" w:rsidRPr="00A83876" w:rsidRDefault="00FC5CF2" w:rsidP="00FC5CF2">
            <w:pPr>
              <w:rPr>
                <w:noProof/>
                <w:sz w:val="22"/>
                <w:szCs w:val="22"/>
              </w:rPr>
            </w:pPr>
            <w:r>
              <w:rPr>
                <w:noProof/>
                <w:sz w:val="22"/>
              </w:rPr>
              <w:t>Quarto trimestre 2022</w:t>
            </w:r>
          </w:p>
        </w:tc>
      </w:tr>
      <w:tr w:rsidR="00FC5CF2" w:rsidRPr="00A83876" w14:paraId="62442587" w14:textId="77777777" w:rsidTr="00FC5CF2">
        <w:tc>
          <w:tcPr>
            <w:tcW w:w="8613" w:type="dxa"/>
          </w:tcPr>
          <w:p w14:paraId="5F436E80" w14:textId="261926D3" w:rsidR="00FC5CF2" w:rsidRPr="00A83876" w:rsidRDefault="00FC5CF2" w:rsidP="00FC5CF2">
            <w:pPr>
              <w:pStyle w:val="ListParagraph"/>
              <w:numPr>
                <w:ilvl w:val="0"/>
                <w:numId w:val="4"/>
              </w:numPr>
              <w:rPr>
                <w:noProof/>
                <w:sz w:val="22"/>
                <w:szCs w:val="22"/>
              </w:rPr>
            </w:pPr>
            <w:r>
              <w:rPr>
                <w:noProof/>
                <w:sz w:val="22"/>
              </w:rPr>
              <w:t>Varo di un programma di tirocini per l</w:t>
            </w:r>
            <w:r w:rsidR="00013882">
              <w:rPr>
                <w:noProof/>
                <w:sz w:val="22"/>
              </w:rPr>
              <w:t>'</w:t>
            </w:r>
            <w:r>
              <w:rPr>
                <w:noProof/>
                <w:sz w:val="22"/>
              </w:rPr>
              <w:t>innovazione</w:t>
            </w:r>
          </w:p>
        </w:tc>
        <w:tc>
          <w:tcPr>
            <w:tcW w:w="1560" w:type="dxa"/>
          </w:tcPr>
          <w:p w14:paraId="38F320F5" w14:textId="77777777" w:rsidR="00FC5CF2" w:rsidRPr="00A83876" w:rsidRDefault="00FC5CF2" w:rsidP="00FC5CF2">
            <w:pPr>
              <w:rPr>
                <w:noProof/>
                <w:sz w:val="22"/>
                <w:szCs w:val="22"/>
              </w:rPr>
            </w:pPr>
            <w:r>
              <w:rPr>
                <w:noProof/>
                <w:sz w:val="22"/>
              </w:rPr>
              <w:t xml:space="preserve">Terzo trimestre 2023 </w:t>
            </w:r>
          </w:p>
        </w:tc>
      </w:tr>
      <w:tr w:rsidR="00806E40" w:rsidRPr="00A83876" w14:paraId="0588D501" w14:textId="77777777" w:rsidTr="00FC5CF2">
        <w:tc>
          <w:tcPr>
            <w:tcW w:w="8613" w:type="dxa"/>
          </w:tcPr>
          <w:p w14:paraId="593AD443" w14:textId="681AEA7F" w:rsidR="00806E40" w:rsidRPr="00B32F40" w:rsidRDefault="00806E40" w:rsidP="00FC5CF2">
            <w:pPr>
              <w:pStyle w:val="ListParagraph"/>
              <w:numPr>
                <w:ilvl w:val="0"/>
                <w:numId w:val="4"/>
              </w:numPr>
              <w:rPr>
                <w:noProof/>
                <w:sz w:val="22"/>
                <w:szCs w:val="22"/>
              </w:rPr>
            </w:pPr>
            <w:r>
              <w:rPr>
                <w:noProof/>
                <w:sz w:val="22"/>
              </w:rPr>
              <w:t>Varo di un bacino di talenti dell</w:t>
            </w:r>
            <w:r w:rsidR="00013882">
              <w:rPr>
                <w:noProof/>
                <w:sz w:val="22"/>
              </w:rPr>
              <w:t>'</w:t>
            </w:r>
            <w:r>
              <w:rPr>
                <w:noProof/>
                <w:sz w:val="22"/>
              </w:rPr>
              <w:t xml:space="preserve">UE per aiutare le imprese, comprese le start-up, a trovare talenti nei paesi terzi </w:t>
            </w:r>
          </w:p>
        </w:tc>
        <w:tc>
          <w:tcPr>
            <w:tcW w:w="1560" w:type="dxa"/>
          </w:tcPr>
          <w:p w14:paraId="40EE0028" w14:textId="62A97B77" w:rsidR="00806E40" w:rsidRPr="00B32F40" w:rsidRDefault="00DB4D9E" w:rsidP="00FC5CF2">
            <w:pPr>
              <w:rPr>
                <w:noProof/>
                <w:sz w:val="22"/>
                <w:szCs w:val="22"/>
              </w:rPr>
            </w:pPr>
            <w:r>
              <w:rPr>
                <w:noProof/>
                <w:sz w:val="22"/>
              </w:rPr>
              <w:t>Terzo trimestre 2023</w:t>
            </w:r>
          </w:p>
        </w:tc>
      </w:tr>
      <w:tr w:rsidR="00FC5CF2" w:rsidRPr="00A83876" w14:paraId="0807E030" w14:textId="77777777" w:rsidTr="00FC5CF2">
        <w:tc>
          <w:tcPr>
            <w:tcW w:w="8613" w:type="dxa"/>
          </w:tcPr>
          <w:p w14:paraId="27CDCE24" w14:textId="65FC1DDE" w:rsidR="00FC5CF2" w:rsidRPr="00A83876" w:rsidRDefault="00FC5CF2" w:rsidP="00DB41F6">
            <w:pPr>
              <w:pStyle w:val="ListParagraph"/>
              <w:keepNext/>
              <w:numPr>
                <w:ilvl w:val="0"/>
                <w:numId w:val="4"/>
              </w:numPr>
              <w:rPr>
                <w:noProof/>
                <w:sz w:val="22"/>
                <w:szCs w:val="22"/>
              </w:rPr>
            </w:pPr>
            <w:r>
              <w:rPr>
                <w:noProof/>
                <w:sz w:val="22"/>
              </w:rPr>
              <w:t>Istituire un programma per l</w:t>
            </w:r>
            <w:r w:rsidR="00013882">
              <w:rPr>
                <w:noProof/>
                <w:sz w:val="22"/>
              </w:rPr>
              <w:t>'</w:t>
            </w:r>
            <w:r>
              <w:rPr>
                <w:noProof/>
                <w:sz w:val="22"/>
              </w:rPr>
              <w:t>imprenditorialità e la leadership femminile</w:t>
            </w:r>
          </w:p>
        </w:tc>
        <w:tc>
          <w:tcPr>
            <w:tcW w:w="1560" w:type="dxa"/>
          </w:tcPr>
          <w:p w14:paraId="1D6A09D5" w14:textId="77777777" w:rsidR="00FC5CF2" w:rsidRPr="00A83876" w:rsidRDefault="00FC5CF2" w:rsidP="00DB41F6">
            <w:pPr>
              <w:keepNext/>
              <w:rPr>
                <w:noProof/>
                <w:sz w:val="22"/>
                <w:szCs w:val="22"/>
              </w:rPr>
            </w:pPr>
            <w:r>
              <w:rPr>
                <w:noProof/>
                <w:sz w:val="22"/>
              </w:rPr>
              <w:t xml:space="preserve">Secondo trimestre 2023 </w:t>
            </w:r>
          </w:p>
        </w:tc>
      </w:tr>
      <w:tr w:rsidR="00FC5CF2" w:rsidRPr="00A83876" w14:paraId="183D6CF2" w14:textId="77777777" w:rsidTr="00FC5CF2">
        <w:tc>
          <w:tcPr>
            <w:tcW w:w="8613" w:type="dxa"/>
          </w:tcPr>
          <w:p w14:paraId="31304092" w14:textId="1CF21ADB" w:rsidR="00FC5CF2" w:rsidRPr="00A83876" w:rsidRDefault="00E35371" w:rsidP="00E35371">
            <w:pPr>
              <w:pStyle w:val="ListParagraph"/>
              <w:numPr>
                <w:ilvl w:val="0"/>
                <w:numId w:val="4"/>
              </w:numPr>
              <w:rPr>
                <w:noProof/>
                <w:sz w:val="22"/>
                <w:szCs w:val="22"/>
              </w:rPr>
            </w:pPr>
            <w:r>
              <w:rPr>
                <w:noProof/>
                <w:sz w:val="22"/>
              </w:rPr>
              <w:t>Scambio delle migliori pratiche in materia di stock option dei dipendenti delle start up</w:t>
            </w:r>
          </w:p>
        </w:tc>
        <w:tc>
          <w:tcPr>
            <w:tcW w:w="1560" w:type="dxa"/>
          </w:tcPr>
          <w:p w14:paraId="2329DE2F" w14:textId="77777777" w:rsidR="00FC5CF2" w:rsidRPr="00A83876" w:rsidRDefault="00FC5CF2" w:rsidP="00FC5CF2">
            <w:pPr>
              <w:rPr>
                <w:noProof/>
                <w:sz w:val="22"/>
                <w:szCs w:val="22"/>
              </w:rPr>
            </w:pPr>
            <w:r>
              <w:rPr>
                <w:noProof/>
                <w:sz w:val="22"/>
              </w:rPr>
              <w:t>Quarto trimestre 2022</w:t>
            </w:r>
          </w:p>
        </w:tc>
      </w:tr>
      <w:tr w:rsidR="00FC5CF2" w:rsidRPr="00A83876" w14:paraId="33887111" w14:textId="77777777" w:rsidTr="00FC5CF2">
        <w:tc>
          <w:tcPr>
            <w:tcW w:w="8613" w:type="dxa"/>
          </w:tcPr>
          <w:p w14:paraId="0789386A" w14:textId="77777777" w:rsidR="00FC5CF2" w:rsidRPr="00A83876" w:rsidRDefault="00FC5CF2" w:rsidP="00FC5CF2">
            <w:pPr>
              <w:pStyle w:val="ListParagraph"/>
              <w:numPr>
                <w:ilvl w:val="0"/>
                <w:numId w:val="4"/>
              </w:numPr>
              <w:rPr>
                <w:noProof/>
                <w:sz w:val="22"/>
                <w:szCs w:val="22"/>
              </w:rPr>
            </w:pPr>
            <w:r>
              <w:rPr>
                <w:noProof/>
                <w:sz w:val="22"/>
              </w:rPr>
              <w:t xml:space="preserve">Comunità di pratica in materia di istruzione e innovazione </w:t>
            </w:r>
          </w:p>
        </w:tc>
        <w:tc>
          <w:tcPr>
            <w:tcW w:w="1560" w:type="dxa"/>
          </w:tcPr>
          <w:p w14:paraId="3645EC56" w14:textId="77777777" w:rsidR="00FC5CF2" w:rsidRPr="00A83876" w:rsidRDefault="00FC5CF2" w:rsidP="00FC5CF2">
            <w:pPr>
              <w:rPr>
                <w:noProof/>
                <w:sz w:val="22"/>
                <w:szCs w:val="22"/>
              </w:rPr>
            </w:pPr>
            <w:r>
              <w:rPr>
                <w:noProof/>
                <w:sz w:val="22"/>
              </w:rPr>
              <w:t>Quarto trimestre 2022</w:t>
            </w:r>
          </w:p>
        </w:tc>
      </w:tr>
      <w:tr w:rsidR="00FC5CF2" w:rsidRPr="00A83876" w14:paraId="5DD97B50" w14:textId="77777777" w:rsidTr="00FC5CF2">
        <w:tc>
          <w:tcPr>
            <w:tcW w:w="8613" w:type="dxa"/>
          </w:tcPr>
          <w:p w14:paraId="14665A24" w14:textId="2B0C33F2" w:rsidR="00FC5CF2" w:rsidRPr="00A83876" w:rsidRDefault="00FC5CF2" w:rsidP="00FC5CF2">
            <w:pPr>
              <w:pStyle w:val="ListParagraph"/>
              <w:numPr>
                <w:ilvl w:val="0"/>
                <w:numId w:val="4"/>
              </w:numPr>
              <w:rPr>
                <w:noProof/>
                <w:sz w:val="22"/>
                <w:szCs w:val="22"/>
              </w:rPr>
            </w:pPr>
            <w:r>
              <w:rPr>
                <w:noProof/>
                <w:sz w:val="22"/>
              </w:rPr>
              <w:t>Varo delle alleanze Erasmus+ per l</w:t>
            </w:r>
            <w:r w:rsidR="00013882">
              <w:rPr>
                <w:noProof/>
                <w:sz w:val="22"/>
              </w:rPr>
              <w:t>'</w:t>
            </w:r>
            <w:r>
              <w:rPr>
                <w:noProof/>
                <w:sz w:val="22"/>
              </w:rPr>
              <w:t xml:space="preserve">innovazione </w:t>
            </w:r>
          </w:p>
        </w:tc>
        <w:tc>
          <w:tcPr>
            <w:tcW w:w="1560" w:type="dxa"/>
          </w:tcPr>
          <w:p w14:paraId="359CDD10" w14:textId="77777777" w:rsidR="00FC5CF2" w:rsidRPr="00A83876" w:rsidRDefault="00FC5CF2" w:rsidP="00FC5CF2">
            <w:pPr>
              <w:rPr>
                <w:noProof/>
                <w:sz w:val="22"/>
                <w:szCs w:val="22"/>
              </w:rPr>
            </w:pPr>
            <w:r>
              <w:rPr>
                <w:noProof/>
                <w:sz w:val="22"/>
              </w:rPr>
              <w:t xml:space="preserve">Secondo trimestre 2023 </w:t>
            </w:r>
          </w:p>
        </w:tc>
      </w:tr>
      <w:tr w:rsidR="00FC5CF2" w:rsidRPr="00A83876" w14:paraId="48C49AD8" w14:textId="77777777" w:rsidTr="00FC5CF2">
        <w:tc>
          <w:tcPr>
            <w:tcW w:w="8613" w:type="dxa"/>
          </w:tcPr>
          <w:p w14:paraId="7B5C975B" w14:textId="465F2CBC" w:rsidR="00FC5CF2" w:rsidRPr="00A83876" w:rsidRDefault="00FC5CF2" w:rsidP="00680C92">
            <w:pPr>
              <w:pStyle w:val="ListParagraph"/>
              <w:numPr>
                <w:ilvl w:val="0"/>
                <w:numId w:val="4"/>
              </w:numPr>
              <w:rPr>
                <w:noProof/>
                <w:sz w:val="22"/>
                <w:szCs w:val="22"/>
              </w:rPr>
            </w:pPr>
            <w:r>
              <w:rPr>
                <w:noProof/>
                <w:sz w:val="22"/>
              </w:rPr>
              <w:t>Pubblicazione di un invito nell</w:t>
            </w:r>
            <w:r w:rsidR="00013882">
              <w:rPr>
                <w:noProof/>
                <w:sz w:val="22"/>
              </w:rPr>
              <w:t>'</w:t>
            </w:r>
            <w:r>
              <w:rPr>
                <w:noProof/>
                <w:sz w:val="22"/>
              </w:rPr>
              <w:t>ambito dell</w:t>
            </w:r>
            <w:r w:rsidR="00013882">
              <w:rPr>
                <w:noProof/>
                <w:sz w:val="22"/>
              </w:rPr>
              <w:t>'</w:t>
            </w:r>
            <w:r>
              <w:rPr>
                <w:noProof/>
                <w:sz w:val="22"/>
              </w:rPr>
              <w:t xml:space="preserve">Europa digitale per formare esperti in settori orientati al futuro </w:t>
            </w:r>
          </w:p>
        </w:tc>
        <w:tc>
          <w:tcPr>
            <w:tcW w:w="1560" w:type="dxa"/>
          </w:tcPr>
          <w:p w14:paraId="2A278275" w14:textId="77777777" w:rsidR="00FC5CF2" w:rsidRPr="00A83876" w:rsidRDefault="00FC5CF2" w:rsidP="00FC5CF2">
            <w:pPr>
              <w:rPr>
                <w:noProof/>
                <w:sz w:val="22"/>
                <w:szCs w:val="22"/>
              </w:rPr>
            </w:pPr>
            <w:r>
              <w:rPr>
                <w:noProof/>
                <w:sz w:val="22"/>
              </w:rPr>
              <w:t>Terzo trimestre 2022</w:t>
            </w:r>
          </w:p>
        </w:tc>
      </w:tr>
      <w:tr w:rsidR="00FC5CF2" w:rsidRPr="00A83876" w14:paraId="162E872A" w14:textId="77777777" w:rsidTr="00FC5CF2">
        <w:tc>
          <w:tcPr>
            <w:tcW w:w="8613" w:type="dxa"/>
          </w:tcPr>
          <w:p w14:paraId="3975303A" w14:textId="77777777" w:rsidR="00FC5CF2" w:rsidRPr="00A83876" w:rsidRDefault="00FC5CF2" w:rsidP="00FC5CF2">
            <w:pPr>
              <w:rPr>
                <w:b/>
                <w:noProof/>
                <w:sz w:val="22"/>
                <w:szCs w:val="22"/>
              </w:rPr>
            </w:pPr>
          </w:p>
          <w:p w14:paraId="5FC80027" w14:textId="08C6F063" w:rsidR="00FC5CF2" w:rsidRPr="00A83876" w:rsidRDefault="00E35371">
            <w:pPr>
              <w:rPr>
                <w:b/>
                <w:noProof/>
                <w:sz w:val="22"/>
                <w:szCs w:val="22"/>
              </w:rPr>
            </w:pPr>
            <w:r>
              <w:rPr>
                <w:b/>
                <w:noProof/>
                <w:sz w:val="22"/>
              </w:rPr>
              <w:t>Iniziativa faro: Migliorare gli strumenti decisionali</w:t>
            </w:r>
          </w:p>
        </w:tc>
        <w:tc>
          <w:tcPr>
            <w:tcW w:w="1560" w:type="dxa"/>
          </w:tcPr>
          <w:p w14:paraId="16BAC544" w14:textId="77777777" w:rsidR="00FC5CF2" w:rsidRPr="00125908" w:rsidRDefault="00FC5CF2" w:rsidP="00FC5CF2">
            <w:pPr>
              <w:rPr>
                <w:noProof/>
                <w:sz w:val="22"/>
                <w:szCs w:val="22"/>
              </w:rPr>
            </w:pPr>
          </w:p>
        </w:tc>
      </w:tr>
      <w:tr w:rsidR="00FC5CF2" w:rsidRPr="00A83876" w14:paraId="6516A629" w14:textId="77777777" w:rsidTr="00FC5CF2">
        <w:tc>
          <w:tcPr>
            <w:tcW w:w="8613" w:type="dxa"/>
          </w:tcPr>
          <w:p w14:paraId="12041859" w14:textId="669D1B32" w:rsidR="00FC5CF2" w:rsidRPr="00A83876" w:rsidRDefault="00FC5CF2" w:rsidP="00FC5CF2">
            <w:pPr>
              <w:pStyle w:val="ListParagraph"/>
              <w:numPr>
                <w:ilvl w:val="0"/>
                <w:numId w:val="4"/>
              </w:numPr>
              <w:rPr>
                <w:noProof/>
                <w:sz w:val="22"/>
                <w:szCs w:val="22"/>
              </w:rPr>
            </w:pPr>
            <w:r>
              <w:rPr>
                <w:noProof/>
                <w:sz w:val="22"/>
              </w:rPr>
              <w:t>Relazione sulle definizioni relative alle start-up, alle scale-up e all</w:t>
            </w:r>
            <w:r w:rsidR="00013882">
              <w:rPr>
                <w:noProof/>
                <w:sz w:val="22"/>
              </w:rPr>
              <w:t>'</w:t>
            </w:r>
            <w:r>
              <w:rPr>
                <w:noProof/>
                <w:sz w:val="22"/>
              </w:rPr>
              <w:t>innovazione a elevatissimo contenuto tecnologico</w:t>
            </w:r>
          </w:p>
        </w:tc>
        <w:tc>
          <w:tcPr>
            <w:tcW w:w="1560" w:type="dxa"/>
          </w:tcPr>
          <w:p w14:paraId="4226C9C0" w14:textId="77777777" w:rsidR="00FC5CF2" w:rsidRPr="00A83876" w:rsidRDefault="00FC5CF2" w:rsidP="00FC5CF2">
            <w:pPr>
              <w:rPr>
                <w:noProof/>
                <w:sz w:val="22"/>
                <w:szCs w:val="22"/>
              </w:rPr>
            </w:pPr>
            <w:r>
              <w:rPr>
                <w:noProof/>
                <w:sz w:val="22"/>
              </w:rPr>
              <w:t>Primo trimestre 2023</w:t>
            </w:r>
          </w:p>
        </w:tc>
      </w:tr>
      <w:tr w:rsidR="00FC5CF2" w:rsidRPr="00A83876" w14:paraId="5FEAA53D" w14:textId="77777777" w:rsidTr="00FC5CF2">
        <w:tc>
          <w:tcPr>
            <w:tcW w:w="8613" w:type="dxa"/>
          </w:tcPr>
          <w:p w14:paraId="559B19B9" w14:textId="2F44E3ED" w:rsidR="00FC5CF2" w:rsidRPr="00A83876" w:rsidRDefault="00FC5CF2" w:rsidP="00FC5CF2">
            <w:pPr>
              <w:pStyle w:val="ListParagraph"/>
              <w:numPr>
                <w:ilvl w:val="0"/>
                <w:numId w:val="4"/>
              </w:numPr>
              <w:rPr>
                <w:noProof/>
                <w:sz w:val="22"/>
                <w:szCs w:val="22"/>
              </w:rPr>
            </w:pPr>
            <w:r>
              <w:rPr>
                <w:noProof/>
                <w:sz w:val="22"/>
              </w:rPr>
              <w:t>Rafforzare il ruolo del Forum del Consiglio europeo per l</w:t>
            </w:r>
            <w:r w:rsidR="00013882">
              <w:rPr>
                <w:noProof/>
                <w:sz w:val="22"/>
              </w:rPr>
              <w:t>'</w:t>
            </w:r>
            <w:r>
              <w:rPr>
                <w:noProof/>
                <w:sz w:val="22"/>
              </w:rPr>
              <w:t>innovazione</w:t>
            </w:r>
          </w:p>
        </w:tc>
        <w:tc>
          <w:tcPr>
            <w:tcW w:w="1560" w:type="dxa"/>
          </w:tcPr>
          <w:p w14:paraId="3A36B5D6" w14:textId="77777777" w:rsidR="00FC5CF2" w:rsidRPr="00A83876" w:rsidRDefault="00FC5CF2" w:rsidP="00FC5CF2">
            <w:pPr>
              <w:rPr>
                <w:noProof/>
                <w:sz w:val="22"/>
                <w:szCs w:val="22"/>
              </w:rPr>
            </w:pPr>
            <w:r>
              <w:rPr>
                <w:noProof/>
                <w:sz w:val="22"/>
              </w:rPr>
              <w:t>Quarto trimestre 2022</w:t>
            </w:r>
          </w:p>
        </w:tc>
      </w:tr>
    </w:tbl>
    <w:p w14:paraId="6A0BF275" w14:textId="77777777" w:rsidR="00537DDC" w:rsidRPr="00782585" w:rsidRDefault="00537DDC" w:rsidP="00FC5CF2">
      <w:pPr>
        <w:spacing w:line="240" w:lineRule="auto"/>
        <w:rPr>
          <w:rFonts w:ascii="Times New Roman" w:hAnsi="Times New Roman" w:cs="Times New Roman"/>
          <w:noProof/>
          <w:lang w:val="en-US"/>
        </w:rPr>
      </w:pPr>
    </w:p>
    <w:sectPr w:rsidR="00537DDC" w:rsidRPr="00782585" w:rsidSect="000A45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73CA" w14:textId="77777777" w:rsidR="00013882" w:rsidRDefault="00013882" w:rsidP="008D2948">
      <w:pPr>
        <w:spacing w:after="0" w:line="240" w:lineRule="auto"/>
      </w:pPr>
      <w:r>
        <w:separator/>
      </w:r>
    </w:p>
  </w:endnote>
  <w:endnote w:type="continuationSeparator" w:id="0">
    <w:p w14:paraId="29F2B140" w14:textId="77777777" w:rsidR="00013882" w:rsidRDefault="00013882" w:rsidP="008D2948">
      <w:pPr>
        <w:spacing w:after="0" w:line="240" w:lineRule="auto"/>
      </w:pPr>
      <w:r>
        <w:continuationSeparator/>
      </w:r>
    </w:p>
  </w:endnote>
  <w:endnote w:type="continuationNotice" w:id="1">
    <w:p w14:paraId="71629398" w14:textId="77777777" w:rsidR="00013882" w:rsidRDefault="00013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812" w14:textId="77777777" w:rsidR="001B62E6" w:rsidRPr="001B62E6" w:rsidRDefault="001B62E6" w:rsidP="001B6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68B7" w14:textId="6F247C54" w:rsidR="00013882" w:rsidRPr="001B62E6" w:rsidRDefault="001B62E6" w:rsidP="001B62E6">
    <w:pPr>
      <w:pStyle w:val="FooterCoverPage"/>
      <w:rPr>
        <w:rFonts w:ascii="Arial" w:hAnsi="Arial" w:cs="Arial"/>
        <w:b/>
        <w:sz w:val="48"/>
      </w:rPr>
    </w:pPr>
    <w:r w:rsidRPr="001B62E6">
      <w:rPr>
        <w:rFonts w:ascii="Arial" w:hAnsi="Arial" w:cs="Arial"/>
        <w:b/>
        <w:sz w:val="48"/>
      </w:rPr>
      <w:t>IT</w:t>
    </w:r>
    <w:r w:rsidRPr="001B62E6">
      <w:rPr>
        <w:rFonts w:ascii="Arial" w:hAnsi="Arial" w:cs="Arial"/>
        <w:b/>
        <w:sz w:val="48"/>
      </w:rPr>
      <w:tab/>
    </w:r>
    <w:r w:rsidRPr="001B62E6">
      <w:rPr>
        <w:rFonts w:ascii="Arial" w:hAnsi="Arial" w:cs="Arial"/>
        <w:b/>
        <w:sz w:val="48"/>
      </w:rPr>
      <w:tab/>
    </w:r>
    <w:r w:rsidRPr="001B62E6">
      <w:tab/>
    </w:r>
    <w:r w:rsidRPr="001B62E6">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2D6D" w14:textId="77777777" w:rsidR="001B62E6" w:rsidRPr="001B62E6" w:rsidRDefault="001B62E6" w:rsidP="001B62E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95E6" w14:textId="77777777" w:rsidR="00013882" w:rsidRDefault="000138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245911"/>
      <w:docPartObj>
        <w:docPartGallery w:val="Page Numbers (Bottom of Page)"/>
        <w:docPartUnique/>
      </w:docPartObj>
    </w:sdtPr>
    <w:sdtEndPr>
      <w:rPr>
        <w:noProof/>
      </w:rPr>
    </w:sdtEndPr>
    <w:sdtContent>
      <w:p w14:paraId="15685D55" w14:textId="36BABFD5" w:rsidR="00013882" w:rsidRDefault="0001388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B62E6">
          <w:rPr>
            <w:noProof/>
          </w:rPr>
          <w:t>1</w:t>
        </w:r>
        <w:r>
          <w:rPr>
            <w:color w:val="2B579A"/>
            <w:shd w:val="clear" w:color="auto" w:fill="E6E6E6"/>
          </w:rPr>
          <w:fldChar w:fldCharType="end"/>
        </w:r>
      </w:p>
    </w:sdtContent>
  </w:sdt>
  <w:p w14:paraId="5FD13E4C" w14:textId="77777777" w:rsidR="00013882" w:rsidRDefault="000138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538" w14:textId="77777777" w:rsidR="00013882" w:rsidRDefault="0001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8339" w14:textId="77777777" w:rsidR="00013882" w:rsidRDefault="00013882" w:rsidP="008D2948">
      <w:pPr>
        <w:spacing w:after="0" w:line="240" w:lineRule="auto"/>
      </w:pPr>
      <w:r>
        <w:separator/>
      </w:r>
    </w:p>
  </w:footnote>
  <w:footnote w:type="continuationSeparator" w:id="0">
    <w:p w14:paraId="31138657" w14:textId="77777777" w:rsidR="00013882" w:rsidRDefault="00013882" w:rsidP="008D2948">
      <w:pPr>
        <w:spacing w:after="0" w:line="240" w:lineRule="auto"/>
      </w:pPr>
      <w:r>
        <w:continuationSeparator/>
      </w:r>
    </w:p>
  </w:footnote>
  <w:footnote w:type="continuationNotice" w:id="1">
    <w:p w14:paraId="34DEB217" w14:textId="77777777" w:rsidR="00013882" w:rsidRDefault="00013882">
      <w:pPr>
        <w:spacing w:after="0" w:line="240" w:lineRule="auto"/>
      </w:pPr>
    </w:p>
  </w:footnote>
  <w:footnote w:id="2">
    <w:p w14:paraId="67F8632A" w14:textId="358CF6AA"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Definito come il 10 % delle pubblicazioni più citate.</w:t>
      </w:r>
    </w:p>
  </w:footnote>
  <w:footnote w:id="3">
    <w:p w14:paraId="3F012038" w14:textId="45F67591"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Risultati dell'UE nel campo della scienza, della ricerca e dell'innovazione (SRIP), relazione 2022.</w:t>
      </w:r>
    </w:p>
  </w:footnote>
  <w:footnote w:id="4">
    <w:p w14:paraId="79268B3D" w14:textId="4457D3F9"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L'83 % delle imprese deep tech è impegnato nella costruzione di un prodotto fisico (Fonte: Boston Consulting Group).</w:t>
      </w:r>
    </w:p>
  </w:footnote>
  <w:footnote w:id="5">
    <w:p w14:paraId="56B89367" w14:textId="4412C390"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 w:history="1">
        <w:r>
          <w:rPr>
            <w:rStyle w:val="Hyperlink"/>
            <w:rFonts w:ascii="Times New Roman" w:hAnsi="Times New Roman"/>
            <w:sz w:val="18"/>
          </w:rPr>
          <w:t>https://ec.europa.eu/info/strategy/priorities-2019-2024/europe-fit-digital-age/european-industrial-strategy_it</w:t>
        </w:r>
      </w:hyperlink>
      <w:r>
        <w:rPr>
          <w:rFonts w:ascii="Times New Roman" w:hAnsi="Times New Roman"/>
          <w:sz w:val="18"/>
        </w:rPr>
        <w:t xml:space="preserve"> </w:t>
      </w:r>
    </w:p>
  </w:footnote>
  <w:footnote w:id="6">
    <w:p w14:paraId="01FBB428" w14:textId="1EE54262"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 w:history="1">
        <w:r>
          <w:rPr>
            <w:rStyle w:val="Hyperlink"/>
            <w:rFonts w:ascii="Times New Roman" w:hAnsi="Times New Roman"/>
            <w:sz w:val="18"/>
          </w:rPr>
          <w:t>https://digital-strategy.ec.europa.eu/en/policies/european-chips-act</w:t>
        </w:r>
      </w:hyperlink>
      <w:r>
        <w:rPr>
          <w:rFonts w:ascii="Times New Roman" w:hAnsi="Times New Roman"/>
          <w:sz w:val="18"/>
        </w:rPr>
        <w:t xml:space="preserve"> </w:t>
      </w:r>
    </w:p>
  </w:footnote>
  <w:footnote w:id="7">
    <w:p w14:paraId="303B1EED" w14:textId="45FE968C" w:rsidR="00013882" w:rsidRPr="00FC5CF2" w:rsidRDefault="00013882" w:rsidP="008D2948">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Metà delle società attive hanno la loro sede nell'Unione europea e i costruttori europei di apparecchiature generali (OEM) vantano nel complesso un'ottima posizione a livello mondiale (</w:t>
      </w:r>
      <w:bookmarkStart w:id="3" w:name="_Int_av5CKADG"/>
      <w:r>
        <w:rPr>
          <w:rFonts w:ascii="Times New Roman" w:hAnsi="Times New Roman"/>
          <w:sz w:val="18"/>
        </w:rPr>
        <w:t>COM</w:t>
      </w:r>
      <w:bookmarkEnd w:id="3"/>
      <w:r>
        <w:rPr>
          <w:rFonts w:ascii="Times New Roman" w:hAnsi="Times New Roman"/>
          <w:sz w:val="18"/>
        </w:rPr>
        <w:t>(2021) 952 final, ottobre 2021).</w:t>
      </w:r>
    </w:p>
    <w:p w14:paraId="671E2D02" w14:textId="77777777" w:rsidR="00013882" w:rsidRPr="009C0D1F" w:rsidRDefault="00013882" w:rsidP="008D2948">
      <w:pPr>
        <w:pStyle w:val="FootnoteText"/>
        <w:rPr>
          <w:rFonts w:ascii="Times New Roman" w:hAnsi="Times New Roman" w:cs="Times New Roman"/>
          <w:sz w:val="2"/>
          <w:szCs w:val="2"/>
        </w:rPr>
      </w:pPr>
    </w:p>
  </w:footnote>
  <w:footnote w:id="8">
    <w:p w14:paraId="0BB19E71" w14:textId="5BBBCC4D"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Comunicazione della Commissione su una strate</w:t>
      </w:r>
      <w:r w:rsidR="009C0D1F">
        <w:rPr>
          <w:rFonts w:ascii="Times New Roman" w:hAnsi="Times New Roman"/>
          <w:sz w:val="18"/>
        </w:rPr>
        <w:t>gia europea per le università.</w:t>
      </w:r>
    </w:p>
  </w:footnote>
  <w:footnote w:id="9">
    <w:p w14:paraId="38D0F89F" w14:textId="4D52484E" w:rsidR="00013882" w:rsidRPr="00FC5CF2" w:rsidRDefault="00013882"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Commissione europea (2022), Ottava relazione sulla coesione economica, sociale e territoriale basata sul quadro di valutazione dell'innovazione regionale 2021.</w:t>
      </w:r>
    </w:p>
  </w:footnote>
  <w:footnote w:id="10">
    <w:p w14:paraId="43DEBAA9" w14:textId="45B7A8F3" w:rsidR="00013882" w:rsidRPr="00FC5CF2" w:rsidRDefault="00013882"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Documento di lavoro dei servizi della Commissione che accompagna la nuova agenda europea per l'innovazione, sezione 2.3.1 - Divario in termini di innovazione.</w:t>
      </w:r>
    </w:p>
  </w:footnote>
  <w:footnote w:id="11">
    <w:p w14:paraId="0AE12DAE" w14:textId="56D77F8A"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w:t>
      </w:r>
      <w:bookmarkStart w:id="7" w:name="_Int_1t8n2OX3"/>
      <w:r>
        <w:rPr>
          <w:rFonts w:ascii="Times New Roman" w:hAnsi="Times New Roman"/>
          <w:sz w:val="18"/>
          <w:lang w:val="en-US"/>
        </w:rPr>
        <w:t xml:space="preserve">Piano REPowerEU, </w:t>
      </w:r>
      <w:r w:rsidRPr="00125908">
        <w:rPr>
          <w:rFonts w:ascii="Times New Roman" w:hAnsi="Times New Roman"/>
          <w:sz w:val="18"/>
          <w:lang w:val="en-US"/>
        </w:rPr>
        <w:t>COM(</w:t>
      </w:r>
      <w:bookmarkEnd w:id="7"/>
      <w:r w:rsidRPr="00125908">
        <w:rPr>
          <w:rFonts w:ascii="Times New Roman" w:hAnsi="Times New Roman"/>
          <w:sz w:val="18"/>
          <w:lang w:val="en-US"/>
        </w:rPr>
        <w:t>2022) 230 final.</w:t>
      </w:r>
    </w:p>
  </w:footnote>
  <w:footnote w:id="12">
    <w:p w14:paraId="7BA214F8" w14:textId="3D53B65D"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hyperlink r:id="rId3" w:history="1">
        <w:r w:rsidRPr="00125908">
          <w:rPr>
            <w:rStyle w:val="Hyperlink"/>
            <w:rFonts w:ascii="Times New Roman" w:hAnsi="Times New Roman"/>
            <w:sz w:val="18"/>
            <w:lang w:val="en-US"/>
          </w:rPr>
          <w:t>https://ec.europa.eu/info/sites/default/files/research_and_innovation/strategy_on_research_and_innovation/documents/ec_rtd_com2021-252.pdf</w:t>
        </w:r>
      </w:hyperlink>
      <w:r w:rsidRPr="00125908">
        <w:rPr>
          <w:rFonts w:ascii="Times New Roman" w:hAnsi="Times New Roman"/>
          <w:sz w:val="18"/>
          <w:lang w:val="en-US"/>
        </w:rPr>
        <w:t xml:space="preserve"> </w:t>
      </w:r>
    </w:p>
  </w:footnote>
  <w:footnote w:id="13">
    <w:p w14:paraId="53157E5E" w14:textId="6BD5EEAE" w:rsidR="00013882" w:rsidRPr="008D7D95"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JOIN(2021) 30 final.</w:t>
      </w:r>
    </w:p>
  </w:footnote>
  <w:footnote w:id="14">
    <w:p w14:paraId="0B217D55" w14:textId="7008693B" w:rsidR="00013882" w:rsidRPr="00BB466B"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 w:history="1">
        <w:r>
          <w:rPr>
            <w:rStyle w:val="Hyperlink"/>
            <w:rFonts w:ascii="Times New Roman" w:hAnsi="Times New Roman"/>
            <w:sz w:val="18"/>
          </w:rPr>
          <w:t>Comunicazione sul riesame della politica commerciale (europa.eu)</w:t>
        </w:r>
      </w:hyperlink>
    </w:p>
  </w:footnote>
  <w:footnote w:id="15">
    <w:p w14:paraId="140B671B" w14:textId="51A4D245"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 w:history="1">
        <w:r>
          <w:rPr>
            <w:rStyle w:val="Hyperlink"/>
            <w:rFonts w:ascii="Times New Roman" w:hAnsi="Times New Roman"/>
            <w:sz w:val="18"/>
          </w:rPr>
          <w:t>https://eur-lex.europa.eu/legal-content/IT/TXT/PDF/?uri=CELEX:52020DC0628&amp;from=IT</w:t>
        </w:r>
      </w:hyperlink>
      <w:r>
        <w:rPr>
          <w:rFonts w:ascii="Times New Roman" w:hAnsi="Times New Roman"/>
          <w:sz w:val="18"/>
        </w:rPr>
        <w:t xml:space="preserve"> </w:t>
      </w:r>
    </w:p>
  </w:footnote>
  <w:footnote w:id="16">
    <w:p w14:paraId="6F8B6CE9"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 w:history="1">
        <w:r>
          <w:rPr>
            <w:rStyle w:val="Hyperlink"/>
            <w:rFonts w:ascii="Times New Roman" w:hAnsi="Times New Roman"/>
            <w:sz w:val="18"/>
          </w:rPr>
          <w:t>https://education.ec.europa.eu/</w:t>
        </w:r>
      </w:hyperlink>
      <w:r>
        <w:rPr>
          <w:rFonts w:ascii="Times New Roman" w:hAnsi="Times New Roman"/>
          <w:sz w:val="18"/>
        </w:rPr>
        <w:t xml:space="preserve"> </w:t>
      </w:r>
    </w:p>
  </w:footnote>
  <w:footnote w:id="17">
    <w:p w14:paraId="2D857B9A" w14:textId="1BFDF6CC"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 w:history="1">
        <w:r>
          <w:rPr>
            <w:rStyle w:val="Hyperlink"/>
            <w:rFonts w:ascii="Times New Roman" w:hAnsi="Times New Roman"/>
            <w:sz w:val="18"/>
          </w:rPr>
          <w:t>https://education.ec.europa.eu/it/focus-topics/digital-education/digital-education-action-plan</w:t>
        </w:r>
      </w:hyperlink>
      <w:r>
        <w:rPr>
          <w:rFonts w:ascii="Times New Roman" w:hAnsi="Times New Roman"/>
          <w:sz w:val="18"/>
        </w:rPr>
        <w:t xml:space="preserve"> </w:t>
      </w:r>
    </w:p>
  </w:footnote>
  <w:footnote w:id="18">
    <w:p w14:paraId="68CEEAC7" w14:textId="4733601E"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8" w:history="1">
        <w:r>
          <w:rPr>
            <w:rStyle w:val="Hyperlink"/>
            <w:rFonts w:ascii="Times New Roman" w:hAnsi="Times New Roman"/>
            <w:sz w:val="18"/>
          </w:rPr>
          <w:t>Decennio digitale europeo: obiettivi digitali per il 2030|</w:t>
        </w:r>
      </w:hyperlink>
      <w:hyperlink r:id="rId9" w:history="1">
        <w:r>
          <w:rPr>
            <w:rStyle w:val="Hyperlink"/>
            <w:rFonts w:ascii="Times New Roman" w:hAnsi="Times New Roman"/>
            <w:sz w:val="18"/>
          </w:rPr>
          <w:t>Commissione europea (europa.eu)</w:t>
        </w:r>
      </w:hyperlink>
    </w:p>
  </w:footnote>
  <w:footnote w:id="19">
    <w:p w14:paraId="2DAB9DFF" w14:textId="313B58B3" w:rsidR="00013882" w:rsidRPr="00FE55FA" w:rsidRDefault="00013882" w:rsidP="00A53FB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0" w:history="1">
        <w:r>
          <w:rPr>
            <w:rStyle w:val="Hyperlink"/>
            <w:rFonts w:ascii="Times New Roman" w:hAnsi="Times New Roman"/>
            <w:sz w:val="18"/>
          </w:rPr>
          <w:t>https://ec.europa.eu/info/strategy/priorities-2019-2024/new-push-european-democracy/conference-future-europe_it</w:t>
        </w:r>
      </w:hyperlink>
      <w:r>
        <w:rPr>
          <w:rFonts w:ascii="Times New Roman" w:hAnsi="Times New Roman"/>
          <w:sz w:val="18"/>
        </w:rPr>
        <w:t>: le misure 5 e 6 della proposta "Crescita sostenibile e innovazione", le misure 7, 8 e 19 della proposta "Rafforzare la competitività dell'Unione e approfondire ulteriormente il mercato unico" e la proposta "Innovazione digitale per rafforzare l'economia sociale e sostenibile"</w:t>
      </w:r>
      <w:r>
        <w:t>.</w:t>
      </w:r>
    </w:p>
  </w:footnote>
  <w:footnote w:id="20">
    <w:p w14:paraId="74E38195" w14:textId="595936CA"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Dati di Invest Europe, 2022.</w:t>
      </w:r>
    </w:p>
  </w:footnote>
  <w:footnote w:id="21">
    <w:p w14:paraId="3069E575" w14:textId="5BF20283" w:rsidR="00013882" w:rsidRPr="00FC5CF2" w:rsidRDefault="00013882" w:rsidP="00827F4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Un tasso di crescita annuo composto (CAGR) del 49 %, rispetto al 34 % per la Cina e il 28 % per gli Stati Uniti.</w:t>
      </w:r>
    </w:p>
  </w:footnote>
  <w:footnote w:id="22">
    <w:p w14:paraId="699479CA" w14:textId="16B4BF72"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The State of Tech in Europe 2021.</w:t>
      </w:r>
    </w:p>
  </w:footnote>
  <w:footnote w:id="23">
    <w:p w14:paraId="001134BF" w14:textId="77777777"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w:t>
      </w:r>
      <w:hyperlink r:id="rId11" w:history="1">
        <w:r w:rsidRPr="00125908">
          <w:rPr>
            <w:rStyle w:val="Hyperlink"/>
            <w:rFonts w:ascii="Times New Roman" w:hAnsi="Times New Roman"/>
            <w:sz w:val="18"/>
            <w:lang w:val="en-US"/>
          </w:rPr>
          <w:t>https://eic.ec.europa.eu/system/files/2021-03/ec_rtd_eic-vision-roadmap-impact.pdf</w:t>
        </w:r>
      </w:hyperlink>
      <w:r w:rsidRPr="00125908">
        <w:rPr>
          <w:rFonts w:ascii="Times New Roman" w:hAnsi="Times New Roman"/>
          <w:sz w:val="18"/>
          <w:lang w:val="en-US"/>
        </w:rPr>
        <w:t xml:space="preserve"> </w:t>
      </w:r>
    </w:p>
  </w:footnote>
  <w:footnote w:id="24">
    <w:p w14:paraId="2F212841" w14:textId="78F1A3BB"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2" w:history="1">
        <w:r>
          <w:rPr>
            <w:rStyle w:val="Hyperlink"/>
            <w:rFonts w:ascii="Times New Roman" w:hAnsi="Times New Roman"/>
            <w:sz w:val="18"/>
          </w:rPr>
          <w:t>Unione dei mercati dei capitali</w:t>
        </w:r>
      </w:hyperlink>
    </w:p>
  </w:footnote>
  <w:footnote w:id="25">
    <w:p w14:paraId="2612072E" w14:textId="692342E7"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3" w:history="1">
        <w:r>
          <w:rPr>
            <w:rStyle w:val="Hyperlink"/>
            <w:rFonts w:ascii="Times New Roman" w:hAnsi="Times New Roman"/>
            <w:sz w:val="18"/>
          </w:rPr>
          <w:t>https://investeu.europa.eu/index_en</w:t>
        </w:r>
      </w:hyperlink>
      <w:r>
        <w:rPr>
          <w:rFonts w:ascii="Times New Roman" w:hAnsi="Times New Roman"/>
          <w:sz w:val="18"/>
        </w:rPr>
        <w:t xml:space="preserve"> </w:t>
      </w:r>
    </w:p>
  </w:footnote>
  <w:footnote w:id="26">
    <w:p w14:paraId="1CAA2E5A" w14:textId="6269577F"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 fondi pensione dell'UE-27 rappresentano circa 3 000 miliardi di EUR (OCSE, Global pension statistics, 2022) e l'importo delle attività gestite dalle compagnie di assicurazione con sede nell'UE ammonta a circa 10 000 miliardi di EUR (AUM; Insurance Europe, dati, 2021).</w:t>
      </w:r>
    </w:p>
  </w:footnote>
  <w:footnote w:id="27">
    <w:p w14:paraId="47C106D7" w14:textId="77777777" w:rsidR="00013882" w:rsidRPr="00125908" w:rsidRDefault="00013882" w:rsidP="008D2948">
      <w:pPr>
        <w:spacing w:after="0"/>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i/>
          <w:iCs/>
          <w:sz w:val="18"/>
          <w:lang w:val="en-US"/>
        </w:rPr>
        <w:t xml:space="preserve"> Tackling the Scale-up Gap:</w:t>
      </w:r>
      <w:r w:rsidRPr="00125908">
        <w:rPr>
          <w:rFonts w:ascii="Times New Roman" w:hAnsi="Times New Roman"/>
          <w:sz w:val="18"/>
          <w:lang w:val="en-US"/>
        </w:rPr>
        <w:t xml:space="preserve"> </w:t>
      </w:r>
      <w:r w:rsidRPr="00125908">
        <w:rPr>
          <w:rFonts w:ascii="Times New Roman" w:hAnsi="Times New Roman"/>
          <w:i/>
          <w:iCs/>
          <w:sz w:val="18"/>
          <w:lang w:val="en-US"/>
        </w:rPr>
        <w:t>Evidence and impact of the scale-up financing gap for innovative firms in Europe and reflections on potential solutions</w:t>
      </w:r>
      <w:r w:rsidRPr="00125908">
        <w:rPr>
          <w:rFonts w:ascii="Times New Roman" w:hAnsi="Times New Roman"/>
          <w:sz w:val="18"/>
          <w:lang w:val="en-US"/>
        </w:rPr>
        <w:t xml:space="preserve"> - Anita Quas, Colin Mason, Ramón Compañó, James Gavigan e Giuseppina Testa.</w:t>
      </w:r>
    </w:p>
  </w:footnote>
  <w:footnote w:id="28">
    <w:p w14:paraId="53303F45" w14:textId="2A9CB62A"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Commissione europea (2017), Analisi del mercato europeo delle obbligazioni societarie. Relazione analitica a sostegno della relazione principale del gruppo di esperti della Commissione sulle obbligazioni societarie.</w:t>
      </w:r>
    </w:p>
  </w:footnote>
  <w:footnote w:id="29">
    <w:p w14:paraId="7CF819BF" w14:textId="25A442E8"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4" w:history="1">
        <w:r>
          <w:rPr>
            <w:rStyle w:val="Hyperlink"/>
            <w:rFonts w:ascii="Times New Roman" w:hAnsi="Times New Roman"/>
            <w:sz w:val="18"/>
          </w:rPr>
          <w:t>Valutazione d'impatto iniziale DEBRA</w:t>
        </w:r>
      </w:hyperlink>
      <w:r>
        <w:rPr>
          <w:rFonts w:ascii="Times New Roman" w:hAnsi="Times New Roman"/>
          <w:sz w:val="18"/>
        </w:rPr>
        <w:t xml:space="preserve"> </w:t>
      </w:r>
    </w:p>
  </w:footnote>
  <w:footnote w:id="30">
    <w:p w14:paraId="5500B2DD" w14:textId="58A56C21"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Risultati dell'UE nel campo della scienza, della ricerca e dell'innovazione 2022 (di prossima pubblicazione) sulla base di Invest Europe 2021.</w:t>
      </w:r>
    </w:p>
  </w:footnote>
  <w:footnote w:id="31">
    <w:p w14:paraId="600B4EF2" w14:textId="6711F744"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Il 75 % delle operazioni di finanziamento di imprese in espansione nell'UE.</w:t>
      </w:r>
    </w:p>
  </w:footnote>
  <w:footnote w:id="32">
    <w:p w14:paraId="4BD878AE" w14:textId="7B559939" w:rsidR="00013882" w:rsidRPr="003451BD"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Le IPO consentono alle scale-up di accedere a un importo di capitale di rischio 5,5 volte superiore a quello raccolto da coloro che rimangono privati</w:t>
      </w:r>
      <w:r>
        <w:t xml:space="preserve"> (</w:t>
      </w:r>
      <w:hyperlink r:id="rId15" w:history="1">
        <w:r>
          <w:rPr>
            <w:rStyle w:val="Hyperlink"/>
            <w:rFonts w:ascii="Times New Roman" w:hAnsi="Times New Roman"/>
            <w:sz w:val="18"/>
          </w:rPr>
          <w:t>https://mindthebridge.com/tech-scaleup-ipos-2019-report/</w:t>
        </w:r>
      </w:hyperlink>
      <w:r>
        <w:t>).</w:t>
      </w:r>
    </w:p>
  </w:footnote>
  <w:footnote w:id="33">
    <w:p w14:paraId="3C7D257D" w14:textId="4B8A9D95"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t xml:space="preserve"> </w:t>
      </w:r>
      <w:r>
        <w:rPr>
          <w:rFonts w:ascii="Times New Roman" w:hAnsi="Times New Roman"/>
          <w:sz w:val="18"/>
        </w:rPr>
        <w:t xml:space="preserve">Risultati dell'UE nel campo della scienza, della ricerca e dell'innovazione 2022 sulla base di Ambrosio et al. </w:t>
      </w:r>
      <w:r w:rsidRPr="00125908">
        <w:rPr>
          <w:rFonts w:ascii="Times New Roman" w:hAnsi="Times New Roman"/>
          <w:sz w:val="18"/>
          <w:lang w:val="en-US"/>
        </w:rPr>
        <w:t>(2021).</w:t>
      </w:r>
    </w:p>
  </w:footnote>
  <w:footnote w:id="34">
    <w:p w14:paraId="281405F4" w14:textId="4CEFABCF"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Braun et al. (2019), Follow the Money: How Venture Capital Facilitates Emigration of Firms and Entrepreneurs in Europe 2019.</w:t>
      </w:r>
    </w:p>
  </w:footnote>
  <w:footnote w:id="35">
    <w:p w14:paraId="23351771" w14:textId="77777777"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w:t>
      </w:r>
      <w:hyperlink r:id="rId16" w:history="1">
        <w:r w:rsidRPr="00125908">
          <w:rPr>
            <w:rStyle w:val="Hyperlink"/>
            <w:rFonts w:ascii="Times New Roman" w:hAnsi="Times New Roman"/>
            <w:sz w:val="18"/>
            <w:lang w:val="en-US"/>
          </w:rPr>
          <w:t>https://hbr.org/2018/07/the-other-diversity-dividend/</w:t>
        </w:r>
      </w:hyperlink>
      <w:r w:rsidRPr="00125908">
        <w:rPr>
          <w:rFonts w:ascii="Times New Roman" w:hAnsi="Times New Roman"/>
          <w:sz w:val="18"/>
          <w:lang w:val="en-US"/>
        </w:rPr>
        <w:t xml:space="preserve"> </w:t>
      </w:r>
    </w:p>
  </w:footnote>
  <w:footnote w:id="36">
    <w:p w14:paraId="46D10D90" w14:textId="77777777"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Atomico (2021), State of European Tech 2021.</w:t>
      </w:r>
    </w:p>
  </w:footnote>
  <w:footnote w:id="37">
    <w:p w14:paraId="5D021A0A" w14:textId="615E0AF2"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30 miliardi di EUR dai fondi pensione, 15 miliardi di EUR dalle compagnie di assicurazione. Documento di lavoro dei servizi della Commissione che accompagna la nuova agenda europea per l'innovazione, sezione 2.1.3. Fondi che</w:t>
      </w:r>
      <w:bookmarkStart w:id="15" w:name="_Toc107483633"/>
      <w:r>
        <w:rPr>
          <w:rFonts w:ascii="Times New Roman" w:hAnsi="Times New Roman"/>
          <w:sz w:val="18"/>
        </w:rPr>
        <w:t xml:space="preserve"> potrebbero essere mobilitati nell'ambito dell'azione sul finanziamento del capitale di rischio in una fase successiva</w:t>
      </w:r>
      <w:bookmarkEnd w:id="15"/>
      <w:r>
        <w:rPr>
          <w:rFonts w:ascii="Times New Roman" w:hAnsi="Times New Roman"/>
          <w:sz w:val="18"/>
        </w:rPr>
        <w:t>.</w:t>
      </w:r>
    </w:p>
  </w:footnote>
  <w:footnote w:id="38">
    <w:p w14:paraId="34ADCB79" w14:textId="1D89D526"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Pubblicato l'11 maggio 2022.</w:t>
      </w:r>
    </w:p>
  </w:footnote>
  <w:footnote w:id="39">
    <w:p w14:paraId="0F6A0EB8" w14:textId="5573D4F1" w:rsidR="00013882" w:rsidRPr="007A79C3"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https://www.eif.org/InvestEU/equity_products_calls/index.htm</w:t>
      </w:r>
    </w:p>
  </w:footnote>
  <w:footnote w:id="40">
    <w:p w14:paraId="2DC8A3E1"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7" w:history="1">
        <w:r>
          <w:rPr>
            <w:rStyle w:val="Hyperlink"/>
            <w:rFonts w:ascii="Times New Roman" w:hAnsi="Times New Roman"/>
            <w:sz w:val="18"/>
          </w:rPr>
          <w:t>https://ec.europa.eu/commission/presscorner/detail/it/ip_22_1548</w:t>
        </w:r>
      </w:hyperlink>
      <w:r>
        <w:rPr>
          <w:rFonts w:ascii="Times New Roman" w:hAnsi="Times New Roman"/>
          <w:sz w:val="18"/>
        </w:rPr>
        <w:t xml:space="preserve"> </w:t>
      </w:r>
    </w:p>
  </w:footnote>
  <w:footnote w:id="41">
    <w:p w14:paraId="0543BCF8"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8" w:history="1">
        <w:r>
          <w:rPr>
            <w:rStyle w:val="Hyperlink"/>
            <w:rFonts w:ascii="Times New Roman" w:hAnsi="Times New Roman"/>
            <w:sz w:val="18"/>
          </w:rPr>
          <w:t>https://www.eif.org/what_we_do/equity/escalar/index.htm</w:t>
        </w:r>
      </w:hyperlink>
      <w:r>
        <w:rPr>
          <w:rFonts w:ascii="Times New Roman" w:hAnsi="Times New Roman"/>
          <w:sz w:val="18"/>
        </w:rPr>
        <w:t xml:space="preserve"> </w:t>
      </w:r>
    </w:p>
  </w:footnote>
  <w:footnote w:id="42">
    <w:p w14:paraId="12B51B7C" w14:textId="0C14F49F" w:rsidR="00013882" w:rsidRPr="00FC5CF2" w:rsidRDefault="00013882" w:rsidP="008D2948">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Investimenti che beneficiano di determinate tutele aggiuntive che riducono il rischio di investimento rispetto ad altre categorie di azioni o simili. In considerazione del minore rischio, l'investimento non beneficerà degli stessi diritti di rendimento degli altri investitori che sottoscrivono altre categorie di azioni o categorie simili con un rischio più elevato. </w:t>
      </w:r>
    </w:p>
  </w:footnote>
  <w:footnote w:id="43">
    <w:p w14:paraId="48EC3006" w14:textId="716DE4E5"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9" w:history="1">
        <w:r>
          <w:rPr>
            <w:rStyle w:val="Hyperlink"/>
            <w:rFonts w:ascii="Times New Roman" w:hAnsi="Times New Roman"/>
            <w:sz w:val="18"/>
          </w:rPr>
          <w:t>https://www.eif.org/what_we_do/equity/news/2022/eib-supports-the-pan-european-scale-up-initiative-to-promote-tech-champions.htm</w:t>
        </w:r>
      </w:hyperlink>
      <w:r>
        <w:rPr>
          <w:rFonts w:ascii="Times New Roman" w:hAnsi="Times New Roman"/>
          <w:sz w:val="18"/>
        </w:rPr>
        <w:t xml:space="preserve"> </w:t>
      </w:r>
    </w:p>
  </w:footnote>
  <w:footnote w:id="44">
    <w:p w14:paraId="27FB3710" w14:textId="14B36157"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0" w:history="1">
        <w:r>
          <w:rPr>
            <w:rStyle w:val="Hyperlink"/>
            <w:rFonts w:ascii="Times New Roman" w:hAnsi="Times New Roman"/>
            <w:sz w:val="18"/>
          </w:rPr>
          <w:t>https://eit.europa.eu/our-activities/opportunities/eit-opens-call-investors-participate-women2invest</w:t>
        </w:r>
      </w:hyperlink>
      <w:r>
        <w:rPr>
          <w:rFonts w:ascii="Times New Roman" w:hAnsi="Times New Roman"/>
          <w:sz w:val="18"/>
        </w:rPr>
        <w:t xml:space="preserve"> </w:t>
      </w:r>
    </w:p>
  </w:footnote>
  <w:footnote w:id="45">
    <w:p w14:paraId="61BD86D5" w14:textId="3A72A090"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1" w:history="1">
        <w:r>
          <w:rPr>
            <w:rStyle w:val="Hyperlink"/>
            <w:rFonts w:ascii="Times New Roman" w:hAnsi="Times New Roman"/>
            <w:sz w:val="18"/>
          </w:rPr>
          <w:t>Legiferare meglio: strumenti e orientamenti |</w:t>
        </w:r>
      </w:hyperlink>
      <w:hyperlink r:id="rId22" w:history="1">
        <w:r>
          <w:rPr>
            <w:rStyle w:val="Hyperlink"/>
            <w:rFonts w:ascii="Times New Roman" w:hAnsi="Times New Roman"/>
            <w:sz w:val="18"/>
          </w:rPr>
          <w:t xml:space="preserve"> Commissione europea (europa.eu)</w:t>
        </w:r>
      </w:hyperlink>
      <w:r>
        <w:rPr>
          <w:rFonts w:ascii="Times New Roman" w:hAnsi="Times New Roman"/>
          <w:sz w:val="18"/>
        </w:rPr>
        <w:t xml:space="preserve"> -</w:t>
      </w:r>
      <w:r>
        <w:t xml:space="preserve"> </w:t>
      </w:r>
      <w:r>
        <w:rPr>
          <w:rFonts w:ascii="Times New Roman" w:hAnsi="Times New Roman"/>
          <w:sz w:val="18"/>
        </w:rPr>
        <w:t>Si veda in par</w:t>
      </w:r>
      <w:r w:rsidR="00DB41F6">
        <w:rPr>
          <w:rFonts w:ascii="Times New Roman" w:hAnsi="Times New Roman"/>
          <w:sz w:val="18"/>
        </w:rPr>
        <w:t>ticolare lo strumento specifico </w:t>
      </w:r>
      <w:r>
        <w:rPr>
          <w:rFonts w:ascii="Times New Roman" w:hAnsi="Times New Roman"/>
          <w:sz w:val="18"/>
        </w:rPr>
        <w:t>#22 concernente la ricerca e l'innovazione e lo strumento # 69 sulle politiche emergenti come gli spazi di sperimentazione normativa.</w:t>
      </w:r>
    </w:p>
  </w:footnote>
  <w:footnote w:id="46">
    <w:p w14:paraId="3EEA7A56" w14:textId="4B6D6234"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3" w:history="1">
        <w:r>
          <w:rPr>
            <w:rStyle w:val="Hyperlink"/>
            <w:rFonts w:ascii="Times New Roman" w:hAnsi="Times New Roman"/>
            <w:sz w:val="18"/>
          </w:rPr>
          <w:t>https://eur-lex.europa.eu/resource.html?uri=cellar:e0649735-a372-11eb-9585-01aa75ed71a1.0001.02/DOC_1&amp;format=PDF</w:t>
        </w:r>
      </w:hyperlink>
      <w:r>
        <w:rPr>
          <w:rFonts w:ascii="Times New Roman" w:hAnsi="Times New Roman"/>
          <w:sz w:val="18"/>
        </w:rPr>
        <w:t xml:space="preserve"> </w:t>
      </w:r>
    </w:p>
  </w:footnote>
  <w:footnote w:id="47">
    <w:p w14:paraId="4DE2A774"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4" w:history="1">
        <w:r>
          <w:rPr>
            <w:rStyle w:val="Hyperlink"/>
            <w:rFonts w:ascii="Times New Roman" w:hAnsi="Times New Roman"/>
            <w:sz w:val="18"/>
          </w:rPr>
          <w:t>https://ec.europa.eu/isa2/eif_en/</w:t>
        </w:r>
      </w:hyperlink>
      <w:r>
        <w:rPr>
          <w:rFonts w:ascii="Times New Roman" w:hAnsi="Times New Roman"/>
          <w:sz w:val="18"/>
        </w:rPr>
        <w:t xml:space="preserve"> </w:t>
      </w:r>
    </w:p>
  </w:footnote>
  <w:footnote w:id="48">
    <w:p w14:paraId="0B3EFEF6" w14:textId="3E5D3C8F"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5" w:history="1">
        <w:r>
          <w:rPr>
            <w:rStyle w:val="Hyperlink"/>
            <w:rFonts w:ascii="Times New Roman" w:hAnsi="Times New Roman"/>
            <w:sz w:val="18"/>
          </w:rPr>
          <w:t>https://eur-lex.europa.eu/legal-content/IT/ALL/?uri=CELEX%3A52021PC0557</w:t>
        </w:r>
      </w:hyperlink>
      <w:r>
        <w:rPr>
          <w:rFonts w:ascii="Times New Roman" w:hAnsi="Times New Roman"/>
          <w:sz w:val="18"/>
        </w:rPr>
        <w:t xml:space="preserve"> </w:t>
      </w:r>
    </w:p>
  </w:footnote>
  <w:footnote w:id="49">
    <w:p w14:paraId="4B8B14B2"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6" w:history="1">
        <w:r>
          <w:rPr>
            <w:rStyle w:val="Hyperlink"/>
            <w:rFonts w:ascii="Times New Roman" w:hAnsi="Times New Roman"/>
            <w:sz w:val="18"/>
          </w:rPr>
          <w:t>https://ec.europa.eu/environment/industry/stationary/ied/evaluation.htm</w:t>
        </w:r>
      </w:hyperlink>
      <w:r>
        <w:rPr>
          <w:rFonts w:ascii="Times New Roman" w:hAnsi="Times New Roman"/>
          <w:sz w:val="18"/>
        </w:rPr>
        <w:t xml:space="preserve"> </w:t>
      </w:r>
    </w:p>
  </w:footnote>
  <w:footnote w:id="50">
    <w:p w14:paraId="0FDD19B1" w14:textId="251529A7" w:rsidR="00013882" w:rsidRPr="0092307D"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7" w:history="1">
        <w:r>
          <w:rPr>
            <w:rStyle w:val="Hyperlink"/>
            <w:rFonts w:ascii="Times New Roman" w:hAnsi="Times New Roman"/>
            <w:sz w:val="18"/>
          </w:rPr>
          <w:t>Piano d'azione "inquinamento zero" (europa.eu)</w:t>
        </w:r>
      </w:hyperlink>
      <w:r w:rsidRPr="0092307D">
        <w:rPr>
          <w:rFonts w:ascii="Times New Roman" w:hAnsi="Times New Roman" w:cs="Times New Roman"/>
          <w:sz w:val="18"/>
          <w:szCs w:val="18"/>
        </w:rPr>
        <w:t xml:space="preserve"> </w:t>
      </w:r>
    </w:p>
  </w:footnote>
  <w:footnote w:id="51">
    <w:p w14:paraId="31A5C183" w14:textId="4D96434F"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Consiglio dell'Unione europea (2020), Conclusioni del Consiglio Investimenti pubblici mediante appalti pubblici: ripresa sostenibile e rilancio di un'economia dell'UE resiliente.</w:t>
      </w:r>
    </w:p>
  </w:footnote>
  <w:footnote w:id="52">
    <w:p w14:paraId="3EFD980E" w14:textId="73A74C01"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Cfr. la comunicazione della Commissione sugli appalti per l'innovazione C(2018) 3051, basata sulla curva a campana della diffusione dell'innovazione per i settori conservatori.</w:t>
      </w:r>
    </w:p>
  </w:footnote>
  <w:footnote w:id="53">
    <w:p w14:paraId="21BF2648" w14:textId="74427D17"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Gli spazi di sperimentazione normativa prevedono esenzioni chiaramente definite per consentire di testare prodotti e tecnologie innovativi che non sono pienamente conformi alle normative esistenti.</w:t>
      </w:r>
    </w:p>
  </w:footnote>
  <w:footnote w:id="54">
    <w:p w14:paraId="3D2C5FCA" w14:textId="6CE9BDDD"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8" w:history="1">
        <w:r>
          <w:rPr>
            <w:rStyle w:val="Hyperlink"/>
            <w:rFonts w:ascii="Times New Roman" w:hAnsi="Times New Roman"/>
            <w:sz w:val="18"/>
          </w:rPr>
          <w:t>https://ec.europa.eu/info/research-and-innovation/funding/funding-opportunities/funding-programmes-and-open-calls/horizon-europe/european-innovation-ecosystems_en</w:t>
        </w:r>
      </w:hyperlink>
      <w:r>
        <w:rPr>
          <w:rFonts w:ascii="Times New Roman" w:hAnsi="Times New Roman"/>
          <w:sz w:val="18"/>
        </w:rPr>
        <w:t xml:space="preserve"> </w:t>
      </w:r>
    </w:p>
  </w:footnote>
  <w:footnote w:id="55">
    <w:p w14:paraId="6A6394BC" w14:textId="0F414E0C"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Vedi la </w:t>
      </w:r>
      <w:hyperlink r:id="rId29" w:history="1">
        <w:r>
          <w:rPr>
            <w:rStyle w:val="Hyperlink"/>
            <w:rFonts w:ascii="Times New Roman" w:hAnsi="Times New Roman"/>
            <w:sz w:val="18"/>
          </w:rPr>
          <w:t>Strategia per una mobilità sostenibile e intelligente</w:t>
        </w:r>
      </w:hyperlink>
      <w:r>
        <w:rPr>
          <w:rFonts w:ascii="Times New Roman" w:hAnsi="Times New Roman"/>
          <w:sz w:val="18"/>
        </w:rPr>
        <w:t>.</w:t>
      </w:r>
    </w:p>
  </w:footnote>
  <w:footnote w:id="56">
    <w:p w14:paraId="502E8A37" w14:textId="77777777"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0" w:history="1">
        <w:r>
          <w:rPr>
            <w:rStyle w:val="Hyperlink"/>
            <w:rFonts w:ascii="Times New Roman" w:hAnsi="Times New Roman"/>
            <w:sz w:val="18"/>
          </w:rPr>
          <w:t>Un Green Deal europeo |</w:t>
        </w:r>
      </w:hyperlink>
      <w:hyperlink r:id="rId31" w:history="1">
        <w:r>
          <w:rPr>
            <w:rStyle w:val="Hyperlink"/>
            <w:rFonts w:ascii="Times New Roman" w:hAnsi="Times New Roman"/>
            <w:sz w:val="18"/>
          </w:rPr>
          <w:t>Commissione europea (europa.eu)</w:t>
        </w:r>
      </w:hyperlink>
    </w:p>
  </w:footnote>
  <w:footnote w:id="57">
    <w:p w14:paraId="24793FD1" w14:textId="77777777"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2" w:anchor="il-percorso-per-il-decennio-digitale" w:history="1">
        <w:r>
          <w:rPr>
            <w:rStyle w:val="Hyperlink"/>
            <w:rFonts w:ascii="Times New Roman" w:hAnsi="Times New Roman"/>
            <w:sz w:val="18"/>
          </w:rPr>
          <w:t>Decennio digitale europeo: obiettivi digitali per il 2030 |</w:t>
        </w:r>
      </w:hyperlink>
      <w:hyperlink r:id="rId33" w:anchor="il-percorso-per-il-decennio-digitale" w:history="1">
        <w:r>
          <w:rPr>
            <w:rStyle w:val="Hyperlink"/>
            <w:rFonts w:ascii="Times New Roman" w:hAnsi="Times New Roman"/>
            <w:sz w:val="18"/>
          </w:rPr>
          <w:t>Commissione europea (europa.eu)</w:t>
        </w:r>
      </w:hyperlink>
    </w:p>
  </w:footnote>
  <w:footnote w:id="58">
    <w:p w14:paraId="5A91F49D" w14:textId="58C73CFB"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Programma "Europa digitale".</w:t>
      </w:r>
    </w:p>
  </w:footnote>
  <w:footnote w:id="59">
    <w:p w14:paraId="13134EAA" w14:textId="77777777"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4" w:history="1">
        <w:r>
          <w:rPr>
            <w:rStyle w:val="Hyperlink"/>
            <w:rFonts w:ascii="Times New Roman" w:hAnsi="Times New Roman"/>
            <w:sz w:val="18"/>
          </w:rPr>
          <w:t>Il programma per il mercato unico |</w:t>
        </w:r>
      </w:hyperlink>
      <w:hyperlink r:id="rId35" w:history="1">
        <w:r>
          <w:rPr>
            <w:rStyle w:val="Hyperlink"/>
            <w:rFonts w:ascii="Times New Roman" w:hAnsi="Times New Roman"/>
            <w:sz w:val="18"/>
          </w:rPr>
          <w:t>Commissione europea (europa.eu)</w:t>
        </w:r>
      </w:hyperlink>
    </w:p>
  </w:footnote>
  <w:footnote w:id="60">
    <w:p w14:paraId="66BD9CEF" w14:textId="610E1415"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Commissione europea, direzione generale delle Reti di comunicazione, dei contenuti e delle tecnologie - L'uso strategico degli appalti pubblici per l'innovazione nell'economia digitale- Sintesi in inglese, francese e tedesco, Ufficio delle pubblicazioni, 2021</w:t>
      </w:r>
    </w:p>
  </w:footnote>
  <w:footnote w:id="61">
    <w:p w14:paraId="133A5A1D" w14:textId="56ED297E"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Quadro europeo di valutazione dell'innovazione 2021.</w:t>
      </w:r>
    </w:p>
  </w:footnote>
  <w:footnote w:id="62">
    <w:p w14:paraId="409FC37B" w14:textId="22F3F4F0" w:rsidR="00013882" w:rsidRPr="00FC5CF2" w:rsidRDefault="00013882" w:rsidP="00782585">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Le strategie di specializzazione intelligente sono il principale mezzo dell'UE per rafforzare gli ecosistemi di innovazione nazionali e regionali. Gli Stati membri e le regioni di tutta l'UE stanno attualmente aggiornando le loro strategie di specializzazione intelligente, in linea con il concetto consolidato e le pertinenti disposizioni giuridiche per il sostegno apportato alla politica di coesione.</w:t>
      </w:r>
    </w:p>
  </w:footnote>
  <w:footnote w:id="63">
    <w:p w14:paraId="4C1B2152"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6" w:anchor=":~:text=Interregional%20partnerships%20The%20European%20Commission%20supports%20interregional%20partnerships,interregional%20cooperation%20to%20boost%20industrial%20competitiveness%20and%20innovation" w:history="1">
        <w:r>
          <w:rPr>
            <w:rStyle w:val="Hyperlink"/>
            <w:rFonts w:ascii="Times New Roman" w:hAnsi="Times New Roman"/>
            <w:sz w:val="18"/>
          </w:rPr>
          <w:t>https://ec.europa.eu/growth/industry/strategy/interregional-partnerships_en#:~:text=Interregional%20partnerships%20The%20European%20Commission%20supports%20interregional%20partnerships,interregional%20cooperation%20to%20boost%20industrial%20competitiveness%20and%20innovation</w:t>
        </w:r>
      </w:hyperlink>
      <w:r>
        <w:rPr>
          <w:rFonts w:ascii="Times New Roman" w:hAnsi="Times New Roman"/>
          <w:sz w:val="18"/>
        </w:rPr>
        <w:t xml:space="preserve"> </w:t>
      </w:r>
    </w:p>
  </w:footnote>
  <w:footnote w:id="64">
    <w:p w14:paraId="2220CF8C" w14:textId="77777777" w:rsidR="00013882" w:rsidRPr="00FC5CF2" w:rsidRDefault="00013882"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7" w:history="1">
        <w:r>
          <w:rPr>
            <w:rStyle w:val="Hyperlink"/>
            <w:rFonts w:ascii="Times New Roman" w:hAnsi="Times New Roman"/>
            <w:sz w:val="18"/>
          </w:rPr>
          <w:t>https://clustercollaboration.eu/</w:t>
        </w:r>
      </w:hyperlink>
      <w:r>
        <w:rPr>
          <w:rFonts w:ascii="Times New Roman" w:hAnsi="Times New Roman"/>
          <w:sz w:val="18"/>
        </w:rPr>
        <w:t xml:space="preserve"> </w:t>
      </w:r>
    </w:p>
  </w:footnote>
  <w:footnote w:id="65">
    <w:p w14:paraId="5FC6F21E" w14:textId="77777777" w:rsidR="00013882" w:rsidRPr="00FC5CF2" w:rsidRDefault="00013882"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8" w:history="1">
        <w:r>
          <w:rPr>
            <w:rStyle w:val="Hyperlink"/>
            <w:rFonts w:ascii="Times New Roman" w:hAnsi="Times New Roman"/>
            <w:sz w:val="18"/>
          </w:rPr>
          <w:t>https://eur-lex.europa.eu/legal-content/IT/TXT/HTML/?uri=CELEX:52021DC0066&amp;from=IT</w:t>
        </w:r>
      </w:hyperlink>
      <w:r>
        <w:rPr>
          <w:rFonts w:ascii="Times New Roman" w:hAnsi="Times New Roman"/>
          <w:sz w:val="18"/>
        </w:rPr>
        <w:t xml:space="preserve"> </w:t>
      </w:r>
    </w:p>
  </w:footnote>
  <w:footnote w:id="66">
    <w:p w14:paraId="1728354F" w14:textId="3FFEBE61"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9" w:history="1">
        <w:r>
          <w:rPr>
            <w:rStyle w:val="Hyperlink"/>
            <w:rFonts w:ascii="Times New Roman" w:hAnsi="Times New Roman"/>
            <w:sz w:val="18"/>
          </w:rPr>
          <w:t>https://joinup.ec.europa.eu/collection/cmisa</w:t>
        </w:r>
      </w:hyperlink>
      <w:r>
        <w:rPr>
          <w:rFonts w:ascii="Times New Roman" w:hAnsi="Times New Roman"/>
          <w:sz w:val="18"/>
        </w:rPr>
        <w:t xml:space="preserve"> </w:t>
      </w:r>
    </w:p>
  </w:footnote>
  <w:footnote w:id="67">
    <w:p w14:paraId="16FA2877" w14:textId="7E44C7FC"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40" w:history="1">
        <w:r>
          <w:rPr>
            <w:rStyle w:val="Hyperlink"/>
            <w:rFonts w:ascii="Times New Roman" w:hAnsi="Times New Roman"/>
            <w:sz w:val="18"/>
          </w:rPr>
          <w:t>https://ec.europa.eu/info/research-and-innovation/research-area/industrial-research-and-innovation/era-common-industrial-technologies-roadmaps_en</w:t>
        </w:r>
      </w:hyperlink>
      <w:r>
        <w:rPr>
          <w:rFonts w:ascii="Times New Roman" w:hAnsi="Times New Roman"/>
          <w:sz w:val="18"/>
        </w:rPr>
        <w:t xml:space="preserve"> </w:t>
      </w:r>
    </w:p>
  </w:footnote>
  <w:footnote w:id="68">
    <w:p w14:paraId="15EF0E16" w14:textId="2FB913C5"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Oltre 44 miliardi di EUR sosterranno le attività di ricerca e innovazione. </w:t>
      </w:r>
    </w:p>
  </w:footnote>
  <w:footnote w:id="69">
    <w:p w14:paraId="3D0EA176" w14:textId="2FC9BA80"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1" w:history="1">
        <w:r>
          <w:rPr>
            <w:rStyle w:val="Hyperlink"/>
            <w:rFonts w:ascii="Times New Roman" w:hAnsi="Times New Roman"/>
            <w:sz w:val="18"/>
          </w:rPr>
          <w:t>Alleanze industriali (europa.eu)</w:t>
        </w:r>
      </w:hyperlink>
    </w:p>
  </w:footnote>
  <w:footnote w:id="70">
    <w:p w14:paraId="0EFC25F5" w14:textId="77777777"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2" w:history="1">
        <w:r>
          <w:rPr>
            <w:rStyle w:val="Hyperlink"/>
            <w:rFonts w:ascii="Times New Roman" w:hAnsi="Times New Roman"/>
            <w:sz w:val="18"/>
          </w:rPr>
          <w:t>https://ec.europa.eu/commission/presscorner/detail/it/IP_21_6245</w:t>
        </w:r>
      </w:hyperlink>
      <w:r>
        <w:rPr>
          <w:rFonts w:ascii="Times New Roman" w:hAnsi="Times New Roman"/>
          <w:sz w:val="18"/>
        </w:rPr>
        <w:t xml:space="preserve"> </w:t>
      </w:r>
    </w:p>
  </w:footnote>
  <w:footnote w:id="71">
    <w:p w14:paraId="16D5E7B5" w14:textId="0432BDB9" w:rsidR="00013882" w:rsidRPr="00FC5CF2" w:rsidRDefault="00013882" w:rsidP="00D8758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Come illustrato nel manuale HESS (</w:t>
      </w:r>
      <w:hyperlink r:id="rId43" w:history="1">
        <w:r>
          <w:rPr>
            <w:rStyle w:val="Hyperlink"/>
            <w:rFonts w:ascii="Times New Roman" w:hAnsi="Times New Roman"/>
            <w:sz w:val="18"/>
          </w:rPr>
          <w:t>JRC125293</w:t>
        </w:r>
      </w:hyperlink>
      <w:r>
        <w:rPr>
          <w:rFonts w:ascii="Times New Roman" w:hAnsi="Times New Roman"/>
          <w:sz w:val="18"/>
        </w:rPr>
        <w:t>)</w:t>
      </w:r>
    </w:p>
  </w:footnote>
  <w:footnote w:id="72">
    <w:p w14:paraId="36148904" w14:textId="3C62F75E"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4" w:history="1">
        <w:r>
          <w:rPr>
            <w:rStyle w:val="Hyperlink"/>
            <w:rFonts w:ascii="Times New Roman" w:hAnsi="Times New Roman"/>
            <w:sz w:val="18"/>
          </w:rPr>
          <w:t>https://s3platform.jrc.ec.europa.eu/pri</w:t>
        </w:r>
      </w:hyperlink>
      <w:r>
        <w:rPr>
          <w:rFonts w:ascii="Times New Roman" w:hAnsi="Times New Roman"/>
          <w:sz w:val="18"/>
        </w:rPr>
        <w:t xml:space="preserve"> </w:t>
      </w:r>
    </w:p>
  </w:footnote>
  <w:footnote w:id="73">
    <w:p w14:paraId="5FCEB281" w14:textId="4FE933A9"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5" w:history="1">
        <w:r>
          <w:rPr>
            <w:rStyle w:val="Hyperlink"/>
            <w:rFonts w:ascii="Times New Roman" w:hAnsi="Times New Roman"/>
            <w:sz w:val="18"/>
          </w:rPr>
          <w:t>https://s3platform.jrc.ec.europa.eu/en/w/the-european-startup-village-forum-call-for-pledges</w:t>
        </w:r>
      </w:hyperlink>
      <w:r>
        <w:rPr>
          <w:rFonts w:ascii="Times New Roman" w:hAnsi="Times New Roman"/>
          <w:sz w:val="18"/>
        </w:rPr>
        <w:t xml:space="preserve"> </w:t>
      </w:r>
    </w:p>
  </w:footnote>
  <w:footnote w:id="74">
    <w:p w14:paraId="6ADBDD27" w14:textId="735300F4" w:rsidR="00013882" w:rsidRPr="00FE55FA"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https://ec.europa.eu/info/strategy/priorities-2019-2024/new-push-european-democracy/long-term-vision-rural-areas_en#documents</w:t>
      </w:r>
    </w:p>
  </w:footnote>
  <w:footnote w:id="75">
    <w:p w14:paraId="6F729D2A" w14:textId="7D0005B5"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6" w:anchor=":~:text=To%20implement%20the%E2%80%AFupdated%20EU%20Industrial%20Strategy%2C%20the%20European,the%20transition%20to%20a%20green%20and%20digital%20economy" w:history="1">
        <w:r>
          <w:rPr>
            <w:rStyle w:val="Hyperlink"/>
            <w:rFonts w:ascii="Times New Roman" w:hAnsi="Times New Roman"/>
            <w:sz w:val="18"/>
          </w:rPr>
          <w:t>https://clustercollaboration.eu/tags/joint-cluster-initiatives#:~:text=To%20implement%20the%E2%80%AFupdated%20EU%20Industrial%20Strategy%2C%20the%20European,the%20transition%20to%20a%20green%20and%20digital%20economy</w:t>
        </w:r>
      </w:hyperlink>
      <w:r>
        <w:rPr>
          <w:rFonts w:ascii="Times New Roman" w:hAnsi="Times New Roman"/>
          <w:sz w:val="18"/>
        </w:rPr>
        <w:t xml:space="preserve"> </w:t>
      </w:r>
    </w:p>
  </w:footnote>
  <w:footnote w:id="76">
    <w:p w14:paraId="55751C15" w14:textId="37670BE2"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Comunicazione della Commissione sulle sinergie tra i programmi Orizzonte Europa e FESR (2022).</w:t>
      </w:r>
    </w:p>
  </w:footnote>
  <w:footnote w:id="77">
    <w:p w14:paraId="4E438935" w14:textId="4EE3D43D" w:rsidR="00013882" w:rsidRPr="002B2078"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7" w:history="1">
        <w:r>
          <w:rPr>
            <w:rStyle w:val="Hyperlink"/>
            <w:rFonts w:ascii="Times New Roman" w:hAnsi="Times New Roman"/>
            <w:sz w:val="18"/>
          </w:rPr>
          <w:t>Fondo per l'innovazione (europa.eu)</w:t>
        </w:r>
      </w:hyperlink>
    </w:p>
  </w:footnote>
  <w:footnote w:id="78">
    <w:p w14:paraId="42601D4B" w14:textId="59648EBC"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8" w:history="1">
        <w:r>
          <w:rPr>
            <w:rStyle w:val="Hyperlink"/>
            <w:rFonts w:ascii="Times New Roman" w:hAnsi="Times New Roman"/>
            <w:sz w:val="18"/>
          </w:rPr>
          <w:t>IPCEI Batterie (ipcei-batteries.eu)</w:t>
        </w:r>
      </w:hyperlink>
      <w:r>
        <w:rPr>
          <w:rFonts w:ascii="Times New Roman" w:hAnsi="Times New Roman"/>
          <w:sz w:val="18"/>
        </w:rPr>
        <w:t xml:space="preserve"> </w:t>
      </w:r>
    </w:p>
  </w:footnote>
  <w:footnote w:id="79">
    <w:p w14:paraId="7C508FAC" w14:textId="7EED639D"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9" w:history="1">
        <w:r>
          <w:rPr>
            <w:rStyle w:val="Hyperlink"/>
            <w:rFonts w:ascii="Times New Roman" w:hAnsi="Times New Roman"/>
            <w:sz w:val="18"/>
          </w:rPr>
          <w:t>IPCEI nel settore della microelettronica – Un passo importante per una catena di approvvigionamento di semiconduttori più resiliente|</w:t>
        </w:r>
      </w:hyperlink>
      <w:r>
        <w:rPr>
          <w:rStyle w:val="Hyperlink"/>
          <w:rFonts w:ascii="Times New Roman" w:hAnsi="Times New Roman"/>
          <w:sz w:val="18"/>
        </w:rPr>
        <w:t xml:space="preserve">- </w:t>
      </w:r>
      <w:hyperlink r:id="rId50" w:history="1">
        <w:r>
          <w:rPr>
            <w:rStyle w:val="Hyperlink"/>
            <w:rFonts w:ascii="Times New Roman" w:hAnsi="Times New Roman"/>
            <w:sz w:val="18"/>
          </w:rPr>
          <w:t>Commissione europea (europa.eu)</w:t>
        </w:r>
      </w:hyperlink>
    </w:p>
  </w:footnote>
  <w:footnote w:id="80">
    <w:p w14:paraId="39A4B9FD" w14:textId="62347A53"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1" w:history="1">
        <w:r>
          <w:rPr>
            <w:rStyle w:val="Hyperlink"/>
            <w:rFonts w:ascii="Times New Roman" w:hAnsi="Times New Roman"/>
            <w:sz w:val="18"/>
          </w:rPr>
          <w:t>https://www.ipcei-me.eu/</w:t>
        </w:r>
      </w:hyperlink>
      <w:r>
        <w:rPr>
          <w:rFonts w:ascii="Times New Roman" w:hAnsi="Times New Roman"/>
          <w:sz w:val="18"/>
        </w:rPr>
        <w:t xml:space="preserve"> </w:t>
      </w:r>
    </w:p>
  </w:footnote>
  <w:footnote w:id="81">
    <w:p w14:paraId="68ADCF7E" w14:textId="77777777" w:rsidR="00013882" w:rsidRPr="00FC5CF2" w:rsidRDefault="00013882"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2" w:history="1">
        <w:r>
          <w:rPr>
            <w:rStyle w:val="Hyperlink"/>
            <w:rFonts w:ascii="Times New Roman" w:hAnsi="Times New Roman"/>
            <w:sz w:val="18"/>
          </w:rPr>
          <w:t>Programma di lavoro CEI per il 2022</w:t>
        </w:r>
      </w:hyperlink>
      <w:r>
        <w:t>, pag. 113.</w:t>
      </w:r>
      <w:r>
        <w:rPr>
          <w:rFonts w:ascii="Times New Roman" w:hAnsi="Times New Roman"/>
          <w:sz w:val="18"/>
        </w:rPr>
        <w:t xml:space="preserve"> </w:t>
      </w:r>
    </w:p>
  </w:footnote>
  <w:footnote w:id="82">
    <w:p w14:paraId="6EFE06E3" w14:textId="6416FC6E" w:rsidR="00013882" w:rsidRPr="00FC5CF2" w:rsidRDefault="00013882"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Società valutata a oltre 1 miliardo di EUR.</w:t>
      </w:r>
    </w:p>
  </w:footnote>
  <w:footnote w:id="83">
    <w:p w14:paraId="225B24CF"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3" w:history="1">
        <w:r>
          <w:rPr>
            <w:rStyle w:val="Hyperlink"/>
            <w:rFonts w:ascii="Times New Roman" w:hAnsi="Times New Roman"/>
            <w:sz w:val="18"/>
          </w:rPr>
          <w:t>http://www.ehea.info/</w:t>
        </w:r>
      </w:hyperlink>
      <w:r>
        <w:rPr>
          <w:rFonts w:ascii="Times New Roman" w:hAnsi="Times New Roman"/>
          <w:sz w:val="18"/>
        </w:rPr>
        <w:t xml:space="preserve"> </w:t>
      </w:r>
    </w:p>
  </w:footnote>
  <w:footnote w:id="84">
    <w:p w14:paraId="1D9FD3DF"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4" w:history="1">
        <w:r>
          <w:rPr>
            <w:rStyle w:val="Hyperlink"/>
            <w:rFonts w:ascii="Times New Roman" w:hAnsi="Times New Roman"/>
            <w:sz w:val="18"/>
          </w:rPr>
          <w:t>https://www.coe.int/en/web/higher-education-and-research/lisbon-recognition-convention</w:t>
        </w:r>
      </w:hyperlink>
      <w:r>
        <w:rPr>
          <w:rFonts w:ascii="Times New Roman" w:hAnsi="Times New Roman"/>
          <w:sz w:val="18"/>
        </w:rPr>
        <w:t xml:space="preserve"> </w:t>
      </w:r>
    </w:p>
  </w:footnote>
  <w:footnote w:id="85">
    <w:p w14:paraId="4D687672" w14:textId="4520DF1D"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5" w:history="1">
        <w:r>
          <w:rPr>
            <w:rStyle w:val="Hyperlink"/>
            <w:rFonts w:ascii="Times New Roman" w:hAnsi="Times New Roman"/>
            <w:sz w:val="18"/>
          </w:rPr>
          <w:t>Agenda europea per le competenze - Occupazione, affari sociali e inclusione - Commissione europea (europa.eu).</w:t>
        </w:r>
      </w:hyperlink>
    </w:p>
  </w:footnote>
  <w:footnote w:id="86">
    <w:p w14:paraId="558AAB2F" w14:textId="4407547F"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6" w:history="1">
        <w:r>
          <w:rPr>
            <w:rStyle w:val="Hyperlink"/>
            <w:rFonts w:ascii="Times New Roman" w:hAnsi="Times New Roman"/>
            <w:sz w:val="18"/>
          </w:rPr>
          <w:t>Competenze e talenti |</w:t>
        </w:r>
      </w:hyperlink>
      <w:hyperlink r:id="rId57" w:history="1">
        <w:r>
          <w:rPr>
            <w:rStyle w:val="Hyperlink"/>
            <w:rFonts w:ascii="Times New Roman" w:hAnsi="Times New Roman"/>
            <w:sz w:val="18"/>
          </w:rPr>
          <w:t>Commissione europea (europa.eu)</w:t>
        </w:r>
      </w:hyperlink>
    </w:p>
  </w:footnote>
  <w:footnote w:id="87">
    <w:p w14:paraId="49B3512A" w14:textId="5363BF23" w:rsidR="00013882" w:rsidRPr="00D11ABB"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https://ec.europa.eu/social/main.jsp?catId=1501</w:t>
      </w:r>
    </w:p>
  </w:footnote>
  <w:footnote w:id="88">
    <w:p w14:paraId="43D61C44" w14:textId="77777777" w:rsidR="00013882" w:rsidRPr="00125908" w:rsidRDefault="00013882" w:rsidP="008D2948">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w:t>
      </w:r>
      <w:hyperlink r:id="rId58" w:history="1">
        <w:r w:rsidRPr="00125908">
          <w:rPr>
            <w:rStyle w:val="Hyperlink"/>
            <w:rFonts w:ascii="Times New Roman" w:hAnsi="Times New Roman"/>
            <w:sz w:val="18"/>
            <w:lang w:val="en-US"/>
          </w:rPr>
          <w:t>https://startupnationsstandard.eu/</w:t>
        </w:r>
      </w:hyperlink>
      <w:r w:rsidRPr="00125908">
        <w:rPr>
          <w:rFonts w:ascii="Times New Roman" w:hAnsi="Times New Roman"/>
          <w:sz w:val="18"/>
          <w:lang w:val="en-US"/>
        </w:rPr>
        <w:t xml:space="preserve"> </w:t>
      </w:r>
    </w:p>
  </w:footnote>
  <w:footnote w:id="89">
    <w:p w14:paraId="08072FA7" w14:textId="73197C5C" w:rsidR="00013882" w:rsidRPr="00FC5CF2" w:rsidRDefault="00013882"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lang w:val="en-US"/>
        </w:rPr>
        <w:t xml:space="preserve"> </w:t>
      </w:r>
      <w:r w:rsidRPr="00125908">
        <w:rPr>
          <w:rFonts w:ascii="Times New Roman" w:hAnsi="Times New Roman"/>
          <w:sz w:val="18"/>
          <w:lang w:val="en-US"/>
        </w:rPr>
        <w:t xml:space="preserve">Khan, J. (2021). European academic brain </w:t>
      </w:r>
      <w:bookmarkStart w:id="25" w:name="_Int_t98ylSvO"/>
      <w:r w:rsidRPr="00125908">
        <w:rPr>
          <w:rFonts w:ascii="Times New Roman" w:hAnsi="Times New Roman"/>
          <w:sz w:val="18"/>
          <w:lang w:val="en-US"/>
        </w:rPr>
        <w:t>drain</w:t>
      </w:r>
      <w:bookmarkEnd w:id="25"/>
      <w:r w:rsidRPr="00125908">
        <w:rPr>
          <w:rFonts w:ascii="Times New Roman" w:hAnsi="Times New Roman"/>
          <w:sz w:val="18"/>
          <w:lang w:val="en-US"/>
        </w:rPr>
        <w:t xml:space="preserve">: A meta-synthesis. </w:t>
      </w:r>
      <w:r>
        <w:rPr>
          <w:rFonts w:ascii="Times New Roman" w:hAnsi="Times New Roman"/>
          <w:sz w:val="18"/>
        </w:rPr>
        <w:t xml:space="preserve">European Journal of Education, 56(2), pag. 265.  </w:t>
      </w:r>
    </w:p>
  </w:footnote>
  <w:footnote w:id="90">
    <w:p w14:paraId="16BBD012" w14:textId="0651899B" w:rsidR="00013882" w:rsidRPr="00FC5CF2" w:rsidRDefault="00013882"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Tecnologie avanzate per l'industria - </w:t>
      </w:r>
      <w:hyperlink r:id="rId59" w:history="1">
        <w:r>
          <w:rPr>
            <w:rStyle w:val="Hyperlink"/>
            <w:rFonts w:ascii="Times New Roman" w:hAnsi="Times New Roman"/>
            <w:i/>
            <w:iCs/>
            <w:sz w:val="18"/>
          </w:rPr>
          <w:t>Relazione finale, Relazioni sulle tendenze delle tecnologie e sulle tecnologie adottate, luglio 2021.</w:t>
        </w:r>
      </w:hyperlink>
      <w:r>
        <w:rPr>
          <w:rFonts w:ascii="Times New Roman" w:hAnsi="Times New Roman"/>
          <w:sz w:val="18"/>
        </w:rPr>
        <w:t xml:space="preserve"> </w:t>
      </w:r>
    </w:p>
  </w:footnote>
  <w:footnote w:id="91">
    <w:p w14:paraId="3E29F112" w14:textId="50F408B5"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HEInnovate: Encouraging entrepreneurship through higher education – OCSE</w:t>
      </w:r>
      <w:r>
        <w:rPr>
          <w:rFonts w:ascii="Times New Roman" w:hAnsi="Times New Roman"/>
          <w:sz w:val="18"/>
          <w:lang w:val="en-US"/>
        </w:rPr>
        <w:t>.</w:t>
      </w:r>
      <w:r w:rsidRPr="00125908">
        <w:rPr>
          <w:rFonts w:ascii="Times New Roman" w:hAnsi="Times New Roman"/>
          <w:sz w:val="18"/>
          <w:lang w:val="en-US"/>
        </w:rPr>
        <w:t xml:space="preserve"> </w:t>
      </w:r>
    </w:p>
  </w:footnote>
  <w:footnote w:id="92">
    <w:p w14:paraId="6A1211A9" w14:textId="56611754" w:rsidR="00013882" w:rsidRPr="00125908" w:rsidRDefault="00013882"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125908">
        <w:rPr>
          <w:rFonts w:ascii="Times New Roman" w:hAnsi="Times New Roman"/>
          <w:sz w:val="18"/>
          <w:lang w:val="en-US"/>
        </w:rPr>
        <w:t xml:space="preserve"> </w:t>
      </w:r>
      <w:hyperlink r:id="rId60" w:history="1">
        <w:r w:rsidRPr="00125908">
          <w:rPr>
            <w:rStyle w:val="Hyperlink"/>
            <w:rFonts w:ascii="Times New Roman" w:hAnsi="Times New Roman"/>
            <w:sz w:val="18"/>
            <w:lang w:val="en-US"/>
          </w:rPr>
          <w:t>https://joint-research-centre.ec.europa.eu/jrc-news/eu-coal-peat-and-oil-shale-regions-updated-analysis-challenges-ahead-2021-03-16_en</w:t>
        </w:r>
      </w:hyperlink>
      <w:r w:rsidRPr="00827F42">
        <w:rPr>
          <w:rStyle w:val="Hyperlink"/>
          <w:rFonts w:ascii="Times New Roman" w:hAnsi="Times New Roman"/>
          <w:sz w:val="18"/>
          <w:lang w:val="en-US"/>
        </w:rPr>
        <w:t>.</w:t>
      </w:r>
      <w:r w:rsidRPr="00125908">
        <w:rPr>
          <w:rFonts w:ascii="Times New Roman" w:hAnsi="Times New Roman"/>
          <w:sz w:val="18"/>
          <w:lang w:val="en-US"/>
        </w:rPr>
        <w:t xml:space="preserve"> </w:t>
      </w:r>
    </w:p>
  </w:footnote>
  <w:footnote w:id="93">
    <w:p w14:paraId="34C798C0" w14:textId="2D1C48D9"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Estonia, Lettonia, Lituania, Francia, Portogallo, Italia, Polonia, Svezia e Irlanda hanno già attuato politiche volte a promuovere l'uso delle stock option anche per le start-up. (fonte: Rewarding Talent - A guide to stock options for European entrepreneurs, Index Venture 2021).</w:t>
      </w:r>
    </w:p>
  </w:footnote>
  <w:footnote w:id="94">
    <w:p w14:paraId="70D17C4B"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Nel 2016 era circa la metà di quella statunitense. Nonostante gli aumenti registrati da allora, rimane relativamente bassa.</w:t>
      </w:r>
    </w:p>
  </w:footnote>
  <w:footnote w:id="95">
    <w:p w14:paraId="2F9A3D9C" w14:textId="72573BDC"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Parte del pacchetto strategico "Competenze e talenti" adottato dalla Commissione nell'aprile 2022.</w:t>
      </w:r>
    </w:p>
  </w:footnote>
  <w:footnote w:id="96">
    <w:p w14:paraId="4B3A66F5" w14:textId="77777777"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Direttiva (UE) 2016/801 del Consiglio.</w:t>
      </w:r>
    </w:p>
  </w:footnote>
  <w:footnote w:id="97">
    <w:p w14:paraId="1A8CA451" w14:textId="39E9580D"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Direttiva (UE) 2021/1883, con termine di recepimento il 18.11.2023, che abroga la direttiva 2009/50/CE del Consiglio.</w:t>
      </w:r>
    </w:p>
  </w:footnote>
  <w:footnote w:id="98">
    <w:p w14:paraId="20886CB4" w14:textId="77777777" w:rsidR="00013882" w:rsidRPr="00FC5CF2" w:rsidRDefault="00013882"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1" w:history="1">
        <w:r>
          <w:rPr>
            <w:rStyle w:val="Hyperlink"/>
            <w:rFonts w:ascii="Times New Roman" w:hAnsi="Times New Roman"/>
            <w:sz w:val="18"/>
          </w:rPr>
          <w:t>https://eic.ec.europa.eu/news/eu-launches-women-techeu-pilot-put-women-forefront-deep-tech-2021-07-13_en</w:t>
        </w:r>
      </w:hyperlink>
      <w:r>
        <w:rPr>
          <w:rFonts w:ascii="Times New Roman" w:hAnsi="Times New Roman"/>
          <w:sz w:val="18"/>
        </w:rPr>
        <w:t xml:space="preserve"> </w:t>
      </w:r>
    </w:p>
  </w:footnote>
  <w:footnote w:id="99">
    <w:p w14:paraId="1DE0B8AB" w14:textId="63495828"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2" w:history="1">
        <w:r>
          <w:rPr>
            <w:rStyle w:val="Hyperlink"/>
            <w:rFonts w:ascii="Times New Roman" w:hAnsi="Times New Roman"/>
            <w:sz w:val="18"/>
          </w:rPr>
          <w:t>La Commissione vara il "Women4Cyber", un registro dei talenti in materia di cibersicurezza |</w:t>
        </w:r>
      </w:hyperlink>
      <w:hyperlink r:id="rId63" w:history="1">
        <w:r>
          <w:rPr>
            <w:rStyle w:val="Hyperlink"/>
            <w:rFonts w:ascii="Times New Roman" w:hAnsi="Times New Roman"/>
            <w:sz w:val="18"/>
          </w:rPr>
          <w:t>Plasmare il futuro digitale dell'Europa (europa.eu).</w:t>
        </w:r>
      </w:hyperlink>
    </w:p>
  </w:footnote>
  <w:footnote w:id="100">
    <w:p w14:paraId="2CBEEE7D" w14:textId="0C75D5D3"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Organizzato in 19 Stati membri dell'UE per rafforzare le competenze delle donne e delle ragazze, anche attraverso le comunità online ESTEAM che consentono l'apprendimento e i contatti online con i loro pari.</w:t>
      </w:r>
    </w:p>
  </w:footnote>
  <w:footnote w:id="101">
    <w:p w14:paraId="33CFF49F" w14:textId="7AD2ABC2" w:rsidR="00013882" w:rsidRPr="00FC5CF2" w:rsidRDefault="00013882"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4" w:history="1">
        <w:r>
          <w:rPr>
            <w:rStyle w:val="Hyperlink"/>
            <w:rFonts w:ascii="Times New Roman" w:hAnsi="Times New Roman"/>
            <w:sz w:val="18"/>
          </w:rPr>
          <w:t>Piano d'azione per l'economia sociale - Occupazione, affari sociali e inclusione - Commissione europea (europa.eu)</w:t>
        </w:r>
      </w:hyperlink>
    </w:p>
  </w:footnote>
  <w:footnote w:id="102">
    <w:p w14:paraId="2D5910E9" w14:textId="437B00B3" w:rsidR="00013882" w:rsidRPr="00E825DF" w:rsidRDefault="00013882" w:rsidP="006C4F9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5" w:history="1">
        <w:r>
          <w:rPr>
            <w:rStyle w:val="Hyperlink"/>
            <w:rFonts w:ascii="Times New Roman" w:hAnsi="Times New Roman"/>
            <w:sz w:val="18"/>
          </w:rPr>
          <w:t>Girls Go Circular |</w:t>
        </w:r>
      </w:hyperlink>
      <w:hyperlink r:id="rId66" w:history="1">
        <w:r>
          <w:rPr>
            <w:rStyle w:val="Hyperlink"/>
            <w:rFonts w:ascii="Times New Roman" w:hAnsi="Times New Roman"/>
            <w:sz w:val="18"/>
          </w:rPr>
          <w:t xml:space="preserve"> Competenze digitali e imprenditoriali per l'economia circolare (eit-girlsgocircular.eu)</w:t>
        </w:r>
      </w:hyperlink>
    </w:p>
  </w:footnote>
  <w:footnote w:id="103">
    <w:p w14:paraId="4BE84EFA" w14:textId="46FF6B29" w:rsidR="00013882" w:rsidRPr="00FC5CF2" w:rsidRDefault="00013882"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Le alleanze per l'innovazione Erasmus+ promuovono la capacità di innovazione dell'Europa attraverso la cooperazione e il flusso di conoscenze tra l'istruzione superiore, l'istruzione professionale e la formazione (sia iniziale che continua) e il più ampio contesto socioeconomico.</w:t>
      </w:r>
    </w:p>
  </w:footnote>
  <w:footnote w:id="104">
    <w:p w14:paraId="57F62C83" w14:textId="3BFE7D95" w:rsidR="00013882" w:rsidRPr="00FC5CF2" w:rsidRDefault="0001388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7" w:history="1">
        <w:r>
          <w:rPr>
            <w:rStyle w:val="Hyperlink"/>
            <w:rFonts w:ascii="Times New Roman" w:hAnsi="Times New Roman"/>
            <w:sz w:val="18"/>
          </w:rPr>
          <w:t>https://europa.eu/next-generation-eu/index_it</w:t>
        </w:r>
      </w:hyperlink>
      <w:r>
        <w:rPr>
          <w:rFonts w:ascii="Times New Roman" w:hAnsi="Times New Roman"/>
          <w:sz w:val="18"/>
        </w:rPr>
        <w:t xml:space="preserve"> </w:t>
      </w:r>
    </w:p>
  </w:footnote>
  <w:footnote w:id="105">
    <w:p w14:paraId="20FBDAE1" w14:textId="77777777" w:rsidR="00013882" w:rsidRPr="00FC5CF2" w:rsidRDefault="00013882"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8" w:history="1">
        <w:r>
          <w:rPr>
            <w:rStyle w:val="Hyperlink"/>
            <w:rFonts w:ascii="Times New Roman" w:hAnsi="Times New Roman"/>
            <w:sz w:val="18"/>
          </w:rPr>
          <w:t>https://ec.europa.eu/research-and-innovation/en/strategy/support-policy-making/shaping-eu-research-and-innovation-policy/building-european-innovation-ecosystem/eic-forum</w:t>
        </w:r>
      </w:hyperlink>
      <w:r>
        <w:rPr>
          <w:rFonts w:ascii="Times New Roman" w:hAnsi="Times New Roman"/>
          <w:sz w:val="18"/>
        </w:rPr>
        <w:t xml:space="preserve"> </w:t>
      </w:r>
    </w:p>
  </w:footnote>
  <w:footnote w:id="106">
    <w:p w14:paraId="7908C0BA" w14:textId="695B7ACF" w:rsidR="00013882" w:rsidRPr="00782585" w:rsidRDefault="00013882" w:rsidP="003B282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Proposta di raccomandazione del Consiglio relativa a un patto per la ricerca e l'innovazione in Europa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33FE" w14:textId="77777777" w:rsidR="001B62E6" w:rsidRPr="001B62E6" w:rsidRDefault="001B62E6" w:rsidP="001B6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702E" w14:textId="77777777" w:rsidR="001B62E6" w:rsidRPr="001B62E6" w:rsidRDefault="001B62E6" w:rsidP="001B62E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43D7" w14:textId="77777777" w:rsidR="001B62E6" w:rsidRPr="001B62E6" w:rsidRDefault="001B62E6" w:rsidP="001B62E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808C" w14:textId="77777777" w:rsidR="00013882" w:rsidRDefault="000138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C332" w14:textId="77777777" w:rsidR="00013882" w:rsidRDefault="000138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111C" w14:textId="77777777" w:rsidR="00013882" w:rsidRDefault="0001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DA2"/>
    <w:multiLevelType w:val="hybridMultilevel"/>
    <w:tmpl w:val="ECF042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370316"/>
    <w:multiLevelType w:val="hybridMultilevel"/>
    <w:tmpl w:val="274636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AE11C6"/>
    <w:multiLevelType w:val="hybridMultilevel"/>
    <w:tmpl w:val="FFFFFFFF"/>
    <w:lvl w:ilvl="0" w:tplc="368E4C76">
      <w:start w:val="1"/>
      <w:numFmt w:val="bullet"/>
      <w:lvlText w:val=""/>
      <w:lvlJc w:val="left"/>
      <w:pPr>
        <w:ind w:left="720" w:hanging="360"/>
      </w:pPr>
      <w:rPr>
        <w:rFonts w:ascii="Symbol" w:hAnsi="Symbol" w:hint="default"/>
      </w:rPr>
    </w:lvl>
    <w:lvl w:ilvl="1" w:tplc="C44C50DA">
      <w:start w:val="1"/>
      <w:numFmt w:val="bullet"/>
      <w:lvlText w:val="o"/>
      <w:lvlJc w:val="left"/>
      <w:pPr>
        <w:ind w:left="1440" w:hanging="360"/>
      </w:pPr>
      <w:rPr>
        <w:rFonts w:ascii="Courier New" w:hAnsi="Courier New" w:hint="default"/>
      </w:rPr>
    </w:lvl>
    <w:lvl w:ilvl="2" w:tplc="23F01766">
      <w:start w:val="1"/>
      <w:numFmt w:val="bullet"/>
      <w:lvlText w:val=""/>
      <w:lvlJc w:val="left"/>
      <w:pPr>
        <w:ind w:left="2160" w:hanging="360"/>
      </w:pPr>
      <w:rPr>
        <w:rFonts w:ascii="Wingdings" w:hAnsi="Wingdings" w:hint="default"/>
      </w:rPr>
    </w:lvl>
    <w:lvl w:ilvl="3" w:tplc="21FE92CE">
      <w:start w:val="1"/>
      <w:numFmt w:val="bullet"/>
      <w:lvlText w:val=""/>
      <w:lvlJc w:val="left"/>
      <w:pPr>
        <w:ind w:left="2880" w:hanging="360"/>
      </w:pPr>
      <w:rPr>
        <w:rFonts w:ascii="Symbol" w:hAnsi="Symbol" w:hint="default"/>
      </w:rPr>
    </w:lvl>
    <w:lvl w:ilvl="4" w:tplc="8C2E53B6">
      <w:start w:val="1"/>
      <w:numFmt w:val="bullet"/>
      <w:lvlText w:val="o"/>
      <w:lvlJc w:val="left"/>
      <w:pPr>
        <w:ind w:left="3600" w:hanging="360"/>
      </w:pPr>
      <w:rPr>
        <w:rFonts w:ascii="Courier New" w:hAnsi="Courier New" w:hint="default"/>
      </w:rPr>
    </w:lvl>
    <w:lvl w:ilvl="5" w:tplc="E102AC30">
      <w:start w:val="1"/>
      <w:numFmt w:val="bullet"/>
      <w:lvlText w:val=""/>
      <w:lvlJc w:val="left"/>
      <w:pPr>
        <w:ind w:left="4320" w:hanging="360"/>
      </w:pPr>
      <w:rPr>
        <w:rFonts w:ascii="Wingdings" w:hAnsi="Wingdings" w:hint="default"/>
      </w:rPr>
    </w:lvl>
    <w:lvl w:ilvl="6" w:tplc="28D6E2F4">
      <w:start w:val="1"/>
      <w:numFmt w:val="bullet"/>
      <w:lvlText w:val=""/>
      <w:lvlJc w:val="left"/>
      <w:pPr>
        <w:ind w:left="5040" w:hanging="360"/>
      </w:pPr>
      <w:rPr>
        <w:rFonts w:ascii="Symbol" w:hAnsi="Symbol" w:hint="default"/>
      </w:rPr>
    </w:lvl>
    <w:lvl w:ilvl="7" w:tplc="6F02FC68">
      <w:start w:val="1"/>
      <w:numFmt w:val="bullet"/>
      <w:lvlText w:val="o"/>
      <w:lvlJc w:val="left"/>
      <w:pPr>
        <w:ind w:left="5760" w:hanging="360"/>
      </w:pPr>
      <w:rPr>
        <w:rFonts w:ascii="Courier New" w:hAnsi="Courier New" w:hint="default"/>
      </w:rPr>
    </w:lvl>
    <w:lvl w:ilvl="8" w:tplc="C1067554">
      <w:start w:val="1"/>
      <w:numFmt w:val="bullet"/>
      <w:lvlText w:val=""/>
      <w:lvlJc w:val="left"/>
      <w:pPr>
        <w:ind w:left="6480" w:hanging="360"/>
      </w:pPr>
      <w:rPr>
        <w:rFonts w:ascii="Wingdings" w:hAnsi="Wingdings" w:hint="default"/>
      </w:rPr>
    </w:lvl>
  </w:abstractNum>
  <w:abstractNum w:abstractNumId="3" w15:restartNumberingAfterBreak="0">
    <w:nsid w:val="683D3007"/>
    <w:multiLevelType w:val="hybridMultilevel"/>
    <w:tmpl w:val="0720B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FED9AE1-1F62-41A6-B6CC-8EBC441E3A65"/>
    <w:docVar w:name="LW_COVERPAGE_TYPE" w:val="1"/>
    <w:docVar w:name="LW_CROSSREFERENCE" w:val="{SWD(2022) 187 final}"/>
    <w:docVar w:name="LW_DocType" w:val="NORMAL"/>
    <w:docVar w:name="LW_EMISSION" w:val="5.7.2022"/>
    <w:docVar w:name="LW_EMISSION_ISODATE" w:val="2022-07-05"/>
    <w:docVar w:name="LW_EMISSION_LOCATION" w:val="STR"/>
    <w:docVar w:name="LW_EMISSION_PREFIX" w:val="Strasburgo,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2)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a nuova agenda europea per l'innovazione"/>
    <w:docVar w:name="LW_TYPE.DOC.CP" w:val="COMUNICAZIONE DELLA COMMISSIONE AL PARLAMENTO EUROPEO, AL CONSIGLIO, AL COMITATO ECONOMICO E SOCIALE EUROPEO E AL COMITATO DELLE REGIONI"/>
    <w:docVar w:name="LW_TYPE.DOC.CP.USERTEXT" w:val="&lt;EMPTY&gt;"/>
    <w:docVar w:name="LwApiVersions" w:val="LW4CoDe 1.23.2.0; LW 8.0, Build 20211117"/>
  </w:docVars>
  <w:rsids>
    <w:rsidRoot w:val="008D2948"/>
    <w:rsid w:val="00003FEE"/>
    <w:rsid w:val="00004376"/>
    <w:rsid w:val="00013882"/>
    <w:rsid w:val="00017854"/>
    <w:rsid w:val="00034241"/>
    <w:rsid w:val="0004146D"/>
    <w:rsid w:val="000458DF"/>
    <w:rsid w:val="00055B25"/>
    <w:rsid w:val="000713C0"/>
    <w:rsid w:val="00075DD4"/>
    <w:rsid w:val="00075EC3"/>
    <w:rsid w:val="00087B18"/>
    <w:rsid w:val="000A458F"/>
    <w:rsid w:val="000A6702"/>
    <w:rsid w:val="000A6D10"/>
    <w:rsid w:val="000C2AAD"/>
    <w:rsid w:val="000F5712"/>
    <w:rsid w:val="00125908"/>
    <w:rsid w:val="00126942"/>
    <w:rsid w:val="00140294"/>
    <w:rsid w:val="0016247B"/>
    <w:rsid w:val="001624A2"/>
    <w:rsid w:val="001663FD"/>
    <w:rsid w:val="0018645A"/>
    <w:rsid w:val="00191121"/>
    <w:rsid w:val="00192E9C"/>
    <w:rsid w:val="0019659D"/>
    <w:rsid w:val="00196B06"/>
    <w:rsid w:val="001A11A5"/>
    <w:rsid w:val="001B4F2F"/>
    <w:rsid w:val="001B62E6"/>
    <w:rsid w:val="00207277"/>
    <w:rsid w:val="00226D4E"/>
    <w:rsid w:val="0023197E"/>
    <w:rsid w:val="002367F1"/>
    <w:rsid w:val="0027179A"/>
    <w:rsid w:val="00281C32"/>
    <w:rsid w:val="002846D9"/>
    <w:rsid w:val="00286B25"/>
    <w:rsid w:val="0029562B"/>
    <w:rsid w:val="002974E3"/>
    <w:rsid w:val="002B2078"/>
    <w:rsid w:val="002B2F3E"/>
    <w:rsid w:val="002C398B"/>
    <w:rsid w:val="002D084D"/>
    <w:rsid w:val="002E31BB"/>
    <w:rsid w:val="002E36AE"/>
    <w:rsid w:val="002E400D"/>
    <w:rsid w:val="002E4BAC"/>
    <w:rsid w:val="002E523C"/>
    <w:rsid w:val="003137D8"/>
    <w:rsid w:val="00333441"/>
    <w:rsid w:val="003451BD"/>
    <w:rsid w:val="003513A5"/>
    <w:rsid w:val="00354537"/>
    <w:rsid w:val="003629F7"/>
    <w:rsid w:val="00364AA2"/>
    <w:rsid w:val="003712C6"/>
    <w:rsid w:val="00376741"/>
    <w:rsid w:val="00384238"/>
    <w:rsid w:val="00385BDD"/>
    <w:rsid w:val="0038634C"/>
    <w:rsid w:val="003915B5"/>
    <w:rsid w:val="00392814"/>
    <w:rsid w:val="00392ADC"/>
    <w:rsid w:val="00393B05"/>
    <w:rsid w:val="00393E80"/>
    <w:rsid w:val="003942FC"/>
    <w:rsid w:val="003A1384"/>
    <w:rsid w:val="003A192F"/>
    <w:rsid w:val="003A6C7E"/>
    <w:rsid w:val="003B1E21"/>
    <w:rsid w:val="003B2823"/>
    <w:rsid w:val="003B7099"/>
    <w:rsid w:val="003B7ED8"/>
    <w:rsid w:val="003C1B27"/>
    <w:rsid w:val="003E1194"/>
    <w:rsid w:val="003E2D46"/>
    <w:rsid w:val="003F2CBB"/>
    <w:rsid w:val="003F3AEE"/>
    <w:rsid w:val="003F65FF"/>
    <w:rsid w:val="0040388C"/>
    <w:rsid w:val="0042676A"/>
    <w:rsid w:val="00427EDD"/>
    <w:rsid w:val="00430B9D"/>
    <w:rsid w:val="00434394"/>
    <w:rsid w:val="00434B7C"/>
    <w:rsid w:val="0044315B"/>
    <w:rsid w:val="00444BC3"/>
    <w:rsid w:val="004706D2"/>
    <w:rsid w:val="004803B8"/>
    <w:rsid w:val="00481CAD"/>
    <w:rsid w:val="004858E3"/>
    <w:rsid w:val="00486E99"/>
    <w:rsid w:val="0049143A"/>
    <w:rsid w:val="004919CD"/>
    <w:rsid w:val="004A7BA7"/>
    <w:rsid w:val="004B5AE1"/>
    <w:rsid w:val="004B627E"/>
    <w:rsid w:val="004B76BB"/>
    <w:rsid w:val="004C2178"/>
    <w:rsid w:val="004C2EDE"/>
    <w:rsid w:val="004C4CB8"/>
    <w:rsid w:val="004E7C92"/>
    <w:rsid w:val="004F0A8E"/>
    <w:rsid w:val="004F1766"/>
    <w:rsid w:val="004F1F7B"/>
    <w:rsid w:val="004F351B"/>
    <w:rsid w:val="004F38FB"/>
    <w:rsid w:val="00516B49"/>
    <w:rsid w:val="00521EEA"/>
    <w:rsid w:val="00527410"/>
    <w:rsid w:val="00537DDC"/>
    <w:rsid w:val="00542DB4"/>
    <w:rsid w:val="005433F9"/>
    <w:rsid w:val="00544314"/>
    <w:rsid w:val="0054518C"/>
    <w:rsid w:val="00557042"/>
    <w:rsid w:val="00577D15"/>
    <w:rsid w:val="00581448"/>
    <w:rsid w:val="0058329E"/>
    <w:rsid w:val="00583835"/>
    <w:rsid w:val="0058548E"/>
    <w:rsid w:val="00586B2F"/>
    <w:rsid w:val="005A352A"/>
    <w:rsid w:val="005A43CB"/>
    <w:rsid w:val="005A4F77"/>
    <w:rsid w:val="005B1A9F"/>
    <w:rsid w:val="005C10DF"/>
    <w:rsid w:val="005C5344"/>
    <w:rsid w:val="005E45FE"/>
    <w:rsid w:val="005F2DB0"/>
    <w:rsid w:val="005F4B84"/>
    <w:rsid w:val="005F7EE8"/>
    <w:rsid w:val="006004C0"/>
    <w:rsid w:val="00603514"/>
    <w:rsid w:val="006049C4"/>
    <w:rsid w:val="00623E5F"/>
    <w:rsid w:val="0062666C"/>
    <w:rsid w:val="00627CF4"/>
    <w:rsid w:val="006306AB"/>
    <w:rsid w:val="0063194D"/>
    <w:rsid w:val="00632D1D"/>
    <w:rsid w:val="00636997"/>
    <w:rsid w:val="006372A8"/>
    <w:rsid w:val="00661FBB"/>
    <w:rsid w:val="00664E1E"/>
    <w:rsid w:val="006651A1"/>
    <w:rsid w:val="006701E5"/>
    <w:rsid w:val="00673ED8"/>
    <w:rsid w:val="00674168"/>
    <w:rsid w:val="006756CD"/>
    <w:rsid w:val="00680C92"/>
    <w:rsid w:val="00681316"/>
    <w:rsid w:val="00681C92"/>
    <w:rsid w:val="0069639C"/>
    <w:rsid w:val="006A04DC"/>
    <w:rsid w:val="006A344C"/>
    <w:rsid w:val="006B70E6"/>
    <w:rsid w:val="006B7AEA"/>
    <w:rsid w:val="006C4F9E"/>
    <w:rsid w:val="006C7F5D"/>
    <w:rsid w:val="006E0E83"/>
    <w:rsid w:val="00713DE6"/>
    <w:rsid w:val="00730645"/>
    <w:rsid w:val="00731B85"/>
    <w:rsid w:val="00740ECE"/>
    <w:rsid w:val="007439A8"/>
    <w:rsid w:val="00753371"/>
    <w:rsid w:val="0076548C"/>
    <w:rsid w:val="00782585"/>
    <w:rsid w:val="00783807"/>
    <w:rsid w:val="00784218"/>
    <w:rsid w:val="00785B04"/>
    <w:rsid w:val="007937C1"/>
    <w:rsid w:val="00796577"/>
    <w:rsid w:val="007A465E"/>
    <w:rsid w:val="007A65FA"/>
    <w:rsid w:val="007A722C"/>
    <w:rsid w:val="007A79C3"/>
    <w:rsid w:val="007B5543"/>
    <w:rsid w:val="007C03C8"/>
    <w:rsid w:val="007C3782"/>
    <w:rsid w:val="007C4B07"/>
    <w:rsid w:val="007C4F6D"/>
    <w:rsid w:val="007E6397"/>
    <w:rsid w:val="007F0F8E"/>
    <w:rsid w:val="008069D2"/>
    <w:rsid w:val="00806E40"/>
    <w:rsid w:val="008074C5"/>
    <w:rsid w:val="0081403E"/>
    <w:rsid w:val="00826BA4"/>
    <w:rsid w:val="00827F42"/>
    <w:rsid w:val="00835429"/>
    <w:rsid w:val="0083604E"/>
    <w:rsid w:val="00841F6A"/>
    <w:rsid w:val="008433FE"/>
    <w:rsid w:val="00843AF9"/>
    <w:rsid w:val="00846633"/>
    <w:rsid w:val="00851C3D"/>
    <w:rsid w:val="00863CF8"/>
    <w:rsid w:val="00877BEA"/>
    <w:rsid w:val="008813AA"/>
    <w:rsid w:val="008849B0"/>
    <w:rsid w:val="0088681F"/>
    <w:rsid w:val="008A566E"/>
    <w:rsid w:val="008B0987"/>
    <w:rsid w:val="008B539D"/>
    <w:rsid w:val="008B5D02"/>
    <w:rsid w:val="008C573E"/>
    <w:rsid w:val="008C75F9"/>
    <w:rsid w:val="008D2948"/>
    <w:rsid w:val="008D7D95"/>
    <w:rsid w:val="008D7DB2"/>
    <w:rsid w:val="008E2743"/>
    <w:rsid w:val="008E369A"/>
    <w:rsid w:val="008F1295"/>
    <w:rsid w:val="00900FB1"/>
    <w:rsid w:val="00903218"/>
    <w:rsid w:val="00906CCD"/>
    <w:rsid w:val="00914FD6"/>
    <w:rsid w:val="0092307D"/>
    <w:rsid w:val="00924A10"/>
    <w:rsid w:val="00924D81"/>
    <w:rsid w:val="00936FEB"/>
    <w:rsid w:val="009376A0"/>
    <w:rsid w:val="00943DD0"/>
    <w:rsid w:val="00945EA9"/>
    <w:rsid w:val="0095477C"/>
    <w:rsid w:val="009719C6"/>
    <w:rsid w:val="0097530C"/>
    <w:rsid w:val="00977796"/>
    <w:rsid w:val="009829ED"/>
    <w:rsid w:val="009837F9"/>
    <w:rsid w:val="00985A07"/>
    <w:rsid w:val="0099338E"/>
    <w:rsid w:val="009A151D"/>
    <w:rsid w:val="009A7D18"/>
    <w:rsid w:val="009B5D73"/>
    <w:rsid w:val="009B5E48"/>
    <w:rsid w:val="009C0D1F"/>
    <w:rsid w:val="009C1A09"/>
    <w:rsid w:val="009C3498"/>
    <w:rsid w:val="009E332A"/>
    <w:rsid w:val="009E52E1"/>
    <w:rsid w:val="009E5C5A"/>
    <w:rsid w:val="00A0556E"/>
    <w:rsid w:val="00A12BD6"/>
    <w:rsid w:val="00A14D82"/>
    <w:rsid w:val="00A23384"/>
    <w:rsid w:val="00A33296"/>
    <w:rsid w:val="00A47235"/>
    <w:rsid w:val="00A53FBE"/>
    <w:rsid w:val="00A56986"/>
    <w:rsid w:val="00A645D2"/>
    <w:rsid w:val="00A679F5"/>
    <w:rsid w:val="00A72590"/>
    <w:rsid w:val="00A73CCE"/>
    <w:rsid w:val="00A767FD"/>
    <w:rsid w:val="00A76B7F"/>
    <w:rsid w:val="00A77E9C"/>
    <w:rsid w:val="00A800D3"/>
    <w:rsid w:val="00A83876"/>
    <w:rsid w:val="00A84AAF"/>
    <w:rsid w:val="00A855E2"/>
    <w:rsid w:val="00A87734"/>
    <w:rsid w:val="00A917D3"/>
    <w:rsid w:val="00A96E69"/>
    <w:rsid w:val="00AA7E80"/>
    <w:rsid w:val="00AB5D20"/>
    <w:rsid w:val="00AC5D1B"/>
    <w:rsid w:val="00AC7A5B"/>
    <w:rsid w:val="00AD0C5A"/>
    <w:rsid w:val="00AD5478"/>
    <w:rsid w:val="00AE1B0C"/>
    <w:rsid w:val="00AE2B0C"/>
    <w:rsid w:val="00AF085A"/>
    <w:rsid w:val="00AF2340"/>
    <w:rsid w:val="00AF744F"/>
    <w:rsid w:val="00B00C0F"/>
    <w:rsid w:val="00B150B1"/>
    <w:rsid w:val="00B16E9E"/>
    <w:rsid w:val="00B31EC0"/>
    <w:rsid w:val="00B32F40"/>
    <w:rsid w:val="00B575E6"/>
    <w:rsid w:val="00B630B0"/>
    <w:rsid w:val="00B64FCA"/>
    <w:rsid w:val="00B81F96"/>
    <w:rsid w:val="00B85755"/>
    <w:rsid w:val="00BA0B20"/>
    <w:rsid w:val="00BA404F"/>
    <w:rsid w:val="00BB2A82"/>
    <w:rsid w:val="00BB466B"/>
    <w:rsid w:val="00BB7D98"/>
    <w:rsid w:val="00BC036C"/>
    <w:rsid w:val="00BC040F"/>
    <w:rsid w:val="00BC513A"/>
    <w:rsid w:val="00BC54A5"/>
    <w:rsid w:val="00BC5B9D"/>
    <w:rsid w:val="00BF114F"/>
    <w:rsid w:val="00BF6691"/>
    <w:rsid w:val="00C05228"/>
    <w:rsid w:val="00C26DD4"/>
    <w:rsid w:val="00C2723D"/>
    <w:rsid w:val="00C46F5D"/>
    <w:rsid w:val="00C60649"/>
    <w:rsid w:val="00C67959"/>
    <w:rsid w:val="00C7581B"/>
    <w:rsid w:val="00C870A1"/>
    <w:rsid w:val="00C939B1"/>
    <w:rsid w:val="00CB3D9E"/>
    <w:rsid w:val="00CC78FC"/>
    <w:rsid w:val="00CD237E"/>
    <w:rsid w:val="00CE0008"/>
    <w:rsid w:val="00CE2755"/>
    <w:rsid w:val="00CF6883"/>
    <w:rsid w:val="00D043D6"/>
    <w:rsid w:val="00D04FEF"/>
    <w:rsid w:val="00D07F71"/>
    <w:rsid w:val="00D11ABB"/>
    <w:rsid w:val="00D12431"/>
    <w:rsid w:val="00D241EE"/>
    <w:rsid w:val="00D2455F"/>
    <w:rsid w:val="00D36C73"/>
    <w:rsid w:val="00D50ECF"/>
    <w:rsid w:val="00D5177B"/>
    <w:rsid w:val="00D52794"/>
    <w:rsid w:val="00D57793"/>
    <w:rsid w:val="00D63CA2"/>
    <w:rsid w:val="00D64624"/>
    <w:rsid w:val="00D750F8"/>
    <w:rsid w:val="00D76F36"/>
    <w:rsid w:val="00D8474C"/>
    <w:rsid w:val="00D8758F"/>
    <w:rsid w:val="00DA1C51"/>
    <w:rsid w:val="00DA5889"/>
    <w:rsid w:val="00DB41F6"/>
    <w:rsid w:val="00DB4D9E"/>
    <w:rsid w:val="00DB7404"/>
    <w:rsid w:val="00DC4788"/>
    <w:rsid w:val="00DC7569"/>
    <w:rsid w:val="00DD15F6"/>
    <w:rsid w:val="00DD590C"/>
    <w:rsid w:val="00DD5D85"/>
    <w:rsid w:val="00DD6C7A"/>
    <w:rsid w:val="00DD6F41"/>
    <w:rsid w:val="00DE2261"/>
    <w:rsid w:val="00DF28C9"/>
    <w:rsid w:val="00DF50DB"/>
    <w:rsid w:val="00DF54A7"/>
    <w:rsid w:val="00DF6432"/>
    <w:rsid w:val="00E13008"/>
    <w:rsid w:val="00E22B97"/>
    <w:rsid w:val="00E35371"/>
    <w:rsid w:val="00E37BC5"/>
    <w:rsid w:val="00E459DA"/>
    <w:rsid w:val="00E60D3D"/>
    <w:rsid w:val="00E70D57"/>
    <w:rsid w:val="00E71739"/>
    <w:rsid w:val="00E81DA1"/>
    <w:rsid w:val="00E825DF"/>
    <w:rsid w:val="00E83416"/>
    <w:rsid w:val="00E847BB"/>
    <w:rsid w:val="00EA7A0E"/>
    <w:rsid w:val="00EB5C39"/>
    <w:rsid w:val="00EC1502"/>
    <w:rsid w:val="00EC3D91"/>
    <w:rsid w:val="00EC4212"/>
    <w:rsid w:val="00EC7245"/>
    <w:rsid w:val="00ED0492"/>
    <w:rsid w:val="00ED7F55"/>
    <w:rsid w:val="00EE03B6"/>
    <w:rsid w:val="00EE3C11"/>
    <w:rsid w:val="00EE5CAA"/>
    <w:rsid w:val="00EE786E"/>
    <w:rsid w:val="00EF0195"/>
    <w:rsid w:val="00EF1B7F"/>
    <w:rsid w:val="00F012C1"/>
    <w:rsid w:val="00F12E6C"/>
    <w:rsid w:val="00F16AAE"/>
    <w:rsid w:val="00F20189"/>
    <w:rsid w:val="00F271B0"/>
    <w:rsid w:val="00F35809"/>
    <w:rsid w:val="00F437C2"/>
    <w:rsid w:val="00F57731"/>
    <w:rsid w:val="00F63B83"/>
    <w:rsid w:val="00F64DBC"/>
    <w:rsid w:val="00F65CFD"/>
    <w:rsid w:val="00F7367A"/>
    <w:rsid w:val="00F82F67"/>
    <w:rsid w:val="00F8301F"/>
    <w:rsid w:val="00F97732"/>
    <w:rsid w:val="00FA07BA"/>
    <w:rsid w:val="00FA4B47"/>
    <w:rsid w:val="00FA5D93"/>
    <w:rsid w:val="00FB2C56"/>
    <w:rsid w:val="00FB3905"/>
    <w:rsid w:val="00FC4635"/>
    <w:rsid w:val="00FC5CF2"/>
    <w:rsid w:val="00FD05FA"/>
    <w:rsid w:val="00FD26A4"/>
    <w:rsid w:val="00FD524A"/>
    <w:rsid w:val="00FD5A16"/>
    <w:rsid w:val="00FD697E"/>
    <w:rsid w:val="00FE55FA"/>
    <w:rsid w:val="00FE7F5A"/>
    <w:rsid w:val="00FF1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CC5C9"/>
  <w15:chartTrackingRefBased/>
  <w15:docId w15:val="{203F043E-B04D-4192-8E4D-A25E8F04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D2948"/>
    <w:rPr>
      <w:color w:val="0000FF"/>
      <w:shd w:val="clear" w:color="auto" w:fill="auto"/>
    </w:rPr>
  </w:style>
  <w:style w:type="paragraph" w:styleId="Header">
    <w:name w:val="header"/>
    <w:basedOn w:val="Normal"/>
    <w:link w:val="HeaderChar"/>
    <w:uiPriority w:val="99"/>
    <w:unhideWhenUsed/>
    <w:rsid w:val="00AE2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48"/>
  </w:style>
  <w:style w:type="paragraph" w:styleId="Footer">
    <w:name w:val="footer"/>
    <w:basedOn w:val="Normal"/>
    <w:link w:val="FooterChar"/>
    <w:uiPriority w:val="99"/>
    <w:unhideWhenUsed/>
    <w:rsid w:val="00AE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48"/>
  </w:style>
  <w:style w:type="paragraph" w:customStyle="1" w:styleId="Pagedecouverture">
    <w:name w:val="Page de couverture"/>
    <w:basedOn w:val="Normal"/>
    <w:next w:val="Normal"/>
    <w:rsid w:val="008D294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D29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D2948"/>
    <w:rPr>
      <w:rFonts w:ascii="Times New Roman" w:hAnsi="Times New Roman" w:cs="Times New Roman"/>
      <w:sz w:val="24"/>
    </w:rPr>
  </w:style>
  <w:style w:type="paragraph" w:customStyle="1" w:styleId="FooterSensitivity">
    <w:name w:val="Footer Sensitivity"/>
    <w:basedOn w:val="Normal"/>
    <w:link w:val="FooterSensitivityChar"/>
    <w:rsid w:val="008D29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D2948"/>
    <w:rPr>
      <w:rFonts w:ascii="Times New Roman" w:hAnsi="Times New Roman" w:cs="Times New Roman"/>
      <w:b/>
      <w:sz w:val="32"/>
    </w:rPr>
  </w:style>
  <w:style w:type="paragraph" w:customStyle="1" w:styleId="HeaderCoverPage">
    <w:name w:val="Header Cover Page"/>
    <w:basedOn w:val="Normal"/>
    <w:link w:val="HeaderCoverPageChar"/>
    <w:rsid w:val="008D294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D2948"/>
    <w:rPr>
      <w:rFonts w:ascii="Times New Roman" w:hAnsi="Times New Roman" w:cs="Times New Roman"/>
      <w:sz w:val="24"/>
    </w:rPr>
  </w:style>
  <w:style w:type="paragraph" w:customStyle="1" w:styleId="HeaderSensitivity">
    <w:name w:val="Header Sensitivity"/>
    <w:basedOn w:val="Normal"/>
    <w:link w:val="HeaderSensitivityChar"/>
    <w:rsid w:val="008D29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D2948"/>
    <w:rPr>
      <w:rFonts w:ascii="Times New Roman" w:hAnsi="Times New Roman" w:cs="Times New Roman"/>
      <w:b/>
      <w:sz w:val="32"/>
    </w:rPr>
  </w:style>
  <w:style w:type="paragraph" w:customStyle="1" w:styleId="HeaderSensitivityRight">
    <w:name w:val="Header Sensitivity Right"/>
    <w:basedOn w:val="Normal"/>
    <w:link w:val="HeaderSensitivityRightChar"/>
    <w:rsid w:val="008D294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D2948"/>
    <w:rPr>
      <w:rFonts w:ascii="Times New Roman" w:hAnsi="Times New Roman" w:cs="Times New Roman"/>
      <w:sz w:val="28"/>
    </w:rPr>
  </w:style>
  <w:style w:type="paragraph" w:styleId="FootnoteText">
    <w:name w:val="footnote text"/>
    <w:basedOn w:val="Normal"/>
    <w:link w:val="FootnoteTextChar"/>
    <w:uiPriority w:val="99"/>
    <w:unhideWhenUsed/>
    <w:qFormat/>
    <w:rsid w:val="00AE2B0C"/>
    <w:pPr>
      <w:spacing w:after="0"/>
    </w:pPr>
    <w:rPr>
      <w:sz w:val="20"/>
      <w:szCs w:val="20"/>
    </w:rPr>
  </w:style>
  <w:style w:type="character" w:customStyle="1" w:styleId="FootnoteTextChar">
    <w:name w:val="Footnote Text Char"/>
    <w:basedOn w:val="DefaultParagraphFont"/>
    <w:link w:val="FootnoteText"/>
    <w:uiPriority w:val="99"/>
    <w:rsid w:val="008D2948"/>
    <w:rPr>
      <w:sz w:val="20"/>
      <w:szCs w:val="20"/>
      <w:lang w:val="it-I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BVI fnr,R"/>
    <w:basedOn w:val="DefaultParagraphFont"/>
    <w:link w:val="1"/>
    <w:uiPriority w:val="99"/>
    <w:unhideWhenUsed/>
    <w:qFormat/>
    <w:rsid w:val="008D2948"/>
    <w:rPr>
      <w:vertAlign w:val="superscript"/>
      <w:lang w:val="it-IT"/>
    </w:rPr>
  </w:style>
  <w:style w:type="character" w:styleId="CommentReference">
    <w:name w:val="annotation reference"/>
    <w:basedOn w:val="DefaultParagraphFont"/>
    <w:uiPriority w:val="99"/>
    <w:semiHidden/>
    <w:unhideWhenUsed/>
    <w:rsid w:val="008D2948"/>
    <w:rPr>
      <w:sz w:val="16"/>
      <w:szCs w:val="16"/>
    </w:rPr>
  </w:style>
  <w:style w:type="paragraph" w:styleId="CommentText">
    <w:name w:val="annotation text"/>
    <w:basedOn w:val="Normal"/>
    <w:link w:val="CommentTextChar"/>
    <w:uiPriority w:val="99"/>
    <w:unhideWhenUsed/>
    <w:rsid w:val="00AE2B0C"/>
    <w:rPr>
      <w:sz w:val="20"/>
      <w:szCs w:val="20"/>
    </w:rPr>
  </w:style>
  <w:style w:type="character" w:customStyle="1" w:styleId="CommentTextChar">
    <w:name w:val="Comment Text Char"/>
    <w:basedOn w:val="DefaultParagraphFont"/>
    <w:link w:val="CommentText"/>
    <w:uiPriority w:val="99"/>
    <w:rsid w:val="008D2948"/>
    <w:rPr>
      <w:sz w:val="20"/>
      <w:szCs w:val="20"/>
      <w:lang w:val="it-IT"/>
    </w:rPr>
  </w:style>
  <w:style w:type="character" w:styleId="Hyperlink">
    <w:name w:val="Hyperlink"/>
    <w:basedOn w:val="DefaultParagraphFont"/>
    <w:uiPriority w:val="99"/>
    <w:unhideWhenUsed/>
    <w:rsid w:val="008D2948"/>
    <w:rPr>
      <w:color w:val="0563C1" w:themeColor="hyperlink"/>
      <w:u w:val="single"/>
    </w:rPr>
  </w:style>
  <w:style w:type="paragraph" w:customStyle="1" w:styleId="1">
    <w:name w:val="1"/>
    <w:basedOn w:val="Normal"/>
    <w:link w:val="FootnoteReference"/>
    <w:uiPriority w:val="99"/>
    <w:rsid w:val="008D2948"/>
    <w:pPr>
      <w:spacing w:after="200" w:line="240" w:lineRule="exact"/>
      <w:jc w:val="both"/>
    </w:pPr>
    <w:rPr>
      <w:vertAlign w:val="superscript"/>
    </w:rPr>
  </w:style>
  <w:style w:type="character" w:customStyle="1" w:styleId="normaltextrun">
    <w:name w:val="normaltextrun"/>
    <w:basedOn w:val="DefaultParagraphFont"/>
    <w:rsid w:val="008D2948"/>
  </w:style>
  <w:style w:type="paragraph" w:styleId="BalloonText">
    <w:name w:val="Balloon Text"/>
    <w:basedOn w:val="Normal"/>
    <w:link w:val="BalloonTextChar"/>
    <w:uiPriority w:val="99"/>
    <w:semiHidden/>
    <w:unhideWhenUsed/>
    <w:rsid w:val="008D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B0C"/>
    <w:pPr>
      <w:spacing w:line="240" w:lineRule="auto"/>
    </w:pPr>
    <w:rPr>
      <w:b/>
      <w:bCs/>
    </w:rPr>
  </w:style>
  <w:style w:type="character" w:customStyle="1" w:styleId="CommentSubjectChar">
    <w:name w:val="Comment Subject Char"/>
    <w:basedOn w:val="CommentTextChar"/>
    <w:link w:val="CommentSubject"/>
    <w:uiPriority w:val="99"/>
    <w:semiHidden/>
    <w:rsid w:val="00F271B0"/>
    <w:rPr>
      <w:b/>
      <w:bCs/>
      <w:sz w:val="20"/>
      <w:szCs w:val="20"/>
      <w:lang w:val="it-IT"/>
    </w:rPr>
  </w:style>
  <w:style w:type="paragraph" w:styleId="ListParagraph">
    <w:name w:val="List Paragraph"/>
    <w:basedOn w:val="Normal"/>
    <w:link w:val="ListParagraphChar"/>
    <w:uiPriority w:val="34"/>
    <w:qFormat/>
    <w:rsid w:val="00AE2B0C"/>
    <w:pPr>
      <w:ind w:left="720"/>
      <w:contextualSpacing/>
    </w:pPr>
  </w:style>
  <w:style w:type="character" w:customStyle="1" w:styleId="ListParagraphChar">
    <w:name w:val="List Paragraph Char"/>
    <w:basedOn w:val="DefaultParagraphFont"/>
    <w:link w:val="ListParagraph"/>
    <w:uiPriority w:val="34"/>
    <w:rsid w:val="00AE2B0C"/>
    <w:rPr>
      <w:lang w:val="it-IT"/>
    </w:rPr>
  </w:style>
  <w:style w:type="paragraph" w:styleId="Revision">
    <w:name w:val="Revision"/>
    <w:hidden/>
    <w:uiPriority w:val="99"/>
    <w:semiHidden/>
    <w:rsid w:val="00AE2B0C"/>
    <w:pPr>
      <w:spacing w:after="0" w:line="240" w:lineRule="auto"/>
    </w:pPr>
  </w:style>
  <w:style w:type="paragraph" w:customStyle="1" w:styleId="paragraph">
    <w:name w:val="paragraph"/>
    <w:basedOn w:val="Normal"/>
    <w:rsid w:val="00AD0C5A"/>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AD0C5A"/>
  </w:style>
  <w:style w:type="character" w:styleId="FollowedHyperlink">
    <w:name w:val="FollowedHyperlink"/>
    <w:basedOn w:val="DefaultParagraphFont"/>
    <w:uiPriority w:val="99"/>
    <w:semiHidden/>
    <w:unhideWhenUsed/>
    <w:rsid w:val="00EE03B6"/>
    <w:rPr>
      <w:color w:val="954F72" w:themeColor="followedHyperlink"/>
      <w:u w:val="single"/>
    </w:rPr>
  </w:style>
  <w:style w:type="table" w:styleId="TableGrid">
    <w:name w:val="Table Grid"/>
    <w:basedOn w:val="TableNormal"/>
    <w:rsid w:val="00FC5C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2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2245">
      <w:bodyDiv w:val="1"/>
      <w:marLeft w:val="0"/>
      <w:marRight w:val="0"/>
      <w:marTop w:val="0"/>
      <w:marBottom w:val="0"/>
      <w:divBdr>
        <w:top w:val="none" w:sz="0" w:space="0" w:color="auto"/>
        <w:left w:val="none" w:sz="0" w:space="0" w:color="auto"/>
        <w:bottom w:val="none" w:sz="0" w:space="0" w:color="auto"/>
        <w:right w:val="none" w:sz="0" w:space="0" w:color="auto"/>
      </w:divBdr>
    </w:div>
    <w:div w:id="248393111">
      <w:bodyDiv w:val="1"/>
      <w:marLeft w:val="0"/>
      <w:marRight w:val="0"/>
      <w:marTop w:val="0"/>
      <w:marBottom w:val="0"/>
      <w:divBdr>
        <w:top w:val="none" w:sz="0" w:space="0" w:color="auto"/>
        <w:left w:val="none" w:sz="0" w:space="0" w:color="auto"/>
        <w:bottom w:val="none" w:sz="0" w:space="0" w:color="auto"/>
        <w:right w:val="none" w:sz="0" w:space="0" w:color="auto"/>
      </w:divBdr>
    </w:div>
    <w:div w:id="478306462">
      <w:bodyDiv w:val="1"/>
      <w:marLeft w:val="0"/>
      <w:marRight w:val="0"/>
      <w:marTop w:val="0"/>
      <w:marBottom w:val="0"/>
      <w:divBdr>
        <w:top w:val="none" w:sz="0" w:space="0" w:color="auto"/>
        <w:left w:val="none" w:sz="0" w:space="0" w:color="auto"/>
        <w:bottom w:val="none" w:sz="0" w:space="0" w:color="auto"/>
        <w:right w:val="none" w:sz="0" w:space="0" w:color="auto"/>
      </w:divBdr>
    </w:div>
    <w:div w:id="656807021">
      <w:bodyDiv w:val="1"/>
      <w:marLeft w:val="0"/>
      <w:marRight w:val="0"/>
      <w:marTop w:val="0"/>
      <w:marBottom w:val="0"/>
      <w:divBdr>
        <w:top w:val="none" w:sz="0" w:space="0" w:color="auto"/>
        <w:left w:val="none" w:sz="0" w:space="0" w:color="auto"/>
        <w:bottom w:val="none" w:sz="0" w:space="0" w:color="auto"/>
        <w:right w:val="none" w:sz="0" w:space="0" w:color="auto"/>
      </w:divBdr>
    </w:div>
    <w:div w:id="808088221">
      <w:bodyDiv w:val="1"/>
      <w:marLeft w:val="0"/>
      <w:marRight w:val="0"/>
      <w:marTop w:val="0"/>
      <w:marBottom w:val="0"/>
      <w:divBdr>
        <w:top w:val="none" w:sz="0" w:space="0" w:color="auto"/>
        <w:left w:val="none" w:sz="0" w:space="0" w:color="auto"/>
        <w:bottom w:val="none" w:sz="0" w:space="0" w:color="auto"/>
        <w:right w:val="none" w:sz="0" w:space="0" w:color="auto"/>
      </w:divBdr>
    </w:div>
    <w:div w:id="954335631">
      <w:bodyDiv w:val="1"/>
      <w:marLeft w:val="0"/>
      <w:marRight w:val="0"/>
      <w:marTop w:val="0"/>
      <w:marBottom w:val="0"/>
      <w:divBdr>
        <w:top w:val="none" w:sz="0" w:space="0" w:color="auto"/>
        <w:left w:val="none" w:sz="0" w:space="0" w:color="auto"/>
        <w:bottom w:val="none" w:sz="0" w:space="0" w:color="auto"/>
        <w:right w:val="none" w:sz="0" w:space="0" w:color="auto"/>
      </w:divBdr>
    </w:div>
    <w:div w:id="1063798729">
      <w:bodyDiv w:val="1"/>
      <w:marLeft w:val="0"/>
      <w:marRight w:val="0"/>
      <w:marTop w:val="0"/>
      <w:marBottom w:val="0"/>
      <w:divBdr>
        <w:top w:val="none" w:sz="0" w:space="0" w:color="auto"/>
        <w:left w:val="none" w:sz="0" w:space="0" w:color="auto"/>
        <w:bottom w:val="none" w:sz="0" w:space="0" w:color="auto"/>
        <w:right w:val="none" w:sz="0" w:space="0" w:color="auto"/>
      </w:divBdr>
    </w:div>
    <w:div w:id="1159886703">
      <w:bodyDiv w:val="1"/>
      <w:marLeft w:val="0"/>
      <w:marRight w:val="0"/>
      <w:marTop w:val="0"/>
      <w:marBottom w:val="0"/>
      <w:divBdr>
        <w:top w:val="none" w:sz="0" w:space="0" w:color="auto"/>
        <w:left w:val="none" w:sz="0" w:space="0" w:color="auto"/>
        <w:bottom w:val="none" w:sz="0" w:space="0" w:color="auto"/>
        <w:right w:val="none" w:sz="0" w:space="0" w:color="auto"/>
      </w:divBdr>
    </w:div>
    <w:div w:id="1193877859">
      <w:bodyDiv w:val="1"/>
      <w:marLeft w:val="0"/>
      <w:marRight w:val="0"/>
      <w:marTop w:val="0"/>
      <w:marBottom w:val="0"/>
      <w:divBdr>
        <w:top w:val="none" w:sz="0" w:space="0" w:color="auto"/>
        <w:left w:val="none" w:sz="0" w:space="0" w:color="auto"/>
        <w:bottom w:val="none" w:sz="0" w:space="0" w:color="auto"/>
        <w:right w:val="none" w:sz="0" w:space="0" w:color="auto"/>
      </w:divBdr>
    </w:div>
    <w:div w:id="1200818920">
      <w:bodyDiv w:val="1"/>
      <w:marLeft w:val="0"/>
      <w:marRight w:val="0"/>
      <w:marTop w:val="0"/>
      <w:marBottom w:val="0"/>
      <w:divBdr>
        <w:top w:val="none" w:sz="0" w:space="0" w:color="auto"/>
        <w:left w:val="none" w:sz="0" w:space="0" w:color="auto"/>
        <w:bottom w:val="none" w:sz="0" w:space="0" w:color="auto"/>
        <w:right w:val="none" w:sz="0" w:space="0" w:color="auto"/>
      </w:divBdr>
    </w:div>
    <w:div w:id="1565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investeu.europa.eu/index_en" TargetMode="External"/><Relationship Id="rId18" Type="http://schemas.openxmlformats.org/officeDocument/2006/relationships/hyperlink" Target="https://www.eif.org/what_we_do/equity/escalar/index.htm" TargetMode="External"/><Relationship Id="rId26" Type="http://schemas.openxmlformats.org/officeDocument/2006/relationships/hyperlink" Target="https://ec.europa.eu/environment/industry/stationary/ied/evaluation.htm" TargetMode="External"/><Relationship Id="rId39" Type="http://schemas.openxmlformats.org/officeDocument/2006/relationships/hyperlink" Target="https://joinup.ec.europa.eu/collection/cmisa" TargetMode="External"/><Relationship Id="rId21" Type="http://schemas.openxmlformats.org/officeDocument/2006/relationships/hyperlink" Target="https://ec.europa.eu/info/law/law-making-process/planning-and-proposing-law/better-regulation-why-and-how/better-regulation-guidelines-and-toolbox_it" TargetMode="External"/><Relationship Id="rId34" Type="http://schemas.openxmlformats.org/officeDocument/2006/relationships/hyperlink" Target="https://ec.europa.eu/info/funding-tenders/find-funding/eu-funding-programmes/single-market-programme/overview_en" TargetMode="External"/><Relationship Id="rId42" Type="http://schemas.openxmlformats.org/officeDocument/2006/relationships/hyperlink" Target="https://ec.europa.eu/commission/presscorner/detail/it/IP_21_6245" TargetMode="External"/><Relationship Id="rId47" Type="http://schemas.openxmlformats.org/officeDocument/2006/relationships/hyperlink" Target="https://ec.europa.eu/clima/eu-action/funding-climate-action/innovation-fund_en" TargetMode="External"/><Relationship Id="rId50" Type="http://schemas.openxmlformats.org/officeDocument/2006/relationships/hyperlink" Target="https://ec.europa.eu/commission/commissioners/2019-2024/breton/blog/ipcei-microelectronics-major-step-more-resilient-eu-chips-supply-chain_en" TargetMode="External"/><Relationship Id="rId55" Type="http://schemas.openxmlformats.org/officeDocument/2006/relationships/hyperlink" Target="https://ec.europa.eu/social/main.jsp?catId=1223&amp;langId=it" TargetMode="External"/><Relationship Id="rId63" Type="http://schemas.openxmlformats.org/officeDocument/2006/relationships/hyperlink" Target="https://digital-strategy.ec.europa.eu/en/news/commission-launches-women4cyber-registry-talents-field-cybersecurity" TargetMode="External"/><Relationship Id="rId68" Type="http://schemas.openxmlformats.org/officeDocument/2006/relationships/hyperlink" Target="https://ec.europa.eu/research-and-innovation/en/strategy/support-policy-making/shaping-eu-research-and-innovation-policy/building-european-innovation-ecosystem/eic-forum" TargetMode="External"/><Relationship Id="rId7" Type="http://schemas.openxmlformats.org/officeDocument/2006/relationships/hyperlink" Target="https://education.ec.europa.eu/it/focus-topics/digital-education/digital-education-action-plan" TargetMode="External"/><Relationship Id="rId2" Type="http://schemas.openxmlformats.org/officeDocument/2006/relationships/hyperlink" Target="https://digital-strategy.ec.europa.eu/en/policies/european-chips-act" TargetMode="External"/><Relationship Id="rId16" Type="http://schemas.openxmlformats.org/officeDocument/2006/relationships/hyperlink" Target="https://hbr.org/2018/07/the-other-diversity-dividend/" TargetMode="External"/><Relationship Id="rId29" Type="http://schemas.openxmlformats.org/officeDocument/2006/relationships/hyperlink" Target="https://eur-lex.europa.eu/legal-content/IT/AUTO/?uri=CELEX:52020DC0789" TargetMode="External"/><Relationship Id="rId1" Type="http://schemas.openxmlformats.org/officeDocument/2006/relationships/hyperlink" Target="https://ec.europa.eu/info/strategy/priorities-2019-2024/europe-fit-digital-age/european-industrial-strategy_it" TargetMode="External"/><Relationship Id="rId6" Type="http://schemas.openxmlformats.org/officeDocument/2006/relationships/hyperlink" Target="https://education.ec.europa.eu/" TargetMode="External"/><Relationship Id="rId11" Type="http://schemas.openxmlformats.org/officeDocument/2006/relationships/hyperlink" Target="https://eic.ec.europa.eu/system/files/2021-03/ec_rtd_eic-vision-roadmap-impact.pdf" TargetMode="External"/><Relationship Id="rId24" Type="http://schemas.openxmlformats.org/officeDocument/2006/relationships/hyperlink" Target="https://ec.europa.eu/isa2/eif_en/" TargetMode="External"/><Relationship Id="rId32" Type="http://schemas.openxmlformats.org/officeDocument/2006/relationships/hyperlink" Target="https://ec.europa.eu/info/strategy/priorities-2019-2024/europe-fit-digital-age/europes-digital-decade-digital-targets-2030_it" TargetMode="External"/><Relationship Id="rId37" Type="http://schemas.openxmlformats.org/officeDocument/2006/relationships/hyperlink" Target="https://clustercollaboration.eu/" TargetMode="External"/><Relationship Id="rId40" Type="http://schemas.openxmlformats.org/officeDocument/2006/relationships/hyperlink" Target="https://ec.europa.eu/info/research-and-innovation/research-area/industrial-research-and-innovation/era-common-industrial-technologies-roadmaps_en" TargetMode="External"/><Relationship Id="rId45" Type="http://schemas.openxmlformats.org/officeDocument/2006/relationships/hyperlink" Target="https://s3platform.jrc.ec.europa.eu/en/w/the-european-startup-village-forum-call-for-pledges" TargetMode="External"/><Relationship Id="rId53" Type="http://schemas.openxmlformats.org/officeDocument/2006/relationships/hyperlink" Target="http://www.ehea.info/" TargetMode="External"/><Relationship Id="rId58" Type="http://schemas.openxmlformats.org/officeDocument/2006/relationships/hyperlink" Target="https://startupnationsstandard.eu/" TargetMode="External"/><Relationship Id="rId66" Type="http://schemas.openxmlformats.org/officeDocument/2006/relationships/hyperlink" Target="https://eit-girlsgocircular.eu/" TargetMode="External"/><Relationship Id="rId5" Type="http://schemas.openxmlformats.org/officeDocument/2006/relationships/hyperlink" Target="https://eur-lex.europa.eu/legal-content/IT/TXT/PDF/?uri=CELEX:52020DC0628&amp;from=IT" TargetMode="External"/><Relationship Id="rId15" Type="http://schemas.openxmlformats.org/officeDocument/2006/relationships/hyperlink" Target="https://mindthebridge.com/tech-scaleup-ipos-2019-report/" TargetMode="External"/><Relationship Id="rId23" Type="http://schemas.openxmlformats.org/officeDocument/2006/relationships/hyperlink" Target="https://eur-lex.europa.eu/resource.html?uri=cellar:e0649735-a372-11eb-9585-01aa75ed71a1.0001.02/DOC_1&amp;format=PDF" TargetMode="External"/><Relationship Id="rId28" Type="http://schemas.openxmlformats.org/officeDocument/2006/relationships/hyperlink" Target="https://ec.europa.eu/info/research-and-innovation/funding/funding-opportunities/funding-programmes-and-open-calls/horizon-europe/european-innovation-ecosystems_en" TargetMode="External"/><Relationship Id="rId36" Type="http://schemas.openxmlformats.org/officeDocument/2006/relationships/hyperlink" Target="https://ec.europa.eu/growth/industry/strategy/interregional-partnerships_en" TargetMode="External"/><Relationship Id="rId49" Type="http://schemas.openxmlformats.org/officeDocument/2006/relationships/hyperlink" Target="https://ec.europa.eu/commission/commissioners/2019-2024/breton/blog/ipcei-microelectronics-major-step-more-resilient-eu-chips-supply-chain_en" TargetMode="External"/><Relationship Id="rId57" Type="http://schemas.openxmlformats.org/officeDocument/2006/relationships/hyperlink" Target="https://ec.europa.eu/info/strategy/priorities-2019-2024/promoting-our-european-way-life/new-pact-migration-and-asylum/skills-and-talent_it" TargetMode="External"/><Relationship Id="rId61" Type="http://schemas.openxmlformats.org/officeDocument/2006/relationships/hyperlink" Target="https://eic.ec.europa.eu/news/eu-launches-women-techeu-pilot-put-women-forefront-deep-tech-2021-07-13_en" TargetMode="External"/><Relationship Id="rId10" Type="http://schemas.openxmlformats.org/officeDocument/2006/relationships/hyperlink" Target="https://ec.europa.eu/info/strategy/priorities-2019-2024/new-push-european-democracy/conference-future-europe_it" TargetMode="External"/><Relationship Id="rId19" Type="http://schemas.openxmlformats.org/officeDocument/2006/relationships/hyperlink" Target="https://www.eif.org/what_we_do/equity/news/2022/eib-supports-the-pan-european-scale-up-initiative-to-promote-tech-champions.htm" TargetMode="External"/><Relationship Id="rId31" Type="http://schemas.openxmlformats.org/officeDocument/2006/relationships/hyperlink" Target="https://ec.europa.eu/info/strategy/priorities-2019-2024/european-green-deal_it" TargetMode="External"/><Relationship Id="rId44" Type="http://schemas.openxmlformats.org/officeDocument/2006/relationships/hyperlink" Target="https://s3platform.jrc.ec.europa.eu/pri" TargetMode="External"/><Relationship Id="rId52" Type="http://schemas.openxmlformats.org/officeDocument/2006/relationships/hyperlink" Target="https://eic.ec.europa.eu/eic-work-programme-2022_en" TargetMode="External"/><Relationship Id="rId60" Type="http://schemas.openxmlformats.org/officeDocument/2006/relationships/hyperlink" Target="https://joint-research-centre.ec.europa.eu/jrc-news/eu-coal-peat-and-oil-shale-regions-updated-analysis-challenges-ahead-2021-03-16_en" TargetMode="External"/><Relationship Id="rId65" Type="http://schemas.openxmlformats.org/officeDocument/2006/relationships/hyperlink" Target="https://eit-girlsgocircular.eu/" TargetMode="External"/><Relationship Id="rId4" Type="http://schemas.openxmlformats.org/officeDocument/2006/relationships/hyperlink" Target="https://eur-lex.europa.eu/legal-content/IT/TXT/HTML/?uri=CELEX:52021DC0066&amp;from=IT" TargetMode="External"/><Relationship Id="rId9" Type="http://schemas.openxmlformats.org/officeDocument/2006/relationships/hyperlink" Target="https://ec.europa.eu/info/strategy/priorities-2019-2024/europe-fit-digital-age/europes-digital-decade-digital-targets-2030_it" TargetMode="External"/><Relationship Id="rId14" Type="http://schemas.openxmlformats.org/officeDocument/2006/relationships/hyperlink" Target="https://ec.europa.eu/info/law/better-regulation/have-your-say/initiatives/12995-Detrazione-fiscale-per-attenuare-la-tendenza-allindebitamento_it" TargetMode="External"/><Relationship Id="rId22" Type="http://schemas.openxmlformats.org/officeDocument/2006/relationships/hyperlink" Target="https://ec.europa.eu/info/law/law-making-process/planning-and-proposing-law/better-regulation-why-and-how/better-regulation-guidelines-and-toolbox_it" TargetMode="External"/><Relationship Id="rId27" Type="http://schemas.openxmlformats.org/officeDocument/2006/relationships/hyperlink" Target="https://environment.ec.europa.eu/strategy/zero-pollution-action-plan_it" TargetMode="External"/><Relationship Id="rId30" Type="http://schemas.openxmlformats.org/officeDocument/2006/relationships/hyperlink" Target="https://ec.europa.eu/info/strategy/priorities-2019-2024/european-green-deal_it" TargetMode="External"/><Relationship Id="rId35" Type="http://schemas.openxmlformats.org/officeDocument/2006/relationships/hyperlink" Target="https://ec.europa.eu/info/funding-tenders/find-funding/eu-funding-programmes/single-market-programme/overview_en" TargetMode="External"/><Relationship Id="rId43" Type="http://schemas.openxmlformats.org/officeDocument/2006/relationships/hyperlink" Target="https://publications.jrc.ec.europa.eu/repository/handle/JRC125293" TargetMode="External"/><Relationship Id="rId48" Type="http://schemas.openxmlformats.org/officeDocument/2006/relationships/hyperlink" Target="https://www.ipcei-batteries.eu/about-ipcei" TargetMode="External"/><Relationship Id="rId56" Type="http://schemas.openxmlformats.org/officeDocument/2006/relationships/hyperlink" Target="https://ec.europa.eu/info/strategy/priorities-2019-2024/promoting-our-european-way-life/new-pact-migration-and-asylum/skills-and-talent_it" TargetMode="External"/><Relationship Id="rId64" Type="http://schemas.openxmlformats.org/officeDocument/2006/relationships/hyperlink" Target="https://ec.europa.eu/social/main.jsp?catId=1537&amp;langId=it" TargetMode="External"/><Relationship Id="rId8" Type="http://schemas.openxmlformats.org/officeDocument/2006/relationships/hyperlink" Target="https://ec.europa.eu/info/strategy/priorities-2019-2024/europe-fit-digital-age/europes-digital-decade-digital-targets-2030_it" TargetMode="External"/><Relationship Id="rId51" Type="http://schemas.openxmlformats.org/officeDocument/2006/relationships/hyperlink" Target="https://www.ipcei-me.eu/" TargetMode="External"/><Relationship Id="rId3" Type="http://schemas.openxmlformats.org/officeDocument/2006/relationships/hyperlink" Target="https://ec.europa.eu/info/sites/default/files/research_and_innovation/strategy_on_research_and_innovation/documents/ec_rtd_com2021-252.pdf" TargetMode="External"/><Relationship Id="rId12" Type="http://schemas.openxmlformats.org/officeDocument/2006/relationships/hyperlink" Target="https://ec.europa.eu/info/business-economy-euro/growth-and-investment/capital-markets-union_en" TargetMode="External"/><Relationship Id="rId17" Type="http://schemas.openxmlformats.org/officeDocument/2006/relationships/hyperlink" Target="https://ec.europa.eu/commission/presscorner/detail/it/ip_22_1548" TargetMode="External"/><Relationship Id="rId25" Type="http://schemas.openxmlformats.org/officeDocument/2006/relationships/hyperlink" Target="https://eur-lex.europa.eu/legal-content/IT/ALL/?uri=CELEX%3A52021PC0557" TargetMode="External"/><Relationship Id="rId33" Type="http://schemas.openxmlformats.org/officeDocument/2006/relationships/hyperlink" Target="https://ec.europa.eu/info/strategy/priorities-2019-2024/europe-fit-digital-age/europes-digital-decade-digital-targets-2030_it" TargetMode="External"/><Relationship Id="rId38" Type="http://schemas.openxmlformats.org/officeDocument/2006/relationships/hyperlink" Target="https://eur-lex.europa.eu/legal-content/IT/TXT/HTML/?uri=CELEX:52021DC0066&amp;from=IT" TargetMode="External"/><Relationship Id="rId46" Type="http://schemas.openxmlformats.org/officeDocument/2006/relationships/hyperlink" Target="https://clustercollaboration.eu/tags/joint-cluster-initiatives" TargetMode="External"/><Relationship Id="rId59" Type="http://schemas.openxmlformats.org/officeDocument/2006/relationships/hyperlink" Target="https://ati.ec.europa.eu/reports/eu-reports/final-report-technology-trends-and-technology-adoption" TargetMode="External"/><Relationship Id="rId67" Type="http://schemas.openxmlformats.org/officeDocument/2006/relationships/hyperlink" Target="https://europa.eu/next-generation-eu/index_it" TargetMode="External"/><Relationship Id="rId20" Type="http://schemas.openxmlformats.org/officeDocument/2006/relationships/hyperlink" Target="https://eit.europa.eu/our-activities/opportunities/eit-opens-call-investors-participate-women2invest" TargetMode="External"/><Relationship Id="rId41" Type="http://schemas.openxmlformats.org/officeDocument/2006/relationships/hyperlink" Target="https://ec.europa.eu/growth/industry/strategy/industrial-alliances_en" TargetMode="External"/><Relationship Id="rId54" Type="http://schemas.openxmlformats.org/officeDocument/2006/relationships/hyperlink" Target="https://www.coe.int/en/web/higher-education-and-research/lisbon-recognition-convention" TargetMode="External"/><Relationship Id="rId62" Type="http://schemas.openxmlformats.org/officeDocument/2006/relationships/hyperlink" Target="https://digital-strategy.ec.europa.eu/en/news/commission-launches-women4cyber-registry-talents-field-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D145F7-14A6-4573-A738-4E0682B6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25</Pages>
  <Words>9715</Words>
  <Characters>58685</Characters>
  <Application>Microsoft Office Word</Application>
  <DocSecurity>0</DocSecurity>
  <Lines>863</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2022-07-05T07:18:00Z</dcterms:created>
  <dcterms:modified xsi:type="dcterms:W3CDTF">2022-07-25T08:58:00Z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8.0.1, Build 20220429</vt:lpwstr>
  </property>
  <property fmtid="{D5CDD505-2E9C-101B-9397-08002B2CF9AE}" pid="8" name="Created using">
    <vt:lpwstr>LW 8.0, Build 20220128</vt:lpwstr>
  </property>
  <property fmtid="{D5CDD505-2E9C-101B-9397-08002B2CF9AE}" pid="9" name="MSIP_Label_f4cdc456-5864-460f-beda-883d23b78bbb_Enabled">
    <vt:lpwstr>true</vt:lpwstr>
  </property>
  <property fmtid="{D5CDD505-2E9C-101B-9397-08002B2CF9AE}" pid="10" name="MSIP_Label_f4cdc456-5864-460f-beda-883d23b78bbb_SetDate">
    <vt:lpwstr>2022-06-03T16:09:01Z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7d2f750d-7464-4ed5-955a-4176f49d6288</vt:lpwstr>
  </property>
  <property fmtid="{D5CDD505-2E9C-101B-9397-08002B2CF9AE}" pid="15" name="MSIP_Label_f4cdc456-5864-460f-beda-883d23b78bbb_ContentBits">
    <vt:lpwstr>0</vt:lpwstr>
  </property>
</Properties>
</file>