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390188A8" w:rsidR="00BA15A0" w:rsidRPr="00EC7A99" w:rsidRDefault="00D77ECA" w:rsidP="00D77ECA">
      <w:pPr>
        <w:pStyle w:val="Pagedecouverture"/>
        <w:rPr>
          <w:noProof/>
        </w:rPr>
      </w:pPr>
      <w:bookmarkStart w:id="0" w:name="LW_BM_COVERPAGE"/>
      <w:r>
        <w:rPr>
          <w:noProof/>
        </w:rPr>
        <w:pict w14:anchorId="03B2E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545A34E-01F5-4729-B4A2-002F026DE660" style="width:455.25pt;height:324pt">
            <v:imagedata r:id="rId11" o:title=""/>
          </v:shape>
        </w:pict>
      </w:r>
    </w:p>
    <w:bookmarkEnd w:id="0"/>
    <w:p w14:paraId="23CEFC26" w14:textId="77777777" w:rsidR="008E2430" w:rsidRPr="00EC7A99" w:rsidRDefault="008E2430" w:rsidP="008E2430">
      <w:pPr>
        <w:pStyle w:val="Pagedecouverture"/>
        <w:rPr>
          <w:noProof/>
        </w:rPr>
        <w:sectPr w:rsidR="008E2430" w:rsidRPr="00EC7A99" w:rsidSect="00D77EC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9F70F06" w14:textId="66A2686E" w:rsidR="00647D89" w:rsidRPr="00647D89" w:rsidRDefault="00647D89" w:rsidP="00647D89">
      <w:pPr>
        <w:pStyle w:val="Typedudocument"/>
        <w:rPr>
          <w:noProof/>
        </w:rPr>
      </w:pPr>
      <w:bookmarkStart w:id="1" w:name="_GoBack"/>
      <w:bookmarkEnd w:id="1"/>
      <w:r w:rsidRPr="00647D89">
        <w:rPr>
          <w:noProof/>
        </w:rPr>
        <w:lastRenderedPageBreak/>
        <w:t>RELAZIONE DELLA COMMISSIONE AL PARLAMENTO EUROPEO E AL CONSIGLIO</w:t>
      </w:r>
    </w:p>
    <w:p w14:paraId="05FBE95B" w14:textId="39D821C3" w:rsidR="00647D89" w:rsidRPr="00647D89" w:rsidRDefault="00647D89" w:rsidP="00647D89">
      <w:pPr>
        <w:pStyle w:val="Titreobjet"/>
        <w:rPr>
          <w:noProof/>
        </w:rPr>
      </w:pPr>
      <w:r w:rsidRPr="00647D89">
        <w:rPr>
          <w:noProof/>
        </w:rPr>
        <w:t>sul riesame degli interventi di emergenza per far fronte ai prezzi elevati dell</w:t>
      </w:r>
      <w:r w:rsidR="00E8249E">
        <w:rPr>
          <w:noProof/>
        </w:rPr>
        <w:t>'</w:t>
      </w:r>
      <w:r w:rsidRPr="00647D89">
        <w:rPr>
          <w:noProof/>
        </w:rPr>
        <w:t>energia in conformità del regolamento (UE) 2022/1854 del Consiglio</w:t>
      </w:r>
    </w:p>
    <w:p w14:paraId="4E1E7FF5" w14:textId="50DE94B6" w:rsidR="00BA4BBF" w:rsidRDefault="00BA4BBF" w:rsidP="2B9E9F58">
      <w:pPr>
        <w:pStyle w:val="TOC1"/>
        <w:tabs>
          <w:tab w:val="left" w:pos="440"/>
          <w:tab w:val="right" w:leader="dot" w:pos="9062"/>
        </w:tabs>
        <w:spacing w:before="120" w:after="120" w:line="360" w:lineRule="auto"/>
        <w:rPr>
          <w:rFonts w:ascii="Times New Roman" w:hAnsi="Times New Roman" w:cs="Times New Roman"/>
          <w:noProof/>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rPr>
          </w:pPr>
          <w:r>
            <w:rPr>
              <w:rFonts w:ascii="Times New Roman" w:hAnsi="Times New Roman"/>
              <w:noProof/>
              <w:sz w:val="24"/>
            </w:rPr>
            <w:t>Indice</w:t>
          </w:r>
        </w:p>
        <w:p w14:paraId="7EDE00D0" w14:textId="21A3BE61" w:rsidR="00CB28EC" w:rsidRDefault="2B9E9F58">
          <w:pPr>
            <w:pStyle w:val="TOC1"/>
            <w:tabs>
              <w:tab w:val="left" w:pos="440"/>
              <w:tab w:val="right" w:leader="dot" w:pos="9062"/>
            </w:tabs>
            <w:rPr>
              <w:rFonts w:eastAsiaTheme="minorEastAsia"/>
              <w:noProof/>
              <w:szCs w:val="22"/>
              <w:lang w:val="en-IE" w:eastAsia="en-IE"/>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657175" w:history="1">
            <w:r w:rsidR="00CB28EC" w:rsidRPr="00D1591B">
              <w:rPr>
                <w:rStyle w:val="Hyperlink"/>
                <w:rFonts w:ascii="Times New Roman" w:eastAsia="Times New Roman" w:hAnsi="Times New Roman" w:cs="Times New Roman"/>
                <w:noProof/>
              </w:rPr>
              <w:t>I.</w:t>
            </w:r>
            <w:r w:rsidR="00CB28EC">
              <w:rPr>
                <w:rFonts w:eastAsiaTheme="minorEastAsia"/>
                <w:noProof/>
                <w:szCs w:val="22"/>
                <w:lang w:val="en-IE" w:eastAsia="en-IE"/>
              </w:rPr>
              <w:tab/>
            </w:r>
            <w:r w:rsidR="00CB28EC" w:rsidRPr="00D1591B">
              <w:rPr>
                <w:rStyle w:val="Hyperlink"/>
                <w:rFonts w:ascii="Times New Roman" w:hAnsi="Times New Roman"/>
                <w:noProof/>
              </w:rPr>
              <w:t>Introduzione</w:t>
            </w:r>
            <w:r w:rsidR="00CB28EC">
              <w:rPr>
                <w:noProof/>
                <w:webHidden/>
              </w:rPr>
              <w:tab/>
            </w:r>
            <w:r w:rsidR="00CB28EC">
              <w:rPr>
                <w:noProof/>
                <w:webHidden/>
              </w:rPr>
              <w:fldChar w:fldCharType="begin"/>
            </w:r>
            <w:r w:rsidR="00CB28EC">
              <w:rPr>
                <w:noProof/>
                <w:webHidden/>
              </w:rPr>
              <w:instrText xml:space="preserve"> PAGEREF _Toc137657175 \h </w:instrText>
            </w:r>
            <w:r w:rsidR="00CB28EC">
              <w:rPr>
                <w:noProof/>
                <w:webHidden/>
              </w:rPr>
            </w:r>
            <w:r w:rsidR="00CB28EC">
              <w:rPr>
                <w:noProof/>
                <w:webHidden/>
              </w:rPr>
              <w:fldChar w:fldCharType="separate"/>
            </w:r>
            <w:r w:rsidR="005E0FA7">
              <w:rPr>
                <w:noProof/>
                <w:webHidden/>
              </w:rPr>
              <w:t>2</w:t>
            </w:r>
            <w:r w:rsidR="00CB28EC">
              <w:rPr>
                <w:noProof/>
                <w:webHidden/>
              </w:rPr>
              <w:fldChar w:fldCharType="end"/>
            </w:r>
          </w:hyperlink>
        </w:p>
        <w:p w14:paraId="25D236DB" w14:textId="110FB286" w:rsidR="00CB28EC" w:rsidRDefault="00D77ECA">
          <w:pPr>
            <w:pStyle w:val="TOC1"/>
            <w:tabs>
              <w:tab w:val="left" w:pos="440"/>
              <w:tab w:val="right" w:leader="dot" w:pos="9062"/>
            </w:tabs>
            <w:rPr>
              <w:rFonts w:eastAsiaTheme="minorEastAsia"/>
              <w:noProof/>
              <w:szCs w:val="22"/>
              <w:lang w:val="en-IE" w:eastAsia="en-IE"/>
            </w:rPr>
          </w:pPr>
          <w:hyperlink w:anchor="_Toc137657176" w:history="1">
            <w:r w:rsidR="00CB28EC" w:rsidRPr="00D1591B">
              <w:rPr>
                <w:rStyle w:val="Hyperlink"/>
                <w:rFonts w:ascii="Times New Roman" w:eastAsia="Times New Roman" w:hAnsi="Times New Roman" w:cs="Times New Roman"/>
                <w:noProof/>
              </w:rPr>
              <w:t>II.</w:t>
            </w:r>
            <w:r w:rsidR="00CB28EC">
              <w:rPr>
                <w:rFonts w:eastAsiaTheme="minorEastAsia"/>
                <w:noProof/>
                <w:szCs w:val="22"/>
                <w:lang w:val="en-IE" w:eastAsia="en-IE"/>
              </w:rPr>
              <w:tab/>
            </w:r>
            <w:r w:rsidR="00831832">
              <w:rPr>
                <w:rStyle w:val="Hyperlink"/>
                <w:rFonts w:ascii="Times New Roman" w:hAnsi="Times New Roman"/>
                <w:noProof/>
              </w:rPr>
              <w:t>Obbligo di cui all</w:t>
            </w:r>
            <w:r w:rsidR="00E8249E">
              <w:rPr>
                <w:rStyle w:val="Hyperlink"/>
                <w:rFonts w:ascii="Times New Roman" w:hAnsi="Times New Roman"/>
                <w:noProof/>
              </w:rPr>
              <w:t>'</w:t>
            </w:r>
            <w:r w:rsidR="00831832">
              <w:rPr>
                <w:rStyle w:val="Hyperlink"/>
                <w:rFonts w:ascii="Times New Roman" w:hAnsi="Times New Roman"/>
                <w:noProof/>
              </w:rPr>
              <w:t xml:space="preserve">articolo </w:t>
            </w:r>
            <w:r w:rsidR="00CB28EC" w:rsidRPr="00D1591B">
              <w:rPr>
                <w:rStyle w:val="Hyperlink"/>
                <w:rFonts w:ascii="Times New Roman" w:hAnsi="Times New Roman"/>
                <w:noProof/>
              </w:rPr>
              <w:t>20 del regolamento del Consiglio</w:t>
            </w:r>
            <w:r w:rsidR="00CB28EC">
              <w:rPr>
                <w:noProof/>
                <w:webHidden/>
              </w:rPr>
              <w:tab/>
            </w:r>
            <w:r w:rsidR="00CB28EC">
              <w:rPr>
                <w:noProof/>
                <w:webHidden/>
              </w:rPr>
              <w:fldChar w:fldCharType="begin"/>
            </w:r>
            <w:r w:rsidR="00CB28EC">
              <w:rPr>
                <w:noProof/>
                <w:webHidden/>
              </w:rPr>
              <w:instrText xml:space="preserve"> PAGEREF _Toc137657176 \h </w:instrText>
            </w:r>
            <w:r w:rsidR="00CB28EC">
              <w:rPr>
                <w:noProof/>
                <w:webHidden/>
              </w:rPr>
            </w:r>
            <w:r w:rsidR="00CB28EC">
              <w:rPr>
                <w:noProof/>
                <w:webHidden/>
              </w:rPr>
              <w:fldChar w:fldCharType="separate"/>
            </w:r>
            <w:r w:rsidR="005E0FA7">
              <w:rPr>
                <w:noProof/>
                <w:webHidden/>
              </w:rPr>
              <w:t>5</w:t>
            </w:r>
            <w:r w:rsidR="00CB28EC">
              <w:rPr>
                <w:noProof/>
                <w:webHidden/>
              </w:rPr>
              <w:fldChar w:fldCharType="end"/>
            </w:r>
          </w:hyperlink>
        </w:p>
        <w:p w14:paraId="0C8F3CD0" w14:textId="1BD8AC2F" w:rsidR="00CB28EC" w:rsidRDefault="00D77ECA">
          <w:pPr>
            <w:pStyle w:val="TOC1"/>
            <w:tabs>
              <w:tab w:val="left" w:pos="660"/>
              <w:tab w:val="right" w:leader="dot" w:pos="9062"/>
            </w:tabs>
            <w:rPr>
              <w:rFonts w:eastAsiaTheme="minorEastAsia"/>
              <w:noProof/>
              <w:szCs w:val="22"/>
              <w:lang w:val="en-IE" w:eastAsia="en-IE"/>
            </w:rPr>
          </w:pPr>
          <w:hyperlink w:anchor="_Toc137657177" w:history="1">
            <w:r w:rsidR="00CB28EC" w:rsidRPr="00D1591B">
              <w:rPr>
                <w:rStyle w:val="Hyperlink"/>
                <w:rFonts w:ascii="Times New Roman" w:eastAsia="Times New Roman" w:hAnsi="Times New Roman" w:cs="Times New Roman"/>
                <w:noProof/>
              </w:rPr>
              <w:t>III.</w:t>
            </w:r>
            <w:r w:rsidR="00CB28EC">
              <w:rPr>
                <w:rFonts w:eastAsiaTheme="minorEastAsia"/>
                <w:noProof/>
                <w:szCs w:val="22"/>
                <w:lang w:val="en-IE" w:eastAsia="en-IE"/>
              </w:rPr>
              <w:tab/>
            </w:r>
            <w:r w:rsidR="00CB28EC" w:rsidRPr="00D1591B">
              <w:rPr>
                <w:rStyle w:val="Hyperlink"/>
                <w:rFonts w:ascii="Times New Roman" w:hAnsi="Times New Roman"/>
                <w:noProof/>
              </w:rPr>
              <w:t>Condizioni attuali del mercato dell</w:t>
            </w:r>
            <w:r w:rsidR="00E8249E">
              <w:rPr>
                <w:rStyle w:val="Hyperlink"/>
                <w:rFonts w:ascii="Times New Roman" w:hAnsi="Times New Roman"/>
                <w:noProof/>
              </w:rPr>
              <w:t>'</w:t>
            </w:r>
            <w:r w:rsidR="00CB28EC" w:rsidRPr="00D1591B">
              <w:rPr>
                <w:rStyle w:val="Hyperlink"/>
                <w:rFonts w:ascii="Times New Roman" w:hAnsi="Times New Roman"/>
                <w:noProof/>
              </w:rPr>
              <w:t>energia elettrica</w:t>
            </w:r>
            <w:r w:rsidR="00CB28EC">
              <w:rPr>
                <w:noProof/>
                <w:webHidden/>
              </w:rPr>
              <w:tab/>
            </w:r>
            <w:r w:rsidR="00CB28EC">
              <w:rPr>
                <w:noProof/>
                <w:webHidden/>
              </w:rPr>
              <w:fldChar w:fldCharType="begin"/>
            </w:r>
            <w:r w:rsidR="00CB28EC">
              <w:rPr>
                <w:noProof/>
                <w:webHidden/>
              </w:rPr>
              <w:instrText xml:space="preserve"> PAGEREF _Toc137657177 \h </w:instrText>
            </w:r>
            <w:r w:rsidR="00CB28EC">
              <w:rPr>
                <w:noProof/>
                <w:webHidden/>
              </w:rPr>
            </w:r>
            <w:r w:rsidR="00CB28EC">
              <w:rPr>
                <w:noProof/>
                <w:webHidden/>
              </w:rPr>
              <w:fldChar w:fldCharType="separate"/>
            </w:r>
            <w:r w:rsidR="005E0FA7">
              <w:rPr>
                <w:noProof/>
                <w:webHidden/>
              </w:rPr>
              <w:t>6</w:t>
            </w:r>
            <w:r w:rsidR="00CB28EC">
              <w:rPr>
                <w:noProof/>
                <w:webHidden/>
              </w:rPr>
              <w:fldChar w:fldCharType="end"/>
            </w:r>
          </w:hyperlink>
        </w:p>
        <w:p w14:paraId="6E1CB573" w14:textId="07272A33" w:rsidR="00CB28EC" w:rsidRDefault="00D77ECA">
          <w:pPr>
            <w:pStyle w:val="TOC1"/>
            <w:tabs>
              <w:tab w:val="left" w:pos="660"/>
              <w:tab w:val="right" w:leader="dot" w:pos="9062"/>
            </w:tabs>
            <w:rPr>
              <w:rFonts w:eastAsiaTheme="minorEastAsia"/>
              <w:noProof/>
              <w:szCs w:val="22"/>
              <w:lang w:val="en-IE" w:eastAsia="en-IE"/>
            </w:rPr>
          </w:pPr>
          <w:hyperlink w:anchor="_Toc137657178" w:history="1">
            <w:r w:rsidR="00CB28EC" w:rsidRPr="00D1591B">
              <w:rPr>
                <w:rStyle w:val="Hyperlink"/>
                <w:rFonts w:ascii="Times New Roman" w:eastAsia="Times New Roman" w:hAnsi="Times New Roman" w:cs="Times New Roman"/>
                <w:noProof/>
              </w:rPr>
              <w:t>IV.</w:t>
            </w:r>
            <w:r w:rsidR="00CB28EC">
              <w:rPr>
                <w:rFonts w:eastAsiaTheme="minorEastAsia"/>
                <w:noProof/>
                <w:szCs w:val="22"/>
                <w:lang w:val="en-IE" w:eastAsia="en-IE"/>
              </w:rPr>
              <w:tab/>
            </w:r>
            <w:r w:rsidR="00CB28EC" w:rsidRPr="00D1591B">
              <w:rPr>
                <w:rStyle w:val="Hyperlink"/>
                <w:rFonts w:ascii="Times New Roman" w:hAnsi="Times New Roman"/>
                <w:noProof/>
              </w:rPr>
              <w:t>Riduzione della domanda di energia elettrica</w:t>
            </w:r>
            <w:r w:rsidR="00CB28EC">
              <w:rPr>
                <w:noProof/>
                <w:webHidden/>
              </w:rPr>
              <w:tab/>
            </w:r>
            <w:r w:rsidR="00CB28EC">
              <w:rPr>
                <w:noProof/>
                <w:webHidden/>
              </w:rPr>
              <w:fldChar w:fldCharType="begin"/>
            </w:r>
            <w:r w:rsidR="00CB28EC">
              <w:rPr>
                <w:noProof/>
                <w:webHidden/>
              </w:rPr>
              <w:instrText xml:space="preserve"> PAGEREF _Toc137657178 \h </w:instrText>
            </w:r>
            <w:r w:rsidR="00CB28EC">
              <w:rPr>
                <w:noProof/>
                <w:webHidden/>
              </w:rPr>
            </w:r>
            <w:r w:rsidR="00CB28EC">
              <w:rPr>
                <w:noProof/>
                <w:webHidden/>
              </w:rPr>
              <w:fldChar w:fldCharType="separate"/>
            </w:r>
            <w:r w:rsidR="005E0FA7">
              <w:rPr>
                <w:noProof/>
                <w:webHidden/>
              </w:rPr>
              <w:t>8</w:t>
            </w:r>
            <w:r w:rsidR="00CB28EC">
              <w:rPr>
                <w:noProof/>
                <w:webHidden/>
              </w:rPr>
              <w:fldChar w:fldCharType="end"/>
            </w:r>
          </w:hyperlink>
        </w:p>
        <w:p w14:paraId="5E69FE54" w14:textId="5684B00A" w:rsidR="00CB28EC" w:rsidRDefault="00D77ECA">
          <w:pPr>
            <w:pStyle w:val="TOC1"/>
            <w:tabs>
              <w:tab w:val="left" w:pos="440"/>
              <w:tab w:val="right" w:leader="dot" w:pos="9062"/>
            </w:tabs>
            <w:rPr>
              <w:rFonts w:eastAsiaTheme="minorEastAsia"/>
              <w:noProof/>
              <w:szCs w:val="22"/>
              <w:lang w:val="en-IE" w:eastAsia="en-IE"/>
            </w:rPr>
          </w:pPr>
          <w:hyperlink w:anchor="_Toc137657179" w:history="1">
            <w:r w:rsidR="00CB28EC" w:rsidRPr="00D1591B">
              <w:rPr>
                <w:rStyle w:val="Hyperlink"/>
                <w:rFonts w:ascii="Times New Roman" w:eastAsia="Times New Roman" w:hAnsi="Times New Roman" w:cs="Times New Roman"/>
                <w:noProof/>
              </w:rPr>
              <w:t>V.</w:t>
            </w:r>
            <w:r w:rsidR="00CB28EC">
              <w:rPr>
                <w:rFonts w:eastAsiaTheme="minorEastAsia"/>
                <w:noProof/>
                <w:szCs w:val="22"/>
                <w:lang w:val="en-IE" w:eastAsia="en-IE"/>
              </w:rPr>
              <w:tab/>
            </w:r>
            <w:r w:rsidR="00CB28EC" w:rsidRPr="00D1591B">
              <w:rPr>
                <w:rStyle w:val="Hyperlink"/>
                <w:rFonts w:ascii="Times New Roman" w:hAnsi="Times New Roman"/>
                <w:noProof/>
              </w:rPr>
              <w:t>Tetto sui ricavi inframarginali</w:t>
            </w:r>
            <w:r w:rsidR="00CB28EC">
              <w:rPr>
                <w:noProof/>
                <w:webHidden/>
              </w:rPr>
              <w:tab/>
            </w:r>
            <w:r w:rsidR="00CB28EC">
              <w:rPr>
                <w:noProof/>
                <w:webHidden/>
              </w:rPr>
              <w:fldChar w:fldCharType="begin"/>
            </w:r>
            <w:r w:rsidR="00CB28EC">
              <w:rPr>
                <w:noProof/>
                <w:webHidden/>
              </w:rPr>
              <w:instrText xml:space="preserve"> PAGEREF _Toc137657179 \h </w:instrText>
            </w:r>
            <w:r w:rsidR="00CB28EC">
              <w:rPr>
                <w:noProof/>
                <w:webHidden/>
              </w:rPr>
            </w:r>
            <w:r w:rsidR="00CB28EC">
              <w:rPr>
                <w:noProof/>
                <w:webHidden/>
              </w:rPr>
              <w:fldChar w:fldCharType="separate"/>
            </w:r>
            <w:r w:rsidR="005E0FA7">
              <w:rPr>
                <w:noProof/>
                <w:webHidden/>
              </w:rPr>
              <w:t>11</w:t>
            </w:r>
            <w:r w:rsidR="00CB28EC">
              <w:rPr>
                <w:noProof/>
                <w:webHidden/>
              </w:rPr>
              <w:fldChar w:fldCharType="end"/>
            </w:r>
          </w:hyperlink>
        </w:p>
        <w:p w14:paraId="234EB89B" w14:textId="46F0FE60" w:rsidR="00CB28EC" w:rsidRDefault="00D77ECA">
          <w:pPr>
            <w:pStyle w:val="TOC1"/>
            <w:tabs>
              <w:tab w:val="left" w:pos="660"/>
              <w:tab w:val="right" w:leader="dot" w:pos="9062"/>
            </w:tabs>
            <w:rPr>
              <w:rFonts w:eastAsiaTheme="minorEastAsia"/>
              <w:noProof/>
              <w:szCs w:val="22"/>
              <w:lang w:val="en-IE" w:eastAsia="en-IE"/>
            </w:rPr>
          </w:pPr>
          <w:hyperlink w:anchor="_Toc137657180" w:history="1">
            <w:r w:rsidR="00CB28EC" w:rsidRPr="00D1591B">
              <w:rPr>
                <w:rStyle w:val="Hyperlink"/>
                <w:rFonts w:ascii="Times New Roman" w:eastAsia="Times New Roman" w:hAnsi="Times New Roman" w:cs="Times New Roman"/>
                <w:noProof/>
              </w:rPr>
              <w:t>VI.</w:t>
            </w:r>
            <w:r w:rsidR="00CB28EC">
              <w:rPr>
                <w:rFonts w:eastAsiaTheme="minorEastAsia"/>
                <w:noProof/>
                <w:szCs w:val="22"/>
                <w:lang w:val="en-IE" w:eastAsia="en-IE"/>
              </w:rPr>
              <w:tab/>
            </w:r>
            <w:r w:rsidR="00CB28EC" w:rsidRPr="00D1591B">
              <w:rPr>
                <w:rStyle w:val="Hyperlink"/>
                <w:rFonts w:ascii="Times New Roman" w:hAnsi="Times New Roman"/>
                <w:noProof/>
              </w:rPr>
              <w:t>Sostegno a favore dei consumatori finali</w:t>
            </w:r>
            <w:r w:rsidR="00CB28EC">
              <w:rPr>
                <w:noProof/>
                <w:webHidden/>
              </w:rPr>
              <w:tab/>
            </w:r>
            <w:r w:rsidR="00CB28EC">
              <w:rPr>
                <w:noProof/>
                <w:webHidden/>
              </w:rPr>
              <w:fldChar w:fldCharType="begin"/>
            </w:r>
            <w:r w:rsidR="00CB28EC">
              <w:rPr>
                <w:noProof/>
                <w:webHidden/>
              </w:rPr>
              <w:instrText xml:space="preserve"> PAGEREF _Toc137657180 \h </w:instrText>
            </w:r>
            <w:r w:rsidR="00CB28EC">
              <w:rPr>
                <w:noProof/>
                <w:webHidden/>
              </w:rPr>
            </w:r>
            <w:r w:rsidR="00CB28EC">
              <w:rPr>
                <w:noProof/>
                <w:webHidden/>
              </w:rPr>
              <w:fldChar w:fldCharType="separate"/>
            </w:r>
            <w:r w:rsidR="005E0FA7">
              <w:rPr>
                <w:noProof/>
                <w:webHidden/>
              </w:rPr>
              <w:t>15</w:t>
            </w:r>
            <w:r w:rsidR="00CB28EC">
              <w:rPr>
                <w:noProof/>
                <w:webHidden/>
              </w:rPr>
              <w:fldChar w:fldCharType="end"/>
            </w:r>
          </w:hyperlink>
        </w:p>
        <w:p w14:paraId="1E0CCEDA" w14:textId="20BDCC21" w:rsidR="00CB28EC" w:rsidRDefault="00D77ECA">
          <w:pPr>
            <w:pStyle w:val="TOC1"/>
            <w:tabs>
              <w:tab w:val="left" w:pos="660"/>
              <w:tab w:val="right" w:leader="dot" w:pos="9062"/>
            </w:tabs>
            <w:rPr>
              <w:rFonts w:eastAsiaTheme="minorEastAsia"/>
              <w:noProof/>
              <w:szCs w:val="22"/>
              <w:lang w:val="en-IE" w:eastAsia="en-IE"/>
            </w:rPr>
          </w:pPr>
          <w:hyperlink w:anchor="_Toc137657181" w:history="1">
            <w:r w:rsidR="00CB28EC" w:rsidRPr="00D1591B">
              <w:rPr>
                <w:rStyle w:val="Hyperlink"/>
                <w:rFonts w:ascii="Times New Roman" w:eastAsia="Times New Roman" w:hAnsi="Times New Roman" w:cs="Times New Roman"/>
                <w:noProof/>
              </w:rPr>
              <w:t>VII.</w:t>
            </w:r>
            <w:r w:rsidR="00CB28EC">
              <w:rPr>
                <w:rFonts w:eastAsiaTheme="minorEastAsia"/>
                <w:noProof/>
                <w:szCs w:val="22"/>
                <w:lang w:val="en-IE" w:eastAsia="en-IE"/>
              </w:rPr>
              <w:tab/>
            </w:r>
            <w:r w:rsidR="00CB28EC" w:rsidRPr="00D1591B">
              <w:rPr>
                <w:rStyle w:val="Hyperlink"/>
                <w:rFonts w:ascii="Times New Roman" w:hAnsi="Times New Roman"/>
                <w:noProof/>
              </w:rPr>
              <w:t>Conclusioni preliminari</w:t>
            </w:r>
            <w:r w:rsidR="00CB28EC">
              <w:rPr>
                <w:noProof/>
                <w:webHidden/>
              </w:rPr>
              <w:tab/>
            </w:r>
            <w:r w:rsidR="00CB28EC">
              <w:rPr>
                <w:noProof/>
                <w:webHidden/>
              </w:rPr>
              <w:fldChar w:fldCharType="begin"/>
            </w:r>
            <w:r w:rsidR="00CB28EC">
              <w:rPr>
                <w:noProof/>
                <w:webHidden/>
              </w:rPr>
              <w:instrText xml:space="preserve"> PAGEREF _Toc137657181 \h </w:instrText>
            </w:r>
            <w:r w:rsidR="00CB28EC">
              <w:rPr>
                <w:noProof/>
                <w:webHidden/>
              </w:rPr>
            </w:r>
            <w:r w:rsidR="00CB28EC">
              <w:rPr>
                <w:noProof/>
                <w:webHidden/>
              </w:rPr>
              <w:fldChar w:fldCharType="separate"/>
            </w:r>
            <w:r w:rsidR="005E0FA7">
              <w:rPr>
                <w:noProof/>
                <w:webHidden/>
              </w:rPr>
              <w:t>17</w:t>
            </w:r>
            <w:r w:rsidR="00CB28EC">
              <w:rPr>
                <w:noProof/>
                <w:webHidden/>
              </w:rPr>
              <w:fldChar w:fldCharType="end"/>
            </w:r>
          </w:hyperlink>
        </w:p>
        <w:p w14:paraId="2D4C8DC5" w14:textId="6C511D4D"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noProof/>
          <w:sz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rPr>
      </w:pPr>
      <w:bookmarkStart w:id="2" w:name="_Toc635327308"/>
      <w:bookmarkStart w:id="3" w:name="_Toc1519658753"/>
      <w:bookmarkStart w:id="4" w:name="_Toc137657175"/>
      <w:r>
        <w:rPr>
          <w:rFonts w:ascii="Times New Roman" w:hAnsi="Times New Roman"/>
          <w:noProof/>
        </w:rPr>
        <w:t>Introduzione</w:t>
      </w:r>
      <w:bookmarkEnd w:id="2"/>
      <w:bookmarkEnd w:id="3"/>
      <w:bookmarkEnd w:id="4"/>
    </w:p>
    <w:p w14:paraId="68DA65F6" w14:textId="68C5C10B" w:rsidR="00302342" w:rsidRPr="00EC7A99" w:rsidRDefault="53553B70"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presente relazione esamina le disposizioni del capo II del regolamento (UE) 2</w:t>
      </w:r>
      <w:r w:rsidR="007F53DC">
        <w:rPr>
          <w:rFonts w:ascii="Times New Roman" w:hAnsi="Times New Roman"/>
          <w:noProof/>
          <w:sz w:val="24"/>
        </w:rPr>
        <w:t>022/1854, a norma dell</w:t>
      </w:r>
      <w:r w:rsidR="00E8249E">
        <w:rPr>
          <w:rFonts w:ascii="Times New Roman" w:hAnsi="Times New Roman"/>
          <w:noProof/>
          <w:sz w:val="24"/>
        </w:rPr>
        <w:t>'</w:t>
      </w:r>
      <w:r w:rsidR="007F53DC">
        <w:rPr>
          <w:rFonts w:ascii="Times New Roman" w:hAnsi="Times New Roman"/>
          <w:noProof/>
          <w:sz w:val="24"/>
        </w:rPr>
        <w:t xml:space="preserve">articolo 20, paragrafo </w:t>
      </w:r>
      <w:r>
        <w:rPr>
          <w:rFonts w:ascii="Times New Roman" w:hAnsi="Times New Roman"/>
          <w:noProof/>
          <w:sz w:val="24"/>
        </w:rPr>
        <w:t xml:space="preserve">1, del medesimo regolamento (il </w:t>
      </w:r>
      <w:r>
        <w:rPr>
          <w:rFonts w:ascii="Times New Roman" w:hAnsi="Times New Roman"/>
          <w:b/>
          <w:i/>
          <w:noProof/>
          <w:sz w:val="24"/>
        </w:rPr>
        <w:t>regolamento del Consiglio</w:t>
      </w:r>
      <w:r>
        <w:rPr>
          <w:rStyle w:val="FootnoteReference"/>
          <w:rFonts w:ascii="Times New Roman" w:eastAsia="Times New Roman" w:hAnsi="Times New Roman" w:cs="Times New Roman"/>
          <w:noProof/>
          <w:sz w:val="24"/>
        </w:rPr>
        <w:footnoteReference w:id="2"/>
      </w:r>
      <w:r>
        <w:rPr>
          <w:rFonts w:ascii="Times New Roman" w:hAnsi="Times New Roman"/>
          <w:noProof/>
          <w:sz w:val="24"/>
        </w:rPr>
        <w:t>)</w:t>
      </w:r>
      <w:r>
        <w:rPr>
          <w:noProof/>
        </w:rPr>
        <w:t>.</w:t>
      </w:r>
      <w:r>
        <w:rPr>
          <w:rFonts w:ascii="Times New Roman" w:hAnsi="Times New Roman"/>
          <w:noProof/>
          <w:sz w:val="24"/>
        </w:rPr>
        <w:t xml:space="preserve"> Si basa sulle informazioni fornite da 25 Stati membri a norma dell</w:t>
      </w:r>
      <w:r w:rsidR="00E8249E">
        <w:rPr>
          <w:rFonts w:ascii="Times New Roman" w:hAnsi="Times New Roman"/>
          <w:noProof/>
          <w:sz w:val="24"/>
        </w:rPr>
        <w:t>'</w:t>
      </w:r>
      <w:r>
        <w:rPr>
          <w:rFonts w:ascii="Times New Roman" w:hAnsi="Times New Roman"/>
          <w:noProof/>
          <w:sz w:val="24"/>
        </w:rPr>
        <w:t>ar</w:t>
      </w:r>
      <w:r w:rsidR="007F53DC">
        <w:rPr>
          <w:rFonts w:ascii="Times New Roman" w:hAnsi="Times New Roman"/>
          <w:noProof/>
          <w:sz w:val="24"/>
        </w:rPr>
        <w:t xml:space="preserve">ticolo </w:t>
      </w:r>
      <w:r>
        <w:rPr>
          <w:rFonts w:ascii="Times New Roman" w:hAnsi="Times New Roman"/>
          <w:noProof/>
          <w:sz w:val="24"/>
        </w:rPr>
        <w:t xml:space="preserve">19 del regolamento del Consiglio, nonché sulle risposte ad alcune domande poste dalla Commissione europea (la </w:t>
      </w:r>
      <w:r>
        <w:rPr>
          <w:rFonts w:ascii="Times New Roman" w:hAnsi="Times New Roman"/>
          <w:b/>
          <w:i/>
          <w:noProof/>
          <w:sz w:val="24"/>
        </w:rPr>
        <w:t>Commissione</w:t>
      </w:r>
      <w:r>
        <w:rPr>
          <w:rFonts w:ascii="Times New Roman" w:hAnsi="Times New Roman"/>
          <w:noProof/>
          <w:sz w:val="24"/>
        </w:rPr>
        <w:t>) nella consultazione pubblica in merito alla proposta di riforma dell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w:t>
      </w:r>
    </w:p>
    <w:p w14:paraId="1D867758" w14:textId="4FB60D48" w:rsidR="00302342" w:rsidRPr="00EC7A99"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Il regolamento del Consiglio è una delle misure con cui l</w:t>
      </w:r>
      <w:r w:rsidR="00E8249E">
        <w:rPr>
          <w:rFonts w:ascii="Times New Roman" w:hAnsi="Times New Roman"/>
          <w:noProof/>
          <w:sz w:val="24"/>
        </w:rPr>
        <w:t>'</w:t>
      </w:r>
      <w:r>
        <w:rPr>
          <w:rFonts w:ascii="Times New Roman" w:hAnsi="Times New Roman"/>
          <w:noProof/>
          <w:sz w:val="24"/>
        </w:rPr>
        <w:t xml:space="preserve">Unione ha risposto alla crisi energetica </w:t>
      </w:r>
      <w:r>
        <w:rPr>
          <w:rStyle w:val="normaltextrun"/>
          <w:rFonts w:ascii="Times New Roman" w:hAnsi="Times New Roman"/>
          <w:noProof/>
          <w:sz w:val="24"/>
          <w:shd w:val="clear" w:color="auto" w:fill="FFFFFF"/>
        </w:rPr>
        <w:t>degli ultimi due anni, che ha visto i prezzi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raggiungere livelli sensibilmente più elevati rispetto agli ultimi decenni. I prezzi hanno iniziato a salire rap</w:t>
      </w:r>
      <w:r w:rsidR="007F53DC">
        <w:rPr>
          <w:rStyle w:val="normaltextrun"/>
          <w:rFonts w:ascii="Times New Roman" w:hAnsi="Times New Roman"/>
          <w:noProof/>
          <w:sz w:val="24"/>
          <w:shd w:val="clear" w:color="auto" w:fill="FFFFFF"/>
        </w:rPr>
        <w:t>idamente nell</w:t>
      </w:r>
      <w:r w:rsidR="00E8249E">
        <w:rPr>
          <w:rStyle w:val="normaltextrun"/>
          <w:rFonts w:ascii="Times New Roman" w:hAnsi="Times New Roman"/>
          <w:noProof/>
          <w:sz w:val="24"/>
          <w:shd w:val="clear" w:color="auto" w:fill="FFFFFF"/>
        </w:rPr>
        <w:t>'</w:t>
      </w:r>
      <w:r w:rsidR="007F53DC">
        <w:rPr>
          <w:rStyle w:val="normaltextrun"/>
          <w:rFonts w:ascii="Times New Roman" w:hAnsi="Times New Roman"/>
          <w:noProof/>
          <w:sz w:val="24"/>
          <w:shd w:val="clear" w:color="auto" w:fill="FFFFFF"/>
        </w:rPr>
        <w:t>estate del </w:t>
      </w:r>
      <w:r>
        <w:rPr>
          <w:rStyle w:val="normaltextrun"/>
          <w:rFonts w:ascii="Times New Roman" w:hAnsi="Times New Roman"/>
          <w:noProof/>
          <w:sz w:val="24"/>
          <w:shd w:val="clear" w:color="auto" w:fill="FFFFFF"/>
        </w:rPr>
        <w:t>2021, con la ripresa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economia mondiale dopo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allentamento delle restrizioni dovute alla COVID-19. Successivamente la strumentalizzazione delle fonti energetiche sui mercati a pronti 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invasione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Ucraina da parte della Russia hanno comportato un notevole calo delle consegne di gas e interruzioni sempre più frequenti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approvvigionamento, determinando un ulteriore rialzo dei prezzi del gas. Tali rincari hanno un impatto significativo sul prezzo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elettrica, dal momento che per soddisfare la domanda di energia elettrica sono spesso necessarie centrali alimentate a gas.</w:t>
      </w:r>
    </w:p>
    <w:p w14:paraId="4A9D30CD" w14:textId="13EBC709" w:rsidR="00302342" w:rsidRPr="00EC7A99" w:rsidRDefault="7F33591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Sin dall</w:t>
      </w:r>
      <w:r w:rsidR="00E8249E">
        <w:rPr>
          <w:rFonts w:ascii="Times New Roman" w:hAnsi="Times New Roman"/>
          <w:noProof/>
          <w:sz w:val="24"/>
        </w:rPr>
        <w:t>'</w:t>
      </w:r>
      <w:r>
        <w:rPr>
          <w:rFonts w:ascii="Times New Roman" w:hAnsi="Times New Roman"/>
          <w:noProof/>
          <w:sz w:val="24"/>
        </w:rPr>
        <w:t>inizio della crisi energetica la Commissione si è adoperata al massimo per attenuare gli effetti dei prezzi elevati dell</w:t>
      </w:r>
      <w:r w:rsidR="00E8249E">
        <w:rPr>
          <w:rFonts w:ascii="Times New Roman" w:hAnsi="Times New Roman"/>
          <w:noProof/>
          <w:sz w:val="24"/>
        </w:rPr>
        <w:t>'</w:t>
      </w:r>
      <w:r>
        <w:rPr>
          <w:rFonts w:ascii="Times New Roman" w:hAnsi="Times New Roman"/>
          <w:noProof/>
          <w:sz w:val="24"/>
        </w:rPr>
        <w:t xml:space="preserve">energia sulle imprese e sui cittadini europei e ha elaborato rapidamente, in stretta collaborazione con gli Stati membri, una serie di risposte strategiche. </w:t>
      </w:r>
    </w:p>
    <w:p w14:paraId="0B660D68" w14:textId="0D3C72C6" w:rsidR="001222FB" w:rsidRPr="00EC7A99"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Nell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ottobre 2021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UE ha approntato un pacchetto di misure (tra cui sostegno al reddito, sgravi fiscali, misure finalizzate al risparmio e allo stoccaggio del gas)</w:t>
      </w:r>
      <w:r>
        <w:rPr>
          <w:rStyle w:val="FootnoteReference"/>
          <w:rFonts w:ascii="Times New Roman" w:eastAsia="Times New Roman" w:hAnsi="Times New Roman" w:cs="Times New Roman"/>
          <w:noProof/>
          <w:sz w:val="24"/>
          <w:shd w:val="clear" w:color="auto" w:fill="FFFFFF"/>
        </w:rPr>
        <w:footnoteReference w:id="3"/>
      </w:r>
      <w:r>
        <w:rPr>
          <w:rStyle w:val="normaltextrun"/>
          <w:rFonts w:ascii="Times New Roman" w:hAnsi="Times New Roman"/>
          <w:noProof/>
          <w:sz w:val="24"/>
          <w:shd w:val="clear" w:color="auto" w:fill="FFFFFF"/>
        </w:rPr>
        <w:t xml:space="preserve"> per far fronte ai prezzi elevati e al loro impatto sui consumatori</w:t>
      </w:r>
      <w:r>
        <w:rPr>
          <w:noProof/>
        </w:rPr>
        <w:t>.</w:t>
      </w:r>
      <w:r>
        <w:rPr>
          <w:rStyle w:val="normaltextrun"/>
          <w:rFonts w:ascii="Times New Roman" w:hAnsi="Times New Roman"/>
          <w:noProof/>
          <w:sz w:val="24"/>
          <w:shd w:val="clear" w:color="auto" w:fill="FFFFFF"/>
        </w:rPr>
        <w:t xml:space="preserv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iniziativa si iscriveva nel contesto della strumentalizzazione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approvvigionamento di gas e della manipolazione dei mercati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operate dalla Russia attraverso perturbazioni intenzionali dei flussi di gas, che suscitavano crescenti preoccupazioni riguardo a possibili carenze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approvvigionamento con un conseguente aumento senza precedenti dei prezzi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 xml:space="preserve">energia. </w:t>
      </w:r>
    </w:p>
    <w:p w14:paraId="651CF598" w14:textId="448E70D4" w:rsidR="00302342" w:rsidRPr="00EC7A99"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rPr>
      </w:pPr>
      <w:r>
        <w:rPr>
          <w:rStyle w:val="normaltextrun"/>
          <w:rFonts w:ascii="Times New Roman" w:hAnsi="Times New Roman"/>
          <w:noProof/>
          <w:sz w:val="24"/>
          <w:shd w:val="clear" w:color="auto" w:fill="FFFFFF"/>
        </w:rPr>
        <w:t>A seguito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 xml:space="preserve">invasione </w:t>
      </w:r>
      <w:r w:rsidR="00831832">
        <w:rPr>
          <w:rStyle w:val="normaltextrun"/>
          <w:rFonts w:ascii="Times New Roman" w:hAnsi="Times New Roman"/>
          <w:noProof/>
          <w:sz w:val="24"/>
          <w:shd w:val="clear" w:color="auto" w:fill="FFFFFF"/>
        </w:rPr>
        <w:t>russa dell</w:t>
      </w:r>
      <w:r w:rsidR="00E8249E">
        <w:rPr>
          <w:rStyle w:val="normaltextrun"/>
          <w:rFonts w:ascii="Times New Roman" w:hAnsi="Times New Roman"/>
          <w:noProof/>
          <w:sz w:val="24"/>
          <w:shd w:val="clear" w:color="auto" w:fill="FFFFFF"/>
        </w:rPr>
        <w:t>'</w:t>
      </w:r>
      <w:r w:rsidR="00831832">
        <w:rPr>
          <w:rStyle w:val="normaltextrun"/>
          <w:rFonts w:ascii="Times New Roman" w:hAnsi="Times New Roman"/>
          <w:noProof/>
          <w:sz w:val="24"/>
          <w:shd w:val="clear" w:color="auto" w:fill="FFFFFF"/>
        </w:rPr>
        <w:t xml:space="preserve">Ucraina nel febbraio </w:t>
      </w:r>
      <w:r>
        <w:rPr>
          <w:rStyle w:val="normaltextrun"/>
          <w:rFonts w:ascii="Times New Roman" w:hAnsi="Times New Roman"/>
          <w:noProof/>
          <w:sz w:val="24"/>
          <w:shd w:val="clear" w:color="auto" w:fill="FFFFFF"/>
        </w:rPr>
        <w:t>2022,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UE ha adottato a marzo una comunicazione in cui delineava i principi del piano REPowerEU</w:t>
      </w:r>
      <w:r>
        <w:rPr>
          <w:rStyle w:val="FootnoteReference"/>
          <w:rFonts w:ascii="Times New Roman" w:eastAsia="Times New Roman" w:hAnsi="Times New Roman" w:cs="Times New Roman"/>
          <w:noProof/>
          <w:sz w:val="24"/>
        </w:rPr>
        <w:footnoteReference w:id="4"/>
      </w:r>
      <w:r>
        <w:rPr>
          <w:rFonts w:ascii="Times New Roman" w:hAnsi="Times New Roman"/>
          <w:noProof/>
          <w:shd w:val="clear" w:color="auto" w:fill="FFFFFF"/>
        </w:rPr>
        <w:t>,</w:t>
      </w:r>
      <w:r>
        <w:rPr>
          <w:rFonts w:ascii="Times New Roman" w:hAnsi="Times New Roman"/>
          <w:noProof/>
          <w:sz w:val="24"/>
          <w:shd w:val="clear" w:color="auto" w:fill="FFFFFF"/>
        </w:rPr>
        <w:t xml:space="preserve"> </w:t>
      </w:r>
      <w:r>
        <w:rPr>
          <w:rStyle w:val="normaltextrun"/>
          <w:rFonts w:ascii="Times New Roman" w:hAnsi="Times New Roman"/>
          <w:noProof/>
          <w:sz w:val="24"/>
          <w:shd w:val="clear" w:color="auto" w:fill="FFFFFF"/>
        </w:rPr>
        <w:t>pre</w:t>
      </w:r>
      <w:r w:rsidR="00831832">
        <w:rPr>
          <w:rStyle w:val="normaltextrun"/>
          <w:rFonts w:ascii="Times New Roman" w:hAnsi="Times New Roman"/>
          <w:noProof/>
          <w:sz w:val="24"/>
          <w:shd w:val="clear" w:color="auto" w:fill="FFFFFF"/>
        </w:rPr>
        <w:t xml:space="preserve">sentato poi nel dettaglio il 18 maggio </w:t>
      </w:r>
      <w:r>
        <w:rPr>
          <w:rStyle w:val="normaltextrun"/>
          <w:rFonts w:ascii="Times New Roman" w:hAnsi="Times New Roman"/>
          <w:noProof/>
          <w:sz w:val="24"/>
          <w:shd w:val="clear" w:color="auto" w:fill="FFFFFF"/>
        </w:rPr>
        <w:t>2022</w:t>
      </w:r>
      <w:r>
        <w:rPr>
          <w:rStyle w:val="FootnoteReference"/>
          <w:rFonts w:ascii="Times New Roman" w:hAnsi="Times New Roman" w:cs="Times New Roman"/>
          <w:noProof/>
          <w:sz w:val="24"/>
          <w:shd w:val="clear" w:color="auto" w:fill="FFFFFF"/>
        </w:rPr>
        <w:footnoteReference w:id="5"/>
      </w:r>
      <w:r>
        <w:rPr>
          <w:rStyle w:val="normaltextrun"/>
          <w:rFonts w:ascii="Times New Roman" w:hAnsi="Times New Roman"/>
          <w:noProof/>
          <w:sz w:val="24"/>
          <w:shd w:val="clear" w:color="auto" w:fill="FFFFFF"/>
        </w:rPr>
        <w:t>. Si tratta di un piano che mira ad affrancare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 xml:space="preserve">UE </w:t>
      </w:r>
      <w:r>
        <w:rPr>
          <w:rStyle w:val="normaltextrun"/>
          <w:rFonts w:ascii="Times New Roman" w:hAnsi="Times New Roman"/>
          <w:noProof/>
          <w:color w:val="000000" w:themeColor="text1"/>
          <w:sz w:val="24"/>
        </w:rPr>
        <w:t xml:space="preserve">dalla </w:t>
      </w:r>
      <w:r>
        <w:rPr>
          <w:rStyle w:val="normaltextrun"/>
          <w:rFonts w:ascii="Times New Roman" w:hAnsi="Times New Roman"/>
          <w:noProof/>
          <w:sz w:val="24"/>
          <w:shd w:val="clear" w:color="auto" w:fill="FFFFFF"/>
        </w:rPr>
        <w:t>dipendenza dai combustibili fossili russi al più tardi entro il 2027, basato su tre</w:t>
      </w:r>
      <w:r>
        <w:rPr>
          <w:rStyle w:val="normaltextrun"/>
          <w:rFonts w:ascii="Times New Roman" w:hAnsi="Times New Roman"/>
          <w:noProof/>
          <w:sz w:val="24"/>
        </w:rPr>
        <w:t xml:space="preserve"> pilastri: diversificare le fonti energetiche abbandonando i combustibili fossili russi</w:t>
      </w:r>
      <w:r>
        <w:rPr>
          <w:rStyle w:val="normaltextrun"/>
          <w:rFonts w:ascii="Times New Roman" w:hAnsi="Times New Roman"/>
          <w:noProof/>
          <w:sz w:val="24"/>
          <w:shd w:val="clear" w:color="auto" w:fill="FFFFFF"/>
        </w:rPr>
        <w:t>, risparmiare energia e accelerare la transizione energetica. Per quanto riguarda il terzo pilastro, la Commissione ha proposto di rivedere al rialzo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 xml:space="preserve">obiettivo principale per il 2030 per le energie rinnovabili, passando dal 40 % al 45 %, e </w:t>
      </w:r>
      <w:r>
        <w:rPr>
          <w:rFonts w:ascii="Times New Roman" w:hAnsi="Times New Roman"/>
          <w:noProof/>
          <w:sz w:val="24"/>
        </w:rPr>
        <w:t>l</w:t>
      </w:r>
      <w:r w:rsidR="00E8249E">
        <w:rPr>
          <w:rFonts w:ascii="Times New Roman" w:hAnsi="Times New Roman"/>
          <w:noProof/>
          <w:sz w:val="24"/>
        </w:rPr>
        <w:t>'</w:t>
      </w:r>
      <w:r>
        <w:rPr>
          <w:rFonts w:ascii="Times New Roman" w:hAnsi="Times New Roman"/>
          <w:noProof/>
          <w:sz w:val="24"/>
        </w:rPr>
        <w:t>obiettivo di efficienza energetica nell</w:t>
      </w:r>
      <w:r w:rsidR="00E8249E">
        <w:rPr>
          <w:rFonts w:ascii="Times New Roman" w:hAnsi="Times New Roman"/>
          <w:noProof/>
          <w:sz w:val="24"/>
        </w:rPr>
        <w:t>'</w:t>
      </w:r>
      <w:r>
        <w:rPr>
          <w:rFonts w:ascii="Times New Roman" w:hAnsi="Times New Roman"/>
          <w:noProof/>
          <w:sz w:val="24"/>
        </w:rPr>
        <w:t xml:space="preserve">ambito del pacchetto </w:t>
      </w:r>
      <w:r w:rsidR="00E8249E">
        <w:rPr>
          <w:rFonts w:ascii="Times New Roman" w:hAnsi="Times New Roman"/>
          <w:noProof/>
          <w:sz w:val="24"/>
        </w:rPr>
        <w:t>"</w:t>
      </w:r>
      <w:r>
        <w:rPr>
          <w:rFonts w:ascii="Times New Roman" w:hAnsi="Times New Roman"/>
          <w:noProof/>
          <w:sz w:val="24"/>
        </w:rPr>
        <w:t>Pronti per il 55 %</w:t>
      </w:r>
      <w:r w:rsidR="00E8249E">
        <w:rPr>
          <w:rFonts w:ascii="Times New Roman" w:hAnsi="Times New Roman"/>
          <w:noProof/>
          <w:sz w:val="24"/>
        </w:rPr>
        <w:t>"</w:t>
      </w:r>
      <w:r>
        <w:rPr>
          <w:rFonts w:ascii="Times New Roman" w:hAnsi="Times New Roman"/>
          <w:noProof/>
          <w:sz w:val="24"/>
        </w:rPr>
        <w:t>, portandolo dal 9 % al 13 %</w:t>
      </w:r>
      <w:r>
        <w:rPr>
          <w:rStyle w:val="normaltextrun"/>
          <w:rFonts w:ascii="Times New Roman" w:hAnsi="Times New Roman"/>
          <w:noProof/>
          <w:sz w:val="24"/>
          <w:shd w:val="clear" w:color="auto" w:fill="FFFFFF"/>
        </w:rPr>
        <w:t>. Per proteggere i cittadini europei dalle crisi connesse ai combustibili fossili</w:t>
      </w:r>
      <w:r>
        <w:rPr>
          <w:rStyle w:val="normaltextrun"/>
          <w:rFonts w:ascii="Times New Roman" w:hAnsi="Times New Roman"/>
          <w:noProof/>
          <w:sz w:val="24"/>
        </w:rPr>
        <w:t xml:space="preserve"> sono necessarie un</w:t>
      </w:r>
      <w:r w:rsidR="00E8249E">
        <w:rPr>
          <w:rStyle w:val="normaltextrun"/>
          <w:rFonts w:ascii="Times New Roman" w:hAnsi="Times New Roman"/>
          <w:noProof/>
          <w:sz w:val="24"/>
        </w:rPr>
        <w:t>'</w:t>
      </w:r>
      <w:r>
        <w:rPr>
          <w:rStyle w:val="normaltextrun"/>
          <w:rFonts w:ascii="Times New Roman" w:hAnsi="Times New Roman"/>
          <w:noProof/>
          <w:sz w:val="24"/>
        </w:rPr>
        <w:t>espansione più rapida delle rinnovabili, una maggiore efficienza energetica e un</w:t>
      </w:r>
      <w:r w:rsidR="00E8249E">
        <w:rPr>
          <w:rStyle w:val="normaltextrun"/>
          <w:rFonts w:ascii="Times New Roman" w:hAnsi="Times New Roman"/>
          <w:noProof/>
          <w:sz w:val="24"/>
        </w:rPr>
        <w:t>'</w:t>
      </w:r>
      <w:r>
        <w:rPr>
          <w:rStyle w:val="normaltextrun"/>
          <w:rFonts w:ascii="Times New Roman" w:hAnsi="Times New Roman"/>
          <w:noProof/>
          <w:sz w:val="24"/>
        </w:rPr>
        <w:t>elettrificazione più spinta della domanda</w:t>
      </w:r>
      <w:r>
        <w:rPr>
          <w:rStyle w:val="normaltextrun"/>
          <w:rFonts w:ascii="Times New Roman" w:hAnsi="Times New Roman"/>
          <w:noProof/>
          <w:sz w:val="24"/>
          <w:shd w:val="clear" w:color="auto" w:fill="FFFFFF"/>
        </w:rPr>
        <w:t>, che consentiranno una riduzione immediata e strutturale della domanda di combustibili fossili e contribuiranno agli obiettivi di decarbonizzazione nei settori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elettrica, del riscaldamento e raffrescamento e dei trasporti. Grazie ai bassi costi operativi, le fonti rinnovabili dovrebbero influire positivamente sui prezzi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in tutta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UE. Inoltre la diffusione più rapida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rinnovabile, unita a una maggiore efficienza energetica, contribuirà alla sicurezza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rPr>
        <w:t xml:space="preserve">approvvigionamento energetico permettendo di </w:t>
      </w:r>
      <w:r>
        <w:rPr>
          <w:rStyle w:val="normaltextrun"/>
          <w:rFonts w:ascii="Times New Roman" w:hAnsi="Times New Roman"/>
          <w:noProof/>
          <w:sz w:val="24"/>
          <w:shd w:val="clear" w:color="auto" w:fill="FFFFFF"/>
        </w:rPr>
        <w:t xml:space="preserve">abbandonare gradualmente i </w:t>
      </w:r>
      <w:r>
        <w:rPr>
          <w:rStyle w:val="normaltextrun"/>
          <w:rFonts w:ascii="Times New Roman" w:hAnsi="Times New Roman"/>
          <w:noProof/>
          <w:color w:val="000000" w:themeColor="text1"/>
          <w:sz w:val="24"/>
        </w:rPr>
        <w:t xml:space="preserve">combustibili fossili </w:t>
      </w:r>
      <w:r>
        <w:rPr>
          <w:rStyle w:val="normaltextrun"/>
          <w:rFonts w:ascii="Times New Roman" w:hAnsi="Times New Roman"/>
          <w:noProof/>
          <w:sz w:val="24"/>
          <w:shd w:val="clear" w:color="auto" w:fill="FFFFFF"/>
        </w:rPr>
        <w:t>da cui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UE era fortemente dipendente</w:t>
      </w:r>
      <w:r>
        <w:rPr>
          <w:rStyle w:val="normaltextrun"/>
          <w:rFonts w:ascii="Times New Roman" w:hAnsi="Times New Roman"/>
          <w:noProof/>
          <w:sz w:val="24"/>
        </w:rPr>
        <w:t>.</w:t>
      </w:r>
      <w:r>
        <w:rPr>
          <w:rStyle w:val="eop"/>
          <w:rFonts w:ascii="Times New Roman" w:hAnsi="Times New Roman"/>
          <w:noProof/>
          <w:color w:val="000000" w:themeColor="text1"/>
          <w:sz w:val="24"/>
        </w:rPr>
        <w:t xml:space="preserve"> In parallelo al piano REPowerEU, la comunicazione sugli interventi a breve termine nei mercati dell</w:t>
      </w:r>
      <w:r w:rsidR="00E8249E">
        <w:rPr>
          <w:rStyle w:val="eop"/>
          <w:rFonts w:ascii="Times New Roman" w:hAnsi="Times New Roman"/>
          <w:noProof/>
          <w:color w:val="000000" w:themeColor="text1"/>
          <w:sz w:val="24"/>
        </w:rPr>
        <w:t>'</w:t>
      </w:r>
      <w:r>
        <w:rPr>
          <w:rStyle w:val="eop"/>
          <w:rFonts w:ascii="Times New Roman" w:hAnsi="Times New Roman"/>
          <w:noProof/>
          <w:color w:val="000000" w:themeColor="text1"/>
          <w:sz w:val="24"/>
        </w:rPr>
        <w:t>energia</w:t>
      </w:r>
      <w:r>
        <w:rPr>
          <w:rStyle w:val="FootnoteReference"/>
          <w:rFonts w:ascii="Times New Roman" w:hAnsi="Times New Roman" w:cs="Times New Roman"/>
          <w:noProof/>
          <w:color w:val="000000" w:themeColor="text1"/>
          <w:sz w:val="24"/>
        </w:rPr>
        <w:footnoteReference w:id="6"/>
      </w:r>
      <w:r>
        <w:rPr>
          <w:rStyle w:val="eop"/>
          <w:rFonts w:ascii="Times New Roman" w:hAnsi="Times New Roman"/>
          <w:noProof/>
          <w:sz w:val="24"/>
        </w:rPr>
        <w:t xml:space="preserve"> ha individuato potenziali aree di miglioramento dell</w:t>
      </w:r>
      <w:r w:rsidR="00E8249E">
        <w:rPr>
          <w:rStyle w:val="eop"/>
          <w:rFonts w:ascii="Times New Roman" w:hAnsi="Times New Roman"/>
          <w:noProof/>
          <w:sz w:val="24"/>
        </w:rPr>
        <w:t>'</w:t>
      </w:r>
      <w:r>
        <w:rPr>
          <w:rStyle w:val="eop"/>
          <w:rFonts w:ascii="Times New Roman" w:hAnsi="Times New Roman"/>
          <w:noProof/>
          <w:sz w:val="24"/>
        </w:rPr>
        <w:t>assetto del mercato dell</w:t>
      </w:r>
      <w:r w:rsidR="00E8249E">
        <w:rPr>
          <w:rStyle w:val="eop"/>
          <w:rFonts w:ascii="Times New Roman" w:hAnsi="Times New Roman"/>
          <w:noProof/>
          <w:sz w:val="24"/>
        </w:rPr>
        <w:t>'</w:t>
      </w:r>
      <w:r>
        <w:rPr>
          <w:rStyle w:val="eop"/>
          <w:rFonts w:ascii="Times New Roman" w:hAnsi="Times New Roman"/>
          <w:noProof/>
          <w:sz w:val="24"/>
        </w:rPr>
        <w:t>energia elettrica e ha annunciato l</w:t>
      </w:r>
      <w:r w:rsidR="00E8249E">
        <w:rPr>
          <w:rStyle w:val="eop"/>
          <w:rFonts w:ascii="Times New Roman" w:hAnsi="Times New Roman"/>
          <w:noProof/>
          <w:sz w:val="24"/>
        </w:rPr>
        <w:t>'</w:t>
      </w:r>
      <w:r>
        <w:rPr>
          <w:rStyle w:val="eop"/>
          <w:rFonts w:ascii="Times New Roman" w:hAnsi="Times New Roman"/>
          <w:noProof/>
          <w:sz w:val="24"/>
        </w:rPr>
        <w:t>intenzione di valutarle al fine di modificare il quadro normativo pertinente, oltre a definire ulteriori provvedimenti a breve termine per far fronte ai prezzi elevati dell</w:t>
      </w:r>
      <w:r w:rsidR="00E8249E">
        <w:rPr>
          <w:rStyle w:val="eop"/>
          <w:rFonts w:ascii="Times New Roman" w:hAnsi="Times New Roman"/>
          <w:noProof/>
          <w:sz w:val="24"/>
        </w:rPr>
        <w:t>'</w:t>
      </w:r>
      <w:r>
        <w:rPr>
          <w:rStyle w:val="eop"/>
          <w:rFonts w:ascii="Times New Roman" w:hAnsi="Times New Roman"/>
          <w:noProof/>
          <w:sz w:val="24"/>
        </w:rPr>
        <w:t xml:space="preserve">energia. </w:t>
      </w:r>
    </w:p>
    <w:p w14:paraId="2306A582" w14:textId="291779CE" w:rsidR="00302342" w:rsidRPr="00EC7A99" w:rsidRDefault="00831832" w:rsidP="2B9E9F58">
      <w:p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shd w:val="clear" w:color="auto" w:fill="FFFFFF"/>
        </w:rPr>
        <w:t xml:space="preserve">Il 6 ottobre </w:t>
      </w:r>
      <w:r w:rsidR="599EF2EB">
        <w:rPr>
          <w:rStyle w:val="normaltextrun"/>
          <w:rFonts w:ascii="Times New Roman" w:hAnsi="Times New Roman"/>
          <w:noProof/>
          <w:sz w:val="24"/>
          <w:shd w:val="clear" w:color="auto" w:fill="FFFFFF"/>
        </w:rPr>
        <w:t xml:space="preserve">2022 il Consiglio ha adottato il regolamento del Consiglio, che ha introdotto misure comuni eccezionali, mirate e limitate nel tempo per ridurre la domanda di energia elettrica e riscuotere e ridistribuire ai clienti finali i ricavi </w:t>
      </w:r>
      <w:r w:rsidR="599EF2EB">
        <w:rPr>
          <w:rStyle w:val="normaltextrun"/>
          <w:rFonts w:ascii="Times New Roman" w:hAnsi="Times New Roman"/>
          <w:noProof/>
          <w:sz w:val="24"/>
        </w:rPr>
        <w:t>eccezionalmente elevati</w:t>
      </w:r>
      <w:r w:rsidR="599EF2EB">
        <w:rPr>
          <w:rStyle w:val="normaltextrun"/>
          <w:rFonts w:ascii="Times New Roman" w:hAnsi="Times New Roman"/>
          <w:noProof/>
          <w:sz w:val="24"/>
          <w:shd w:val="clear" w:color="auto" w:fill="FFFFFF"/>
        </w:rPr>
        <w:t xml:space="preserve"> del settore. Nello specifico le misure di intervento nel mercato dell</w:t>
      </w:r>
      <w:r w:rsidR="00E8249E">
        <w:rPr>
          <w:rStyle w:val="normaltextrun"/>
          <w:rFonts w:ascii="Times New Roman" w:hAnsi="Times New Roman"/>
          <w:noProof/>
          <w:sz w:val="24"/>
          <w:shd w:val="clear" w:color="auto" w:fill="FFFFFF"/>
        </w:rPr>
        <w:t>'</w:t>
      </w:r>
      <w:r w:rsidR="599EF2EB">
        <w:rPr>
          <w:rStyle w:val="normaltextrun"/>
          <w:rFonts w:ascii="Times New Roman" w:hAnsi="Times New Roman"/>
          <w:noProof/>
          <w:sz w:val="24"/>
          <w:shd w:val="clear" w:color="auto" w:fill="FFFFFF"/>
        </w:rPr>
        <w:t>energia elettrica si posson</w:t>
      </w:r>
      <w:r>
        <w:rPr>
          <w:rStyle w:val="normaltextrun"/>
          <w:rFonts w:ascii="Times New Roman" w:hAnsi="Times New Roman"/>
          <w:noProof/>
          <w:sz w:val="24"/>
          <w:shd w:val="clear" w:color="auto" w:fill="FFFFFF"/>
        </w:rPr>
        <w:t xml:space="preserve">o sintetizzare come segue (capo </w:t>
      </w:r>
      <w:r w:rsidR="599EF2EB">
        <w:rPr>
          <w:rStyle w:val="normaltextrun"/>
          <w:rFonts w:ascii="Times New Roman" w:hAnsi="Times New Roman"/>
          <w:noProof/>
          <w:sz w:val="24"/>
          <w:shd w:val="clear" w:color="auto" w:fill="FFFFFF"/>
        </w:rPr>
        <w:t>II del regolamento del Consiglio):</w:t>
      </w:r>
    </w:p>
    <w:p w14:paraId="5108252C" w14:textId="5571FF26"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riduzione della domanda di energia elettrica</w:t>
      </w:r>
      <w:r>
        <w:rPr>
          <w:rStyle w:val="normaltextrun"/>
          <w:rFonts w:ascii="Times New Roman" w:hAnsi="Times New Roman"/>
          <w:noProof/>
          <w:sz w:val="24"/>
          <w:shd w:val="clear" w:color="auto" w:fill="FFFFFF"/>
        </w:rPr>
        <w:t xml:space="preserve">: il regolamento del Consiglio fissa due obiettivi, uno indicativo (tagliare del 10 % la domanda complessiva di energia elettrica) e uno obbligatorio (ridurre almeno del 5 % la domanda nelle ore in cui è elevata). Gli Stati membri </w:t>
      </w:r>
      <w:r>
        <w:rPr>
          <w:rStyle w:val="normaltextrun"/>
          <w:rFonts w:ascii="Times New Roman" w:hAnsi="Times New Roman"/>
          <w:noProof/>
          <w:sz w:val="24"/>
        </w:rPr>
        <w:t xml:space="preserve">potevano </w:t>
      </w:r>
      <w:r>
        <w:rPr>
          <w:rStyle w:val="normaltextrun"/>
          <w:rFonts w:ascii="Times New Roman" w:hAnsi="Times New Roman"/>
          <w:noProof/>
          <w:sz w:val="24"/>
          <w:shd w:val="clear" w:color="auto" w:fill="FFFFFF"/>
        </w:rPr>
        <w:t>scegliere le misure idonee, nel rispetto di alcune condizioni stabilite nel regolamento</w:t>
      </w:r>
      <w:r>
        <w:rPr>
          <w:rStyle w:val="FootnoteReference"/>
          <w:rFonts w:ascii="Times New Roman" w:eastAsia="Times New Roman" w:hAnsi="Times New Roman" w:cs="Times New Roman"/>
          <w:noProof/>
          <w:sz w:val="24"/>
          <w:shd w:val="clear" w:color="auto" w:fill="FFFFFF"/>
        </w:rPr>
        <w:footnoteReference w:id="7"/>
      </w:r>
      <w:r>
        <w:rPr>
          <w:noProof/>
        </w:rPr>
        <w:t>.</w:t>
      </w:r>
      <w:r>
        <w:rPr>
          <w:rStyle w:val="normaltextrun"/>
          <w:rFonts w:ascii="Times New Roman" w:hAnsi="Times New Roman"/>
          <w:noProof/>
          <w:sz w:val="24"/>
          <w:shd w:val="clear" w:color="auto" w:fill="FFFFFF"/>
        </w:rPr>
        <w:t xml:space="preserv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obiettivo obbligatorio è stato applicato dal 1º dicembre </w:t>
      </w:r>
      <w:r w:rsidR="00831832">
        <w:rPr>
          <w:rStyle w:val="normaltextrun"/>
          <w:rFonts w:ascii="Times New Roman" w:hAnsi="Times New Roman"/>
          <w:noProof/>
          <w:sz w:val="24"/>
          <w:shd w:val="clear" w:color="auto" w:fill="FFFFFF"/>
        </w:rPr>
        <w:t xml:space="preserve">2022 al 31 marzo </w:t>
      </w:r>
      <w:r>
        <w:rPr>
          <w:rStyle w:val="normaltextrun"/>
          <w:rFonts w:ascii="Times New Roman" w:hAnsi="Times New Roman"/>
          <w:noProof/>
          <w:sz w:val="24"/>
          <w:shd w:val="clear" w:color="auto" w:fill="FFFFFF"/>
        </w:rPr>
        <w:t>2023</w:t>
      </w:r>
      <w:r>
        <w:rPr>
          <w:rStyle w:val="FootnoteReference"/>
          <w:rFonts w:ascii="Times New Roman" w:eastAsia="Times New Roman" w:hAnsi="Times New Roman" w:cs="Times New Roman"/>
          <w:noProof/>
          <w:sz w:val="24"/>
        </w:rPr>
        <w:footnoteReference w:id="8"/>
      </w:r>
      <w:r>
        <w:rPr>
          <w:noProof/>
        </w:rPr>
        <w:t>;</w:t>
      </w:r>
    </w:p>
    <w:p w14:paraId="4086E49F" w14:textId="0841F523"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 xml:space="preserve">introduzione di un tetto provvisorio sui ricavi dei produttori di energia </w:t>
      </w:r>
      <w:r w:rsidR="00E8249E">
        <w:rPr>
          <w:rStyle w:val="normaltextrun"/>
          <w:rFonts w:ascii="Times New Roman" w:hAnsi="Times New Roman"/>
          <w:noProof/>
          <w:sz w:val="24"/>
          <w:u w:val="single"/>
          <w:shd w:val="clear" w:color="auto" w:fill="FFFFFF"/>
        </w:rPr>
        <w:t>"</w:t>
      </w:r>
      <w:r>
        <w:rPr>
          <w:rStyle w:val="normaltextrun"/>
          <w:rFonts w:ascii="Times New Roman" w:hAnsi="Times New Roman"/>
          <w:noProof/>
          <w:sz w:val="24"/>
          <w:u w:val="single"/>
          <w:shd w:val="clear" w:color="auto" w:fill="FFFFFF"/>
        </w:rPr>
        <w:t>inframarginali</w:t>
      </w:r>
      <w:r w:rsidR="00E8249E">
        <w:rPr>
          <w:rStyle w:val="normaltextrun"/>
          <w:rFonts w:ascii="Times New Roman" w:hAnsi="Times New Roman"/>
          <w:noProof/>
          <w:sz w:val="24"/>
          <w:u w:val="single"/>
          <w:shd w:val="clear" w:color="auto" w:fill="FFFFFF"/>
        </w:rPr>
        <w:t>"</w:t>
      </w:r>
      <w:r>
        <w:rPr>
          <w:rStyle w:val="normaltextrun"/>
          <w:rFonts w:ascii="Times New Roman" w:hAnsi="Times New Roman"/>
          <w:noProof/>
          <w:sz w:val="24"/>
          <w:u w:val="single"/>
          <w:shd w:val="clear" w:color="auto" w:fill="FFFFFF"/>
        </w:rPr>
        <w:t xml:space="preserve"> (per esempio energie rinnovabili, energia nucleare e lignite)</w:t>
      </w:r>
      <w:r>
        <w:rPr>
          <w:rStyle w:val="normaltextrun"/>
          <w:rFonts w:ascii="Times New Roman" w:hAnsi="Times New Roman"/>
          <w:noProof/>
          <w:sz w:val="24"/>
          <w:shd w:val="clear" w:color="auto" w:fill="FFFFFF"/>
        </w:rPr>
        <w:t>: il regolamento del Consiglio sancisce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introduzione di un tetto provvisori</w:t>
      </w:r>
      <w:r w:rsidR="00831832">
        <w:rPr>
          <w:rStyle w:val="normaltextrun"/>
          <w:rFonts w:ascii="Times New Roman" w:hAnsi="Times New Roman"/>
          <w:noProof/>
          <w:sz w:val="24"/>
          <w:shd w:val="clear" w:color="auto" w:fill="FFFFFF"/>
        </w:rPr>
        <w:t>o sui ricavi, pari al massimo a </w:t>
      </w:r>
      <w:r>
        <w:rPr>
          <w:rStyle w:val="normaltextrun"/>
          <w:rFonts w:ascii="Times New Roman" w:hAnsi="Times New Roman"/>
          <w:noProof/>
          <w:sz w:val="24"/>
          <w:shd w:val="clear" w:color="auto" w:fill="FFFFFF"/>
        </w:rPr>
        <w:t>180 EUR/MWh, per i produttori di energia elettrica che si avvalgono di tecnologie con costi marginali inferiori, lasciando però agli Stati membri la libertà di decidere come applicare questa misura a livello nazionale. I ricavi al di sopra del tetto saranno utilizzati per attenuare 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impatto dei prezzi elevati dell</w:t>
      </w:r>
      <w:r w:rsidR="00E8249E">
        <w:rPr>
          <w:rStyle w:val="normaltextrun"/>
          <w:rFonts w:ascii="Times New Roman" w:hAnsi="Times New Roman"/>
          <w:noProof/>
          <w:sz w:val="24"/>
          <w:shd w:val="clear" w:color="auto" w:fill="FFFFFF"/>
        </w:rPr>
        <w:t>'</w:t>
      </w:r>
      <w:r>
        <w:rPr>
          <w:rStyle w:val="normaltextrun"/>
          <w:rFonts w:ascii="Times New Roman" w:hAnsi="Times New Roman"/>
          <w:noProof/>
          <w:sz w:val="24"/>
          <w:shd w:val="clear" w:color="auto" w:fill="FFFFFF"/>
        </w:rPr>
        <w:t>energia elettrica sui consumatori. La mi</w:t>
      </w:r>
      <w:r w:rsidR="00831832">
        <w:rPr>
          <w:rStyle w:val="normaltextrun"/>
          <w:rFonts w:ascii="Times New Roman" w:hAnsi="Times New Roman"/>
          <w:noProof/>
          <w:sz w:val="24"/>
          <w:shd w:val="clear" w:color="auto" w:fill="FFFFFF"/>
        </w:rPr>
        <w:t xml:space="preserve">sura si applica dal 1º dicembre 2022 al 30 giugno </w:t>
      </w:r>
      <w:r>
        <w:rPr>
          <w:rStyle w:val="normaltextrun"/>
          <w:rFonts w:ascii="Times New Roman" w:hAnsi="Times New Roman"/>
          <w:noProof/>
          <w:sz w:val="24"/>
          <w:shd w:val="clear" w:color="auto" w:fill="FFFFFF"/>
        </w:rPr>
        <w:t xml:space="preserve">2023; </w:t>
      </w:r>
    </w:p>
    <w:p w14:paraId="11FD8739" w14:textId="1520BA1A"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Pr>
          <w:rStyle w:val="normaltextrun"/>
          <w:rFonts w:ascii="Times New Roman" w:hAnsi="Times New Roman"/>
          <w:noProof/>
          <w:sz w:val="24"/>
          <w:u w:val="single"/>
          <w:shd w:val="clear" w:color="auto" w:fill="FFFFFF"/>
        </w:rPr>
        <w:t>sostegno a favore dei clienti finali</w:t>
      </w:r>
      <w:r>
        <w:rPr>
          <w:rStyle w:val="normaltextrun"/>
          <w:rFonts w:ascii="Times New Roman" w:hAnsi="Times New Roman"/>
          <w:noProof/>
          <w:sz w:val="24"/>
          <w:shd w:val="clear" w:color="auto" w:fill="FFFFFF"/>
        </w:rPr>
        <w:t>: il regolamento del Consiglio amplia il pacchetto di misure a disposizione degli Stati membri per tutelare i consumatori di energia elettrica, autorizzando prezzi regolati inferiori ai costi per famiglie e piccole e medie imprese (PMI) a determinate condizioni.</w:t>
      </w:r>
      <w:r w:rsidR="00E8249E">
        <w:rPr>
          <w:rStyle w:val="normaltextrun"/>
          <w:rFonts w:ascii="Times New Roman" w:hAnsi="Times New Roman"/>
          <w:noProof/>
          <w:sz w:val="24"/>
          <w:shd w:val="clear" w:color="auto" w:fill="FFFFFF"/>
        </w:rPr>
        <w:t xml:space="preserve"> </w:t>
      </w:r>
      <w:r w:rsidR="00831832">
        <w:rPr>
          <w:rStyle w:val="normaltextrun"/>
          <w:rFonts w:ascii="Times New Roman" w:hAnsi="Times New Roman"/>
          <w:noProof/>
          <w:sz w:val="24"/>
          <w:shd w:val="clear" w:color="auto" w:fill="FFFFFF"/>
        </w:rPr>
        <w:t>Questa misura si applica dall</w:t>
      </w:r>
      <w:r w:rsidR="00E8249E">
        <w:rPr>
          <w:rStyle w:val="normaltextrun"/>
          <w:rFonts w:ascii="Times New Roman" w:hAnsi="Times New Roman"/>
          <w:noProof/>
          <w:sz w:val="24"/>
          <w:shd w:val="clear" w:color="auto" w:fill="FFFFFF"/>
        </w:rPr>
        <w:t>'</w:t>
      </w:r>
      <w:r w:rsidR="00831832">
        <w:rPr>
          <w:rStyle w:val="normaltextrun"/>
          <w:rFonts w:ascii="Times New Roman" w:hAnsi="Times New Roman"/>
          <w:noProof/>
          <w:sz w:val="24"/>
          <w:shd w:val="clear" w:color="auto" w:fill="FFFFFF"/>
        </w:rPr>
        <w:t>8 ottobre 2022 al </w:t>
      </w:r>
      <w:r>
        <w:rPr>
          <w:rStyle w:val="normaltextrun"/>
          <w:rFonts w:ascii="Times New Roman" w:hAnsi="Times New Roman"/>
          <w:noProof/>
          <w:sz w:val="24"/>
          <w:shd w:val="clear" w:color="auto" w:fill="FFFFFF"/>
        </w:rPr>
        <w:t>31 </w:t>
      </w:r>
      <w:r w:rsidR="00831832">
        <w:rPr>
          <w:rStyle w:val="normaltextrun"/>
          <w:rFonts w:ascii="Times New Roman" w:hAnsi="Times New Roman"/>
          <w:noProof/>
          <w:sz w:val="24"/>
          <w:shd w:val="clear" w:color="auto" w:fill="FFFFFF"/>
        </w:rPr>
        <w:t xml:space="preserve">dicembre </w:t>
      </w:r>
      <w:r>
        <w:rPr>
          <w:rStyle w:val="normaltextrun"/>
          <w:rFonts w:ascii="Times New Roman" w:hAnsi="Times New Roman"/>
          <w:noProof/>
          <w:sz w:val="24"/>
          <w:shd w:val="clear" w:color="auto" w:fill="FFFFFF"/>
        </w:rPr>
        <w:t>2023.</w:t>
      </w:r>
    </w:p>
    <w:p w14:paraId="463958EB" w14:textId="6F1E76A2" w:rsidR="0AF5E614" w:rsidRPr="00EC7A99"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Style w:val="normaltextrun"/>
          <w:rFonts w:ascii="Times New Roman" w:hAnsi="Times New Roman"/>
          <w:noProof/>
          <w:sz w:val="24"/>
        </w:rPr>
        <w:t>Il regolamento del Consiglio introduce anche un contributo di solidarietà per le imprese e le stabili organizzazioni dell</w:t>
      </w:r>
      <w:r w:rsidR="00E8249E">
        <w:rPr>
          <w:rStyle w:val="normaltextrun"/>
          <w:rFonts w:ascii="Times New Roman" w:hAnsi="Times New Roman"/>
          <w:noProof/>
          <w:sz w:val="24"/>
        </w:rPr>
        <w:t>'</w:t>
      </w:r>
      <w:r>
        <w:rPr>
          <w:rStyle w:val="normaltextrun"/>
          <w:rFonts w:ascii="Times New Roman" w:hAnsi="Times New Roman"/>
          <w:noProof/>
          <w:sz w:val="24"/>
        </w:rPr>
        <w:t>UE che svolgono attività nei settori del petrolio greggio, del gas naturale, del carbone e della raffinazione (capo III).</w:t>
      </w:r>
    </w:p>
    <w:p w14:paraId="21150697" w14:textId="2BF7C6B2" w:rsidR="380141F3" w:rsidRPr="00EC7A99" w:rsidRDefault="03BE3B81" w:rsidP="00033E4E">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Il regolamento del Consiglio mirava ad affrontare una situazione eccezionale di crisi energeti</w:t>
      </w:r>
      <w:r w:rsidR="00831832">
        <w:rPr>
          <w:rFonts w:ascii="Times New Roman" w:hAnsi="Times New Roman"/>
          <w:noProof/>
          <w:sz w:val="24"/>
        </w:rPr>
        <w:t xml:space="preserve">ca. Il 14 marzo </w:t>
      </w:r>
      <w:r>
        <w:rPr>
          <w:rFonts w:ascii="Times New Roman" w:hAnsi="Times New Roman"/>
          <w:noProof/>
          <w:sz w:val="24"/>
        </w:rPr>
        <w:t>2023 la Commissione si è invece spinta oltre la mera risposta di emergenza e ha proposto una riforma dell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dell</w:t>
      </w:r>
      <w:r w:rsidR="00E8249E">
        <w:rPr>
          <w:rFonts w:ascii="Times New Roman" w:hAnsi="Times New Roman"/>
          <w:noProof/>
          <w:sz w:val="24"/>
        </w:rPr>
        <w:t>'</w:t>
      </w:r>
      <w:r>
        <w:rPr>
          <w:rFonts w:ascii="Times New Roman" w:hAnsi="Times New Roman"/>
          <w:noProof/>
          <w:sz w:val="24"/>
        </w:rPr>
        <w:t>UE per accelerare la diffusione delle energie rinnovabili e l</w:t>
      </w:r>
      <w:r w:rsidR="00E8249E">
        <w:rPr>
          <w:rFonts w:ascii="Times New Roman" w:hAnsi="Times New Roman"/>
          <w:noProof/>
          <w:sz w:val="24"/>
        </w:rPr>
        <w:t>'</w:t>
      </w:r>
      <w:r>
        <w:rPr>
          <w:rFonts w:ascii="Times New Roman" w:hAnsi="Times New Roman"/>
          <w:noProof/>
          <w:sz w:val="24"/>
        </w:rPr>
        <w:t>abbandono graduale del gas, ridurre gli effetti dalla volatilità dei prezzi dei combustibili fossili sulle bollette dei consumatori, tutelarli meglio da impennate future dei prezzi e da possibili manipolazioni del mercato e rendere l</w:t>
      </w:r>
      <w:r w:rsidR="00E8249E">
        <w:rPr>
          <w:rFonts w:ascii="Times New Roman" w:hAnsi="Times New Roman"/>
          <w:noProof/>
          <w:sz w:val="24"/>
        </w:rPr>
        <w:t>'</w:t>
      </w:r>
      <w:r>
        <w:rPr>
          <w:rFonts w:ascii="Times New Roman" w:hAnsi="Times New Roman"/>
          <w:noProof/>
          <w:sz w:val="24"/>
        </w:rPr>
        <w:t>industria dell</w:t>
      </w:r>
      <w:r w:rsidR="00E8249E">
        <w:rPr>
          <w:rFonts w:ascii="Times New Roman" w:hAnsi="Times New Roman"/>
          <w:noProof/>
          <w:sz w:val="24"/>
        </w:rPr>
        <w:t>'</w:t>
      </w:r>
      <w:r>
        <w:rPr>
          <w:rFonts w:ascii="Times New Roman" w:hAnsi="Times New Roman"/>
          <w:noProof/>
          <w:sz w:val="24"/>
        </w:rPr>
        <w:t xml:space="preserve">UE pulita e più competitiva (la </w:t>
      </w:r>
      <w:r>
        <w:rPr>
          <w:rFonts w:ascii="Times New Roman" w:hAnsi="Times New Roman"/>
          <w:b/>
          <w:i/>
          <w:noProof/>
          <w:sz w:val="24"/>
        </w:rPr>
        <w:t>proposta sull</w:t>
      </w:r>
      <w:r w:rsidR="00E8249E">
        <w:rPr>
          <w:rFonts w:ascii="Times New Roman" w:hAnsi="Times New Roman"/>
          <w:b/>
          <w:i/>
          <w:noProof/>
          <w:sz w:val="24"/>
        </w:rPr>
        <w:t>'</w:t>
      </w:r>
      <w:r>
        <w:rPr>
          <w:rFonts w:ascii="Times New Roman" w:hAnsi="Times New Roman"/>
          <w:b/>
          <w:i/>
          <w:noProof/>
          <w:sz w:val="24"/>
        </w:rPr>
        <w:t>assetto del mercato dell</w:t>
      </w:r>
      <w:r w:rsidR="00E8249E">
        <w:rPr>
          <w:rFonts w:ascii="Times New Roman" w:hAnsi="Times New Roman"/>
          <w:b/>
          <w:i/>
          <w:noProof/>
          <w:sz w:val="24"/>
        </w:rPr>
        <w:t>'</w:t>
      </w:r>
      <w:r>
        <w:rPr>
          <w:rFonts w:ascii="Times New Roman" w:hAnsi="Times New Roman"/>
          <w:b/>
          <w:i/>
          <w:noProof/>
          <w:sz w:val="24"/>
        </w:rPr>
        <w:t>energia elettrica</w:t>
      </w:r>
      <w:r>
        <w:rPr>
          <w:rFonts w:ascii="Times New Roman" w:hAnsi="Times New Roman"/>
          <w:noProof/>
          <w:sz w:val="24"/>
        </w:rPr>
        <w:t>)</w:t>
      </w:r>
      <w:r>
        <w:rPr>
          <w:rStyle w:val="FootnoteReference"/>
          <w:rFonts w:ascii="Times New Roman" w:eastAsia="Times New Roman" w:hAnsi="Times New Roman" w:cs="Times New Roman"/>
          <w:noProof/>
          <w:sz w:val="24"/>
        </w:rPr>
        <w:footnoteReference w:id="9"/>
      </w:r>
      <w:r>
        <w:rPr>
          <w:noProof/>
        </w:rPr>
        <w:t>.</w:t>
      </w:r>
      <w:r>
        <w:rPr>
          <w:rFonts w:ascii="Times New Roman" w:hAnsi="Times New Roman"/>
          <w:noProof/>
          <w:sz w:val="24"/>
        </w:rPr>
        <w:t xml:space="preserve"> Questa proposta definisce misure che mirano a consentire lo sviluppo di contratti a più lungo termine con i produttori di energia non fossile e a integrare nel sistema più soluzioni flessibili pulite, quali la gestione della domanda e lo stoccaggio, per eliminare il gas dal mix dell</w:t>
      </w:r>
      <w:r w:rsidR="00E8249E">
        <w:rPr>
          <w:rFonts w:ascii="Times New Roman" w:hAnsi="Times New Roman"/>
          <w:noProof/>
          <w:sz w:val="24"/>
        </w:rPr>
        <w:t>'</w:t>
      </w:r>
      <w:r>
        <w:rPr>
          <w:rFonts w:ascii="Times New Roman" w:hAnsi="Times New Roman"/>
          <w:noProof/>
          <w:sz w:val="24"/>
        </w:rPr>
        <w:t>energia elettrica. Nello specifico, in un</w:t>
      </w:r>
      <w:r w:rsidR="00E8249E">
        <w:rPr>
          <w:rFonts w:ascii="Times New Roman" w:hAnsi="Times New Roman"/>
          <w:noProof/>
          <w:sz w:val="24"/>
        </w:rPr>
        <w:t>'</w:t>
      </w:r>
      <w:r>
        <w:rPr>
          <w:rFonts w:ascii="Times New Roman" w:hAnsi="Times New Roman"/>
          <w:noProof/>
          <w:sz w:val="24"/>
        </w:rPr>
        <w:t xml:space="preserve">ottica di maggiore flessibilità del sistema energetico, la proposta impone agli Stati membri di valutare le loro esigenze e di fissare obiettivi per aumentare la flessibilità non fossile; prevede inoltre la possibilità di introdurre nuovi regimi di sostegno per questo tipo di flessibilità, come la gestione della domanda e lo stoccaggio. </w:t>
      </w:r>
    </w:p>
    <w:p w14:paraId="3EAA92D1" w14:textId="5CDBF523" w:rsidR="380141F3" w:rsidRPr="00EC7A99" w:rsidRDefault="37F1FED1" w:rsidP="2B9E9F58">
      <w:pPr>
        <w:spacing w:before="120" w:after="120" w:line="360" w:lineRule="auto"/>
        <w:jc w:val="both"/>
        <w:rPr>
          <w:rFonts w:ascii="Times New Roman" w:eastAsia="Times New Roman" w:hAnsi="Times New Roman" w:cs="Times New Roman"/>
          <w:noProof/>
          <w:sz w:val="24"/>
          <w:highlight w:val="yellow"/>
        </w:rPr>
      </w:pPr>
      <w:r>
        <w:rPr>
          <w:rFonts w:ascii="Times New Roman" w:hAnsi="Times New Roman"/>
          <w:noProof/>
          <w:sz w:val="24"/>
        </w:rPr>
        <w:t>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comprende anche misure che rafforzano la tutela dei consumatori vulnerabili, consentendo tra le altre cose agli Stati membri di introdurre prezzi al dettaglio regolamentati inferiori ai costi per le famiglie e le PMI nel caso di una futura crisi dei prezzi dell</w:t>
      </w:r>
      <w:r w:rsidR="00E8249E">
        <w:rPr>
          <w:rFonts w:ascii="Times New Roman" w:hAnsi="Times New Roman"/>
          <w:noProof/>
          <w:sz w:val="24"/>
        </w:rPr>
        <w:t>'</w:t>
      </w:r>
      <w:r>
        <w:rPr>
          <w:rFonts w:ascii="Times New Roman" w:hAnsi="Times New Roman"/>
          <w:noProof/>
          <w:sz w:val="24"/>
        </w:rPr>
        <w:t xml:space="preserve">energia elettrica. </w:t>
      </w:r>
    </w:p>
    <w:p w14:paraId="30CF2C1A" w14:textId="6E7F7306" w:rsidR="29FD0899" w:rsidRPr="00EC7A99" w:rsidRDefault="793F4C0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 fase di preparazione della proposta la Commissione ha condotto una consultazion</w:t>
      </w:r>
      <w:r w:rsidR="00831832">
        <w:rPr>
          <w:rFonts w:ascii="Times New Roman" w:hAnsi="Times New Roman"/>
          <w:noProof/>
          <w:sz w:val="24"/>
        </w:rPr>
        <w:t xml:space="preserve">e pubblica dal 23 gennaio al 13 febbraio </w:t>
      </w:r>
      <w:r>
        <w:rPr>
          <w:rFonts w:ascii="Times New Roman" w:hAnsi="Times New Roman"/>
          <w:noProof/>
          <w:sz w:val="24"/>
        </w:rPr>
        <w:t xml:space="preserve">2023 (la </w:t>
      </w:r>
      <w:r>
        <w:rPr>
          <w:rFonts w:ascii="Times New Roman" w:hAnsi="Times New Roman"/>
          <w:b/>
          <w:i/>
          <w:noProof/>
          <w:sz w:val="24"/>
        </w:rPr>
        <w:t>consultazione pubblica</w:t>
      </w:r>
      <w:r>
        <w:rPr>
          <w:rFonts w:ascii="Times New Roman" w:hAnsi="Times New Roman"/>
          <w:noProof/>
          <w:sz w:val="24"/>
        </w:rPr>
        <w:t>), comprendente anche domande sulle misure introdotte dal regolamento del Consiglio</w:t>
      </w:r>
      <w:r>
        <w:rPr>
          <w:rStyle w:val="FootnoteReference"/>
          <w:rFonts w:ascii="Times New Roman" w:eastAsia="Times New Roman" w:hAnsi="Times New Roman" w:cs="Times New Roman"/>
          <w:noProof/>
          <w:sz w:val="24"/>
        </w:rPr>
        <w:footnoteReference w:id="10"/>
      </w:r>
      <w:r>
        <w:rPr>
          <w:noProof/>
        </w:rPr>
        <w:t>.</w:t>
      </w:r>
      <w:r>
        <w:rPr>
          <w:rFonts w:ascii="Times New Roman" w:hAnsi="Times New Roman"/>
          <w:noProof/>
          <w:sz w:val="24"/>
        </w:rPr>
        <w:t xml:space="preserve"> </w:t>
      </w:r>
    </w:p>
    <w:p w14:paraId="16DBA290" w14:textId="388E461C"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rPr>
      </w:pPr>
      <w:bookmarkStart w:id="5" w:name="_Toc137657176"/>
      <w:bookmarkStart w:id="6" w:name="_Toc156730298"/>
      <w:bookmarkStart w:id="7" w:name="_Toc1902165151"/>
      <w:r>
        <w:rPr>
          <w:rFonts w:ascii="Times New Roman" w:hAnsi="Times New Roman"/>
          <w:noProof/>
        </w:rPr>
        <w:t>Obbligo di cui all</w:t>
      </w:r>
      <w:r w:rsidR="00E8249E">
        <w:rPr>
          <w:rFonts w:ascii="Times New Roman" w:hAnsi="Times New Roman"/>
          <w:noProof/>
        </w:rPr>
        <w:t>'</w:t>
      </w:r>
      <w:r>
        <w:rPr>
          <w:rFonts w:ascii="Times New Roman" w:hAnsi="Times New Roman"/>
          <w:noProof/>
        </w:rPr>
        <w:t>articolo 20 del regolamento del Consiglio</w:t>
      </w:r>
      <w:bookmarkEnd w:id="5"/>
      <w:r>
        <w:rPr>
          <w:rFonts w:ascii="Times New Roman" w:hAnsi="Times New Roman"/>
          <w:noProof/>
        </w:rPr>
        <w:t xml:space="preserve"> </w:t>
      </w:r>
      <w:bookmarkEnd w:id="6"/>
      <w:bookmarkEnd w:id="7"/>
    </w:p>
    <w:p w14:paraId="02F81BDF" w14:textId="55E744A4" w:rsidR="52975E3E" w:rsidRDefault="00831832" w:rsidP="6E35EF87">
      <w:pPr>
        <w:spacing w:before="120" w:after="120" w:line="360" w:lineRule="auto"/>
        <w:jc w:val="both"/>
        <w:rPr>
          <w:rStyle w:val="normaltextrun"/>
          <w:rFonts w:ascii="Times New Roman" w:eastAsia="Times New Roman" w:hAnsi="Times New Roman" w:cs="Times New Roman"/>
          <w:noProof/>
          <w:sz w:val="24"/>
        </w:rPr>
      </w:pPr>
      <w:r>
        <w:rPr>
          <w:rStyle w:val="normaltextrun"/>
          <w:rFonts w:ascii="Times New Roman" w:hAnsi="Times New Roman"/>
          <w:noProof/>
          <w:sz w:val="24"/>
        </w:rPr>
        <w:t>L</w:t>
      </w:r>
      <w:r w:rsidR="00E8249E">
        <w:rPr>
          <w:rStyle w:val="normaltextrun"/>
          <w:rFonts w:ascii="Times New Roman" w:hAnsi="Times New Roman"/>
          <w:noProof/>
          <w:sz w:val="24"/>
        </w:rPr>
        <w:t>'</w:t>
      </w:r>
      <w:r>
        <w:rPr>
          <w:rStyle w:val="normaltextrun"/>
          <w:rFonts w:ascii="Times New Roman" w:hAnsi="Times New Roman"/>
          <w:noProof/>
          <w:sz w:val="24"/>
        </w:rPr>
        <w:t xml:space="preserve">articolo </w:t>
      </w:r>
      <w:r w:rsidR="52975E3E">
        <w:rPr>
          <w:rStyle w:val="normaltextrun"/>
          <w:rFonts w:ascii="Times New Roman" w:hAnsi="Times New Roman"/>
          <w:noProof/>
          <w:sz w:val="24"/>
        </w:rPr>
        <w:t>19 del regolamento del Consiglio ha introdotto obblighi di comunicaz</w:t>
      </w:r>
      <w:r>
        <w:rPr>
          <w:rStyle w:val="normaltextrun"/>
          <w:rFonts w:ascii="Times New Roman" w:hAnsi="Times New Roman"/>
          <w:noProof/>
          <w:sz w:val="24"/>
        </w:rPr>
        <w:t xml:space="preserve">ione in base a cui, entro il 31 gennaio </w:t>
      </w:r>
      <w:r w:rsidR="52975E3E">
        <w:rPr>
          <w:rStyle w:val="normaltextrun"/>
          <w:rFonts w:ascii="Times New Roman" w:hAnsi="Times New Roman"/>
          <w:noProof/>
          <w:sz w:val="24"/>
        </w:rPr>
        <w:t>2023, gli Stati membri avrebbero dovuto riferire alla Commissione in merito i) alle misure di riduzione della domanda attuate, ii) ai ricavi eccedenti generati in seguito all</w:t>
      </w:r>
      <w:r w:rsidR="00E8249E">
        <w:rPr>
          <w:rStyle w:val="normaltextrun"/>
          <w:rFonts w:ascii="Times New Roman" w:hAnsi="Times New Roman"/>
          <w:noProof/>
          <w:sz w:val="24"/>
        </w:rPr>
        <w:t>'</w:t>
      </w:r>
      <w:r w:rsidR="52975E3E">
        <w:rPr>
          <w:rStyle w:val="normaltextrun"/>
          <w:rFonts w:ascii="Times New Roman" w:hAnsi="Times New Roman"/>
          <w:noProof/>
          <w:sz w:val="24"/>
        </w:rPr>
        <w:t xml:space="preserve">introduzione del tetto provvisorio sui ricavi per i produttori di energia </w:t>
      </w:r>
      <w:r w:rsidR="00E8249E">
        <w:rPr>
          <w:rStyle w:val="normaltextrun"/>
          <w:rFonts w:ascii="Times New Roman" w:hAnsi="Times New Roman"/>
          <w:noProof/>
          <w:sz w:val="24"/>
        </w:rPr>
        <w:t>"</w:t>
      </w:r>
      <w:r w:rsidR="52975E3E">
        <w:rPr>
          <w:rStyle w:val="normaltextrun"/>
          <w:rFonts w:ascii="Times New Roman" w:hAnsi="Times New Roman"/>
          <w:noProof/>
          <w:sz w:val="24"/>
        </w:rPr>
        <w:t>inframarginali</w:t>
      </w:r>
      <w:r w:rsidR="00E8249E">
        <w:rPr>
          <w:rStyle w:val="normaltextrun"/>
          <w:rFonts w:ascii="Times New Roman" w:hAnsi="Times New Roman"/>
          <w:noProof/>
          <w:sz w:val="24"/>
        </w:rPr>
        <w:t>"</w:t>
      </w:r>
      <w:r w:rsidR="52975E3E">
        <w:rPr>
          <w:rStyle w:val="normaltextrun"/>
          <w:rFonts w:ascii="Times New Roman" w:hAnsi="Times New Roman"/>
          <w:noProof/>
          <w:sz w:val="24"/>
        </w:rPr>
        <w:t>, nonché alla distribuzione di tali ricavi per attenuare l</w:t>
      </w:r>
      <w:r w:rsidR="00E8249E">
        <w:rPr>
          <w:rStyle w:val="normaltextrun"/>
          <w:rFonts w:ascii="Times New Roman" w:hAnsi="Times New Roman"/>
          <w:noProof/>
          <w:sz w:val="24"/>
        </w:rPr>
        <w:t>'</w:t>
      </w:r>
      <w:r w:rsidR="52975E3E">
        <w:rPr>
          <w:rStyle w:val="normaltextrun"/>
          <w:rFonts w:ascii="Times New Roman" w:hAnsi="Times New Roman"/>
          <w:noProof/>
          <w:sz w:val="24"/>
        </w:rPr>
        <w:t>impatto dei prezzi elevati dell</w:t>
      </w:r>
      <w:r w:rsidR="00E8249E">
        <w:rPr>
          <w:rStyle w:val="normaltextrun"/>
          <w:rFonts w:ascii="Times New Roman" w:hAnsi="Times New Roman"/>
          <w:noProof/>
          <w:sz w:val="24"/>
        </w:rPr>
        <w:t>'</w:t>
      </w:r>
      <w:r w:rsidR="52975E3E">
        <w:rPr>
          <w:rStyle w:val="normaltextrun"/>
          <w:rFonts w:ascii="Times New Roman" w:hAnsi="Times New Roman"/>
          <w:noProof/>
          <w:sz w:val="24"/>
        </w:rPr>
        <w:t>energia elettrica e iii) agli interventi di fissazione dei prezzi al dettaglio. Non tutti gli Stati membri hanno presentato le informazioni come richiesto: meno della metà ha trasmesso alla Commissione le proprie relazioni entro il termine stabilito, alcuni Stati membri l</w:t>
      </w:r>
      <w:r w:rsidR="00E8249E">
        <w:rPr>
          <w:rStyle w:val="normaltextrun"/>
          <w:rFonts w:ascii="Times New Roman" w:hAnsi="Times New Roman"/>
          <w:noProof/>
          <w:sz w:val="24"/>
        </w:rPr>
        <w:t>'</w:t>
      </w:r>
      <w:r w:rsidR="52975E3E">
        <w:rPr>
          <w:rStyle w:val="normaltextrun"/>
          <w:rFonts w:ascii="Times New Roman" w:hAnsi="Times New Roman"/>
          <w:noProof/>
          <w:sz w:val="24"/>
        </w:rPr>
        <w:t>h</w:t>
      </w:r>
      <w:r>
        <w:rPr>
          <w:rStyle w:val="normaltextrun"/>
          <w:rFonts w:ascii="Times New Roman" w:hAnsi="Times New Roman"/>
          <w:noProof/>
          <w:sz w:val="24"/>
        </w:rPr>
        <w:t xml:space="preserve">anno fatto tra febbraio e marzo </w:t>
      </w:r>
      <w:r w:rsidR="52975E3E">
        <w:rPr>
          <w:rStyle w:val="normaltextrun"/>
          <w:rFonts w:ascii="Times New Roman" w:hAnsi="Times New Roman"/>
          <w:noProof/>
          <w:sz w:val="24"/>
        </w:rPr>
        <w:t>2023 e due non hanno ancora adempiuto all</w:t>
      </w:r>
      <w:r w:rsidR="00E8249E">
        <w:rPr>
          <w:rStyle w:val="normaltextrun"/>
          <w:rFonts w:ascii="Times New Roman" w:hAnsi="Times New Roman"/>
          <w:noProof/>
          <w:sz w:val="24"/>
        </w:rPr>
        <w:t>'</w:t>
      </w:r>
      <w:r w:rsidR="52975E3E">
        <w:rPr>
          <w:rStyle w:val="normaltextrun"/>
          <w:rFonts w:ascii="Times New Roman" w:hAnsi="Times New Roman"/>
          <w:noProof/>
          <w:sz w:val="24"/>
        </w:rPr>
        <w:t>obbligo</w:t>
      </w:r>
      <w:r w:rsidR="52975E3E">
        <w:rPr>
          <w:rStyle w:val="FootnoteReference"/>
          <w:rFonts w:ascii="Times New Roman" w:eastAsia="Times New Roman" w:hAnsi="Times New Roman" w:cs="Times New Roman"/>
          <w:noProof/>
          <w:sz w:val="24"/>
        </w:rPr>
        <w:footnoteReference w:id="11"/>
      </w:r>
      <w:r w:rsidR="52975E3E">
        <w:rPr>
          <w:noProof/>
        </w:rPr>
        <w:t>.</w:t>
      </w:r>
      <w:r w:rsidR="52975E3E">
        <w:rPr>
          <w:rStyle w:val="normaltextrun"/>
          <w:rFonts w:ascii="Times New Roman" w:hAnsi="Times New Roman"/>
          <w:noProof/>
          <w:sz w:val="24"/>
        </w:rPr>
        <w:t xml:space="preserve"> La presente relazione si basa sulle informazioni che erano state presentate dagli Stati membri al momento della sua stesura. Occorre sottolineare che la Commissione non ha condotto alcuna valutazione dell</w:t>
      </w:r>
      <w:r w:rsidR="00E8249E">
        <w:rPr>
          <w:rStyle w:val="normaltextrun"/>
          <w:rFonts w:ascii="Times New Roman" w:hAnsi="Times New Roman"/>
          <w:noProof/>
          <w:sz w:val="24"/>
        </w:rPr>
        <w:t>'</w:t>
      </w:r>
      <w:r w:rsidR="52975E3E">
        <w:rPr>
          <w:rStyle w:val="normaltextrun"/>
          <w:rFonts w:ascii="Times New Roman" w:hAnsi="Times New Roman"/>
          <w:noProof/>
          <w:sz w:val="24"/>
        </w:rPr>
        <w:t>accuratezza delle informazioni trasmesse.</w:t>
      </w:r>
    </w:p>
    <w:p w14:paraId="0351FE47" w14:textId="3A2F43BD" w:rsidR="7C2C0B93" w:rsidRPr="00EC7A99" w:rsidRDefault="0083183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norma dell</w:t>
      </w:r>
      <w:r w:rsidR="00E8249E">
        <w:rPr>
          <w:rFonts w:ascii="Times New Roman" w:hAnsi="Times New Roman"/>
          <w:noProof/>
          <w:sz w:val="24"/>
        </w:rPr>
        <w:t>'</w:t>
      </w:r>
      <w:r>
        <w:rPr>
          <w:rFonts w:ascii="Times New Roman" w:hAnsi="Times New Roman"/>
          <w:noProof/>
          <w:sz w:val="24"/>
        </w:rPr>
        <w:t xml:space="preserve">articolo 20, paragrafo </w:t>
      </w:r>
      <w:r w:rsidR="1B5A5333">
        <w:rPr>
          <w:rFonts w:ascii="Times New Roman" w:hAnsi="Times New Roman"/>
          <w:noProof/>
          <w:sz w:val="24"/>
        </w:rPr>
        <w:t>1, del regolamento del Consiglio, la Commissione svolge un riesame del c</w:t>
      </w:r>
      <w:r>
        <w:rPr>
          <w:rFonts w:ascii="Times New Roman" w:hAnsi="Times New Roman"/>
          <w:noProof/>
          <w:sz w:val="24"/>
        </w:rPr>
        <w:t xml:space="preserve">apo </w:t>
      </w:r>
      <w:r w:rsidR="1B5A5333">
        <w:rPr>
          <w:rFonts w:ascii="Times New Roman" w:hAnsi="Times New Roman"/>
          <w:noProof/>
          <w:sz w:val="24"/>
        </w:rPr>
        <w:t>II alla luce della situazione generale dell</w:t>
      </w:r>
      <w:r w:rsidR="00E8249E">
        <w:rPr>
          <w:rFonts w:ascii="Times New Roman" w:hAnsi="Times New Roman"/>
          <w:noProof/>
          <w:sz w:val="24"/>
        </w:rPr>
        <w:t>'</w:t>
      </w:r>
      <w:r w:rsidR="1B5A5333">
        <w:rPr>
          <w:rFonts w:ascii="Times New Roman" w:hAnsi="Times New Roman"/>
          <w:noProof/>
          <w:sz w:val="24"/>
        </w:rPr>
        <w:t>approvvigionamento e dei prezzi dell</w:t>
      </w:r>
      <w:r w:rsidR="00E8249E">
        <w:rPr>
          <w:rFonts w:ascii="Times New Roman" w:hAnsi="Times New Roman"/>
          <w:noProof/>
          <w:sz w:val="24"/>
        </w:rPr>
        <w:t>'</w:t>
      </w:r>
      <w:r w:rsidR="1B5A5333">
        <w:rPr>
          <w:rFonts w:ascii="Times New Roman" w:hAnsi="Times New Roman"/>
          <w:noProof/>
          <w:sz w:val="24"/>
        </w:rPr>
        <w:t>energia elettrica nell</w:t>
      </w:r>
      <w:r w:rsidR="00E8249E">
        <w:rPr>
          <w:rFonts w:ascii="Times New Roman" w:hAnsi="Times New Roman"/>
          <w:noProof/>
          <w:sz w:val="24"/>
        </w:rPr>
        <w:t>'</w:t>
      </w:r>
      <w:r w:rsidR="1B5A5333">
        <w:rPr>
          <w:rFonts w:ascii="Times New Roman" w:hAnsi="Times New Roman"/>
          <w:noProof/>
          <w:sz w:val="24"/>
        </w:rPr>
        <w:t xml:space="preserve">Unione e presenta al Consiglio una relazione che ne illustra le principali risultanze. </w:t>
      </w:r>
    </w:p>
    <w:p w14:paraId="7B94891D" w14:textId="7A224967" w:rsidR="7C2C0B93" w:rsidRPr="00EC7A99" w:rsidRDefault="0083183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w:t>
      </w:r>
      <w:r w:rsidR="00E8249E">
        <w:rPr>
          <w:rFonts w:ascii="Times New Roman" w:hAnsi="Times New Roman"/>
          <w:noProof/>
          <w:sz w:val="24"/>
        </w:rPr>
        <w:t>'</w:t>
      </w:r>
      <w:r>
        <w:rPr>
          <w:rFonts w:ascii="Times New Roman" w:hAnsi="Times New Roman"/>
          <w:noProof/>
          <w:sz w:val="24"/>
        </w:rPr>
        <w:t xml:space="preserve">articolo 20, paragrafo </w:t>
      </w:r>
      <w:r w:rsidR="1B5A5333">
        <w:rPr>
          <w:rFonts w:ascii="Times New Roman" w:hAnsi="Times New Roman"/>
          <w:noProof/>
          <w:sz w:val="24"/>
        </w:rPr>
        <w:t>1, del regolamento del Consiglio prevede inoltre che, sulla base della relazione, la Commissione può proporre, qualora ciò sia giustificato dalla situazione economica o dal funzionamento del mercato dell</w:t>
      </w:r>
      <w:r w:rsidR="00E8249E">
        <w:rPr>
          <w:rFonts w:ascii="Times New Roman" w:hAnsi="Times New Roman"/>
          <w:noProof/>
          <w:sz w:val="24"/>
        </w:rPr>
        <w:t>'</w:t>
      </w:r>
      <w:r w:rsidR="1B5A5333">
        <w:rPr>
          <w:rFonts w:ascii="Times New Roman" w:hAnsi="Times New Roman"/>
          <w:noProof/>
          <w:sz w:val="24"/>
        </w:rPr>
        <w:t>energia elettrica nell</w:t>
      </w:r>
      <w:r w:rsidR="00E8249E">
        <w:rPr>
          <w:rFonts w:ascii="Times New Roman" w:hAnsi="Times New Roman"/>
          <w:noProof/>
          <w:sz w:val="24"/>
        </w:rPr>
        <w:t>'</w:t>
      </w:r>
      <w:r w:rsidR="1B5A5333">
        <w:rPr>
          <w:rFonts w:ascii="Times New Roman" w:hAnsi="Times New Roman"/>
          <w:noProof/>
          <w:sz w:val="24"/>
        </w:rPr>
        <w:t xml:space="preserve">UE e nei singoli Stati membri, di prorogare il periodo di applicazione del regolamento del Consiglio, di modificare il livello del tetto sui ricavi per i </w:t>
      </w:r>
      <w:r w:rsidR="1B5A5333">
        <w:rPr>
          <w:rStyle w:val="normaltextrun"/>
          <w:rFonts w:ascii="Times New Roman" w:hAnsi="Times New Roman"/>
          <w:noProof/>
          <w:sz w:val="24"/>
        </w:rPr>
        <w:t xml:space="preserve">produttori di energia </w:t>
      </w:r>
      <w:r w:rsidR="00E8249E">
        <w:rPr>
          <w:rStyle w:val="normaltextrun"/>
          <w:rFonts w:ascii="Times New Roman" w:hAnsi="Times New Roman"/>
          <w:noProof/>
          <w:sz w:val="24"/>
        </w:rPr>
        <w:t>"</w:t>
      </w:r>
      <w:r w:rsidR="1B5A5333">
        <w:rPr>
          <w:rStyle w:val="normaltextrun"/>
          <w:rFonts w:ascii="Times New Roman" w:hAnsi="Times New Roman"/>
          <w:noProof/>
          <w:sz w:val="24"/>
        </w:rPr>
        <w:t>inframarginali</w:t>
      </w:r>
      <w:r w:rsidR="00E8249E">
        <w:rPr>
          <w:rStyle w:val="normaltextrun"/>
          <w:rFonts w:ascii="Times New Roman" w:hAnsi="Times New Roman"/>
          <w:noProof/>
          <w:sz w:val="24"/>
        </w:rPr>
        <w:t>"</w:t>
      </w:r>
      <w:r w:rsidR="1B5A5333">
        <w:rPr>
          <w:rFonts w:ascii="Times New Roman" w:hAnsi="Times New Roman"/>
          <w:noProof/>
          <w:sz w:val="24"/>
        </w:rPr>
        <w:t xml:space="preserve"> e le fonti di produzione di energia elettrica cui tale tetto si applica attualmente, o d</w:t>
      </w:r>
      <w:r w:rsidR="00A22531">
        <w:rPr>
          <w:rFonts w:ascii="Times New Roman" w:hAnsi="Times New Roman"/>
          <w:noProof/>
          <w:sz w:val="24"/>
        </w:rPr>
        <w:t xml:space="preserve">i modificare altrimenti il capo </w:t>
      </w:r>
      <w:r w:rsidR="1B5A5333">
        <w:rPr>
          <w:rFonts w:ascii="Times New Roman" w:hAnsi="Times New Roman"/>
          <w:noProof/>
          <w:sz w:val="24"/>
        </w:rPr>
        <w:t>II.</w:t>
      </w:r>
    </w:p>
    <w:p w14:paraId="0C5D0B87" w14:textId="2602A4A4" w:rsidR="00251412" w:rsidRPr="00EC7A99"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rPr>
      </w:pPr>
      <w:r>
        <w:rPr>
          <w:rFonts w:ascii="Times New Roman" w:hAnsi="Times New Roman"/>
          <w:noProof/>
          <w:sz w:val="24"/>
        </w:rPr>
        <w:t>Nel quadro del ries</w:t>
      </w:r>
      <w:r w:rsidR="00831832">
        <w:rPr>
          <w:rFonts w:ascii="Times New Roman" w:hAnsi="Times New Roman"/>
          <w:noProof/>
          <w:sz w:val="24"/>
        </w:rPr>
        <w:t xml:space="preserve">ame delle misure di cui al capo </w:t>
      </w:r>
      <w:r>
        <w:rPr>
          <w:rFonts w:ascii="Times New Roman" w:hAnsi="Times New Roman"/>
          <w:noProof/>
          <w:sz w:val="24"/>
        </w:rPr>
        <w:t>II del regolamento del Consigli</w:t>
      </w:r>
      <w:r w:rsidR="00A22531">
        <w:rPr>
          <w:rFonts w:ascii="Times New Roman" w:hAnsi="Times New Roman"/>
          <w:noProof/>
          <w:sz w:val="24"/>
        </w:rPr>
        <w:t>o e in conformità dell</w:t>
      </w:r>
      <w:r w:rsidR="00E8249E">
        <w:rPr>
          <w:rFonts w:ascii="Times New Roman" w:hAnsi="Times New Roman"/>
          <w:noProof/>
          <w:sz w:val="24"/>
        </w:rPr>
        <w:t>'</w:t>
      </w:r>
      <w:r w:rsidR="00A22531">
        <w:rPr>
          <w:rFonts w:ascii="Times New Roman" w:hAnsi="Times New Roman"/>
          <w:noProof/>
          <w:sz w:val="24"/>
        </w:rPr>
        <w:t xml:space="preserve">articolo 20, paragrafo </w:t>
      </w:r>
      <w:r>
        <w:rPr>
          <w:rFonts w:ascii="Times New Roman" w:hAnsi="Times New Roman"/>
          <w:noProof/>
          <w:sz w:val="24"/>
        </w:rPr>
        <w:t xml:space="preserve">1, la Commissione trasmette al Consiglio la presente relazione (la </w:t>
      </w:r>
      <w:r>
        <w:rPr>
          <w:rFonts w:ascii="Times New Roman" w:hAnsi="Times New Roman"/>
          <w:b/>
          <w:i/>
          <w:noProof/>
          <w:sz w:val="24"/>
        </w:rPr>
        <w:t>relazione</w:t>
      </w:r>
      <w:r>
        <w:rPr>
          <w:rFonts w:ascii="Times New Roman" w:hAnsi="Times New Roman"/>
          <w:noProof/>
          <w:sz w:val="24"/>
        </w:rPr>
        <w:t>). Quest</w:t>
      </w:r>
      <w:r w:rsidR="00E8249E">
        <w:rPr>
          <w:rFonts w:ascii="Times New Roman" w:hAnsi="Times New Roman"/>
          <w:noProof/>
          <w:sz w:val="24"/>
        </w:rPr>
        <w:t>'</w:t>
      </w:r>
      <w:r>
        <w:rPr>
          <w:rFonts w:ascii="Times New Roman" w:hAnsi="Times New Roman"/>
          <w:noProof/>
          <w:sz w:val="24"/>
        </w:rPr>
        <w:t xml:space="preserve">ultima non riguarda dunque le disposizioni sul contributo di </w:t>
      </w:r>
      <w:r w:rsidR="00A22531">
        <w:rPr>
          <w:rFonts w:ascii="Times New Roman" w:hAnsi="Times New Roman"/>
          <w:noProof/>
          <w:sz w:val="24"/>
        </w:rPr>
        <w:t xml:space="preserve">solidarietà, contenute nel capo </w:t>
      </w:r>
      <w:r>
        <w:rPr>
          <w:rFonts w:ascii="Times New Roman" w:hAnsi="Times New Roman"/>
          <w:noProof/>
          <w:sz w:val="24"/>
        </w:rPr>
        <w:t>III del regolamento del Consiglio, che saranno oggetto una relazione disti</w:t>
      </w:r>
      <w:r w:rsidR="00A22531">
        <w:rPr>
          <w:rFonts w:ascii="Times New Roman" w:hAnsi="Times New Roman"/>
          <w:noProof/>
          <w:sz w:val="24"/>
        </w:rPr>
        <w:t>nta in conformità dell</w:t>
      </w:r>
      <w:r w:rsidR="00E8249E">
        <w:rPr>
          <w:rFonts w:ascii="Times New Roman" w:hAnsi="Times New Roman"/>
          <w:noProof/>
          <w:sz w:val="24"/>
        </w:rPr>
        <w:t>'</w:t>
      </w:r>
      <w:r w:rsidR="00A22531">
        <w:rPr>
          <w:rFonts w:ascii="Times New Roman" w:hAnsi="Times New Roman"/>
          <w:noProof/>
          <w:sz w:val="24"/>
        </w:rPr>
        <w:t xml:space="preserve">articolo 20, paragrafo </w:t>
      </w:r>
      <w:r>
        <w:rPr>
          <w:rFonts w:ascii="Times New Roman" w:hAnsi="Times New Roman"/>
          <w:noProof/>
          <w:sz w:val="24"/>
        </w:rPr>
        <w:t xml:space="preserve">2. </w:t>
      </w:r>
    </w:p>
    <w:p w14:paraId="688FFEE6" w14:textId="68A4229E" w:rsidR="00461B53" w:rsidRPr="00EC7A99" w:rsidRDefault="0022932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relazione si fonda sul riesame svolto dalla Commissione sulla base delle condizioni del mercato dell</w:t>
      </w:r>
      <w:r w:rsidR="00E8249E">
        <w:rPr>
          <w:rFonts w:ascii="Times New Roman" w:hAnsi="Times New Roman"/>
          <w:noProof/>
          <w:sz w:val="24"/>
        </w:rPr>
        <w:t>'</w:t>
      </w:r>
      <w:r>
        <w:rPr>
          <w:rFonts w:ascii="Times New Roman" w:hAnsi="Times New Roman"/>
          <w:noProof/>
          <w:sz w:val="24"/>
        </w:rPr>
        <w:t>energia elettrica, della loro evoluzione attesa e di altre informazioni disponibili al momento della stesura, tra cui le risposte dei 25 Stati membri che avevano assolto i rispettivi obblighi di comun</w:t>
      </w:r>
      <w:r w:rsidR="00A22531">
        <w:rPr>
          <w:rFonts w:ascii="Times New Roman" w:hAnsi="Times New Roman"/>
          <w:noProof/>
          <w:sz w:val="24"/>
        </w:rPr>
        <w:t>icazione ai sensi dell</w:t>
      </w:r>
      <w:r w:rsidR="00E8249E">
        <w:rPr>
          <w:rFonts w:ascii="Times New Roman" w:hAnsi="Times New Roman"/>
          <w:noProof/>
          <w:sz w:val="24"/>
        </w:rPr>
        <w:t>'</w:t>
      </w:r>
      <w:r w:rsidR="00A22531">
        <w:rPr>
          <w:rFonts w:ascii="Times New Roman" w:hAnsi="Times New Roman"/>
          <w:noProof/>
          <w:sz w:val="24"/>
        </w:rPr>
        <w:t xml:space="preserve">articolo </w:t>
      </w:r>
      <w:r>
        <w:rPr>
          <w:rFonts w:ascii="Times New Roman" w:hAnsi="Times New Roman"/>
          <w:noProof/>
          <w:sz w:val="24"/>
        </w:rPr>
        <w:t xml:space="preserve">19 del regolamento del Consiglio (gli </w:t>
      </w:r>
      <w:r>
        <w:rPr>
          <w:rFonts w:ascii="Times New Roman" w:hAnsi="Times New Roman"/>
          <w:b/>
          <w:i/>
          <w:noProof/>
          <w:sz w:val="24"/>
        </w:rPr>
        <w:t>Stati membri comunicanti</w:t>
      </w:r>
      <w:r>
        <w:rPr>
          <w:rFonts w:ascii="Times New Roman" w:hAnsi="Times New Roman"/>
          <w:noProof/>
          <w:sz w:val="24"/>
        </w:rPr>
        <w:t>). Lascia dunque impregiudicati eventuali cambiamenti imprevisti della situazione generale dell</w:t>
      </w:r>
      <w:r w:rsidR="00E8249E">
        <w:rPr>
          <w:rFonts w:ascii="Times New Roman" w:hAnsi="Times New Roman"/>
          <w:noProof/>
          <w:sz w:val="24"/>
        </w:rPr>
        <w:t>'</w:t>
      </w:r>
      <w:r>
        <w:rPr>
          <w:rFonts w:ascii="Times New Roman" w:hAnsi="Times New Roman"/>
          <w:noProof/>
          <w:sz w:val="24"/>
        </w:rPr>
        <w:t>approvvigionamento e dei prezzi dell</w:t>
      </w:r>
      <w:r w:rsidR="00E8249E">
        <w:rPr>
          <w:rFonts w:ascii="Times New Roman" w:hAnsi="Times New Roman"/>
          <w:noProof/>
          <w:sz w:val="24"/>
        </w:rPr>
        <w:t>'</w:t>
      </w:r>
      <w:r>
        <w:rPr>
          <w:rFonts w:ascii="Times New Roman" w:hAnsi="Times New Roman"/>
          <w:noProof/>
          <w:sz w:val="24"/>
        </w:rPr>
        <w:t>energia elettrica nell</w:t>
      </w:r>
      <w:r w:rsidR="00E8249E">
        <w:rPr>
          <w:rFonts w:ascii="Times New Roman" w:hAnsi="Times New Roman"/>
          <w:noProof/>
          <w:sz w:val="24"/>
        </w:rPr>
        <w:t>'</w:t>
      </w:r>
      <w:r>
        <w:rPr>
          <w:rFonts w:ascii="Times New Roman" w:hAnsi="Times New Roman"/>
          <w:noProof/>
          <w:sz w:val="24"/>
        </w:rPr>
        <w:t xml:space="preserve">UE o eventuali conclusioni future basate su informazioni supplementari fornite dagli Stati membri. </w:t>
      </w:r>
    </w:p>
    <w:p w14:paraId="7732BAFB" w14:textId="17C24E4F"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rPr>
      </w:pPr>
      <w:bookmarkStart w:id="8" w:name="_Toc137657177"/>
      <w:r>
        <w:rPr>
          <w:rFonts w:ascii="Times New Roman" w:hAnsi="Times New Roman"/>
          <w:noProof/>
        </w:rPr>
        <w:t>Condizioni attuali del mercato dell</w:t>
      </w:r>
      <w:r w:rsidR="00E8249E">
        <w:rPr>
          <w:rFonts w:ascii="Times New Roman" w:hAnsi="Times New Roman"/>
          <w:noProof/>
        </w:rPr>
        <w:t>'</w:t>
      </w:r>
      <w:r>
        <w:rPr>
          <w:rFonts w:ascii="Times New Roman" w:hAnsi="Times New Roman"/>
          <w:noProof/>
        </w:rPr>
        <w:t>energia elettrica</w:t>
      </w:r>
      <w:bookmarkEnd w:id="8"/>
      <w:r>
        <w:rPr>
          <w:rFonts w:ascii="Times New Roman" w:hAnsi="Times New Roman"/>
          <w:noProof/>
        </w:rPr>
        <w:t xml:space="preserve"> </w:t>
      </w:r>
    </w:p>
    <w:p w14:paraId="703C31EE" w14:textId="388D80C9" w:rsidR="008B1084" w:rsidRPr="00EC7A99" w:rsidRDefault="0C71255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Le misure previste dal regolamento del Consiglio sono state introdotte in un periodo in cui i prezzi dell</w:t>
      </w:r>
      <w:r w:rsidR="00E8249E">
        <w:rPr>
          <w:rFonts w:ascii="Times New Roman" w:hAnsi="Times New Roman"/>
          <w:noProof/>
          <w:sz w:val="24"/>
        </w:rPr>
        <w:t>'</w:t>
      </w:r>
      <w:r>
        <w:rPr>
          <w:rFonts w:ascii="Times New Roman" w:hAnsi="Times New Roman"/>
          <w:noProof/>
          <w:sz w:val="24"/>
        </w:rPr>
        <w:t>energia elettrica avevano raggiunto livelli r</w:t>
      </w:r>
      <w:r w:rsidR="00A22531">
        <w:rPr>
          <w:rFonts w:ascii="Times New Roman" w:hAnsi="Times New Roman"/>
          <w:noProof/>
          <w:sz w:val="24"/>
        </w:rPr>
        <w:t>ecord. Per esempio, nell</w:t>
      </w:r>
      <w:r w:rsidR="00E8249E">
        <w:rPr>
          <w:rFonts w:ascii="Times New Roman" w:hAnsi="Times New Roman"/>
          <w:noProof/>
          <w:sz w:val="24"/>
        </w:rPr>
        <w:t>'</w:t>
      </w:r>
      <w:r w:rsidR="00A22531">
        <w:rPr>
          <w:rFonts w:ascii="Times New Roman" w:hAnsi="Times New Roman"/>
          <w:noProof/>
          <w:sz w:val="24"/>
        </w:rPr>
        <w:t xml:space="preserve">agosto </w:t>
      </w:r>
      <w:r>
        <w:rPr>
          <w:rFonts w:ascii="Times New Roman" w:hAnsi="Times New Roman"/>
          <w:noProof/>
          <w:sz w:val="24"/>
        </w:rPr>
        <w:t>2022, i prezzi dell</w:t>
      </w:r>
      <w:r w:rsidR="00E8249E">
        <w:rPr>
          <w:rFonts w:ascii="Times New Roman" w:hAnsi="Times New Roman"/>
          <w:noProof/>
          <w:sz w:val="24"/>
        </w:rPr>
        <w:t>'</w:t>
      </w:r>
      <w:r>
        <w:rPr>
          <w:rFonts w:ascii="Times New Roman" w:hAnsi="Times New Roman"/>
          <w:noProof/>
          <w:sz w:val="24"/>
        </w:rPr>
        <w:t>energia elettrica all</w:t>
      </w:r>
      <w:r w:rsidR="00E8249E">
        <w:rPr>
          <w:rFonts w:ascii="Times New Roman" w:hAnsi="Times New Roman"/>
          <w:noProof/>
          <w:sz w:val="24"/>
        </w:rPr>
        <w:t>'</w:t>
      </w:r>
      <w:r>
        <w:rPr>
          <w:rFonts w:ascii="Times New Roman" w:hAnsi="Times New Roman"/>
          <w:noProof/>
          <w:sz w:val="24"/>
        </w:rPr>
        <w:t>ingrosso dei principa</w:t>
      </w:r>
      <w:r w:rsidR="00A22531">
        <w:rPr>
          <w:rFonts w:ascii="Times New Roman" w:hAnsi="Times New Roman"/>
          <w:noProof/>
          <w:sz w:val="24"/>
        </w:rPr>
        <w:t>li mercati dell</w:t>
      </w:r>
      <w:r w:rsidR="00E8249E">
        <w:rPr>
          <w:rFonts w:ascii="Times New Roman" w:hAnsi="Times New Roman"/>
          <w:noProof/>
          <w:sz w:val="24"/>
        </w:rPr>
        <w:t>'</w:t>
      </w:r>
      <w:r w:rsidR="00A22531">
        <w:rPr>
          <w:rFonts w:ascii="Times New Roman" w:hAnsi="Times New Roman"/>
          <w:noProof/>
          <w:sz w:val="24"/>
        </w:rPr>
        <w:t>UE superavano i </w:t>
      </w:r>
      <w:r>
        <w:rPr>
          <w:rFonts w:ascii="Times New Roman" w:hAnsi="Times New Roman"/>
          <w:noProof/>
          <w:sz w:val="24"/>
        </w:rPr>
        <w:t>350 EUR/MWh, mentre nel dicembre 2022 il parametro di riferimento e</w:t>
      </w:r>
      <w:r w:rsidR="00A22531">
        <w:rPr>
          <w:rFonts w:ascii="Times New Roman" w:hAnsi="Times New Roman"/>
          <w:noProof/>
          <w:sz w:val="24"/>
        </w:rPr>
        <w:t>ra superiore a </w:t>
      </w:r>
      <w:r>
        <w:rPr>
          <w:rFonts w:ascii="Times New Roman" w:hAnsi="Times New Roman"/>
          <w:noProof/>
          <w:sz w:val="24"/>
        </w:rPr>
        <w:t>220 EUR/MWh. I prezzi dell</w:t>
      </w:r>
      <w:r w:rsidR="00E8249E">
        <w:rPr>
          <w:rFonts w:ascii="Times New Roman" w:hAnsi="Times New Roman"/>
          <w:noProof/>
          <w:sz w:val="24"/>
        </w:rPr>
        <w:t>'</w:t>
      </w:r>
      <w:r>
        <w:rPr>
          <w:rFonts w:ascii="Times New Roman" w:hAnsi="Times New Roman"/>
          <w:noProof/>
          <w:sz w:val="24"/>
        </w:rPr>
        <w:t>energia elettrica nel periodo di riferimento erano all</w:t>
      </w:r>
      <w:r w:rsidR="00E8249E">
        <w:rPr>
          <w:rFonts w:ascii="Times New Roman" w:hAnsi="Times New Roman"/>
          <w:noProof/>
          <w:sz w:val="24"/>
        </w:rPr>
        <w:t>'</w:t>
      </w:r>
      <w:r>
        <w:rPr>
          <w:rFonts w:ascii="Times New Roman" w:hAnsi="Times New Roman"/>
          <w:noProof/>
          <w:sz w:val="24"/>
        </w:rPr>
        <w:t>incirca quattro volte superiori al prezzo medio tra il 2010 e il 2020 (40-60 EUR/MWh). Questi prezzi eccessivi erano per lo più imputabili al fatto che i prezzi del gas hanno raggiunto nuovi picchi nell</w:t>
      </w:r>
      <w:r w:rsidR="00E8249E">
        <w:rPr>
          <w:rFonts w:ascii="Times New Roman" w:hAnsi="Times New Roman"/>
          <w:noProof/>
          <w:sz w:val="24"/>
        </w:rPr>
        <w:t>'</w:t>
      </w:r>
      <w:r>
        <w:rPr>
          <w:rFonts w:ascii="Times New Roman" w:hAnsi="Times New Roman"/>
          <w:noProof/>
          <w:sz w:val="24"/>
        </w:rPr>
        <w:t>estate del 2022</w:t>
      </w:r>
      <w:r>
        <w:rPr>
          <w:rStyle w:val="FootnoteReference"/>
          <w:rFonts w:ascii="Times New Roman" w:eastAsia="Times New Roman" w:hAnsi="Times New Roman" w:cs="Times New Roman"/>
          <w:noProof/>
          <w:sz w:val="24"/>
        </w:rPr>
        <w:footnoteReference w:id="12"/>
      </w:r>
      <w:r>
        <w:rPr>
          <w:rFonts w:ascii="Times New Roman" w:hAnsi="Times New Roman"/>
          <w:noProof/>
          <w:sz w:val="24"/>
        </w:rPr>
        <w:t>, mantenendosi su livelli elevati per la maggior parte dell</w:t>
      </w:r>
      <w:r w:rsidR="00E8249E">
        <w:rPr>
          <w:rFonts w:ascii="Times New Roman" w:hAnsi="Times New Roman"/>
          <w:noProof/>
          <w:sz w:val="24"/>
        </w:rPr>
        <w:t>'</w:t>
      </w:r>
      <w:r>
        <w:rPr>
          <w:rFonts w:ascii="Times New Roman" w:hAnsi="Times New Roman"/>
          <w:noProof/>
          <w:sz w:val="24"/>
        </w:rPr>
        <w:t>autunno, nonché al fatto che, in tale periodo, le centrali elettriche a gas e a carbone erano spesso gli impianti con i costi marginali più elevati che servivano per soddisfare la domanda di energia elettrica. Durante la crisi i prezzi a pronti del gas all</w:t>
      </w:r>
      <w:r w:rsidR="00E8249E">
        <w:rPr>
          <w:rFonts w:ascii="Times New Roman" w:hAnsi="Times New Roman"/>
          <w:noProof/>
          <w:sz w:val="24"/>
        </w:rPr>
        <w:t>'</w:t>
      </w:r>
      <w:r>
        <w:rPr>
          <w:rFonts w:ascii="Times New Roman" w:hAnsi="Times New Roman"/>
          <w:noProof/>
          <w:sz w:val="24"/>
        </w:rPr>
        <w:t>ingrosso sono aumentati di circa sei volte rispetto al prezzo medio tra il 2010 e il 2020 (circa 20 EUR/MWh). È in tale contesto che il Consiglio ha adottato, nell</w:t>
      </w:r>
      <w:r w:rsidR="00E8249E">
        <w:rPr>
          <w:rFonts w:ascii="Times New Roman" w:hAnsi="Times New Roman"/>
          <w:noProof/>
          <w:sz w:val="24"/>
        </w:rPr>
        <w:t>'</w:t>
      </w:r>
      <w:r>
        <w:rPr>
          <w:rFonts w:ascii="Times New Roman" w:hAnsi="Times New Roman"/>
          <w:noProof/>
          <w:sz w:val="24"/>
        </w:rPr>
        <w:t>ottobre 2022, la proposta della Commissione relativa a un intervento di emergenza sul mercato dell</w:t>
      </w:r>
      <w:r w:rsidR="00E8249E">
        <w:rPr>
          <w:rFonts w:ascii="Times New Roman" w:hAnsi="Times New Roman"/>
          <w:noProof/>
          <w:sz w:val="24"/>
        </w:rPr>
        <w:t>'</w:t>
      </w:r>
      <w:r>
        <w:rPr>
          <w:rFonts w:ascii="Times New Roman" w:hAnsi="Times New Roman"/>
          <w:noProof/>
          <w:sz w:val="24"/>
        </w:rPr>
        <w:t>energia elettrica, che ha poi portato all</w:t>
      </w:r>
      <w:r w:rsidR="00E8249E">
        <w:rPr>
          <w:rFonts w:ascii="Times New Roman" w:hAnsi="Times New Roman"/>
          <w:noProof/>
          <w:sz w:val="24"/>
        </w:rPr>
        <w:t>'</w:t>
      </w:r>
      <w:r>
        <w:rPr>
          <w:rFonts w:ascii="Times New Roman" w:hAnsi="Times New Roman"/>
          <w:noProof/>
          <w:sz w:val="24"/>
        </w:rPr>
        <w:t>adozione del regolamento del Consiglio. Secondo le previsioni della Commissione e del Consiglio in quel periodo, i prezzi dell</w:t>
      </w:r>
      <w:r w:rsidR="00E8249E">
        <w:rPr>
          <w:rFonts w:ascii="Times New Roman" w:hAnsi="Times New Roman"/>
          <w:noProof/>
          <w:sz w:val="24"/>
        </w:rPr>
        <w:t>'</w:t>
      </w:r>
      <w:r>
        <w:rPr>
          <w:rFonts w:ascii="Times New Roman" w:hAnsi="Times New Roman"/>
          <w:noProof/>
          <w:sz w:val="24"/>
        </w:rPr>
        <w:t>energia elettrica avrebbero continuato ad attestarsi sui livelli elevati osservati nell</w:t>
      </w:r>
      <w:r w:rsidR="00E8249E">
        <w:rPr>
          <w:rFonts w:ascii="Times New Roman" w:hAnsi="Times New Roman"/>
          <w:noProof/>
          <w:sz w:val="24"/>
        </w:rPr>
        <w:t>'</w:t>
      </w:r>
      <w:r>
        <w:rPr>
          <w:rFonts w:ascii="Times New Roman" w:hAnsi="Times New Roman"/>
          <w:noProof/>
          <w:sz w:val="24"/>
        </w:rPr>
        <w:t>estate e nell</w:t>
      </w:r>
      <w:r w:rsidR="00E8249E">
        <w:rPr>
          <w:rFonts w:ascii="Times New Roman" w:hAnsi="Times New Roman"/>
          <w:noProof/>
          <w:sz w:val="24"/>
        </w:rPr>
        <w:t>'</w:t>
      </w:r>
      <w:r>
        <w:rPr>
          <w:rFonts w:ascii="Times New Roman" w:hAnsi="Times New Roman"/>
          <w:noProof/>
          <w:sz w:val="24"/>
        </w:rPr>
        <w:t xml:space="preserve">autunno del 2022. </w:t>
      </w:r>
    </w:p>
    <w:p w14:paraId="50547650" w14:textId="77293FFC" w:rsidR="00FF5F32" w:rsidRDefault="00A22531" w:rsidP="00B87190">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Tuttavia, dal dicembre </w:t>
      </w:r>
      <w:r w:rsidR="406562E5">
        <w:rPr>
          <w:rFonts w:ascii="Times New Roman" w:hAnsi="Times New Roman"/>
          <w:noProof/>
          <w:sz w:val="24"/>
        </w:rPr>
        <w:t>2022, quando sono divenute applicabili le misure previste dal regolamento del Consiglio, i prezzi dell</w:t>
      </w:r>
      <w:r w:rsidR="00E8249E">
        <w:rPr>
          <w:rFonts w:ascii="Times New Roman" w:hAnsi="Times New Roman"/>
          <w:noProof/>
          <w:sz w:val="24"/>
        </w:rPr>
        <w:t>'</w:t>
      </w:r>
      <w:r w:rsidR="406562E5">
        <w:rPr>
          <w:rFonts w:ascii="Times New Roman" w:hAnsi="Times New Roman"/>
          <w:noProof/>
          <w:sz w:val="24"/>
        </w:rPr>
        <w:t xml:space="preserve">energia elettrica sono scesi drasticamente, con prezzi medi attualmente inferiori a </w:t>
      </w:r>
      <w:r>
        <w:rPr>
          <w:rFonts w:ascii="Times New Roman" w:hAnsi="Times New Roman"/>
          <w:noProof/>
          <w:sz w:val="24"/>
        </w:rPr>
        <w:t xml:space="preserve">80 EUR/MWh (alla fine di maggio </w:t>
      </w:r>
      <w:r w:rsidR="406562E5">
        <w:rPr>
          <w:rFonts w:ascii="Times New Roman" w:hAnsi="Times New Roman"/>
          <w:noProof/>
          <w:sz w:val="24"/>
        </w:rPr>
        <w:t>2023 la media del parametro di riferimento dell</w:t>
      </w:r>
      <w:r w:rsidR="00E8249E">
        <w:rPr>
          <w:rFonts w:ascii="Times New Roman" w:hAnsi="Times New Roman"/>
          <w:noProof/>
          <w:sz w:val="24"/>
        </w:rPr>
        <w:t>'</w:t>
      </w:r>
      <w:r w:rsidR="406562E5">
        <w:rPr>
          <w:rFonts w:ascii="Times New Roman" w:hAnsi="Times New Roman"/>
          <w:noProof/>
          <w:sz w:val="24"/>
        </w:rPr>
        <w:t xml:space="preserve">UE è pari a 80 EUR/MWh). </w:t>
      </w:r>
    </w:p>
    <w:p w14:paraId="534BC8D5" w14:textId="7A47BBC5" w:rsidR="6A43D2FD" w:rsidRPr="00EC7A99" w:rsidRDefault="4302BEA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Ciò è dovuto principalmente alla diminuzione dei prezzi del gas all</w:t>
      </w:r>
      <w:r w:rsidR="00E8249E">
        <w:rPr>
          <w:rFonts w:ascii="Times New Roman" w:hAnsi="Times New Roman"/>
          <w:noProof/>
          <w:sz w:val="24"/>
        </w:rPr>
        <w:t>'</w:t>
      </w:r>
      <w:r>
        <w:rPr>
          <w:rFonts w:ascii="Times New Roman" w:hAnsi="Times New Roman"/>
          <w:noProof/>
          <w:sz w:val="24"/>
        </w:rPr>
        <w:t>ingrosso, che erano legati a vari fattori come le condizioni meteorologiche miti e l</w:t>
      </w:r>
      <w:r w:rsidR="00E8249E">
        <w:rPr>
          <w:rFonts w:ascii="Times New Roman" w:hAnsi="Times New Roman"/>
          <w:noProof/>
          <w:sz w:val="24"/>
        </w:rPr>
        <w:t>'</w:t>
      </w:r>
      <w:r>
        <w:rPr>
          <w:rFonts w:ascii="Times New Roman" w:hAnsi="Times New Roman"/>
          <w:noProof/>
          <w:sz w:val="24"/>
        </w:rPr>
        <w:t>ampia serie di misure adottate dagli Stati membri e dalla Commissione per fronteggiare la crisi energetica, ivi comprese le misure previste dal regolamento del Consiglio per ridurre la domanda di energia elettrica, il parametro di riferimento per il GNL e le misure di riduzione della domanda di gas</w:t>
      </w:r>
      <w:r>
        <w:rPr>
          <w:rStyle w:val="FootnoteReference"/>
          <w:rFonts w:ascii="Times New Roman" w:eastAsia="Times New Roman" w:hAnsi="Times New Roman" w:cs="Times New Roman"/>
          <w:noProof/>
          <w:sz w:val="24"/>
        </w:rPr>
        <w:footnoteReference w:id="13"/>
      </w:r>
      <w:r>
        <w:rPr>
          <w:rFonts w:ascii="Times New Roman" w:hAnsi="Times New Roman"/>
          <w:noProof/>
          <w:sz w:val="24"/>
        </w:rPr>
        <w:t>, che nell</w:t>
      </w:r>
      <w:r w:rsidR="00E8249E">
        <w:rPr>
          <w:rFonts w:ascii="Times New Roman" w:hAnsi="Times New Roman"/>
          <w:noProof/>
          <w:sz w:val="24"/>
        </w:rPr>
        <w:t>'</w:t>
      </w:r>
      <w:r>
        <w:rPr>
          <w:rFonts w:ascii="Times New Roman" w:hAnsi="Times New Roman"/>
          <w:noProof/>
          <w:sz w:val="24"/>
        </w:rPr>
        <w:t>insieme hanno migliorato l</w:t>
      </w:r>
      <w:r w:rsidR="00E8249E">
        <w:rPr>
          <w:rFonts w:ascii="Times New Roman" w:hAnsi="Times New Roman"/>
          <w:noProof/>
          <w:sz w:val="24"/>
        </w:rPr>
        <w:t>'</w:t>
      </w:r>
      <w:r>
        <w:rPr>
          <w:rFonts w:ascii="Times New Roman" w:hAnsi="Times New Roman"/>
          <w:noProof/>
          <w:sz w:val="24"/>
        </w:rPr>
        <w:t>equilibrio sottostante tra domanda e offerta.</w:t>
      </w:r>
      <w:r>
        <w:rPr>
          <w:rStyle w:val="FootnoteReference"/>
          <w:rFonts w:ascii="Times New Roman" w:hAnsi="Times New Roman"/>
          <w:noProof/>
          <w:sz w:val="24"/>
        </w:rPr>
        <w:t xml:space="preserve"> </w:t>
      </w:r>
      <w:r>
        <w:rPr>
          <w:rStyle w:val="FootnoteReference"/>
          <w:rFonts w:ascii="Times New Roman" w:eastAsia="Times New Roman" w:hAnsi="Times New Roman" w:cs="Times New Roman"/>
          <w:noProof/>
          <w:sz w:val="24"/>
        </w:rPr>
        <w:footnoteReference w:id="14"/>
      </w:r>
      <w:r>
        <w:rPr>
          <w:rFonts w:ascii="Times New Roman" w:hAnsi="Times New Roman"/>
          <w:noProof/>
          <w:sz w:val="24"/>
        </w:rPr>
        <w:t xml:space="preserve"> </w:t>
      </w:r>
    </w:p>
    <w:p w14:paraId="1D647131" w14:textId="5B407E59" w:rsidR="0F290A00" w:rsidRDefault="0F290A00"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A seguito del calo e della stabilizzazione recenti dei prezzi del gas e, di conseguenza, dei prezzi dell</w:t>
      </w:r>
      <w:r w:rsidR="00E8249E">
        <w:rPr>
          <w:rFonts w:ascii="Times New Roman" w:hAnsi="Times New Roman"/>
          <w:noProof/>
          <w:sz w:val="24"/>
        </w:rPr>
        <w:t>'</w:t>
      </w:r>
      <w:r>
        <w:rPr>
          <w:rFonts w:ascii="Times New Roman" w:hAnsi="Times New Roman"/>
          <w:noProof/>
          <w:sz w:val="24"/>
        </w:rPr>
        <w:t>energia elettrica nei primi mesi del 2023, il mercato prevede una minore probabilità che le impennate dei prezzi dell</w:t>
      </w:r>
      <w:r w:rsidR="00E8249E">
        <w:rPr>
          <w:rFonts w:ascii="Times New Roman" w:hAnsi="Times New Roman"/>
          <w:noProof/>
          <w:sz w:val="24"/>
        </w:rPr>
        <w:t>'</w:t>
      </w:r>
      <w:r>
        <w:rPr>
          <w:rFonts w:ascii="Times New Roman" w:hAnsi="Times New Roman"/>
          <w:noProof/>
          <w:sz w:val="24"/>
        </w:rPr>
        <w:t>energia elettrica osservate per tutto il 2022 si ver</w:t>
      </w:r>
      <w:r w:rsidR="00A22531">
        <w:rPr>
          <w:rFonts w:ascii="Times New Roman" w:hAnsi="Times New Roman"/>
          <w:noProof/>
          <w:sz w:val="24"/>
        </w:rPr>
        <w:t xml:space="preserve">ifichino nel prossimo inverno. </w:t>
      </w:r>
      <w:r>
        <w:rPr>
          <w:rFonts w:ascii="Times New Roman" w:hAnsi="Times New Roman"/>
          <w:noProof/>
          <w:sz w:val="24"/>
        </w:rPr>
        <w:t>Tali aspettative si basano su vari fattori, come l</w:t>
      </w:r>
      <w:r w:rsidR="00E8249E">
        <w:rPr>
          <w:rFonts w:ascii="Times New Roman" w:hAnsi="Times New Roman"/>
          <w:noProof/>
          <w:sz w:val="24"/>
        </w:rPr>
        <w:t>'</w:t>
      </w:r>
      <w:r>
        <w:rPr>
          <w:rFonts w:ascii="Times New Roman" w:hAnsi="Times New Roman"/>
          <w:noProof/>
          <w:sz w:val="24"/>
        </w:rPr>
        <w:t>aumento dei livelli di stoccaggio del gas, gli sforzi degli Stati membri per ridurre la domanda e i conseguenti risultati, nonché le infrastrutture per il gas naturale liquefatto e i gasdotti supplementari che sono stati realizzati per contrastare la crisi energetica. Anche altri fattori intrinseci dell</w:t>
      </w:r>
      <w:r w:rsidR="00E8249E">
        <w:rPr>
          <w:rFonts w:ascii="Times New Roman" w:hAnsi="Times New Roman"/>
          <w:noProof/>
          <w:sz w:val="24"/>
        </w:rPr>
        <w:t>'</w:t>
      </w:r>
      <w:r>
        <w:rPr>
          <w:rFonts w:ascii="Times New Roman" w:hAnsi="Times New Roman"/>
          <w:noProof/>
          <w:sz w:val="24"/>
        </w:rPr>
        <w:t>approvvigionamento sul mercato dell</w:t>
      </w:r>
      <w:r w:rsidR="00E8249E">
        <w:rPr>
          <w:rFonts w:ascii="Times New Roman" w:hAnsi="Times New Roman"/>
          <w:noProof/>
          <w:sz w:val="24"/>
        </w:rPr>
        <w:t>'</w:t>
      </w:r>
      <w:r>
        <w:rPr>
          <w:rFonts w:ascii="Times New Roman" w:hAnsi="Times New Roman"/>
          <w:noProof/>
          <w:sz w:val="24"/>
        </w:rPr>
        <w:t>energia elettrica, come il previsto miglioramento della disponibilità di energia nucleare e una maggiore disponibilità complessiva di energia idroelettrica rispetto al 2022, indicano condizioni di approvvigionamento dell</w:t>
      </w:r>
      <w:r w:rsidR="00E8249E">
        <w:rPr>
          <w:rFonts w:ascii="Times New Roman" w:hAnsi="Times New Roman"/>
          <w:noProof/>
          <w:sz w:val="24"/>
        </w:rPr>
        <w:t>'</w:t>
      </w:r>
      <w:r>
        <w:rPr>
          <w:rFonts w:ascii="Times New Roman" w:hAnsi="Times New Roman"/>
          <w:noProof/>
          <w:sz w:val="24"/>
        </w:rPr>
        <w:t>energia elettrica meno costose per il prossimo inverno. Sono pertanto previste minori pressioni al rialzo sui prezzi dell</w:t>
      </w:r>
      <w:r w:rsidR="00E8249E">
        <w:rPr>
          <w:rFonts w:ascii="Times New Roman" w:hAnsi="Times New Roman"/>
          <w:noProof/>
          <w:sz w:val="24"/>
        </w:rPr>
        <w:t>'</w:t>
      </w:r>
      <w:r>
        <w:rPr>
          <w:rFonts w:ascii="Times New Roman" w:hAnsi="Times New Roman"/>
          <w:noProof/>
          <w:sz w:val="24"/>
        </w:rPr>
        <w:t xml:space="preserve">energia elettrica rispetto al 2022. </w:t>
      </w:r>
    </w:p>
    <w:p w14:paraId="3157282A" w14:textId="77777777" w:rsidR="000E40D0" w:rsidRPr="00EC7A99" w:rsidRDefault="23F0D82A" w:rsidP="2B9E9F58">
      <w:pPr>
        <w:pStyle w:val="Heading1"/>
        <w:keepNext w:val="0"/>
        <w:keepLines w:val="0"/>
        <w:spacing w:before="120" w:after="120" w:line="360" w:lineRule="auto"/>
        <w:rPr>
          <w:rFonts w:ascii="Times New Roman" w:eastAsia="Times New Roman" w:hAnsi="Times New Roman" w:cs="Times New Roman"/>
          <w:noProof/>
        </w:rPr>
      </w:pPr>
      <w:bookmarkStart w:id="9" w:name="_Toc137657178"/>
      <w:bookmarkStart w:id="10" w:name="_Toc1839008637"/>
      <w:bookmarkStart w:id="11" w:name="_Toc1707511285"/>
      <w:r>
        <w:rPr>
          <w:rFonts w:ascii="Times New Roman" w:hAnsi="Times New Roman"/>
          <w:noProof/>
        </w:rPr>
        <w:t>Riduzione della domanda di energia elettrica</w:t>
      </w:r>
      <w:bookmarkEnd w:id="9"/>
      <w:r>
        <w:rPr>
          <w:rFonts w:ascii="Times New Roman" w:hAnsi="Times New Roman"/>
          <w:noProof/>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Misure di riduzione della domanda </w:t>
      </w:r>
    </w:p>
    <w:p w14:paraId="326BB871" w14:textId="4868E248" w:rsidR="00613168" w:rsidRPr="00EC7A99" w:rsidRDefault="4A40535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Tutti gli Stati membri comunicanti hanno attuato campagne di sensibilizzazione sul risparmio e sul consumo energetico, nonché misure generali di risparmio energetico come l</w:t>
      </w:r>
      <w:r w:rsidR="00E8249E">
        <w:rPr>
          <w:rFonts w:ascii="Times New Roman" w:hAnsi="Times New Roman"/>
          <w:noProof/>
          <w:sz w:val="24"/>
        </w:rPr>
        <w:t>'</w:t>
      </w:r>
      <w:r>
        <w:rPr>
          <w:rFonts w:ascii="Times New Roman" w:hAnsi="Times New Roman"/>
          <w:noProof/>
          <w:sz w:val="24"/>
        </w:rPr>
        <w:t>azione per il riscaldamento degli edifici pubblici e l</w:t>
      </w:r>
      <w:r w:rsidR="00E8249E">
        <w:rPr>
          <w:rFonts w:ascii="Times New Roman" w:hAnsi="Times New Roman"/>
          <w:noProof/>
          <w:sz w:val="24"/>
        </w:rPr>
        <w:t>'</w:t>
      </w:r>
      <w:r>
        <w:rPr>
          <w:rFonts w:ascii="Times New Roman" w:hAnsi="Times New Roman"/>
          <w:noProof/>
          <w:sz w:val="24"/>
        </w:rPr>
        <w:t>illuminazione pubblica. La Commissione approva queste campagne poiché sensibilizzano i consumatori in merito ai momenti in cui i prezzi dell</w:t>
      </w:r>
      <w:r w:rsidR="00E8249E">
        <w:rPr>
          <w:rFonts w:ascii="Times New Roman" w:hAnsi="Times New Roman"/>
          <w:noProof/>
          <w:sz w:val="24"/>
        </w:rPr>
        <w:t>'</w:t>
      </w:r>
      <w:r>
        <w:rPr>
          <w:rFonts w:ascii="Times New Roman" w:hAnsi="Times New Roman"/>
          <w:noProof/>
          <w:sz w:val="24"/>
        </w:rPr>
        <w:t>energia elettrica sono elevati, affinché possano aumentare la flessibilità dei loro consumi energetici. Al fine di incoraggiare la gestione della domanda, cinque Stati membri (Cechia, Grecia, Croazia, Austria e Polonia) hanno riferito di avere introdotto sussidi ai prezzi dell</w:t>
      </w:r>
      <w:r w:rsidR="00E8249E">
        <w:rPr>
          <w:rFonts w:ascii="Times New Roman" w:hAnsi="Times New Roman"/>
          <w:noProof/>
          <w:sz w:val="24"/>
        </w:rPr>
        <w:t>'</w:t>
      </w:r>
      <w:r>
        <w:rPr>
          <w:rFonts w:ascii="Times New Roman" w:hAnsi="Times New Roman"/>
          <w:noProof/>
          <w:sz w:val="24"/>
        </w:rPr>
        <w:t xml:space="preserve">energia al dettaglio che sono applicabili esclusivamente a livelli specifici di consumo di energia elettrica. </w:t>
      </w:r>
    </w:p>
    <w:p w14:paraId="698F980C" w14:textId="29BB7B1F" w:rsidR="00221A36" w:rsidRPr="00EC7A99" w:rsidRDefault="2AA1E7E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19 Stati membri, ossia Bulgaria, Cechia, Estonia, Irlanda, Grecia, Spagna, Francia, Croazia, Italia, Lettonia, Lituania, Lussemburgo, Paesi Bassi, Austria, Polonia, Portogallo, Slovenia, Finlandia, e Svezia, hanno messo in atto misure specifiche volte a conseguire la riduzione della domanda di energia elettrica negli orari di punta, quali la pubblicazione di tali orari, campagne di comunicazione e messaggistica individuale per i consumatori al fine di incoraggiare riduzioni volontarie di energia elettrica.</w:t>
      </w:r>
      <w:r w:rsidR="00E8249E">
        <w:rPr>
          <w:rFonts w:ascii="Times New Roman" w:hAnsi="Times New Roman"/>
          <w:noProof/>
          <w:sz w:val="24"/>
        </w:rPr>
        <w:t xml:space="preserve"> </w:t>
      </w:r>
      <w:r>
        <w:rPr>
          <w:rFonts w:ascii="Times New Roman" w:hAnsi="Times New Roman"/>
          <w:noProof/>
          <w:sz w:val="24"/>
        </w:rPr>
        <w:t>Nello specifico Spagna, Italia e Slovenia hanno attuato sistemi di gare competitive per ridurre la domanda di energia elettrica negli orari di punta nell</w:t>
      </w:r>
      <w:r w:rsidR="00E8249E">
        <w:rPr>
          <w:rFonts w:ascii="Times New Roman" w:hAnsi="Times New Roman"/>
          <w:noProof/>
          <w:sz w:val="24"/>
        </w:rPr>
        <w:t>'</w:t>
      </w:r>
      <w:r>
        <w:rPr>
          <w:rFonts w:ascii="Times New Roman" w:hAnsi="Times New Roman"/>
          <w:noProof/>
          <w:sz w:val="24"/>
        </w:rPr>
        <w:t>inverno 2022-2023</w:t>
      </w:r>
      <w:r>
        <w:rPr>
          <w:rStyle w:val="FootnoteReference"/>
          <w:rFonts w:ascii="Times New Roman" w:eastAsia="Times New Roman" w:hAnsi="Times New Roman" w:cs="Times New Roman"/>
          <w:noProof/>
          <w:sz w:val="24"/>
        </w:rPr>
        <w:footnoteReference w:id="15"/>
      </w:r>
      <w:r>
        <w:rPr>
          <w:rFonts w:ascii="Times New Roman" w:hAnsi="Times New Roman"/>
          <w:noProof/>
          <w:sz w:val="24"/>
        </w:rPr>
        <w:t>, mentre Austria e Svezia hanno notificato alla Commissione un sistema pertinente per ottenerne l</w:t>
      </w:r>
      <w:r w:rsidR="00E8249E">
        <w:rPr>
          <w:rFonts w:ascii="Times New Roman" w:hAnsi="Times New Roman"/>
          <w:noProof/>
          <w:sz w:val="24"/>
        </w:rPr>
        <w:t>'</w:t>
      </w:r>
      <w:r>
        <w:rPr>
          <w:rFonts w:ascii="Times New Roman" w:hAnsi="Times New Roman"/>
          <w:noProof/>
          <w:sz w:val="24"/>
        </w:rPr>
        <w:t>approvazione nel quadro degli aiuti di Stato. Infine, il Portogallo ha riferito che sta considerando l</w:t>
      </w:r>
      <w:r w:rsidR="00E8249E">
        <w:rPr>
          <w:rFonts w:ascii="Times New Roman" w:hAnsi="Times New Roman"/>
          <w:noProof/>
          <w:sz w:val="24"/>
        </w:rPr>
        <w:t>'</w:t>
      </w:r>
      <w:r>
        <w:rPr>
          <w:rFonts w:ascii="Times New Roman" w:hAnsi="Times New Roman"/>
          <w:noProof/>
          <w:sz w:val="24"/>
        </w:rPr>
        <w:t xml:space="preserve">attuazione di un sistema di gara competitiva per ridurre la domanda di energia elettrica nelle ore di punta. </w:t>
      </w:r>
    </w:p>
    <w:p w14:paraId="44C8EBC3" w14:textId="77777777" w:rsidR="00F34524" w:rsidRPr="00EC7A99" w:rsidRDefault="616395B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Tre Stati membri hanno imposto misure di riduzione della domanda nei confronti di specifiche categorie di consumatori: per esempio, la Lettonia ha imposto limiti al consumo di energia elettrica da parte dei grandi consumatori industriali. </w:t>
      </w:r>
    </w:p>
    <w:p w14:paraId="6B0964CA" w14:textId="77777777" w:rsidR="00613168" w:rsidRPr="00EC7A99" w:rsidRDefault="35198C26" w:rsidP="00A22531">
      <w:pPr>
        <w:keepNext/>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Riduzione del consumo di energia elettrica</w:t>
      </w:r>
    </w:p>
    <w:p w14:paraId="626C8820" w14:textId="763716B3" w:rsidR="00EA4768" w:rsidRPr="00EC7A99" w:rsidRDefault="3DA08D31"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noProof/>
          <w:sz w:val="24"/>
        </w:rPr>
        <w:t>In base alle informazioni trasmesse dagli Stati membri comunicanti per il mese di dicembre 2022, il calo generale del consumo di energia elettrica è oscillato tra lo 0,5 %</w:t>
      </w:r>
      <w:r>
        <w:rPr>
          <w:rStyle w:val="FootnoteReference"/>
          <w:rFonts w:ascii="Times New Roman" w:eastAsia="Times New Roman" w:hAnsi="Times New Roman" w:cs="Times New Roman"/>
          <w:noProof/>
          <w:sz w:val="24"/>
        </w:rPr>
        <w:footnoteReference w:id="16"/>
      </w:r>
      <w:r w:rsidR="00A22531">
        <w:rPr>
          <w:rFonts w:ascii="Times New Roman" w:hAnsi="Times New Roman"/>
          <w:noProof/>
          <w:sz w:val="24"/>
        </w:rPr>
        <w:t xml:space="preserve"> e il </w:t>
      </w:r>
      <w:r>
        <w:rPr>
          <w:rFonts w:ascii="Times New Roman" w:hAnsi="Times New Roman"/>
          <w:noProof/>
          <w:sz w:val="24"/>
        </w:rPr>
        <w:t>15 % rispetto al periodo di riferimento</w:t>
      </w:r>
      <w:r>
        <w:rPr>
          <w:rStyle w:val="FootnoteReference"/>
          <w:rFonts w:ascii="Times New Roman" w:eastAsia="Times New Roman" w:hAnsi="Times New Roman" w:cs="Times New Roman"/>
          <w:noProof/>
          <w:sz w:val="24"/>
        </w:rPr>
        <w:footnoteReference w:id="17"/>
      </w:r>
      <w:r>
        <w:rPr>
          <w:rFonts w:ascii="Times New Roman" w:hAnsi="Times New Roman"/>
          <w:noProof/>
          <w:sz w:val="24"/>
        </w:rPr>
        <w:t xml:space="preserve">.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Per quanto riguarda i volumi di riduzione del consumo di energia elettrica durante le ore di punta:</w:t>
      </w:r>
    </w:p>
    <w:p w14:paraId="715640DD" w14:textId="6024F224" w:rsidR="00EA4768" w:rsidRPr="00EC7A99"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dieci Stati membri, ossia Bulgaria, Estonia, Irlanda, Croazia, Italia, Lussemburgo, Paesi Bassi, Austria, Polonia e Portogallo, hanno dichiarato una riduzione dei v</w:t>
      </w:r>
      <w:r w:rsidR="00A22531">
        <w:rPr>
          <w:rFonts w:ascii="Times New Roman" w:hAnsi="Times New Roman"/>
          <w:noProof/>
          <w:sz w:val="24"/>
        </w:rPr>
        <w:t>olumi tra il </w:t>
      </w:r>
      <w:r>
        <w:rPr>
          <w:rFonts w:ascii="Times New Roman" w:hAnsi="Times New Roman"/>
          <w:noProof/>
          <w:sz w:val="24"/>
        </w:rPr>
        <w:t>4 % e il 7 %;</w:t>
      </w:r>
    </w:p>
    <w:p w14:paraId="15034038" w14:textId="77777777" w:rsidR="00EA4768" w:rsidRPr="00EC7A99"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otto Stati membri, ossia Belgio, Cechia, Danimarca, Germania, Lettonia, Slovenia, Finlandia e Svezia, hanno dichiarato una riduzione dei volumi tra 7 % e il 10 %;</w:t>
      </w:r>
    </w:p>
    <w:p w14:paraId="38C36768" w14:textId="77777777" w:rsidR="00F34524" w:rsidRPr="00EC7A99"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rPr>
      </w:pPr>
      <w:r>
        <w:rPr>
          <w:rFonts w:ascii="Times New Roman" w:hAnsi="Times New Roman"/>
          <w:noProof/>
          <w:sz w:val="24"/>
        </w:rPr>
        <w:t xml:space="preserve">cinque Stati membri, ossia Grecia, Spagna, Francia, Lituania e Slovacchia, hanno dichiarato una riduzione dei volumi superiore al 10 %. </w:t>
      </w:r>
    </w:p>
    <w:p w14:paraId="3B62CA10" w14:textId="4F20AFD4" w:rsidR="00F34524" w:rsidRPr="00EC7A99" w:rsidRDefault="679E40FD"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Valutazione della proroga della misura </w:t>
      </w:r>
    </w:p>
    <w:p w14:paraId="57EE9403" w14:textId="599CBAFE" w:rsidR="0000240C" w:rsidRPr="00EC7A99" w:rsidRDefault="0EC50AF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Gli Stati membri comunicanti indicano di avere raggiunto nel complesso l</w:t>
      </w:r>
      <w:r w:rsidR="00E8249E">
        <w:rPr>
          <w:rFonts w:ascii="Times New Roman" w:hAnsi="Times New Roman"/>
          <w:noProof/>
          <w:sz w:val="24"/>
        </w:rPr>
        <w:t>'</w:t>
      </w:r>
      <w:r>
        <w:rPr>
          <w:rFonts w:ascii="Times New Roman" w:hAnsi="Times New Roman"/>
          <w:noProof/>
          <w:sz w:val="24"/>
        </w:rPr>
        <w:t>obiettivo vincolante di ridurre del 5 % il consumo di energia elettrica durante le ore di punta. Tuttavia alcuni Stati membri hanno riferito che è stato impegnativo conformarsi all</w:t>
      </w:r>
      <w:r w:rsidR="00E8249E">
        <w:rPr>
          <w:rFonts w:ascii="Times New Roman" w:hAnsi="Times New Roman"/>
          <w:noProof/>
          <w:sz w:val="24"/>
        </w:rPr>
        <w:t>'</w:t>
      </w:r>
      <w:r>
        <w:rPr>
          <w:rFonts w:ascii="Times New Roman" w:hAnsi="Times New Roman"/>
          <w:noProof/>
          <w:sz w:val="24"/>
        </w:rPr>
        <w:t xml:space="preserve">obbligo </w:t>
      </w:r>
      <w:r>
        <w:rPr>
          <w:rFonts w:ascii="Times New Roman" w:hAnsi="Times New Roman"/>
          <w:i/>
          <w:noProof/>
          <w:sz w:val="24"/>
        </w:rPr>
        <w:t>indicativo</w:t>
      </w:r>
      <w:r>
        <w:rPr>
          <w:rFonts w:ascii="Times New Roman" w:hAnsi="Times New Roman"/>
          <w:noProof/>
          <w:sz w:val="24"/>
        </w:rPr>
        <w:t xml:space="preserve"> di ridurre il consumo complessivo mensile del 10 % (rispetto agli ultimi cinque anni) per via della dipendenza dalle condizioni meteorologiche e della situazione economica dovuta alla crisi energetica.</w:t>
      </w:r>
    </w:p>
    <w:p w14:paraId="76B12CE0" w14:textId="4B5B87DB" w:rsidR="00795FEE" w:rsidRPr="00EC7A99" w:rsidRDefault="4FD11AF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consultazione pubblica comprendeva domande su una possibile proroga delle misure di gestione della domanda, alle quali la maggior parte dei portatori di interessi ha risposto che non è necessario introdurre nel regolamento (UE) 2019/943 sul mercato interno dell</w:t>
      </w:r>
      <w:r w:rsidR="00E8249E">
        <w:rPr>
          <w:rFonts w:ascii="Times New Roman" w:hAnsi="Times New Roman"/>
          <w:noProof/>
          <w:sz w:val="24"/>
        </w:rPr>
        <w:t>'</w:t>
      </w:r>
      <w:r>
        <w:rPr>
          <w:rFonts w:ascii="Times New Roman" w:hAnsi="Times New Roman"/>
          <w:noProof/>
          <w:sz w:val="24"/>
        </w:rPr>
        <w:t xml:space="preserve">energia elettrica (il </w:t>
      </w:r>
      <w:r>
        <w:rPr>
          <w:rFonts w:ascii="Times New Roman" w:hAnsi="Times New Roman"/>
          <w:b/>
          <w:i/>
          <w:noProof/>
          <w:sz w:val="24"/>
        </w:rPr>
        <w:t>regolamento sull</w:t>
      </w:r>
      <w:r w:rsidR="00E8249E">
        <w:rPr>
          <w:rFonts w:ascii="Times New Roman" w:hAnsi="Times New Roman"/>
          <w:b/>
          <w:i/>
          <w:noProof/>
          <w:sz w:val="24"/>
        </w:rPr>
        <w:t>'</w:t>
      </w:r>
      <w:r>
        <w:rPr>
          <w:rFonts w:ascii="Times New Roman" w:hAnsi="Times New Roman"/>
          <w:b/>
          <w:i/>
          <w:noProof/>
          <w:sz w:val="24"/>
        </w:rPr>
        <w:t>energia elettrica</w:t>
      </w:r>
      <w:r>
        <w:rPr>
          <w:rFonts w:ascii="Times New Roman" w:hAnsi="Times New Roman"/>
          <w:noProof/>
          <w:sz w:val="24"/>
        </w:rPr>
        <w:t>) requisiti specifici di gestione della domanda da applicare in caso di crisi. Al contrario, i partecipanti erano del parere che la gestione della domanda fosse già sufficientemente trattata nella normativa che disciplina il mercato dell</w:t>
      </w:r>
      <w:r w:rsidR="00E8249E">
        <w:rPr>
          <w:rFonts w:ascii="Times New Roman" w:hAnsi="Times New Roman"/>
          <w:noProof/>
          <w:sz w:val="24"/>
        </w:rPr>
        <w:t>'</w:t>
      </w:r>
      <w:r>
        <w:rPr>
          <w:rFonts w:ascii="Times New Roman" w:hAnsi="Times New Roman"/>
          <w:noProof/>
          <w:sz w:val="24"/>
        </w:rPr>
        <w:t>energia elettrica, segnatamente la direttiva (UE) 2019/944 relativa a norme comuni per il mercato interno dell</w:t>
      </w:r>
      <w:r w:rsidR="00E8249E">
        <w:rPr>
          <w:rFonts w:ascii="Times New Roman" w:hAnsi="Times New Roman"/>
          <w:noProof/>
          <w:sz w:val="24"/>
        </w:rPr>
        <w:t>'</w:t>
      </w:r>
      <w:r>
        <w:rPr>
          <w:rFonts w:ascii="Times New Roman" w:hAnsi="Times New Roman"/>
          <w:noProof/>
          <w:sz w:val="24"/>
        </w:rPr>
        <w:t xml:space="preserve">energia elettrica (la </w:t>
      </w:r>
      <w:r>
        <w:rPr>
          <w:rFonts w:ascii="Times New Roman" w:hAnsi="Times New Roman"/>
          <w:b/>
          <w:i/>
          <w:noProof/>
          <w:sz w:val="24"/>
        </w:rPr>
        <w:t>direttiva sull</w:t>
      </w:r>
      <w:r w:rsidR="00E8249E">
        <w:rPr>
          <w:rFonts w:ascii="Times New Roman" w:hAnsi="Times New Roman"/>
          <w:b/>
          <w:i/>
          <w:noProof/>
          <w:sz w:val="24"/>
        </w:rPr>
        <w:t>'</w:t>
      </w:r>
      <w:r>
        <w:rPr>
          <w:rFonts w:ascii="Times New Roman" w:hAnsi="Times New Roman"/>
          <w:b/>
          <w:i/>
          <w:noProof/>
          <w:sz w:val="24"/>
        </w:rPr>
        <w:t>energia elettrica</w:t>
      </w:r>
      <w:r>
        <w:rPr>
          <w:rFonts w:ascii="Times New Roman" w:hAnsi="Times New Roman"/>
          <w:noProof/>
          <w:sz w:val="24"/>
        </w:rPr>
        <w:t>), e ulteriormente rafforzata nella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w:t>
      </w:r>
    </w:p>
    <w:p w14:paraId="06137BE6" w14:textId="04903ACB" w:rsidR="003636D9" w:rsidRPr="00EC7A99" w:rsidRDefault="036C2F8F"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È importante rilevare che detta proposta integra ulteriormente le misure di riduzione della domanda in quanto elementi strutturali nell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In particolare, ai fini dell</w:t>
      </w:r>
      <w:r w:rsidR="00E8249E">
        <w:rPr>
          <w:rFonts w:ascii="Times New Roman" w:hAnsi="Times New Roman"/>
          <w:noProof/>
          <w:sz w:val="24"/>
        </w:rPr>
        <w:t>'</w:t>
      </w:r>
      <w:r>
        <w:rPr>
          <w:rFonts w:ascii="Times New Roman" w:hAnsi="Times New Roman"/>
          <w:noProof/>
          <w:sz w:val="24"/>
        </w:rPr>
        <w:t>integrazione efficiente dell</w:t>
      </w:r>
      <w:r w:rsidR="00E8249E">
        <w:rPr>
          <w:rFonts w:ascii="Times New Roman" w:hAnsi="Times New Roman"/>
          <w:noProof/>
          <w:sz w:val="24"/>
        </w:rPr>
        <w:t>'</w:t>
      </w:r>
      <w:r>
        <w:rPr>
          <w:rFonts w:ascii="Times New Roman" w:hAnsi="Times New Roman"/>
          <w:noProof/>
          <w:sz w:val="24"/>
        </w:rPr>
        <w:t>energia elettrica generata da fonti rinnovabili variabili (tenendo conto degli scambi interzonali) e affinché risulti necessario ricorrere con minore frequenza alla generazione da combustibili fossili nei momenti in cui a una forte domanda di energia elettrica si associa un basso livello di generazione da fonti rinnovabili variabili, 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consente ai gestori dei sistemi di trasmissione di predisporre un prodotto livellatore delle punte di carico grazie al quale la gestione della domanda possa contribuire ulteriormente a ridurre i picchi di consumo nel sistema elettrico in determinate</w:t>
      </w:r>
      <w:r w:rsidR="00A22531">
        <w:rPr>
          <w:rFonts w:ascii="Times New Roman" w:hAnsi="Times New Roman"/>
          <w:noProof/>
          <w:sz w:val="24"/>
        </w:rPr>
        <w:t xml:space="preserve"> ore del giorno (nuovo articolo 7 </w:t>
      </w:r>
      <w:r>
        <w:rPr>
          <w:rFonts w:ascii="Times New Roman" w:hAnsi="Times New Roman"/>
          <w:noProof/>
          <w:sz w:val="24"/>
        </w:rPr>
        <w:t>bis del regolamento sull</w:t>
      </w:r>
      <w:r w:rsidR="00E8249E">
        <w:rPr>
          <w:rFonts w:ascii="Times New Roman" w:hAnsi="Times New Roman"/>
          <w:noProof/>
          <w:sz w:val="24"/>
        </w:rPr>
        <w:t>'</w:t>
      </w:r>
      <w:r>
        <w:rPr>
          <w:rFonts w:ascii="Times New Roman" w:hAnsi="Times New Roman"/>
          <w:noProof/>
          <w:sz w:val="24"/>
        </w:rPr>
        <w:t>energia elettrica). Il prodotto livellatore delle punte di carico può contribuire a integrare al massimo nel sistema l</w:t>
      </w:r>
      <w:r w:rsidR="00E8249E">
        <w:rPr>
          <w:rFonts w:ascii="Times New Roman" w:hAnsi="Times New Roman"/>
          <w:noProof/>
          <w:sz w:val="24"/>
        </w:rPr>
        <w:t>'</w:t>
      </w:r>
      <w:r>
        <w:rPr>
          <w:rFonts w:ascii="Times New Roman" w:hAnsi="Times New Roman"/>
          <w:noProof/>
          <w:sz w:val="24"/>
        </w:rPr>
        <w:t xml:space="preserve">energia elettrica prodotta da fonti rinnovabili, spostando il consumo ai momenti della giornata con maggiore produzione di energia elettrica da fonti rinnovabili, a condizione che i costi previsti non superino i </w:t>
      </w:r>
      <w:r>
        <w:rPr>
          <w:rFonts w:ascii="Times New Roman" w:hAnsi="Times New Roman"/>
          <w:noProof/>
          <w:color w:val="333333"/>
          <w:sz w:val="24"/>
        </w:rPr>
        <w:t>benefici attesi dei prodotti</w:t>
      </w:r>
      <w:r>
        <w:rPr>
          <w:rFonts w:ascii="Times New Roman" w:hAnsi="Times New Roman"/>
          <w:noProof/>
          <w:sz w:val="24"/>
        </w:rPr>
        <w:t>. Poiché il prodotto livellatore mira a ridurre e a spostare il consumo di energia elettrica, la proposta ne limita l</w:t>
      </w:r>
      <w:r w:rsidR="00E8249E">
        <w:rPr>
          <w:rFonts w:ascii="Times New Roman" w:hAnsi="Times New Roman"/>
          <w:noProof/>
          <w:sz w:val="24"/>
        </w:rPr>
        <w:t>'</w:t>
      </w:r>
      <w:r>
        <w:rPr>
          <w:rFonts w:ascii="Times New Roman" w:hAnsi="Times New Roman"/>
          <w:noProof/>
          <w:sz w:val="24"/>
        </w:rPr>
        <w:t>applicazione alla gestione della domanda.</w:t>
      </w:r>
    </w:p>
    <w:p w14:paraId="3484D709" w14:textId="09174966" w:rsidR="006C58F3" w:rsidRPr="00EC7A99" w:rsidRDefault="0B8AB15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Inoltre 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chiede agli Stati membri di valutare le loro esigenze di flessibilità del sistema energetico, ivi compresa la gestione della domanda, e fissare obiettivi per soddisfarle. La proposta prevede anche la possibilità per gli Stati membri di delineare o ridelineare meccanismi di capacità per promuovere la flessibilità a basse emissioni di carbonio e introdurre nei mercati dell</w:t>
      </w:r>
      <w:r w:rsidR="00E8249E">
        <w:rPr>
          <w:rFonts w:ascii="Times New Roman" w:hAnsi="Times New Roman"/>
          <w:noProof/>
          <w:sz w:val="24"/>
        </w:rPr>
        <w:t>'</w:t>
      </w:r>
      <w:r>
        <w:rPr>
          <w:rFonts w:ascii="Times New Roman" w:hAnsi="Times New Roman"/>
          <w:noProof/>
          <w:sz w:val="24"/>
        </w:rPr>
        <w:t>energia elettrica nuovi regimi di sostegno alla flessibilità non fossile. Inoltre, diversamente dalle misure previste dal regolamento del Consiglio, che miravano a conseguire obiettivi globali di riduzione della domanda in tutti gli Stati membri per via della situazione di crisi, 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 xml:space="preserve">energia elettrica affronta la gestione della domanda in modo più strutturale, consentendo agli Stati membri di definire i propri meccanismi di flessibilità non fossile e gli obiettivi per la gestione della domanda e lo stoccaggio in base alle esigenze specifiche dei rispettivi sistemi elettrici. Per questo motivo la proposta non fissa obiettivi specifici. </w:t>
      </w:r>
    </w:p>
    <w:p w14:paraId="673A3BC0" w14:textId="64884B1B" w:rsidR="3FE8F640" w:rsidRPr="00EC7A99" w:rsidRDefault="3EB02FF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Commissione osserva inoltre che è attualmente in fase di elaborazione un nuovo codice di rete in materia di gestione della domanda. Una volta ultimato, questo codice dovrebbe includere norme vincolanti in materia di aggregazione, stoccaggio dell</w:t>
      </w:r>
      <w:r w:rsidR="00E8249E">
        <w:rPr>
          <w:rFonts w:ascii="Times New Roman" w:hAnsi="Times New Roman"/>
          <w:noProof/>
          <w:sz w:val="24"/>
        </w:rPr>
        <w:t>'</w:t>
      </w:r>
      <w:r>
        <w:rPr>
          <w:rFonts w:ascii="Times New Roman" w:hAnsi="Times New Roman"/>
          <w:noProof/>
          <w:sz w:val="24"/>
        </w:rPr>
        <w:t>energia e riduzione della domanda, che agevoleranno la partecipazione della gestione della domanda a tutti i mercati esistenti</w:t>
      </w:r>
      <w:r>
        <w:rPr>
          <w:rStyle w:val="FootnoteReference"/>
          <w:rFonts w:ascii="Times New Roman" w:eastAsia="Times New Roman" w:hAnsi="Times New Roman" w:cs="Times New Roman"/>
          <w:noProof/>
          <w:sz w:val="24"/>
        </w:rPr>
        <w:footnoteReference w:id="18"/>
      </w:r>
      <w:r>
        <w:rPr>
          <w:noProof/>
        </w:rPr>
        <w:t>.</w:t>
      </w:r>
    </w:p>
    <w:p w14:paraId="40131987" w14:textId="306B21B4" w:rsidR="00795FEE" w:rsidRPr="00EC7A99" w:rsidRDefault="11B4B9E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Considerate le informazioni di cui dispone attualmente, comprese le attuali aspettative di mercato, illustrate in precedenza, la Commissione ritiene che al momento non sia necessario prorogare le misure di riduzione della domanda stabilite nel regolamento del Consiglio. </w:t>
      </w:r>
    </w:p>
    <w:p w14:paraId="37C735A6" w14:textId="77777777" w:rsidR="00787A5B" w:rsidRPr="00EC7A99" w:rsidRDefault="7900E14D" w:rsidP="2B9E9F58">
      <w:pPr>
        <w:pStyle w:val="Heading1"/>
        <w:keepNext w:val="0"/>
        <w:keepLines w:val="0"/>
        <w:spacing w:before="120" w:after="120" w:line="360" w:lineRule="auto"/>
        <w:rPr>
          <w:rFonts w:ascii="Times New Roman" w:eastAsia="Times New Roman" w:hAnsi="Times New Roman" w:cs="Times New Roman"/>
          <w:noProof/>
        </w:rPr>
      </w:pPr>
      <w:bookmarkStart w:id="12" w:name="_Toc137657179"/>
      <w:bookmarkStart w:id="13" w:name="_Toc1038830798"/>
      <w:bookmarkStart w:id="14" w:name="_Toc1343108164"/>
      <w:r>
        <w:rPr>
          <w:rFonts w:ascii="Times New Roman" w:hAnsi="Times New Roman"/>
          <w:noProof/>
        </w:rPr>
        <w:t>Tetto sui ricavi inframarginali</w:t>
      </w:r>
      <w:bookmarkEnd w:id="12"/>
      <w:r>
        <w:rPr>
          <w:rFonts w:ascii="Times New Roman" w:hAnsi="Times New Roman"/>
          <w:noProof/>
        </w:rPr>
        <w:t xml:space="preserve"> </w:t>
      </w:r>
      <w:bookmarkEnd w:id="13"/>
      <w:bookmarkEnd w:id="14"/>
    </w:p>
    <w:p w14:paraId="7061E077" w14:textId="77777777"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Attuazione del tetto sui ricavi</w:t>
      </w:r>
    </w:p>
    <w:p w14:paraId="75ED3A26" w14:textId="782F88E0" w:rsidR="001A2015" w:rsidRPr="00EC7A99" w:rsidRDefault="100B577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 base alle informazioni trasmesse dagli Stati membri comunicanti, l</w:t>
      </w:r>
      <w:r w:rsidR="00E8249E">
        <w:rPr>
          <w:rFonts w:ascii="Times New Roman" w:hAnsi="Times New Roman"/>
          <w:noProof/>
          <w:sz w:val="24"/>
        </w:rPr>
        <w:t>'</w:t>
      </w:r>
      <w:r>
        <w:rPr>
          <w:rFonts w:ascii="Times New Roman" w:hAnsi="Times New Roman"/>
          <w:noProof/>
          <w:sz w:val="24"/>
        </w:rPr>
        <w:t>applicazione del tetto sui ricavi inframarginali è stata molto eterogenea, non solo per quanto riguarda il livello cui è stato fissato (al di sotto di 180 EUR/MWh in 17 Stati membri</w:t>
      </w:r>
      <w:r>
        <w:rPr>
          <w:rStyle w:val="FootnoteReference"/>
          <w:rFonts w:ascii="Times New Roman" w:eastAsia="Times New Roman" w:hAnsi="Times New Roman" w:cs="Times New Roman"/>
          <w:noProof/>
          <w:sz w:val="24"/>
        </w:rPr>
        <w:footnoteReference w:id="19"/>
      </w:r>
      <w:r>
        <w:rPr>
          <w:rFonts w:ascii="Times New Roman" w:hAnsi="Times New Roman"/>
          <w:noProof/>
          <w:sz w:val="24"/>
        </w:rPr>
        <w:t>), ma anche per quanto concerne la validità temporale delle misure (sette Stati membri</w:t>
      </w:r>
      <w:r>
        <w:rPr>
          <w:rStyle w:val="FootnoteReference"/>
          <w:rFonts w:ascii="Times New Roman" w:eastAsia="Times New Roman" w:hAnsi="Times New Roman" w:cs="Times New Roman"/>
          <w:noProof/>
          <w:sz w:val="24"/>
        </w:rPr>
        <w:footnoteReference w:id="20"/>
      </w:r>
      <w:r>
        <w:rPr>
          <w:rFonts w:ascii="Times New Roman" w:hAnsi="Times New Roman"/>
          <w:noProof/>
          <w:sz w:val="24"/>
        </w:rPr>
        <w:t xml:space="preserve"> applicano il tetto retroattivamente e 11</w:t>
      </w:r>
      <w:r>
        <w:rPr>
          <w:rStyle w:val="FootnoteReference"/>
          <w:rFonts w:ascii="Times New Roman" w:eastAsia="Times New Roman" w:hAnsi="Times New Roman" w:cs="Times New Roman"/>
          <w:noProof/>
          <w:sz w:val="24"/>
        </w:rPr>
        <w:footnoteReference w:id="21"/>
      </w:r>
      <w:r>
        <w:rPr>
          <w:rFonts w:ascii="Times New Roman" w:hAnsi="Times New Roman"/>
          <w:noProof/>
          <w:sz w:val="24"/>
        </w:rPr>
        <w:t xml:space="preserve"> continueranno ad applicarlo dopo il termine stabilito nel regolamento del Consiglio).</w:t>
      </w:r>
      <w:r w:rsidR="00E8249E">
        <w:rPr>
          <w:rFonts w:ascii="Times New Roman" w:hAnsi="Times New Roman"/>
          <w:noProof/>
          <w:sz w:val="24"/>
        </w:rPr>
        <w:t xml:space="preserve"> </w:t>
      </w:r>
    </w:p>
    <w:p w14:paraId="28DCCD00" w14:textId="15276C6B" w:rsidR="00AF2F1C" w:rsidRPr="00EC7A99" w:rsidRDefault="111333D6"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Diversi Stati membri hanno segnalato difficoltà nell</w:t>
      </w:r>
      <w:r w:rsidR="00E8249E">
        <w:rPr>
          <w:rFonts w:ascii="Times New Roman" w:hAnsi="Times New Roman"/>
          <w:noProof/>
          <w:sz w:val="24"/>
        </w:rPr>
        <w:t>'</w:t>
      </w:r>
      <w:r>
        <w:rPr>
          <w:rFonts w:ascii="Times New Roman" w:hAnsi="Times New Roman"/>
          <w:noProof/>
          <w:sz w:val="24"/>
        </w:rPr>
        <w:t>applicare la misura nelle rispettive giurisdizioni nazionali: la maggior parte di queste difficoltà riguardavano il breve tempo a disposizione degli Stati membri per l</w:t>
      </w:r>
      <w:r w:rsidR="00E8249E">
        <w:rPr>
          <w:rFonts w:ascii="Times New Roman" w:hAnsi="Times New Roman"/>
          <w:noProof/>
          <w:sz w:val="24"/>
        </w:rPr>
        <w:t>'</w:t>
      </w:r>
      <w:r>
        <w:rPr>
          <w:rFonts w:ascii="Times New Roman" w:hAnsi="Times New Roman"/>
          <w:noProof/>
          <w:sz w:val="24"/>
        </w:rPr>
        <w:t xml:space="preserve">attuazione mentre altre erano legate alla raccolta dei dati e al calcolo dei ricavi di ciascun produttore di energia elettrica che sarebbe stato soggetto alla misura. Gli Stati membri hanno inoltre segnalato conflitti con le autorità tributarie nazionali competenti e i regolamenti applicabili in fase di dibattito sulle modalità di attuazione del tetto sui ricavi. </w:t>
      </w:r>
    </w:p>
    <w:p w14:paraId="39B142F4" w14:textId="04391377" w:rsidR="000C7440" w:rsidRPr="00EC7A99" w:rsidRDefault="4BFFB794"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Sebbene gli Stati membri non abbiano segnalato ostacoli importanti per gli scambi transfrontalieri o i comportamenti d</w:t>
      </w:r>
      <w:r w:rsidR="00E8249E">
        <w:rPr>
          <w:rFonts w:ascii="Times New Roman" w:hAnsi="Times New Roman"/>
          <w:noProof/>
          <w:sz w:val="24"/>
        </w:rPr>
        <w:t>'</w:t>
      </w:r>
      <w:r>
        <w:rPr>
          <w:rFonts w:ascii="Times New Roman" w:hAnsi="Times New Roman"/>
          <w:noProof/>
          <w:sz w:val="24"/>
        </w:rPr>
        <w:t>offerta, alcuni partecipanti alla consultazione pubblica temevano che il mosaico di strategie diverse di attuazione negli Stati membri generasse incertezza normativa per i partecipanti al mercato e fosse percepito come una barriera a nuovi investimenti.</w:t>
      </w:r>
    </w:p>
    <w:p w14:paraId="60626F31" w14:textId="1BCB0102" w:rsidR="00AF2F1C" w:rsidRPr="00EC7A99" w:rsidRDefault="7263DAA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Ricavi generati dall</w:t>
      </w:r>
      <w:r w:rsidR="00E8249E">
        <w:rPr>
          <w:rFonts w:ascii="Times New Roman" w:hAnsi="Times New Roman"/>
          <w:i/>
          <w:noProof/>
          <w:sz w:val="24"/>
        </w:rPr>
        <w:t>'</w:t>
      </w:r>
      <w:r>
        <w:rPr>
          <w:rFonts w:ascii="Times New Roman" w:hAnsi="Times New Roman"/>
          <w:i/>
          <w:noProof/>
          <w:sz w:val="24"/>
        </w:rPr>
        <w:t>attuazione del tetto sui ricavi</w:t>
      </w:r>
    </w:p>
    <w:p w14:paraId="3B50A1DD" w14:textId="6EFE8D14" w:rsidR="42BC1213" w:rsidRPr="00EC7A99" w:rsidRDefault="223C9FD3" w:rsidP="2B9E9F58">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È importante tenere presente che gli Stati membri hanno presentato la loro relazione pochi mesi dopo l</w:t>
      </w:r>
      <w:r w:rsidR="00E8249E">
        <w:rPr>
          <w:rFonts w:ascii="Times New Roman" w:hAnsi="Times New Roman"/>
          <w:noProof/>
          <w:sz w:val="24"/>
        </w:rPr>
        <w:t>'</w:t>
      </w:r>
      <w:r>
        <w:rPr>
          <w:rFonts w:ascii="Times New Roman" w:hAnsi="Times New Roman"/>
          <w:noProof/>
          <w:sz w:val="24"/>
        </w:rPr>
        <w:t>entrata in vigore del tetto sui ricavi inframarginali e che, all</w:t>
      </w:r>
      <w:r w:rsidR="00E8249E">
        <w:rPr>
          <w:rFonts w:ascii="Times New Roman" w:hAnsi="Times New Roman"/>
          <w:noProof/>
          <w:sz w:val="24"/>
        </w:rPr>
        <w:t>'</w:t>
      </w:r>
      <w:r>
        <w:rPr>
          <w:rFonts w:ascii="Times New Roman" w:hAnsi="Times New Roman"/>
          <w:noProof/>
          <w:sz w:val="24"/>
        </w:rPr>
        <w:t>epoca, la maggior parte di essi non possedeva ancora informazioni sui ricavi derivanti da quella misura. Solo due Stati membri sono stati in grado di fornire alcuni dati preliminari: la Bulgaria ha riferito di aver riscosso 321 700 123 BGN (circa 163 milioni di EUR) nel dicembre 2022 e la Lituania ha dichiarato di aver incassato cir</w:t>
      </w:r>
      <w:r w:rsidR="00A22531">
        <w:rPr>
          <w:rFonts w:ascii="Times New Roman" w:hAnsi="Times New Roman"/>
          <w:noProof/>
          <w:sz w:val="24"/>
        </w:rPr>
        <w:t xml:space="preserve">ca 10 milioni di EUR entro il 9 marzo </w:t>
      </w:r>
      <w:r>
        <w:rPr>
          <w:rFonts w:ascii="Times New Roman" w:hAnsi="Times New Roman"/>
          <w:noProof/>
          <w:sz w:val="24"/>
        </w:rPr>
        <w:t>2023. La Grecia, la Spagna e l</w:t>
      </w:r>
      <w:r w:rsidR="00E8249E">
        <w:rPr>
          <w:rFonts w:ascii="Times New Roman" w:hAnsi="Times New Roman"/>
          <w:noProof/>
          <w:sz w:val="24"/>
        </w:rPr>
        <w:t>'</w:t>
      </w:r>
      <w:r>
        <w:rPr>
          <w:rFonts w:ascii="Times New Roman" w:hAnsi="Times New Roman"/>
          <w:noProof/>
          <w:sz w:val="24"/>
        </w:rPr>
        <w:t>Italia sono state invece in grado di fornire dati riguardanti i ricavi riscossi prima dell</w:t>
      </w:r>
      <w:r w:rsidR="00E8249E">
        <w:rPr>
          <w:rFonts w:ascii="Times New Roman" w:hAnsi="Times New Roman"/>
          <w:noProof/>
          <w:sz w:val="24"/>
        </w:rPr>
        <w:t>'</w:t>
      </w:r>
      <w:r>
        <w:rPr>
          <w:rFonts w:ascii="Times New Roman" w:hAnsi="Times New Roman"/>
          <w:noProof/>
          <w:sz w:val="24"/>
        </w:rPr>
        <w:t xml:space="preserve">adozione del regolamento del Consiglio, poiché avevano attuato misure equivalenti al tetto sui ricavi prima che tale regolamento venisse adottato. </w:t>
      </w:r>
    </w:p>
    <w:p w14:paraId="1F5E66D1" w14:textId="5D06B6AF" w:rsidR="0EED26A0" w:rsidRPr="00EC7A99" w:rsidRDefault="3A6890CC" w:rsidP="0055297A">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maggior parte degli Stati membri ha potuto fornire stime dei ricavi che prevedevano di riscuotere, in molti casi precisando che tali stime si basavano su ipotesi di prezzi all</w:t>
      </w:r>
      <w:r w:rsidR="00E8249E">
        <w:rPr>
          <w:rFonts w:ascii="Times New Roman" w:hAnsi="Times New Roman"/>
          <w:noProof/>
          <w:sz w:val="24"/>
        </w:rPr>
        <w:t>'</w:t>
      </w:r>
      <w:r>
        <w:rPr>
          <w:rFonts w:ascii="Times New Roman" w:hAnsi="Times New Roman"/>
          <w:noProof/>
          <w:sz w:val="24"/>
        </w:rPr>
        <w:t>ingrosso dell</w:t>
      </w:r>
      <w:r w:rsidR="00E8249E">
        <w:rPr>
          <w:rFonts w:ascii="Times New Roman" w:hAnsi="Times New Roman"/>
          <w:noProof/>
          <w:sz w:val="24"/>
        </w:rPr>
        <w:t>'</w:t>
      </w:r>
      <w:r>
        <w:rPr>
          <w:rFonts w:ascii="Times New Roman" w:hAnsi="Times New Roman"/>
          <w:noProof/>
          <w:sz w:val="24"/>
        </w:rPr>
        <w:t>energia elettrica molto elevati. In origine si prevedevano ricavi complessivi superior</w:t>
      </w:r>
      <w:r w:rsidR="00A22531">
        <w:rPr>
          <w:rFonts w:ascii="Times New Roman" w:hAnsi="Times New Roman"/>
          <w:noProof/>
          <w:sz w:val="24"/>
        </w:rPr>
        <w:t>i a </w:t>
      </w:r>
      <w:r>
        <w:rPr>
          <w:rFonts w:ascii="Times New Roman" w:hAnsi="Times New Roman"/>
          <w:noProof/>
          <w:sz w:val="24"/>
        </w:rPr>
        <w:t>50 miliardi di EUR ma, al momento della stesura della presente relazione, sembrava già improbabile che queste ipotesi potessero realizzarsi. L</w:t>
      </w:r>
      <w:r w:rsidR="00E8249E">
        <w:rPr>
          <w:rFonts w:ascii="Times New Roman" w:hAnsi="Times New Roman"/>
          <w:noProof/>
          <w:sz w:val="24"/>
        </w:rPr>
        <w:t>'</w:t>
      </w:r>
      <w:r>
        <w:rPr>
          <w:rFonts w:ascii="Times New Roman" w:hAnsi="Times New Roman"/>
          <w:noProof/>
          <w:sz w:val="24"/>
        </w:rPr>
        <w:t>importo dei ricavi è distribuito in maniera disomogenea negli Stati membri: la Germania riporta le stime più elevate rispetto a quanto si aspettava di incassare inizialmente (23,4 miliardi di EUR, considerando un</w:t>
      </w:r>
      <w:r w:rsidR="00E8249E">
        <w:rPr>
          <w:rFonts w:ascii="Times New Roman" w:hAnsi="Times New Roman"/>
          <w:noProof/>
          <w:sz w:val="24"/>
        </w:rPr>
        <w:t>'</w:t>
      </w:r>
      <w:r>
        <w:rPr>
          <w:rFonts w:ascii="Times New Roman" w:hAnsi="Times New Roman"/>
          <w:noProof/>
          <w:sz w:val="24"/>
        </w:rPr>
        <w:t>event</w:t>
      </w:r>
      <w:r w:rsidR="00A22531">
        <w:rPr>
          <w:rFonts w:ascii="Times New Roman" w:hAnsi="Times New Roman"/>
          <w:noProof/>
          <w:sz w:val="24"/>
        </w:rPr>
        <w:t xml:space="preserve">uale proroga della misura al 30 aprile </w:t>
      </w:r>
      <w:r>
        <w:rPr>
          <w:rFonts w:ascii="Times New Roman" w:hAnsi="Times New Roman"/>
          <w:noProof/>
          <w:sz w:val="24"/>
        </w:rPr>
        <w:t>2</w:t>
      </w:r>
      <w:r w:rsidR="00A22531">
        <w:rPr>
          <w:rFonts w:ascii="Times New Roman" w:hAnsi="Times New Roman"/>
          <w:noProof/>
          <w:sz w:val="24"/>
        </w:rPr>
        <w:t xml:space="preserve">024), seguita dalla Francia (11 </w:t>
      </w:r>
      <w:r>
        <w:rPr>
          <w:rFonts w:ascii="Times New Roman" w:hAnsi="Times New Roman"/>
          <w:noProof/>
          <w:sz w:val="24"/>
        </w:rPr>
        <w:t>miliardi di EUR). Occorre osservare che, in entrambi i paesi, il tetto sui ricavi per la maggior parte delle tecnologie è stato fissato a un livello sensibilmente inferiore ai 180 EUR/MWh previsti dal regolamento del Consiglio e che tali stime si basavano su previsioni di prezzi all</w:t>
      </w:r>
      <w:r w:rsidR="00E8249E">
        <w:rPr>
          <w:rFonts w:ascii="Times New Roman" w:hAnsi="Times New Roman"/>
          <w:noProof/>
          <w:sz w:val="24"/>
        </w:rPr>
        <w:t>'</w:t>
      </w:r>
      <w:r>
        <w:rPr>
          <w:rFonts w:ascii="Times New Roman" w:hAnsi="Times New Roman"/>
          <w:noProof/>
          <w:sz w:val="24"/>
        </w:rPr>
        <w:t>ingrosso dell</w:t>
      </w:r>
      <w:r w:rsidR="00E8249E">
        <w:rPr>
          <w:rFonts w:ascii="Times New Roman" w:hAnsi="Times New Roman"/>
          <w:noProof/>
          <w:sz w:val="24"/>
        </w:rPr>
        <w:t>'</w:t>
      </w:r>
      <w:r>
        <w:rPr>
          <w:rFonts w:ascii="Times New Roman" w:hAnsi="Times New Roman"/>
          <w:noProof/>
          <w:sz w:val="24"/>
        </w:rPr>
        <w:t>energia elettrica elevati. Altri Stati membri, in particolare quelli che non hanno fissato il tetto a un livello inferiore a 180 EUR/MWh, si aspettavano di riscuotere importi più bassi.</w:t>
      </w:r>
    </w:p>
    <w:p w14:paraId="039B1701" w14:textId="0F984289" w:rsidR="000C7440" w:rsidRPr="00EC7A99" w:rsidRDefault="4190FFA6"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Valutazione della proroga della misura</w:t>
      </w:r>
    </w:p>
    <w:p w14:paraId="6FCE21E1" w14:textId="0F1991CB" w:rsidR="005C7083" w:rsidRPr="00EC7A99" w:rsidRDefault="6506D07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In via preliminare occorre ricordare che la motivazione alla base del tetto sui ricavi inframarginali era permettere agli Stati membri di incassare e ridistribuire i ricavi eccessivi eccezionalmente ottenuti da alcuni generatori inframarginali, preservando nel contempo la concorrenza basata sui prezzi tra i produttori di energia elettrica (in particolare quella </w:t>
      </w:r>
      <w:r w:rsidR="00A22531">
        <w:rPr>
          <w:rFonts w:ascii="Times New Roman" w:hAnsi="Times New Roman"/>
          <w:noProof/>
          <w:sz w:val="24"/>
        </w:rPr>
        <w:t>da fonti rinnovabili) nell</w:t>
      </w:r>
      <w:r w:rsidR="00E8249E">
        <w:rPr>
          <w:rFonts w:ascii="Times New Roman" w:hAnsi="Times New Roman"/>
          <w:noProof/>
          <w:sz w:val="24"/>
        </w:rPr>
        <w:t>'</w:t>
      </w:r>
      <w:r w:rsidR="00A22531">
        <w:rPr>
          <w:rFonts w:ascii="Times New Roman" w:hAnsi="Times New Roman"/>
          <w:noProof/>
          <w:sz w:val="24"/>
        </w:rPr>
        <w:t>UE.</w:t>
      </w:r>
    </w:p>
    <w:p w14:paraId="51F6AE7F" w14:textId="67C2C235" w:rsidR="452A5233" w:rsidRPr="00EC7A99"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rPr>
      </w:pPr>
      <w:r>
        <w:rPr>
          <w:rFonts w:ascii="Times New Roman" w:hAnsi="Times New Roman"/>
          <w:noProof/>
          <w:sz w:val="24"/>
        </w:rPr>
        <w:t>A questo proposito, per via del calo dei prezzi all</w:t>
      </w:r>
      <w:r w:rsidR="00E8249E">
        <w:rPr>
          <w:rFonts w:ascii="Times New Roman" w:hAnsi="Times New Roman"/>
          <w:noProof/>
          <w:sz w:val="24"/>
        </w:rPr>
        <w:t>'</w:t>
      </w:r>
      <w:r>
        <w:rPr>
          <w:rFonts w:ascii="Times New Roman" w:hAnsi="Times New Roman"/>
          <w:noProof/>
          <w:sz w:val="24"/>
        </w:rPr>
        <w:t>ingrosso dell</w:t>
      </w:r>
      <w:r w:rsidR="00E8249E">
        <w:rPr>
          <w:rFonts w:ascii="Times New Roman" w:hAnsi="Times New Roman"/>
          <w:noProof/>
          <w:sz w:val="24"/>
        </w:rPr>
        <w:t>'</w:t>
      </w:r>
      <w:r>
        <w:rPr>
          <w:rFonts w:ascii="Times New Roman" w:hAnsi="Times New Roman"/>
          <w:noProof/>
          <w:sz w:val="24"/>
        </w:rPr>
        <w:t>energia elettrica degli ultimi mesi, il tetto sui ricavi, il cui livello massimo era fissato a</w:t>
      </w:r>
      <w:r>
        <w:rPr>
          <w:rStyle w:val="normaltextrun"/>
          <w:rFonts w:ascii="Times New Roman" w:hAnsi="Times New Roman"/>
          <w:noProof/>
          <w:color w:val="000000" w:themeColor="text1"/>
          <w:sz w:val="24"/>
        </w:rPr>
        <w:t xml:space="preserve"> 180 EUR/MWh</w:t>
      </w:r>
      <w:r>
        <w:rPr>
          <w:rStyle w:val="FootnoteReference"/>
          <w:rFonts w:ascii="Times New Roman" w:eastAsia="Times New Roman" w:hAnsi="Times New Roman" w:cs="Times New Roman"/>
          <w:noProof/>
          <w:color w:val="000000" w:themeColor="text1"/>
          <w:sz w:val="24"/>
        </w:rPr>
        <w:footnoteReference w:id="22"/>
      </w:r>
      <w:r>
        <w:rPr>
          <w:rStyle w:val="normaltextrun"/>
          <w:rFonts w:ascii="Times New Roman" w:hAnsi="Times New Roman"/>
          <w:noProof/>
          <w:color w:val="000000" w:themeColor="text1"/>
          <w:sz w:val="24"/>
        </w:rPr>
        <w:t>, ha sortito finora effetti significativi principalmente negli Stati mem</w:t>
      </w:r>
      <w:r w:rsidR="00A22531">
        <w:rPr>
          <w:rStyle w:val="normaltextrun"/>
          <w:rFonts w:ascii="Times New Roman" w:hAnsi="Times New Roman"/>
          <w:noProof/>
          <w:color w:val="000000" w:themeColor="text1"/>
          <w:sz w:val="24"/>
        </w:rPr>
        <w:t>bri che, ai sensi dell</w:t>
      </w:r>
      <w:r w:rsidR="00E8249E">
        <w:rPr>
          <w:rStyle w:val="normaltextrun"/>
          <w:rFonts w:ascii="Times New Roman" w:hAnsi="Times New Roman"/>
          <w:noProof/>
          <w:color w:val="000000" w:themeColor="text1"/>
          <w:sz w:val="24"/>
        </w:rPr>
        <w:t>'</w:t>
      </w:r>
      <w:r w:rsidR="00A22531">
        <w:rPr>
          <w:rStyle w:val="normaltextrun"/>
          <w:rFonts w:ascii="Times New Roman" w:hAnsi="Times New Roman"/>
          <w:noProof/>
          <w:color w:val="000000" w:themeColor="text1"/>
          <w:sz w:val="24"/>
        </w:rPr>
        <w:t xml:space="preserve">articolo 8, paragrafo </w:t>
      </w:r>
      <w:r>
        <w:rPr>
          <w:rStyle w:val="normaltextrun"/>
          <w:rFonts w:ascii="Times New Roman" w:hAnsi="Times New Roman"/>
          <w:noProof/>
          <w:color w:val="000000" w:themeColor="text1"/>
          <w:sz w:val="24"/>
        </w:rPr>
        <w:t>1, lettera a), hanno optato per un tetto inferiore a 180 EUR/MWh, nella fattispecie sufficientemente basso da consentire loro di prelevare i ricavi inframarginali derivanti dai prezzi dell</w:t>
      </w:r>
      <w:r w:rsidR="00E8249E">
        <w:rPr>
          <w:rStyle w:val="normaltextrun"/>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energia elettrica pertinenti. </w:t>
      </w:r>
    </w:p>
    <w:p w14:paraId="7F911E6B" w14:textId="78159A3B" w:rsidR="00800690" w:rsidRPr="00EC7A99" w:rsidRDefault="2DB7608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Come indicato in precedenza, il tetto sui ricavi è stato applicato in modo assai eterogeneo nei vari Stati membri: non solo per quanto riguarda il livello cui è stato fissato, ma anche per quanto concerne la validità nel tempo e il massimale per ciascuna tecnologia all</w:t>
      </w:r>
      <w:r w:rsidR="00E8249E">
        <w:rPr>
          <w:rFonts w:ascii="Times New Roman" w:hAnsi="Times New Roman"/>
          <w:noProof/>
          <w:sz w:val="24"/>
        </w:rPr>
        <w:t>'</w:t>
      </w:r>
      <w:r>
        <w:rPr>
          <w:rFonts w:ascii="Times New Roman" w:hAnsi="Times New Roman"/>
          <w:noProof/>
          <w:sz w:val="24"/>
        </w:rPr>
        <w:t>interno di un determinato Stato membro. Inoltre, mediante scambi con i portatori di interessi e reclami, la Commissione è stata informata del fatto che le modalità di attuazione del tetto sui ricavi in alcuni Stati membri potrebbero aver inciso su accordi di compravendita di energia elettrica e altri contratti a lungo termine in essere, oltre ad aver disincentivato la conclusione di nuovi contratti. Ciò accade nello specifico quando il tetto non si applica agli introiti effettivi realizzati da un produttore in virtù dell</w:t>
      </w:r>
      <w:r w:rsidR="00E8249E">
        <w:rPr>
          <w:rFonts w:ascii="Times New Roman" w:hAnsi="Times New Roman"/>
          <w:noProof/>
          <w:sz w:val="24"/>
        </w:rPr>
        <w:t>'</w:t>
      </w:r>
      <w:r>
        <w:rPr>
          <w:rFonts w:ascii="Times New Roman" w:hAnsi="Times New Roman"/>
          <w:noProof/>
          <w:sz w:val="24"/>
        </w:rPr>
        <w:t xml:space="preserve">accordo di compravendita di energia elettrica, bensì a quelli </w:t>
      </w:r>
      <w:r w:rsidR="00E8249E">
        <w:rPr>
          <w:rFonts w:ascii="Times New Roman" w:hAnsi="Times New Roman"/>
          <w:noProof/>
          <w:sz w:val="24"/>
        </w:rPr>
        <w:t>"</w:t>
      </w:r>
      <w:r>
        <w:rPr>
          <w:rFonts w:ascii="Times New Roman" w:hAnsi="Times New Roman"/>
          <w:noProof/>
          <w:sz w:val="24"/>
        </w:rPr>
        <w:t>presunti</w:t>
      </w:r>
      <w:r w:rsidR="00E8249E">
        <w:rPr>
          <w:rFonts w:ascii="Times New Roman" w:hAnsi="Times New Roman"/>
          <w:noProof/>
          <w:sz w:val="24"/>
        </w:rPr>
        <w:t>"</w:t>
      </w:r>
      <w:r>
        <w:rPr>
          <w:rFonts w:ascii="Times New Roman" w:hAnsi="Times New Roman"/>
          <w:noProof/>
          <w:sz w:val="24"/>
        </w:rPr>
        <w:t xml:space="preserve"> (fittizi) corrispondenti, per esempio, ai prezzi all</w:t>
      </w:r>
      <w:r w:rsidR="00E8249E">
        <w:rPr>
          <w:rFonts w:ascii="Times New Roman" w:hAnsi="Times New Roman"/>
          <w:noProof/>
          <w:sz w:val="24"/>
        </w:rPr>
        <w:t>'</w:t>
      </w:r>
      <w:r>
        <w:rPr>
          <w:rFonts w:ascii="Times New Roman" w:hAnsi="Times New Roman"/>
          <w:noProof/>
          <w:sz w:val="24"/>
        </w:rPr>
        <w:t>ingrosso dell</w:t>
      </w:r>
      <w:r w:rsidR="00E8249E">
        <w:rPr>
          <w:rFonts w:ascii="Times New Roman" w:hAnsi="Times New Roman"/>
          <w:noProof/>
          <w:sz w:val="24"/>
        </w:rPr>
        <w:t>'</w:t>
      </w:r>
      <w:r>
        <w:rPr>
          <w:rFonts w:ascii="Times New Roman" w:hAnsi="Times New Roman"/>
          <w:noProof/>
          <w:sz w:val="24"/>
        </w:rPr>
        <w:t>energia elettrica, generando in ultima analisi situazioni paradossali in cui il produttore potrebbe essere costretto a vendere energia elettrica in perdita.</w:t>
      </w:r>
      <w:r>
        <w:rPr>
          <w:rFonts w:ascii="Times New Roman" w:hAnsi="Times New Roman"/>
          <w:noProof/>
          <w:sz w:val="24"/>
          <w:shd w:val="clear" w:color="auto" w:fill="E6E6E6"/>
        </w:rPr>
        <w:t xml:space="preserve"> </w:t>
      </w:r>
    </w:p>
    <w:p w14:paraId="7D48D85E" w14:textId="43365CA8" w:rsidR="567794E6" w:rsidRPr="00EC7A99" w:rsidRDefault="623E8D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Una potenziale proroga della misura ostacolerebbe uno degli obiettivi della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ossia incentivare il ricorso agli accordi di compravendita di energia elettrica e assicurare un mercato di tali accordi che sia il più possibile liquido. Questi accordi sono strumenti che garantiscono all</w:t>
      </w:r>
      <w:r w:rsidR="00E8249E">
        <w:rPr>
          <w:rFonts w:ascii="Times New Roman" w:hAnsi="Times New Roman"/>
          <w:noProof/>
          <w:sz w:val="24"/>
        </w:rPr>
        <w:t>'</w:t>
      </w:r>
      <w:r>
        <w:rPr>
          <w:rFonts w:ascii="Times New Roman" w:hAnsi="Times New Roman"/>
          <w:noProof/>
          <w:sz w:val="24"/>
        </w:rPr>
        <w:t>acquirente la stabilità dei prezzi a lungo termine e al produttore la certezza di cui ha bisogno per decidere di investire. Sono tuttavia pochi gli Stati membri che dispongono di mercati attivi degli accordi di compravendita di energia elettrica, in cui peraltro gli acquirenti sono in genere limitati alle grandi imprese, non da ultimo perché gli accordi si scontrano con una serie di ostacoli, in particolare la difficoltà di assicurare nel lungo periodo la copertura del rischio di inadempimento dell</w:t>
      </w:r>
      <w:r w:rsidR="00E8249E">
        <w:rPr>
          <w:rFonts w:ascii="Times New Roman" w:hAnsi="Times New Roman"/>
          <w:noProof/>
          <w:sz w:val="24"/>
        </w:rPr>
        <w:t>'</w:t>
      </w:r>
      <w:r>
        <w:rPr>
          <w:rFonts w:ascii="Times New Roman" w:hAnsi="Times New Roman"/>
          <w:noProof/>
          <w:sz w:val="24"/>
        </w:rPr>
        <w:t>acquirente. Stando alla proposta, nel definire le politiche volte a conseguire gli obiettivi di decarbonizzazione stabiliti nel piano nazionale integrato per l</w:t>
      </w:r>
      <w:r w:rsidR="00E8249E">
        <w:rPr>
          <w:rFonts w:ascii="Times New Roman" w:hAnsi="Times New Roman"/>
          <w:noProof/>
          <w:sz w:val="24"/>
        </w:rPr>
        <w:t>'</w:t>
      </w:r>
      <w:r>
        <w:rPr>
          <w:rFonts w:ascii="Times New Roman" w:hAnsi="Times New Roman"/>
          <w:noProof/>
          <w:sz w:val="24"/>
        </w:rPr>
        <w:t>energia e il clima, ciascuno Stato membro dovrebbe quindi tenere presente la necessità di creare un mercato dinamico di tali accordi. Per far fronte ai rischi connessi all</w:t>
      </w:r>
      <w:r w:rsidR="00E8249E">
        <w:rPr>
          <w:rFonts w:ascii="Times New Roman" w:hAnsi="Times New Roman"/>
          <w:noProof/>
          <w:sz w:val="24"/>
        </w:rPr>
        <w:t>'</w:t>
      </w:r>
      <w:r>
        <w:rPr>
          <w:rFonts w:ascii="Times New Roman" w:hAnsi="Times New Roman"/>
          <w:noProof/>
          <w:sz w:val="24"/>
        </w:rPr>
        <w:t>affidabilità creditizia, la proposta stabilisce che gli Stati membri dovrebbero garantire che le imprese che incontrano ostacoli all</w:t>
      </w:r>
      <w:r w:rsidR="00E8249E">
        <w:rPr>
          <w:rFonts w:ascii="Times New Roman" w:hAnsi="Times New Roman"/>
          <w:noProof/>
          <w:sz w:val="24"/>
        </w:rPr>
        <w:t>'</w:t>
      </w:r>
      <w:r>
        <w:rPr>
          <w:rFonts w:ascii="Times New Roman" w:hAnsi="Times New Roman"/>
          <w:noProof/>
          <w:sz w:val="24"/>
        </w:rPr>
        <w:t xml:space="preserve">ingresso sul mercato degli accordi di compravendita di energia elettrica e che non si trovano in difficoltà finanziarie abbiano accesso a strumenti volti a ridurre i rischi finanziari associati al mancato pagamento da parte degli acquirenti, compresi i regimi di garanzia a prezzi di mercato. La proposta contiene ulteriori prescrizioni finalizzate a stimolare la crescita del mercato per detti accordi. </w:t>
      </w:r>
    </w:p>
    <w:p w14:paraId="6EA184C2" w14:textId="45E74301" w:rsidR="005C7083" w:rsidRPr="00EC7A99" w:rsidRDefault="03178177"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Inoltre le diverse modalità con cui gli Stati membri hanno attuato il tetto sui ricavi hanno generato una considerevole incertezza normativa che, a sua volta, comporta taluni rischi per lo sviluppo dei nuovi investimenti (soprattutto nelle fonti rinnovabili) necessari per conseguire gli obiettivi dell</w:t>
      </w:r>
      <w:r w:rsidR="00E8249E">
        <w:rPr>
          <w:rFonts w:ascii="Times New Roman" w:hAnsi="Times New Roman"/>
          <w:noProof/>
          <w:sz w:val="24"/>
        </w:rPr>
        <w:t>'</w:t>
      </w:r>
      <w:r>
        <w:rPr>
          <w:rFonts w:ascii="Times New Roman" w:hAnsi="Times New Roman"/>
          <w:noProof/>
          <w:sz w:val="24"/>
        </w:rPr>
        <w:t>UE. In particolare, le difficoltà segnalate in alcuni Stati membri relativamente alla conclusione di contratti a lungo termine – accordi di compravendita di energia elettrica compresi – a causa dell</w:t>
      </w:r>
      <w:r w:rsidR="00E8249E">
        <w:rPr>
          <w:rFonts w:ascii="Times New Roman" w:hAnsi="Times New Roman"/>
          <w:noProof/>
          <w:sz w:val="24"/>
        </w:rPr>
        <w:t>'</w:t>
      </w:r>
      <w:r>
        <w:rPr>
          <w:rFonts w:ascii="Times New Roman" w:hAnsi="Times New Roman"/>
          <w:noProof/>
          <w:sz w:val="24"/>
        </w:rPr>
        <w:t>attuazione del tetto sui ricavi potrebbero rappresentare un ulteriore fattore di incertezza per gli investitori, compromettendo l</w:t>
      </w:r>
      <w:r w:rsidR="00E8249E">
        <w:rPr>
          <w:rFonts w:ascii="Times New Roman" w:hAnsi="Times New Roman"/>
          <w:noProof/>
          <w:sz w:val="24"/>
        </w:rPr>
        <w:t>'</w:t>
      </w:r>
      <w:r>
        <w:rPr>
          <w:rFonts w:ascii="Times New Roman" w:hAnsi="Times New Roman"/>
          <w:noProof/>
          <w:sz w:val="24"/>
        </w:rPr>
        <w:t>attrattiva dei mercati a termine e la fiducia dei portatori di interesse in tali mercati. I rischi summenzionati possono pregiudicare la creazione di un ambiente di investimento attraente per la produzione di energia rinnovabile e a basse emissioni di carbonio (oggetto della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 xml:space="preserve">energia elettrica) e in ultima analisi compromettere la transizione energetica. </w:t>
      </w:r>
    </w:p>
    <w:p w14:paraId="456EF4FF" w14:textId="7B423BC1"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Infine, la consultazione pubblica comprendeva domande su un</w:t>
      </w:r>
      <w:r w:rsidR="00E8249E">
        <w:rPr>
          <w:rFonts w:ascii="Times New Roman" w:hAnsi="Times New Roman"/>
          <w:noProof/>
          <w:sz w:val="24"/>
        </w:rPr>
        <w:t>'</w:t>
      </w:r>
      <w:r>
        <w:rPr>
          <w:rFonts w:ascii="Times New Roman" w:hAnsi="Times New Roman"/>
          <w:noProof/>
          <w:sz w:val="24"/>
        </w:rPr>
        <w:t>eventuale proroga del tetto sui ricavi inframarginali. La maggior parte dei partecipanti si è detta contraria per via dei rischi e dei problemi che la proroga comporterebbe, elencati di seguito:</w:t>
      </w:r>
      <w:r w:rsidR="00E8249E">
        <w:rPr>
          <w:rFonts w:ascii="Times New Roman" w:hAnsi="Times New Roman"/>
          <w:noProof/>
          <w:sz w:val="24"/>
        </w:rPr>
        <w:t xml:space="preserve"> </w:t>
      </w:r>
    </w:p>
    <w:p w14:paraId="4CB9B17A" w14:textId="634CEB35"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w:t>
      </w:r>
      <w:r w:rsidR="00E8249E">
        <w:rPr>
          <w:rFonts w:ascii="Times New Roman" w:hAnsi="Times New Roman"/>
          <w:noProof/>
          <w:sz w:val="24"/>
        </w:rPr>
        <w:t>'</w:t>
      </w:r>
      <w:r>
        <w:rPr>
          <w:rFonts w:ascii="Times New Roman" w:hAnsi="Times New Roman"/>
          <w:noProof/>
          <w:sz w:val="24"/>
        </w:rPr>
        <w:t xml:space="preserve">applicazione eterogenea del tetto sui ricavi inframarginali negli Stati membri sembra aver generato incertezza per gli investitori ed è considerata un deterrente per nuovi investimenti; </w:t>
      </w:r>
    </w:p>
    <w:p w14:paraId="0ADA832B" w14:textId="77777777"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la misura è difficile da attuare e i suoi costi amministrativi sono elevati rispetto ai benefici; </w:t>
      </w:r>
    </w:p>
    <w:p w14:paraId="7BE6C708" w14:textId="4ABA45F2" w:rsidR="5775771D" w:rsidRPr="00EC7A99"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quando il tetto sui ricavi inframarginali viene fissato a un livello basso (scelta operata da alcuni Stati membri), i generatori potrebbero tendere a ridurre la produzione mentre il tetto è in vigore; </w:t>
      </w:r>
    </w:p>
    <w:p w14:paraId="5F6E89DF" w14:textId="6EDE836D" w:rsidR="5775771D" w:rsidRPr="00EC7A99"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è possibile tutelare i consumatori senza interferire con 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ad esempio mediante l</w:t>
      </w:r>
      <w:r w:rsidR="00E8249E">
        <w:rPr>
          <w:rFonts w:ascii="Times New Roman" w:hAnsi="Times New Roman"/>
          <w:noProof/>
          <w:sz w:val="24"/>
        </w:rPr>
        <w:t>'</w:t>
      </w:r>
      <w:r>
        <w:rPr>
          <w:rFonts w:ascii="Times New Roman" w:hAnsi="Times New Roman"/>
          <w:noProof/>
          <w:sz w:val="24"/>
        </w:rPr>
        <w:t>adozione di politiche sociali mirate.</w:t>
      </w:r>
    </w:p>
    <w:p w14:paraId="2EAC158A" w14:textId="31964A68" w:rsidR="5775771D" w:rsidRPr="00EC7A99" w:rsidRDefault="4A977FA0"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Solo una minoranza dei partecipanti si è detta a favore della proroga del tetto sui ricavi inframarginali, come previsto dal regolamento del Consiglio o con lievi modifiche, in gran parte per via dei benefici della misura per i consumatori finali.</w:t>
      </w:r>
    </w:p>
    <w:p w14:paraId="1AC32DB2" w14:textId="79A3838C" w:rsidR="008B2BBA" w:rsidRPr="00EC7A99" w:rsidRDefault="17441AB9"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Considerate le informazioni di cui dispone attualmente, illustrate in precedenza, la Commissione non raccomanda la proroga del regolamento del Consiglio per quanto concerne il tetto sui ricavi inframarginali. </w:t>
      </w:r>
    </w:p>
    <w:p w14:paraId="4CBCC1FB" w14:textId="1F9A1942" w:rsidR="7C53B20F" w:rsidRPr="00EC7A99" w:rsidRDefault="001A340D"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Commissione osserva che, per attenuare l</w:t>
      </w:r>
      <w:r w:rsidR="00E8249E">
        <w:rPr>
          <w:rFonts w:ascii="Times New Roman" w:hAnsi="Times New Roman"/>
          <w:noProof/>
          <w:sz w:val="24"/>
        </w:rPr>
        <w:t>'</w:t>
      </w:r>
      <w:r>
        <w:rPr>
          <w:rFonts w:ascii="Times New Roman" w:hAnsi="Times New Roman"/>
          <w:noProof/>
          <w:sz w:val="24"/>
        </w:rPr>
        <w:t>impatto dei prezzi elevati dell</w:t>
      </w:r>
      <w:r w:rsidR="00E8249E">
        <w:rPr>
          <w:rFonts w:ascii="Times New Roman" w:hAnsi="Times New Roman"/>
          <w:noProof/>
          <w:sz w:val="24"/>
        </w:rPr>
        <w:t>'</w:t>
      </w:r>
      <w:r>
        <w:rPr>
          <w:rFonts w:ascii="Times New Roman" w:hAnsi="Times New Roman"/>
          <w:noProof/>
          <w:sz w:val="24"/>
        </w:rPr>
        <w:t>energia sulle bollette dei consumatori, ha proposto nella sua riforma del mercato dell</w:t>
      </w:r>
      <w:r w:rsidR="00E8249E">
        <w:rPr>
          <w:rFonts w:ascii="Times New Roman" w:hAnsi="Times New Roman"/>
          <w:noProof/>
          <w:sz w:val="24"/>
        </w:rPr>
        <w:t>'</w:t>
      </w:r>
      <w:r>
        <w:rPr>
          <w:rFonts w:ascii="Times New Roman" w:hAnsi="Times New Roman"/>
          <w:noProof/>
          <w:sz w:val="24"/>
        </w:rPr>
        <w:t>energia elettrica di promuovere lo sviluppo di mercati a lungo termine affinché i ricavi dei generatori inframarginali e i prezzi corrisposti dai consumatori finali risentano meno della volatilità dei prezzi a breve termine sul mercato all</w:t>
      </w:r>
      <w:r w:rsidR="00E8249E">
        <w:rPr>
          <w:rFonts w:ascii="Times New Roman" w:hAnsi="Times New Roman"/>
          <w:noProof/>
          <w:sz w:val="24"/>
        </w:rPr>
        <w:t>'</w:t>
      </w:r>
      <w:r>
        <w:rPr>
          <w:rFonts w:ascii="Times New Roman" w:hAnsi="Times New Roman"/>
          <w:noProof/>
          <w:sz w:val="24"/>
        </w:rPr>
        <w:t>ingrosso dell</w:t>
      </w:r>
      <w:r w:rsidR="00E8249E">
        <w:rPr>
          <w:rFonts w:ascii="Times New Roman" w:hAnsi="Times New Roman"/>
          <w:noProof/>
          <w:sz w:val="24"/>
        </w:rPr>
        <w:t>'</w:t>
      </w:r>
      <w:r>
        <w:rPr>
          <w:rFonts w:ascii="Times New Roman" w:hAnsi="Times New Roman"/>
          <w:noProof/>
          <w:sz w:val="24"/>
        </w:rPr>
        <w:t>energia elettrica. Conformemente alla proposta della Commissione, ricavi e prezzi saranno determinati per lo più facendo riferimento a contratti a lungo termine, come gli accordi di compravendita di energia elettrica e i cosiddetti contratti bidirezionali per differenza, a seconda che l</w:t>
      </w:r>
      <w:r w:rsidR="00E8249E">
        <w:rPr>
          <w:rFonts w:ascii="Times New Roman" w:hAnsi="Times New Roman"/>
          <w:noProof/>
          <w:sz w:val="24"/>
        </w:rPr>
        <w:t>'</w:t>
      </w:r>
      <w:r>
        <w:rPr>
          <w:rFonts w:ascii="Times New Roman" w:hAnsi="Times New Roman"/>
          <w:noProof/>
          <w:sz w:val="24"/>
        </w:rPr>
        <w:t>impianto sia finanziato con risorse private o pubbliche. I contratti per differenza generano un utile quando i prezzi di mercato sono elevati: la proposta stabilisce che gli Stati membri dovranno utilizzare tale utile per ridurre direttamente le bollette di tutti i clienti di energia elettrica (comprese le imprese e l</w:t>
      </w:r>
      <w:r w:rsidR="00E8249E">
        <w:rPr>
          <w:rFonts w:ascii="Times New Roman" w:hAnsi="Times New Roman"/>
          <w:noProof/>
          <w:sz w:val="24"/>
        </w:rPr>
        <w:t>'</w:t>
      </w:r>
      <w:r>
        <w:rPr>
          <w:rFonts w:ascii="Times New Roman" w:hAnsi="Times New Roman"/>
          <w:noProof/>
          <w:sz w:val="24"/>
        </w:rPr>
        <w:t>industria). L</w:t>
      </w:r>
      <w:r w:rsidR="00E8249E">
        <w:rPr>
          <w:rFonts w:ascii="Times New Roman" w:hAnsi="Times New Roman"/>
          <w:noProof/>
          <w:sz w:val="24"/>
        </w:rPr>
        <w:t>'</w:t>
      </w:r>
      <w:r>
        <w:rPr>
          <w:rFonts w:ascii="Times New Roman" w:hAnsi="Times New Roman"/>
          <w:noProof/>
          <w:sz w:val="24"/>
        </w:rPr>
        <w:t>effetto è quindi analogo a quello di un tetto sui ricavi inframarginali, ma non genera incertezza per gli investitori.</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rPr>
      </w:pPr>
      <w:bookmarkStart w:id="15" w:name="_Toc1483017494"/>
      <w:bookmarkStart w:id="16" w:name="_Toc231169309"/>
      <w:bookmarkStart w:id="17" w:name="_Toc137657180"/>
      <w:r>
        <w:rPr>
          <w:rFonts w:ascii="Times New Roman" w:hAnsi="Times New Roman"/>
          <w:noProof/>
        </w:rPr>
        <w:t>Sostegno a favore dei consumatori finali</w:t>
      </w:r>
      <w:bookmarkEnd w:id="15"/>
      <w:bookmarkEnd w:id="16"/>
      <w:bookmarkEnd w:id="17"/>
    </w:p>
    <w:p w14:paraId="15024D3E" w14:textId="42ADF56B" w:rsidR="00E264D6" w:rsidRPr="00EC7A99" w:rsidRDefault="00A2253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Il capo II, sezione </w:t>
      </w:r>
      <w:r w:rsidR="670725BB">
        <w:rPr>
          <w:rFonts w:ascii="Times New Roman" w:hAnsi="Times New Roman"/>
          <w:noProof/>
          <w:sz w:val="24"/>
        </w:rPr>
        <w:t>3, del regolamento del Consiglio riguarda il mercato al dettaglio e consente agli Stati membri di estendere temporaneamente alle PMI gli interventi pubblici nella fissazione dei prezzi per la fornitura</w:t>
      </w:r>
      <w:r>
        <w:rPr>
          <w:rFonts w:ascii="Times New Roman" w:hAnsi="Times New Roman"/>
          <w:noProof/>
          <w:sz w:val="24"/>
        </w:rPr>
        <w:t xml:space="preserve"> di energia elettrica (articolo </w:t>
      </w:r>
      <w:r w:rsidR="670725BB">
        <w:rPr>
          <w:rFonts w:ascii="Times New Roman" w:hAnsi="Times New Roman"/>
          <w:noProof/>
          <w:sz w:val="24"/>
        </w:rPr>
        <w:t>12) e, per quanto concerne sia le famiglie che le PMI, di fissare, in via eccezionale e temporanea, prezzi al dettaglio inferiori ai costi (articolo 13).</w:t>
      </w:r>
    </w:p>
    <w:p w14:paraId="1459F13C" w14:textId="0857EE01" w:rsidR="5A7171F4" w:rsidRDefault="5A7171F4"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Prima della crisi l</w:t>
      </w:r>
      <w:r w:rsidR="00E8249E">
        <w:rPr>
          <w:rFonts w:ascii="Times New Roman" w:hAnsi="Times New Roman"/>
          <w:noProof/>
          <w:sz w:val="24"/>
        </w:rPr>
        <w:t>'</w:t>
      </w:r>
      <w:r>
        <w:rPr>
          <w:rFonts w:ascii="Times New Roman" w:hAnsi="Times New Roman"/>
          <w:noProof/>
          <w:sz w:val="24"/>
        </w:rPr>
        <w:t xml:space="preserve">intervento pubblico nella fissazione dei prezzi </w:t>
      </w:r>
      <w:r w:rsidR="00A22531">
        <w:rPr>
          <w:rFonts w:ascii="Times New Roman" w:hAnsi="Times New Roman"/>
          <w:noProof/>
          <w:sz w:val="24"/>
        </w:rPr>
        <w:t>per le famiglie era previsto in </w:t>
      </w:r>
      <w:r>
        <w:rPr>
          <w:rFonts w:ascii="Times New Roman" w:hAnsi="Times New Roman"/>
          <w:noProof/>
          <w:sz w:val="24"/>
        </w:rPr>
        <w:t>11 paesi, ossia Belgio, Bulgaria, Grecia, Francia, Italia, Lituania, Ungheria, Polonia, Portogallo, Romania e Slovacchia</w:t>
      </w:r>
      <w:r>
        <w:rPr>
          <w:rStyle w:val="FootnoteReference"/>
          <w:rFonts w:ascii="Times New Roman" w:eastAsia="Times New Roman" w:hAnsi="Times New Roman" w:cs="Times New Roman"/>
          <w:noProof/>
          <w:sz w:val="24"/>
        </w:rPr>
        <w:footnoteReference w:id="23"/>
      </w:r>
      <w:r>
        <w:rPr>
          <w:rFonts w:ascii="Times New Roman" w:hAnsi="Times New Roman"/>
          <w:noProof/>
          <w:sz w:val="24"/>
        </w:rPr>
        <w:t>, sotto forma di prezzi regolati o di tariffe sociali. Durante la crisi altri sette Stati membri, ossia Cechia, Estonia, Croazia, Lussemburgo, Paesi Bassi, Slovenia e Finlandia, hanno introdotto prezzi regolati per le famiglie.</w:t>
      </w:r>
    </w:p>
    <w:p w14:paraId="59884221" w14:textId="44492692" w:rsidR="00E264D6" w:rsidRPr="00EC7A99" w:rsidRDefault="402A7AF1"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Su 25 valutazioni pervenute, 12 Stati membri hanno riferito di essersi avvalsi delle misure previste dal regolamento del Consiglio; 4 Stati membri, ossia Cechia, Estonia, Polonia e Slovenia, hanno dichiarato di avere introdotto prezzi regolati al dettaglio per le PMI ai sensi dell</w:t>
      </w:r>
      <w:r w:rsidR="00E8249E">
        <w:rPr>
          <w:rFonts w:ascii="Times New Roman" w:hAnsi="Times New Roman"/>
          <w:noProof/>
          <w:sz w:val="24"/>
        </w:rPr>
        <w:t>'</w:t>
      </w:r>
      <w:r>
        <w:rPr>
          <w:rFonts w:ascii="Times New Roman" w:hAnsi="Times New Roman"/>
          <w:noProof/>
          <w:sz w:val="24"/>
        </w:rPr>
        <w:t>articolo 12 del regolamento del Consiglio. Inoltre, Francia e Slovacchia, che applicano prezzi regolati per le famiglie, hanno segnalato l</w:t>
      </w:r>
      <w:r w:rsidR="00E8249E">
        <w:rPr>
          <w:rFonts w:ascii="Times New Roman" w:hAnsi="Times New Roman"/>
          <w:noProof/>
          <w:sz w:val="24"/>
        </w:rPr>
        <w:t>'</w:t>
      </w:r>
      <w:r>
        <w:rPr>
          <w:rFonts w:ascii="Times New Roman" w:hAnsi="Times New Roman"/>
          <w:noProof/>
          <w:sz w:val="24"/>
        </w:rPr>
        <w:t>attuazione di regimi di compensazione per le PMI, in linea con il quadro temporaneo di crisi e transizione</w:t>
      </w:r>
      <w:r>
        <w:rPr>
          <w:rStyle w:val="FootnoteReference"/>
          <w:rFonts w:ascii="Times New Roman" w:eastAsia="Times New Roman" w:hAnsi="Times New Roman" w:cs="Times New Roman"/>
          <w:noProof/>
          <w:sz w:val="24"/>
        </w:rPr>
        <w:footnoteReference w:id="24"/>
      </w:r>
      <w:r w:rsidR="00E8249E">
        <w:rPr>
          <w:rStyle w:val="FootnoteReference"/>
          <w:rFonts w:ascii="Times New Roman" w:eastAsia="Times New Roman" w:hAnsi="Times New Roman" w:cs="Times New Roman"/>
          <w:noProof/>
          <w:sz w:val="24"/>
        </w:rPr>
        <w:t xml:space="preserve"> </w:t>
      </w:r>
      <w:r>
        <w:rPr>
          <w:rFonts w:ascii="Times New Roman" w:hAnsi="Times New Roman"/>
          <w:noProof/>
          <w:sz w:val="24"/>
        </w:rPr>
        <w:t>in conformità delle norme in materia di aiuti di Stato.</w:t>
      </w:r>
      <w:r w:rsidR="00E8249E">
        <w:rPr>
          <w:rFonts w:ascii="Times New Roman" w:hAnsi="Times New Roman"/>
          <w:noProof/>
          <w:sz w:val="24"/>
        </w:rPr>
        <w:t xml:space="preserve"> </w:t>
      </w:r>
      <w:r>
        <w:rPr>
          <w:rFonts w:ascii="Times New Roman" w:hAnsi="Times New Roman"/>
          <w:noProof/>
          <w:sz w:val="24"/>
        </w:rPr>
        <w:t>I Paesi Bassi sono intervenuti nella fissazione dei prezzi per garantire alle famiglie e alle imprese prezzi dell</w:t>
      </w:r>
      <w:r w:rsidR="00E8249E">
        <w:rPr>
          <w:rFonts w:ascii="Times New Roman" w:hAnsi="Times New Roman"/>
          <w:noProof/>
          <w:sz w:val="24"/>
        </w:rPr>
        <w:t>'</w:t>
      </w:r>
      <w:r>
        <w:rPr>
          <w:rFonts w:ascii="Times New Roman" w:hAnsi="Times New Roman"/>
          <w:noProof/>
          <w:sz w:val="24"/>
        </w:rPr>
        <w:t>energia elettrica inferiori ai costi: questo regime è stato notificato alla Commissione e approvato in base al quadro applicabile degli aiuti di Stato</w:t>
      </w:r>
      <w:r>
        <w:rPr>
          <w:rStyle w:val="FootnoteReference"/>
          <w:rFonts w:ascii="Times New Roman" w:eastAsia="Times New Roman" w:hAnsi="Times New Roman" w:cs="Times New Roman"/>
          <w:noProof/>
          <w:sz w:val="24"/>
        </w:rPr>
        <w:footnoteReference w:id="25"/>
      </w:r>
      <w:r>
        <w:rPr>
          <w:noProof/>
        </w:rPr>
        <w:t>.</w:t>
      </w:r>
      <w:r>
        <w:rPr>
          <w:rFonts w:ascii="Times New Roman" w:hAnsi="Times New Roman"/>
          <w:noProof/>
          <w:sz w:val="24"/>
        </w:rPr>
        <w:t xml:space="preserve"> </w:t>
      </w:r>
    </w:p>
    <w:p w14:paraId="5B5DDE71" w14:textId="1597806A" w:rsidR="00E264D6" w:rsidRPr="00EC7A99" w:rsidRDefault="00E8249E"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Sebbene l'articolo </w:t>
      </w:r>
      <w:r w:rsidR="670725BB">
        <w:rPr>
          <w:rFonts w:ascii="Times New Roman" w:hAnsi="Times New Roman"/>
          <w:noProof/>
          <w:sz w:val="24"/>
        </w:rPr>
        <w:t>13, lettera c), del regolamento del Consiglio imponga agli Stati membri di concedere ai fornitori una compensazione per le forniture di energia elettrica sotto il prezzo di costo, gli Stati membri non hanno incluso nelle loro relazioni informazioni specifiche su questo punto.</w:t>
      </w:r>
      <w:r>
        <w:rPr>
          <w:rFonts w:ascii="Times New Roman" w:hAnsi="Times New Roman"/>
          <w:noProof/>
          <w:sz w:val="24"/>
        </w:rPr>
        <w:t xml:space="preserve"> </w:t>
      </w:r>
    </w:p>
    <w:p w14:paraId="3B2B6D2B" w14:textId="255DF415" w:rsidR="00E264D6" w:rsidRPr="00EC7A99" w:rsidRDefault="670725B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Inoltre, alcuni Stati membri hanno menzionato altri tipi di intervento a favore delle PMI. Ad esempio, il Portogallo ha citato la riduzione delle tariffe di rete come intervento sui prezzi specifico per le PMI. Danimarca, Lettonia e Svezia hanno disposto interventi di fissazione dei prezzi diversi per gruppi di consumatori diversi (interventi su imposte, prelievi, riduzioni, sistemi di compensazione, ecc.). La Germania ha attuato un regime in tutti i settori dell</w:t>
      </w:r>
      <w:r w:rsidR="00E8249E">
        <w:rPr>
          <w:rFonts w:ascii="Times New Roman" w:hAnsi="Times New Roman"/>
          <w:noProof/>
          <w:sz w:val="24"/>
        </w:rPr>
        <w:t>'</w:t>
      </w:r>
      <w:r>
        <w:rPr>
          <w:rFonts w:ascii="Times New Roman" w:hAnsi="Times New Roman"/>
          <w:noProof/>
          <w:sz w:val="24"/>
        </w:rPr>
        <w:t>economia che compensa l</w:t>
      </w:r>
      <w:r w:rsidR="00E8249E">
        <w:rPr>
          <w:rFonts w:ascii="Times New Roman" w:hAnsi="Times New Roman"/>
          <w:noProof/>
          <w:sz w:val="24"/>
        </w:rPr>
        <w:t>'</w:t>
      </w:r>
      <w:r>
        <w:rPr>
          <w:rFonts w:ascii="Times New Roman" w:hAnsi="Times New Roman"/>
          <w:noProof/>
          <w:sz w:val="24"/>
        </w:rPr>
        <w:t>aumento dei costi dell</w:t>
      </w:r>
      <w:r w:rsidR="00E8249E">
        <w:rPr>
          <w:rFonts w:ascii="Times New Roman" w:hAnsi="Times New Roman"/>
          <w:noProof/>
          <w:sz w:val="24"/>
        </w:rPr>
        <w:t>'</w:t>
      </w:r>
      <w:r>
        <w:rPr>
          <w:rFonts w:ascii="Times New Roman" w:hAnsi="Times New Roman"/>
          <w:noProof/>
          <w:sz w:val="24"/>
        </w:rPr>
        <w:t>energia elettrica per le imprese senza incidere sulla libertà dei fornitori di decidere come operare sul mercato</w:t>
      </w:r>
      <w:r>
        <w:rPr>
          <w:rStyle w:val="FootnoteReference"/>
          <w:rFonts w:ascii="Times New Roman" w:eastAsia="Times New Roman" w:hAnsi="Times New Roman" w:cs="Times New Roman"/>
          <w:noProof/>
          <w:sz w:val="24"/>
        </w:rPr>
        <w:footnoteReference w:id="26"/>
      </w:r>
      <w:r>
        <w:rPr>
          <w:noProof/>
        </w:rPr>
        <w:t>.</w:t>
      </w:r>
    </w:p>
    <w:p w14:paraId="0C07D57A" w14:textId="0C7249A5" w:rsidR="00E264D6" w:rsidRPr="00EC7A99" w:rsidRDefault="670725BB" w:rsidP="6E35EF87">
      <w:pPr>
        <w:spacing w:before="120" w:after="120" w:line="360" w:lineRule="auto"/>
        <w:jc w:val="both"/>
        <w:rPr>
          <w:rStyle w:val="FootnoteReference"/>
          <w:rFonts w:ascii="Times New Roman" w:eastAsia="Times New Roman" w:hAnsi="Times New Roman" w:cs="Times New Roman"/>
          <w:noProof/>
          <w:sz w:val="24"/>
        </w:rPr>
      </w:pPr>
      <w:r>
        <w:rPr>
          <w:rFonts w:ascii="Times New Roman" w:hAnsi="Times New Roman"/>
          <w:noProof/>
          <w:sz w:val="24"/>
        </w:rPr>
        <w:t>Gli articoli 12 e 13 stabiliscono inoltre che qualsiasi intervento pubblico sul mercato al dettaglio dovrebbe conservare un incentivo alla riduzione della domanda di energia elettrica. A questo proposito, diversi Stati membri, come Germania, Croazia, Paesi Bassi, Austria e Romania, hanno riferito l</w:t>
      </w:r>
      <w:r w:rsidR="00E8249E">
        <w:rPr>
          <w:rFonts w:ascii="Times New Roman" w:hAnsi="Times New Roman"/>
          <w:noProof/>
          <w:sz w:val="24"/>
        </w:rPr>
        <w:t>'</w:t>
      </w:r>
      <w:r>
        <w:rPr>
          <w:rFonts w:ascii="Times New Roman" w:hAnsi="Times New Roman"/>
          <w:noProof/>
          <w:sz w:val="24"/>
        </w:rPr>
        <w:t xml:space="preserve">attuazione di regimi basati su massimali di consumo, che comprendono interventi nella fissazione dei prezzi o sistemi di compensazione diretta o indiretta per i consumatori finali. </w:t>
      </w:r>
    </w:p>
    <w:p w14:paraId="23956E68" w14:textId="4B52E323" w:rsidR="50D6F801" w:rsidRDefault="50D6F801" w:rsidP="00033E4E">
      <w:pPr>
        <w:spacing w:line="360" w:lineRule="auto"/>
        <w:jc w:val="both"/>
        <w:rPr>
          <w:rFonts w:ascii="Times New Roman" w:eastAsia="Times New Roman" w:hAnsi="Times New Roman" w:cs="Times New Roman"/>
          <w:noProof/>
          <w:sz w:val="24"/>
        </w:rPr>
      </w:pPr>
      <w:r>
        <w:rPr>
          <w:rFonts w:ascii="Times New Roman" w:hAnsi="Times New Roman"/>
          <w:noProof/>
          <w:sz w:val="24"/>
        </w:rPr>
        <w:t>I prezzi regolati presentano svantaggi considerevoli: in particolare, possono ridurre gli incentivi all</w:t>
      </w:r>
      <w:r w:rsidR="00E8249E">
        <w:rPr>
          <w:rFonts w:ascii="Times New Roman" w:hAnsi="Times New Roman"/>
          <w:noProof/>
          <w:sz w:val="24"/>
        </w:rPr>
        <w:t>'</w:t>
      </w:r>
      <w:r>
        <w:rPr>
          <w:rFonts w:ascii="Times New Roman" w:hAnsi="Times New Roman"/>
          <w:noProof/>
          <w:sz w:val="24"/>
        </w:rPr>
        <w:t>efficienza energetica e pregiudicare la concorrenza a scapito dei consumatori nel lungo termine. Tali preoccupazioni evidenziano quanto siano importanti le norme applicabili previste dalla direttiva(UE) 2019/944 sull</w:t>
      </w:r>
      <w:r w:rsidR="00E8249E">
        <w:rPr>
          <w:rFonts w:ascii="Times New Roman" w:hAnsi="Times New Roman"/>
          <w:noProof/>
          <w:sz w:val="24"/>
        </w:rPr>
        <w:t>'</w:t>
      </w:r>
      <w:r>
        <w:rPr>
          <w:rFonts w:ascii="Times New Roman" w:hAnsi="Times New Roman"/>
          <w:noProof/>
          <w:sz w:val="24"/>
        </w:rPr>
        <w:t>energia elettrica, cui il regolamento del Consiglio deroga.</w:t>
      </w:r>
    </w:p>
    <w:p w14:paraId="36B95164" w14:textId="0ABB1BF0" w:rsidR="00E264D6" w:rsidRPr="00EC7A99" w:rsidRDefault="670725BB" w:rsidP="6E35EF87">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Valutazione della proroga della misura</w:t>
      </w:r>
    </w:p>
    <w:p w14:paraId="7E743959" w14:textId="535A6779"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La misura di crisi che concede agli Stati membri la possibilità di fissare un tetto dei prezzi per le famiglie e le PMI si è chiaramente dimostrata utile: diversi Stati membri hanno colto l</w:t>
      </w:r>
      <w:r w:rsidR="00E8249E">
        <w:rPr>
          <w:rFonts w:ascii="Times New Roman" w:hAnsi="Times New Roman"/>
          <w:noProof/>
          <w:sz w:val="24"/>
        </w:rPr>
        <w:t>'</w:t>
      </w:r>
      <w:r>
        <w:rPr>
          <w:rFonts w:ascii="Times New Roman" w:hAnsi="Times New Roman"/>
          <w:noProof/>
          <w:sz w:val="24"/>
        </w:rPr>
        <w:t xml:space="preserve">opportunità di prorogare i regimi esistenti o crearne di nuovi in tempi molto brevi. </w:t>
      </w:r>
    </w:p>
    <w:p w14:paraId="4BC90B3C" w14:textId="0EF8CF02"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Nella proposta di riforma dell</w:t>
      </w:r>
      <w:r w:rsidR="00E8249E">
        <w:rPr>
          <w:rFonts w:ascii="Times New Roman" w:hAnsi="Times New Roman"/>
          <w:noProof/>
          <w:sz w:val="24"/>
        </w:rPr>
        <w:t>'</w:t>
      </w:r>
      <w:r>
        <w:rPr>
          <w:rFonts w:ascii="Times New Roman" w:hAnsi="Times New Roman"/>
          <w:noProof/>
          <w:sz w:val="24"/>
        </w:rPr>
        <w:t>assetto del mercato la Commissione ha incluso nuove disposizioni simili a quelle del regolamento del Consiglio, a seguito di una valutazione dei vantaggi e degli svantaggi delle misure relative alla vendita al dettaglio che erano stati segnalati dagli Stati membri, dei risultati della consultazione pubblica e in considerazione dei suoi orientamenti di politica di bilancio per il 2024</w:t>
      </w:r>
      <w:r>
        <w:rPr>
          <w:rStyle w:val="FootnoteReference"/>
          <w:rFonts w:ascii="Times New Roman" w:eastAsia="Times New Roman" w:hAnsi="Times New Roman" w:cs="Times New Roman"/>
          <w:noProof/>
          <w:sz w:val="24"/>
        </w:rPr>
        <w:footnoteReference w:id="27"/>
      </w:r>
      <w:r>
        <w:rPr>
          <w:rFonts w:ascii="Times New Roman" w:hAnsi="Times New Roman"/>
          <w:noProof/>
          <w:sz w:val="24"/>
        </w:rPr>
        <w:t>. Nello specifico la Commissione ha proposto di dare agli Stati membri la possibilità, durante una crisi dei prezzi dell</w:t>
      </w:r>
      <w:r w:rsidR="00E8249E">
        <w:rPr>
          <w:rFonts w:ascii="Times New Roman" w:hAnsi="Times New Roman"/>
          <w:noProof/>
          <w:sz w:val="24"/>
        </w:rPr>
        <w:t>'</w:t>
      </w:r>
      <w:r>
        <w:rPr>
          <w:rFonts w:ascii="Times New Roman" w:hAnsi="Times New Roman"/>
          <w:noProof/>
          <w:sz w:val="24"/>
        </w:rPr>
        <w:t xml:space="preserve">energia elettrica, di intervenire in modo mirato sui prezzi per le famiglie e le PMI, fissandoli anche al di sotto del livello dei costi, per un volume ridotto di consumo e un periodo di tempo limitato. </w:t>
      </w:r>
    </w:p>
    <w:p w14:paraId="7AC0D908" w14:textId="44622A79" w:rsidR="00E264D6" w:rsidRPr="00EC7A99" w:rsidRDefault="670725BB"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Questa possibilità si aggiunge all</w:t>
      </w:r>
      <w:r w:rsidR="00E8249E">
        <w:rPr>
          <w:rFonts w:ascii="Times New Roman" w:hAnsi="Times New Roman"/>
          <w:noProof/>
          <w:sz w:val="24"/>
        </w:rPr>
        <w:t>'</w:t>
      </w:r>
      <w:r>
        <w:rPr>
          <w:rFonts w:ascii="Times New Roman" w:hAnsi="Times New Roman"/>
          <w:noProof/>
          <w:sz w:val="24"/>
        </w:rPr>
        <w:t>attuale quadro di protezione dei consumatori vulnerabili e in condizioni di povertà energetica previsto dalla direttiva sull</w:t>
      </w:r>
      <w:r w:rsidR="00E8249E">
        <w:rPr>
          <w:rFonts w:ascii="Times New Roman" w:hAnsi="Times New Roman"/>
          <w:noProof/>
          <w:sz w:val="24"/>
        </w:rPr>
        <w:t>'</w:t>
      </w:r>
      <w:r>
        <w:rPr>
          <w:rFonts w:ascii="Times New Roman" w:hAnsi="Times New Roman"/>
          <w:noProof/>
          <w:sz w:val="24"/>
        </w:rPr>
        <w:t xml:space="preserve">energia elettrica, in base al quale gli Stati membri possono applicare a questi consumatori tariffe sociali e regolare temporaneamente i prezzi al dettaglio per le famiglie e le microimprese fino a quando non si sarà affermato del tutto un ambiente concorrenziale sul mercato. </w:t>
      </w:r>
    </w:p>
    <w:p w14:paraId="5352F8BF" w14:textId="0EAC8DD2" w:rsidR="21A73C1B" w:rsidRDefault="21A73C1B"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Poiché la misura, in sostanza, è stata inclusa nella proposta della Commissione sull</w:t>
      </w:r>
      <w:r w:rsidR="00E8249E">
        <w:rPr>
          <w:rFonts w:ascii="Times New Roman" w:hAnsi="Times New Roman"/>
          <w:noProof/>
          <w:sz w:val="24"/>
        </w:rPr>
        <w:t>'</w:t>
      </w:r>
      <w:r>
        <w:rPr>
          <w:rFonts w:ascii="Times New Roman" w:hAnsi="Times New Roman"/>
          <w:noProof/>
          <w:sz w:val="24"/>
        </w:rPr>
        <w:t>assetto del mercato e considerate le informazioni di cui dispone attualmente, illustrate in precedenza, la Commissione non ritiene che in questa fase sia necessario prorogare la misura.</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rPr>
      </w:pPr>
      <w:bookmarkStart w:id="18" w:name="_Toc514839106"/>
      <w:bookmarkStart w:id="19" w:name="_Toc137657181"/>
      <w:bookmarkStart w:id="20" w:name="_Toc148742145"/>
      <w:bookmarkStart w:id="21" w:name="_Toc2081564879"/>
      <w:bookmarkEnd w:id="18"/>
      <w:r>
        <w:rPr>
          <w:rFonts w:ascii="Times New Roman" w:hAnsi="Times New Roman"/>
          <w:noProof/>
        </w:rPr>
        <w:t>Conclusioni preliminari</w:t>
      </w:r>
      <w:bookmarkEnd w:id="19"/>
      <w:r>
        <w:rPr>
          <w:rFonts w:ascii="Times New Roman" w:hAnsi="Times New Roman"/>
          <w:noProof/>
        </w:rPr>
        <w:t xml:space="preserve"> </w:t>
      </w:r>
      <w:bookmarkEnd w:id="20"/>
      <w:bookmarkEnd w:id="21"/>
    </w:p>
    <w:p w14:paraId="59898B03" w14:textId="7A659DA0" w:rsidR="450F0284" w:rsidRPr="00EC7A99" w:rsidRDefault="60038A52"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 xml:space="preserve">La presente relazione ha fornito una panoramica delle risposte pervenute agli Stati membri per quanto riguarda i) le loro misure di riduzione della domanda, ii) </w:t>
      </w:r>
      <w:r>
        <w:rPr>
          <w:rStyle w:val="normaltextrun"/>
          <w:rFonts w:ascii="Times New Roman" w:hAnsi="Times New Roman"/>
          <w:noProof/>
          <w:sz w:val="24"/>
        </w:rPr>
        <w:t>l</w:t>
      </w:r>
      <w:r w:rsidR="00E8249E">
        <w:rPr>
          <w:rStyle w:val="normaltextrun"/>
          <w:rFonts w:ascii="Times New Roman" w:hAnsi="Times New Roman"/>
          <w:noProof/>
          <w:sz w:val="24"/>
        </w:rPr>
        <w:t>'</w:t>
      </w:r>
      <w:r>
        <w:rPr>
          <w:rStyle w:val="normaltextrun"/>
          <w:rFonts w:ascii="Times New Roman" w:hAnsi="Times New Roman"/>
          <w:noProof/>
          <w:sz w:val="24"/>
        </w:rPr>
        <w:t>attuazione del tetto sui ricavi inframarginali e iii) gli interventi di fissazione dei pre</w:t>
      </w:r>
      <w:r w:rsidR="00E8249E">
        <w:rPr>
          <w:rStyle w:val="normaltextrun"/>
          <w:rFonts w:ascii="Times New Roman" w:hAnsi="Times New Roman"/>
          <w:noProof/>
          <w:sz w:val="24"/>
        </w:rPr>
        <w:t xml:space="preserve">zzi al dettaglio di cui al capo </w:t>
      </w:r>
      <w:r>
        <w:rPr>
          <w:rStyle w:val="normaltextrun"/>
          <w:rFonts w:ascii="Times New Roman" w:hAnsi="Times New Roman"/>
          <w:noProof/>
          <w:sz w:val="24"/>
        </w:rPr>
        <w:t xml:space="preserve">II del regolamento del Consiglio. Ha inoltre passato in rassegna i contributi dei partecipanti alla consultazione pubblica sugli stessi argomenti. Alla luce delle informazioni valutate nella presente relazione e </w:t>
      </w:r>
      <w:r>
        <w:rPr>
          <w:rFonts w:ascii="Times New Roman" w:hAnsi="Times New Roman"/>
          <w:noProof/>
          <w:sz w:val="24"/>
        </w:rPr>
        <w:t>delle condizioni, attuali e prevedibili in circostanze normali, dell</w:t>
      </w:r>
      <w:r w:rsidR="00E8249E">
        <w:rPr>
          <w:rFonts w:ascii="Times New Roman" w:hAnsi="Times New Roman"/>
          <w:noProof/>
          <w:sz w:val="24"/>
        </w:rPr>
        <w:t>'</w:t>
      </w:r>
      <w:r>
        <w:rPr>
          <w:rFonts w:ascii="Times New Roman" w:hAnsi="Times New Roman"/>
          <w:noProof/>
          <w:sz w:val="24"/>
        </w:rPr>
        <w:t>approvvigionamento e dei prezzi dell</w:t>
      </w:r>
      <w:r w:rsidR="00E8249E">
        <w:rPr>
          <w:rFonts w:ascii="Times New Roman" w:hAnsi="Times New Roman"/>
          <w:noProof/>
          <w:sz w:val="24"/>
        </w:rPr>
        <w:t>'</w:t>
      </w:r>
      <w:r>
        <w:rPr>
          <w:rFonts w:ascii="Times New Roman" w:hAnsi="Times New Roman"/>
          <w:noProof/>
          <w:sz w:val="24"/>
        </w:rPr>
        <w:t>energia elettrica nell</w:t>
      </w:r>
      <w:r w:rsidR="00E8249E">
        <w:rPr>
          <w:rFonts w:ascii="Times New Roman" w:hAnsi="Times New Roman"/>
          <w:noProof/>
          <w:sz w:val="24"/>
        </w:rPr>
        <w:t>'</w:t>
      </w:r>
      <w:r>
        <w:rPr>
          <w:rFonts w:ascii="Times New Roman" w:hAnsi="Times New Roman"/>
          <w:noProof/>
          <w:sz w:val="24"/>
        </w:rPr>
        <w:t xml:space="preserve">UE, non vi sono elementi che inducano a ritenere necessaria o consigliabile la proroga delle misure di riduzione della domanda, del tetto sui ricavi inframarginali e degli interventi sui prezzi al dettaglio. </w:t>
      </w:r>
    </w:p>
    <w:p w14:paraId="0CA6DE5D" w14:textId="2D5552E3" w:rsidR="00221A36" w:rsidRPr="00EC7A99" w:rsidRDefault="125B7398"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noProof/>
          <w:sz w:val="24"/>
        </w:rPr>
        <w:t>In primo luogo</w:t>
      </w:r>
      <w:r>
        <w:rPr>
          <w:rFonts w:ascii="Times New Roman" w:hAnsi="Times New Roman"/>
          <w:noProof/>
          <w:sz w:val="24"/>
        </w:rPr>
        <w:t>, per quanto concerne le misure di riduzione della domanda, tutti gli Stati membri comunicanti sembrano avere attuato misure volte a ridurre la domanda di energia elettrica, principalmente tramite campagne di sensibilizzazione e misure di risparmio energetico mirate. Gli Stati membri riferiscono di avere rispettato nel complesso l</w:t>
      </w:r>
      <w:r w:rsidR="00E8249E">
        <w:rPr>
          <w:rFonts w:ascii="Times New Roman" w:hAnsi="Times New Roman"/>
          <w:noProof/>
          <w:sz w:val="24"/>
        </w:rPr>
        <w:t>'</w:t>
      </w:r>
      <w:r>
        <w:rPr>
          <w:rFonts w:ascii="Times New Roman" w:hAnsi="Times New Roman"/>
          <w:noProof/>
          <w:sz w:val="24"/>
        </w:rPr>
        <w:t>obiettivo vincolante di ridurre del 5 % il consumo di energia elettrica durante le ore di punta,</w:t>
      </w:r>
      <w:r w:rsidR="00E8249E">
        <w:rPr>
          <w:rFonts w:ascii="Times New Roman" w:hAnsi="Times New Roman"/>
          <w:noProof/>
          <w:sz w:val="24"/>
        </w:rPr>
        <w:t xml:space="preserve"> ma sembra che la riduzione del </w:t>
      </w:r>
      <w:r>
        <w:rPr>
          <w:rFonts w:ascii="Times New Roman" w:hAnsi="Times New Roman"/>
          <w:noProof/>
          <w:sz w:val="24"/>
        </w:rPr>
        <w:t xml:space="preserve">10 % del consumo lordo mensile di energia elettrica abbia posto alcune difficoltà, senza tuttavia ostacolare il calo osservato nei </w:t>
      </w:r>
      <w:r w:rsidR="00E8249E">
        <w:rPr>
          <w:rFonts w:ascii="Times New Roman" w:hAnsi="Times New Roman"/>
          <w:noProof/>
          <w:sz w:val="24"/>
        </w:rPr>
        <w:t>prezzi dell'energia elettrica.</w:t>
      </w:r>
    </w:p>
    <w:p w14:paraId="78AD5B51" w14:textId="2E9E70DD" w:rsidR="002B6577" w:rsidRPr="00EC7A99" w:rsidRDefault="7AD1F763" w:rsidP="6E35EF87">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 base alle informazioni disponibili, la Commissione non ritiene che al momento sia necessario prorogare le misure di riduzione della domanda stabilite nel regolamento del Consiglio. Salvo cambiamenti imprevedibili, le condizioni attuali del mercato dell</w:t>
      </w:r>
      <w:r w:rsidR="00E8249E">
        <w:rPr>
          <w:rFonts w:ascii="Times New Roman" w:hAnsi="Times New Roman"/>
          <w:noProof/>
          <w:sz w:val="24"/>
        </w:rPr>
        <w:t>'</w:t>
      </w:r>
      <w:r>
        <w:rPr>
          <w:rFonts w:ascii="Times New Roman" w:hAnsi="Times New Roman"/>
          <w:noProof/>
          <w:sz w:val="24"/>
        </w:rPr>
        <w:t>energia elettrica non rendono necessaria tale proroga. Ciò è altresì in linea con i riscontri forniti dalla maggior parte dei partecipanti alla consultazione pubblica. Benché non sia più necessaria nel breve periodo e per mezzo degli strumenti istituiti dal regolamento del Consiglio, la gestione della domanda è importante per il buon funzionamento dei mercati dell</w:t>
      </w:r>
      <w:r w:rsidR="00E8249E">
        <w:rPr>
          <w:rFonts w:ascii="Times New Roman" w:hAnsi="Times New Roman"/>
          <w:noProof/>
          <w:sz w:val="24"/>
        </w:rPr>
        <w:t>'</w:t>
      </w:r>
      <w:r>
        <w:rPr>
          <w:rFonts w:ascii="Times New Roman" w:hAnsi="Times New Roman"/>
          <w:noProof/>
          <w:sz w:val="24"/>
        </w:rPr>
        <w:t>energia elettrica, ragion per cui la Commissione l</w:t>
      </w:r>
      <w:r w:rsidR="00E8249E">
        <w:rPr>
          <w:rFonts w:ascii="Times New Roman" w:hAnsi="Times New Roman"/>
          <w:noProof/>
          <w:sz w:val="24"/>
        </w:rPr>
        <w:t>'</w:t>
      </w:r>
      <w:r>
        <w:rPr>
          <w:rFonts w:ascii="Times New Roman" w:hAnsi="Times New Roman"/>
          <w:noProof/>
          <w:sz w:val="24"/>
        </w:rPr>
        <w:t>ha introdotta a livello strutturale nella sua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 xml:space="preserve">energia elettrica. </w:t>
      </w:r>
    </w:p>
    <w:p w14:paraId="2D9521D8" w14:textId="3CD7C494" w:rsidR="002B6577" w:rsidRPr="00EC7A99" w:rsidRDefault="041C5A0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i/>
          <w:noProof/>
          <w:sz w:val="24"/>
        </w:rPr>
        <w:t>In secondo luogo</w:t>
      </w:r>
      <w:r>
        <w:rPr>
          <w:rFonts w:ascii="Times New Roman" w:hAnsi="Times New Roman"/>
          <w:noProof/>
          <w:sz w:val="24"/>
        </w:rPr>
        <w:t>, il riesame ha rilevato che l</w:t>
      </w:r>
      <w:r w:rsidR="00E8249E">
        <w:rPr>
          <w:rFonts w:ascii="Times New Roman" w:hAnsi="Times New Roman"/>
          <w:noProof/>
          <w:sz w:val="24"/>
        </w:rPr>
        <w:t>'</w:t>
      </w:r>
      <w:r>
        <w:rPr>
          <w:rFonts w:ascii="Times New Roman" w:hAnsi="Times New Roman"/>
          <w:noProof/>
          <w:sz w:val="24"/>
        </w:rPr>
        <w:t>attuazione del tetto sui ricavi varia notevolmente da uno Stato membro all</w:t>
      </w:r>
      <w:r w:rsidR="00E8249E">
        <w:rPr>
          <w:rFonts w:ascii="Times New Roman" w:hAnsi="Times New Roman"/>
          <w:noProof/>
          <w:sz w:val="24"/>
        </w:rPr>
        <w:t>'</w:t>
      </w:r>
      <w:r>
        <w:rPr>
          <w:rFonts w:ascii="Times New Roman" w:hAnsi="Times New Roman"/>
          <w:noProof/>
          <w:sz w:val="24"/>
        </w:rPr>
        <w:t>altro. Le strategie di attuazione nazionali divergenti hanno creato una considerevole incertezza per gli investitori, aggravata dal fatto che, in alcuni Stati membri, l</w:t>
      </w:r>
      <w:r w:rsidR="00E8249E">
        <w:rPr>
          <w:rFonts w:ascii="Times New Roman" w:hAnsi="Times New Roman"/>
          <w:noProof/>
          <w:sz w:val="24"/>
        </w:rPr>
        <w:t>'</w:t>
      </w:r>
      <w:r>
        <w:rPr>
          <w:rFonts w:ascii="Times New Roman" w:hAnsi="Times New Roman"/>
          <w:noProof/>
          <w:sz w:val="24"/>
        </w:rPr>
        <w:t xml:space="preserve">attuazione del tetto ha apparentemente inciso sulla conclusione di accordi di compravendita di energia elettrica e di altri contratti a lungo termine. </w:t>
      </w:r>
    </w:p>
    <w:p w14:paraId="4D403934" w14:textId="0D0CEA47" w:rsidR="71C09974" w:rsidRPr="00EC7A99" w:rsidRDefault="3976DC95"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 base alle informazioni disponibili, e date le condizioni odierne e prevedibili del mercato, la Commissione ritiene che i vantaggi del tetto sui ricavi inframarginali attuale non siano di portata tale da controbilanciare l</w:t>
      </w:r>
      <w:r w:rsidR="00E8249E">
        <w:rPr>
          <w:rFonts w:ascii="Times New Roman" w:hAnsi="Times New Roman"/>
          <w:noProof/>
          <w:sz w:val="24"/>
        </w:rPr>
        <w:t>'</w:t>
      </w:r>
      <w:r>
        <w:rPr>
          <w:rFonts w:ascii="Times New Roman" w:hAnsi="Times New Roman"/>
          <w:noProof/>
          <w:sz w:val="24"/>
        </w:rPr>
        <w:t>impatto sulla certezza per gli investitori né i rischi per il funzionamento dei mercati e la transizione.</w:t>
      </w:r>
      <w:r w:rsidR="00E8249E">
        <w:rPr>
          <w:rFonts w:ascii="Times New Roman" w:hAnsi="Times New Roman"/>
          <w:noProof/>
          <w:sz w:val="24"/>
        </w:rPr>
        <w:t xml:space="preserve"> </w:t>
      </w:r>
      <w:r>
        <w:rPr>
          <w:rFonts w:ascii="Times New Roman" w:hAnsi="Times New Roman"/>
          <w:noProof/>
          <w:sz w:val="24"/>
        </w:rPr>
        <w:t>Viste le difficoltà nel processo di attuazione è sconsigliabile prorogare il tetto sui ricavi inframargi</w:t>
      </w:r>
      <w:r w:rsidR="00647D89">
        <w:rPr>
          <w:rFonts w:ascii="Times New Roman" w:hAnsi="Times New Roman"/>
          <w:noProof/>
          <w:sz w:val="24"/>
        </w:rPr>
        <w:t>nali stabilito nel regolamento d</w:t>
      </w:r>
      <w:r>
        <w:rPr>
          <w:rFonts w:ascii="Times New Roman" w:hAnsi="Times New Roman"/>
          <w:noProof/>
          <w:sz w:val="24"/>
        </w:rPr>
        <w:t>el Consiglio. La conclusione della Commissione è in linea con i riscontri forniti dalla maggior parte dei partecipanti alla consultazione pubblica, che sono contrari a una proroga della misura a causa delle preoccupazioni legate all</w:t>
      </w:r>
      <w:r w:rsidR="00E8249E">
        <w:rPr>
          <w:rFonts w:ascii="Times New Roman" w:hAnsi="Times New Roman"/>
          <w:noProof/>
          <w:sz w:val="24"/>
        </w:rPr>
        <w:t>'</w:t>
      </w:r>
      <w:r>
        <w:rPr>
          <w:rFonts w:ascii="Times New Roman" w:hAnsi="Times New Roman"/>
          <w:noProof/>
          <w:sz w:val="24"/>
        </w:rPr>
        <w:t xml:space="preserve">incertezza per gli investitori. </w:t>
      </w:r>
    </w:p>
    <w:p w14:paraId="33DF62A6" w14:textId="56197364" w:rsidR="00A668E6" w:rsidRPr="0064338E" w:rsidRDefault="1514CAD6" w:rsidP="00A668E6">
      <w:pPr>
        <w:spacing w:before="120" w:after="120" w:line="360" w:lineRule="auto"/>
        <w:jc w:val="both"/>
        <w:rPr>
          <w:rFonts w:ascii="Times New Roman" w:hAnsi="Times New Roman"/>
          <w:noProof/>
          <w:sz w:val="24"/>
        </w:rPr>
      </w:pPr>
      <w:r>
        <w:rPr>
          <w:rFonts w:ascii="Times New Roman" w:hAnsi="Times New Roman"/>
          <w:i/>
          <w:noProof/>
          <w:sz w:val="24"/>
        </w:rPr>
        <w:t>In terzo luogo</w:t>
      </w:r>
      <w:r>
        <w:rPr>
          <w:rFonts w:ascii="Times New Roman" w:hAnsi="Times New Roman"/>
          <w:noProof/>
          <w:sz w:val="24"/>
        </w:rPr>
        <w:t>, dal riesame è emerso che vari Stati membri si sono avvalsi della possibilità di estendere alle PMI la regolazione dei prezzi al dettaglio in tempi di crisi e di applicare, in determinate condizioni, prezzi regolati inferiori ai costi. Nella sua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la Commissione ha incluso disposizioni equivalenti che consentono agli Stati membri di intervenire in via eccezionale e temporanea sui mercati al dettaglio fissando un prezzo inferiore ai costi, sia per le famiglie che per le PMI, in caso di eventuali situazioni di crisi future. L</w:t>
      </w:r>
      <w:r w:rsidR="00E8249E">
        <w:rPr>
          <w:rFonts w:ascii="Times New Roman" w:hAnsi="Times New Roman"/>
          <w:noProof/>
          <w:sz w:val="24"/>
        </w:rPr>
        <w:t>'</w:t>
      </w:r>
      <w:r>
        <w:rPr>
          <w:rFonts w:ascii="Times New Roman" w:hAnsi="Times New Roman"/>
          <w:noProof/>
          <w:sz w:val="24"/>
        </w:rPr>
        <w:t>adozione della proposta sull</w:t>
      </w:r>
      <w:r w:rsidR="00E8249E">
        <w:rPr>
          <w:rFonts w:ascii="Times New Roman" w:hAnsi="Times New Roman"/>
          <w:noProof/>
          <w:sz w:val="24"/>
        </w:rPr>
        <w:t>'</w:t>
      </w:r>
      <w:r>
        <w:rPr>
          <w:rFonts w:ascii="Times New Roman" w:hAnsi="Times New Roman"/>
          <w:noProof/>
          <w:sz w:val="24"/>
        </w:rPr>
        <w:t>assetto del mercato dell</w:t>
      </w:r>
      <w:r w:rsidR="00E8249E">
        <w:rPr>
          <w:rFonts w:ascii="Times New Roman" w:hAnsi="Times New Roman"/>
          <w:noProof/>
          <w:sz w:val="24"/>
        </w:rPr>
        <w:t>'</w:t>
      </w:r>
      <w:r>
        <w:rPr>
          <w:rFonts w:ascii="Times New Roman" w:hAnsi="Times New Roman"/>
          <w:noProof/>
          <w:sz w:val="24"/>
        </w:rPr>
        <w:t>energia elettrica garantirebbe che tali misure strutturali entrino a far parte del quadro normativo dell</w:t>
      </w:r>
      <w:r w:rsidR="00E8249E">
        <w:rPr>
          <w:rFonts w:ascii="Times New Roman" w:hAnsi="Times New Roman"/>
          <w:noProof/>
          <w:sz w:val="24"/>
        </w:rPr>
        <w:t>'</w:t>
      </w:r>
      <w:r>
        <w:rPr>
          <w:rFonts w:ascii="Times New Roman" w:hAnsi="Times New Roman"/>
          <w:noProof/>
          <w:sz w:val="24"/>
        </w:rPr>
        <w:t>UE. Alla luce di quanto precede e delle condizioni attuali e previste dell</w:t>
      </w:r>
      <w:r w:rsidR="00E8249E">
        <w:rPr>
          <w:rFonts w:ascii="Times New Roman" w:hAnsi="Times New Roman"/>
          <w:noProof/>
          <w:sz w:val="24"/>
        </w:rPr>
        <w:t>'</w:t>
      </w:r>
      <w:r>
        <w:rPr>
          <w:rFonts w:ascii="Times New Roman" w:hAnsi="Times New Roman"/>
          <w:noProof/>
          <w:sz w:val="24"/>
        </w:rPr>
        <w:t>approvvigionamento e dei prezzi dell</w:t>
      </w:r>
      <w:r w:rsidR="00E8249E">
        <w:rPr>
          <w:rFonts w:ascii="Times New Roman" w:hAnsi="Times New Roman"/>
          <w:noProof/>
          <w:sz w:val="24"/>
        </w:rPr>
        <w:t>'</w:t>
      </w:r>
      <w:r>
        <w:rPr>
          <w:rFonts w:ascii="Times New Roman" w:hAnsi="Times New Roman"/>
          <w:noProof/>
          <w:sz w:val="24"/>
        </w:rPr>
        <w:t>energia elettrica, la Commissione ritiene pertanto che non sia necessario prorogare le di</w:t>
      </w:r>
      <w:r w:rsidR="00E8249E">
        <w:rPr>
          <w:rFonts w:ascii="Times New Roman" w:hAnsi="Times New Roman"/>
          <w:noProof/>
          <w:sz w:val="24"/>
        </w:rPr>
        <w:t xml:space="preserve">sposizioni di cui agli articoli </w:t>
      </w:r>
      <w:r>
        <w:rPr>
          <w:rFonts w:ascii="Times New Roman" w:hAnsi="Times New Roman"/>
          <w:noProof/>
          <w:sz w:val="24"/>
        </w:rPr>
        <w:t xml:space="preserve">12 e 13 </w:t>
      </w:r>
      <w:r w:rsidR="00E8249E">
        <w:rPr>
          <w:rFonts w:ascii="Times New Roman" w:hAnsi="Times New Roman"/>
          <w:noProof/>
          <w:sz w:val="24"/>
        </w:rPr>
        <w:t>del regolamento del Consiglio.</w:t>
      </w:r>
    </w:p>
    <w:p w14:paraId="1BD83D38" w14:textId="0EFEA2FD" w:rsidR="7E5AA0D8" w:rsidRPr="00EC7A99" w:rsidRDefault="20A7D633"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Infine, poiché la presente relazione si basa su quanto riferito dagli Stati membri pochi mesi dopo l</w:t>
      </w:r>
      <w:r w:rsidR="00E8249E">
        <w:rPr>
          <w:rFonts w:ascii="Times New Roman" w:hAnsi="Times New Roman"/>
          <w:noProof/>
          <w:sz w:val="24"/>
        </w:rPr>
        <w:t>'</w:t>
      </w:r>
      <w:r>
        <w:rPr>
          <w:rFonts w:ascii="Times New Roman" w:hAnsi="Times New Roman"/>
          <w:noProof/>
          <w:sz w:val="24"/>
        </w:rPr>
        <w:t>entrata in vigore del regolamento del Consiglio, le conclusioni della Commissione lasciano impregiudicate le informazioni supplementari che la Commissione potrebbe ricevere dagli Stati membri o eventuali cambiamenti imprevedibili della situazione generale dell</w:t>
      </w:r>
      <w:r w:rsidR="00E8249E">
        <w:rPr>
          <w:rFonts w:ascii="Times New Roman" w:hAnsi="Times New Roman"/>
          <w:noProof/>
          <w:sz w:val="24"/>
        </w:rPr>
        <w:t>'</w:t>
      </w:r>
      <w:r>
        <w:rPr>
          <w:rFonts w:ascii="Times New Roman" w:hAnsi="Times New Roman"/>
          <w:noProof/>
          <w:sz w:val="24"/>
        </w:rPr>
        <w:t>approvvigionamento e dei prezzi dell</w:t>
      </w:r>
      <w:r w:rsidR="00E8249E">
        <w:rPr>
          <w:rFonts w:ascii="Times New Roman" w:hAnsi="Times New Roman"/>
          <w:noProof/>
          <w:sz w:val="24"/>
        </w:rPr>
        <w:t>'</w:t>
      </w:r>
      <w:r>
        <w:rPr>
          <w:rFonts w:ascii="Times New Roman" w:hAnsi="Times New Roman"/>
          <w:noProof/>
          <w:sz w:val="24"/>
        </w:rPr>
        <w:t>energia elettrica nell</w:t>
      </w:r>
      <w:r w:rsidR="00E8249E">
        <w:rPr>
          <w:rFonts w:ascii="Times New Roman" w:hAnsi="Times New Roman"/>
          <w:noProof/>
          <w:sz w:val="24"/>
        </w:rPr>
        <w:t>'</w:t>
      </w:r>
      <w:r>
        <w:rPr>
          <w:rFonts w:ascii="Times New Roman" w:hAnsi="Times New Roman"/>
          <w:noProof/>
          <w:sz w:val="24"/>
        </w:rPr>
        <w:t>UE. Qualora le informazioni su cui si basa la presente relazione dovessero subire modifiche significative, la Commissione potrebbe essere chiamata ad adeguare le proprie conclusioni o intervenire rapidamente nel caso in cui lo stato del mercato lo richieda.</w:t>
      </w:r>
    </w:p>
    <w:p w14:paraId="51B148B0" w14:textId="77777777" w:rsidR="1CE3FF65" w:rsidRPr="00EC7A99" w:rsidRDefault="1CE3FF65" w:rsidP="2B9E9F58">
      <w:pPr>
        <w:spacing w:before="120" w:after="120" w:line="360" w:lineRule="auto"/>
        <w:jc w:val="both"/>
        <w:rPr>
          <w:rFonts w:ascii="Times New Roman" w:eastAsia="Times New Roman" w:hAnsi="Times New Roman" w:cs="Times New Roman"/>
          <w:noProof/>
          <w:sz w:val="24"/>
        </w:rPr>
      </w:pPr>
    </w:p>
    <w:sectPr w:rsidR="1CE3FF65" w:rsidRPr="00EC7A99"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4985" w14:textId="77777777" w:rsidR="00D77ECA" w:rsidRPr="00D77ECA" w:rsidRDefault="00D77ECA" w:rsidP="00D7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12DB" w14:textId="5B86D909" w:rsidR="00647D89" w:rsidRPr="00D77ECA" w:rsidRDefault="00D77ECA" w:rsidP="00D77ECA">
    <w:pPr>
      <w:pStyle w:val="FooterCoverPage"/>
      <w:rPr>
        <w:rFonts w:ascii="Arial" w:hAnsi="Arial" w:cs="Arial"/>
        <w:b/>
        <w:sz w:val="48"/>
      </w:rPr>
    </w:pPr>
    <w:r w:rsidRPr="00D77ECA">
      <w:rPr>
        <w:rFonts w:ascii="Arial" w:hAnsi="Arial" w:cs="Arial"/>
        <w:b/>
        <w:sz w:val="48"/>
      </w:rPr>
      <w:t>IT</w:t>
    </w:r>
    <w:r w:rsidRPr="00D77ECA">
      <w:rPr>
        <w:rFonts w:ascii="Arial" w:hAnsi="Arial" w:cs="Arial"/>
        <w:b/>
        <w:sz w:val="48"/>
      </w:rPr>
      <w:tab/>
    </w:r>
    <w:r w:rsidRPr="00D77ECA">
      <w:rPr>
        <w:rFonts w:ascii="Arial" w:hAnsi="Arial" w:cs="Arial"/>
        <w:b/>
        <w:sz w:val="48"/>
      </w:rPr>
      <w:tab/>
    </w:r>
    <w:r w:rsidRPr="00D77ECA">
      <w:tab/>
    </w:r>
    <w:r w:rsidRPr="00D77ECA">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973A" w14:textId="77777777" w:rsidR="00D77ECA" w:rsidRPr="00D77ECA" w:rsidRDefault="00D77ECA" w:rsidP="00D77EC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31A82D93"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77ECA">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63969CB4"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hyperlink r:id="rId1" w:history="1">
        <w:r>
          <w:rPr>
            <w:rStyle w:val="Hyperlink"/>
            <w:rFonts w:ascii="Times New Roman" w:hAnsi="Times New Roman"/>
          </w:rPr>
          <w:t>Regolamento (UE) 2022/1854 del Consiglio relativo a un intervento di emergenza per far fronte ai prezzi elevati dell</w:t>
        </w:r>
        <w:r w:rsidR="00E8249E">
          <w:rPr>
            <w:rStyle w:val="Hyperlink"/>
            <w:rFonts w:ascii="Times New Roman" w:hAnsi="Times New Roman"/>
          </w:rPr>
          <w:t>'</w:t>
        </w:r>
        <w:r>
          <w:rPr>
            <w:rStyle w:val="Hyperlink"/>
            <w:rFonts w:ascii="Times New Roman" w:hAnsi="Times New Roman"/>
          </w:rPr>
          <w:t>energia</w:t>
        </w:r>
      </w:hyperlink>
      <w:r>
        <w:rPr>
          <w:rStyle w:val="Hyperlink"/>
          <w:rFonts w:ascii="Times New Roman" w:hAnsi="Times New Roman"/>
        </w:rPr>
        <w:t>.</w:t>
      </w:r>
    </w:p>
  </w:footnote>
  <w:footnote w:id="3">
    <w:p w14:paraId="122A4ADF" w14:textId="490397F9" w:rsidR="004D5687" w:rsidRPr="001613B0" w:rsidRDefault="004D5687" w:rsidP="004D5687">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Comunicazione della Commissione al Parlamento europeo, al Consiglio europeo, al Consiglio, al Comitato economico e sociale europeo e al Comitato delle regioni, Risposta all</w:t>
      </w:r>
      <w:r w:rsidR="00E8249E">
        <w:rPr>
          <w:rFonts w:ascii="Times New Roman" w:hAnsi="Times New Roman"/>
        </w:rPr>
        <w:t>'</w:t>
      </w:r>
      <w:r>
        <w:rPr>
          <w:rFonts w:ascii="Times New Roman" w:hAnsi="Times New Roman"/>
        </w:rPr>
        <w:t>aumento dei prezzi dell</w:t>
      </w:r>
      <w:r w:rsidR="00E8249E">
        <w:rPr>
          <w:rFonts w:ascii="Times New Roman" w:hAnsi="Times New Roman"/>
        </w:rPr>
        <w:t>'</w:t>
      </w:r>
      <w:r>
        <w:rPr>
          <w:rFonts w:ascii="Times New Roman" w:hAnsi="Times New Roman"/>
        </w:rPr>
        <w:t>energia: un pacchetto di misure d</w:t>
      </w:r>
      <w:r w:rsidR="00E8249E">
        <w:rPr>
          <w:rFonts w:ascii="Times New Roman" w:hAnsi="Times New Roman"/>
        </w:rPr>
        <w:t>'</w:t>
      </w:r>
      <w:r>
        <w:rPr>
          <w:rStyle w:val="eop"/>
          <w:rFonts w:ascii="Times New Roman" w:hAnsi="Times New Roman"/>
          <w:color w:val="000000" w:themeColor="text1"/>
        </w:rPr>
        <w:t>intervento</w:t>
      </w:r>
      <w:r>
        <w:rPr>
          <w:rFonts w:ascii="Times New Roman" w:hAnsi="Times New Roman"/>
        </w:rPr>
        <w:t xml:space="preserve"> e di sostegno (COM(2021) 660 final).</w:t>
      </w:r>
    </w:p>
  </w:footnote>
  <w:footnote w:id="4">
    <w:p w14:paraId="7B8704FB" w14:textId="11220E90"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REPowerEU: azione europea comune per un</w:t>
      </w:r>
      <w:r w:rsidR="00E8249E">
        <w:rPr>
          <w:rFonts w:ascii="Times New Roman" w:hAnsi="Times New Roman"/>
        </w:rPr>
        <w:t>'</w:t>
      </w:r>
      <w:r>
        <w:rPr>
          <w:rFonts w:ascii="Times New Roman" w:hAnsi="Times New Roman"/>
        </w:rPr>
        <w:t>energia più sicura, più sostenibile e a prezzi più accessibili (COM(2022) 108 final).</w:t>
      </w:r>
    </w:p>
  </w:footnote>
  <w:footnote w:id="5">
    <w:p w14:paraId="05D70554" w14:textId="77777777" w:rsidR="0055297A" w:rsidRPr="001613B0" w:rsidRDefault="0055297A" w:rsidP="001613B0">
      <w:pPr>
        <w:pStyle w:val="FootnoteText"/>
        <w:jc w:val="both"/>
        <w:rPr>
          <w:rFonts w:ascii="Times New Roman" w:eastAsia="Roboto" w:hAnsi="Times New Roman" w:cs="Times New Roman"/>
          <w:b/>
        </w:rPr>
      </w:pPr>
      <w:r>
        <w:rPr>
          <w:rStyle w:val="FootnoteReference"/>
          <w:rFonts w:ascii="Times New Roman" w:eastAsia="Times New Roman" w:hAnsi="Times New Roman" w:cs="Times New Roman"/>
        </w:rPr>
        <w:footnoteRef/>
      </w:r>
      <w:r>
        <w:rPr>
          <w:rFonts w:ascii="Times New Roman" w:hAnsi="Times New Roman"/>
        </w:rPr>
        <w:t xml:space="preserve"> Piano REPowerEU</w:t>
      </w:r>
      <w:r>
        <w:rPr>
          <w:rFonts w:ascii="Times New Roman" w:hAnsi="Times New Roman"/>
          <w:b/>
        </w:rPr>
        <w:t xml:space="preserve"> </w:t>
      </w:r>
      <w:r>
        <w:rPr>
          <w:rFonts w:ascii="Times New Roman" w:hAnsi="Times New Roman"/>
        </w:rPr>
        <w:t>(COM(2022) 230 final).</w:t>
      </w:r>
    </w:p>
  </w:footnote>
  <w:footnote w:id="6">
    <w:p w14:paraId="24F4099C" w14:textId="0FD9D591"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w:t>
      </w:r>
      <w:r>
        <w:rPr>
          <w:rStyle w:val="eop"/>
          <w:rFonts w:ascii="Times New Roman" w:hAnsi="Times New Roman"/>
          <w:color w:val="000000" w:themeColor="text1"/>
        </w:rPr>
        <w:t xml:space="preserve">Comunicazione della Commissione al Parlamento europeo, al Consiglio, al Comitato economico e sociale europeo </w:t>
      </w:r>
      <w:r>
        <w:rPr>
          <w:rFonts w:ascii="Times New Roman" w:hAnsi="Times New Roman"/>
          <w:color w:val="333333"/>
        </w:rPr>
        <w:t>e</w:t>
      </w:r>
      <w:r>
        <w:rPr>
          <w:rStyle w:val="eop"/>
          <w:rFonts w:ascii="Times New Roman" w:hAnsi="Times New Roman"/>
          <w:color w:val="000000" w:themeColor="text1"/>
        </w:rPr>
        <w:t xml:space="preserve"> al Comitato delle regioni, Interventi a breve termine nei mercati dell</w:t>
      </w:r>
      <w:r w:rsidR="00E8249E">
        <w:rPr>
          <w:rStyle w:val="eop"/>
          <w:rFonts w:ascii="Times New Roman" w:hAnsi="Times New Roman"/>
          <w:color w:val="000000" w:themeColor="text1"/>
        </w:rPr>
        <w:t>'</w:t>
      </w:r>
      <w:r>
        <w:rPr>
          <w:rStyle w:val="eop"/>
          <w:rFonts w:ascii="Times New Roman" w:hAnsi="Times New Roman"/>
          <w:color w:val="000000" w:themeColor="text1"/>
        </w:rPr>
        <w:t>energia e miglioramenti a lungo termine dell</w:t>
      </w:r>
      <w:r w:rsidR="00E8249E">
        <w:rPr>
          <w:rStyle w:val="eop"/>
          <w:rFonts w:ascii="Times New Roman" w:hAnsi="Times New Roman"/>
          <w:color w:val="000000" w:themeColor="text1"/>
        </w:rPr>
        <w:t>'</w:t>
      </w:r>
      <w:r>
        <w:rPr>
          <w:rStyle w:val="eop"/>
          <w:rFonts w:ascii="Times New Roman" w:hAnsi="Times New Roman"/>
          <w:color w:val="000000" w:themeColor="text1"/>
        </w:rPr>
        <w:t>assetto del mercato dell</w:t>
      </w:r>
      <w:r w:rsidR="00E8249E">
        <w:rPr>
          <w:rStyle w:val="eop"/>
          <w:rFonts w:ascii="Times New Roman" w:hAnsi="Times New Roman"/>
          <w:color w:val="000000" w:themeColor="text1"/>
        </w:rPr>
        <w:t>'</w:t>
      </w:r>
      <w:r>
        <w:rPr>
          <w:rStyle w:val="eop"/>
          <w:rFonts w:ascii="Times New Roman" w:hAnsi="Times New Roman"/>
          <w:color w:val="000000" w:themeColor="text1"/>
        </w:rPr>
        <w:t>energia elettrica (COM(2022) 236 final).</w:t>
      </w:r>
    </w:p>
  </w:footnote>
  <w:footnote w:id="7">
    <w:p w14:paraId="412171F3" w14:textId="4D55A07F" w:rsidR="00BA5EEB" w:rsidRPr="00A73D8A" w:rsidRDefault="00BA5EEB"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Tali misure possono essere soggette al controllo in materia di aiuti di Stato se implicano risorse statali.</w:t>
      </w:r>
    </w:p>
  </w:footnote>
  <w:footnote w:id="8">
    <w:p w14:paraId="3B1D4DAC" w14:textId="40D8EC5C" w:rsidR="6E35EF87" w:rsidRPr="001613B0" w:rsidRDefault="6E35EF87"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Style w:val="FootnoteReference"/>
          <w:rFonts w:ascii="Times New Roman" w:hAnsi="Times New Roman"/>
        </w:rPr>
        <w:t xml:space="preserve"> </w:t>
      </w:r>
      <w:r>
        <w:rPr>
          <w:rFonts w:ascii="Times New Roman" w:hAnsi="Times New Roman"/>
        </w:rPr>
        <w:t>La misura che ha introdotto l</w:t>
      </w:r>
      <w:r w:rsidR="00E8249E">
        <w:rPr>
          <w:rFonts w:ascii="Times New Roman" w:hAnsi="Times New Roman"/>
        </w:rPr>
        <w:t>'</w:t>
      </w:r>
      <w:r>
        <w:rPr>
          <w:rFonts w:ascii="Times New Roman" w:hAnsi="Times New Roman"/>
        </w:rPr>
        <w:t xml:space="preserve">obiettivo indicativo continua ad applicarsi fino alla fine di dicembre 2023. </w:t>
      </w:r>
    </w:p>
  </w:footnote>
  <w:footnote w:id="9">
    <w:p w14:paraId="6E398384" w14:textId="27A4E593"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sidR="00831832">
        <w:rPr>
          <w:rFonts w:ascii="Times New Roman" w:hAnsi="Times New Roman"/>
        </w:rPr>
        <w:t xml:space="preserve"> </w:t>
      </w:r>
      <w:r>
        <w:rPr>
          <w:rFonts w:ascii="Times New Roman" w:hAnsi="Times New Roman"/>
          <w:color w:val="333333"/>
        </w:rPr>
        <w:t>Proposta di regolamento del Parlamento europeo e del Consiglio che modifica i regolamenti (UE) 2019/943 e (UE) 2019/942 e le direttive (UE) 2018/2001 e (UE) 2019/944 per migliorare l</w:t>
      </w:r>
      <w:r w:rsidR="00E8249E">
        <w:rPr>
          <w:rFonts w:ascii="Times New Roman" w:hAnsi="Times New Roman"/>
          <w:color w:val="333333"/>
        </w:rPr>
        <w:t>'</w:t>
      </w:r>
      <w:r>
        <w:rPr>
          <w:rFonts w:ascii="Times New Roman" w:hAnsi="Times New Roman"/>
          <w:color w:val="333333"/>
        </w:rPr>
        <w:t>assetto del mercato dell</w:t>
      </w:r>
      <w:r w:rsidR="00E8249E">
        <w:rPr>
          <w:rFonts w:ascii="Times New Roman" w:hAnsi="Times New Roman"/>
          <w:color w:val="333333"/>
        </w:rPr>
        <w:t>'</w:t>
      </w:r>
      <w:r>
        <w:rPr>
          <w:rFonts w:ascii="Times New Roman" w:hAnsi="Times New Roman"/>
          <w:color w:val="333333"/>
        </w:rPr>
        <w:t>energia elettrica dell</w:t>
      </w:r>
      <w:r w:rsidR="00E8249E">
        <w:rPr>
          <w:rFonts w:ascii="Times New Roman" w:hAnsi="Times New Roman"/>
          <w:color w:val="333333"/>
        </w:rPr>
        <w:t>'</w:t>
      </w:r>
      <w:r>
        <w:rPr>
          <w:rFonts w:ascii="Times New Roman" w:hAnsi="Times New Roman"/>
          <w:color w:val="333333"/>
        </w:rPr>
        <w:t>Unione.</w:t>
      </w:r>
    </w:p>
  </w:footnote>
  <w:footnote w:id="10">
    <w:p w14:paraId="2F775C76" w14:textId="02A40D2F"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La Commissione ha ricevuto 1 369 risposte, di cui oltre 700 da cittadini, circa 450 da imprese e associazioni di imprese, circa 40 da amministrazioni nazionali o locali o da regolatori nazionali e circa 70 da gestori di rete. Hanno inoltre partecipato circa 20 comunità energetiche, 15 sindacati e 20 organizzazioni di consumatori. Ha risposto anche un numero significativo di ONG, gruppi di riflessione e organizzazioni di ricerca o altre organizzazioni accademiche.</w:t>
      </w:r>
    </w:p>
  </w:footnote>
  <w:footnote w:id="11">
    <w:p w14:paraId="58FD78B8" w14:textId="0218B2F7" w:rsidR="0074611C" w:rsidRPr="0074611C" w:rsidRDefault="0074611C">
      <w:pPr>
        <w:pStyle w:val="FootnoteText"/>
      </w:pPr>
      <w:r>
        <w:rPr>
          <w:rStyle w:val="FootnoteReference"/>
          <w:rFonts w:ascii="Times New Roman" w:eastAsia="Times New Roman" w:hAnsi="Times New Roman" w:cs="Times New Roman"/>
        </w:rPr>
        <w:footnoteRef/>
      </w:r>
      <w:r>
        <w:rPr>
          <w:rStyle w:val="FootnoteReference"/>
          <w:rFonts w:ascii="Times New Roman" w:hAnsi="Times New Roman"/>
        </w:rPr>
        <w:t> </w:t>
      </w:r>
      <w:r>
        <w:rPr>
          <w:rFonts w:ascii="Times New Roman" w:hAnsi="Times New Roman"/>
        </w:rPr>
        <w:t>Ungheria e Romania.</w:t>
      </w:r>
    </w:p>
  </w:footnote>
  <w:footnote w:id="12">
    <w:p w14:paraId="1122D7F0" w14:textId="5C6029D1"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sidR="00A22531">
        <w:rPr>
          <w:rFonts w:ascii="Times New Roman" w:hAnsi="Times New Roman"/>
        </w:rPr>
        <w:t> Nell</w:t>
      </w:r>
      <w:r w:rsidR="00E8249E">
        <w:rPr>
          <w:rFonts w:ascii="Times New Roman" w:hAnsi="Times New Roman"/>
        </w:rPr>
        <w:t>'</w:t>
      </w:r>
      <w:r w:rsidR="00A22531">
        <w:rPr>
          <w:rFonts w:ascii="Times New Roman" w:hAnsi="Times New Roman"/>
        </w:rPr>
        <w:t xml:space="preserve">agosto </w:t>
      </w:r>
      <w:r>
        <w:rPr>
          <w:rFonts w:ascii="Times New Roman" w:hAnsi="Times New Roman"/>
        </w:rPr>
        <w:t>2022, i prezzi TTF a un giorno e a un mese erano superiori a 230 EUR/MWh.</w:t>
      </w:r>
    </w:p>
  </w:footnote>
  <w:footnote w:id="13">
    <w:p w14:paraId="00C2C717" w14:textId="5C36A2DE" w:rsidR="6E35EF87" w:rsidRPr="001613B0" w:rsidRDefault="6E35EF87"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Regolamento (UE) 2022/2576 del Consiglio, del 19 dicembre 2022 che promuove la solidarietà mediante un migliore coordinamento degli acquisti di gas, parametri di riferimento affidabili per i prezzi e scambi transfrontalieri di gas, regolamento (UE</w:t>
      </w:r>
      <w:r w:rsidR="00A22531">
        <w:rPr>
          <w:rFonts w:ascii="Times New Roman" w:hAnsi="Times New Roman"/>
        </w:rPr>
        <w:t xml:space="preserve">) 2022/1369 del Consiglio del 5 agosto </w:t>
      </w:r>
      <w:r>
        <w:rPr>
          <w:rFonts w:ascii="Times New Roman" w:hAnsi="Times New Roman"/>
        </w:rPr>
        <w:t>2022 relativo a misure coordinate di riduzione della domanda di gas e regolamento (UE</w:t>
      </w:r>
      <w:r w:rsidR="00A22531">
        <w:rPr>
          <w:rFonts w:ascii="Times New Roman" w:hAnsi="Times New Roman"/>
        </w:rPr>
        <w:t xml:space="preserve">) 2023/706 del Consiglio del 30 marzo </w:t>
      </w:r>
      <w:r>
        <w:rPr>
          <w:rFonts w:ascii="Times New Roman" w:hAnsi="Times New Roman"/>
        </w:rPr>
        <w:t xml:space="preserve">2023 che modifica il regolamento (UE) 2022/1369 per prorogare il periodo di applicazione delle misure di riduzione della domanda di gas e rafforzare la comunicazione e il monitoraggio della loro attuazione. </w:t>
      </w:r>
    </w:p>
  </w:footnote>
  <w:footnote w:id="14">
    <w:p w14:paraId="4B5C79F9" w14:textId="72EECA9A" w:rsidR="0067168F" w:rsidRPr="001613B0" w:rsidRDefault="0067168F"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sidR="00A22531">
        <w:rPr>
          <w:rFonts w:ascii="Times New Roman" w:hAnsi="Times New Roman"/>
        </w:rPr>
        <w:t> Dall</w:t>
      </w:r>
      <w:r w:rsidR="00E8249E">
        <w:rPr>
          <w:rFonts w:ascii="Times New Roman" w:hAnsi="Times New Roman"/>
        </w:rPr>
        <w:t>'</w:t>
      </w:r>
      <w:r w:rsidR="00A22531">
        <w:rPr>
          <w:rFonts w:ascii="Times New Roman" w:hAnsi="Times New Roman"/>
        </w:rPr>
        <w:t xml:space="preserve">agosto 2022 al gennaio </w:t>
      </w:r>
      <w:r>
        <w:rPr>
          <w:rFonts w:ascii="Times New Roman" w:hAnsi="Times New Roman"/>
        </w:rPr>
        <w:t>2023 l</w:t>
      </w:r>
      <w:r w:rsidR="00E8249E">
        <w:rPr>
          <w:rFonts w:ascii="Times New Roman" w:hAnsi="Times New Roman"/>
        </w:rPr>
        <w:t>'</w:t>
      </w:r>
      <w:r>
        <w:rPr>
          <w:rFonts w:ascii="Times New Roman" w:hAnsi="Times New Roman"/>
        </w:rPr>
        <w:t xml:space="preserve">UE ha ridotto la sua domanda di gas naturale del </w:t>
      </w:r>
      <w:r w:rsidR="00A22531">
        <w:rPr>
          <w:rFonts w:ascii="Times New Roman" w:hAnsi="Times New Roman"/>
        </w:rPr>
        <w:t>19,2 %, ossia di </w:t>
      </w:r>
      <w:r>
        <w:rPr>
          <w:rFonts w:ascii="Times New Roman" w:hAnsi="Times New Roman"/>
        </w:rPr>
        <w:t>41,5 miliardi di metri cubi, rispetto alla media dei cinque anni precedenti. Finora ha dunque superato il suo obiettivo del 15</w:t>
      </w:r>
      <w:r w:rsidR="00A22531">
        <w:rPr>
          <w:rFonts w:ascii="Times New Roman" w:hAnsi="Times New Roman"/>
        </w:rPr>
        <w:t xml:space="preserve"> %, che corrisponderebbe a 32,5 </w:t>
      </w:r>
      <w:r>
        <w:rPr>
          <w:rFonts w:ascii="Times New Roman" w:hAnsi="Times New Roman"/>
        </w:rPr>
        <w:t>miliardi di metri cubi nello stesso periodo. Inoltre, ha già conseguito più del 90 % del suo obiettivo generale, ossia una r</w:t>
      </w:r>
      <w:r w:rsidR="00A22531">
        <w:rPr>
          <w:rFonts w:ascii="Times New Roman" w:hAnsi="Times New Roman"/>
        </w:rPr>
        <w:t xml:space="preserve">iduzione di poco superiore a 45 </w:t>
      </w:r>
      <w:r>
        <w:rPr>
          <w:rFonts w:ascii="Times New Roman" w:hAnsi="Times New Roman"/>
        </w:rPr>
        <w:t>miliardi di metri cubi per l</w:t>
      </w:r>
      <w:r w:rsidR="00E8249E">
        <w:rPr>
          <w:rFonts w:ascii="Times New Roman" w:hAnsi="Times New Roman"/>
        </w:rPr>
        <w:t>'</w:t>
      </w:r>
      <w:r>
        <w:rPr>
          <w:rFonts w:ascii="Times New Roman" w:hAnsi="Times New Roman"/>
        </w:rPr>
        <w:t>int</w:t>
      </w:r>
      <w:r w:rsidR="00A22531">
        <w:rPr>
          <w:rFonts w:ascii="Times New Roman" w:hAnsi="Times New Roman"/>
        </w:rPr>
        <w:t xml:space="preserve">ero periodo compreso tra agosto 2022 e marzo </w:t>
      </w:r>
      <w:r>
        <w:rPr>
          <w:rFonts w:ascii="Times New Roman" w:hAnsi="Times New Roman"/>
        </w:rPr>
        <w:t>2023.</w:t>
      </w:r>
    </w:p>
  </w:footnote>
  <w:footnote w:id="15">
    <w:p w14:paraId="35C01D46" w14:textId="77777777" w:rsidR="6E35EF87" w:rsidRPr="001613B0" w:rsidRDefault="6E35EF87" w:rsidP="001613B0">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Alcuni Stati membri, ossia Spagna, Italia, Portogallo e Slovenia, hanno introdotto o valutano di introdurre una procedura di gara competitiva per conseguire la riduzione della domanda di energia elettrica.</w:t>
      </w:r>
    </w:p>
  </w:footnote>
  <w:footnote w:id="16">
    <w:p w14:paraId="262FE73D" w14:textId="77777777" w:rsidR="0055297A" w:rsidRPr="001613B0"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Croazia, Cipro, Polonia e Portogallo hanno dichiarato i livelli più bassi di riduzione del consumo di energia elettrica registrati.</w:t>
      </w:r>
    </w:p>
  </w:footnote>
  <w:footnote w:id="17">
    <w:p w14:paraId="16C6DCB7" w14:textId="195F5B6B" w:rsidR="0055297A" w:rsidRPr="001613B0" w:rsidRDefault="0055297A" w:rsidP="001613B0">
      <w:pPr>
        <w:pStyle w:val="FootnoteText"/>
        <w:jc w:val="both"/>
        <w:rPr>
          <w:rFonts w:ascii="Times New Roman" w:eastAsia="Times New Roman" w:hAnsi="Times New Roman" w:cs="Times New Roman"/>
        </w:rPr>
      </w:pPr>
      <w:r>
        <w:rPr>
          <w:rStyle w:val="FootnoteReference"/>
          <w:rFonts w:ascii="Times New Roman" w:eastAsia="Times New Roman" w:hAnsi="Times New Roman" w:cs="Times New Roman"/>
        </w:rPr>
        <w:footnoteRef/>
      </w:r>
      <w:r>
        <w:rPr>
          <w:rFonts w:ascii="Times New Roman" w:hAnsi="Times New Roman"/>
        </w:rPr>
        <w:t xml:space="preserve"> In base alla </w:t>
      </w:r>
      <w:r w:rsidR="00A22531">
        <w:rPr>
          <w:rFonts w:ascii="Times New Roman" w:hAnsi="Times New Roman"/>
        </w:rPr>
        <w:t>definizione di cui all</w:t>
      </w:r>
      <w:r w:rsidR="00E8249E">
        <w:rPr>
          <w:rFonts w:ascii="Times New Roman" w:hAnsi="Times New Roman"/>
        </w:rPr>
        <w:t>'</w:t>
      </w:r>
      <w:r w:rsidR="00A22531">
        <w:rPr>
          <w:rFonts w:ascii="Times New Roman" w:hAnsi="Times New Roman"/>
        </w:rPr>
        <w:t xml:space="preserve">articolo 2, punto </w:t>
      </w:r>
      <w:r>
        <w:rPr>
          <w:rFonts w:ascii="Times New Roman" w:hAnsi="Times New Roman"/>
        </w:rPr>
        <w:t>3, del regolamento del Consiglio. Germania, Grecia, Spagna, Francia e Finlandia hanno dichiarato i livelli più alti di riduzione del consumo di energia elettrica registrati. Nel calcolare le riduzioni del consumo lordo di energia elettrica, sembra che alcuni Stati membri comunican</w:t>
      </w:r>
      <w:r w:rsidR="00A22531">
        <w:rPr>
          <w:rFonts w:ascii="Times New Roman" w:hAnsi="Times New Roman"/>
        </w:rPr>
        <w:t>ti abbiano applicato l</w:t>
      </w:r>
      <w:r w:rsidR="00E8249E">
        <w:rPr>
          <w:rFonts w:ascii="Times New Roman" w:hAnsi="Times New Roman"/>
        </w:rPr>
        <w:t>'</w:t>
      </w:r>
      <w:r w:rsidR="00A22531">
        <w:rPr>
          <w:rFonts w:ascii="Times New Roman" w:hAnsi="Times New Roman"/>
        </w:rPr>
        <w:t xml:space="preserve">articolo 3, paragrafo </w:t>
      </w:r>
      <w:r>
        <w:rPr>
          <w:rFonts w:ascii="Times New Roman" w:hAnsi="Times New Roman"/>
        </w:rPr>
        <w:t>2, del regolamento del Consigl</w:t>
      </w:r>
      <w:r w:rsidR="00A22531">
        <w:rPr>
          <w:rFonts w:ascii="Times New Roman" w:hAnsi="Times New Roman"/>
        </w:rPr>
        <w:t>io, mentre altri no. L</w:t>
      </w:r>
      <w:r w:rsidR="00E8249E">
        <w:rPr>
          <w:rFonts w:ascii="Times New Roman" w:hAnsi="Times New Roman"/>
        </w:rPr>
        <w:t>'</w:t>
      </w:r>
      <w:r w:rsidR="00A22531">
        <w:rPr>
          <w:rFonts w:ascii="Times New Roman" w:hAnsi="Times New Roman"/>
        </w:rPr>
        <w:t xml:space="preserve">articolo 3, paragrafo </w:t>
      </w:r>
      <w:r>
        <w:rPr>
          <w:rFonts w:ascii="Times New Roman" w:hAnsi="Times New Roman"/>
        </w:rPr>
        <w:t>2, offre agli Stati membri la possibilità di tenere conto nei rispettivi calcoli delle riduzioni del consumo lordo di energia elettrica, dell</w:t>
      </w:r>
      <w:r w:rsidR="00E8249E">
        <w:rPr>
          <w:rFonts w:ascii="Times New Roman" w:hAnsi="Times New Roman"/>
        </w:rPr>
        <w:t>'</w:t>
      </w:r>
      <w:r>
        <w:rPr>
          <w:rFonts w:ascii="Times New Roman" w:hAnsi="Times New Roman"/>
        </w:rPr>
        <w:t>aumento del consumo lordo di energia elettrica, derivante dal conseguimento degli obiettivi di riduzione della domanda di gas e dagli sforzi generali di elettrificazione per eliminare gradualmente i combustibili fossili. Di conseguenza eventuali confronti di tali calcoli tra vari Stati membri dovrebbero essere effettuati con cautela.</w:t>
      </w:r>
    </w:p>
  </w:footnote>
  <w:footnote w:id="18">
    <w:p w14:paraId="660E0BE1" w14:textId="6CA2B958" w:rsidR="0055297A" w:rsidRPr="00A22531" w:rsidRDefault="0055297A" w:rsidP="001613B0">
      <w:pPr>
        <w:pStyle w:val="FootnoteText"/>
        <w:jc w:val="both"/>
        <w:rPr>
          <w:rFonts w:ascii="Times New Roman" w:hAnsi="Times New Roman" w:cs="Times New Roman"/>
        </w:rPr>
      </w:pPr>
      <w:r>
        <w:rPr>
          <w:rStyle w:val="FootnoteReference"/>
          <w:rFonts w:ascii="Times New Roman" w:eastAsia="Times New Roman" w:hAnsi="Times New Roman" w:cs="Times New Roman"/>
        </w:rPr>
        <w:footnoteRef/>
      </w:r>
      <w:r w:rsidR="00A22531">
        <w:rPr>
          <w:rFonts w:ascii="Times New Roman" w:hAnsi="Times New Roman"/>
        </w:rPr>
        <w:t> </w:t>
      </w:r>
      <w:hyperlink r:id="rId2" w:history="1">
        <w:r w:rsidRPr="00A22531">
          <w:rPr>
            <w:rStyle w:val="Hyperlink"/>
            <w:rFonts w:ascii="Times New Roman" w:hAnsi="Times New Roman" w:cs="Times New Roman"/>
          </w:rPr>
          <w:t>https://www.acer.europa.eu/news-and-events/news/acer-submitted-framework-guideline-demand-response-european-commission-first-step-towards-binding-eu-rules</w:t>
        </w:r>
      </w:hyperlink>
      <w:r w:rsidRPr="00A22531">
        <w:rPr>
          <w:rFonts w:ascii="Times New Roman" w:hAnsi="Times New Roman" w:cs="Times New Roman"/>
        </w:rPr>
        <w:t xml:space="preserve"> (solo in EN). </w:t>
      </w:r>
    </w:p>
  </w:footnote>
  <w:footnote w:id="19">
    <w:p w14:paraId="43EAA7CE" w14:textId="778DC8AC" w:rsidR="0055297A" w:rsidRPr="00A22531" w:rsidRDefault="0055297A" w:rsidP="001613B0">
      <w:pPr>
        <w:spacing w:after="0" w:line="240" w:lineRule="auto"/>
        <w:jc w:val="both"/>
        <w:rPr>
          <w:rFonts w:ascii="Times New Roman" w:hAnsi="Times New Roman" w:cs="Times New Roman"/>
          <w:sz w:val="20"/>
        </w:rPr>
      </w:pPr>
      <w:r w:rsidRPr="00A22531">
        <w:rPr>
          <w:rStyle w:val="FootnoteReference"/>
          <w:rFonts w:ascii="Times New Roman" w:eastAsia="Times New Roman" w:hAnsi="Times New Roman" w:cs="Times New Roman"/>
          <w:sz w:val="20"/>
        </w:rPr>
        <w:footnoteRef/>
      </w:r>
      <w:r w:rsidRPr="00A22531">
        <w:rPr>
          <w:rStyle w:val="FootnoteReference"/>
          <w:rFonts w:ascii="Times New Roman" w:hAnsi="Times New Roman" w:cs="Times New Roman"/>
          <w:sz w:val="20"/>
        </w:rPr>
        <w:t> </w:t>
      </w:r>
      <w:r w:rsidRPr="00A22531">
        <w:rPr>
          <w:rFonts w:ascii="Times New Roman" w:hAnsi="Times New Roman" w:cs="Times New Roman"/>
          <w:sz w:val="20"/>
        </w:rPr>
        <w:t>I seguenti Stati membri hanno indicato un tetto inferiore a 180 EUR/MWh per almeno una tecnologia: Belgio, Bulgaria, Cechia, Germania, Irlanda, Grecia, Francia, Italia, Cipro, Lussemburgo, Paesi Bassi, Austria, Polonia, Slovacchia, Finlandia.</w:t>
      </w:r>
      <w:r w:rsidR="00E8249E">
        <w:rPr>
          <w:rFonts w:ascii="Times New Roman" w:hAnsi="Times New Roman" w:cs="Times New Roman"/>
          <w:sz w:val="20"/>
        </w:rPr>
        <w:t xml:space="preserve"> </w:t>
      </w:r>
      <w:r w:rsidRPr="00A22531">
        <w:rPr>
          <w:rFonts w:ascii="Times New Roman" w:hAnsi="Times New Roman" w:cs="Times New Roman"/>
          <w:sz w:val="20"/>
        </w:rPr>
        <w:t xml:space="preserve">La Spagna ha introdotto già nel settembre 2021 un tetto sui ricavi di mercato per determinate tecnologie. La misura, applicabile fino alla fine del 2023, prevede attualmente un tetto </w:t>
      </w:r>
      <w:r w:rsidR="00A22531">
        <w:rPr>
          <w:rFonts w:ascii="Times New Roman" w:hAnsi="Times New Roman" w:cs="Times New Roman"/>
          <w:sz w:val="20"/>
        </w:rPr>
        <w:t>di circa </w:t>
      </w:r>
      <w:r w:rsidRPr="00A22531">
        <w:rPr>
          <w:rFonts w:ascii="Times New Roman" w:hAnsi="Times New Roman" w:cs="Times New Roman"/>
          <w:sz w:val="20"/>
        </w:rPr>
        <w:t>67 EUR/MWh. Nel giugno 2022, Spagna e Portogallo hanno attuato un meccanismo inteso a ridurre i prezzi dell</w:t>
      </w:r>
      <w:r w:rsidR="00E8249E">
        <w:rPr>
          <w:rFonts w:ascii="Times New Roman" w:hAnsi="Times New Roman" w:cs="Times New Roman"/>
          <w:sz w:val="20"/>
        </w:rPr>
        <w:t>'</w:t>
      </w:r>
      <w:r w:rsidRPr="00A22531">
        <w:rPr>
          <w:rFonts w:ascii="Times New Roman" w:hAnsi="Times New Roman" w:cs="Times New Roman"/>
          <w:sz w:val="20"/>
        </w:rPr>
        <w:t>energia elettrica all</w:t>
      </w:r>
      <w:r w:rsidR="00E8249E">
        <w:rPr>
          <w:rFonts w:ascii="Times New Roman" w:hAnsi="Times New Roman" w:cs="Times New Roman"/>
          <w:sz w:val="20"/>
        </w:rPr>
        <w:t>'</w:t>
      </w:r>
      <w:r w:rsidRPr="00A22531">
        <w:rPr>
          <w:rFonts w:ascii="Times New Roman" w:hAnsi="Times New Roman" w:cs="Times New Roman"/>
          <w:sz w:val="20"/>
        </w:rPr>
        <w:t>ingrosso sul mercato iberico, che diminuisce l</w:t>
      </w:r>
      <w:r w:rsidR="00E8249E">
        <w:rPr>
          <w:rFonts w:ascii="Times New Roman" w:hAnsi="Times New Roman" w:cs="Times New Roman"/>
          <w:sz w:val="20"/>
        </w:rPr>
        <w:t>'</w:t>
      </w:r>
      <w:r w:rsidRPr="00A22531">
        <w:rPr>
          <w:rFonts w:ascii="Times New Roman" w:hAnsi="Times New Roman" w:cs="Times New Roman"/>
          <w:sz w:val="20"/>
        </w:rPr>
        <w:t>impatto del tetto sui ricavi di mercato. Il meccanismo è stato approva</w:t>
      </w:r>
      <w:r w:rsidR="00A22531">
        <w:rPr>
          <w:rFonts w:ascii="Times New Roman" w:hAnsi="Times New Roman" w:cs="Times New Roman"/>
          <w:sz w:val="20"/>
        </w:rPr>
        <w:t>to l</w:t>
      </w:r>
      <w:r w:rsidR="00E8249E">
        <w:rPr>
          <w:rFonts w:ascii="Times New Roman" w:hAnsi="Times New Roman" w:cs="Times New Roman"/>
          <w:sz w:val="20"/>
        </w:rPr>
        <w:t>'</w:t>
      </w:r>
      <w:r w:rsidR="00A22531">
        <w:rPr>
          <w:rFonts w:ascii="Times New Roman" w:hAnsi="Times New Roman" w:cs="Times New Roman"/>
          <w:sz w:val="20"/>
        </w:rPr>
        <w:t xml:space="preserve">8 giugno </w:t>
      </w:r>
      <w:r w:rsidRPr="00A22531">
        <w:rPr>
          <w:rFonts w:ascii="Times New Roman" w:hAnsi="Times New Roman" w:cs="Times New Roman"/>
          <w:sz w:val="20"/>
        </w:rPr>
        <w:t>2022 dalla Commissione con i numeri SA. 102454 e SA. 102569, ed è stato recentemente prorogato fino alla fine del 2023 con i numeri SA. 106095 e SA. 106096.</w:t>
      </w:r>
      <w:r w:rsidRPr="00A22531">
        <w:rPr>
          <w:rFonts w:ascii="Times New Roman" w:hAnsi="Times New Roman" w:cs="Times New Roman"/>
          <w:color w:val="2B579A"/>
          <w:sz w:val="20"/>
          <w:shd w:val="clear" w:color="auto" w:fill="E6E6E6"/>
        </w:rPr>
        <w:t xml:space="preserve"> </w:t>
      </w:r>
    </w:p>
  </w:footnote>
  <w:footnote w:id="20">
    <w:p w14:paraId="1C346759" w14:textId="1BA13FB9" w:rsidR="00A06C6A" w:rsidRPr="00A22531" w:rsidRDefault="00A06C6A" w:rsidP="00A06C6A">
      <w:pPr>
        <w:spacing w:after="0" w:line="240" w:lineRule="auto"/>
        <w:jc w:val="both"/>
        <w:rPr>
          <w:rFonts w:ascii="Times New Roman" w:hAnsi="Times New Roman" w:cs="Times New Roman"/>
          <w:sz w:val="20"/>
        </w:rPr>
      </w:pPr>
      <w:r w:rsidRPr="00A22531">
        <w:rPr>
          <w:rStyle w:val="FootnoteReference"/>
          <w:rFonts w:ascii="Times New Roman" w:eastAsia="Times New Roman" w:hAnsi="Times New Roman" w:cs="Times New Roman"/>
          <w:sz w:val="20"/>
        </w:rPr>
        <w:footnoteRef/>
      </w:r>
      <w:r w:rsidRPr="00A22531">
        <w:rPr>
          <w:rStyle w:val="FootnoteReference"/>
          <w:rFonts w:ascii="Times New Roman" w:hAnsi="Times New Roman" w:cs="Times New Roman"/>
          <w:sz w:val="20"/>
        </w:rPr>
        <w:t> </w:t>
      </w:r>
      <w:r w:rsidRPr="00A22531">
        <w:rPr>
          <w:rFonts w:ascii="Times New Roman" w:hAnsi="Times New Roman" w:cs="Times New Roman"/>
          <w:sz w:val="20"/>
        </w:rPr>
        <w:t>I seguenti Stati membri hanno iniziato ad applicare il tetto sui ricavi inframarginali prima del 1° dicembre 2022: Belgio (1/8/2022), Cipro (24/6/2022), Francia (1/7/2022), Grecia (8/7/2022), Italia (febbraio 2022 per alcuni produttori di energia rinnovabil</w:t>
      </w:r>
      <w:r w:rsidR="00A22531">
        <w:rPr>
          <w:rFonts w:ascii="Times New Roman" w:hAnsi="Times New Roman" w:cs="Times New Roman"/>
          <w:sz w:val="20"/>
        </w:rPr>
        <w:t xml:space="preserve">e), Portogallo e Spagna (giugno </w:t>
      </w:r>
      <w:r w:rsidRPr="00A22531">
        <w:rPr>
          <w:rFonts w:ascii="Times New Roman" w:hAnsi="Times New Roman" w:cs="Times New Roman"/>
          <w:sz w:val="20"/>
        </w:rPr>
        <w:t>2022).</w:t>
      </w:r>
    </w:p>
  </w:footnote>
  <w:footnote w:id="21">
    <w:p w14:paraId="216D8F2F" w14:textId="7922EFB8" w:rsidR="0055297A" w:rsidRPr="001613B0" w:rsidRDefault="0055297A" w:rsidP="001613B0">
      <w:pPr>
        <w:pStyle w:val="FootnoteText"/>
        <w:jc w:val="both"/>
        <w:rPr>
          <w:rFonts w:ascii="Times New Roman" w:hAnsi="Times New Roman" w:cs="Times New Roman"/>
        </w:rPr>
      </w:pPr>
      <w:r w:rsidRPr="00A22531">
        <w:rPr>
          <w:rStyle w:val="FootnoteReference"/>
          <w:rFonts w:ascii="Times New Roman" w:eastAsia="Times New Roman" w:hAnsi="Times New Roman" w:cs="Times New Roman"/>
        </w:rPr>
        <w:footnoteRef/>
      </w:r>
      <w:r w:rsidRPr="00A22531">
        <w:rPr>
          <w:rFonts w:ascii="Times New Roman" w:hAnsi="Times New Roman" w:cs="Times New Roman"/>
        </w:rPr>
        <w:t> Cechia, Spagna, Francia, Lussemburgo, Austria, Polonia, Portogallo, Slovenia e Finlandia applicheranno il tetto sui ricavi inframargina</w:t>
      </w:r>
      <w:r w:rsidR="00A22531">
        <w:rPr>
          <w:rFonts w:ascii="Times New Roman" w:hAnsi="Times New Roman" w:cs="Times New Roman"/>
        </w:rPr>
        <w:t xml:space="preserve">li o misure analoghe fino al 31 dicembre </w:t>
      </w:r>
      <w:r w:rsidRPr="00A22531">
        <w:rPr>
          <w:rFonts w:ascii="Times New Roman" w:hAnsi="Times New Roman" w:cs="Times New Roman"/>
        </w:rPr>
        <w:t>2023. A Cipro la conclusione della misura dipenderà da una decisione adottata dall</w:t>
      </w:r>
      <w:r w:rsidR="00E8249E">
        <w:rPr>
          <w:rFonts w:ascii="Times New Roman" w:hAnsi="Times New Roman" w:cs="Times New Roman"/>
        </w:rPr>
        <w:t>'</w:t>
      </w:r>
      <w:r w:rsidRPr="00A22531">
        <w:rPr>
          <w:rFonts w:ascii="Times New Roman" w:hAnsi="Times New Roman" w:cs="Times New Roman"/>
        </w:rPr>
        <w:t>organismo di regolazione, mentre in Slovacchia la misu</w:t>
      </w:r>
      <w:r w:rsidR="00A22531">
        <w:rPr>
          <w:rFonts w:ascii="Times New Roman" w:hAnsi="Times New Roman" w:cs="Times New Roman"/>
        </w:rPr>
        <w:t xml:space="preserve">ra rimarrà in vigore fino al 31 dicembre </w:t>
      </w:r>
      <w:r w:rsidRPr="00A22531">
        <w:rPr>
          <w:rFonts w:ascii="Times New Roman" w:hAnsi="Times New Roman" w:cs="Times New Roman"/>
        </w:rPr>
        <w:t>2024. Inoltre, in Germania il periodo di applicazione</w:t>
      </w:r>
      <w:r w:rsidR="00A22531">
        <w:rPr>
          <w:rFonts w:ascii="Times New Roman" w:hAnsi="Times New Roman" w:cs="Times New Roman"/>
        </w:rPr>
        <w:t xml:space="preserve"> potrà essere prorogato fino al 30 </w:t>
      </w:r>
      <w:r w:rsidRPr="00A22531">
        <w:rPr>
          <w:rFonts w:ascii="Times New Roman" w:hAnsi="Times New Roman" w:cs="Times New Roman"/>
        </w:rPr>
        <w:t>aprile 2024.</w:t>
      </w:r>
    </w:p>
  </w:footnote>
  <w:footnote w:id="22">
    <w:p w14:paraId="031ACD5A" w14:textId="1C9F1071" w:rsidR="0055297A" w:rsidRPr="001613B0" w:rsidRDefault="0055297A" w:rsidP="001613B0">
      <w:pPr>
        <w:pStyle w:val="FootnoteText"/>
        <w:jc w:val="both"/>
        <w:rPr>
          <w:rFonts w:ascii="Times New Roman" w:eastAsia="Times New Roman" w:hAnsi="Times New Roman" w:cs="Times New Roman"/>
          <w:color w:val="333333"/>
        </w:rPr>
      </w:pPr>
      <w:r>
        <w:rPr>
          <w:rStyle w:val="FootnoteReference"/>
          <w:rFonts w:ascii="Times New Roman" w:eastAsia="Times New Roman" w:hAnsi="Times New Roman" w:cs="Times New Roman"/>
        </w:rPr>
        <w:footnoteRef/>
      </w:r>
      <w:r>
        <w:rPr>
          <w:rFonts w:ascii="Times New Roman" w:hAnsi="Times New Roman"/>
          <w:color w:val="2B579A"/>
        </w:rPr>
        <w:t xml:space="preserve"> </w:t>
      </w:r>
      <w:r>
        <w:rPr>
          <w:rFonts w:ascii="Times New Roman" w:hAnsi="Times New Roman"/>
          <w:color w:val="333333"/>
        </w:rPr>
        <w:t>Per assicurare la sicurezza dell</w:t>
      </w:r>
      <w:r w:rsidR="00E8249E">
        <w:rPr>
          <w:rFonts w:ascii="Times New Roman" w:hAnsi="Times New Roman"/>
          <w:color w:val="333333"/>
        </w:rPr>
        <w:t>'</w:t>
      </w:r>
      <w:r w:rsidR="00A22531">
        <w:rPr>
          <w:rFonts w:ascii="Times New Roman" w:hAnsi="Times New Roman"/>
          <w:color w:val="333333"/>
        </w:rPr>
        <w:t>approvvigionamento, l</w:t>
      </w:r>
      <w:r w:rsidR="00E8249E">
        <w:rPr>
          <w:rFonts w:ascii="Times New Roman" w:hAnsi="Times New Roman"/>
          <w:color w:val="333333"/>
        </w:rPr>
        <w:t>'</w:t>
      </w:r>
      <w:r w:rsidR="00A22531">
        <w:rPr>
          <w:rFonts w:ascii="Times New Roman" w:hAnsi="Times New Roman"/>
          <w:color w:val="333333"/>
        </w:rPr>
        <w:t xml:space="preserve">articolo 8, paragrafo 1, lettera </w:t>
      </w:r>
      <w:r>
        <w:rPr>
          <w:rFonts w:ascii="Times New Roman" w:hAnsi="Times New Roman"/>
          <w:color w:val="333333"/>
        </w:rPr>
        <w:t>b), del regolamento del Consiglio consente agli Stati membri di fissare un tetto più elevato sui ricavi di mercato dei produttori che sarebbero altrimenti soggetti al tetto sui ricavi di mercato a livello dell</w:t>
      </w:r>
      <w:r w:rsidR="00E8249E">
        <w:rPr>
          <w:rFonts w:ascii="Times New Roman" w:hAnsi="Times New Roman"/>
          <w:color w:val="333333"/>
        </w:rPr>
        <w:t>'</w:t>
      </w:r>
      <w:r>
        <w:rPr>
          <w:rFonts w:ascii="Times New Roman" w:hAnsi="Times New Roman"/>
          <w:color w:val="333333"/>
        </w:rPr>
        <w:t>Unione, quando i loro costi di investimento e di esercizio sono superiori al tetto sui ricavi di mercato a livello dell</w:t>
      </w:r>
      <w:r w:rsidR="00E8249E">
        <w:rPr>
          <w:rFonts w:ascii="Times New Roman" w:hAnsi="Times New Roman"/>
          <w:color w:val="333333"/>
        </w:rPr>
        <w:t>'</w:t>
      </w:r>
      <w:r>
        <w:rPr>
          <w:rFonts w:ascii="Times New Roman" w:hAnsi="Times New Roman"/>
          <w:color w:val="333333"/>
        </w:rPr>
        <w:t>Unione. 13 Stati membri hanno integrato questa possibilità nell</w:t>
      </w:r>
      <w:r w:rsidR="00E8249E">
        <w:rPr>
          <w:rFonts w:ascii="Times New Roman" w:hAnsi="Times New Roman"/>
          <w:color w:val="333333"/>
        </w:rPr>
        <w:t>'</w:t>
      </w:r>
      <w:r>
        <w:rPr>
          <w:rFonts w:ascii="Times New Roman" w:hAnsi="Times New Roman"/>
          <w:color w:val="333333"/>
        </w:rPr>
        <w:t>attuazione nazionale del tetto sui ricavi inframarginali, in particolare per quanto concerne le centrali a lignite, biomassa e petrolio.</w:t>
      </w:r>
    </w:p>
  </w:footnote>
  <w:footnote w:id="23">
    <w:p w14:paraId="3644AFEA" w14:textId="77777777" w:rsidR="6E35EF87" w:rsidRPr="001613B0" w:rsidRDefault="6E35EF87" w:rsidP="001613B0">
      <w:pPr>
        <w:pStyle w:val="FootnoteText"/>
        <w:jc w:val="both"/>
        <w:rPr>
          <w:rFonts w:ascii="Times New Roman" w:eastAsia="Calibri" w:hAnsi="Times New Roman" w:cs="Times New Roman"/>
          <w:color w:val="1F497D" w:themeColor="text2"/>
        </w:rPr>
      </w:pPr>
      <w:r>
        <w:rPr>
          <w:rStyle w:val="FootnoteReference"/>
          <w:rFonts w:ascii="Times New Roman" w:hAnsi="Times New Roman" w:cs="Times New Roman"/>
        </w:rPr>
        <w:footnoteRef/>
      </w:r>
      <w:r>
        <w:rPr>
          <w:rFonts w:ascii="Times New Roman" w:hAnsi="Times New Roman"/>
        </w:rPr>
        <w:t> Sulla base delle informazioni trasmesse dagli Stati membri, relazioni delle autorità nazionali di regolazione e autovalutazione di misure da parte degli Stati membri.</w:t>
      </w:r>
    </w:p>
  </w:footnote>
  <w:footnote w:id="24">
    <w:p w14:paraId="041D8306" w14:textId="2A02A577" w:rsidR="0055297A" w:rsidRPr="001613B0" w:rsidRDefault="0055297A" w:rsidP="001613B0">
      <w:pPr>
        <w:spacing w:after="0" w:line="240" w:lineRule="auto"/>
        <w:jc w:val="both"/>
        <w:rPr>
          <w:rStyle w:val="Hyperlink"/>
          <w:rFonts w:ascii="Times New Roman" w:eastAsia="Roboto" w:hAnsi="Times New Roman" w:cs="Times New Roman"/>
          <w:b/>
          <w:sz w:val="20"/>
          <w:u w:val="none"/>
        </w:rPr>
      </w:pPr>
      <w:r>
        <w:rPr>
          <w:rStyle w:val="FootnoteReference"/>
          <w:rFonts w:ascii="Times New Roman" w:hAnsi="Times New Roman" w:cs="Times New Roman"/>
          <w:sz w:val="20"/>
        </w:rPr>
        <w:footnoteRef/>
      </w:r>
      <w:r>
        <w:rPr>
          <w:rFonts w:ascii="Times New Roman" w:hAnsi="Times New Roman"/>
          <w:sz w:val="20"/>
        </w:rPr>
        <w:t> Comunicazione della Commissione - Quadro temporaneo di crisi e transizione per misure di aiuto di Stato a sostegno dell</w:t>
      </w:r>
      <w:r w:rsidR="00E8249E">
        <w:rPr>
          <w:rFonts w:ascii="Times New Roman" w:hAnsi="Times New Roman"/>
          <w:sz w:val="20"/>
        </w:rPr>
        <w:t>'</w:t>
      </w:r>
      <w:r>
        <w:rPr>
          <w:rFonts w:ascii="Times New Roman" w:hAnsi="Times New Roman"/>
          <w:sz w:val="20"/>
        </w:rPr>
        <w:t>economia a seguito dell</w:t>
      </w:r>
      <w:r w:rsidR="00E8249E">
        <w:rPr>
          <w:rFonts w:ascii="Times New Roman" w:hAnsi="Times New Roman"/>
          <w:sz w:val="20"/>
        </w:rPr>
        <w:t>'</w:t>
      </w:r>
      <w:r>
        <w:rPr>
          <w:rFonts w:ascii="Times New Roman" w:hAnsi="Times New Roman"/>
          <w:sz w:val="20"/>
        </w:rPr>
        <w:t>aggressione della Russia contro l</w:t>
      </w:r>
      <w:r w:rsidR="00E8249E">
        <w:rPr>
          <w:rFonts w:ascii="Times New Roman" w:hAnsi="Times New Roman"/>
          <w:sz w:val="20"/>
        </w:rPr>
        <w:t>'</w:t>
      </w:r>
      <w:r>
        <w:rPr>
          <w:rFonts w:ascii="Times New Roman" w:hAnsi="Times New Roman"/>
          <w:sz w:val="20"/>
        </w:rPr>
        <w:t>Ucraina, 2023/C 101/03.</w:t>
      </w:r>
    </w:p>
  </w:footnote>
  <w:footnote w:id="25">
    <w:p w14:paraId="7B382D95" w14:textId="0DB1E89D"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SA.106377 TCTF - Paesi Bassi - Regime per la riduzione dei costi dell</w:t>
      </w:r>
      <w:r w:rsidR="00E8249E">
        <w:rPr>
          <w:rFonts w:ascii="Times New Roman" w:hAnsi="Times New Roman"/>
        </w:rPr>
        <w:t>'</w:t>
      </w:r>
      <w:r>
        <w:rPr>
          <w:rFonts w:ascii="Times New Roman" w:hAnsi="Times New Roman"/>
        </w:rPr>
        <w:t>energia.</w:t>
      </w:r>
    </w:p>
  </w:footnote>
  <w:footnote w:id="26">
    <w:p w14:paraId="35399402" w14:textId="06CBC510"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Il regime è stato approvato dalla Commissione in conformità delle norme in materia di aiuti di Stato, in linea con il quadro temporaneo di crisi e transizione. SA.104606 Quadro temporaneo di crisi e transizione - Germania - Contenimento temporaneo dei rincari del gas naturale, del riscaldamento e dell</w:t>
      </w:r>
      <w:r w:rsidR="00E8249E">
        <w:rPr>
          <w:rFonts w:ascii="Times New Roman" w:hAnsi="Times New Roman"/>
        </w:rPr>
        <w:t>'</w:t>
      </w:r>
      <w:r>
        <w:rPr>
          <w:rFonts w:ascii="Times New Roman" w:hAnsi="Times New Roman"/>
        </w:rPr>
        <w:t>energia elettrica (</w:t>
      </w:r>
      <w:hyperlink r:id="rId3" w:tgtFrame="_blank" w:history="1">
        <w:r w:rsidR="00E8249E">
          <w:rPr>
            <w:rFonts w:ascii="Times New Roman" w:hAnsi="Times New Roman"/>
          </w:rPr>
          <w:t>GU C 61 del </w:t>
        </w:r>
        <w:r>
          <w:rPr>
            <w:rFonts w:ascii="Times New Roman" w:hAnsi="Times New Roman"/>
          </w:rPr>
          <w:t>17.2.2023</w:t>
        </w:r>
      </w:hyperlink>
      <w:r>
        <w:rPr>
          <w:rFonts w:ascii="Times New Roman" w:hAnsi="Times New Roman"/>
        </w:rPr>
        <w:t>).</w:t>
      </w:r>
    </w:p>
  </w:footnote>
  <w:footnote w:id="27">
    <w:p w14:paraId="7CEFD356" w14:textId="6D543A97" w:rsidR="0055297A" w:rsidRPr="001613B0" w:rsidRDefault="0055297A" w:rsidP="001613B0">
      <w:pPr>
        <w:pStyle w:val="FootnoteText"/>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00E8249E">
        <w:rPr>
          <w:rFonts w:ascii="Times New Roman" w:hAnsi="Times New Roman"/>
        </w:rPr>
        <w:t>"</w:t>
      </w:r>
      <w:r>
        <w:rPr>
          <w:rFonts w:ascii="Times New Roman" w:hAnsi="Times New Roman"/>
          <w:i/>
        </w:rPr>
        <w:t>Gli Stati membri dovrebbero eliminare gradualmente le misure di sostegno energetico, iniziando da quelle meno mirate. Qualora fosse necessaria una proroga delle misure di sostegno a causa di nuove pressioni nel settore dell</w:t>
      </w:r>
      <w:r w:rsidR="00E8249E">
        <w:rPr>
          <w:rFonts w:ascii="Times New Roman" w:hAnsi="Times New Roman"/>
          <w:i/>
        </w:rPr>
        <w:t>'</w:t>
      </w:r>
      <w:r>
        <w:rPr>
          <w:rFonts w:ascii="Times New Roman" w:hAnsi="Times New Roman"/>
          <w:i/>
        </w:rPr>
        <w:t>energia, gli Stati membri dovrebbero far sì che le loro misure siano molto più mirate rispetto al passato, evitando di fornire un sostegno generalizzato e tutelando solo coloro che ne hanno bisogno, ossia le famiglie e le imprese vulnerabili</w:t>
      </w:r>
      <w:r w:rsidR="00E8249E">
        <w:rPr>
          <w:rFonts w:ascii="Times New Roman" w:hAnsi="Times New Roman"/>
        </w:rPr>
        <w:t>"</w:t>
      </w:r>
      <w:r>
        <w:rPr>
          <w:rFonts w:ascii="Times New Roman" w:hAnsi="Times New Roman"/>
        </w:rPr>
        <w:t>, COM(2023) 141 Orientamenti di politica di bilancio per 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6781" w14:textId="77777777" w:rsidR="00D77ECA" w:rsidRPr="00D77ECA" w:rsidRDefault="00D77ECA" w:rsidP="00D77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2D4F" w14:textId="77777777" w:rsidR="00D77ECA" w:rsidRPr="00D77ECA" w:rsidRDefault="00D77ECA" w:rsidP="00D77EC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35F4" w14:textId="77777777" w:rsidR="00D77ECA" w:rsidRPr="00D77ECA" w:rsidRDefault="00D77ECA" w:rsidP="00D77EC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545A34E-01F5-4729-B4A2-002F026DE660"/>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l riesame degli interventi di emergenza per far fronte ai prezzi elevati dell'energia in conformità del regolamento (UE) 2022/1854 del Consiglio"/>
    <w:docVar w:name="LW_TYPE.DOC.CP" w:val="RELAZIONE DELLA COMMISSIONE AL PARLAMENTO EUROPEO E AL CONSIGLIO"/>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433E"/>
    <w:rsid w:val="00055C31"/>
    <w:rsid w:val="00057203"/>
    <w:rsid w:val="000599B6"/>
    <w:rsid w:val="00063497"/>
    <w:rsid w:val="000646EB"/>
    <w:rsid w:val="00064A4C"/>
    <w:rsid w:val="00065789"/>
    <w:rsid w:val="00065F08"/>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4D7D"/>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3FE2"/>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7341"/>
    <w:rsid w:val="00320F76"/>
    <w:rsid w:val="0032177D"/>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298C"/>
    <w:rsid w:val="005632B4"/>
    <w:rsid w:val="00564BA9"/>
    <w:rsid w:val="00566877"/>
    <w:rsid w:val="005669BA"/>
    <w:rsid w:val="00567FF5"/>
    <w:rsid w:val="00570063"/>
    <w:rsid w:val="00570530"/>
    <w:rsid w:val="0057056A"/>
    <w:rsid w:val="00574759"/>
    <w:rsid w:val="005755F2"/>
    <w:rsid w:val="00581074"/>
    <w:rsid w:val="00581889"/>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0FA7"/>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47D89"/>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79"/>
    <w:rsid w:val="006E5AEE"/>
    <w:rsid w:val="006E5D65"/>
    <w:rsid w:val="006E63CA"/>
    <w:rsid w:val="006E65D0"/>
    <w:rsid w:val="006E7DF3"/>
    <w:rsid w:val="006F2D04"/>
    <w:rsid w:val="006F2DB1"/>
    <w:rsid w:val="006F45BA"/>
    <w:rsid w:val="006F51FE"/>
    <w:rsid w:val="006F695C"/>
    <w:rsid w:val="00700D36"/>
    <w:rsid w:val="0070497F"/>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53DC"/>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832"/>
    <w:rsid w:val="00831F33"/>
    <w:rsid w:val="008325CC"/>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6D5C"/>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2531"/>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3181"/>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46FD"/>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8EC"/>
    <w:rsid w:val="00CB2E65"/>
    <w:rsid w:val="00CB311A"/>
    <w:rsid w:val="00CB6B9C"/>
    <w:rsid w:val="00CB6D51"/>
    <w:rsid w:val="00CC07A3"/>
    <w:rsid w:val="00CC1279"/>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77ECA"/>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DD"/>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249E"/>
    <w:rsid w:val="00E86268"/>
    <w:rsid w:val="00E915F3"/>
    <w:rsid w:val="00E91CCE"/>
    <w:rsid w:val="00E92E14"/>
    <w:rsid w:val="00E93028"/>
    <w:rsid w:val="00E931ED"/>
    <w:rsid w:val="00E95094"/>
    <w:rsid w:val="00EA18E2"/>
    <w:rsid w:val="00EA4768"/>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27D8"/>
    <w:rsid w:val="00F158CC"/>
    <w:rsid w:val="00F162F7"/>
    <w:rsid w:val="00F17B74"/>
    <w:rsid w:val="00F21321"/>
    <w:rsid w:val="00F23C0E"/>
    <w:rsid w:val="00F24E17"/>
    <w:rsid w:val="00F253D8"/>
    <w:rsid w:val="00F25790"/>
    <w:rsid w:val="00F25CF3"/>
    <w:rsid w:val="00F263C8"/>
    <w:rsid w:val="00F272E5"/>
    <w:rsid w:val="00F27DB9"/>
    <w:rsid w:val="00F27EDA"/>
    <w:rsid w:val="00F30745"/>
    <w:rsid w:val="00F308B4"/>
    <w:rsid w:val="00F31E2E"/>
    <w:rsid w:val="00F3291B"/>
    <w:rsid w:val="00F32EA8"/>
    <w:rsid w:val="00F344D9"/>
    <w:rsid w:val="00F34524"/>
    <w:rsid w:val="00F3762D"/>
    <w:rsid w:val="00F430DA"/>
    <w:rsid w:val="00F43761"/>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IT: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IT/AUTO/?uri=celex: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3.xml><?xml version="1.0" encoding="utf-8"?>
<ds:datastoreItem xmlns:ds="http://schemas.openxmlformats.org/officeDocument/2006/customXml" ds:itemID="{423142AE-6704-46D7-8A91-D1B1EC2336FF}">
  <ds:schemaRefs>
    <ds:schemaRef ds:uri="http://purl.org/dc/elements/1.1/"/>
    <ds:schemaRef ds:uri="http://schemas.microsoft.com/office/2006/metadata/properties"/>
    <ds:schemaRef ds:uri="419a7f5a-1e06-4dec-8b14-fbcae2d04a1f"/>
    <ds:schemaRef ds:uri="http://purl.org/dc/terms/"/>
    <ds:schemaRef ds:uri="http://schemas.microsoft.com/office/infopath/2007/PartnerControls"/>
    <ds:schemaRef ds:uri="http://schemas.microsoft.com/office/2006/documentManagement/types"/>
    <ds:schemaRef ds:uri="41f94065-dc50-4e1d-8628-34124a5a20ee"/>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54771C-DEE8-419E-94B6-48CD9512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20</Pages>
  <Words>6517</Words>
  <Characters>38390</Characters>
  <Application>Microsoft Office Word</Application>
  <DocSecurity>0</DocSecurity>
  <Lines>533</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58</cp:revision>
  <cp:lastPrinted>2018-05-26T09:43:00Z</cp:lastPrinted>
  <dcterms:created xsi:type="dcterms:W3CDTF">2023-05-30T11:43:00Z</dcterms:created>
  <dcterms:modified xsi:type="dcterms:W3CDTF">2023-06-16T15:21:00Z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