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F33231" w14:textId="590FCC8C" w:rsidR="00894F53" w:rsidRDefault="004464EF" w:rsidP="004464EF">
      <w:pPr>
        <w:pStyle w:val="Pagedecouverture"/>
        <w:rPr>
          <w:noProof/>
        </w:rPr>
      </w:pPr>
      <w:bookmarkStart w:id="0" w:name="_Toc155653106"/>
      <w:bookmarkStart w:id="1" w:name="LW_BM_COVERPAGE"/>
      <w:r>
        <w:rPr>
          <w:noProof/>
        </w:rPr>
        <w:pict w14:anchorId="29D35B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E69B28FD-F5CB-45A8-B2D5-6618349B6A74" style="width:455.25pt;height:324pt">
            <v:imagedata r:id="rId11" o:title=""/>
          </v:shape>
        </w:pict>
      </w:r>
    </w:p>
    <w:bookmarkEnd w:id="1"/>
    <w:p w14:paraId="6C57CBD1" w14:textId="63DB8D5D" w:rsidR="00520D09" w:rsidRPr="00520D09" w:rsidRDefault="00520D09" w:rsidP="00181CD8">
      <w:pPr>
        <w:pStyle w:val="Pagedecouverture"/>
        <w:rPr>
          <w:noProof/>
        </w:rPr>
        <w:sectPr w:rsidR="00520D09" w:rsidRPr="00520D09" w:rsidSect="004464EF">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0"/>
          <w:cols w:space="720"/>
          <w:docGrid w:linePitch="360"/>
        </w:sectPr>
      </w:pPr>
    </w:p>
    <w:p w14:paraId="67AA0354" w14:textId="004EA7F4" w:rsidR="00A52363" w:rsidRPr="00A52363" w:rsidRDefault="00A52363" w:rsidP="00A52363">
      <w:pPr>
        <w:pStyle w:val="Typedudocument"/>
        <w:rPr>
          <w:noProof/>
        </w:rPr>
      </w:pPr>
      <w:bookmarkStart w:id="2" w:name="_Toc159792195"/>
      <w:bookmarkStart w:id="3" w:name="_Toc155653035"/>
      <w:bookmarkStart w:id="4" w:name="_Toc155653107"/>
      <w:bookmarkStart w:id="5" w:name="_GoBack"/>
      <w:bookmarkEnd w:id="0"/>
      <w:bookmarkEnd w:id="5"/>
      <w:r w:rsidRPr="00A52363">
        <w:rPr>
          <w:noProof/>
        </w:rPr>
        <w:lastRenderedPageBreak/>
        <w:t>COMUNICAZIONE DELLA COMMISSIONE AL PARLAMENTO EUROPEO, AL CONSIGLIO, AL COMITATO ECONOMICO E SOCIALE EUROPEO E AL COMITATO DELLE REGIONI</w:t>
      </w:r>
    </w:p>
    <w:p w14:paraId="5F3C49AC" w14:textId="26E33390" w:rsidR="00A52363" w:rsidRPr="00A52363" w:rsidRDefault="00A52363" w:rsidP="00A52363">
      <w:pPr>
        <w:pStyle w:val="Titreobjet"/>
        <w:rPr>
          <w:noProof/>
        </w:rPr>
      </w:pPr>
      <w:r w:rsidRPr="00A52363">
        <w:rPr>
          <w:noProof/>
        </w:rPr>
        <w:t>Gestire i rischi climatici: proteggere le persone e la prosperità</w:t>
      </w:r>
    </w:p>
    <w:p w14:paraId="2FAB77FE" w14:textId="20224EF8" w:rsidR="0053389F" w:rsidRPr="00677067" w:rsidRDefault="0053389F" w:rsidP="00B06AE7">
      <w:pPr>
        <w:pStyle w:val="Heading1"/>
        <w:numPr>
          <w:ilvl w:val="0"/>
          <w:numId w:val="1"/>
        </w:numPr>
        <w:rPr>
          <w:rFonts w:ascii="Times New Roman" w:hAnsi="Times New Roman" w:cs="Times New Roman"/>
          <w:b/>
          <w:bCs/>
          <w:noProof/>
          <w:color w:val="000000" w:themeColor="text1"/>
          <w:sz w:val="24"/>
          <w:szCs w:val="24"/>
        </w:rPr>
      </w:pPr>
      <w:r>
        <w:rPr>
          <w:rFonts w:ascii="Times New Roman" w:hAnsi="Times New Roman"/>
          <w:b/>
          <w:noProof/>
          <w:color w:val="000000" w:themeColor="text1"/>
          <w:sz w:val="24"/>
        </w:rPr>
        <w:t>Introduzione</w:t>
      </w:r>
      <w:bookmarkEnd w:id="2"/>
      <w:r>
        <w:rPr>
          <w:rFonts w:ascii="Times New Roman" w:hAnsi="Times New Roman"/>
          <w:b/>
          <w:noProof/>
          <w:color w:val="000000" w:themeColor="text1"/>
          <w:sz w:val="24"/>
        </w:rPr>
        <w:t xml:space="preserve"> </w:t>
      </w:r>
      <w:bookmarkEnd w:id="3"/>
      <w:bookmarkEnd w:id="4"/>
    </w:p>
    <w:p w14:paraId="0CCCCB59" w14:textId="29FCA4D7" w:rsidR="000040FA" w:rsidRPr="00B2476E" w:rsidRDefault="000040FA" w:rsidP="000040FA">
      <w:pPr>
        <w:rPr>
          <w:rFonts w:ascii="Times New Roman" w:hAnsi="Times New Roman" w:cs="Times New Roman"/>
          <w:noProof/>
          <w:color w:val="000000" w:themeColor="text1"/>
          <w:sz w:val="24"/>
          <w:szCs w:val="24"/>
          <w:lang w:eastAsia="en-IE"/>
        </w:rPr>
      </w:pPr>
    </w:p>
    <w:p w14:paraId="32C4CF33" w14:textId="60DA2393" w:rsidR="006B7564" w:rsidRPr="00C15BCA" w:rsidRDefault="006474E7">
      <w:pPr>
        <w:pStyle w:val="Heading2"/>
        <w:spacing w:after="120"/>
        <w:ind w:left="1565" w:hanging="431"/>
        <w:jc w:val="both"/>
        <w:textAlignment w:val="baseline"/>
        <w:rPr>
          <w:rFonts w:ascii="Times New Roman" w:hAnsi="Times New Roman" w:cs="Times New Roman"/>
          <w:b/>
          <w:bCs/>
          <w:noProof/>
          <w:color w:val="000000" w:themeColor="text1"/>
          <w:sz w:val="24"/>
          <w:szCs w:val="24"/>
        </w:rPr>
      </w:pPr>
      <w:bookmarkStart w:id="6" w:name="_Toc159792196"/>
      <w:r>
        <w:rPr>
          <w:rFonts w:ascii="Times New Roman" w:hAnsi="Times New Roman"/>
          <w:b/>
          <w:noProof/>
          <w:color w:val="000000" w:themeColor="text1"/>
          <w:sz w:val="24"/>
        </w:rPr>
        <w:t>L'accelerazione dei rischi climatici richiede una gestione proattiva</w:t>
      </w:r>
      <w:bookmarkEnd w:id="6"/>
    </w:p>
    <w:p w14:paraId="12F6DEBA" w14:textId="7A4DA690" w:rsidR="006B7564" w:rsidRPr="009007D4" w:rsidRDefault="006B7564" w:rsidP="0049438C">
      <w:pPr>
        <w:spacing w:after="120"/>
        <w:jc w:val="both"/>
        <w:textAlignment w:val="baseline"/>
        <w:rPr>
          <w:rFonts w:ascii="Times New Roman" w:eastAsia="Times New Roman" w:hAnsi="Times New Roman" w:cs="Times New Roman"/>
          <w:b/>
          <w:bCs/>
          <w:noProof/>
          <w:color w:val="000000" w:themeColor="text1"/>
          <w:sz w:val="24"/>
          <w:szCs w:val="24"/>
          <w:lang w:eastAsia="en-IE"/>
        </w:rPr>
      </w:pPr>
    </w:p>
    <w:p w14:paraId="13F2F0E5" w14:textId="60AEE7B9" w:rsidR="0049438C" w:rsidRDefault="006C74BF" w:rsidP="0049438C">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 xml:space="preserve">La gestione dell'incertezza definisce il processo decisionale odierno, sia per i cittadini che per le imprese o i governi. </w:t>
      </w:r>
      <w:r>
        <w:rPr>
          <w:rFonts w:ascii="Times New Roman" w:hAnsi="Times New Roman"/>
          <w:noProof/>
          <w:color w:val="000000" w:themeColor="text1"/>
          <w:sz w:val="24"/>
        </w:rPr>
        <w:t xml:space="preserve">La guerra e le incertezze geopolitiche, il costo della vita, le sfide demografiche, il degrado ambientale e le emergenze sanitarie, le disparità sociali, la polarizzazione politica e la disinformazione, i rapidi sviluppi tecnologici e la migrazione richiedono tutti un'azione urgente. I decisori politici devono trovare un equilibrio tra attenzione e risorse. La crisi climatica, che è interconnessa alle altre crisi globali causate da inquinamento e perdita di biodiversità e tende ad amplificare molti altri rischi, rappresenta una delle minacce più gravi alla nostra esistenza. </w:t>
      </w:r>
    </w:p>
    <w:p w14:paraId="390785D1" w14:textId="7E2C6A98" w:rsidR="0049438C" w:rsidRPr="0049438C" w:rsidRDefault="0049438C" w:rsidP="0049438C">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sz w:val="24"/>
        </w:rPr>
        <w:t>L'UE sta adottando misure per ridurre le emissioni di gas a effetto serra</w:t>
      </w:r>
      <w:r>
        <w:rPr>
          <w:rFonts w:ascii="Times New Roman" w:hAnsi="Times New Roman"/>
          <w:noProof/>
          <w:color w:val="000000"/>
          <w:sz w:val="24"/>
        </w:rPr>
        <w:t xml:space="preserve"> in questo decennio e conseguire la neutralità climatica entro il 2050 e la Commissione ha avviato un dibattito su un traguardo climatico per il 2040 quale ulteriore passo verso un futuro competitivo e a zero emissioni nette</w:t>
      </w:r>
      <w:r>
        <w:rPr>
          <w:rStyle w:val="FootnoteReference"/>
          <w:rFonts w:ascii="Times New Roman" w:hAnsi="Times New Roman" w:cs="Times New Roman"/>
          <w:noProof/>
          <w:color w:val="000000"/>
          <w:sz w:val="24"/>
          <w:szCs w:val="24"/>
          <w:lang w:eastAsia="en-IE"/>
        </w:rPr>
        <w:footnoteReference w:id="2"/>
      </w:r>
      <w:r>
        <w:rPr>
          <w:rFonts w:ascii="Times New Roman" w:hAnsi="Times New Roman"/>
          <w:noProof/>
          <w:color w:val="000000"/>
          <w:sz w:val="24"/>
        </w:rPr>
        <w:t>. È necessario ridurre rapidamente le emissioni a livello mondiale in quanto le capacità di adattamento si scontrano con limiti fisici. </w:t>
      </w:r>
    </w:p>
    <w:p w14:paraId="073A715A" w14:textId="3FF182CA" w:rsidR="0042472C" w:rsidRPr="00915255" w:rsidRDefault="00027C6C" w:rsidP="009357C0">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Tuttavia</w:t>
      </w:r>
      <w:r>
        <w:rPr>
          <w:rFonts w:ascii="Times New Roman" w:hAnsi="Times New Roman"/>
          <w:b/>
          <w:noProof/>
          <w:color w:val="000000" w:themeColor="text1"/>
          <w:sz w:val="24"/>
        </w:rPr>
        <w:t xml:space="preserve"> gli impatti climatici sono già visibili e i rischi continueranno ad aumentare nei prossimi decenni e oltre </w:t>
      </w:r>
      <w:r>
        <w:rPr>
          <w:rFonts w:ascii="Times New Roman" w:hAnsi="Times New Roman"/>
          <w:noProof/>
          <w:color w:val="000000" w:themeColor="text1"/>
          <w:sz w:val="24"/>
        </w:rPr>
        <w:t>a causa dell'inerzia del sistema climatico, anche se le ambiziose riduzioni delle emissioni a livello mondiale limitano i potenziali danni. Nel febbraio 2024 il servizio relativo ai cambiamenti climatici di Copernicus ha riferito che la temperatura media mondiale nei 12 mesi precedenti aveva superato la soglia di 1,5 gradi centigradi al di sopra dei livelli preindustriali</w:t>
      </w:r>
      <w:r w:rsidR="00A002CB">
        <w:rPr>
          <w:rStyle w:val="FootnoteReference"/>
          <w:rFonts w:ascii="Times New Roman" w:eastAsia="Times New Roman" w:hAnsi="Times New Roman" w:cs="Times New Roman"/>
          <w:noProof/>
          <w:color w:val="000000" w:themeColor="text1"/>
          <w:sz w:val="24"/>
          <w:szCs w:val="24"/>
          <w:lang w:eastAsia="en-IE"/>
        </w:rPr>
        <w:footnoteReference w:id="3"/>
      </w:r>
      <w:r>
        <w:rPr>
          <w:rFonts w:ascii="Times New Roman" w:hAnsi="Times New Roman"/>
          <w:noProof/>
          <w:color w:val="000000" w:themeColor="text1"/>
          <w:sz w:val="24"/>
        </w:rPr>
        <w:t>. La prima valutazione europea dei rischi climatici (EUCRA)</w:t>
      </w:r>
      <w:r w:rsidR="001364A4" w:rsidRPr="009C5047">
        <w:rPr>
          <w:rFonts w:ascii="Times New Roman" w:eastAsia="Times New Roman" w:hAnsi="Times New Roman" w:cs="Times New Roman"/>
          <w:noProof/>
          <w:color w:val="000000" w:themeColor="text1"/>
          <w:sz w:val="24"/>
          <w:szCs w:val="24"/>
          <w:vertAlign w:val="superscript"/>
          <w:lang w:eastAsia="en-IE"/>
        </w:rPr>
        <w:footnoteReference w:id="4"/>
      </w:r>
      <w:r>
        <w:rPr>
          <w:rFonts w:ascii="Times New Roman" w:hAnsi="Times New Roman"/>
          <w:noProof/>
          <w:color w:val="000000" w:themeColor="text1"/>
          <w:sz w:val="24"/>
        </w:rPr>
        <w:t xml:space="preserve"> condotta dall'Agenzia europea dell'ambiente illustra chiaramente </w:t>
      </w:r>
      <w:r>
        <w:rPr>
          <w:rFonts w:ascii="Times New Roman" w:hAnsi="Times New Roman"/>
          <w:b/>
          <w:bCs/>
          <w:noProof/>
          <w:color w:val="000000" w:themeColor="text1"/>
          <w:sz w:val="24"/>
        </w:rPr>
        <w:t>le prospettive per l'Europa</w:t>
      </w:r>
      <w:r>
        <w:rPr>
          <w:rFonts w:ascii="Times New Roman" w:hAnsi="Times New Roman"/>
          <w:noProof/>
          <w:color w:val="000000" w:themeColor="text1"/>
          <w:sz w:val="24"/>
        </w:rPr>
        <w:t>: nella migliore delle ipotesi, in cui limitiamo il riscaldamento globale a + 1,5 gradi rispetto ai livelli preindustriali, l'Europa – che si sta riscaldando a un ritmo due volte superiore a quello globale – dovrà imparare a convivere con un clima più caldo di 3 gradi e, di conseguenza, a far fronte a un aumento esponenziale di ondate di calore e altri fenomeni meteorologici estremi.</w:t>
      </w:r>
    </w:p>
    <w:p w14:paraId="5DC1CA98" w14:textId="77777777" w:rsidR="008E7A30" w:rsidRDefault="008E7A30" w:rsidP="009357C0">
      <w:pPr>
        <w:spacing w:after="120"/>
        <w:jc w:val="both"/>
        <w:textAlignment w:val="baseline"/>
        <w:rPr>
          <w:rFonts w:ascii="Times New Roman" w:hAnsi="Times New Roman" w:cs="Times New Roman"/>
          <w:noProof/>
          <w:color w:val="000000" w:themeColor="text1"/>
          <w:sz w:val="24"/>
          <w:szCs w:val="24"/>
          <w:lang w:eastAsia="en-IE"/>
        </w:rPr>
      </w:pPr>
    </w:p>
    <w:p w14:paraId="29BC7F41" w14:textId="77777777" w:rsidR="008E7A30" w:rsidRDefault="008E7A30" w:rsidP="009357C0">
      <w:pPr>
        <w:spacing w:after="120"/>
        <w:jc w:val="both"/>
        <w:textAlignment w:val="baseline"/>
        <w:rPr>
          <w:rFonts w:ascii="Times New Roman" w:hAnsi="Times New Roman" w:cs="Times New Roman"/>
          <w:noProof/>
          <w:color w:val="000000" w:themeColor="text1"/>
          <w:sz w:val="24"/>
          <w:szCs w:val="24"/>
          <w:lang w:eastAsia="en-IE"/>
        </w:rPr>
      </w:pPr>
    </w:p>
    <w:p w14:paraId="7CC4C2B5" w14:textId="77777777" w:rsidR="008E7A30" w:rsidRDefault="008E7A30" w:rsidP="009357C0">
      <w:pPr>
        <w:spacing w:after="120"/>
        <w:jc w:val="both"/>
        <w:textAlignment w:val="baseline"/>
        <w:rPr>
          <w:rFonts w:ascii="Times New Roman" w:hAnsi="Times New Roman" w:cs="Times New Roman"/>
          <w:noProof/>
          <w:color w:val="000000" w:themeColor="text1"/>
          <w:sz w:val="24"/>
          <w:szCs w:val="24"/>
          <w:lang w:eastAsia="en-IE"/>
        </w:rPr>
      </w:pPr>
    </w:p>
    <w:p w14:paraId="47BF74A1" w14:textId="4E83659B" w:rsidR="00A916D0" w:rsidRPr="00915255" w:rsidRDefault="00A916D0" w:rsidP="009357C0">
      <w:pPr>
        <w:spacing w:after="120"/>
        <w:jc w:val="both"/>
        <w:textAlignment w:val="baseline"/>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Figura 1: proiezioni delle temperature in Europa nell'ambito di quattro scenari climatici standard a livello mondiale </w:t>
      </w:r>
    </w:p>
    <w:p w14:paraId="33C8E768" w14:textId="54FE152B" w:rsidR="00A916D0" w:rsidRDefault="009007D4" w:rsidP="009357C0">
      <w:pPr>
        <w:spacing w:after="120"/>
        <w:jc w:val="both"/>
        <w:textAlignment w:val="baseline"/>
        <w:rPr>
          <w:rFonts w:ascii="Times New Roman" w:hAnsi="Times New Roman" w:cs="Times New Roman"/>
          <w:noProof/>
          <w:color w:val="000000" w:themeColor="text1"/>
          <w:sz w:val="24"/>
          <w:szCs w:val="24"/>
        </w:rPr>
      </w:pPr>
      <w:r>
        <w:rPr>
          <w:noProof/>
          <w:lang w:val="en-GB" w:eastAsia="en-GB"/>
        </w:rPr>
        <w:drawing>
          <wp:inline distT="0" distB="0" distL="0" distR="0" wp14:anchorId="5D7AF621" wp14:editId="51414A58">
            <wp:extent cx="5760720" cy="38334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833495"/>
                    </a:xfrm>
                    <a:prstGeom prst="rect">
                      <a:avLst/>
                    </a:prstGeom>
                  </pic:spPr>
                </pic:pic>
              </a:graphicData>
            </a:graphic>
          </wp:inline>
        </w:drawing>
      </w:r>
      <w:r>
        <w:rPr>
          <w:rFonts w:ascii="Times New Roman" w:hAnsi="Times New Roman"/>
          <w:noProof/>
          <w:color w:val="000000" w:themeColor="text1"/>
          <w:sz w:val="24"/>
        </w:rPr>
        <w:t xml:space="preserve"> </w:t>
      </w:r>
    </w:p>
    <w:p w14:paraId="014C0136" w14:textId="5D3C3C67" w:rsidR="009513CE" w:rsidRPr="009513CE" w:rsidRDefault="009513CE" w:rsidP="009513CE">
      <w:pPr>
        <w:spacing w:after="120"/>
        <w:jc w:val="both"/>
        <w:textAlignment w:val="baseline"/>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Fonte: EUCRA, sulla base del servizio relativo ai cambiamenti climatici di Copernicus. </w:t>
      </w:r>
    </w:p>
    <w:p w14:paraId="31EEE6DC" w14:textId="77777777" w:rsidR="00B514C5" w:rsidRPr="00915255" w:rsidRDefault="00B514C5" w:rsidP="009357C0">
      <w:pPr>
        <w:spacing w:after="120"/>
        <w:jc w:val="both"/>
        <w:textAlignment w:val="baseline"/>
        <w:rPr>
          <w:rFonts w:ascii="Times New Roman" w:hAnsi="Times New Roman" w:cs="Times New Roman"/>
          <w:noProof/>
          <w:color w:val="000000" w:themeColor="text1"/>
          <w:sz w:val="24"/>
          <w:szCs w:val="24"/>
          <w:lang w:eastAsia="en-IE"/>
        </w:rPr>
      </w:pPr>
    </w:p>
    <w:p w14:paraId="7642DB25" w14:textId="1A70B821" w:rsidR="00C16BAB" w:rsidRDefault="00F522A2" w:rsidP="00CE5BA2">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sz w:val="24"/>
        </w:rPr>
        <w:t xml:space="preserve">La resilienza ai cambiamenti climatici ha a che fare con il mantenimento delle funzioni sociali, ma anche della competitività per le economie e le imprese, con conseguenti ricadute sull'occupazione. </w:t>
      </w:r>
      <w:r>
        <w:rPr>
          <w:rFonts w:ascii="Times New Roman" w:hAnsi="Times New Roman"/>
          <w:noProof/>
          <w:color w:val="000000" w:themeColor="text1"/>
          <w:sz w:val="24"/>
        </w:rPr>
        <w:t xml:space="preserve">La gestione dei rischi climatici è una condizione necessaria per </w:t>
      </w:r>
      <w:r>
        <w:rPr>
          <w:rFonts w:ascii="Times New Roman" w:hAnsi="Times New Roman"/>
          <w:b/>
          <w:bCs/>
          <w:noProof/>
          <w:color w:val="000000" w:themeColor="text1"/>
          <w:sz w:val="24"/>
        </w:rPr>
        <w:t>migliorare il tenore di vita, combattere le disuguaglianze e proteggere le persone.</w:t>
      </w:r>
      <w:r>
        <w:rPr>
          <w:rFonts w:ascii="Times New Roman" w:hAnsi="Times New Roman"/>
          <w:b/>
          <w:noProof/>
          <w:color w:val="000000" w:themeColor="text1"/>
          <w:sz w:val="24"/>
        </w:rPr>
        <w:t xml:space="preserve"> </w:t>
      </w:r>
      <w:r>
        <w:rPr>
          <w:rFonts w:ascii="Times New Roman" w:hAnsi="Times New Roman"/>
          <w:b/>
          <w:noProof/>
          <w:sz w:val="24"/>
        </w:rPr>
        <w:t>Per le zone rurali e costiere, gli agricoltori, i selvicoltori e i pescatori è in gioco la sopravvivenza economica</w:t>
      </w:r>
      <w:r>
        <w:rPr>
          <w:rFonts w:ascii="Times New Roman" w:hAnsi="Times New Roman"/>
          <w:b/>
          <w:noProof/>
          <w:color w:val="000000" w:themeColor="text1"/>
          <w:sz w:val="24"/>
        </w:rPr>
        <w:t xml:space="preserve">. </w:t>
      </w:r>
      <w:r>
        <w:rPr>
          <w:rFonts w:ascii="Times New Roman" w:hAnsi="Times New Roman"/>
          <w:noProof/>
          <w:color w:val="000000" w:themeColor="text1"/>
          <w:sz w:val="24"/>
        </w:rPr>
        <w:t>I rischi climatici per le imprese sono già chiaramente riconosciuti e compaiono tra i quattro rischi principali che caratterizzano il prossimo decennio</w:t>
      </w:r>
      <w:r w:rsidR="00202AD4" w:rsidRPr="00915255">
        <w:rPr>
          <w:rFonts w:ascii="Times New Roman" w:eastAsia="Times New Roman" w:hAnsi="Times New Roman" w:cs="Times New Roman"/>
          <w:noProof/>
          <w:color w:val="000000" w:themeColor="text1"/>
          <w:sz w:val="24"/>
          <w:szCs w:val="24"/>
          <w:vertAlign w:val="superscript"/>
          <w:lang w:val="en-IE" w:eastAsia="en-IE"/>
        </w:rPr>
        <w:footnoteReference w:id="5"/>
      </w:r>
      <w:r>
        <w:rPr>
          <w:rFonts w:ascii="Times New Roman" w:hAnsi="Times New Roman"/>
          <w:noProof/>
          <w:color w:val="000000" w:themeColor="text1"/>
          <w:sz w:val="24"/>
        </w:rPr>
        <w:t xml:space="preserve">. </w:t>
      </w:r>
      <w:r>
        <w:rPr>
          <w:rFonts w:ascii="Times New Roman" w:hAnsi="Times New Roman"/>
          <w:noProof/>
          <w:sz w:val="24"/>
        </w:rPr>
        <w:t xml:space="preserve">Le piccole e medie imprese (PMI) possono essere interessate da particolari vincoli legati alla disponibilità di risorse. </w:t>
      </w:r>
      <w:r>
        <w:rPr>
          <w:rFonts w:ascii="Times New Roman" w:hAnsi="Times New Roman"/>
          <w:noProof/>
          <w:color w:val="000000" w:themeColor="text1"/>
          <w:sz w:val="24"/>
        </w:rPr>
        <w:t>Che si tratti di catene di approvvigionamento esposte</w:t>
      </w:r>
      <w:r>
        <w:rPr>
          <w:rFonts w:ascii="Times New Roman" w:hAnsi="Times New Roman"/>
          <w:noProof/>
          <w:sz w:val="24"/>
        </w:rPr>
        <w:t>, di un accesso ridotto alla copertura assicurativa, di attività nazionali vulnerabili, di una perdita della biodiversità da cui dipende il settore economico</w:t>
      </w:r>
      <w:r>
        <w:rPr>
          <w:rFonts w:ascii="Times New Roman" w:hAnsi="Times New Roman"/>
          <w:noProof/>
          <w:color w:val="000000" w:themeColor="text1"/>
          <w:sz w:val="24"/>
        </w:rPr>
        <w:t xml:space="preserve"> o di una protezione insufficiente delle persone, la ripresa da catastrofi legate al clima sempre più intense assorbirà sempre più capacità e capitale da parte dei soggetti non preparati. </w:t>
      </w:r>
    </w:p>
    <w:p w14:paraId="11CF7BBE" w14:textId="5BEC580A" w:rsidR="00C00EEB" w:rsidRDefault="00202AD4" w:rsidP="000C2827">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La Banca centrale europea e il Comitato europeo per il rischio sistemico hanno riconosciuto che </w:t>
      </w:r>
      <w:r>
        <w:rPr>
          <w:rFonts w:ascii="Times New Roman" w:hAnsi="Times New Roman"/>
          <w:b/>
          <w:noProof/>
          <w:color w:val="000000" w:themeColor="text1"/>
          <w:sz w:val="24"/>
        </w:rPr>
        <w:t>i rischi climatici possono incidere sulla stabilità finanziaria</w:t>
      </w:r>
      <w:r>
        <w:rPr>
          <w:rFonts w:ascii="Times New Roman" w:hAnsi="Times New Roman"/>
          <w:noProof/>
          <w:color w:val="000000" w:themeColor="text1"/>
          <w:sz w:val="24"/>
        </w:rPr>
        <w:t xml:space="preserve"> in molti modi e hanno evidenziato la necessità di una solida strategia macroprudenziale a livello di sistema per affrontare tali rischi</w:t>
      </w:r>
      <w:r>
        <w:rPr>
          <w:rStyle w:val="FootnoteReference"/>
          <w:rFonts w:ascii="Times New Roman" w:eastAsia="Times New Roman" w:hAnsi="Times New Roman" w:cs="Times New Roman"/>
          <w:noProof/>
          <w:color w:val="000000" w:themeColor="text1"/>
          <w:sz w:val="24"/>
          <w:szCs w:val="24"/>
          <w:lang w:val="en-IE" w:eastAsia="en-IE"/>
        </w:rPr>
        <w:footnoteReference w:id="6"/>
      </w:r>
      <w:r>
        <w:rPr>
          <w:rFonts w:ascii="Times New Roman" w:hAnsi="Times New Roman"/>
          <w:noProof/>
          <w:color w:val="000000" w:themeColor="text1"/>
          <w:sz w:val="24"/>
        </w:rPr>
        <w:t xml:space="preserve">. </w:t>
      </w:r>
      <w:r>
        <w:rPr>
          <w:rFonts w:ascii="Times New Roman" w:hAnsi="Times New Roman"/>
          <w:noProof/>
          <w:sz w:val="24"/>
        </w:rPr>
        <w:t xml:space="preserve">Allo stesso tempo, </w:t>
      </w:r>
      <w:r>
        <w:rPr>
          <w:rFonts w:ascii="Times New Roman" w:hAnsi="Times New Roman"/>
          <w:noProof/>
          <w:color w:val="000000" w:themeColor="text1"/>
          <w:sz w:val="24"/>
        </w:rPr>
        <w:t xml:space="preserve">le imprese dell'UE agili e dinamiche, comprese le </w:t>
      </w:r>
      <w:r>
        <w:rPr>
          <w:rFonts w:ascii="Times New Roman" w:hAnsi="Times New Roman"/>
          <w:b/>
          <w:noProof/>
          <w:color w:val="000000" w:themeColor="text1"/>
          <w:sz w:val="24"/>
        </w:rPr>
        <w:t>PMI, hanno il potenziale di diventare leader in alcuni segmenti di mercato che rafforzano la resilienza</w:t>
      </w:r>
      <w:r>
        <w:rPr>
          <w:rFonts w:ascii="Times New Roman" w:hAnsi="Times New Roman"/>
          <w:noProof/>
          <w:color w:val="000000" w:themeColor="text1"/>
          <w:sz w:val="24"/>
        </w:rPr>
        <w:t xml:space="preserve">, come l'innovazione relativa all'uso delle tecnologie e dei dati spaziali. </w:t>
      </w:r>
    </w:p>
    <w:p w14:paraId="160DAF12" w14:textId="4422B454" w:rsidR="00865CBA" w:rsidRDefault="00865CBA" w:rsidP="000C2827">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bCs/>
          <w:noProof/>
          <w:color w:val="000000" w:themeColor="text1"/>
          <w:sz w:val="24"/>
        </w:rPr>
        <w:t>L'aumento dei rischi climatici ha anche un impatto sul panorama geopolitico</w:t>
      </w:r>
      <w:r>
        <w:rPr>
          <w:rFonts w:ascii="Times New Roman" w:hAnsi="Times New Roman"/>
          <w:noProof/>
          <w:color w:val="000000" w:themeColor="text1"/>
          <w:sz w:val="24"/>
        </w:rPr>
        <w:t xml:space="preserve">, in quanto incide sulla sicurezza globale, sui flussi commerciali e sulla stabilità economica nonché sulla capacità di mantenere i servizi essenziali per le popolazioni colpite. Per contro, migliorare la preparazione e la resilienza agli impatti climatici può contribuire a gestire una delle principali sfide globali odierne con ricadute positive. </w:t>
      </w:r>
    </w:p>
    <w:p w14:paraId="6C3A1182" w14:textId="550CE57C" w:rsidR="005256FD" w:rsidRDefault="00027C6C" w:rsidP="005256FD">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Il 77 % dei cittadini dell'UE considera i cambiamenti climatici un problema molto grave e il 37 % si sente già </w:t>
      </w:r>
      <w:r>
        <w:rPr>
          <w:rFonts w:ascii="Times New Roman" w:hAnsi="Times New Roman"/>
          <w:b/>
          <w:noProof/>
          <w:color w:val="000000" w:themeColor="text1"/>
          <w:sz w:val="24"/>
        </w:rPr>
        <w:t>personalmente esposto ai rischi climatici</w:t>
      </w:r>
      <w:r>
        <w:rPr>
          <w:rFonts w:ascii="Times New Roman" w:hAnsi="Times New Roman"/>
          <w:noProof/>
          <w:color w:val="000000" w:themeColor="text1"/>
          <w:sz w:val="24"/>
        </w:rPr>
        <w:t>. Sia il Parlamento europeo</w:t>
      </w:r>
      <w:r w:rsidR="00082DDA">
        <w:rPr>
          <w:rStyle w:val="FootnoteReference"/>
          <w:rFonts w:ascii="Times New Roman" w:eastAsia="Times New Roman" w:hAnsi="Times New Roman" w:cs="Times New Roman"/>
          <w:noProof/>
          <w:color w:val="000000" w:themeColor="text1"/>
          <w:sz w:val="24"/>
          <w:szCs w:val="24"/>
          <w:lang w:eastAsia="en-IE"/>
        </w:rPr>
        <w:footnoteReference w:id="7"/>
      </w:r>
      <w:r>
        <w:rPr>
          <w:rFonts w:ascii="Times New Roman" w:hAnsi="Times New Roman"/>
          <w:noProof/>
          <w:color w:val="000000" w:themeColor="text1"/>
          <w:sz w:val="24"/>
        </w:rPr>
        <w:t xml:space="preserve"> che i leader dell'UE</w:t>
      </w:r>
      <w:r w:rsidR="00566DC0" w:rsidRPr="00566DC0">
        <w:rPr>
          <w:rFonts w:ascii="Times New Roman" w:eastAsia="Times New Roman" w:hAnsi="Times New Roman" w:cs="Times New Roman"/>
          <w:noProof/>
          <w:color w:val="000000" w:themeColor="text1"/>
          <w:sz w:val="24"/>
          <w:szCs w:val="24"/>
          <w:vertAlign w:val="superscript"/>
          <w:lang w:val="en-IE" w:eastAsia="en-IE"/>
        </w:rPr>
        <w:footnoteReference w:id="8"/>
      </w:r>
      <w:r>
        <w:rPr>
          <w:rFonts w:ascii="Times New Roman" w:hAnsi="Times New Roman"/>
          <w:noProof/>
          <w:color w:val="000000" w:themeColor="text1"/>
          <w:sz w:val="24"/>
        </w:rPr>
        <w:t xml:space="preserve"> hanno riconosciuto l'urgenza di intensificare la risposta all'emergenza climatica e di rafforzare la resilienza dell'UE. In linea con la comunicazione sul traguardo climatico europeo per il 2040 e il percorso verso la neutralità climatica entro il 2050, gli investimenti in edifici, trasporti e sistemi energetici resilienti ai cambiamenti climatici potrebbero creare importanti opportunità commerciali, generare economie di scala e apportare benefici più ampi all'economia europea, creando posti di lavoro altamente qualificati e un'energia pulita economicamente accessibile.</w:t>
      </w:r>
    </w:p>
    <w:p w14:paraId="2D88A11A" w14:textId="3F3FA64A" w:rsidR="009C347D" w:rsidRDefault="009D2451" w:rsidP="00CE5BA2">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La visione europea di una società sana, inclusiva ed equa è una fonte di forza</w:t>
      </w:r>
      <w:r>
        <w:rPr>
          <w:rFonts w:ascii="Times New Roman" w:hAnsi="Times New Roman"/>
          <w:noProof/>
          <w:color w:val="000000" w:themeColor="text1"/>
          <w:sz w:val="24"/>
        </w:rPr>
        <w:t xml:space="preserve">. </w:t>
      </w:r>
      <w:r w:rsidR="008550B3">
        <w:rPr>
          <w:rFonts w:ascii="Times New Roman" w:hAnsi="Times New Roman"/>
          <w:noProof/>
          <w:color w:val="000000" w:themeColor="text1"/>
          <w:sz w:val="24"/>
        </w:rPr>
        <w:br/>
      </w:r>
      <w:r>
        <w:rPr>
          <w:rFonts w:ascii="Times New Roman" w:hAnsi="Times New Roman"/>
          <w:noProof/>
          <w:color w:val="000000" w:themeColor="text1"/>
          <w:sz w:val="24"/>
        </w:rPr>
        <w:t xml:space="preserve">La solidarietà, l'inclusività, l'innovazione e lo Stato di diritto ci hanno aiutati ad affrontare sfide storiche e lo faranno anche questa volta. </w:t>
      </w:r>
    </w:p>
    <w:p w14:paraId="1F9BB09D" w14:textId="36954491" w:rsidR="00CE5BA2" w:rsidRDefault="00901682" w:rsidP="00CE5BA2">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 xml:space="preserve">Il coordinamento reso possibile dall'Unione europea è un potente strumento per rafforzare la resilienza: </w:t>
      </w:r>
      <w:r>
        <w:rPr>
          <w:rFonts w:ascii="Times New Roman" w:hAnsi="Times New Roman"/>
          <w:noProof/>
          <w:color w:val="000000" w:themeColor="text1"/>
          <w:sz w:val="24"/>
        </w:rPr>
        <w:t>apporta miglioramenti in termini di efficienza, che sono essenziali considerate le numerose rivendicazioni di risorse pubbliche e private. Consente inoltre ai paesi, alle regioni e alle comunità locali di comprendere cosa sta funzionando in altri luoghi e cosa no, e permette un intervento più rapido ed efficace. La portata delle azioni necessarie in alcuni settori significa che, in assenza di coordinamento, è improbabile che le decisioni e le misure opportune siano adottate in tempo utile per evitare impatti ambientali irreversibili. Infine l'UE apporta valore aggiunto sviluppando strumenti che aiutano i cittadini e i portatori di interessi pubblici e privati a rafforzare la resilienza. Negli ultimi dieci anni ingenti investimenti a titolo del bilancio dell'UE sono stati destinati all'adattamento ai cambiamenti climatici e alla loro mitigazione, in particolare attraverso la politica di coesione. Nel periodo 2021-2027 gli investimenti nell'ambito della politica di coesione in questo settore dovrebbero raggiungere circa 118 miliardi di EUR.</w:t>
      </w:r>
    </w:p>
    <w:p w14:paraId="77361176" w14:textId="573A604C" w:rsidR="00CE5BA2" w:rsidRPr="003B19B4" w:rsidRDefault="00587C9F" w:rsidP="00CE5BA2">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Alcune delle catastrofi verificatesi nel 2023 mostrano chiaramente l'andamento in crescita dei rischi climatici e tutti i paesi dell'UE ne sono stati colpiti in una certa misura, al di là degli esempi riportati di seguito. </w:t>
      </w:r>
    </w:p>
    <w:p w14:paraId="7048C3B7" w14:textId="10DD61A3" w:rsidR="00CE5BA2" w:rsidRPr="00915255" w:rsidRDefault="00E67EE4" w:rsidP="00CE5BA2">
      <w:p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Riquadro 1: quattro esempi di catastrofi verificatesi nel 2023 connesse ai pericoli legati al clima:</w:t>
      </w:r>
    </w:p>
    <w:p w14:paraId="32893A65" w14:textId="4F373B4B" w:rsidR="00CE5BA2" w:rsidRPr="00915255" w:rsidRDefault="00CE5BA2" w:rsidP="000A7C09">
      <w:pPr>
        <w:pStyle w:val="ListParagraph"/>
        <w:numPr>
          <w:ilvl w:val="0"/>
          <w:numId w:val="65"/>
        </w:num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Grecia:</w:t>
      </w:r>
      <w:r>
        <w:rPr>
          <w:rFonts w:ascii="Times New Roman" w:hAnsi="Times New Roman"/>
          <w:noProof/>
          <w:color w:val="000000" w:themeColor="text1"/>
          <w:sz w:val="24"/>
        </w:rPr>
        <w:t xml:space="preserve"> da luglio ad agosto gli </w:t>
      </w:r>
      <w:r>
        <w:rPr>
          <w:rFonts w:ascii="Times New Roman" w:hAnsi="Times New Roman"/>
          <w:b/>
          <w:noProof/>
          <w:color w:val="000000" w:themeColor="text1"/>
          <w:sz w:val="24"/>
        </w:rPr>
        <w:t>incendi boschivi</w:t>
      </w:r>
      <w:r>
        <w:rPr>
          <w:rFonts w:ascii="Times New Roman" w:hAnsi="Times New Roman"/>
          <w:noProof/>
          <w:color w:val="000000" w:themeColor="text1"/>
          <w:sz w:val="24"/>
        </w:rPr>
        <w:t xml:space="preserve">, alimentati da siccità e ondate di calore, hanno distrutto una superficie di 170 000 ettari. In particolare, quello ad Alessandropoli è diventato il più grande mai registrato in Europa dal 2000, causando la distruzione oltre 96 000 ettari. La </w:t>
      </w:r>
      <w:r>
        <w:rPr>
          <w:rFonts w:ascii="Times New Roman" w:hAnsi="Times New Roman"/>
          <w:b/>
          <w:noProof/>
          <w:color w:val="000000" w:themeColor="text1"/>
          <w:sz w:val="24"/>
        </w:rPr>
        <w:t>tempesta</w:t>
      </w:r>
      <w:r>
        <w:rPr>
          <w:rFonts w:ascii="Times New Roman" w:hAnsi="Times New Roman"/>
          <w:noProof/>
          <w:color w:val="000000" w:themeColor="text1"/>
          <w:sz w:val="24"/>
        </w:rPr>
        <w:t xml:space="preserve"> "Daniel" ha provocato precipitazioni record in Grecia agli inizi di settembre; a Zagora sono stati registrati 750 mm di pioggia in 24 ore, che per questa zona equivalgono alle precipitazioni totali che solitamente si registrano in più di un anno. Questo evento ha distrutto circa il 15 % dei raccolti agricoli annui del paese; </w:t>
      </w:r>
    </w:p>
    <w:p w14:paraId="5591F25B" w14:textId="45BA292C" w:rsidR="00CE5BA2" w:rsidRPr="00915255" w:rsidRDefault="00CE5BA2" w:rsidP="000A7C09">
      <w:pPr>
        <w:pStyle w:val="ListParagraph"/>
        <w:numPr>
          <w:ilvl w:val="0"/>
          <w:numId w:val="65"/>
        </w:num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Slovenia:</w:t>
      </w:r>
      <w:r>
        <w:rPr>
          <w:rFonts w:ascii="Times New Roman" w:hAnsi="Times New Roman"/>
          <w:noProof/>
          <w:color w:val="000000" w:themeColor="text1"/>
          <w:sz w:val="24"/>
        </w:rPr>
        <w:t xml:space="preserve"> nel mese di agosto le forti precipitazioni che per diversi giorni hanno agito su livelli idrici già elevati hanno portato a intense alluvioni e frane che hanno colpito due terzi della Slovenia sono stati colpiti, con danni pari a circa il 16 % del PIL; </w:t>
      </w:r>
    </w:p>
    <w:p w14:paraId="5B0B79B4" w14:textId="57478708" w:rsidR="00CE5BA2" w:rsidRPr="00915255" w:rsidRDefault="00CE5BA2" w:rsidP="000A7C09">
      <w:pPr>
        <w:pStyle w:val="ListParagraph"/>
        <w:numPr>
          <w:ilvl w:val="0"/>
          <w:numId w:val="65"/>
        </w:num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Scandinavia:</w:t>
      </w:r>
      <w:r>
        <w:rPr>
          <w:rFonts w:ascii="Times New Roman" w:hAnsi="Times New Roman"/>
          <w:noProof/>
          <w:color w:val="000000" w:themeColor="text1"/>
          <w:sz w:val="24"/>
        </w:rPr>
        <w:t xml:space="preserve"> nel mese di agosto la tempesta "Hans" ha colpito Danimarca, Norvegia e Svezia, causando gravi danni alle infrastrutture e all'agricoltura, nonché problemi tecnici significativi alle reti di trasporto fondamentali. Le richieste di indennizzo assicurativo hanno raggiunto numeri record;</w:t>
      </w:r>
    </w:p>
    <w:p w14:paraId="6248D6C4" w14:textId="11CA62D1" w:rsidR="00CE5BA2" w:rsidRPr="00915255" w:rsidRDefault="00541771" w:rsidP="000A7C09">
      <w:pPr>
        <w:pStyle w:val="ListParagraph"/>
        <w:numPr>
          <w:ilvl w:val="0"/>
          <w:numId w:val="65"/>
        </w:num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Europa nel complesso:</w:t>
      </w:r>
      <w:r>
        <w:rPr>
          <w:rFonts w:ascii="Times New Roman" w:hAnsi="Times New Roman"/>
          <w:noProof/>
          <w:color w:val="000000" w:themeColor="text1"/>
          <w:sz w:val="24"/>
        </w:rPr>
        <w:t xml:space="preserve"> l'ondata di calore "Cerbero" del 2023 ha segnato nuovi record di temperatura in molti paesi. Ciò ha fatto seguito alle ondate di calore estive del 2022, in cui un numero di europei compreso tra 60 000 e 70 000 ha perso la vita a causa del caldo senza precedenti. </w:t>
      </w:r>
    </w:p>
    <w:p w14:paraId="48FFEF49" w14:textId="48D314A2" w:rsidR="00B67218" w:rsidRPr="00BE25FA" w:rsidRDefault="00D559C8" w:rsidP="00B67218">
      <w:pPr>
        <w:spacing w:after="120"/>
        <w:jc w:val="both"/>
        <w:textAlignment w:val="baseline"/>
        <w:rPr>
          <w:rFonts w:ascii="Times New Roman" w:hAnsi="Times New Roman"/>
          <w:noProof/>
          <w:color w:val="000000" w:themeColor="text1"/>
          <w:sz w:val="24"/>
        </w:rPr>
      </w:pPr>
      <w:r>
        <w:rPr>
          <w:rFonts w:ascii="Times New Roman" w:hAnsi="Times New Roman"/>
          <w:noProof/>
          <w:color w:val="000000" w:themeColor="text1"/>
          <w:sz w:val="24"/>
        </w:rPr>
        <w:t xml:space="preserve">L'azione per il clima è nell'interesse di tutti. I danni legati al clima non sono il risultato di catastrofi naturali sfortunate e impreviste, ma dipendono da rischi climatici noti e dalle azioni strategiche adottate per contrastarli. </w:t>
      </w:r>
      <w:r>
        <w:rPr>
          <w:rFonts w:ascii="Times New Roman" w:hAnsi="Times New Roman"/>
          <w:b/>
          <w:noProof/>
          <w:color w:val="000000" w:themeColor="text1"/>
          <w:sz w:val="24"/>
        </w:rPr>
        <w:t>La presente comunicazione definisce le misure fondamentali necessarie per garantire che, di fronte all'aggravarsi dei rischi climatici, i cittadini e le imprese possano fare affidamento sull'UE e sugli Stati membri per preservare le funzioni della società e l'accesso continuo ai servizi di base. Essa mira a chiarire chi ha la responsabilità di compiere scelte difficili e di agire, sulla base dei migliori elementi di prova. Mostra come l'UE possa anticipare efficacemente gli impatti climatici nei prossimi anni e come il rafforzamento della resilienza renda meno costoso e più semplice conseguire altri obiettivi strategici.</w:t>
      </w:r>
      <w:r>
        <w:rPr>
          <w:rFonts w:ascii="Times New Roman" w:hAnsi="Times New Roman"/>
          <w:noProof/>
          <w:color w:val="000000" w:themeColor="text1"/>
          <w:sz w:val="24"/>
        </w:rPr>
        <w:t xml:space="preserve"> A tal fine è necessario che, in futuro, la preparazione e la resilienza di fronte ai rischi climatici siano automaticamente incluse nell'azione a livello dell'UE e degli Stati membri in tutti i settori d'intervento.</w:t>
      </w:r>
    </w:p>
    <w:p w14:paraId="7A4DE63C" w14:textId="77777777" w:rsidR="006C2EA4" w:rsidRDefault="006C2EA4" w:rsidP="00E445D2">
      <w:pPr>
        <w:spacing w:after="120"/>
        <w:jc w:val="both"/>
        <w:textAlignment w:val="baseline"/>
        <w:rPr>
          <w:rFonts w:ascii="Times New Roman" w:eastAsia="Times New Roman" w:hAnsi="Times New Roman" w:cs="Times New Roman"/>
          <w:noProof/>
          <w:color w:val="000000" w:themeColor="text1"/>
          <w:sz w:val="24"/>
          <w:szCs w:val="24"/>
        </w:rPr>
      </w:pPr>
      <w:bookmarkStart w:id="7" w:name="_Toc157586294"/>
      <w:bookmarkStart w:id="8" w:name="_Toc157587654"/>
      <w:bookmarkStart w:id="9" w:name="_Toc157587770"/>
      <w:bookmarkStart w:id="10" w:name="_Toc157586295"/>
      <w:bookmarkStart w:id="11" w:name="_Toc157587655"/>
      <w:bookmarkStart w:id="12" w:name="_Toc157587771"/>
      <w:bookmarkStart w:id="13" w:name="_Toc157586296"/>
      <w:bookmarkStart w:id="14" w:name="_Toc157587656"/>
      <w:bookmarkStart w:id="15" w:name="_Toc157587772"/>
      <w:bookmarkStart w:id="16" w:name="_Toc157586297"/>
      <w:bookmarkStart w:id="17" w:name="_Toc157587657"/>
      <w:bookmarkStart w:id="18" w:name="_Toc157587773"/>
      <w:bookmarkStart w:id="19" w:name="_Toc157586298"/>
      <w:bookmarkStart w:id="20" w:name="_Toc157587658"/>
      <w:bookmarkStart w:id="21" w:name="_Toc157587774"/>
      <w:bookmarkStart w:id="22" w:name="_Toc157586299"/>
      <w:bookmarkStart w:id="23" w:name="_Toc157587659"/>
      <w:bookmarkStart w:id="24" w:name="_Toc157587775"/>
      <w:bookmarkStart w:id="25" w:name="_Toc157586300"/>
      <w:bookmarkStart w:id="26" w:name="_Toc157587660"/>
      <w:bookmarkStart w:id="27" w:name="_Toc157587776"/>
      <w:bookmarkStart w:id="28" w:name="_Toc159792197"/>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24BA4A78" w14:textId="363BA5F7" w:rsidR="001714DA" w:rsidRPr="00677067" w:rsidRDefault="00D7188A" w:rsidP="00B2476E">
      <w:pPr>
        <w:pStyle w:val="Heading2"/>
        <w:ind w:left="1565" w:hanging="431"/>
        <w:rPr>
          <w:rFonts w:ascii="Times New Roman" w:hAnsi="Times New Roman" w:cs="Times New Roman"/>
          <w:b/>
          <w:bCs/>
          <w:noProof/>
          <w:color w:val="000000" w:themeColor="text1"/>
          <w:sz w:val="24"/>
          <w:szCs w:val="24"/>
        </w:rPr>
      </w:pPr>
      <w:r>
        <w:rPr>
          <w:rFonts w:ascii="Times New Roman" w:hAnsi="Times New Roman"/>
          <w:b/>
          <w:noProof/>
          <w:color w:val="000000" w:themeColor="text1"/>
          <w:sz w:val="24"/>
        </w:rPr>
        <w:t>L'UE ha gettato le basi per migliorare la gestione dei rischi climatici</w:t>
      </w:r>
      <w:bookmarkEnd w:id="28"/>
    </w:p>
    <w:p w14:paraId="2244059F" w14:textId="77777777" w:rsidR="00ED251E" w:rsidRDefault="00ED251E" w:rsidP="00B11E0C">
      <w:pPr>
        <w:jc w:val="both"/>
        <w:textAlignment w:val="baseline"/>
        <w:rPr>
          <w:rFonts w:ascii="Times New Roman" w:eastAsia="Times New Roman" w:hAnsi="Times New Roman" w:cs="Times New Roman"/>
          <w:noProof/>
          <w:color w:val="000000" w:themeColor="text1"/>
          <w:sz w:val="24"/>
          <w:szCs w:val="24"/>
          <w:lang w:eastAsia="en-IE"/>
        </w:rPr>
      </w:pPr>
    </w:p>
    <w:p w14:paraId="601360BF" w14:textId="07DB34C3" w:rsidR="00D7188A" w:rsidRPr="00915255" w:rsidRDefault="00D7188A" w:rsidP="008E56D1">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La normativa europea sul clima impone alle istituzioni dell'Unione e agli Stati membri di assicurare il costante progresso nel miglioramento della capacità di adattamento, nel rafforzamento della resilienza e nella riduzione della vulnerabilità. L'ampio piano d'azione della strategia dell'UE di adattamento ai cambiamenti climatici del 2021 è in piena attuazione.</w:t>
      </w:r>
      <w:r>
        <w:rPr>
          <w:rStyle w:val="FootnoteReference"/>
          <w:rFonts w:ascii="Times New Roman" w:hAnsi="Times New Roman"/>
          <w:noProof/>
          <w:color w:val="000000" w:themeColor="text1"/>
          <w:sz w:val="24"/>
        </w:rPr>
        <w:t xml:space="preserve"> </w:t>
      </w:r>
      <w:r w:rsidR="008550B3">
        <w:rPr>
          <w:rFonts w:ascii="Times New Roman" w:hAnsi="Times New Roman"/>
          <w:noProof/>
          <w:color w:val="000000" w:themeColor="text1"/>
          <w:sz w:val="24"/>
        </w:rPr>
        <w:br/>
      </w:r>
      <w:r>
        <w:rPr>
          <w:rFonts w:ascii="Times New Roman" w:hAnsi="Times New Roman"/>
          <w:noProof/>
          <w:color w:val="000000" w:themeColor="text1"/>
          <w:sz w:val="24"/>
        </w:rPr>
        <w:t>Per rafforzare la resilienza degli investimenti finanziati dall'UE, la politica di coesione e altri programmi chiave nel bilancio dell'UE hanno integrato il principio "non arrecare un danno significativo" e hanno istituito una pratica di verifica climatica.</w:t>
      </w:r>
      <w:r>
        <w:rPr>
          <w:noProof/>
        </w:rPr>
        <w:t xml:space="preserve"> </w:t>
      </w:r>
      <w:r>
        <w:rPr>
          <w:rFonts w:ascii="Times New Roman" w:hAnsi="Times New Roman"/>
          <w:noProof/>
          <w:color w:val="000000" w:themeColor="text1"/>
          <w:sz w:val="24"/>
        </w:rPr>
        <w:t xml:space="preserve">e un'ampia gamma di politiche settoriali in relazione ai rischi climatici è in corso di aggiornamento. Gli Stati membri stanno migliorando le azioni di adattamento e hanno adottato le prime misure per includere la resilienza ai cambiamenti climatici nei rispettivi piani nazionali per l'energia e il clima (PNEC). </w:t>
      </w:r>
    </w:p>
    <w:p w14:paraId="494576C8" w14:textId="6CC1589E" w:rsidR="00050DE4" w:rsidRPr="00915255" w:rsidRDefault="00050DE4" w:rsidP="008E56D1">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Tuttavia i risultati di recenti valutazioni della Commissione</w:t>
      </w:r>
      <w:r w:rsidRPr="00915255">
        <w:rPr>
          <w:rStyle w:val="FootnoteReference"/>
          <w:rFonts w:ascii="Times New Roman" w:eastAsia="Times New Roman" w:hAnsi="Times New Roman" w:cs="Times New Roman"/>
          <w:noProof/>
          <w:color w:val="000000" w:themeColor="text1"/>
          <w:sz w:val="24"/>
          <w:szCs w:val="24"/>
          <w:lang w:eastAsia="en-IE"/>
        </w:rPr>
        <w:footnoteReference w:id="9"/>
      </w:r>
      <w:r>
        <w:rPr>
          <w:rFonts w:ascii="Times New Roman" w:hAnsi="Times New Roman"/>
          <w:noProof/>
          <w:color w:val="000000" w:themeColor="text1"/>
          <w:sz w:val="24"/>
        </w:rPr>
        <w:t xml:space="preserve"> </w:t>
      </w:r>
      <w:r w:rsidRPr="00915255">
        <w:rPr>
          <w:rStyle w:val="FootnoteReference"/>
          <w:rFonts w:ascii="Times New Roman" w:hAnsi="Times New Roman" w:cs="Times New Roman"/>
          <w:noProof/>
          <w:color w:val="000000" w:themeColor="text1"/>
          <w:sz w:val="24"/>
          <w:szCs w:val="24"/>
          <w:lang w:eastAsia="en-IE"/>
        </w:rPr>
        <w:footnoteReference w:id="10"/>
      </w:r>
      <w:r>
        <w:rPr>
          <w:rFonts w:ascii="Times New Roman" w:hAnsi="Times New Roman"/>
          <w:noProof/>
          <w:color w:val="000000" w:themeColor="text1"/>
          <w:sz w:val="24"/>
        </w:rPr>
        <w:t xml:space="preserve"> </w:t>
      </w:r>
      <w:r w:rsidR="00B809D0">
        <w:rPr>
          <w:rStyle w:val="FootnoteReference"/>
          <w:rFonts w:ascii="Times New Roman" w:hAnsi="Times New Roman" w:cs="Times New Roman"/>
          <w:noProof/>
          <w:color w:val="000000" w:themeColor="text1"/>
          <w:sz w:val="24"/>
          <w:szCs w:val="24"/>
          <w:lang w:eastAsia="en-IE"/>
        </w:rPr>
        <w:footnoteReference w:id="11"/>
      </w:r>
      <w:r>
        <w:rPr>
          <w:rFonts w:ascii="Times New Roman" w:hAnsi="Times New Roman"/>
          <w:noProof/>
          <w:color w:val="000000" w:themeColor="text1"/>
          <w:sz w:val="24"/>
        </w:rPr>
        <w:t xml:space="preserve"> sono stati disomogenei. Sebbene si osservino progressi costanti a livello dell'UE attraverso l'attuazione della strategia dell'UE di adattamento ai cambiamenti climatici, gli Stati membri devono fare molto di più in termini di governance, sensibilizzazione, equità e resilienza giusta, finanziamenti e soluzioni basate sulla natura. Le ultime valutazioni della Commissione dei progetti di PNEC aggiornati e delle relative raccomandazioni individuano una discrepanza tra i PNEC e le politiche e le misure di adattamento pianificate e attuate dagli Stati membri. La Commissione ha formulato raccomandazioni ed è pronta ad assistere ulteriormente gli Stati membri nel miglioramento dei loro PNEC al fine di accelerare l'attuazione e gli investimenti nei prossimi anni. </w:t>
      </w:r>
    </w:p>
    <w:p w14:paraId="7CBA5029" w14:textId="7466920A" w:rsidR="00E94165" w:rsidRPr="00915255" w:rsidRDefault="00E94165" w:rsidP="00E94165">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La relazione "Prevenzione e gestione dei rischi di catastrofe in Europa"</w:t>
      </w:r>
      <w:r w:rsidR="008573D8" w:rsidRPr="00DA1432">
        <w:rPr>
          <w:rStyle w:val="FootnoteReference"/>
          <w:rFonts w:ascii="Times New Roman" w:eastAsia="Times New Roman" w:hAnsi="Times New Roman" w:cs="Times New Roman"/>
          <w:noProof/>
          <w:color w:val="000000" w:themeColor="text1"/>
          <w:sz w:val="24"/>
          <w:szCs w:val="24"/>
          <w:lang w:eastAsia="en-IE"/>
        </w:rPr>
        <w:footnoteReference w:id="12"/>
      </w:r>
      <w:r>
        <w:rPr>
          <w:rFonts w:ascii="Times New Roman" w:hAnsi="Times New Roman"/>
          <w:noProof/>
          <w:color w:val="000000" w:themeColor="text1"/>
          <w:sz w:val="24"/>
        </w:rPr>
        <w:t xml:space="preserve"> mostra che i rischi legati al clima figurano tra le priorità del programma di gestione del rischio di catastrofi in tutta Europa. Dalla relazione emerge altresì in modo preoccupante che, sebbene i rischi climatici siano per lo più riconosciuti, le valutazioni dei rischi della protezione civile raramente tengono conto degli scenari e delle incertezze in ambito climatico. Le valutazioni dei rischi per le infrastrutture critiche saranno effettuate dagli Stati membri entro gennaio 2026 a norma della direttiva sulla resilienza dei soggetti critici. Le attuali valutazioni delle previsioni di bilancio non tengono conto dei rischi climatici in modo sistematico, o per nulla. Nel complesso, sebbene le prescrizioni e i processi concordati nei quadri strategici a livello dell'UE possano affrontare i rischi climatici, la loro attuazione non è attualmente in grado di fornire garanzie ragionevoli. </w:t>
      </w:r>
    </w:p>
    <w:p w14:paraId="77D464C8" w14:textId="64B41063" w:rsidR="007E3DA4" w:rsidRPr="00915255" w:rsidRDefault="00B065A9"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I progressi sono pertanto disomogenei e non tengono il passo con l'accelerazione dei cambiamenti climatici. </w:t>
      </w:r>
      <w:r>
        <w:rPr>
          <w:rFonts w:ascii="Times New Roman" w:hAnsi="Times New Roman"/>
          <w:b/>
          <w:noProof/>
          <w:color w:val="000000" w:themeColor="text1"/>
          <w:sz w:val="24"/>
        </w:rPr>
        <w:t>Sia l'UE che gli Stati membri devono migliorare notevolmente la preparazione e la gestione efficace dei rischi climatici</w:t>
      </w:r>
      <w:r>
        <w:rPr>
          <w:rFonts w:ascii="Times New Roman" w:hAnsi="Times New Roman"/>
          <w:noProof/>
          <w:color w:val="000000" w:themeColor="text1"/>
          <w:sz w:val="24"/>
        </w:rPr>
        <w:t>.</w:t>
      </w:r>
    </w:p>
    <w:p w14:paraId="5466465C" w14:textId="7A25E2A4" w:rsidR="00D7188A" w:rsidRPr="00915255" w:rsidRDefault="008E56D1" w:rsidP="004A5637">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La relazione EUCRA illustra in dettaglio i principali rischi climatici per l'Europa e il modo in cui questi interagiscono con molti altri rischi diversi da quelli climatici e li amplificano. Nella presente comunicazione sono contenute risposte alla relazione e ad altri dati recenti. </w:t>
      </w:r>
      <w:r>
        <w:rPr>
          <w:rFonts w:ascii="Times New Roman" w:hAnsi="Times New Roman"/>
          <w:noProof/>
          <w:color w:val="000000"/>
          <w:sz w:val="24"/>
        </w:rPr>
        <w:t xml:space="preserve">Non vengono esaminati in modo approfondito i rischi potenzialmente gravi per l'UE derivanti dagli impatti climatici al di fuori del suo territorio, o viceversa. I cambiamenti climatici possono generare rischi a cascata e aggravare il degrado ambientale, nonché le cause esistenti di conflitti, sfollamenti e migrazioni. </w:t>
      </w:r>
      <w:r>
        <w:rPr>
          <w:rFonts w:ascii="Times New Roman" w:hAnsi="Times New Roman"/>
          <w:noProof/>
          <w:sz w:val="24"/>
        </w:rPr>
        <w:t>È opportuno dedicare un'analisi specifica a queste interconnessioni complesse, al fine di orientare le decisioni politiche come indicato nella comunicazione sul nesso tra clima e sicurezza</w:t>
      </w:r>
      <w:r w:rsidRPr="00915255">
        <w:rPr>
          <w:rFonts w:ascii="Times New Roman" w:eastAsia="Times New Roman" w:hAnsi="Times New Roman" w:cs="Times New Roman"/>
          <w:noProof/>
          <w:color w:val="000000" w:themeColor="text1"/>
          <w:sz w:val="24"/>
          <w:szCs w:val="24"/>
          <w:vertAlign w:val="superscript"/>
          <w:lang w:eastAsia="en-IE"/>
        </w:rPr>
        <w:footnoteReference w:id="13"/>
      </w:r>
      <w:r>
        <w:rPr>
          <w:rFonts w:ascii="Times New Roman" w:hAnsi="Times New Roman"/>
          <w:noProof/>
          <w:color w:val="000000" w:themeColor="text1"/>
          <w:sz w:val="24"/>
        </w:rPr>
        <w:t xml:space="preserve">. </w:t>
      </w:r>
    </w:p>
    <w:p w14:paraId="5B5998D4" w14:textId="1B6755FC" w:rsidR="00A70A3C" w:rsidRDefault="00A70A3C" w:rsidP="00467C2D">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In linea con la dimensione internazionale della strategia dell'UE di adattamento ai cambiamenti climatici</w:t>
      </w:r>
      <w:r w:rsidRPr="00A70A3C">
        <w:rPr>
          <w:rFonts w:ascii="Times New Roman" w:eastAsia="Times New Roman" w:hAnsi="Times New Roman" w:cs="Times New Roman"/>
          <w:noProof/>
          <w:color w:val="000000" w:themeColor="text1"/>
          <w:sz w:val="24"/>
          <w:szCs w:val="24"/>
          <w:vertAlign w:val="superscript"/>
          <w:lang w:eastAsia="en-IE"/>
        </w:rPr>
        <w:footnoteReference w:id="14"/>
      </w:r>
      <w:r>
        <w:rPr>
          <w:rFonts w:ascii="Times New Roman" w:hAnsi="Times New Roman"/>
          <w:noProof/>
          <w:color w:val="000000" w:themeColor="text1"/>
          <w:sz w:val="24"/>
        </w:rPr>
        <w:t>, l'Unione continuerà a sostenere soluzioni integrate per la resilienza ai cambiamenti climatici nei paesi fragili e vulnerabili. Il Global Gateway dell'UE, la strategia globale dell'UE del valore di 300 miliardi di EUR, i piani economici e di investimento concepiti per il vicinato meridionale dell'UE, il partenariato orientale e i Balcani occidentali possono offrire strumenti per mitigare i rischi climatici a livello globale. A titolo di esempio, l'UE ha lanciato l'iniziativa Team Europa (TEI) globale sull'adattamento e la resilienza ai cambiamenti climatici nell'Africa subsahariana nell'ambito del pacchetto di investimenti Global Gateway UE-Africa. In linea con il quadro di Sendai per la riduzione del rischio di catastrofi, l'UE continuerà a sostenere la riduzione del rischio di catastrofi nei paesi partner, ponendo l'accento sulle conoscenze e la governance del rischio di catastrofi, la prevenzione, la preparazione (in particolare i sistemi di allarme rapido), la risposta e la ripresa.</w:t>
      </w:r>
    </w:p>
    <w:p w14:paraId="3E7F0EF3" w14:textId="3AB7C499" w:rsidR="00467C2D" w:rsidRPr="00B2476E" w:rsidRDefault="00E213F7" w:rsidP="00467C2D">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La comunicazione fa seguito ai risultati più recenti del vertice delle Nazioni Unite sul clima (COP 28) in materia di adattamento e in particolare di attuazione del quadro degli EAU per la resilienza ai cambiamenti climatici a livello mondiale</w:t>
      </w:r>
      <w:r w:rsidR="00D7188A" w:rsidRPr="00915255">
        <w:rPr>
          <w:rStyle w:val="FootnoteReference"/>
          <w:rFonts w:ascii="Times New Roman" w:eastAsia="Times New Roman" w:hAnsi="Times New Roman" w:cs="Times New Roman"/>
          <w:noProof/>
          <w:color w:val="000000" w:themeColor="text1"/>
          <w:sz w:val="24"/>
          <w:szCs w:val="24"/>
          <w:lang w:eastAsia="en-IE"/>
        </w:rPr>
        <w:footnoteReference w:id="15"/>
      </w:r>
      <w:r>
        <w:rPr>
          <w:rFonts w:ascii="Times New Roman" w:hAnsi="Times New Roman"/>
          <w:noProof/>
          <w:color w:val="000000" w:themeColor="text1"/>
          <w:sz w:val="24"/>
        </w:rPr>
        <w:t>. L'UE continuerà a promuovere la resilienza ai cambiamenti climatici e la gestione dei rischi climatici, contribuendo all'adattamento ai cambiamenti climatici e alla prevenzione dei conflitti nei suoi strumenti di diplomazia climatica che fanno leva sulle esperienze europee nei consessi internazionali e a livello bilaterale.</w:t>
      </w:r>
    </w:p>
    <w:p w14:paraId="0646DA70" w14:textId="7187CC1E" w:rsidR="00B11E0C" w:rsidRDefault="00B11E0C" w:rsidP="00467C2D">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017D23F3" w14:textId="7F83C213" w:rsidR="008550B3" w:rsidRDefault="008550B3">
      <w:pPr>
        <w:spacing w:after="200" w:line="276" w:lineRule="auto"/>
        <w:rPr>
          <w:rFonts w:ascii="Times New Roman" w:eastAsia="Times New Roman" w:hAnsi="Times New Roman" w:cs="Times New Roman"/>
          <w:noProof/>
          <w:color w:val="000000" w:themeColor="text1"/>
          <w:sz w:val="24"/>
          <w:szCs w:val="24"/>
          <w:lang w:eastAsia="en-IE"/>
        </w:rPr>
      </w:pPr>
      <w:r>
        <w:rPr>
          <w:rFonts w:ascii="Times New Roman" w:eastAsia="Times New Roman" w:hAnsi="Times New Roman" w:cs="Times New Roman"/>
          <w:noProof/>
          <w:color w:val="000000" w:themeColor="text1"/>
          <w:sz w:val="24"/>
          <w:szCs w:val="24"/>
          <w:lang w:eastAsia="en-IE"/>
        </w:rPr>
        <w:br w:type="page"/>
      </w:r>
    </w:p>
    <w:p w14:paraId="7CB95DAB" w14:textId="77777777" w:rsidR="00275F0B" w:rsidRPr="00B2476E" w:rsidRDefault="00275F0B" w:rsidP="00467C2D">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38014A6E" w14:textId="51FA5DD2" w:rsidR="0053389F" w:rsidRPr="00677067" w:rsidRDefault="00C732A8" w:rsidP="00B2476E">
      <w:pPr>
        <w:pStyle w:val="Heading1"/>
        <w:numPr>
          <w:ilvl w:val="0"/>
          <w:numId w:val="1"/>
        </w:numPr>
        <w:ind w:left="357" w:hanging="357"/>
        <w:rPr>
          <w:rFonts w:ascii="Times New Roman" w:hAnsi="Times New Roman" w:cs="Times New Roman"/>
          <w:b/>
          <w:bCs/>
          <w:noProof/>
          <w:color w:val="000000" w:themeColor="text1"/>
          <w:sz w:val="24"/>
          <w:szCs w:val="24"/>
        </w:rPr>
      </w:pPr>
      <w:bookmarkStart w:id="29" w:name="_Toc159792198"/>
      <w:bookmarkStart w:id="30" w:name="_Toc155653036"/>
      <w:bookmarkStart w:id="31" w:name="_Toc155653108"/>
      <w:r>
        <w:rPr>
          <w:rFonts w:ascii="Times New Roman" w:hAnsi="Times New Roman"/>
          <w:b/>
          <w:noProof/>
          <w:color w:val="000000" w:themeColor="text1"/>
          <w:sz w:val="24"/>
        </w:rPr>
        <w:t>Analisi: i dati più recenti sui principali rischi per l'Europa</w:t>
      </w:r>
      <w:bookmarkEnd w:id="29"/>
      <w:r>
        <w:rPr>
          <w:rFonts w:ascii="Times New Roman" w:hAnsi="Times New Roman"/>
          <w:b/>
          <w:noProof/>
          <w:color w:val="000000" w:themeColor="text1"/>
          <w:sz w:val="24"/>
        </w:rPr>
        <w:t xml:space="preserve"> </w:t>
      </w:r>
      <w:bookmarkEnd w:id="30"/>
      <w:bookmarkEnd w:id="31"/>
    </w:p>
    <w:p w14:paraId="3C0A9A0E" w14:textId="77777777" w:rsidR="001F6B5D" w:rsidRPr="00677067" w:rsidRDefault="001F6B5D" w:rsidP="001F6B5D">
      <w:pPr>
        <w:rPr>
          <w:rFonts w:ascii="Times New Roman" w:hAnsi="Times New Roman" w:cs="Times New Roman"/>
          <w:b/>
          <w:bCs/>
          <w:noProof/>
          <w:color w:val="000000" w:themeColor="text1"/>
          <w:sz w:val="24"/>
          <w:szCs w:val="24"/>
          <w:lang w:eastAsia="en-IE"/>
        </w:rPr>
      </w:pPr>
    </w:p>
    <w:p w14:paraId="34C7C281" w14:textId="01E80FA7" w:rsidR="00C04113" w:rsidRPr="00677067" w:rsidRDefault="00537510" w:rsidP="00B2476E">
      <w:pPr>
        <w:pStyle w:val="Heading2"/>
        <w:ind w:left="1565" w:hanging="431"/>
        <w:rPr>
          <w:rFonts w:ascii="Times New Roman" w:hAnsi="Times New Roman" w:cs="Times New Roman"/>
          <w:b/>
          <w:bCs/>
          <w:noProof/>
          <w:color w:val="000000" w:themeColor="text1"/>
          <w:sz w:val="24"/>
          <w:szCs w:val="24"/>
        </w:rPr>
      </w:pPr>
      <w:bookmarkStart w:id="32" w:name="_Toc159792199"/>
      <w:r>
        <w:rPr>
          <w:rFonts w:ascii="Times New Roman" w:hAnsi="Times New Roman"/>
          <w:b/>
          <w:noProof/>
          <w:color w:val="000000" w:themeColor="text1"/>
          <w:sz w:val="24"/>
        </w:rPr>
        <w:t>Risultati della valutazione europea dei rischi climatici</w:t>
      </w:r>
      <w:bookmarkEnd w:id="32"/>
      <w:r>
        <w:rPr>
          <w:rFonts w:ascii="Times New Roman" w:hAnsi="Times New Roman"/>
          <w:b/>
          <w:noProof/>
          <w:color w:val="000000" w:themeColor="text1"/>
          <w:sz w:val="24"/>
        </w:rPr>
        <w:t xml:space="preserve"> </w:t>
      </w:r>
    </w:p>
    <w:p w14:paraId="220AC25A" w14:textId="77777777" w:rsidR="00110F08" w:rsidRPr="009007D4" w:rsidRDefault="00110F08" w:rsidP="00B11E0C">
      <w:pPr>
        <w:jc w:val="both"/>
        <w:textAlignment w:val="baseline"/>
        <w:rPr>
          <w:rFonts w:ascii="Times New Roman" w:eastAsia="Times New Roman" w:hAnsi="Times New Roman" w:cs="Times New Roman"/>
          <w:b/>
          <w:bCs/>
          <w:noProof/>
          <w:color w:val="000000" w:themeColor="text1"/>
          <w:sz w:val="24"/>
          <w:szCs w:val="24"/>
          <w:lang w:eastAsia="en-IE"/>
        </w:rPr>
      </w:pPr>
    </w:p>
    <w:p w14:paraId="72C9E116" w14:textId="0C4056D9" w:rsidR="004A4171" w:rsidRPr="00915255" w:rsidRDefault="003075BA" w:rsidP="00A35FBF">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La scienza parla chiaro: l'Europa dovrà far fronte a temperature complessive più elevate, al rischio di ondate di calore più intense e frequenti, a periodi di siccità prolungati, a precipitazioni più intense, a velocità medie del vento inferiori e a una riduzione delle nevicate. Le relazioni del Gruppo intergovernativo di esperti sul cambiamento climatico (IPCC) lo hanno affermato chiaramente. Tuttavia questo quadro generale non mostra le complesse interazioni tra i pericoli e la probabilità di impatti catastrofici. </w:t>
      </w:r>
    </w:p>
    <w:p w14:paraId="4765E38A" w14:textId="0025B41F" w:rsidR="006B7564" w:rsidRDefault="00903F2E" w:rsidP="00FB1FAF">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Figura 2: tendenze osservate e previste dei principali pericoli legati al clima in diverse regioni europee</w:t>
      </w:r>
    </w:p>
    <w:p w14:paraId="7026D70C" w14:textId="7531C628" w:rsidR="00B4182E" w:rsidRPr="00915255" w:rsidRDefault="007517FF" w:rsidP="007517FF">
      <w:pPr>
        <w:spacing w:after="120"/>
        <w:jc w:val="center"/>
        <w:textAlignment w:val="baseline"/>
        <w:rPr>
          <w:rFonts w:ascii="Times New Roman" w:eastAsia="Times New Roman" w:hAnsi="Times New Roman" w:cs="Times New Roman"/>
          <w:noProof/>
          <w:color w:val="000000" w:themeColor="text1"/>
          <w:sz w:val="24"/>
          <w:szCs w:val="24"/>
        </w:rPr>
      </w:pPr>
      <w:r>
        <w:rPr>
          <w:noProof/>
          <w:lang w:val="en-GB" w:eastAsia="en-GB"/>
        </w:rPr>
        <w:drawing>
          <wp:inline distT="0" distB="0" distL="0" distR="0" wp14:anchorId="2CA57B21" wp14:editId="15338995">
            <wp:extent cx="5760720" cy="4229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229100"/>
                    </a:xfrm>
                    <a:prstGeom prst="rect">
                      <a:avLst/>
                    </a:prstGeom>
                    <a:noFill/>
                    <a:ln>
                      <a:noFill/>
                    </a:ln>
                  </pic:spPr>
                </pic:pic>
              </a:graphicData>
            </a:graphic>
          </wp:inline>
        </w:drawing>
      </w:r>
    </w:p>
    <w:p w14:paraId="369027B6" w14:textId="52A4F22C" w:rsidR="0016254A" w:rsidRPr="00915255" w:rsidRDefault="009513CE" w:rsidP="0027457F">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Fonte: EUCRA. </w:t>
      </w:r>
    </w:p>
    <w:p w14:paraId="2B4CD59C" w14:textId="6E7989F4" w:rsidR="00E8187F" w:rsidRDefault="00344A54" w:rsidP="00344A54">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Questi pericoli climatici comporteranno un maggior numero di catastrofi quali siccità, alluvioni, incendi boschivi, malattie, perdite di raccolti, decessi dovuti al calore, danni alle infrastrutture e cambiamenti strutturali dell'ambiente. In pratica, il grado di preparazione della società, la capacità finanziaria e amministrativa di riprendersi dalle crisi e l'ubicazione fisica sono i principali fattori che determinano quanto la nostra società sia esposta e vulnerabile. </w:t>
      </w:r>
    </w:p>
    <w:p w14:paraId="3EBCF7F6" w14:textId="357F125E" w:rsidR="002E7B27" w:rsidRDefault="002E7B27" w:rsidP="00681BFF">
      <w:pPr>
        <w:spacing w:after="120"/>
        <w:jc w:val="both"/>
        <w:textAlignment w:val="baseline"/>
        <w:rPr>
          <w:rFonts w:ascii="Times New Roman" w:eastAsia="Times New Roman" w:hAnsi="Times New Roman" w:cs="Times New Roman"/>
          <w:noProof/>
          <w:color w:val="000000" w:themeColor="text1"/>
          <w:sz w:val="24"/>
          <w:szCs w:val="24"/>
        </w:rPr>
      </w:pPr>
      <w:bookmarkStart w:id="33" w:name="_Hlk160815827"/>
      <w:r>
        <w:rPr>
          <w:rFonts w:ascii="Times New Roman" w:hAnsi="Times New Roman"/>
          <w:noProof/>
          <w:color w:val="000000" w:themeColor="text1"/>
          <w:sz w:val="24"/>
        </w:rPr>
        <w:t xml:space="preserve">L'Europa meridionale subirà pressioni climatiche più forti rispetto al resto del continente e lo stesso dicasi per le zone artiche. Le regioni ultraperiferiche presentano una serie di rischi specifici. Questa esposizione asimmetrica agli impatti climatici aggrava le disparità già esistenti tra le regioni in termini di necessità di adattamento ai cambiamenti climatici, prevenzione e preparazione ai rischi, che possono mettere sotto pressione gli strumenti per la coesione a livello dell'UE. </w:t>
      </w:r>
    </w:p>
    <w:bookmarkEnd w:id="33"/>
    <w:p w14:paraId="7F9A9021" w14:textId="082A449E" w:rsidR="00582114" w:rsidRPr="00915255" w:rsidRDefault="00582114" w:rsidP="00582114">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I costi e i benefici sociali dei danni evitati non possono essere calcolati con precisione, ma una loro stima dovrebbe essere sufficiente per legittimare l'azione. Secondo una stima prudente il peggioramento degli impatti climatici potrebbe ridurre il PIL dell'UE di circa il 7 % entro la fine del secolo. Se il riscaldamento globale supererà in modo più permanente la soglia di 1,5</w:t>
      </w:r>
      <w:r w:rsidR="005A64DE">
        <w:rPr>
          <w:rFonts w:ascii="Times New Roman" w:hAnsi="Times New Roman"/>
          <w:noProof/>
          <w:color w:val="000000" w:themeColor="text1"/>
          <w:sz w:val="24"/>
        </w:rPr>
        <w:t> </w:t>
      </w:r>
      <w:r>
        <w:rPr>
          <w:rFonts w:ascii="Times New Roman" w:hAnsi="Times New Roman"/>
          <w:noProof/>
          <w:color w:val="000000" w:themeColor="text1"/>
          <w:sz w:val="24"/>
        </w:rPr>
        <w:t>gradi dell'accordo di Parigi, la riduzione supplementare cumulativa del PIL di tutta l'UE potrebbe ammontare a 2 400 miliardi di EUR nel periodo tra il 2031 e il 2050</w:t>
      </w:r>
      <w:r w:rsidRPr="0018244E">
        <w:rPr>
          <w:rStyle w:val="FootnoteReference"/>
          <w:rFonts w:ascii="Times New Roman" w:hAnsi="Times New Roman" w:cs="Times New Roman"/>
          <w:noProof/>
          <w:color w:val="000000" w:themeColor="text1"/>
          <w:sz w:val="24"/>
          <w:szCs w:val="24"/>
        </w:rPr>
        <w:footnoteReference w:id="16"/>
      </w:r>
      <w:r>
        <w:rPr>
          <w:rFonts w:ascii="Times New Roman" w:hAnsi="Times New Roman"/>
          <w:noProof/>
          <w:color w:val="000000" w:themeColor="text1"/>
          <w:sz w:val="24"/>
        </w:rPr>
        <w:t xml:space="preserve">. </w:t>
      </w:r>
      <w:r>
        <w:rPr>
          <w:rFonts w:ascii="Times New Roman" w:hAnsi="Times New Roman"/>
          <w:noProof/>
          <w:sz w:val="24"/>
        </w:rPr>
        <w:t>Da qui al 2100 i danni annuali causati dalle inondazioni costiere in Europa potrebbero superare 1 600 miliardi di EUR</w:t>
      </w:r>
      <w:r>
        <w:rPr>
          <w:rStyle w:val="FootnoteReference"/>
          <w:rFonts w:ascii="Times New Roman" w:eastAsia="Times New Roman" w:hAnsi="Times New Roman" w:cs="Times New Roman"/>
          <w:noProof/>
          <w:sz w:val="24"/>
          <w:szCs w:val="24"/>
          <w:lang w:val="en-IE"/>
        </w:rPr>
        <w:footnoteReference w:id="17"/>
      </w:r>
      <w:r>
        <w:rPr>
          <w:rFonts w:ascii="Times New Roman" w:hAnsi="Times New Roman"/>
          <w:noProof/>
          <w:sz w:val="24"/>
        </w:rPr>
        <w:t xml:space="preserve">, con 3,9 milioni di persone esposte ogni anno al fenomeno. </w:t>
      </w:r>
    </w:p>
    <w:p w14:paraId="5C76A149" w14:textId="3B00D40D" w:rsidR="00681BFF" w:rsidRDefault="00681BFF" w:rsidP="00681BFF">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I rischi climatici sono particolarmente percepiti dalle persone più vulnerabili a causa di una serie di fattori socioeconomici quali il reddito, il genere, l'età, la disabilità, la salute e l'esclusione sociale (che colpiscono in particolare i migranti, le minoranze etniche e le popolazioni indigene). Gli svantaggi preesistenti riducono la capacità di ripresa dalle catastrofi causate dal clima. Le aree urbane più povere, ma anche le scuole e gli ospedali, tendono a trovarsi nelle isole di calore urbano</w:t>
      </w:r>
      <w:r>
        <w:rPr>
          <w:rFonts w:ascii="Times New Roman" w:hAnsi="Times New Roman"/>
          <w:noProof/>
          <w:sz w:val="24"/>
        </w:rPr>
        <w:t>. Sia in ambienti urbani che rurali la popolazione che vive in zone a bassa altitudine è esposta a maggiori rischi di alluvioni e alle conseguenze della contaminazione delle acque</w:t>
      </w:r>
      <w:r>
        <w:rPr>
          <w:rFonts w:ascii="Times New Roman" w:hAnsi="Times New Roman"/>
          <w:noProof/>
          <w:color w:val="000000" w:themeColor="text1"/>
          <w:sz w:val="24"/>
        </w:rPr>
        <w:t>.</w:t>
      </w:r>
    </w:p>
    <w:p w14:paraId="4E1651C6" w14:textId="7950F43C" w:rsidR="00681BFF" w:rsidRPr="00915255" w:rsidRDefault="00681BFF" w:rsidP="00681BFF">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I lavoratori esposti, principalmente quelli la cui attività si svolge all'aperto in settori quali l'agricoltura, l'edilizia, i servizi di emergenza e il turismo, hanno maggiori probabilità di dover far fronte a condizioni di calore estremo. Oltre agli impatti sulla salute e la sicurezza sul lavoro e alla perdita di reddito dei singoli lavoratori per le ore di lavoro perse, la conseguente riduzione della produttività della manodopera può comportare cali della produzione economica a un livello territoriale più ampio. Soluzioni di adattamento inappropriate possono ampliare ulteriormente le disparità e un'azione politica adeguata deve quindi fondarsi sulla considerazione degli aspetti sociali, sul dialogo e su processi decisionali inclusivi e partecipativi che coinvolgano le comunità interessate. Garantire la sicurezza è un aspetto del contratto sociale con i cittadini. </w:t>
      </w:r>
    </w:p>
    <w:p w14:paraId="71B86C90" w14:textId="048065BB" w:rsidR="00C15BCA" w:rsidRDefault="00D21DA7" w:rsidP="00D21DA7">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La relazione EUCRA ha individuato 36 rischi principali per l'Europa, molti dei quali già a livelli critici e di estrema urgenza, che i responsabili politici dovrebbero prendere in considerazione. La sezione 4 risponde ad alcuni di essi, concentrandosi nel contempo su interventi che possono rispondere in contemporanea a diversi rischi. </w:t>
      </w:r>
    </w:p>
    <w:p w14:paraId="42589059" w14:textId="77777777" w:rsidR="00C15BCA" w:rsidRDefault="00C15BCA">
      <w:pPr>
        <w:spacing w:after="200" w:line="276" w:lineRule="auto"/>
        <w:rPr>
          <w:rFonts w:ascii="Times New Roman" w:eastAsia="Times New Roman" w:hAnsi="Times New Roman" w:cs="Times New Roman"/>
          <w:noProof/>
          <w:color w:val="000000" w:themeColor="text1"/>
          <w:sz w:val="24"/>
          <w:szCs w:val="24"/>
        </w:rPr>
      </w:pPr>
      <w:r>
        <w:rPr>
          <w:noProof/>
        </w:rPr>
        <w:br w:type="page"/>
      </w:r>
    </w:p>
    <w:p w14:paraId="54F69784" w14:textId="39E4906F" w:rsidR="000E756C" w:rsidRPr="000E756C" w:rsidRDefault="000E756C" w:rsidP="000E756C">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Figura 3: collegamenti tra i principali cluster di rischi climatici e i settori d'intervento esposti </w:t>
      </w:r>
    </w:p>
    <w:p w14:paraId="19F0A0F7" w14:textId="3F5BE9B7" w:rsidR="0082295F" w:rsidRDefault="0082295F" w:rsidP="000E756C">
      <w:pPr>
        <w:spacing w:after="120"/>
        <w:jc w:val="both"/>
        <w:textAlignment w:val="baseline"/>
        <w:rPr>
          <w:rFonts w:ascii="Times New Roman" w:eastAsia="Times New Roman" w:hAnsi="Times New Roman" w:cs="Times New Roman"/>
          <w:noProof/>
          <w:color w:val="000000" w:themeColor="text1"/>
          <w:sz w:val="24"/>
          <w:szCs w:val="24"/>
        </w:rPr>
      </w:pPr>
      <w:r w:rsidRPr="003662FB">
        <w:rPr>
          <w:noProof/>
          <w:lang w:val="en-GB" w:eastAsia="en-GB"/>
        </w:rPr>
        <w:drawing>
          <wp:inline distT="0" distB="0" distL="0" distR="0" wp14:anchorId="4421DDFB" wp14:editId="7F108DCA">
            <wp:extent cx="5760720" cy="7673975"/>
            <wp:effectExtent l="0" t="0" r="0" b="3175"/>
            <wp:docPr id="183577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7673975"/>
                    </a:xfrm>
                    <a:prstGeom prst="rect">
                      <a:avLst/>
                    </a:prstGeom>
                    <a:noFill/>
                    <a:ln>
                      <a:noFill/>
                    </a:ln>
                  </pic:spPr>
                </pic:pic>
              </a:graphicData>
            </a:graphic>
          </wp:inline>
        </w:drawing>
      </w:r>
    </w:p>
    <w:p w14:paraId="53FC4126" w14:textId="55290F62" w:rsidR="00C51D41" w:rsidRPr="00915255" w:rsidRDefault="00C51D41" w:rsidP="00C51D41">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Fonte: EUCRA. </w:t>
      </w:r>
    </w:p>
    <w:p w14:paraId="760484ED" w14:textId="77777777" w:rsidR="001F6B5D" w:rsidRPr="00915255" w:rsidRDefault="001F6B5D" w:rsidP="004B0FE0">
      <w:pPr>
        <w:spacing w:after="120"/>
        <w:jc w:val="both"/>
        <w:textAlignment w:val="baseline"/>
        <w:rPr>
          <w:rFonts w:ascii="Times New Roman" w:eastAsia="Times New Roman" w:hAnsi="Times New Roman" w:cs="Times New Roman"/>
          <w:noProof/>
          <w:color w:val="000000" w:themeColor="text1"/>
          <w:sz w:val="24"/>
          <w:szCs w:val="24"/>
          <w:lang w:val="en-IE" w:eastAsia="en-IE"/>
        </w:rPr>
      </w:pPr>
    </w:p>
    <w:p w14:paraId="170C4280" w14:textId="0DE90AFA" w:rsidR="006270DE" w:rsidRPr="008C256A" w:rsidRDefault="00545E49" w:rsidP="00B2476E">
      <w:pPr>
        <w:pStyle w:val="Heading2"/>
        <w:ind w:left="1565" w:hanging="431"/>
        <w:rPr>
          <w:rFonts w:ascii="Times New Roman" w:hAnsi="Times New Roman" w:cs="Times New Roman"/>
          <w:b/>
          <w:bCs/>
          <w:noProof/>
          <w:color w:val="000000" w:themeColor="text1"/>
          <w:sz w:val="24"/>
          <w:szCs w:val="24"/>
        </w:rPr>
      </w:pPr>
      <w:bookmarkStart w:id="34" w:name="_Toc157587664"/>
      <w:bookmarkStart w:id="35" w:name="_Toc157587780"/>
      <w:bookmarkStart w:id="36" w:name="_Toc159792200"/>
      <w:bookmarkEnd w:id="34"/>
      <w:bookmarkEnd w:id="35"/>
      <w:r>
        <w:rPr>
          <w:rFonts w:ascii="Times New Roman" w:hAnsi="Times New Roman"/>
          <w:b/>
          <w:noProof/>
          <w:color w:val="000000" w:themeColor="text1"/>
          <w:sz w:val="24"/>
        </w:rPr>
        <w:t>Incertezze e probabilità</w:t>
      </w:r>
      <w:bookmarkEnd w:id="36"/>
      <w:r>
        <w:rPr>
          <w:rFonts w:ascii="Times New Roman" w:hAnsi="Times New Roman"/>
          <w:b/>
          <w:noProof/>
          <w:color w:val="000000" w:themeColor="text1"/>
          <w:sz w:val="24"/>
        </w:rPr>
        <w:t xml:space="preserve"> </w:t>
      </w:r>
    </w:p>
    <w:p w14:paraId="39A31356" w14:textId="77777777" w:rsidR="00110F08" w:rsidRPr="008C256A" w:rsidRDefault="00110F08" w:rsidP="00B11E0C">
      <w:pPr>
        <w:jc w:val="both"/>
        <w:textAlignment w:val="baseline"/>
        <w:rPr>
          <w:rFonts w:ascii="Times New Roman" w:eastAsia="Times New Roman" w:hAnsi="Times New Roman" w:cs="Times New Roman"/>
          <w:b/>
          <w:bCs/>
          <w:noProof/>
          <w:color w:val="000000" w:themeColor="text1"/>
          <w:sz w:val="24"/>
          <w:szCs w:val="24"/>
          <w:lang w:val="en-IE" w:eastAsia="en-IE"/>
        </w:rPr>
      </w:pPr>
    </w:p>
    <w:p w14:paraId="415BD4D6" w14:textId="155F102C" w:rsidR="008E259F" w:rsidRDefault="00D41D86" w:rsidP="00E55620">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Nonostante la complessità del sistema climatico e le incertezze prevalenti, gli scienziati sono ragionevolmente certi del fatto che il clima continuerà a peggiorare nei prossimi decenni. </w:t>
      </w:r>
      <w:r w:rsidR="0082295F">
        <w:rPr>
          <w:rFonts w:ascii="Times New Roman" w:hAnsi="Times New Roman"/>
          <w:noProof/>
          <w:color w:val="000000" w:themeColor="text1"/>
          <w:sz w:val="24"/>
        </w:rPr>
        <w:br/>
      </w:r>
      <w:r>
        <w:rPr>
          <w:rFonts w:ascii="Times New Roman" w:hAnsi="Times New Roman"/>
          <w:noProof/>
          <w:color w:val="000000" w:themeColor="text1"/>
          <w:sz w:val="24"/>
        </w:rPr>
        <w:t xml:space="preserve">I decisori politici e gli investitori devono considerare la probabilità dell'esito che vogliono scongiurare. </w:t>
      </w:r>
    </w:p>
    <w:p w14:paraId="1C605D34" w14:textId="1B750FD7" w:rsidR="00E55620" w:rsidRPr="00915255" w:rsidRDefault="009143E4" w:rsidP="00E55620">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L'incertezza non è una giustificazione valida per non agire. Il principio di precauzione</w:t>
      </w:r>
      <w:r w:rsidR="000B141D">
        <w:rPr>
          <w:rStyle w:val="FootnoteReference"/>
          <w:rFonts w:ascii="Times New Roman" w:eastAsia="Times New Roman" w:hAnsi="Times New Roman" w:cs="Times New Roman"/>
          <w:noProof/>
          <w:color w:val="000000" w:themeColor="text1"/>
          <w:sz w:val="24"/>
          <w:szCs w:val="24"/>
          <w:lang w:val="en-IE" w:eastAsia="en-IE"/>
        </w:rPr>
        <w:footnoteReference w:id="18"/>
      </w:r>
      <w:r>
        <w:rPr>
          <w:noProof/>
        </w:rPr>
        <w:t xml:space="preserve"> </w:t>
      </w:r>
      <w:r>
        <w:rPr>
          <w:rFonts w:ascii="Times New Roman" w:hAnsi="Times New Roman"/>
          <w:noProof/>
          <w:color w:val="000000" w:themeColor="text1"/>
          <w:sz w:val="24"/>
        </w:rPr>
        <w:t>impone ai responsabili delle decisioni di adottare un approccio proattivo orientato alla prevenzione al fine di garantire una buona gestione delle nostre società.</w:t>
      </w:r>
    </w:p>
    <w:p w14:paraId="52D002BB" w14:textId="77777777" w:rsidR="001F6B5D" w:rsidRPr="00915255" w:rsidRDefault="001F6B5D" w:rsidP="00E55620">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092E31CC" w14:textId="14141EEC" w:rsidR="003F1FF2" w:rsidRPr="008C256A" w:rsidRDefault="000E2514" w:rsidP="00B2476E">
      <w:pPr>
        <w:pStyle w:val="Heading1"/>
        <w:numPr>
          <w:ilvl w:val="0"/>
          <w:numId w:val="1"/>
        </w:numPr>
        <w:ind w:left="357" w:hanging="357"/>
        <w:rPr>
          <w:rFonts w:ascii="Times New Roman" w:eastAsiaTheme="minorHAnsi" w:hAnsi="Times New Roman" w:cs="Times New Roman"/>
          <w:b/>
          <w:bCs/>
          <w:noProof/>
          <w:color w:val="000000" w:themeColor="text1"/>
          <w:sz w:val="24"/>
          <w:szCs w:val="24"/>
        </w:rPr>
      </w:pPr>
      <w:bookmarkStart w:id="37" w:name="_Toc159792201"/>
      <w:r>
        <w:rPr>
          <w:rFonts w:ascii="Times New Roman" w:hAnsi="Times New Roman"/>
          <w:b/>
          <w:noProof/>
          <w:color w:val="000000" w:themeColor="text1"/>
          <w:sz w:val="24"/>
        </w:rPr>
        <w:t>Spazio per le soluzioni: dotare la società degli strumenti per agire</w:t>
      </w:r>
      <w:bookmarkEnd w:id="37"/>
    </w:p>
    <w:p w14:paraId="22110B25" w14:textId="77777777" w:rsidR="00110F08" w:rsidRPr="009007D4" w:rsidRDefault="00110F08" w:rsidP="00B11E0C">
      <w:pPr>
        <w:spacing w:line="240" w:lineRule="auto"/>
        <w:jc w:val="both"/>
        <w:rPr>
          <w:rFonts w:ascii="Times New Roman" w:hAnsi="Times New Roman" w:cs="Times New Roman"/>
          <w:noProof/>
          <w:color w:val="000000" w:themeColor="text1"/>
          <w:sz w:val="24"/>
          <w:szCs w:val="24"/>
        </w:rPr>
      </w:pPr>
    </w:p>
    <w:p w14:paraId="68767612" w14:textId="15597473" w:rsidR="0094649A" w:rsidRDefault="000C26F4"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In un ambiente in evoluzione è necessario sviluppare, testare e introdurre rapidamente soluzioni attuabili. La missione dell'UE sull'adattamento ai cambiamenti climatici offre un aiuto alle regioni tramite soluzioni innovative che accompagnano una regione o un'autorità locale verso il raggiungimento della resilienza ai cambiamenti climatici entro il 2030 e che possono servire come migliori pratiche per tutte le parti interessate. </w:t>
      </w:r>
    </w:p>
    <w:p w14:paraId="49D1CE3B" w14:textId="485DFACE" w:rsidR="0035207A" w:rsidRPr="00915255" w:rsidRDefault="0B278AC7"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Investire nella resilienza sin dall'inizio di un progetto infrastrutturale significa che l'infrastruttura sarà in grado di meglio resistere a condizioni meteorologiche estreme, in modo da evitare spese ad hoc per la ricostruzione e il recupero. Ogni euro necessario per riparare i danni è un euro non speso per un investimento più produttivo. Al contrario, ogni euro investito per la prevenzione e la preparazione apporterà benefici a tutti, andando oltre l'investimento iniziale</w:t>
      </w:r>
      <w:r w:rsidR="00FF67E3" w:rsidRPr="0043667E">
        <w:rPr>
          <w:rStyle w:val="FootnoteReference"/>
          <w:rFonts w:ascii="Times New Roman" w:hAnsi="Times New Roman" w:cs="Times New Roman"/>
          <w:noProof/>
          <w:color w:val="000000" w:themeColor="text1"/>
          <w:sz w:val="24"/>
          <w:szCs w:val="24"/>
          <w:lang w:val="en-IE"/>
        </w:rPr>
        <w:footnoteReference w:id="19"/>
      </w:r>
      <w:r>
        <w:rPr>
          <w:rFonts w:ascii="Times New Roman" w:hAnsi="Times New Roman"/>
          <w:noProof/>
          <w:color w:val="000000" w:themeColor="text1"/>
          <w:sz w:val="24"/>
        </w:rPr>
        <w:t>. Le decisioni odierne in materia di pianificazione devono basarsi su una solida valutazione preventiva dei rischi</w:t>
      </w:r>
      <w:r w:rsidR="00FF67E3">
        <w:rPr>
          <w:rStyle w:val="FootnoteReference"/>
          <w:rFonts w:ascii="Times New Roman" w:eastAsia="Times New Roman" w:hAnsi="Times New Roman" w:cs="Times New Roman"/>
          <w:bCs/>
          <w:noProof/>
          <w:color w:val="000000" w:themeColor="text1"/>
          <w:sz w:val="24"/>
          <w:szCs w:val="24"/>
          <w:lang w:val="en-IE" w:eastAsia="en-IE"/>
        </w:rPr>
        <w:footnoteReference w:id="20"/>
      </w:r>
      <w:r>
        <w:rPr>
          <w:rFonts w:ascii="Times New Roman" w:hAnsi="Times New Roman"/>
          <w:noProof/>
          <w:color w:val="000000" w:themeColor="text1"/>
          <w:sz w:val="24"/>
        </w:rPr>
        <w:t>.</w:t>
      </w:r>
    </w:p>
    <w:p w14:paraId="2D4D01D8" w14:textId="7AFC2CC4" w:rsidR="00110F08" w:rsidRPr="00915255" w:rsidRDefault="00606D54"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I rischi climatici cui è esposta l'Europa non possono essere affrontati separatamente da altre sfide sociali. Le soluzioni migliori e durature sono quelle che garantiscono molteplici benefici. I dati contenuti nella relazione EUCRA indicano diversi settori in cui soluzioni trasversali possono contribuire a rimuovere gli ostacoli all'adattamento ai cambiamenti climatici. </w:t>
      </w:r>
      <w:r w:rsidR="0082295F">
        <w:rPr>
          <w:rFonts w:ascii="Times New Roman" w:hAnsi="Times New Roman"/>
          <w:noProof/>
          <w:color w:val="000000" w:themeColor="text1"/>
          <w:sz w:val="24"/>
        </w:rPr>
        <w:br/>
      </w:r>
      <w:r>
        <w:rPr>
          <w:rFonts w:ascii="Times New Roman" w:hAnsi="Times New Roman"/>
          <w:noProof/>
          <w:color w:val="000000" w:themeColor="text1"/>
          <w:sz w:val="24"/>
        </w:rPr>
        <w:t xml:space="preserve">Per questo motivo è necessario un approccio sistemico. </w:t>
      </w:r>
    </w:p>
    <w:p w14:paraId="1D3B00F8" w14:textId="40DD8AC3" w:rsidR="0053389F" w:rsidRPr="00915255" w:rsidRDefault="00137EEC" w:rsidP="00FE74B1">
      <w:pPr>
        <w:spacing w:after="120"/>
        <w:jc w:val="both"/>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Le sottosezioni seguenti individuano quattro categorie generali di soluzioni che rendono i sistemi amministrativi dell'UE e degli Stati membri maggiormente capaci di far fronte ai rischi climatici: governance migliore, strumenti per i titolari dei rischi, ricorso alle politiche strutturali e condizioni preliminari adeguate per la resilienza finanziaria. </w:t>
      </w:r>
    </w:p>
    <w:p w14:paraId="119F3FAE" w14:textId="77777777" w:rsidR="0072028C" w:rsidRPr="009007D4" w:rsidRDefault="0072028C" w:rsidP="00FE74B1">
      <w:pPr>
        <w:spacing w:after="120"/>
        <w:jc w:val="both"/>
        <w:rPr>
          <w:rFonts w:ascii="Times New Roman" w:eastAsia="Times New Roman" w:hAnsi="Times New Roman" w:cs="Times New Roman"/>
          <w:noProof/>
          <w:color w:val="000000" w:themeColor="text1"/>
          <w:sz w:val="24"/>
          <w:szCs w:val="24"/>
          <w:lang w:eastAsia="en-IE"/>
        </w:rPr>
      </w:pPr>
    </w:p>
    <w:p w14:paraId="3FAF21AD" w14:textId="5B5097A7" w:rsidR="003F1FF2" w:rsidRPr="008C256A" w:rsidRDefault="008C05C8" w:rsidP="00B2476E">
      <w:pPr>
        <w:pStyle w:val="Heading2"/>
        <w:ind w:left="1565" w:hanging="431"/>
        <w:rPr>
          <w:rFonts w:ascii="Times New Roman" w:hAnsi="Times New Roman" w:cs="Times New Roman"/>
          <w:b/>
          <w:bCs/>
          <w:noProof/>
          <w:color w:val="000000" w:themeColor="text1"/>
          <w:sz w:val="24"/>
          <w:szCs w:val="24"/>
        </w:rPr>
      </w:pPr>
      <w:bookmarkStart w:id="38" w:name="_Toc159792202"/>
      <w:r>
        <w:rPr>
          <w:rFonts w:ascii="Times New Roman" w:hAnsi="Times New Roman"/>
          <w:b/>
          <w:noProof/>
          <w:color w:val="000000" w:themeColor="text1"/>
          <w:sz w:val="24"/>
        </w:rPr>
        <w:t xml:space="preserve">Governance migliore </w:t>
      </w:r>
      <w:bookmarkEnd w:id="38"/>
    </w:p>
    <w:p w14:paraId="08354312" w14:textId="77777777" w:rsidR="00110F08" w:rsidRPr="008C256A" w:rsidRDefault="00110F08" w:rsidP="00B11E0C">
      <w:pPr>
        <w:jc w:val="both"/>
        <w:textAlignment w:val="baseline"/>
        <w:rPr>
          <w:rFonts w:ascii="Times New Roman" w:eastAsia="Times New Roman" w:hAnsi="Times New Roman" w:cs="Times New Roman"/>
          <w:b/>
          <w:bCs/>
          <w:noProof/>
          <w:color w:val="000000" w:themeColor="text1"/>
          <w:sz w:val="24"/>
          <w:szCs w:val="24"/>
          <w:lang w:val="en-IE" w:eastAsia="en-IE"/>
        </w:rPr>
      </w:pPr>
    </w:p>
    <w:p w14:paraId="1347B82A" w14:textId="248F0D41" w:rsidR="000221BB" w:rsidRPr="00915255" w:rsidRDefault="0069108C" w:rsidP="000221BB">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La ripartizione delle responsabilità tra l'UE e le autorità nazionali (titolarità dei rischi) varia da un settore all'altro e si basa sulla sussidiarietà. In pratica ciò spesso significa che il Parlamento europeo e il Consiglio concordano un quadro generale comune a livello dell'UE, con approcci di attuazione concreti sviluppati e decisi dagli Stati membri a livello nazionale e poi attuati a livello nazionale, regionale e locale. A livello dell'UE, i rischi climatici dovrebbero essere presi meglio in considerazione negli aspetti di governance delle politiche, delle normative e degli strumenti finanziari, nonché nella ricerca di sinergie tra le politiche e le misure dell'UE. </w:t>
      </w:r>
    </w:p>
    <w:p w14:paraId="48094C50" w14:textId="56AEFFC4" w:rsidR="00F723BC" w:rsidRPr="00755240" w:rsidRDefault="00C964C8" w:rsidP="00327375">
      <w:pPr>
        <w:spacing w:after="120"/>
        <w:jc w:val="both"/>
        <w:textAlignment w:val="baseline"/>
        <w:rPr>
          <w:rFonts w:ascii="Times New Roman" w:hAnsi="Times New Roman"/>
          <w:b/>
          <w:noProof/>
          <w:color w:val="000000" w:themeColor="text1"/>
          <w:sz w:val="24"/>
        </w:rPr>
      </w:pPr>
      <w:r>
        <w:rPr>
          <w:rFonts w:ascii="Times New Roman" w:hAnsi="Times New Roman"/>
          <w:noProof/>
          <w:color w:val="000000" w:themeColor="text1"/>
          <w:sz w:val="24"/>
        </w:rPr>
        <w:t xml:space="preserve">Sebbene la maggior parte delle politiche preveda disposizioni per tenere conto dei rischi climatici, vi sono lacune nelle modalità di attuazione di tali politiche e normative negli Stati membri. Sono necessari miglioramenti a tutti i livelli di governance. Occorre prestare attenzione al modo in cui i livelli nazionale, regionale e locale interagiscono tra loro nonché al modo in cui i loro mezzi e compiti sono allineati. </w:t>
      </w:r>
      <w:r>
        <w:rPr>
          <w:rFonts w:ascii="Times New Roman" w:hAnsi="Times New Roman"/>
          <w:b/>
          <w:noProof/>
          <w:color w:val="000000" w:themeColor="text1"/>
          <w:sz w:val="24"/>
        </w:rPr>
        <w:t xml:space="preserve">La Commissione invita gli Stati membri ad attuare pienamente gli impegni esistenti in materia di adattamento e a prendere in considerazione anche le raccomandazioni della Commissione pertinenti. </w:t>
      </w:r>
    </w:p>
    <w:p w14:paraId="7C7DE753" w14:textId="501BDA46" w:rsidR="00394716" w:rsidRPr="00915255" w:rsidRDefault="000B3082" w:rsidP="004C5920">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Per migliorare la governance dei rischi climatici è necessario definire gli aspetti trattati di seguito.</w:t>
      </w:r>
    </w:p>
    <w:p w14:paraId="6EF1ABF8" w14:textId="63147ED8" w:rsidR="001234C6" w:rsidRPr="00915255" w:rsidRDefault="00E95728" w:rsidP="00A632E5">
      <w:pPr>
        <w:spacing w:after="120"/>
        <w:jc w:val="both"/>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Chiara titolarità dei rischi:</w:t>
      </w:r>
      <w:r>
        <w:rPr>
          <w:rFonts w:ascii="Times New Roman" w:hAnsi="Times New Roman"/>
          <w:noProof/>
          <w:color w:val="000000" w:themeColor="text1"/>
          <w:sz w:val="24"/>
        </w:rPr>
        <w:t xml:space="preserve"> la Commissione invita tutte le istituzioni dell'UE a valutare in che modo i rischi climatici specifici per settore e la responsabilità di agire in materia siano distribuiti tra l'UE e gli Stati membri nell'attuale assetto legislativo per i settori strategici chiave.</w:t>
      </w:r>
    </w:p>
    <w:p w14:paraId="7DFE597C" w14:textId="2453201A" w:rsidR="001810D3" w:rsidRPr="001A3A0E" w:rsidRDefault="00EB5825" w:rsidP="003E5D81">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 xml:space="preserve">Rafforzamento delle strutture di governance: </w:t>
      </w:r>
      <w:r>
        <w:rPr>
          <w:rFonts w:ascii="Times New Roman" w:hAnsi="Times New Roman"/>
          <w:noProof/>
          <w:color w:val="000000" w:themeColor="text1"/>
          <w:sz w:val="24"/>
        </w:rPr>
        <w:t xml:space="preserve">strutture di governance chiare per la gestione dei rischi climatici negli Stati membri dovrebbero garantire un coordinamento verticale e orizzontale tra i livelli nazionale, regionale e locale. La Commissione invita gli Stati membri a garantire che i titolari dei rischi a livello nazionale dispongano delle capacità e delle risorse necessarie per gestire i rischi climatici. La Commissione integrerà inoltre in modo strutturale i rischi climatici nei suoi processi interni, rafforzando le funzioni del controllore dei rischi climatici, nonché nell'attuazione del controllo di coerenza climatica nell'ambito del quadro "Legiferare meglio". </w:t>
      </w:r>
    </w:p>
    <w:p w14:paraId="0F326CED" w14:textId="3C04D712" w:rsidR="00B06AE7" w:rsidRPr="00B06AE7" w:rsidRDefault="007E5D60" w:rsidP="00FE74B1">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Sinergie nei processi di governance</w:t>
      </w:r>
      <w:r>
        <w:rPr>
          <w:rFonts w:ascii="Times New Roman" w:hAnsi="Times New Roman"/>
          <w:noProof/>
          <w:color w:val="000000" w:themeColor="text1"/>
          <w:sz w:val="24"/>
        </w:rPr>
        <w:t xml:space="preserve">: l'attuazione delle normative relative ai rischi climatici potrebbe essere ulteriormente migliorata e resa più coerente. La normativa europea sul clima, il regolamento sulla governance dell'Unione dell'energia e dell'azione per il clima, la direttiva sulla resilienza dei soggetti critici, il regolamento relativo alle gravi minacce per la salute a carattere transfrontaliero, l'imminente revisione del quadro di governance economica dell'UE, la normativa sul ripristino della natura, una volta adottata, le direttive Uccelli e Habitat, la direttiva quadro sulle acque, la direttiva sulle alluvioni, la direttiva quadro sulla strategia per l'ambiente marino, la decisione sul meccanismo unionale di protezione civile (UCPM) e i suoi obiettivi di resilienza alle catastrofi comprendono tutti disposizioni relative alla gestione dei rischi climatici. Per semplificare i processi e renderli più efficaci, la Commissione esaminerà in che modo l'attuazione delle prescrizioni a livello dell'UE possa essere ulteriormente agevolata, razionalizzata e rafforzata. </w:t>
      </w:r>
    </w:p>
    <w:p w14:paraId="229F9170" w14:textId="77777777" w:rsidR="0072028C" w:rsidRPr="009007D4" w:rsidRDefault="0072028C" w:rsidP="00FE74B1">
      <w:pPr>
        <w:spacing w:after="120"/>
        <w:jc w:val="both"/>
        <w:rPr>
          <w:rFonts w:ascii="Times New Roman" w:hAnsi="Times New Roman" w:cs="Times New Roman"/>
          <w:noProof/>
          <w:color w:val="000000" w:themeColor="text1"/>
          <w:sz w:val="24"/>
          <w:szCs w:val="24"/>
          <w:lang w:eastAsia="en-IE"/>
        </w:rPr>
      </w:pPr>
    </w:p>
    <w:p w14:paraId="1F8C8463" w14:textId="01083698" w:rsidR="003F1FF2" w:rsidRPr="008C256A" w:rsidRDefault="003F1FF2" w:rsidP="00B2476E">
      <w:pPr>
        <w:pStyle w:val="Heading2"/>
        <w:ind w:left="1565" w:hanging="431"/>
        <w:rPr>
          <w:rFonts w:ascii="Times New Roman" w:hAnsi="Times New Roman" w:cs="Times New Roman"/>
          <w:b/>
          <w:bCs/>
          <w:noProof/>
          <w:color w:val="000000" w:themeColor="text1"/>
        </w:rPr>
      </w:pPr>
      <w:bookmarkStart w:id="39" w:name="_Toc159792203"/>
      <w:r>
        <w:rPr>
          <w:rFonts w:ascii="Times New Roman" w:hAnsi="Times New Roman"/>
          <w:b/>
          <w:noProof/>
          <w:color w:val="000000" w:themeColor="text1"/>
          <w:sz w:val="24"/>
        </w:rPr>
        <w:t>Strumenti per dare ai titolari dei rischi la capacità di agire</w:t>
      </w:r>
      <w:bookmarkEnd w:id="39"/>
    </w:p>
    <w:p w14:paraId="44DB6CCA" w14:textId="77777777" w:rsidR="00BF6EC7" w:rsidRPr="009007D4" w:rsidRDefault="00BF6EC7" w:rsidP="00B11E0C">
      <w:pPr>
        <w:jc w:val="both"/>
        <w:textAlignment w:val="baseline"/>
        <w:rPr>
          <w:rFonts w:ascii="Times New Roman" w:eastAsia="Times New Roman" w:hAnsi="Times New Roman" w:cs="Times New Roman"/>
          <w:bCs/>
          <w:noProof/>
          <w:color w:val="000000" w:themeColor="text1"/>
          <w:sz w:val="24"/>
          <w:szCs w:val="24"/>
          <w:lang w:eastAsia="en-IE"/>
        </w:rPr>
      </w:pPr>
    </w:p>
    <w:p w14:paraId="10F7C901" w14:textId="09023E2F" w:rsidR="00E3449E" w:rsidRPr="00BE25FA" w:rsidRDefault="002F3C56" w:rsidP="00E3449E">
      <w:pPr>
        <w:spacing w:after="120"/>
        <w:jc w:val="both"/>
        <w:textAlignment w:val="baseline"/>
        <w:rPr>
          <w:rFonts w:ascii="Times New Roman" w:hAnsi="Times New Roman"/>
          <w:noProof/>
          <w:color w:val="000000" w:themeColor="text1"/>
          <w:sz w:val="24"/>
        </w:rPr>
      </w:pPr>
      <w:r>
        <w:rPr>
          <w:rFonts w:ascii="Times New Roman" w:hAnsi="Times New Roman"/>
          <w:noProof/>
          <w:color w:val="000000" w:themeColor="text1"/>
          <w:sz w:val="24"/>
        </w:rPr>
        <w:t xml:space="preserve">Grazie ai progressi scientifici sulla comprensione dei rischi climatici e ai finanziamenti dell'UE per la ricerca e l'innovazione a sostegno di tali progressi è possibile agire in modo decisivo adesso. La Commissione continuerà a investire in attività di ricerca e innovazione utili ai fini decisionali e a far leva sulle conoscenze e le soluzioni proposte dalle pertinenti missioni, dai progetti e dai partenariati dell'UE nell'ambito di Orizzonte Europa. Ciò non è di per sé sufficiente, come evidenziato dalle azioni in materia di conoscenza proposte dall'EUCRA. </w:t>
      </w:r>
      <w:r w:rsidR="0082295F">
        <w:rPr>
          <w:rFonts w:ascii="Times New Roman" w:hAnsi="Times New Roman"/>
          <w:noProof/>
          <w:color w:val="000000" w:themeColor="text1"/>
          <w:sz w:val="24"/>
        </w:rPr>
        <w:br/>
      </w:r>
      <w:r>
        <w:rPr>
          <w:rFonts w:ascii="Times New Roman" w:hAnsi="Times New Roman"/>
          <w:noProof/>
          <w:color w:val="000000" w:themeColor="text1"/>
          <w:sz w:val="24"/>
        </w:rPr>
        <w:t xml:space="preserve">Una valutazione multirischio quantitativa ad alta risoluzione, combinata con una valutazione corrispondente dell'adattamento e della resilienza, sarebbe estremamente importante per stabilire una gerarchia di intervento. L'accesso agli strumenti e ai dati di ricerca e operativi disponibili e la capacità di utilizzarli possono sostenere la competitività delle imprese dell'UE e migliorare le decisioni di politica pubblica. Sono inoltre necessarie statistiche europee ufficiali relative alla resilienza ai cambiamenti climatici, elaborate in modo coerente con il PIL e con altri aggregati di contabilità nazionale. </w:t>
      </w:r>
    </w:p>
    <w:p w14:paraId="611423F7" w14:textId="5973F066" w:rsidR="00BB072C" w:rsidRDefault="0039554B" w:rsidP="000A43BB">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Anche quando le strutture di governance sono forti, il processo decisionale efficace in materia di rischi climatici è frenato da notevoli lacune in termini di competenze, manodopera e conoscenze sia nel settore privato che in quello pubblico, oltre che dalla disinformazione sul clima. Per gestire efficacemente i rischi climatici e utilizzare meglio le informazioni e i sistemi di allarme rapido già disponibili, è necessario disporre di un migliore accesso a questi ultimi e ai pertinenti strumenti di conoscenza, nonché sviluppare capacità. </w:t>
      </w:r>
    </w:p>
    <w:p w14:paraId="10A62544" w14:textId="0EE1E5DB" w:rsidR="00814E94" w:rsidRPr="00915255" w:rsidRDefault="00BB072C" w:rsidP="000A43BB">
      <w:pPr>
        <w:spacing w:after="120"/>
        <w:jc w:val="both"/>
        <w:textAlignment w:val="baseline"/>
        <w:rPr>
          <w:rFonts w:ascii="Times New Roman" w:eastAsia="Times New Roman" w:hAnsi="Times New Roman" w:cs="Times New Roman"/>
          <w:bCs/>
          <w:noProof/>
          <w:color w:val="000000" w:themeColor="text1"/>
          <w:sz w:val="24"/>
          <w:szCs w:val="24"/>
        </w:rPr>
      </w:pPr>
      <w:r>
        <w:rPr>
          <w:rFonts w:ascii="Times New Roman" w:hAnsi="Times New Roman"/>
          <w:noProof/>
          <w:color w:val="000000" w:themeColor="text1"/>
          <w:sz w:val="24"/>
        </w:rPr>
        <w:t xml:space="preserve">Per </w:t>
      </w:r>
      <w:r>
        <w:rPr>
          <w:rFonts w:ascii="Times New Roman" w:hAnsi="Times New Roman"/>
          <w:b/>
          <w:bCs/>
          <w:noProof/>
          <w:color w:val="000000" w:themeColor="text1"/>
          <w:sz w:val="24"/>
        </w:rPr>
        <w:t>migliorare la capacità dei titolari dei rischi</w:t>
      </w:r>
      <w:r>
        <w:rPr>
          <w:rFonts w:ascii="Times New Roman" w:hAnsi="Times New Roman"/>
          <w:noProof/>
          <w:color w:val="000000" w:themeColor="text1"/>
          <w:sz w:val="24"/>
        </w:rPr>
        <w:t xml:space="preserve"> di svolgere i loro compiti è necessario disporre degli elementi seguenti. </w:t>
      </w:r>
    </w:p>
    <w:p w14:paraId="2F333A1D" w14:textId="09FB459C" w:rsidR="00D93073" w:rsidRDefault="008F2A62">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Dati climatici, strumenti di modellizzazione e indicatori:</w:t>
      </w:r>
      <w:r>
        <w:rPr>
          <w:rFonts w:ascii="Times New Roman" w:hAnsi="Times New Roman"/>
          <w:noProof/>
          <w:color w:val="000000" w:themeColor="text1"/>
          <w:sz w:val="24"/>
        </w:rPr>
        <w:t xml:space="preserve"> dati e modelli climatici di alta qualità e facilmente comprensibili sono fondamentali per informare il processo decisionale su questioni che vanno dalla pianificazione a lungo termine ai sistemi di allarme rapido. </w:t>
      </w:r>
    </w:p>
    <w:p w14:paraId="77CB7C77" w14:textId="07079731" w:rsidR="00597412" w:rsidRPr="009248B3" w:rsidRDefault="001355AB" w:rsidP="009248B3">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La Commissione e l'Agenzia europea dell'ambiente (AEA) forniranno </w:t>
      </w:r>
      <w:r>
        <w:rPr>
          <w:rFonts w:ascii="Times New Roman" w:hAnsi="Times New Roman"/>
          <w:noProof/>
          <w:color w:val="000000" w:themeColor="text1"/>
          <w:sz w:val="24"/>
          <w:u w:val="single"/>
        </w:rPr>
        <w:t>l'accesso ai principali dati, prodotti, applicazioni, indicatori e servizi granulari e localizzati</w:t>
      </w:r>
      <w:r>
        <w:rPr>
          <w:rFonts w:ascii="Times New Roman" w:hAnsi="Times New Roman"/>
          <w:noProof/>
          <w:color w:val="000000" w:themeColor="text1"/>
          <w:sz w:val="24"/>
        </w:rPr>
        <w:t>, in particolare attraverso la piattaforma Climate-ADAPT e le piattaforme di dati del servizio relativo ai cambiamenti climatici di Copernicus, ossia l'ecosistema di spazi di dati Copernicus</w:t>
      </w:r>
      <w:r w:rsidRPr="001A3A0E">
        <w:rPr>
          <w:rStyle w:val="FootnoteReference"/>
          <w:rFonts w:ascii="Times New Roman" w:eastAsia="Times New Roman" w:hAnsi="Times New Roman" w:cs="Times New Roman"/>
          <w:noProof/>
          <w:color w:val="000000" w:themeColor="text1"/>
          <w:sz w:val="24"/>
          <w:szCs w:val="24"/>
          <w:lang w:val="en-IE" w:eastAsia="en-IE"/>
        </w:rPr>
        <w:footnoteReference w:id="21"/>
      </w:r>
      <w:r>
        <w:rPr>
          <w:rFonts w:ascii="Times New Roman" w:hAnsi="Times New Roman"/>
          <w:noProof/>
          <w:color w:val="000000" w:themeColor="text1"/>
          <w:sz w:val="24"/>
        </w:rPr>
        <w:t xml:space="preserve"> e WEkEO</w:t>
      </w:r>
      <w:r w:rsidRPr="775558F0">
        <w:rPr>
          <w:rStyle w:val="FootnoteReference"/>
          <w:rFonts w:ascii="Times New Roman" w:eastAsia="Times New Roman" w:hAnsi="Times New Roman" w:cs="Times New Roman"/>
          <w:noProof/>
          <w:color w:val="000000" w:themeColor="text1"/>
          <w:sz w:val="24"/>
          <w:szCs w:val="24"/>
          <w:lang w:val="en-IE" w:eastAsia="en-IE"/>
        </w:rPr>
        <w:footnoteReference w:id="22"/>
      </w:r>
      <w:r>
        <w:rPr>
          <w:rFonts w:ascii="Times New Roman" w:hAnsi="Times New Roman"/>
          <w:noProof/>
          <w:color w:val="000000" w:themeColor="text1"/>
          <w:sz w:val="24"/>
        </w:rPr>
        <w:t xml:space="preserve">. </w:t>
      </w:r>
    </w:p>
    <w:p w14:paraId="4A75808D" w14:textId="19C0FE9E" w:rsidR="004A68F9" w:rsidRPr="001A3A0E" w:rsidRDefault="001E1F6E" w:rsidP="009248B3">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A partire dalla metà del 2024 i primi due gemelli digitali nell'ambito dell'iniziativa "Destination Earth (DestinE)"</w:t>
      </w:r>
      <w:r>
        <w:rPr>
          <w:rFonts w:ascii="Times New Roman" w:hAnsi="Times New Roman"/>
          <w:noProof/>
          <w:color w:val="000000" w:themeColor="text1"/>
          <w:sz w:val="24"/>
          <w:vertAlign w:val="superscript"/>
        </w:rPr>
        <w:t xml:space="preserve"> </w:t>
      </w:r>
      <w:r>
        <w:rPr>
          <w:rFonts w:ascii="Times New Roman" w:hAnsi="Times New Roman"/>
          <w:noProof/>
          <w:color w:val="000000" w:themeColor="text1"/>
          <w:sz w:val="24"/>
        </w:rPr>
        <w:t xml:space="preserve">– Adattamento ai cambiamenti climatici e Eventi naturali estremi indotti dal clima – forniranno </w:t>
      </w:r>
      <w:r>
        <w:rPr>
          <w:rFonts w:ascii="Times New Roman" w:hAnsi="Times New Roman"/>
          <w:noProof/>
          <w:color w:val="000000" w:themeColor="text1"/>
          <w:sz w:val="24"/>
          <w:u w:val="single"/>
        </w:rPr>
        <w:t>simulazioni dettagliate di scenari climatici</w:t>
      </w:r>
      <w:r>
        <w:rPr>
          <w:rFonts w:ascii="Times New Roman" w:hAnsi="Times New Roman"/>
          <w:noProof/>
          <w:color w:val="000000" w:themeColor="text1"/>
          <w:sz w:val="24"/>
        </w:rPr>
        <w:t xml:space="preserve"> a livello mondiale, nazionale e subnazionale in un orizzonte temporale pluridecennale, che comprenderanno anche una quantificazione dell'incertezza. Il gemello digitale dell'oceano fornirà inoltre simulazioni e scenari dettagliati e consentirà una migliore comprensione di processi quali l'innalzamento del livello del mare, lo scioglimento dei ghiacciai, l'erosione costiera, il ciclo del carbonio e i cambiamenti della biodiversità. Orizzonte Europa continuerà a sostenere la ricerca volta a fornire ampie serie di simulazioni climatiche pluridecennali senza soluzione di continuità ad alta risoluzione per definire meglio i rischi e le incertezze locali.</w:t>
      </w:r>
    </w:p>
    <w:p w14:paraId="03634620" w14:textId="326C6F3C" w:rsidR="006F55C4" w:rsidRPr="009248B3" w:rsidRDefault="00E31786" w:rsidP="006F55C4">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Per contribuire alle emergenze, nel 2025 il servizio satellitare di avviso di emergenza di Galileo (EWSS) sarà disponibile per comunicare informazioni di allerta a persone, imprese e autorità pubbliche anche quando i sistemi di allerta terrestre saranno fuori uso. </w:t>
      </w:r>
    </w:p>
    <w:p w14:paraId="5E80F792" w14:textId="2A501793" w:rsidR="002F1D2F" w:rsidRPr="001A3A0E" w:rsidRDefault="00110777" w:rsidP="009248B3">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Le principali lacune nei dati saranno ridotte grazie alla proposta di normativa sul monitoraggio delle foreste</w:t>
      </w:r>
      <w:r w:rsidR="002F1D2F" w:rsidRPr="00915255">
        <w:rPr>
          <w:rStyle w:val="FootnoteReference"/>
          <w:rFonts w:ascii="Times New Roman" w:eastAsia="Times New Roman" w:hAnsi="Times New Roman" w:cs="Times New Roman"/>
          <w:noProof/>
          <w:color w:val="000000" w:themeColor="text1"/>
          <w:sz w:val="24"/>
          <w:szCs w:val="24"/>
          <w:lang w:val="en-IE" w:eastAsia="en-IE"/>
        </w:rPr>
        <w:footnoteReference w:id="23"/>
      </w:r>
      <w:r>
        <w:rPr>
          <w:rFonts w:ascii="Times New Roman" w:hAnsi="Times New Roman"/>
          <w:noProof/>
          <w:color w:val="000000" w:themeColor="text1"/>
          <w:sz w:val="24"/>
        </w:rPr>
        <w:t xml:space="preserve"> e alla proposta di normativa sul monitoraggio del suolo</w:t>
      </w:r>
      <w:r w:rsidR="007B69D8" w:rsidRPr="00915255">
        <w:rPr>
          <w:rStyle w:val="FootnoteReference"/>
          <w:rFonts w:ascii="Times New Roman" w:eastAsia="Times New Roman" w:hAnsi="Times New Roman" w:cs="Times New Roman"/>
          <w:noProof/>
          <w:color w:val="000000" w:themeColor="text1"/>
          <w:sz w:val="24"/>
          <w:szCs w:val="24"/>
          <w:lang w:val="en-IE" w:eastAsia="en-IE"/>
        </w:rPr>
        <w:footnoteReference w:id="24"/>
      </w:r>
      <w:r>
        <w:rPr>
          <w:rFonts w:ascii="Times New Roman" w:hAnsi="Times New Roman"/>
          <w:noProof/>
          <w:color w:val="000000" w:themeColor="text1"/>
          <w:sz w:val="24"/>
        </w:rPr>
        <w:t xml:space="preserve">, che miglioreranno gli strumenti di allarme rapido per gli incendi boschivi e altre catastrofi e contribuiranno all'elaborazione di valutazioni dei rischi più accurate. Più in generale, la Commissione </w:t>
      </w:r>
      <w:r>
        <w:rPr>
          <w:rFonts w:ascii="Times New Roman" w:hAnsi="Times New Roman"/>
          <w:noProof/>
          <w:color w:val="000000" w:themeColor="text1"/>
          <w:sz w:val="24"/>
          <w:u w:val="single"/>
        </w:rPr>
        <w:t>promuoverà l'uso dei sistemi di monitoraggio, previsione e allerta disponibili</w:t>
      </w:r>
      <w:r w:rsidR="00FD5E36" w:rsidRPr="001A3A0E">
        <w:rPr>
          <w:rStyle w:val="FootnoteReference"/>
          <w:rFonts w:ascii="Times New Roman" w:eastAsia="Times New Roman" w:hAnsi="Times New Roman" w:cs="Times New Roman"/>
          <w:noProof/>
          <w:color w:val="000000" w:themeColor="text1"/>
          <w:sz w:val="24"/>
          <w:szCs w:val="24"/>
          <w:lang w:val="en-IE" w:eastAsia="en-IE"/>
        </w:rPr>
        <w:footnoteReference w:id="25"/>
      </w:r>
      <w:r>
        <w:rPr>
          <w:rFonts w:ascii="Times New Roman" w:hAnsi="Times New Roman"/>
          <w:noProof/>
          <w:color w:val="000000" w:themeColor="text1"/>
          <w:sz w:val="24"/>
        </w:rPr>
        <w:t>.</w:t>
      </w:r>
    </w:p>
    <w:p w14:paraId="41F17C1E" w14:textId="0DBEB658" w:rsidR="00050093" w:rsidRPr="001A3A0E" w:rsidRDefault="004D2963" w:rsidP="00814E94">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La Commissione </w:t>
      </w:r>
      <w:r>
        <w:rPr>
          <w:rFonts w:ascii="Times New Roman" w:hAnsi="Times New Roman"/>
          <w:noProof/>
          <w:color w:val="000000" w:themeColor="text1"/>
          <w:sz w:val="24"/>
          <w:u w:val="single"/>
        </w:rPr>
        <w:t>riesaminerà gli strumenti e gli orientamenti esistenti</w:t>
      </w:r>
      <w:r>
        <w:rPr>
          <w:rFonts w:ascii="Times New Roman" w:hAnsi="Times New Roman"/>
          <w:noProof/>
          <w:color w:val="000000" w:themeColor="text1"/>
          <w:sz w:val="24"/>
        </w:rPr>
        <w:t>, tra cui lo strumento europeo per l'esplorazione dei dati sul clima (</w:t>
      </w:r>
      <w:r>
        <w:rPr>
          <w:rFonts w:ascii="Times New Roman" w:hAnsi="Times New Roman"/>
          <w:i/>
          <w:iCs/>
          <w:noProof/>
          <w:color w:val="000000" w:themeColor="text1"/>
          <w:sz w:val="24"/>
        </w:rPr>
        <w:t>European Climate Data Explorer</w:t>
      </w:r>
      <w:r>
        <w:rPr>
          <w:rFonts w:ascii="Times New Roman" w:hAnsi="Times New Roman"/>
          <w:noProof/>
          <w:color w:val="000000" w:themeColor="text1"/>
          <w:sz w:val="24"/>
        </w:rPr>
        <w:t>)</w:t>
      </w:r>
      <w:r w:rsidR="00F40219" w:rsidRPr="001A3A0E">
        <w:rPr>
          <w:rFonts w:ascii="Times New Roman" w:eastAsia="Times New Roman" w:hAnsi="Times New Roman" w:cs="Times New Roman"/>
          <w:noProof/>
          <w:color w:val="000000" w:themeColor="text1"/>
          <w:sz w:val="24"/>
          <w:szCs w:val="24"/>
          <w:vertAlign w:val="superscript"/>
          <w:lang w:val="en-IE" w:eastAsia="en-IE"/>
        </w:rPr>
        <w:footnoteReference w:id="26"/>
      </w:r>
      <w:r>
        <w:rPr>
          <w:rFonts w:ascii="Times New Roman" w:hAnsi="Times New Roman"/>
          <w:noProof/>
          <w:color w:val="000000" w:themeColor="text1"/>
          <w:sz w:val="24"/>
        </w:rPr>
        <w:t xml:space="preserve"> e il quadro operativo per l'adattamento reperibile nel portale della missione dell'UE sull'adattamento ai cambiamenti climatici</w:t>
      </w:r>
      <w:r w:rsidR="00A66FC2" w:rsidRPr="001A3A0E">
        <w:rPr>
          <w:rStyle w:val="FootnoteReference"/>
          <w:rFonts w:ascii="Times New Roman" w:eastAsia="Times New Roman" w:hAnsi="Times New Roman" w:cs="Times New Roman"/>
          <w:noProof/>
          <w:color w:val="000000" w:themeColor="text1"/>
          <w:sz w:val="24"/>
          <w:szCs w:val="24"/>
          <w:lang w:val="en-IE" w:eastAsia="en-IE"/>
        </w:rPr>
        <w:footnoteReference w:id="27"/>
      </w:r>
      <w:r>
        <w:rPr>
          <w:rFonts w:ascii="Times New Roman" w:hAnsi="Times New Roman"/>
          <w:noProof/>
          <w:color w:val="000000" w:themeColor="text1"/>
          <w:sz w:val="24"/>
        </w:rPr>
        <w:t xml:space="preserve"> in Climate-ADAPT, il polo di dati sui rischi</w:t>
      </w:r>
      <w:r w:rsidR="006B0A95" w:rsidRPr="001A3A0E">
        <w:rPr>
          <w:rStyle w:val="FootnoteReference"/>
          <w:rFonts w:ascii="Times New Roman" w:eastAsia="Times New Roman" w:hAnsi="Times New Roman" w:cs="Times New Roman"/>
          <w:noProof/>
          <w:color w:val="000000" w:themeColor="text1"/>
          <w:sz w:val="24"/>
          <w:szCs w:val="24"/>
          <w:lang w:val="en-IE" w:eastAsia="en-IE"/>
        </w:rPr>
        <w:footnoteReference w:id="28"/>
      </w:r>
      <w:r>
        <w:rPr>
          <w:rFonts w:ascii="Times New Roman" w:hAnsi="Times New Roman"/>
          <w:noProof/>
          <w:color w:val="000000" w:themeColor="text1"/>
          <w:sz w:val="24"/>
        </w:rPr>
        <w:t>, il quadro operativo sui rischi climatici di PROVIDE</w:t>
      </w:r>
      <w:r w:rsidR="00F40219" w:rsidRPr="001A3A0E">
        <w:rPr>
          <w:rFonts w:ascii="Times New Roman" w:eastAsia="Times New Roman" w:hAnsi="Times New Roman" w:cs="Times New Roman"/>
          <w:noProof/>
          <w:color w:val="000000" w:themeColor="text1"/>
          <w:sz w:val="24"/>
          <w:szCs w:val="24"/>
          <w:vertAlign w:val="superscript"/>
          <w:lang w:val="en-IE" w:eastAsia="en-IE"/>
        </w:rPr>
        <w:footnoteReference w:id="29"/>
      </w:r>
      <w:r>
        <w:rPr>
          <w:rFonts w:ascii="Times New Roman" w:hAnsi="Times New Roman"/>
          <w:noProof/>
          <w:color w:val="000000" w:themeColor="text1"/>
          <w:sz w:val="24"/>
        </w:rPr>
        <w:t xml:space="preserve"> e le capacità analitiche e di previsione del Centro di coordinamento della risposta alle emergenze. La Commissione migliorerà l'accesso degli utenti, anche a livello locale, monitorerà l'uso degli strumenti, e cercherà indicatori migliori sui progressi in materia di resilienza, anche in combinazione con altri indicatori interconnessi e pertinenti, al fine di garantire un approccio sistemico. </w:t>
      </w:r>
    </w:p>
    <w:p w14:paraId="3065A1C5" w14:textId="1BF4C453" w:rsidR="003F1FF2" w:rsidRPr="00915255" w:rsidRDefault="00BF6EC7" w:rsidP="00804311">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Scenari climatici di riferimento:</w:t>
      </w:r>
      <w:r>
        <w:rPr>
          <w:rFonts w:ascii="Times New Roman" w:hAnsi="Times New Roman"/>
          <w:noProof/>
          <w:color w:val="000000" w:themeColor="text1"/>
          <w:sz w:val="24"/>
        </w:rPr>
        <w:t xml:space="preserve"> per ridurre la complessità della valutazione dei rischi, la Commissione utilizzerà lo scenario di emissioni intermedie dell'IPCC</w:t>
      </w:r>
      <w:r w:rsidR="00CD5F6E" w:rsidRPr="001A3A0E">
        <w:rPr>
          <w:rStyle w:val="FootnoteReference"/>
          <w:rFonts w:ascii="Times New Roman" w:eastAsia="Times New Roman" w:hAnsi="Times New Roman" w:cs="Times New Roman"/>
          <w:noProof/>
          <w:color w:val="000000" w:themeColor="text1"/>
          <w:sz w:val="24"/>
          <w:szCs w:val="24"/>
          <w:lang w:val="en-IE" w:eastAsia="en-IE"/>
        </w:rPr>
        <w:footnoteReference w:id="30"/>
      </w:r>
      <w:r>
        <w:rPr>
          <w:rFonts w:ascii="Times New Roman" w:hAnsi="Times New Roman"/>
          <w:noProof/>
          <w:color w:val="000000" w:themeColor="text1"/>
          <w:sz w:val="24"/>
        </w:rPr>
        <w:t xml:space="preserve"> come scenario climatico di riferimento minimo accettabile per affrontare i rischi fisici nella valutazione d'impatto delle politiche e utilizzerà scenari più avversi nelle prove di stress e per confrontare le opzioni di adattamento. Agli Stati membri è consigliato di procedere nello stesso modo e i portatori di interessi del settore privato faranno probabilmente altrettanto; gli orientamenti interni della Commissione in materia saranno pubblicati. Dati storici migliori, ad esempio sulle perdite causate da catastrofi, sono indicatori ed elementi utili per le proiezioni. Tuttavia decidere in merito al futuro del clima principalmente sulla base dell'estrapolazione di dati storici è un comportamento imprudente.</w:t>
      </w:r>
    </w:p>
    <w:p w14:paraId="69FBA819" w14:textId="68F815A3" w:rsidR="00B542C7" w:rsidRDefault="00BF6EC7" w:rsidP="009248B3">
      <w:pPr>
        <w:spacing w:after="120"/>
        <w:jc w:val="both"/>
        <w:textAlignment w:val="baseline"/>
        <w:rPr>
          <w:rFonts w:ascii="Times New Roman" w:eastAsiaTheme="minorHAnsi" w:hAnsi="Times New Roman" w:cs="Times New Roman"/>
          <w:noProof/>
          <w:color w:val="000000"/>
          <w:sz w:val="24"/>
          <w:szCs w:val="24"/>
        </w:rPr>
      </w:pPr>
      <w:r>
        <w:rPr>
          <w:rFonts w:ascii="Times New Roman" w:hAnsi="Times New Roman"/>
          <w:noProof/>
          <w:color w:val="000000" w:themeColor="text1"/>
          <w:sz w:val="24"/>
          <w:u w:val="single"/>
        </w:rPr>
        <w:t>Rafforzamento delle capacità del settore pubblico e privato</w:t>
      </w:r>
      <w:r>
        <w:rPr>
          <w:rFonts w:ascii="Times New Roman" w:hAnsi="Times New Roman"/>
          <w:noProof/>
          <w:color w:val="000000" w:themeColor="text1"/>
          <w:sz w:val="24"/>
        </w:rPr>
        <w:t>: la Commissione sosterrà la preparazione di materiale didattico e corsi aperti online sulla resilienza ai cambiamenti climatici attraverso un'unica piattaforma online, in parte tramite Climate-ADAPT. L'ampia gamma di strumenti di pianificazione dell'adattamento a livello dell'UE diventerà parte della base di conoscenze. La Commissione sosterrà gli sforzi degli Stati membri volti a garantire che i programmi di studio e di formazione nazionali, compresi quelli per gli amministratori pubblici, siano adeguati alle esigenze future e continuerà a favorire la cooperazione amministrativa tra gli Stati membri e al loro interno</w:t>
      </w:r>
      <w:r w:rsidR="00E351C4" w:rsidRPr="001A3A0E">
        <w:rPr>
          <w:rStyle w:val="FootnoteReference"/>
          <w:rFonts w:ascii="Times New Roman" w:eastAsia="Times New Roman" w:hAnsi="Times New Roman" w:cs="Times New Roman"/>
          <w:noProof/>
          <w:color w:val="000000" w:themeColor="text1"/>
          <w:sz w:val="24"/>
          <w:szCs w:val="24"/>
          <w:lang w:val="en-IE" w:eastAsia="en-IE"/>
        </w:rPr>
        <w:footnoteReference w:id="31"/>
      </w:r>
      <w:r>
        <w:rPr>
          <w:rFonts w:ascii="Times New Roman" w:hAnsi="Times New Roman"/>
          <w:noProof/>
          <w:color w:val="000000" w:themeColor="text1"/>
          <w:sz w:val="24"/>
        </w:rPr>
        <w:t xml:space="preserve">. Sulla base di ulteriori discussioni, la Commissione svilupperà strumenti di valutazione dei rischi per il clima e le catastrofi al fine di aiutare gli Stati membri e il settore privato, comprese le PMI. </w:t>
      </w:r>
    </w:p>
    <w:p w14:paraId="7F543ADD" w14:textId="77777777" w:rsidR="006F1701" w:rsidRDefault="006F1701" w:rsidP="00215FB3">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La Commissione </w:t>
      </w:r>
      <w:r>
        <w:rPr>
          <w:rFonts w:ascii="Times New Roman" w:hAnsi="Times New Roman"/>
          <w:noProof/>
          <w:color w:val="000000" w:themeColor="text1"/>
          <w:sz w:val="24"/>
          <w:u w:val="single"/>
        </w:rPr>
        <w:t>farà leva anche sugli strumenti esistenti</w:t>
      </w:r>
      <w:r>
        <w:rPr>
          <w:rFonts w:ascii="Times New Roman" w:hAnsi="Times New Roman"/>
          <w:noProof/>
          <w:color w:val="000000" w:themeColor="text1"/>
          <w:sz w:val="24"/>
        </w:rPr>
        <w:t>:</w:t>
      </w:r>
    </w:p>
    <w:p w14:paraId="38773550" w14:textId="1B6B9363" w:rsidR="006F1701" w:rsidRPr="009248B3" w:rsidRDefault="006F1701" w:rsidP="006F1701">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la missione dell'UE per l'adattamento ai cambiamenti climatici contribuisce notevolmente allo sviluppo delle capacità regionali; </w:t>
      </w:r>
    </w:p>
    <w:p w14:paraId="32E5AE03" w14:textId="7987582A" w:rsidR="001F48E2" w:rsidRPr="009248B3" w:rsidRDefault="007610B7" w:rsidP="006F1701">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sz w:val="24"/>
        </w:rPr>
        <w:t xml:space="preserve">lo strumento di sostegno tecnico assiste gli Stati membri nell'elaborazione e nell'attuazione di riforme volte a </w:t>
      </w:r>
      <w:r>
        <w:rPr>
          <w:rFonts w:ascii="Times New Roman" w:hAnsi="Times New Roman"/>
          <w:noProof/>
          <w:color w:val="000000" w:themeColor="text1"/>
          <w:sz w:val="24"/>
        </w:rPr>
        <w:t>ridurre e gestire i rischi climatici</w:t>
      </w:r>
      <w:r>
        <w:rPr>
          <w:rFonts w:ascii="Times New Roman" w:hAnsi="Times New Roman"/>
          <w:noProof/>
          <w:sz w:val="24"/>
        </w:rPr>
        <w:t xml:space="preserve">; </w:t>
      </w:r>
    </w:p>
    <w:p w14:paraId="0EE622DA" w14:textId="721F9E29" w:rsidR="001F48E2" w:rsidRPr="009248B3" w:rsidRDefault="001F48E2" w:rsidP="006F1701">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sz w:val="24"/>
        </w:rPr>
        <w:t>il quadro delle competenze in materia di sostenibilità (GreenComp), pubblicato nel 2022, fornisce una base per promuovere le competenze necessarie ad affrontare i cambiamenti climatici;</w:t>
      </w:r>
      <w:r>
        <w:rPr>
          <w:rFonts w:ascii="Times New Roman" w:hAnsi="Times New Roman"/>
          <w:noProof/>
          <w:color w:val="000000"/>
          <w:sz w:val="24"/>
        </w:rPr>
        <w:t xml:space="preserve"> </w:t>
      </w:r>
    </w:p>
    <w:p w14:paraId="33F887B9" w14:textId="7727B6E6" w:rsidR="002430D4" w:rsidRPr="009248B3" w:rsidRDefault="002430D4" w:rsidP="006F1701">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sz w:val="24"/>
        </w:rPr>
        <w:t xml:space="preserve">saranno utilizzate le iniziative e le politiche in materia di istruzione e formazione sviluppate nell'ambito dello spazio europeo dell'istruzione (ad esempio con la coalizione "Istruzione per il clima"); </w:t>
      </w:r>
    </w:p>
    <w:p w14:paraId="62A6190E" w14:textId="4405FB70" w:rsidR="001F6B5D" w:rsidRPr="00B2476E" w:rsidRDefault="003E7F0B" w:rsidP="00215FB3">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il sostegno che può essere fornito dal modello di collaborazione unico tra il mondo accademico, la ricerca e le imprese sviluppato nell'ambito dell'Istituto europeo di innovazione e tecnologia (EIT) e delle sue comunità della conoscenza e dell'innovazione (CCI), in particolare la CCI "</w:t>
      </w:r>
      <w:r>
        <w:rPr>
          <w:rFonts w:ascii="Times New Roman" w:hAnsi="Times New Roman"/>
          <w:noProof/>
          <w:sz w:val="24"/>
        </w:rPr>
        <w:t>EIT Clima"</w:t>
      </w:r>
      <w:r>
        <w:rPr>
          <w:rFonts w:ascii="Times New Roman" w:hAnsi="Times New Roman"/>
          <w:noProof/>
          <w:color w:val="000000" w:themeColor="text1"/>
          <w:sz w:val="24"/>
        </w:rPr>
        <w:t>.</w:t>
      </w:r>
    </w:p>
    <w:p w14:paraId="6389A61C" w14:textId="529FC757" w:rsidR="002D6D8B" w:rsidRPr="00B2476E" w:rsidRDefault="002D6D8B" w:rsidP="00B2476E">
      <w:pPr>
        <w:spacing w:after="120"/>
        <w:jc w:val="both"/>
        <w:textAlignment w:val="baseline"/>
        <w:rPr>
          <w:rFonts w:ascii="Times New Roman" w:hAnsi="Times New Roman" w:cs="Times New Roman"/>
          <w:noProof/>
          <w:sz w:val="24"/>
          <w:szCs w:val="24"/>
        </w:rPr>
      </w:pPr>
      <w:r>
        <w:rPr>
          <w:rFonts w:ascii="Times New Roman" w:hAnsi="Times New Roman"/>
          <w:noProof/>
          <w:sz w:val="24"/>
          <w:u w:val="single"/>
        </w:rPr>
        <w:t>Lotta alla disinformazione:</w:t>
      </w:r>
      <w:r>
        <w:rPr>
          <w:rFonts w:ascii="Times New Roman" w:hAnsi="Times New Roman"/>
          <w:noProof/>
          <w:sz w:val="24"/>
        </w:rPr>
        <w:t xml:space="preserve"> la Commissione contribuirà agli sforzi volti a monitorare e analizzare il modo in cui la disinformazione permea lo spazio pubblico e influisce sulle opinioni e sui comportamenti. Migliorerà l'uso degli strumenti strategici, delle soluzioni digitali e degli approcci di comunicazione pertinenti per combattere la disinformazione in materia di clima. </w:t>
      </w:r>
      <w:r w:rsidR="0082295F">
        <w:rPr>
          <w:rFonts w:ascii="Times New Roman" w:hAnsi="Times New Roman"/>
          <w:noProof/>
          <w:sz w:val="24"/>
        </w:rPr>
        <w:br/>
      </w:r>
      <w:r>
        <w:rPr>
          <w:rFonts w:ascii="Times New Roman" w:hAnsi="Times New Roman"/>
          <w:noProof/>
          <w:sz w:val="24"/>
        </w:rPr>
        <w:t>A tal fine è necessario garantire che il rispetto del regolamento sui servizi digitali disciplini adeguatamente la disinformazione e che la climatologia sia opportunamente tutelata dal rispetto del codice di buone pratiche sulla disinformazione da parte delle società dei social media. Collaborerà inoltre con i partner a livello internazionale per affrontare la disinformazione quale sfida sociale in crescita, che è radicata in incentivi economici sbilanciati e rappresenta una minaccia per il funzionamento dei nostri sistemi democratici.</w:t>
      </w:r>
    </w:p>
    <w:p w14:paraId="4ED6F6AE" w14:textId="2471CDD5" w:rsidR="002D6D8B" w:rsidRPr="009007D4" w:rsidRDefault="002D6D8B" w:rsidP="00215FB3">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5BA2DB1E" w14:textId="57500011" w:rsidR="00775598" w:rsidRPr="0056758B" w:rsidRDefault="00C35222" w:rsidP="00B2476E">
      <w:pPr>
        <w:pStyle w:val="Heading2"/>
        <w:ind w:left="1565" w:hanging="431"/>
        <w:rPr>
          <w:rFonts w:ascii="Times New Roman" w:hAnsi="Times New Roman" w:cs="Times New Roman"/>
          <w:b/>
          <w:bCs/>
          <w:noProof/>
          <w:color w:val="000000" w:themeColor="text1"/>
          <w:sz w:val="24"/>
          <w:szCs w:val="24"/>
        </w:rPr>
      </w:pPr>
      <w:bookmarkStart w:id="40" w:name="_Toc159792204"/>
      <w:r>
        <w:rPr>
          <w:rFonts w:ascii="Times New Roman" w:hAnsi="Times New Roman"/>
          <w:b/>
          <w:noProof/>
          <w:color w:val="000000" w:themeColor="text1"/>
          <w:sz w:val="24"/>
        </w:rPr>
        <w:t>Ricorso a politiche strutturali</w:t>
      </w:r>
      <w:bookmarkEnd w:id="40"/>
    </w:p>
    <w:p w14:paraId="3D3E21EA" w14:textId="77777777" w:rsidR="00BF6EC7" w:rsidRPr="00915255" w:rsidRDefault="00BF6EC7" w:rsidP="00B11E0C">
      <w:pPr>
        <w:spacing w:line="240" w:lineRule="auto"/>
        <w:jc w:val="both"/>
        <w:rPr>
          <w:rFonts w:ascii="Times New Roman" w:eastAsiaTheme="minorHAnsi" w:hAnsi="Times New Roman" w:cs="Times New Roman"/>
          <w:bCs/>
          <w:noProof/>
          <w:color w:val="000000" w:themeColor="text1"/>
          <w:sz w:val="24"/>
          <w:szCs w:val="24"/>
        </w:rPr>
      </w:pPr>
      <w:bookmarkStart w:id="41" w:name="_Hlk153901472"/>
    </w:p>
    <w:p w14:paraId="6C1A6ACF" w14:textId="5DA52CA8" w:rsidR="00F77F36" w:rsidRPr="00915255" w:rsidRDefault="00DF3861" w:rsidP="00A632E5">
      <w:pPr>
        <w:spacing w:after="120"/>
        <w:jc w:val="both"/>
        <w:rPr>
          <w:rFonts w:ascii="Times New Roman" w:eastAsiaTheme="minorHAnsi" w:hAnsi="Times New Roman" w:cs="Times New Roman"/>
          <w:bCs/>
          <w:noProof/>
          <w:color w:val="000000" w:themeColor="text1"/>
          <w:sz w:val="24"/>
          <w:szCs w:val="24"/>
        </w:rPr>
      </w:pPr>
      <w:r>
        <w:rPr>
          <w:rFonts w:ascii="Times New Roman" w:hAnsi="Times New Roman"/>
          <w:noProof/>
          <w:color w:val="000000" w:themeColor="text1"/>
          <w:sz w:val="24"/>
        </w:rPr>
        <w:t xml:space="preserve">Sebbene la distribuzione della titolarità dei rischi tra l'UE e gli Stati membri vari da un settore all'altro, tre ambiti di intervento strutturali sono particolarmente promettenti quando si tratta di gestire i rischi climatici in molti settori. </w:t>
      </w:r>
    </w:p>
    <w:p w14:paraId="002FA01C" w14:textId="1A5BF42A" w:rsidR="008079B5" w:rsidRPr="00915255" w:rsidRDefault="00BF6EC7" w:rsidP="00A632E5">
      <w:pPr>
        <w:spacing w:after="120"/>
        <w:jc w:val="both"/>
        <w:rPr>
          <w:rFonts w:ascii="Times New Roman" w:eastAsiaTheme="minorHAnsi" w:hAnsi="Times New Roman" w:cs="Times New Roman"/>
          <w:bCs/>
          <w:noProof/>
          <w:color w:val="000000" w:themeColor="text1"/>
          <w:sz w:val="24"/>
          <w:szCs w:val="24"/>
        </w:rPr>
      </w:pPr>
      <w:r>
        <w:rPr>
          <w:rFonts w:ascii="Times New Roman" w:hAnsi="Times New Roman"/>
          <w:noProof/>
          <w:color w:val="000000" w:themeColor="text1"/>
          <w:sz w:val="24"/>
          <w:u w:val="single"/>
        </w:rPr>
        <w:t>Migliorare la pianificazione territoriale negli Stati membri:</w:t>
      </w:r>
      <w:r>
        <w:rPr>
          <w:rFonts w:ascii="Times New Roman" w:hAnsi="Times New Roman"/>
          <w:noProof/>
          <w:color w:val="000000" w:themeColor="text1"/>
          <w:sz w:val="24"/>
        </w:rPr>
        <w:t xml:space="preserve"> l'uso e la pianificazione del territorio sono responsabilità nazionali, e spesso locali. Il suolo non è solo un bene, ma ha un significato e un valore specifici a livello locale che vanno al di là dell'aspetto monetario. </w:t>
      </w:r>
      <w:r w:rsidR="0082295F">
        <w:rPr>
          <w:rFonts w:ascii="Times New Roman" w:hAnsi="Times New Roman"/>
          <w:noProof/>
          <w:color w:val="000000" w:themeColor="text1"/>
          <w:sz w:val="24"/>
        </w:rPr>
        <w:br/>
      </w:r>
      <w:r>
        <w:rPr>
          <w:rFonts w:ascii="Times New Roman" w:hAnsi="Times New Roman"/>
          <w:noProof/>
          <w:color w:val="000000" w:themeColor="text1"/>
          <w:sz w:val="24"/>
        </w:rPr>
        <w:t xml:space="preserve">Allo stesso tempo, le decisioni in materia di uso del suolo e pianificazione territoriale incidono sulla resilienza e sull'assicurabilità di comunità ed economie più grandi contro i rischi. Tali decisioni dovrebbero indicare esplicitamente le ipotesi relative ai rischi climatici ed essere approvate dalle autorità nazionali competenti per la resilienza delle infrastrutture e dei soggetti critici. La Commissione prenderà in considerazione opzioni per incentivare l'adozione delle migliori pratiche, anche rafforzando il legame tra la qualità della pianificazione territoriale e marittima e le politiche in materia di coesione, trasporti, pesca, finanza e agricoltura. </w:t>
      </w:r>
      <w:r w:rsidR="0082295F">
        <w:rPr>
          <w:rFonts w:ascii="Times New Roman" w:hAnsi="Times New Roman"/>
          <w:noProof/>
          <w:color w:val="000000" w:themeColor="text1"/>
          <w:sz w:val="24"/>
        </w:rPr>
        <w:br/>
      </w:r>
      <w:r>
        <w:rPr>
          <w:rFonts w:ascii="Times New Roman" w:hAnsi="Times New Roman"/>
          <w:noProof/>
          <w:color w:val="000000" w:themeColor="text1"/>
          <w:sz w:val="24"/>
        </w:rPr>
        <w:t>La Commissione si baserà sui lavori esistenti e includerà i principi di resilienza nell'iniziativa del nuovo Bauhaus europeo</w:t>
      </w:r>
      <w:r w:rsidR="006840A6" w:rsidRPr="001A3A0E">
        <w:rPr>
          <w:rStyle w:val="FootnoteReference"/>
          <w:rFonts w:ascii="Times New Roman" w:eastAsiaTheme="minorHAnsi" w:hAnsi="Times New Roman" w:cs="Times New Roman"/>
          <w:bCs/>
          <w:noProof/>
          <w:color w:val="000000" w:themeColor="text1"/>
          <w:sz w:val="24"/>
          <w:szCs w:val="24"/>
        </w:rPr>
        <w:footnoteReference w:id="32"/>
      </w:r>
      <w:r>
        <w:rPr>
          <w:rFonts w:ascii="Times New Roman" w:hAnsi="Times New Roman"/>
          <w:noProof/>
          <w:color w:val="000000" w:themeColor="text1"/>
          <w:sz w:val="24"/>
        </w:rPr>
        <w:t xml:space="preserve"> per agevolare la pianificazione di comunità resilienti.</w:t>
      </w:r>
    </w:p>
    <w:bookmarkEnd w:id="41"/>
    <w:p w14:paraId="4E7EAE16" w14:textId="135781C8" w:rsidR="000444E6" w:rsidRPr="009248B3" w:rsidRDefault="009A34E2" w:rsidP="00A632E5">
      <w:pPr>
        <w:spacing w:after="120"/>
        <w:jc w:val="both"/>
        <w:rPr>
          <w:rFonts w:ascii="Times New Roman" w:eastAsiaTheme="minorHAnsi" w:hAnsi="Times New Roman" w:cs="Times New Roman"/>
          <w:bCs/>
          <w:noProof/>
          <w:color w:val="000000" w:themeColor="text1"/>
          <w:sz w:val="24"/>
          <w:szCs w:val="24"/>
          <w:u w:val="single"/>
        </w:rPr>
      </w:pPr>
      <w:r>
        <w:rPr>
          <w:rFonts w:ascii="Times New Roman" w:hAnsi="Times New Roman"/>
          <w:noProof/>
          <w:color w:val="000000" w:themeColor="text1"/>
          <w:sz w:val="24"/>
          <w:u w:val="single"/>
        </w:rPr>
        <w:t>Integrare i rischi climatici nella pianificazione e nella manutenzione delle infrastrutture critiche</w:t>
      </w:r>
      <w:r>
        <w:rPr>
          <w:rFonts w:ascii="Times New Roman" w:hAnsi="Times New Roman"/>
          <w:noProof/>
          <w:color w:val="000000" w:themeColor="text1"/>
          <w:sz w:val="24"/>
        </w:rPr>
        <w:t>: strettamente legata alla pianificazione territoriale, la capacità dei governi di preservare le funzioni sociali dipende dalla resilienza dei soggetti che gestiscono infrastrutture critiche per fornire servizi essenziali alla società e all'economia. La direttiva sulla resilienza dei soggetti critici agevola il coordinamento tra gli Stati membri e definisce i processi di valutazione dei rischi per questi ultimi e i soggetti critici. La Commissione invita ciascuno Stato membro a garantire che la valutazione nazionale dei rischi a norma della direttiva sulla resilienza dei soggetti critici</w:t>
      </w:r>
      <w:r w:rsidR="002743A3">
        <w:rPr>
          <w:rStyle w:val="FootnoteReference"/>
          <w:rFonts w:ascii="Times New Roman" w:eastAsiaTheme="minorHAnsi" w:hAnsi="Times New Roman" w:cs="Times New Roman"/>
          <w:bCs/>
          <w:noProof/>
          <w:color w:val="000000" w:themeColor="text1"/>
          <w:sz w:val="24"/>
          <w:szCs w:val="24"/>
          <w:lang w:val="en-IE"/>
        </w:rPr>
        <w:footnoteReference w:id="33"/>
      </w:r>
      <w:r>
        <w:rPr>
          <w:rFonts w:ascii="Times New Roman" w:hAnsi="Times New Roman"/>
          <w:noProof/>
          <w:color w:val="000000" w:themeColor="text1"/>
          <w:sz w:val="24"/>
        </w:rPr>
        <w:t xml:space="preserve"> affronti esplicitamente la resilienza a lungo termine ai rischi climatici dei soggetti interessati e invita gli Stati membri a farlo prima del termine del 2026 fissato nella direttiva. Alcune delle infrastrutture critiche sono concordate e cofinanziate a livello dell'UE, come le reti transeuropee TEN-T e TEN-E, ma anche, ad esempio, le scuole e gli ospedali finanziati dall'UE. La Commissione aggiornerà ed elaborerà i pertinenti documenti di orientamento settoriale. I dati e i servizi satellitari disponibili dovrebbero essere utilizzati appieno per rafforzare la resilienza delle infrastrutture critiche ai rischi climatici.</w:t>
      </w:r>
    </w:p>
    <w:p w14:paraId="070CC3E5" w14:textId="6769D1D1" w:rsidR="00206BE3" w:rsidRPr="00915255" w:rsidRDefault="00493B26" w:rsidP="00A632E5">
      <w:pPr>
        <w:spacing w:after="120"/>
        <w:jc w:val="both"/>
        <w:rPr>
          <w:rFonts w:ascii="Times New Roman" w:eastAsiaTheme="minorHAnsi" w:hAnsi="Times New Roman" w:cs="Times New Roman"/>
          <w:bCs/>
          <w:noProof/>
          <w:color w:val="000000" w:themeColor="text1"/>
          <w:sz w:val="24"/>
          <w:szCs w:val="24"/>
        </w:rPr>
      </w:pPr>
      <w:r>
        <w:rPr>
          <w:rFonts w:ascii="Times New Roman" w:hAnsi="Times New Roman"/>
          <w:noProof/>
          <w:color w:val="000000" w:themeColor="text1"/>
          <w:sz w:val="24"/>
          <w:u w:val="single"/>
        </w:rPr>
        <w:t>Collegare la solidarietà a livello dell'UE con adeguate misure nazionali di resilienza:</w:t>
      </w:r>
      <w:r>
        <w:rPr>
          <w:rFonts w:ascii="Times New Roman" w:hAnsi="Times New Roman"/>
          <w:noProof/>
          <w:color w:val="000000" w:themeColor="text1"/>
          <w:sz w:val="24"/>
        </w:rPr>
        <w:t xml:space="preserve"> se le capacità nazionali si dimostrano insufficienti, le capacità di protezione civile e altri meccanismi di solidarietà a livello dell'UE (tra cui l'UCPM, il Fondo di solidarietà dell'UE, gli investimenti strutturali nell'ambito della politica di coesione, alcuni strumenti nell'ambito della politica agricola comune e altri pacchetti di sostegno settoriale) possono essere mobilitati per proteggere le persone dagli impatti climatici e aiutarle a riprendersi più rapidamente. Tuttavia le capacità a livello sia nazionale che dell'UE sono già messe a dura prova, mentre le pressioni causate dai rischi continueranno ad aumentare. Dal 2019 l'UCPM è stato attivato e ha coordinato l'assistenza 76 volte negli Stati membri dell'UE e nei paesi terzi per situazioni di emergenza legate al clima (inondazioni estreme, incendi boschivi, tempeste e siccità acuta). Oltre 8,6</w:t>
      </w:r>
      <w:r w:rsidR="0082295F">
        <w:rPr>
          <w:rFonts w:ascii="Times New Roman" w:hAnsi="Times New Roman"/>
          <w:noProof/>
          <w:color w:val="000000" w:themeColor="text1"/>
          <w:sz w:val="24"/>
        </w:rPr>
        <w:t> </w:t>
      </w:r>
      <w:r>
        <w:rPr>
          <w:rFonts w:ascii="Times New Roman" w:hAnsi="Times New Roman"/>
          <w:noProof/>
          <w:color w:val="000000" w:themeColor="text1"/>
          <w:sz w:val="24"/>
        </w:rPr>
        <w:t>miliardi di EUR sono stati spesi a titolo del Fondo di solidarietà dell'UE per sostenere 24 Stati membri e 4 paesi in via di adesione in seguito a 110 calamità naturali.</w:t>
      </w:r>
    </w:p>
    <w:p w14:paraId="15F9BD92" w14:textId="5B1F4B96" w:rsidR="00953775" w:rsidRPr="001A3A0E" w:rsidRDefault="00992300" w:rsidP="00A632E5">
      <w:pPr>
        <w:spacing w:after="120"/>
        <w:jc w:val="both"/>
        <w:rPr>
          <w:rFonts w:ascii="Times New Roman" w:eastAsiaTheme="minorHAnsi" w:hAnsi="Times New Roman" w:cs="Times New Roman"/>
          <w:noProof/>
          <w:sz w:val="24"/>
          <w:szCs w:val="24"/>
        </w:rPr>
      </w:pPr>
      <w:r>
        <w:rPr>
          <w:rFonts w:ascii="Times New Roman" w:hAnsi="Times New Roman"/>
          <w:noProof/>
          <w:color w:val="000000" w:themeColor="text1"/>
          <w:sz w:val="24"/>
        </w:rPr>
        <w:t>I meccanismi di solidarietà devono essere dotati di risorse adeguate per garantire che l'UE possa aiutare coloro che ne hanno bisogno. I sistemi e i mezzi di protezione civile devono essere adeguati alle esigenze future, mediante investimenti nella gestione del rischio di catastrofi da parte dell'UE e degli Stati membri, nei mezzi di risposta e nelle competenze che possono essere rapidamente dispiegati a livello transfrontaliero. Ciò dovrebbe integrare pienamente i rischi climatici nei processi di gestione del rischio di catastrofi, come stabilito negli obiettivi dell'Unione in materia di resilienza alle catastrofi</w:t>
      </w:r>
      <w:r w:rsidR="009C6C0A" w:rsidRPr="00915255">
        <w:rPr>
          <w:rStyle w:val="FootnoteReference"/>
          <w:rFonts w:ascii="Times New Roman" w:hAnsi="Times New Roman" w:cs="Times New Roman"/>
          <w:noProof/>
          <w:color w:val="000000" w:themeColor="text1"/>
          <w:sz w:val="24"/>
          <w:szCs w:val="24"/>
          <w:lang w:val="en-IE"/>
        </w:rPr>
        <w:footnoteReference w:id="34"/>
      </w:r>
      <w:r>
        <w:rPr>
          <w:rFonts w:ascii="Times New Roman" w:hAnsi="Times New Roman"/>
          <w:noProof/>
          <w:color w:val="000000" w:themeColor="text1"/>
          <w:sz w:val="24"/>
        </w:rPr>
        <w:t xml:space="preserve"> e nella relazione della Commissione sulla prevenzione dei rischi di catastrofi in Europa</w:t>
      </w:r>
      <w:r w:rsidR="009C6C0A" w:rsidRPr="00915255">
        <w:rPr>
          <w:rFonts w:ascii="Times New Roman" w:hAnsi="Times New Roman" w:cs="Times New Roman"/>
          <w:noProof/>
          <w:color w:val="000000" w:themeColor="text1"/>
          <w:sz w:val="24"/>
          <w:szCs w:val="24"/>
          <w:vertAlign w:val="superscript"/>
          <w:lang w:val="en-IE"/>
        </w:rPr>
        <w:footnoteReference w:id="35"/>
      </w:r>
      <w:r>
        <w:rPr>
          <w:rFonts w:ascii="Times New Roman" w:hAnsi="Times New Roman"/>
          <w:noProof/>
          <w:color w:val="000000" w:themeColor="text1"/>
          <w:sz w:val="24"/>
        </w:rPr>
        <w:t xml:space="preserve">. Poiché le capacità di risposta e ripresa dell'UE possono esaurirsi con l'aumento dei rischi, la Commissione valuterà in che modo i meccanismi di solidarietà possano incentivare meglio azioni preventive adeguate per i rischi principali da parte degli Stati membri, anche nell'interesse della sostenibilità di bilancio, rafforzando nel contempo la gestione, la preparazione e la risposta dell'UE al rischio di catastrofi. </w:t>
      </w:r>
    </w:p>
    <w:p w14:paraId="7A258CF1" w14:textId="61A3243A" w:rsidR="00114A90" w:rsidRPr="009007D4" w:rsidRDefault="0082295F" w:rsidP="004615FF">
      <w:pPr>
        <w:spacing w:after="120" w:line="240" w:lineRule="auto"/>
        <w:jc w:val="both"/>
        <w:rPr>
          <w:rFonts w:ascii="Times New Roman" w:eastAsiaTheme="minorHAnsi" w:hAnsi="Times New Roman" w:cs="Times New Roman"/>
          <w:bCs/>
          <w:noProof/>
          <w:color w:val="000000" w:themeColor="text1"/>
          <w:sz w:val="24"/>
          <w:szCs w:val="24"/>
        </w:rPr>
      </w:pPr>
      <w:r>
        <w:rPr>
          <w:rFonts w:ascii="Times New Roman" w:eastAsiaTheme="minorHAnsi" w:hAnsi="Times New Roman" w:cs="Times New Roman"/>
          <w:bCs/>
          <w:noProof/>
          <w:color w:val="000000" w:themeColor="text1"/>
          <w:sz w:val="24"/>
          <w:szCs w:val="24"/>
        </w:rPr>
        <w:br/>
      </w:r>
    </w:p>
    <w:p w14:paraId="1DB84872" w14:textId="538850D2" w:rsidR="00775598" w:rsidRPr="00420C4C" w:rsidRDefault="009D7A8F" w:rsidP="00B2476E">
      <w:pPr>
        <w:pStyle w:val="Heading2"/>
        <w:ind w:left="1565" w:hanging="431"/>
        <w:rPr>
          <w:rFonts w:ascii="Times New Roman" w:hAnsi="Times New Roman" w:cs="Times New Roman"/>
          <w:b/>
          <w:bCs/>
          <w:noProof/>
          <w:color w:val="000000" w:themeColor="text1"/>
          <w:sz w:val="24"/>
          <w:szCs w:val="24"/>
        </w:rPr>
      </w:pPr>
      <w:bookmarkStart w:id="42" w:name="_Toc157700411"/>
      <w:bookmarkStart w:id="43" w:name="_Toc159792205"/>
      <w:bookmarkEnd w:id="42"/>
      <w:r>
        <w:rPr>
          <w:rFonts w:ascii="Times New Roman" w:hAnsi="Times New Roman"/>
          <w:b/>
          <w:noProof/>
          <w:color w:val="000000" w:themeColor="text1"/>
          <w:sz w:val="24"/>
        </w:rPr>
        <w:t>Requisiti adeguati per finanziare la resilienza ai cambiamenti climatici</w:t>
      </w:r>
      <w:bookmarkEnd w:id="43"/>
    </w:p>
    <w:p w14:paraId="5C66F85A" w14:textId="77777777" w:rsidR="00BF6EC7" w:rsidRPr="009007D4" w:rsidRDefault="00BF6EC7" w:rsidP="00B11E0C">
      <w:pPr>
        <w:jc w:val="both"/>
        <w:textAlignment w:val="baseline"/>
        <w:rPr>
          <w:rFonts w:ascii="Times New Roman" w:eastAsia="Times New Roman" w:hAnsi="Times New Roman" w:cs="Times New Roman"/>
          <w:noProof/>
          <w:color w:val="000000" w:themeColor="text1"/>
          <w:sz w:val="24"/>
          <w:szCs w:val="24"/>
          <w:lang w:eastAsia="en-IE"/>
        </w:rPr>
      </w:pPr>
    </w:p>
    <w:p w14:paraId="3FED802B" w14:textId="0974F746" w:rsidR="00CC5085" w:rsidRPr="00915255" w:rsidRDefault="00EE0C15" w:rsidP="41D030ED">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I decisori politici, gli investitori e le imprese devono comprendere le esigenze e le lacune in materia di investimenti e protezione, progettare interventi mirati sulla base del potenziale impatto e dell'urgenza, coinvolgere i titolari dei rischi e definire strategie di finanziamento a lungo termine. Per gestire efficacemente i rischi climatici, la spesa pubblica a livello dell'UE e nazionale, compresi gli investimenti sociali, e gli incentivi per gli investimenti privati dovrebbero essere concepiti in modo tale da rendere la prevenzione delle perturbazioni e dei danni legati al clima la scelta migliore dal punto di vista economico. Occorre garantire il rispetto delle norme in materia di aiuti di Stato. Alla luce di quanto precede sono necessarie le azioni di seguito illustrate.</w:t>
      </w:r>
    </w:p>
    <w:p w14:paraId="249B7C70" w14:textId="20FF077E" w:rsidR="008733E5" w:rsidRPr="00BE25FA" w:rsidRDefault="008733E5" w:rsidP="00774220">
      <w:pPr>
        <w:spacing w:after="120"/>
        <w:jc w:val="both"/>
        <w:textAlignment w:val="baseline"/>
        <w:rPr>
          <w:rFonts w:ascii="Times New Roman" w:hAnsi="Times New Roman"/>
          <w:noProof/>
          <w:color w:val="000000" w:themeColor="text1"/>
          <w:sz w:val="24"/>
          <w:highlight w:val="yellow"/>
          <w:u w:val="single"/>
        </w:rPr>
      </w:pPr>
      <w:r>
        <w:rPr>
          <w:rFonts w:ascii="Times New Roman" w:hAnsi="Times New Roman"/>
          <w:noProof/>
          <w:color w:val="000000" w:themeColor="text1"/>
          <w:sz w:val="24"/>
          <w:u w:val="single"/>
        </w:rPr>
        <w:t xml:space="preserve">Garantire che la spesa dell'UE sia resiliente ai cambiamenti climatici: </w:t>
      </w:r>
      <w:r>
        <w:rPr>
          <w:rFonts w:ascii="Times New Roman" w:hAnsi="Times New Roman"/>
          <w:noProof/>
          <w:color w:val="000000" w:themeColor="text1"/>
          <w:sz w:val="24"/>
        </w:rPr>
        <w:t>la Commissione integrerà le considerazioni relative all'adattamento ai cambiamenti climatici nell'attuazione dei programmi e delle attività dell'UE nell'ambito del principio "non arrecare un danno significativo" stabilito nel regolamento finanziario per il quadro finanziario pluriennale post 2027, ove possibile e opportuno. Ciò garantirà che tutti i pertinenti programmi dell'UE contribuiscano alla resilienza ai cambiamenti climatici.</w:t>
      </w:r>
    </w:p>
    <w:p w14:paraId="36554D86" w14:textId="1B61B347" w:rsidR="00E06696" w:rsidRPr="001A3A0E" w:rsidRDefault="0004542D" w:rsidP="00B160B9">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Integrare la resilienza ai cambiamenti climatici negli appalti pubblici</w:t>
      </w:r>
      <w:r>
        <w:rPr>
          <w:rFonts w:ascii="Times New Roman" w:hAnsi="Times New Roman"/>
          <w:noProof/>
          <w:color w:val="000000" w:themeColor="text1"/>
          <w:sz w:val="24"/>
        </w:rPr>
        <w:t>: gli appalti pubblici rappresentano il 14 % del PIL dell'UE e devono tenere conto dei rischi climatici. Per quanto riguarda in particolare le decisioni in materia di infrastrutture, questa politica svolge un ruolo fondamentale nel sostenere la resilienza ai cambiamenti climatici dei beni nonché nel promuovere la consapevolezza e la conoscenza delle imprese offerenti in merito alla resilienza ai cambiamenti climatici. La Commissione terrà in considerazione i rischi climatici come un elemento in caso di riesame del quadro normativo per gli appalti. Parallelamente, invita gli Stati membri a tenere conto, tra l'altro, dei rischi climatici quando si includono criteri di sostenibilità ambientale nelle gare d'appalto, ad esempio attraverso un'attuazione accelerata delle disposizioni della normativa sull'industria a zero emissioni nette</w:t>
      </w:r>
      <w:r w:rsidR="00CA7DFD">
        <w:rPr>
          <w:rStyle w:val="FootnoteReference"/>
          <w:rFonts w:ascii="Times New Roman" w:eastAsia="Times New Roman" w:hAnsi="Times New Roman" w:cs="Times New Roman"/>
          <w:noProof/>
          <w:color w:val="000000" w:themeColor="text1"/>
          <w:sz w:val="24"/>
          <w:szCs w:val="24"/>
          <w:lang w:val="en-IE" w:eastAsia="en-IE"/>
        </w:rPr>
        <w:footnoteReference w:id="36"/>
      </w:r>
      <w:r>
        <w:rPr>
          <w:rFonts w:ascii="Times New Roman" w:hAnsi="Times New Roman"/>
          <w:noProof/>
          <w:color w:val="000000" w:themeColor="text1"/>
          <w:sz w:val="24"/>
        </w:rPr>
        <w:t xml:space="preserve"> relative ai criteri diversi dal prezzo nella progettazione della gara d'appalto. </w:t>
      </w:r>
    </w:p>
    <w:p w14:paraId="0AC87FEC" w14:textId="43E7AD9A" w:rsidR="003E4442" w:rsidRPr="000B0E9A" w:rsidRDefault="003E4442" w:rsidP="00D70311">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Mobilitare finanziamenti per rafforzare la resilienza</w:t>
      </w:r>
      <w:r>
        <w:rPr>
          <w:rFonts w:ascii="Times New Roman" w:hAnsi="Times New Roman"/>
          <w:noProof/>
          <w:color w:val="000000" w:themeColor="text1"/>
          <w:sz w:val="24"/>
        </w:rPr>
        <w:t xml:space="preserve">: per affrontare con successo i rischi climatici e rafforzare la resilienza ai cambiamenti climatici è fondamentale attrarre e agevolare gli investimenti privati. Sulla base dei lavori del dialogo sulla resilienza climatica e di altri lavori pertinenti, la Commissione convocherà un gruppo di riflessione temporaneo sulla mobilitazione di finanziamenti per la resilienza ai cambiamenti climatici che rifletterà su come agevolare i finanziamenti in questo ambito. Il gruppo di riflessione riunirà i principali attori industriali e rappresentanti delle istituzioni finanziarie pubbliche e private. Può inoltre attingere alle conoscenze della Banca europea per gli investimenti e dell'Autorità europea delle assicurazioni e delle pensioni aziendali e professionali nel settore del finanziamento dell'adattamento e del rafforzamento della resilienza. Individuerà le migliori pratiche e identificherà gli ostacoli e le condizioni favorevoli al finanziamento della resilienza ai cambiamenti climatici. La Commissione terrà conto dei risultati di tali discussioni al fine di rafforzare i finanziamenti per la resilienza ai cambiamenti climatici. </w:t>
      </w:r>
    </w:p>
    <w:p w14:paraId="413219F1" w14:textId="07145287" w:rsidR="0053389F" w:rsidRPr="00420C4C" w:rsidRDefault="0053389F" w:rsidP="00B2476E">
      <w:pPr>
        <w:pStyle w:val="Heading1"/>
        <w:numPr>
          <w:ilvl w:val="0"/>
          <w:numId w:val="1"/>
        </w:numPr>
        <w:ind w:left="357" w:hanging="357"/>
        <w:rPr>
          <w:rFonts w:ascii="Times New Roman" w:hAnsi="Times New Roman" w:cs="Times New Roman"/>
          <w:b/>
          <w:bCs/>
          <w:noProof/>
          <w:color w:val="000000" w:themeColor="text1"/>
          <w:sz w:val="24"/>
          <w:szCs w:val="24"/>
        </w:rPr>
      </w:pPr>
      <w:bookmarkStart w:id="44" w:name="_Toc159792206"/>
      <w:r>
        <w:rPr>
          <w:rFonts w:ascii="Times New Roman" w:hAnsi="Times New Roman"/>
          <w:b/>
          <w:noProof/>
          <w:color w:val="000000" w:themeColor="text1"/>
          <w:sz w:val="24"/>
        </w:rPr>
        <w:t>Principali azioni dell'UE nei principali cluster interessati</w:t>
      </w:r>
      <w:bookmarkEnd w:id="44"/>
      <w:r>
        <w:rPr>
          <w:rFonts w:ascii="Times New Roman" w:hAnsi="Times New Roman"/>
          <w:b/>
          <w:noProof/>
          <w:color w:val="000000" w:themeColor="text1"/>
          <w:sz w:val="24"/>
        </w:rPr>
        <w:t xml:space="preserve"> </w:t>
      </w:r>
    </w:p>
    <w:p w14:paraId="6E37C4D5" w14:textId="77777777" w:rsidR="0004542D" w:rsidRPr="009007D4" w:rsidRDefault="0004542D" w:rsidP="00B11E0C">
      <w:pPr>
        <w:jc w:val="both"/>
        <w:textAlignment w:val="baseline"/>
        <w:rPr>
          <w:rFonts w:ascii="Times New Roman" w:eastAsia="Times New Roman" w:hAnsi="Times New Roman" w:cs="Times New Roman"/>
          <w:noProof/>
          <w:color w:val="000000" w:themeColor="text1"/>
          <w:sz w:val="24"/>
          <w:szCs w:val="24"/>
          <w:lang w:eastAsia="en-IE"/>
        </w:rPr>
      </w:pPr>
    </w:p>
    <w:p w14:paraId="4F10C5A6" w14:textId="62891F93" w:rsidR="00F435E9" w:rsidRDefault="00782A85" w:rsidP="00FE40B8">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I rischi climatici e le politiche dell'UE sono interconnessi in molti modi. </w:t>
      </w:r>
      <w:bookmarkStart w:id="45" w:name="_Hlk157872449"/>
      <w:r>
        <w:rPr>
          <w:rFonts w:ascii="Times New Roman" w:hAnsi="Times New Roman"/>
          <w:b/>
          <w:noProof/>
          <w:color w:val="000000" w:themeColor="text1"/>
          <w:sz w:val="24"/>
        </w:rPr>
        <w:t>La maggior parte delle politiche dell'UE comprende già processi decisionali che potrebbero tenere conto dei rischi climatici. I numerosi elementi di prova presentati nella relazione EUCRA confluiranno in questi processi</w:t>
      </w:r>
      <w:bookmarkEnd w:id="45"/>
      <w:r>
        <w:rPr>
          <w:b/>
          <w:noProof/>
        </w:rPr>
        <w:t>.</w:t>
      </w:r>
      <w:r>
        <w:rPr>
          <w:rFonts w:ascii="Times New Roman" w:hAnsi="Times New Roman"/>
          <w:b/>
          <w:noProof/>
          <w:color w:val="000000" w:themeColor="text1"/>
          <w:sz w:val="24"/>
        </w:rPr>
        <w:t xml:space="preserve"> </w:t>
      </w:r>
      <w:r>
        <w:rPr>
          <w:rFonts w:ascii="Times New Roman" w:hAnsi="Times New Roman"/>
          <w:noProof/>
          <w:color w:val="000000" w:themeColor="text1"/>
          <w:sz w:val="24"/>
        </w:rPr>
        <w:t>La presente sezione definisce le azioni specifiche dedicate ai cluster interessati selezionati che la Commissione porterà avanti, in aggiunta ai lavori già in corso.</w:t>
      </w:r>
    </w:p>
    <w:p w14:paraId="2EE6E041" w14:textId="77777777" w:rsidR="00234B23" w:rsidRPr="009007D4" w:rsidRDefault="00234B23" w:rsidP="00FE40B8">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5FBDAE14" w14:textId="57546045" w:rsidR="004E2378" w:rsidRPr="00420C4C" w:rsidRDefault="007965EF"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46" w:name="_Toc159792207"/>
      <w:r>
        <w:rPr>
          <w:rFonts w:ascii="Times New Roman" w:hAnsi="Times New Roman"/>
          <w:b/>
          <w:noProof/>
          <w:color w:val="000000" w:themeColor="text1"/>
          <w:sz w:val="24"/>
        </w:rPr>
        <w:t>Ecosistemi naturali</w:t>
      </w:r>
      <w:bookmarkEnd w:id="46"/>
    </w:p>
    <w:p w14:paraId="48EEF110" w14:textId="77777777" w:rsidR="00C4304F" w:rsidRPr="00915255" w:rsidRDefault="00C4304F" w:rsidP="00291D56">
      <w:pPr>
        <w:spacing w:line="240" w:lineRule="auto"/>
        <w:jc w:val="both"/>
        <w:rPr>
          <w:rFonts w:ascii="Times New Roman" w:hAnsi="Times New Roman" w:cs="Times New Roman"/>
          <w:noProof/>
          <w:color w:val="000000" w:themeColor="text1"/>
          <w:sz w:val="24"/>
          <w:szCs w:val="24"/>
          <w:lang w:val="en-IE" w:eastAsia="en-IE"/>
        </w:rPr>
      </w:pPr>
    </w:p>
    <w:p w14:paraId="0C89F8C2" w14:textId="4AB1B516" w:rsidR="00291D56" w:rsidRPr="00915255" w:rsidRDefault="0031372F" w:rsidP="00A632E5">
      <w:pPr>
        <w:spacing w:after="120"/>
        <w:jc w:val="both"/>
        <w:rPr>
          <w:rFonts w:ascii="Times New Roman" w:hAnsi="Times New Roman" w:cs="Times New Roman"/>
          <w:noProof/>
          <w:color w:val="000000" w:themeColor="text1"/>
          <w:sz w:val="24"/>
          <w:szCs w:val="24"/>
        </w:rPr>
      </w:pPr>
      <w:bookmarkStart w:id="47" w:name="_Hlk158191442"/>
      <w:r>
        <w:rPr>
          <w:rFonts w:ascii="Times New Roman" w:hAnsi="Times New Roman"/>
          <w:noProof/>
          <w:sz w:val="24"/>
        </w:rPr>
        <w:t xml:space="preserve">Oltre a sostenere la biodiversità stessa, gli </w:t>
      </w:r>
      <w:r>
        <w:rPr>
          <w:rFonts w:ascii="Times New Roman" w:hAnsi="Times New Roman"/>
          <w:noProof/>
          <w:color w:val="000000" w:themeColor="text1"/>
          <w:sz w:val="24"/>
        </w:rPr>
        <w:t xml:space="preserve">ecosistemi naturali forniscono servizi essenziali per la vita quali acqua dolce, cibo e biomateriali, sequestro del carbonio, controllo dell'erosione del suolo e delle coste, prevenzione delle alluvioni e della siccità, raffreddamento delle aree urbane densamente popolate. Si stima che oltre la metà del PIL totale mondiale dipenda moderatamente o fortemente dalla natura e dalla biodiversità. Gli ecosistemi sani regolano da sé il proprio equilibrio, ma possono anche rapidamente collassare se vengono superate le soglie critiche. </w:t>
      </w:r>
      <w:r>
        <w:rPr>
          <w:rFonts w:ascii="Times New Roman" w:hAnsi="Times New Roman"/>
          <w:noProof/>
          <w:sz w:val="24"/>
        </w:rPr>
        <w:t>L'impatto negativo più immediato interesserà la sicurezza alimentare, le comunità locali e i settori economici che sono maggiormente dipendenti da una natura sana</w:t>
      </w:r>
      <w:r>
        <w:rPr>
          <w:rFonts w:ascii="Times New Roman" w:hAnsi="Times New Roman"/>
          <w:noProof/>
          <w:color w:val="000000" w:themeColor="text1"/>
          <w:sz w:val="24"/>
        </w:rPr>
        <w:t>. Per mantenere e ripristinare la resilienza degli ecosistemi e dei loro servizi, sarà necessario preservare in modo efficace ed equo circa il 30-50 % dei terreni, delle acque dolci e degli oceani del pianeta</w:t>
      </w:r>
      <w:r w:rsidR="00CA14DC" w:rsidRPr="00915255">
        <w:rPr>
          <w:rStyle w:val="FootnoteReference"/>
          <w:rFonts w:ascii="Times New Roman" w:hAnsi="Times New Roman" w:cs="Times New Roman"/>
          <w:noProof/>
          <w:color w:val="000000" w:themeColor="text1"/>
          <w:sz w:val="24"/>
          <w:szCs w:val="24"/>
          <w:lang w:val="en-IE" w:eastAsia="en-IE"/>
        </w:rPr>
        <w:footnoteReference w:id="37"/>
      </w:r>
      <w:r>
        <w:rPr>
          <w:rFonts w:ascii="Times New Roman" w:hAnsi="Times New Roman"/>
          <w:noProof/>
          <w:color w:val="000000" w:themeColor="text1"/>
          <w:sz w:val="24"/>
        </w:rPr>
        <w:t xml:space="preserve">. </w:t>
      </w:r>
    </w:p>
    <w:bookmarkEnd w:id="47"/>
    <w:p w14:paraId="52571491" w14:textId="629103B5" w:rsidR="00295851" w:rsidRPr="001A3A0E" w:rsidRDefault="00463836"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sz w:val="24"/>
        </w:rPr>
        <w:t>Le soluzioni basate sulla natura adeguate alle esigenze future possono essere efficaci sotto il profilo dei costi e rafforzare la resilienza; dovrebbero inoltre essere la prima scelta di adattamento ai cambiamenti climatici ogniqualvolta possibile</w:t>
      </w:r>
      <w:r>
        <w:rPr>
          <w:rFonts w:ascii="Times New Roman" w:hAnsi="Times New Roman"/>
          <w:noProof/>
          <w:color w:val="000000" w:themeColor="text1"/>
          <w:sz w:val="24"/>
        </w:rPr>
        <w:t xml:space="preserve">. </w:t>
      </w:r>
      <w:r>
        <w:rPr>
          <w:rFonts w:ascii="Times New Roman" w:hAnsi="Times New Roman"/>
          <w:noProof/>
          <w:sz w:val="24"/>
        </w:rPr>
        <w:t xml:space="preserve">Ai fini di una gestione efficace dei rischi climatici, gli ecosistemi devono essere protetti e gestiti in modo globale e </w:t>
      </w:r>
      <w:r>
        <w:rPr>
          <w:rFonts w:ascii="Times New Roman" w:hAnsi="Times New Roman"/>
          <w:noProof/>
          <w:sz w:val="24"/>
          <w:u w:val="single"/>
        </w:rPr>
        <w:t>le valutazioni della ricchezza e dell'attività economica dovrebbero includere pienamente il capitale naturale</w:t>
      </w:r>
      <w:r w:rsidR="00E01EF8" w:rsidRPr="000C2827">
        <w:rPr>
          <w:rStyle w:val="FootnoteReference"/>
          <w:rFonts w:ascii="Times New Roman" w:hAnsi="Times New Roman" w:cs="Times New Roman"/>
          <w:noProof/>
          <w:color w:val="000000" w:themeColor="text1"/>
          <w:sz w:val="24"/>
          <w:szCs w:val="24"/>
          <w:u w:val="single"/>
          <w:lang w:val="en-IE" w:eastAsia="en-IE"/>
        </w:rPr>
        <w:footnoteReference w:id="38"/>
      </w:r>
      <w:r>
        <w:rPr>
          <w:rFonts w:ascii="Times New Roman" w:hAnsi="Times New Roman"/>
          <w:noProof/>
          <w:color w:val="000000" w:themeColor="text1"/>
          <w:sz w:val="24"/>
        </w:rPr>
        <w:t xml:space="preserve"> utilizzando i recenti progressi metodologici</w:t>
      </w:r>
      <w:r>
        <w:rPr>
          <w:rFonts w:ascii="Times New Roman" w:hAnsi="Times New Roman"/>
          <w:noProof/>
          <w:sz w:val="24"/>
        </w:rPr>
        <w:t>. L'attuazione delle direttive Uccelli e Habitat e lo sviluppo dei piani nazionali di ripristino nell'ambito dell'imminente normativa sul ripristino della natura dovrebbero garantire sinergie con la resilienza ai cambiamenti climatici.</w:t>
      </w:r>
      <w:r>
        <w:rPr>
          <w:rFonts w:ascii="Times New Roman" w:hAnsi="Times New Roman"/>
          <w:noProof/>
          <w:color w:val="000000" w:themeColor="text1"/>
          <w:sz w:val="24"/>
        </w:rPr>
        <w:t xml:space="preserve"> Per sostenere l'adattamento ai cambiamenti climatici nelle zone protette, la Commissione aggiornerà gli orientamenti sui cambiamenti climatici e Natura 2000.</w:t>
      </w:r>
    </w:p>
    <w:p w14:paraId="4AB37EB7" w14:textId="17E52691" w:rsidR="00352E3B" w:rsidRPr="00915255" w:rsidRDefault="00C14B2C"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Sono necessari ulteriori sforzi per </w:t>
      </w:r>
      <w:r>
        <w:rPr>
          <w:rFonts w:ascii="Times New Roman" w:hAnsi="Times New Roman"/>
          <w:noProof/>
          <w:color w:val="000000" w:themeColor="text1"/>
          <w:sz w:val="24"/>
          <w:u w:val="single"/>
        </w:rPr>
        <w:t>prevenire gravi perturbazioni forestali e migliorare il grado di preparazione</w:t>
      </w:r>
      <w:r>
        <w:rPr>
          <w:rFonts w:ascii="Times New Roman" w:hAnsi="Times New Roman"/>
          <w:noProof/>
          <w:color w:val="000000" w:themeColor="text1"/>
          <w:sz w:val="24"/>
        </w:rPr>
        <w:t xml:space="preserve">. La Commissione farà ricorso alle azioni dell'UCPM per promuovere la prevenzione del rischio di incendi boschivi e ai regolamenti proposti su un quadro di monitoraggio per le foreste europee resilienti e sul materiale forestale di moltiplicazione, e prenderà in considerazione le pressioni climatiche al fine di stimare il potenziale contributo dei pozzi di assorbimento del carbonio agli obiettivi dell'UE per l'azzeramento delle emissioni nette. </w:t>
      </w:r>
    </w:p>
    <w:p w14:paraId="2BACEF58" w14:textId="5D31F238" w:rsidR="002A4652" w:rsidRPr="005120FA" w:rsidRDefault="002D71AA" w:rsidP="00A632E5">
      <w:pPr>
        <w:spacing w:after="120"/>
        <w:jc w:val="both"/>
        <w:rPr>
          <w:rFonts w:ascii="Times New Roman" w:hAnsi="Times New Roman" w:cs="Times New Roman"/>
          <w:noProof/>
          <w:sz w:val="24"/>
          <w:szCs w:val="24"/>
        </w:rPr>
      </w:pPr>
      <w:r>
        <w:rPr>
          <w:rFonts w:ascii="Times New Roman" w:hAnsi="Times New Roman"/>
          <w:noProof/>
          <w:sz w:val="24"/>
        </w:rPr>
        <w:t xml:space="preserve">Gli Stati membri devono </w:t>
      </w:r>
      <w:r>
        <w:rPr>
          <w:rFonts w:ascii="Times New Roman" w:hAnsi="Times New Roman"/>
          <w:noProof/>
          <w:sz w:val="24"/>
          <w:u w:val="single"/>
        </w:rPr>
        <w:t>migliorare la salute degli ecosistemi marini</w:t>
      </w:r>
      <w:r>
        <w:rPr>
          <w:rFonts w:ascii="Times New Roman" w:hAnsi="Times New Roman"/>
          <w:noProof/>
          <w:sz w:val="24"/>
        </w:rPr>
        <w:t>. La Commissione invita gli Stati membri a utilizzare al meglio la direttiva quadro sulla strategia per l'ambiente marino, la normativa sul ripristino della natura e il piano d'azione per l'ambiente marino</w:t>
      </w:r>
      <w:r w:rsidR="002A4652" w:rsidRPr="001A3A0E">
        <w:rPr>
          <w:rStyle w:val="FootnoteReference"/>
          <w:rFonts w:ascii="Times New Roman" w:hAnsi="Times New Roman" w:cs="Times New Roman"/>
          <w:noProof/>
          <w:sz w:val="24"/>
          <w:szCs w:val="24"/>
        </w:rPr>
        <w:footnoteReference w:id="39"/>
      </w:r>
      <w:r>
        <w:rPr>
          <w:rFonts w:ascii="Times New Roman" w:hAnsi="Times New Roman"/>
          <w:noProof/>
          <w:sz w:val="24"/>
        </w:rPr>
        <w:t xml:space="preserve"> per rafforzare la resilienza e preservare la diversità di tutti gli ecosistemi marini al fine di mantenere la loro capacità produttiva di fornire alimenti, materiali e servizi ecosistemici. Le azioni nell'ambito della missione dell'UE "Far rivivere i nostri mari e le nostre acque"</w:t>
      </w:r>
      <w:r w:rsidR="00507E1A">
        <w:rPr>
          <w:rStyle w:val="FootnoteReference"/>
          <w:rFonts w:ascii="Times New Roman" w:hAnsi="Times New Roman" w:cs="Times New Roman"/>
          <w:noProof/>
          <w:sz w:val="24"/>
          <w:szCs w:val="24"/>
        </w:rPr>
        <w:footnoteReference w:id="40"/>
      </w:r>
      <w:r>
        <w:rPr>
          <w:rFonts w:ascii="Times New Roman" w:hAnsi="Times New Roman"/>
          <w:noProof/>
          <w:sz w:val="24"/>
        </w:rPr>
        <w:t xml:space="preserve"> contribuiscono a un'ampia gamma di soluzioni di questo tipo. Al fine di garantire una pesca sostenibile in un clima in evoluzione, le sinergie tra la politica comune della pesca e la legislazione ambientale, come proposto nel patto per la pesca e gli oceani, dovrebbero essere pienamente sfruttate per garantire la sicurezza alimentare e i mezzi di sussistenza per i pescatori e le comunità costiere.</w:t>
      </w:r>
    </w:p>
    <w:p w14:paraId="2466D47E" w14:textId="6026276F" w:rsidR="002A4652" w:rsidRPr="001A3A0E" w:rsidRDefault="00C512C3" w:rsidP="00A632E5">
      <w:pPr>
        <w:spacing w:after="120"/>
        <w:jc w:val="both"/>
        <w:rPr>
          <w:rFonts w:ascii="Times New Roman" w:hAnsi="Times New Roman" w:cs="Times New Roman"/>
          <w:noProof/>
          <w:sz w:val="24"/>
          <w:szCs w:val="24"/>
        </w:rPr>
      </w:pPr>
      <w:r>
        <w:rPr>
          <w:rFonts w:ascii="Times New Roman" w:hAnsi="Times New Roman"/>
          <w:noProof/>
          <w:sz w:val="24"/>
        </w:rPr>
        <w:t xml:space="preserve">Gli elementi fondamentali di un </w:t>
      </w:r>
      <w:r>
        <w:rPr>
          <w:rFonts w:ascii="Times New Roman" w:hAnsi="Times New Roman"/>
          <w:noProof/>
          <w:sz w:val="24"/>
          <w:u w:val="single"/>
        </w:rPr>
        <w:t>paesaggio resiliente ai cambiamenti climatici</w:t>
      </w:r>
      <w:r>
        <w:rPr>
          <w:rFonts w:ascii="Times New Roman" w:hAnsi="Times New Roman"/>
          <w:noProof/>
          <w:sz w:val="24"/>
        </w:rPr>
        <w:t xml:space="preserve"> devono essere gestiti contemporaneamente per preservare la capacità dei paesaggi di ridurre il rischio di siccità, alluvioni, mareggiate, incendi boschivi o erosione, unitamente alla fornitura di altri servizi ecosistemici. Le zone rurali coprono la maggior parte dei terreni europei e una gestione del suolo, dell'acqua e delle foreste nella stessa zona mediante un approccio a compartimenti stagni è ormai superata. È invece necessario un approccio globale e integrato per garantire che gli ecosistemi di vaste zone siano in grado di far fronte alle molteplici minacce. Per sostenere l'uso ottimale dei documenti di pianificazione esistenti e in sinergia con la pianificazione territoriale e i piani di ripristino della natura nazionali, </w:t>
      </w:r>
      <w:r>
        <w:rPr>
          <w:rFonts w:ascii="Times New Roman" w:hAnsi="Times New Roman"/>
          <w:noProof/>
          <w:sz w:val="24"/>
          <w:u w:val="single"/>
        </w:rPr>
        <w:t>la Commissione, in collaborazione con gli Stati membri, elaborerà orientamenti sullo sviluppo di paesaggi resilienti</w:t>
      </w:r>
      <w:r>
        <w:rPr>
          <w:rFonts w:ascii="Times New Roman" w:hAnsi="Times New Roman"/>
          <w:noProof/>
          <w:sz w:val="24"/>
        </w:rPr>
        <w:t xml:space="preserve"> in grado di attenuare gli effetti dei cambiamenti climatici. </w:t>
      </w:r>
    </w:p>
    <w:p w14:paraId="61E8835D" w14:textId="77777777" w:rsidR="0049438C" w:rsidRPr="009007D4" w:rsidRDefault="0049438C" w:rsidP="00B11E0C">
      <w:pPr>
        <w:spacing w:after="120" w:line="240" w:lineRule="auto"/>
        <w:rPr>
          <w:rFonts w:ascii="Times New Roman" w:hAnsi="Times New Roman" w:cs="Times New Roman"/>
          <w:noProof/>
          <w:color w:val="000000" w:themeColor="text1"/>
          <w:sz w:val="24"/>
          <w:szCs w:val="24"/>
          <w:lang w:eastAsia="en-IE"/>
        </w:rPr>
      </w:pPr>
    </w:p>
    <w:p w14:paraId="587C50CD" w14:textId="39987522" w:rsidR="003664D6" w:rsidRPr="00420C4C" w:rsidRDefault="003F09F0"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49" w:name="_Toc159792208"/>
      <w:r>
        <w:rPr>
          <w:rFonts w:ascii="Times New Roman" w:hAnsi="Times New Roman"/>
          <w:b/>
          <w:noProof/>
          <w:color w:val="000000" w:themeColor="text1"/>
          <w:sz w:val="24"/>
        </w:rPr>
        <w:t>Acqua</w:t>
      </w:r>
      <w:bookmarkEnd w:id="49"/>
    </w:p>
    <w:p w14:paraId="600A86CE" w14:textId="77777777" w:rsidR="00B2476E" w:rsidRDefault="00B2476E" w:rsidP="0016331B">
      <w:pPr>
        <w:jc w:val="both"/>
        <w:textAlignment w:val="baseline"/>
        <w:rPr>
          <w:rFonts w:ascii="Times New Roman" w:eastAsia="Times New Roman" w:hAnsi="Times New Roman" w:cs="Times New Roman"/>
          <w:noProof/>
          <w:color w:val="000000" w:themeColor="text1"/>
          <w:sz w:val="24"/>
          <w:szCs w:val="24"/>
          <w:lang w:val="en-IE" w:eastAsia="en-IE"/>
        </w:rPr>
      </w:pPr>
    </w:p>
    <w:p w14:paraId="03AA7CB2" w14:textId="399E0CFD" w:rsidR="0016331B" w:rsidRDefault="0016331B" w:rsidP="00A632E5">
      <w:pPr>
        <w:spacing w:after="120"/>
        <w:jc w:val="both"/>
        <w:textAlignment w:val="baseline"/>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L'acqua è una risorsa vitale che è già sotto pressione in molte parti d'Europa a causa di una cattiva gestione strutturale, </w:t>
      </w:r>
      <w:r>
        <w:rPr>
          <w:rFonts w:ascii="Times New Roman" w:hAnsi="Times New Roman"/>
          <w:noProof/>
          <w:sz w:val="24"/>
        </w:rPr>
        <w:t>dell'uso non sostenibile del suolo, dei cambiamenti idromorfologici e dell'inquinamento</w:t>
      </w:r>
      <w:r>
        <w:rPr>
          <w:rFonts w:ascii="Times New Roman" w:hAnsi="Times New Roman"/>
          <w:noProof/>
          <w:color w:val="000000" w:themeColor="text1"/>
          <w:sz w:val="24"/>
        </w:rPr>
        <w:t>. I cambiamenti climatici stanno esacerbando queste pressioni e aumentando i rischi connessi all'acqua, sotto forma di periodi di siccità più frequenti o prolungati o di precipitazioni estreme. Tali fenomeni sono destinati ad aggravarsi in futuro, con vaste regioni d'Europa interessate dallo stress idrico, nonché da un rischio crescente di grave siccità (che interessa regioni estese e dura diversi anni), incendi boschivi, frequenti alluvioni e innalzamento del livello dei mari che aumenta il rischio di alluvioni costiere e mareggiate, erosione costiera e intrusione di acqua salata.</w:t>
      </w:r>
    </w:p>
    <w:p w14:paraId="13FBC7C3" w14:textId="38129A7E" w:rsidR="0016331B" w:rsidRDefault="0016331B" w:rsidP="00A632E5">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La relazione EUCRA sottolinea che i rischi connessi all'acqua interessano tutti i principali settori citati nella presente comunicazione e che le gravi alluvioni, la siccità e gli incendi boschivi stanno diventando una minaccia per la salute e una causa ricorrente di perdite sociali, ambientali ed economiche. Tali rischi possono manifestarsi in varie forme, alcune delle quali comprendono siccità che potrebbero interessare vaste aree per periodi prolungati, con ripercussioni negative sulla produzione agricola, sulla sicurezza alimentare, sull'approvvigionamento di acqua potabile, sulla produzione di energia o sulla fruibilità delle vie navigabili, aggravando il rischio di incendi boschivi. Vi possono inoltre essere rischi per le infrastrutture critiche, le attività economiche e la salute umana derivanti dalle alluvioni e, in generale, un aumento della concorrenza sulle risorse idriche in tutti i settori e per tutti gli usi, compreso il rischio potenziale di conflitti all'interno degli Stati membri e tra di essi per le risorse idriche transfrontaliere. La relazione EUCRA dimostra che i costi dell'attuazione insufficiente o ritardata della gestione integrata delle risorse idriche saranno insostenibili. Secondo le stime, i costi correlati alla siccità ammontano a 9 miliardi di EUR all'anno e quelli delle alluvioni sono superiori a 170 miliardi di EUR in totale dal 1980. </w:t>
      </w:r>
    </w:p>
    <w:p w14:paraId="3D24198A" w14:textId="0A98BDBC" w:rsidR="0016331B" w:rsidRDefault="0016331B" w:rsidP="00A632E5">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Proteggere e ripristinare il ciclo dell'acqua, promuovere un'economia dell'UE intelligente dal punto di vista idrico e </w:t>
      </w:r>
      <w:r>
        <w:rPr>
          <w:rFonts w:ascii="Times New Roman" w:hAnsi="Times New Roman"/>
          <w:noProof/>
          <w:color w:val="000000" w:themeColor="text1"/>
          <w:sz w:val="24"/>
          <w:u w:val="single"/>
        </w:rPr>
        <w:t xml:space="preserve">salvaguardare </w:t>
      </w:r>
      <w:r>
        <w:rPr>
          <w:rFonts w:ascii="Times New Roman" w:hAnsi="Times New Roman"/>
          <w:noProof/>
          <w:sz w:val="24"/>
          <w:u w:val="single"/>
        </w:rPr>
        <w:t xml:space="preserve">un approvvigionamento di </w:t>
      </w:r>
      <w:r>
        <w:rPr>
          <w:rFonts w:ascii="Times New Roman" w:hAnsi="Times New Roman"/>
          <w:noProof/>
          <w:color w:val="000000" w:themeColor="text1"/>
          <w:sz w:val="24"/>
          <w:u w:val="single"/>
        </w:rPr>
        <w:t>acqua dolce di buona qualità, a prezzi abbordabili e accessibile a tutti</w:t>
      </w:r>
      <w:r>
        <w:rPr>
          <w:rFonts w:ascii="Times New Roman" w:hAnsi="Times New Roman"/>
          <w:noProof/>
          <w:color w:val="000000" w:themeColor="text1"/>
          <w:sz w:val="24"/>
        </w:rPr>
        <w:t xml:space="preserve"> è fondamentale per garantire un'Europa resiliente sotto il profilo idrico. Raggiungere la resilienza dal punto di vista idrico significa promuovere la nostra capacità collettiva di gestire e utilizzare l'acqua in modo più agile, dati gli sviluppi geopolitici, economici, sociali e ambientali in rapida evoluzione e parzialmente imprevedibili.</w:t>
      </w:r>
      <w:r>
        <w:rPr>
          <w:rFonts w:ascii="Times New Roman" w:hAnsi="Times New Roman"/>
          <w:noProof/>
          <w:color w:val="000000" w:themeColor="text1"/>
          <w:sz w:val="24"/>
          <w:u w:val="single"/>
        </w:rPr>
        <w:t xml:space="preserve"> </w:t>
      </w:r>
      <w:r>
        <w:rPr>
          <w:rFonts w:ascii="Times New Roman" w:hAnsi="Times New Roman"/>
          <w:noProof/>
          <w:color w:val="000000" w:themeColor="text1"/>
          <w:sz w:val="24"/>
        </w:rPr>
        <w:t xml:space="preserve">Occorre gestire le risorse idriche e adeguare la domanda dell'uomo al nuovo tipo di offerta più scarsa. </w:t>
      </w:r>
    </w:p>
    <w:p w14:paraId="65198D33" w14:textId="23A0B11E" w:rsidR="00E60205" w:rsidRDefault="00760A8B" w:rsidP="00FE74B1">
      <w:pPr>
        <w:spacing w:after="120"/>
        <w:jc w:val="both"/>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Considerando il ruolo fondamentale dell'acqua come elemento essenziale per la vita e come contributo economico, </w:t>
      </w:r>
      <w:r>
        <w:rPr>
          <w:rFonts w:ascii="Times New Roman" w:hAnsi="Times New Roman"/>
          <w:noProof/>
          <w:color w:val="000000" w:themeColor="text1"/>
          <w:sz w:val="24"/>
          <w:u w:val="single"/>
        </w:rPr>
        <w:t>la Commissione elaborerà un bilancio globale delle questioni idriche</w:t>
      </w:r>
      <w:r>
        <w:rPr>
          <w:rFonts w:ascii="Times New Roman" w:hAnsi="Times New Roman"/>
          <w:noProof/>
          <w:color w:val="000000" w:themeColor="text1"/>
          <w:sz w:val="24"/>
        </w:rPr>
        <w:t>, basandosi sui risultati delle valutazioni in corso dei piani di gestione dei bacini idrografici e del rischio di alluvioni, nonché dei programmi di misure per l'ambiente marino messi in atto dagli Stati membri e, su tale base, valuterà la necessità di intervenire.</w:t>
      </w:r>
    </w:p>
    <w:p w14:paraId="05410DDA" w14:textId="77777777" w:rsidR="00CB66D1" w:rsidRPr="00A632E5" w:rsidRDefault="00CB66D1" w:rsidP="00BE25FA">
      <w:pPr>
        <w:spacing w:after="200" w:line="276" w:lineRule="auto"/>
        <w:rPr>
          <w:rFonts w:ascii="Times New Roman" w:eastAsia="Times New Roman" w:hAnsi="Times New Roman" w:cs="Times New Roman"/>
          <w:noProof/>
          <w:color w:val="000000" w:themeColor="text1"/>
          <w:sz w:val="24"/>
          <w:szCs w:val="24"/>
          <w:lang w:eastAsia="en-IE"/>
        </w:rPr>
      </w:pPr>
    </w:p>
    <w:p w14:paraId="141F1ABA" w14:textId="0AEA4596" w:rsidR="00F94DC6" w:rsidRPr="00420C4C" w:rsidRDefault="00F94DC6"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50" w:name="_Toc159792209"/>
      <w:r>
        <w:rPr>
          <w:rFonts w:ascii="Times New Roman" w:hAnsi="Times New Roman"/>
          <w:b/>
          <w:noProof/>
          <w:color w:val="000000" w:themeColor="text1"/>
          <w:sz w:val="24"/>
        </w:rPr>
        <w:t>Salute</w:t>
      </w:r>
      <w:bookmarkEnd w:id="50"/>
    </w:p>
    <w:p w14:paraId="4257B5F7" w14:textId="77777777" w:rsidR="00ED251E" w:rsidRDefault="00ED251E" w:rsidP="00FE40B8">
      <w:pPr>
        <w:spacing w:line="240" w:lineRule="auto"/>
        <w:jc w:val="both"/>
        <w:rPr>
          <w:rFonts w:ascii="Times New Roman" w:hAnsi="Times New Roman" w:cs="Times New Roman"/>
          <w:noProof/>
          <w:color w:val="000000" w:themeColor="text1"/>
          <w:sz w:val="24"/>
          <w:szCs w:val="24"/>
          <w:lang w:val="en-IE" w:eastAsia="en-IE"/>
        </w:rPr>
      </w:pPr>
    </w:p>
    <w:p w14:paraId="4D21F872" w14:textId="364ADEDF" w:rsidR="00DA1886" w:rsidRDefault="00FB12BB"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I cambiamenti climatici esercitano un impatto sulla salute umana. </w:t>
      </w:r>
      <w:bookmarkStart w:id="51" w:name="_Hlk160816429"/>
      <w:r>
        <w:rPr>
          <w:rFonts w:ascii="Times New Roman" w:hAnsi="Times New Roman"/>
          <w:noProof/>
          <w:color w:val="000000" w:themeColor="text1"/>
          <w:sz w:val="24"/>
        </w:rPr>
        <w:t>L'ondata di calore del 2022 è stata ritenuta responsabile di un numero di decessi prematuri compreso tra 60 000 e 70 000 solo in Europa</w:t>
      </w:r>
      <w:bookmarkEnd w:id="51"/>
      <w:r>
        <w:rPr>
          <w:rFonts w:ascii="Times New Roman" w:hAnsi="Times New Roman"/>
          <w:noProof/>
          <w:color w:val="000000" w:themeColor="text1"/>
          <w:sz w:val="24"/>
        </w:rPr>
        <w:t>. Le proiezioni mostrano un forte aumento netto dei tassi di mortalità legati alla temperatura già a metà del secolo</w:t>
      </w:r>
      <w:r w:rsidR="00C879A9" w:rsidRPr="00100668">
        <w:rPr>
          <w:rStyle w:val="FootnoteReference"/>
          <w:rFonts w:ascii="Times New Roman" w:hAnsi="Times New Roman" w:cs="Times New Roman"/>
          <w:noProof/>
          <w:color w:val="000000" w:themeColor="text1"/>
          <w:sz w:val="24"/>
          <w:szCs w:val="24"/>
          <w:lang w:val="en-IE" w:eastAsia="en-IE"/>
        </w:rPr>
        <w:footnoteReference w:id="41"/>
      </w:r>
      <w:r>
        <w:rPr>
          <w:rFonts w:ascii="Times New Roman" w:hAnsi="Times New Roman"/>
          <w:noProof/>
          <w:color w:val="000000" w:themeColor="text1"/>
          <w:sz w:val="24"/>
        </w:rPr>
        <w:t>. Attraverso il riscaldamento continuo e gli eventi meteorologici estremi, i cambiamenti climatici possono contribuire alla diffusione o all'aggravamento delle malattie non trasmissibili, che sono responsabili di circa due terzi di tutti i decessi nella regione europea. L'iniziativa dell'UE "Healthier Together" sulle malattie non trasmissibili</w:t>
      </w:r>
      <w:r w:rsidR="0016213D">
        <w:rPr>
          <w:rStyle w:val="FootnoteReference"/>
          <w:rFonts w:ascii="Times New Roman" w:hAnsi="Times New Roman" w:cs="Times New Roman"/>
          <w:noProof/>
          <w:color w:val="000000" w:themeColor="text1"/>
          <w:sz w:val="24"/>
          <w:szCs w:val="24"/>
          <w:lang w:val="en-IE" w:eastAsia="en-IE"/>
        </w:rPr>
        <w:footnoteReference w:id="42"/>
      </w:r>
      <w:r>
        <w:rPr>
          <w:rFonts w:ascii="Times New Roman" w:hAnsi="Times New Roman"/>
          <w:noProof/>
          <w:color w:val="000000" w:themeColor="text1"/>
          <w:sz w:val="24"/>
        </w:rPr>
        <w:t xml:space="preserve"> sostiene gli Stati membri nell'adozione di misure preventive adeguate. </w:t>
      </w:r>
    </w:p>
    <w:p w14:paraId="785A1026" w14:textId="7A80C290" w:rsidR="00DE54C7" w:rsidRDefault="00660C68"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In assenza di misure di adattamento efficaci, la produttività della manodopera diminuirà e sussisterà il rischio di perdita di ore di lavoro. La vulnerabilità individuale e regionale e la misura più appropriata dipendono da fattori quali i livelli di preparazione, il grado di urbanizzazione, l'età o l'esposizione concomitante all'inquinamento atmosferico. Come riconosciuto nella comunicazione su un approccio globale alla salute mentale</w:t>
      </w:r>
      <w:r w:rsidR="00CE4000">
        <w:rPr>
          <w:rStyle w:val="FootnoteReference"/>
          <w:rFonts w:ascii="Times New Roman" w:hAnsi="Times New Roman" w:cs="Times New Roman"/>
          <w:noProof/>
          <w:color w:val="000000" w:themeColor="text1"/>
          <w:sz w:val="24"/>
          <w:szCs w:val="24"/>
          <w:lang w:val="en-IE" w:eastAsia="en-IE"/>
        </w:rPr>
        <w:footnoteReference w:id="43"/>
      </w:r>
      <w:r>
        <w:rPr>
          <w:rFonts w:ascii="Times New Roman" w:hAnsi="Times New Roman"/>
          <w:noProof/>
          <w:color w:val="000000" w:themeColor="text1"/>
          <w:sz w:val="24"/>
        </w:rPr>
        <w:t xml:space="preserve"> la crisi climatica ha gravi ripercussioni sulla salute mentale. </w:t>
      </w:r>
    </w:p>
    <w:p w14:paraId="27BDB047" w14:textId="1698A0B5" w:rsidR="00660C68" w:rsidRDefault="007F71D3"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L'incidenza delle malattie infettive sensibili al clima è destinata ad aumentare, con malattie come il virus del Nilo occidentale, la dengue e la chikungunya che diventeranno endemiche in alcune parti d'Europa e una più facile diffusione di agenti patogeni di origine alimentare e acquatica. Tuttavia nella maggior parte dei casi le contromisure mediche efficaci per rispondere a queste malattie sono inadeguate o devono ancora essere sviluppate. I modelli meteorologici estremi possono anche portare alla proliferazione di batteri resistenti e a un maggiore trasferimento di geni, con un conseguente aumento delle infezioni con batteri e funghi resistenti. </w:t>
      </w:r>
    </w:p>
    <w:p w14:paraId="3C940946" w14:textId="38B506F3" w:rsidR="00F77E66" w:rsidRPr="00915255" w:rsidRDefault="008579C7"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Questi e altri rischi eserciteranno un'ulteriore pressione sui sistemi di assistenza sanitaria, sugli operatori sanitari e sui bilanci sanitari già messi a dura prova. Le soluzioni principali consistono in politiche che possono ridurre le vulnerabilità e limitare l'esposizione umana. Gli operatori del settore sanitario e gli edifici direttamente esposti ai rischi climatici dovrebbero essere gestiti in modo adeguato. Per rafforzare ulteriormente la sua azione e mettere in pratica gli obiettivi e gli impegni stabiliti nelle dichiarazioni di Budapest e della COP 28</w:t>
      </w:r>
      <w:r w:rsidR="002E16D5" w:rsidRPr="00915255">
        <w:rPr>
          <w:rStyle w:val="FootnoteReference"/>
          <w:rFonts w:ascii="Times New Roman" w:hAnsi="Times New Roman" w:cs="Times New Roman"/>
          <w:bCs/>
          <w:noProof/>
          <w:color w:val="000000" w:themeColor="text1"/>
          <w:sz w:val="24"/>
          <w:szCs w:val="24"/>
          <w:lang w:eastAsia="en-IE"/>
        </w:rPr>
        <w:footnoteReference w:id="44"/>
      </w:r>
      <w:r>
        <w:rPr>
          <w:rFonts w:ascii="Times New Roman" w:hAnsi="Times New Roman"/>
          <w:noProof/>
          <w:color w:val="000000" w:themeColor="text1"/>
          <w:sz w:val="24"/>
        </w:rPr>
        <w:t xml:space="preserve"> sul clima e la salute, </w:t>
      </w:r>
      <w:r>
        <w:rPr>
          <w:rFonts w:ascii="Times New Roman" w:hAnsi="Times New Roman"/>
          <w:noProof/>
          <w:color w:val="000000" w:themeColor="text1"/>
          <w:sz w:val="24"/>
          <w:u w:val="single"/>
        </w:rPr>
        <w:t>la Commissione</w:t>
      </w:r>
      <w:r>
        <w:rPr>
          <w:rFonts w:ascii="Times New Roman" w:hAnsi="Times New Roman"/>
          <w:noProof/>
          <w:color w:val="000000" w:themeColor="text1"/>
          <w:sz w:val="24"/>
        </w:rPr>
        <w:t>:</w:t>
      </w:r>
    </w:p>
    <w:p w14:paraId="30CEA357" w14:textId="0803FAA5" w:rsidR="004E167D" w:rsidRPr="009248B3" w:rsidRDefault="280FBBC2"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intensificherà le misure per garantire che i lavoratori esposti ai rischi climatici siano adeguatamente protetti</w:t>
      </w:r>
      <w:r>
        <w:rPr>
          <w:rFonts w:ascii="Times New Roman" w:hAnsi="Times New Roman"/>
          <w:noProof/>
          <w:color w:val="000000" w:themeColor="text1"/>
          <w:sz w:val="24"/>
        </w:rPr>
        <w:t xml:space="preserve">: </w:t>
      </w:r>
      <w:r>
        <w:rPr>
          <w:rFonts w:ascii="Times New Roman" w:hAnsi="Times New Roman"/>
          <w:noProof/>
          <w:sz w:val="24"/>
        </w:rPr>
        <w:t>nel riesaminare la legislazione in materia di salute e sicurezza sul lavoro (SSL) che tutela i lavoratori da tutti i rischi professionali, compresi quelli connessi all'aumento delle temperature ambientali e allo stress termico, la Commissione valuterà la necessità di ulteriori azioni per proteggere i lavoratori dai rischi climatici, anche sulla base degli orientamenti e degli strumenti esistenti</w:t>
      </w:r>
      <w:r w:rsidR="006E78CB" w:rsidRPr="00915255">
        <w:rPr>
          <w:rStyle w:val="FootnoteReference"/>
          <w:rFonts w:ascii="Times New Roman" w:hAnsi="Times New Roman" w:cs="Times New Roman"/>
          <w:noProof/>
          <w:color w:val="000000" w:themeColor="text1"/>
          <w:sz w:val="24"/>
          <w:szCs w:val="24"/>
          <w:lang w:val="en-IE" w:eastAsia="en-IE"/>
        </w:rPr>
        <w:footnoteReference w:id="45"/>
      </w:r>
      <w:r>
        <w:rPr>
          <w:rFonts w:ascii="Times New Roman" w:hAnsi="Times New Roman"/>
          <w:noProof/>
          <w:color w:val="000000" w:themeColor="text1"/>
          <w:sz w:val="24"/>
        </w:rPr>
        <w:t>. La Commissione ha istituito un nuovo dialogo con i portatori di interessi</w:t>
      </w:r>
      <w:r w:rsidR="005848F9">
        <w:rPr>
          <w:rStyle w:val="FootnoteReference"/>
          <w:rFonts w:ascii="Times New Roman" w:hAnsi="Times New Roman" w:cs="Times New Roman"/>
          <w:noProof/>
          <w:color w:val="000000" w:themeColor="text1"/>
          <w:sz w:val="24"/>
          <w:szCs w:val="24"/>
          <w:lang w:val="en-IE" w:eastAsia="en-IE"/>
        </w:rPr>
        <w:footnoteReference w:id="46"/>
      </w:r>
      <w:r>
        <w:rPr>
          <w:rFonts w:ascii="Times New Roman" w:hAnsi="Times New Roman"/>
          <w:noProof/>
          <w:color w:val="000000" w:themeColor="text1"/>
          <w:sz w:val="24"/>
        </w:rPr>
        <w:t>. L'Agenzia europea per la sicurezza e la salute sul lavoro (EU-OSHA) sta rafforzando le attività di previsione sul nesso tra clima e salute e sicurezza sul lavoro</w:t>
      </w:r>
      <w:r w:rsidR="007A6FC7" w:rsidRPr="007A6FC7">
        <w:rPr>
          <w:rFonts w:ascii="Times New Roman" w:hAnsi="Times New Roman" w:cs="Times New Roman"/>
          <w:noProof/>
          <w:color w:val="000000" w:themeColor="text1"/>
          <w:sz w:val="24"/>
          <w:szCs w:val="24"/>
          <w:vertAlign w:val="superscript"/>
          <w:lang w:eastAsia="en-IE"/>
        </w:rPr>
        <w:footnoteReference w:id="47"/>
      </w:r>
      <w:r>
        <w:rPr>
          <w:rFonts w:ascii="Times New Roman" w:hAnsi="Times New Roman"/>
          <w:noProof/>
          <w:color w:val="000000" w:themeColor="text1"/>
          <w:sz w:val="24"/>
        </w:rPr>
        <w:t xml:space="preserve"> e avvierà un progetto nel 2025 per rafforzare la resilienza ai cambiamenti climatici nei luoghi di lavoro;</w:t>
      </w:r>
    </w:p>
    <w:p w14:paraId="4496ABC6" w14:textId="667CF84F" w:rsidR="0060302A" w:rsidRPr="00915255" w:rsidRDefault="00DC3522"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potenzierà l'Osservatorio europeo del clima e della salute,</w:t>
      </w:r>
      <w:r>
        <w:rPr>
          <w:rFonts w:ascii="Times New Roman" w:hAnsi="Times New Roman"/>
          <w:noProof/>
          <w:color w:val="000000" w:themeColor="text1"/>
          <w:sz w:val="24"/>
        </w:rPr>
        <w:t xml:space="preserve"> che contribuisce a preparare i sistemi sanitari locali e nazionali ai cambiamenti climatici, a sviluppare capacità aggiuntive, a rafforzare i meccanismi di monitoraggio e di allarme rapido, a formare ed educare il personale sanitario e a promuovere soluzioni di adattamento e interventi sanitari basati su dati concreti;</w:t>
      </w:r>
    </w:p>
    <w:p w14:paraId="51FEC4ED" w14:textId="1A5BB866" w:rsidR="00EF5B4A" w:rsidRDefault="00EF5B4A" w:rsidP="00A632E5">
      <w:pPr>
        <w:spacing w:after="120"/>
        <w:jc w:val="both"/>
        <w:rPr>
          <w:rFonts w:ascii="Times New Roman" w:hAnsi="Times New Roman" w:cs="Times New Roman"/>
          <w:noProof/>
          <w:color w:val="000000"/>
          <w:sz w:val="24"/>
          <w:szCs w:val="24"/>
        </w:rPr>
      </w:pPr>
      <w:r>
        <w:rPr>
          <w:rFonts w:ascii="Times New Roman" w:hAnsi="Times New Roman"/>
          <w:noProof/>
          <w:color w:val="000000"/>
          <w:sz w:val="24"/>
          <w:u w:val="single"/>
        </w:rPr>
        <w:t>rafforzerà i meccanismi di sorveglianza e risposta alle minacce per la salute legate al clima</w:t>
      </w:r>
      <w:r>
        <w:rPr>
          <w:rFonts w:ascii="Times New Roman" w:hAnsi="Times New Roman"/>
          <w:noProof/>
          <w:color w:val="000000"/>
          <w:sz w:val="24"/>
        </w:rPr>
        <w:t xml:space="preserve"> attraverso l'attuazione del regolamento relativo alle gravi minacce per la salute a carattere transfrontaliero, collegando il sistema di allarme rapido e di reazione ad altri sistemi di allerta (ad esempio per le allerte climatiche e meteorologiche), per agevolare una gestione congiunta dei rischi per la salute. La nuova task force sanitaria dell'UE sosterrà la risposta dell'UE alle gravi minacce sanitarie, compresi gli eventi legati al clima;</w:t>
      </w:r>
    </w:p>
    <w:p w14:paraId="0D5AA4A9" w14:textId="13D85CD7" w:rsidR="00FA23AA" w:rsidRPr="001A3A0E" w:rsidRDefault="00F23550"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rafforzerà la mobilitazione transfrontaliera del personale medico e il trasferimento dei pazienti</w:t>
      </w:r>
      <w:r>
        <w:rPr>
          <w:rFonts w:ascii="Times New Roman" w:hAnsi="Times New Roman"/>
          <w:noProof/>
          <w:color w:val="000000" w:themeColor="text1"/>
          <w:sz w:val="24"/>
        </w:rPr>
        <w:t xml:space="preserve">, ad esempio sviluppando un quadro per sostenere gli Stati membri che dispongono di servizi sanitari dalle capacità insufficienti; </w:t>
      </w:r>
    </w:p>
    <w:p w14:paraId="5CD4C242" w14:textId="5F333800" w:rsidR="00A632E5" w:rsidRPr="00B2476E" w:rsidRDefault="00934538"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assicurerà l'accesso alle contromisure mediche fondamentali e il loro sviluppo</w:t>
      </w:r>
      <w:r>
        <w:rPr>
          <w:rFonts w:ascii="Times New Roman" w:hAnsi="Times New Roman"/>
          <w:noProof/>
          <w:color w:val="000000" w:themeColor="text1"/>
          <w:sz w:val="24"/>
        </w:rPr>
        <w:t>. L'aumento delle temperature e la frequenza maggiore di eventi meteorologici estremi possono arrestare la produzione o limitare l'accesso alle materie prime. Inoltre i cambiamenti indotti dal clima nell'evoluzione delle malattie possono determinare aumenti imprevisti della domanda di determinati medicinali o creare una domanda di prodotti completamente nuovi, mettendo a dura prova le catene di approvvigionamento esistenti o richiedendo investimenti in catene di approvvigionamento nuove. Per ridurre le vulnerabilità la Commissione valuterà i rischi pertinenti e svilupperà ulteriormente scorte strategiche per contromisure fondamentali. Nell'ambito di Orizzonte Europa e di EU4Health, la Commissione sostiene lo sviluppo di nuovi vaccini e terapie contro le malattie tropicali ed infettive emergenti trascurate. Ciò ha consentito, ad esempio, di compiere recenti progressi in merito a un vaccino contro il virus chikungunya.</w:t>
      </w:r>
    </w:p>
    <w:p w14:paraId="686FCC0B" w14:textId="77777777" w:rsidR="00FE74B1" w:rsidRPr="00B2476E" w:rsidRDefault="00FE74B1" w:rsidP="00A632E5">
      <w:pPr>
        <w:spacing w:after="120"/>
        <w:jc w:val="both"/>
        <w:rPr>
          <w:rFonts w:ascii="Times New Roman" w:hAnsi="Times New Roman" w:cs="Times New Roman"/>
          <w:noProof/>
          <w:color w:val="000000" w:themeColor="text1"/>
          <w:sz w:val="24"/>
          <w:szCs w:val="24"/>
          <w:lang w:eastAsia="en-IE"/>
        </w:rPr>
      </w:pPr>
    </w:p>
    <w:p w14:paraId="73172863" w14:textId="761F2B3B" w:rsidR="00F94DC6" w:rsidRPr="00420C4C" w:rsidRDefault="00F94DC6"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53" w:name="_Toc159792210"/>
      <w:r>
        <w:rPr>
          <w:rFonts w:ascii="Times New Roman" w:hAnsi="Times New Roman"/>
          <w:b/>
          <w:noProof/>
          <w:color w:val="000000" w:themeColor="text1"/>
          <w:sz w:val="24"/>
        </w:rPr>
        <w:t>Alimenti</w:t>
      </w:r>
      <w:bookmarkEnd w:id="53"/>
    </w:p>
    <w:p w14:paraId="4324F463" w14:textId="77777777" w:rsidR="00ED251E" w:rsidRDefault="00ED251E" w:rsidP="00A63CA1">
      <w:pPr>
        <w:spacing w:line="240" w:lineRule="auto"/>
        <w:jc w:val="both"/>
        <w:rPr>
          <w:rFonts w:ascii="Times New Roman" w:hAnsi="Times New Roman" w:cs="Times New Roman"/>
          <w:bCs/>
          <w:noProof/>
          <w:sz w:val="24"/>
          <w:szCs w:val="24"/>
          <w:lang w:val="en-IE" w:eastAsia="en-IE"/>
        </w:rPr>
      </w:pPr>
    </w:p>
    <w:p w14:paraId="3138714A" w14:textId="630A19A3" w:rsidR="00625A71" w:rsidRDefault="00D02150" w:rsidP="00A632E5">
      <w:pPr>
        <w:spacing w:after="120"/>
        <w:jc w:val="both"/>
        <w:rPr>
          <w:rFonts w:ascii="Times New Roman" w:hAnsi="Times New Roman" w:cs="Times New Roman"/>
          <w:bCs/>
          <w:noProof/>
          <w:sz w:val="24"/>
          <w:szCs w:val="24"/>
        </w:rPr>
      </w:pPr>
      <w:r>
        <w:rPr>
          <w:rFonts w:ascii="Times New Roman" w:hAnsi="Times New Roman"/>
          <w:noProof/>
          <w:sz w:val="24"/>
        </w:rPr>
        <w:t xml:space="preserve">L'approvvigionamento alimentare nell'UE è sempre più esposto ai rischi climatici, dalla produzione agricola, in particolare nell'Europa meridionale, alla pesca e all'acquacoltura, alla trasformazione alimentare e alle catene di approvvigionamento internazionali. I cambiamenti climatici incidono sui quattro pilastri della sicurezza alimentare a breve, medio e lungo termine: disponibilità, accesso, utilizzo e stabilità. Interagiscono inoltre con molti altri fattori che incidono sulla sicurezza alimentare con modalità multiple e a cascata, ad esempio lo stress idrico, l'eccesso di nutrienti, la salute del suolo, l'alimentazione e la salute. La produzione alimentare è particolarmente a rischio a causa di alluvioni, ondate di calore, siccità, crescenti pressioni causate da parassiti e malattie, nonché perdita di biodiversità, degrado del suolo e cambiamenti nella migrazione dei pesci. </w:t>
      </w:r>
    </w:p>
    <w:p w14:paraId="43C5B7A5" w14:textId="6E6E5F4C" w:rsidR="00B0505E" w:rsidRPr="00915255" w:rsidRDefault="00F81F91"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 xml:space="preserve">Il riscaldamento renderà più difficile per gli agricoltori lavorare all'aperto. I cambiamenti nelle zone agroclimatiche eserciteranno pressioni sulla selezione delle colture e aumenteranno il tasso di perdita dei raccolti, mentre i prezzi dei fattori di produzione e la variabilità dei mercati mondiali ridurranno i profitti netti. Per i pescatori, le ulteriori pressioni derivanti dai cambiamenti climatici, dall'eutrofizzazione e dall'acidificazione degli oceani possono ridurre la produttività degli stock ittici, con un conseguente calo delle catture che si aggiungono al problema dello sfruttamento eccessivo di alcuni stock. </w:t>
      </w:r>
      <w:bookmarkStart w:id="54" w:name="_Hlk160442132"/>
      <w:r>
        <w:rPr>
          <w:rFonts w:ascii="Times New Roman" w:hAnsi="Times New Roman"/>
          <w:noProof/>
          <w:color w:val="000000" w:themeColor="text1"/>
          <w:sz w:val="24"/>
        </w:rPr>
        <w:t>Con i mezzi di sussistenza e la sostenibilità della produzione alimentare dell'UE a rischio, l'introduzione di opzioni per le azioni di adattamento a livello di aziende agricole o di operazioni di pesca non sarà sufficiente e dovrà essere integrata da misure di sostegno adeguate</w:t>
      </w:r>
      <w:bookmarkEnd w:id="54"/>
      <w:r>
        <w:rPr>
          <w:rFonts w:ascii="Times New Roman" w:hAnsi="Times New Roman"/>
          <w:noProof/>
          <w:color w:val="000000" w:themeColor="text1"/>
          <w:sz w:val="24"/>
        </w:rPr>
        <w:t xml:space="preserve"> per la transizione verso un'agricoltura e una pesca resilienti. </w:t>
      </w:r>
      <w:r>
        <w:rPr>
          <w:rFonts w:ascii="Times New Roman" w:hAnsi="Times New Roman"/>
          <w:noProof/>
          <w:sz w:val="24"/>
        </w:rPr>
        <w:t xml:space="preserve">Tali misure di sostegno dovrebbero inoltre garantire che alimenti sani e sostenibili rimangano accessibili ai consumatori, anche dal punto di vista economico, e dovrebbero assicurare redditi sostenibili per gli agricoltori. </w:t>
      </w:r>
    </w:p>
    <w:p w14:paraId="55B47773" w14:textId="5024BAD2" w:rsidR="003641C6" w:rsidRPr="00915255" w:rsidRDefault="006C1C31"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 xml:space="preserve">Sebbene le importazioni alimentari dell'UE non costituiscano ancora un grave rischio, le concomitanti perdite dei raccolti in diverse "regioni granaio" a livello mondiale o nelle principali attività di pesca potrebbero far salire i prezzi dei prodotti alimentari dell'UE (in quanto i produttori dell'UE vendono a prezzi globali), incidendo in tal modo </w:t>
      </w:r>
      <w:r>
        <w:rPr>
          <w:rFonts w:ascii="Times New Roman" w:hAnsi="Times New Roman"/>
          <w:noProof/>
          <w:sz w:val="24"/>
        </w:rPr>
        <w:t>sul potere d'acquisto dei consumatori e</w:t>
      </w:r>
      <w:r>
        <w:rPr>
          <w:rFonts w:ascii="Times New Roman" w:hAnsi="Times New Roman"/>
          <w:noProof/>
          <w:color w:val="000000" w:themeColor="text1"/>
          <w:sz w:val="24"/>
        </w:rPr>
        <w:t xml:space="preserve"> mettendo a repentaglio la sicurezza alimentare e l'accessibilità economica di regimi alimentari sani per le famiglie più povere dell'UE. Inoltre, sebbene ciò non sia ancora sistemico, la sicurezza alimentare è già esposta a un rischio più elevato a causa degli agenti patogeni indotti dal calore e di altro tipo. </w:t>
      </w:r>
    </w:p>
    <w:p w14:paraId="23EF1797" w14:textId="7FD8A25D" w:rsidR="00567CC4" w:rsidRDefault="00567CC4" w:rsidP="00A632E5">
      <w:pPr>
        <w:spacing w:after="120"/>
        <w:jc w:val="both"/>
        <w:rPr>
          <w:rFonts w:ascii="Times New Roman" w:hAnsi="Times New Roman" w:cs="Times New Roman"/>
          <w:bCs/>
          <w:noProof/>
          <w:sz w:val="24"/>
          <w:szCs w:val="24"/>
        </w:rPr>
      </w:pPr>
      <w:r>
        <w:rPr>
          <w:rFonts w:ascii="Times New Roman" w:hAnsi="Times New Roman"/>
          <w:noProof/>
          <w:sz w:val="24"/>
        </w:rPr>
        <w:t>Il progresso tecnologico, il miglioramento della gestione delle aziende agricole e il continuo adattamento delle pratiche agricole hanno contribuito all'adattamento ai cambiamenti climatici a breve termine. La strategia dell'UE di adattamento ai cambiamenti climatici e la politica agricola comune hanno consentito azioni di adattamento, ma vi sono dati limitati in merito alla preparazione strutturale alle catastrofi legate al clima. Inoltre un migliore utilizzo della diversità genetica e delle risorse fitogenetiche non dannose per l'adattamento e la resilienza ai cambiamenti climatici può aiutare gli agricoltori e i gestori di terreni ad affrontare i rischi climatici. La proposta di regolamento relativo alle piante ottenute mediante alcune nuove tecniche genomiche, nonché agli alimenti e ai mangimi da esse derivati</w:t>
      </w:r>
      <w:r w:rsidR="00C04ACD">
        <w:rPr>
          <w:rStyle w:val="FootnoteReference"/>
          <w:rFonts w:ascii="Times New Roman" w:hAnsi="Times New Roman" w:cs="Times New Roman"/>
          <w:bCs/>
          <w:noProof/>
          <w:sz w:val="24"/>
          <w:szCs w:val="24"/>
          <w:lang w:val="en-IE" w:eastAsia="en-IE"/>
        </w:rPr>
        <w:footnoteReference w:id="48"/>
      </w:r>
      <w:r>
        <w:rPr>
          <w:rFonts w:ascii="Times New Roman" w:hAnsi="Times New Roman"/>
          <w:noProof/>
          <w:sz w:val="24"/>
        </w:rPr>
        <w:t xml:space="preserve"> può sostenere tali soluzioni.</w:t>
      </w:r>
    </w:p>
    <w:p w14:paraId="09DB08DE" w14:textId="5E10C9DB" w:rsidR="00BB3E81" w:rsidRPr="00915255" w:rsidRDefault="004840A1"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L'adeguamento della produzione alimentare dell'UE alle esigenze future</w:t>
      </w:r>
      <w:r>
        <w:rPr>
          <w:rFonts w:ascii="Times New Roman" w:hAnsi="Times New Roman"/>
          <w:noProof/>
          <w:color w:val="000000" w:themeColor="text1"/>
          <w:sz w:val="24"/>
        </w:rPr>
        <w:t xml:space="preserve"> sarà una priorità della Commissione, che continuerà a collaborare con gli Stati membri per sfruttare appieno il potenziale dei </w:t>
      </w:r>
      <w:r>
        <w:rPr>
          <w:rFonts w:ascii="Times New Roman" w:hAnsi="Times New Roman"/>
          <w:noProof/>
          <w:color w:val="000000" w:themeColor="text1"/>
          <w:sz w:val="24"/>
          <w:u w:val="single"/>
        </w:rPr>
        <w:t>piani strategici della politica agricola comune</w:t>
      </w:r>
      <w:r>
        <w:rPr>
          <w:rFonts w:ascii="Times New Roman" w:hAnsi="Times New Roman"/>
          <w:noProof/>
          <w:color w:val="000000" w:themeColor="text1"/>
          <w:sz w:val="24"/>
        </w:rPr>
        <w:t xml:space="preserve"> al fine di migliorare la resilienza ai cambiamenti climatici e incentivare un uso più ampio degli strumenti di gestione dei rischi. Poiché il degrado del suolo rappresenta una grave minaccia per la produzione alimentare, la Commissione, in collaborazione con gli Stati membri, rafforzerà il </w:t>
      </w:r>
      <w:r>
        <w:rPr>
          <w:rFonts w:ascii="Times New Roman" w:hAnsi="Times New Roman"/>
          <w:noProof/>
          <w:color w:val="000000" w:themeColor="text1"/>
          <w:sz w:val="24"/>
          <w:u w:val="single"/>
        </w:rPr>
        <w:t>monitoraggio della salute del suolo</w:t>
      </w:r>
      <w:r>
        <w:rPr>
          <w:rFonts w:ascii="Times New Roman" w:hAnsi="Times New Roman"/>
          <w:noProof/>
          <w:color w:val="000000" w:themeColor="text1"/>
          <w:sz w:val="24"/>
        </w:rPr>
        <w:t>. Il contributo degli agricoltori alla protezione dei servizi ecosistemici dovrebbe essere maggiormente valorizzato. La Commissione condurrà inoltre uno</w:t>
      </w:r>
      <w:r>
        <w:rPr>
          <w:rFonts w:ascii="Times New Roman" w:hAnsi="Times New Roman"/>
          <w:noProof/>
          <w:color w:val="000000" w:themeColor="text1"/>
          <w:sz w:val="24"/>
          <w:u w:val="single"/>
        </w:rPr>
        <w:t xml:space="preserve"> studio sull'adattamento nel settore agricolo</w:t>
      </w:r>
      <w:r>
        <w:rPr>
          <w:rFonts w:ascii="Times New Roman" w:hAnsi="Times New Roman"/>
          <w:noProof/>
          <w:color w:val="000000" w:themeColor="text1"/>
          <w:sz w:val="24"/>
        </w:rPr>
        <w:t xml:space="preserve">, da ultimare entro la fine del </w:t>
      </w:r>
      <w:r>
        <w:rPr>
          <w:rFonts w:ascii="Times New Roman" w:hAnsi="Times New Roman"/>
          <w:noProof/>
          <w:sz w:val="24"/>
        </w:rPr>
        <w:t>2025</w:t>
      </w:r>
      <w:r>
        <w:rPr>
          <w:rFonts w:ascii="Times New Roman" w:hAnsi="Times New Roman"/>
          <w:noProof/>
          <w:color w:val="000000" w:themeColor="text1"/>
          <w:sz w:val="24"/>
        </w:rPr>
        <w:t>.</w:t>
      </w:r>
    </w:p>
    <w:p w14:paraId="73E0C565" w14:textId="0FB6E462" w:rsidR="00203897" w:rsidRPr="00B2476E" w:rsidRDefault="001E4A34"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Il riscaldamento e l'acidificazione degli oceani, compreso l'aumento delle ondate di calore marine e delle zone a basso tenore di ossigeno, stanno già modificando la composizione delle specie nonché esercitando un impatto sugli stock ittici man mano che si muovono verso acque più profonde e verso i poli. Ciò creerà incongruenze tra i contingenti stabiliti e le possibilità di pesca reali. La </w:t>
      </w:r>
      <w:r>
        <w:rPr>
          <w:rFonts w:ascii="Times New Roman" w:hAnsi="Times New Roman"/>
          <w:noProof/>
          <w:color w:val="000000" w:themeColor="text1"/>
          <w:sz w:val="24"/>
          <w:u w:val="single"/>
        </w:rPr>
        <w:t>politica comune della pesca dovrebbe integrare gli impatti climatici.</w:t>
      </w:r>
      <w:r>
        <w:rPr>
          <w:rFonts w:ascii="Times New Roman" w:hAnsi="Times New Roman"/>
          <w:noProof/>
          <w:color w:val="000000" w:themeColor="text1"/>
          <w:sz w:val="24"/>
        </w:rPr>
        <w:t xml:space="preserve"> Le previsioni degli stock ittici devono tenere conto della gamma di possibili effetti futuri dati dai cambiamenti climatici, mentre le pratiche di gestione della pesca dovrebbero essere resilienti ai futuri cambiamenti ecologici. Gli aggiornamenti del Fondo europeo per gli affari marittimi, la pesca e l'acquacoltura dovrebbero integrare pienamente i rischi climatici nel sostegno alle pratiche sostenibili di pesca e acquacoltura che rafforzano la resilienza. </w:t>
      </w:r>
    </w:p>
    <w:p w14:paraId="77B59E5C" w14:textId="77777777" w:rsidR="00A632E5" w:rsidRPr="00B2476E" w:rsidRDefault="00A632E5" w:rsidP="00A632E5">
      <w:pPr>
        <w:spacing w:after="120" w:line="22" w:lineRule="atLeast"/>
        <w:jc w:val="both"/>
        <w:rPr>
          <w:rFonts w:ascii="Times New Roman" w:hAnsi="Times New Roman" w:cs="Times New Roman"/>
          <w:noProof/>
          <w:color w:val="000000" w:themeColor="text1"/>
          <w:sz w:val="24"/>
          <w:szCs w:val="24"/>
        </w:rPr>
      </w:pPr>
    </w:p>
    <w:p w14:paraId="788882B3" w14:textId="6E199F54" w:rsidR="00F94DC6" w:rsidRPr="00420C4C" w:rsidRDefault="00F94DC6" w:rsidP="00B11E0C">
      <w:pPr>
        <w:pStyle w:val="Heading3"/>
        <w:numPr>
          <w:ilvl w:val="1"/>
          <w:numId w:val="1"/>
        </w:numPr>
        <w:spacing w:line="259" w:lineRule="auto"/>
        <w:ind w:left="1565" w:hanging="431"/>
        <w:rPr>
          <w:rFonts w:ascii="Times New Roman" w:eastAsia="Times New Roman" w:hAnsi="Times New Roman" w:cs="Times New Roman"/>
          <w:b/>
          <w:bCs/>
          <w:noProof/>
          <w:color w:val="000000" w:themeColor="text1"/>
          <w:sz w:val="24"/>
          <w:szCs w:val="24"/>
        </w:rPr>
      </w:pPr>
      <w:bookmarkStart w:id="55" w:name="_Toc157586314"/>
      <w:bookmarkStart w:id="56" w:name="_Toc157587675"/>
      <w:bookmarkStart w:id="57" w:name="_Toc157587791"/>
      <w:bookmarkStart w:id="58" w:name="_Toc159792211"/>
      <w:bookmarkEnd w:id="55"/>
      <w:bookmarkEnd w:id="56"/>
      <w:bookmarkEnd w:id="57"/>
      <w:r>
        <w:rPr>
          <w:rFonts w:ascii="Times New Roman" w:hAnsi="Times New Roman"/>
          <w:b/>
          <w:noProof/>
          <w:color w:val="000000" w:themeColor="text1"/>
          <w:sz w:val="24"/>
        </w:rPr>
        <w:t>Infrastrutture e ambiente edificato</w:t>
      </w:r>
      <w:bookmarkEnd w:id="58"/>
      <w:r>
        <w:rPr>
          <w:rFonts w:ascii="Times New Roman" w:hAnsi="Times New Roman"/>
          <w:b/>
          <w:noProof/>
          <w:color w:val="000000" w:themeColor="text1"/>
          <w:sz w:val="24"/>
        </w:rPr>
        <w:t xml:space="preserve"> </w:t>
      </w:r>
    </w:p>
    <w:p w14:paraId="1C395910" w14:textId="77777777" w:rsidR="00ED251E" w:rsidRPr="00420C4C" w:rsidRDefault="00ED251E" w:rsidP="00FE40B8">
      <w:pPr>
        <w:spacing w:line="240" w:lineRule="auto"/>
        <w:jc w:val="both"/>
        <w:rPr>
          <w:rFonts w:ascii="Times New Roman" w:hAnsi="Times New Roman" w:cs="Times New Roman"/>
          <w:b/>
          <w:bCs/>
          <w:noProof/>
          <w:color w:val="000000" w:themeColor="text1"/>
          <w:sz w:val="24"/>
          <w:szCs w:val="24"/>
          <w:lang w:val="en-IE" w:eastAsia="en-IE"/>
        </w:rPr>
      </w:pPr>
    </w:p>
    <w:p w14:paraId="3C96E1D3" w14:textId="43FFF8B7" w:rsidR="00610647" w:rsidRDefault="002A7034"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 xml:space="preserve">I beni infrastrutturali sono esposti a un rischio significativo di alluvioni, incendi boschivi, temperature elevate e altri eventi estremi, che può potenzialmente causare gravi danni. </w:t>
      </w:r>
      <w:r w:rsidR="0028441D">
        <w:rPr>
          <w:rFonts w:ascii="Times New Roman" w:hAnsi="Times New Roman"/>
          <w:noProof/>
          <w:color w:val="000000" w:themeColor="text1"/>
          <w:sz w:val="24"/>
        </w:rPr>
        <w:br/>
      </w:r>
      <w:r>
        <w:rPr>
          <w:rFonts w:ascii="Times New Roman" w:hAnsi="Times New Roman"/>
          <w:noProof/>
          <w:color w:val="000000" w:themeColor="text1"/>
          <w:sz w:val="24"/>
        </w:rPr>
        <w:t>La perdita dell'accesso all'energia, ai trasporti e alle comunicazioni può destabilizzare rapidamente le società. Attualmente non vi sono valutazioni affidabili per comprendere come le infrastrutture dell'UE saranno in grado di funzionare con il cambiamento delle condizioni climatiche. Le infrastrutture critiche e il parco immobiliare stanno invecchiando rapidamente. Sulla base della mancanza di conoscenze e dei costi proibitivi percepiti, gli Stati membri hanno difficoltà a pianificare e intraprendere importanti sforzi di adattamento delle infrastrutture, anche se i danni causati da una singola catastrofe possono andare ben oltre il valore dei fondi UE disponibili per le infrastrutture.</w:t>
      </w:r>
    </w:p>
    <w:p w14:paraId="462DD9E2" w14:textId="225B4505" w:rsidR="00B0505E" w:rsidRPr="00915255" w:rsidRDefault="002E08D6"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 xml:space="preserve">L'obiettivo dell'UE di aumentare i tassi di ristrutturazione e di decarbonizzare l'economia rappresenta un'opportunità per migliorare la resilienza ai cambiamenti climatici. La progettazione dell'ambiente costruito determina la resilienza degli edifici stessi e degli abitanti. Dovrebbero essere massimizzati i benefici collaterali di immunizzare gli alloggi residenziali agli effetti del clima, in termini di accessibilità economica, ambiente di vita più sano e miglioramento dell'efficienza energetica. Oltre a una forte sorveglianza orizzontale dei rischi sistemici legati alle infrastrutture e alla loro ubicazione attraverso la pianificazione territoriale, sono necessarie più soluzioni settoriali. </w:t>
      </w:r>
    </w:p>
    <w:p w14:paraId="168B4D7D" w14:textId="2F2E7B73" w:rsidR="001C34D5" w:rsidRDefault="006C33BE" w:rsidP="00A632E5">
      <w:pPr>
        <w:pStyle w:val="Text1"/>
        <w:spacing w:after="120" w:line="259" w:lineRule="auto"/>
        <w:ind w:left="0"/>
        <w:rPr>
          <w:rFonts w:eastAsiaTheme="minorEastAsia"/>
          <w:noProof/>
          <w:color w:val="000000" w:themeColor="text1"/>
        </w:rPr>
      </w:pPr>
      <w:r>
        <w:rPr>
          <w:noProof/>
          <w:color w:val="000000" w:themeColor="text1"/>
          <w:u w:val="single"/>
        </w:rPr>
        <w:t>Le norme infrastrutturali devono essere rafforzate</w:t>
      </w:r>
      <w:r>
        <w:rPr>
          <w:noProof/>
          <w:color w:val="000000" w:themeColor="text1"/>
        </w:rPr>
        <w:t xml:space="preserve">. La Commissione chiederà alle organizzazioni europee di normazione (OEN) di integrare le considerazioni relative all'adattamento e alla resilienza ai cambiamenti climatici nelle norme europee per la progettazione di infrastrutture con un ciclo di vita superiore a 30 anni, come le centrali elettriche o le ferrovie. Inoltre la Commissione chiederà alle OEN di elaborare nuove norme sui servizi climatici. </w:t>
      </w:r>
    </w:p>
    <w:p w14:paraId="1E299923" w14:textId="188D20CD" w:rsidR="002E08D6" w:rsidRPr="0044238F" w:rsidRDefault="008C1507" w:rsidP="00A632E5">
      <w:pPr>
        <w:pStyle w:val="Text1"/>
        <w:spacing w:after="120" w:line="259" w:lineRule="auto"/>
        <w:ind w:left="0"/>
        <w:rPr>
          <w:noProof/>
          <w:color w:val="000000" w:themeColor="text1"/>
          <w:u w:val="single"/>
        </w:rPr>
      </w:pPr>
      <w:r>
        <w:rPr>
          <w:noProof/>
          <w:color w:val="000000" w:themeColor="text1"/>
        </w:rPr>
        <w:t>Il previsto aggiornamento delle norme (Eurocodici</w:t>
      </w:r>
      <w:r w:rsidR="005D61D6" w:rsidRPr="00C72C70">
        <w:rPr>
          <w:rStyle w:val="FootnoteReference"/>
          <w:noProof/>
          <w:color w:val="000000" w:themeColor="text1"/>
        </w:rPr>
        <w:footnoteReference w:id="49"/>
      </w:r>
      <w:r>
        <w:rPr>
          <w:noProof/>
          <w:color w:val="000000" w:themeColor="text1"/>
        </w:rPr>
        <w:t>) degli edifici, che stabilisce i requisiti minimi in materia di progettazione strutturale nell'UE nel 2026, renderà obbligatorio tenere in considerazione i futuri rischi climatici per le strutture degli edifici. La Commissione sta conducendo studi pilota e preparerà orientamenti per gli Stati membri sull'uso di serie di dati climatici pubblicamente disponibili per definire l'impatto climatico previsto sul loro territorio.</w:t>
      </w:r>
    </w:p>
    <w:p w14:paraId="2704B49F" w14:textId="3E7C843D" w:rsidR="00755280" w:rsidRPr="00212438" w:rsidRDefault="006805D3" w:rsidP="0044238F">
      <w:pPr>
        <w:pStyle w:val="Text1"/>
        <w:spacing w:after="120" w:line="259" w:lineRule="auto"/>
        <w:ind w:left="0"/>
        <w:rPr>
          <w:noProof/>
          <w:color w:val="000000" w:themeColor="text1"/>
        </w:rPr>
      </w:pPr>
      <w:r>
        <w:rPr>
          <w:noProof/>
          <w:color w:val="000000" w:themeColor="text1"/>
        </w:rPr>
        <w:t xml:space="preserve">Il festival del nuovo Bauhaus europeo dell'aprile 2024 rappresenta un'opportunità fondamentale per avviare un dialogo con diverse parti interessate del settore edile, al fine di promuovere una migliore integrazione dell'adattamento e della resilienza ai cambiamenti climatici in tale settore. </w:t>
      </w:r>
    </w:p>
    <w:p w14:paraId="24F619D5" w14:textId="5A49F4C9" w:rsidR="00B2668D" w:rsidRPr="00B2668D" w:rsidRDefault="00B2668D" w:rsidP="0044238F">
      <w:pPr>
        <w:pStyle w:val="Text1"/>
        <w:spacing w:after="120" w:line="259" w:lineRule="auto"/>
        <w:ind w:left="0"/>
        <w:rPr>
          <w:noProof/>
          <w:color w:val="000000" w:themeColor="text1"/>
          <w:szCs w:val="24"/>
        </w:rPr>
      </w:pPr>
      <w:r>
        <w:rPr>
          <w:noProof/>
          <w:color w:val="000000" w:themeColor="text1"/>
        </w:rPr>
        <w:t xml:space="preserve">Tutte le </w:t>
      </w:r>
      <w:r>
        <w:rPr>
          <w:noProof/>
          <w:color w:val="000000" w:themeColor="text1"/>
          <w:u w:val="single"/>
        </w:rPr>
        <w:t>infrastrutture di trasporto</w:t>
      </w:r>
      <w:r>
        <w:rPr>
          <w:noProof/>
          <w:color w:val="000000" w:themeColor="text1"/>
        </w:rPr>
        <w:t xml:space="preserve"> sono a rischio a causa dei cambiamenti climatici. Tuttavia vi è una carenza di conoscenze a livello dell'UE per quanto riguarda la resilienza delle infrastrutture di trasporto europee agli effetti dei cambiamenti climatici in termini di esposizione al rischio, esigenze e soluzioni di adattamento, nonché necessità di investimento per affrontarli. La Commissione sosterrà le valutazioni dei rischi climatici e la verifica climatica attraverso i suoi orientamenti riveduti sullo sviluppo della rete transeuropea dei trasporti (TEN</w:t>
      </w:r>
      <w:r w:rsidR="0028441D">
        <w:rPr>
          <w:noProof/>
          <w:color w:val="000000" w:themeColor="text1"/>
        </w:rPr>
        <w:noBreakHyphen/>
      </w:r>
      <w:r>
        <w:rPr>
          <w:noProof/>
          <w:color w:val="000000" w:themeColor="text1"/>
        </w:rPr>
        <w:t>T). Ha avviato uno studio</w:t>
      </w:r>
      <w:r w:rsidRPr="00B2668D">
        <w:rPr>
          <w:noProof/>
          <w:color w:val="000000" w:themeColor="text1"/>
          <w:szCs w:val="24"/>
          <w:vertAlign w:val="superscript"/>
        </w:rPr>
        <w:footnoteReference w:id="50"/>
      </w:r>
      <w:r>
        <w:rPr>
          <w:noProof/>
          <w:color w:val="000000" w:themeColor="text1"/>
        </w:rPr>
        <w:t xml:space="preserve"> sulla resilienza ai cambiamenti climatici della TEN-T come primo passo per colmare il divario di conoscenze individuato e determinare le esigenze di adattamento e le priorità di investimento.</w:t>
      </w:r>
    </w:p>
    <w:p w14:paraId="5502F2B0" w14:textId="6240AE8A" w:rsidR="00203897" w:rsidRDefault="00661145"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La pianificazione dei rischi climatici deve essere rafforzata nel settore dell'energia.</w:t>
      </w:r>
      <w:r>
        <w:rPr>
          <w:rFonts w:ascii="Times New Roman" w:hAnsi="Times New Roman"/>
          <w:noProof/>
          <w:color w:val="000000" w:themeColor="text1"/>
          <w:sz w:val="24"/>
        </w:rPr>
        <w:t xml:space="preserve"> </w:t>
      </w:r>
      <w:r w:rsidR="0028441D">
        <w:rPr>
          <w:rFonts w:ascii="Times New Roman" w:hAnsi="Times New Roman"/>
          <w:noProof/>
          <w:color w:val="000000" w:themeColor="text1"/>
          <w:sz w:val="24"/>
        </w:rPr>
        <w:br/>
      </w:r>
      <w:r>
        <w:rPr>
          <w:rFonts w:ascii="Times New Roman" w:hAnsi="Times New Roman"/>
          <w:noProof/>
          <w:color w:val="000000" w:themeColor="text1"/>
          <w:sz w:val="24"/>
        </w:rPr>
        <w:t>I cambiamenti climatici comportano maggiori rischi per la sicurezza energetica, in particolare maggiori rischi di interruzione dell'energia elettrica a causa del caldo, degli incendi boschivi, della siccità e delle alluvioni che agiscono sui picchi della domanda e hanno un impatto sulla produzione, lo stoccaggio, il trasporto e la distribuzione. Solo alcuni Stati membri hanno incluso nelle loro proposte di aggiornamento dei PNEC piani dettagliati per prendere in considerazione l'adattamento ai cambiamenti climatici nel contesto della resilienza dei loro sistemi energetici. La Commissione valuterà le possibilità di una migliore integrazione dei rischi climatici, ad esempio nel contesto del riesame in corso del regolamento sulla governance dell'Unione dell'energia e dell'azione per il clima. Sulla base dei piani nazionali di preparazione nel settore dell'energia elettrica, la Commissione valuterà inoltre la possibilità di avviare un dialogo sui rischi climatici con determinati portatori di interessi del settore dell'energia e invita i soggetti interessati (ad esempio il settore dell'energia elettrica) a presentare proposte.</w:t>
      </w:r>
    </w:p>
    <w:p w14:paraId="2B70AB80" w14:textId="77777777" w:rsidR="00A632E5" w:rsidRPr="00A632E5" w:rsidRDefault="00A632E5" w:rsidP="00A632E5">
      <w:pPr>
        <w:spacing w:after="120"/>
        <w:jc w:val="both"/>
        <w:rPr>
          <w:rFonts w:ascii="Times New Roman" w:hAnsi="Times New Roman" w:cs="Times New Roman"/>
          <w:noProof/>
          <w:color w:val="000000" w:themeColor="text1"/>
          <w:sz w:val="24"/>
          <w:szCs w:val="24"/>
        </w:rPr>
      </w:pPr>
    </w:p>
    <w:p w14:paraId="7105C662" w14:textId="2DAAFFE2" w:rsidR="00F94DC6" w:rsidRPr="00420C4C" w:rsidRDefault="00F94DC6"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59" w:name="_Toc157587793"/>
      <w:bookmarkStart w:id="60" w:name="_Toc159792212"/>
      <w:bookmarkEnd w:id="59"/>
      <w:r>
        <w:rPr>
          <w:rFonts w:ascii="Times New Roman" w:hAnsi="Times New Roman"/>
          <w:b/>
          <w:noProof/>
          <w:color w:val="000000" w:themeColor="text1"/>
          <w:sz w:val="24"/>
        </w:rPr>
        <w:t>Economia</w:t>
      </w:r>
      <w:bookmarkEnd w:id="60"/>
    </w:p>
    <w:p w14:paraId="11C6503F" w14:textId="77777777" w:rsidR="00ED251E" w:rsidRDefault="00ED251E" w:rsidP="00FE40B8">
      <w:pPr>
        <w:spacing w:line="240" w:lineRule="auto"/>
        <w:jc w:val="both"/>
        <w:rPr>
          <w:rFonts w:ascii="Times New Roman" w:hAnsi="Times New Roman" w:cs="Times New Roman"/>
          <w:bCs/>
          <w:noProof/>
          <w:color w:val="000000" w:themeColor="text1"/>
          <w:sz w:val="24"/>
          <w:szCs w:val="24"/>
          <w:lang w:val="en-IE" w:eastAsia="en-IE"/>
        </w:rPr>
      </w:pPr>
    </w:p>
    <w:p w14:paraId="4483C1FD" w14:textId="7BC3D33C" w:rsidR="003538B8" w:rsidRDefault="00363162"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Ogni catastrofe legata ai cambiamenti climatici metterà ulteriormente a dura prova l'economia, a causa della perdita di produttività e di vite umane, dei danni diretti, della riduzione del potenziale di crescita e della pressione sui bilanci pubblici. Quando l'investimento è reindirizzato alla ricostruzione in seguito a danni, l'importo disponibile per gli investimenti produttivi è ridotto. Le interazioni tra le diverse parti del sistema finanziario non sono ben conosciute e i rischi climatici possono portare le vulnerabilità esistenti al di sopra delle soglie critiche per tali sistemi. I bilanci pubblici sono la principale fonte di copertura per tali rischi, ma sono già messi a dura prova dagli elevati livelli di debito. Le passività potenziali implicite derivanti dai rischi climatici potrebbero compromettere la stabilità e la sostenibilità di bilancio degli Stati membri. I rischi per l'economia dell'UE potrebbero essere significativi</w:t>
      </w:r>
      <w:r w:rsidR="003057A0" w:rsidRPr="00915255">
        <w:rPr>
          <w:rStyle w:val="FootnoteReference"/>
          <w:rFonts w:ascii="Times New Roman" w:hAnsi="Times New Roman" w:cs="Times New Roman"/>
          <w:bCs/>
          <w:noProof/>
          <w:color w:val="000000" w:themeColor="text1"/>
          <w:sz w:val="24"/>
          <w:szCs w:val="24"/>
          <w:lang w:val="en-IE" w:eastAsia="en-IE"/>
        </w:rPr>
        <w:footnoteReference w:id="51"/>
      </w:r>
      <w:r>
        <w:rPr>
          <w:rFonts w:ascii="Times New Roman" w:hAnsi="Times New Roman"/>
          <w:noProof/>
          <w:color w:val="000000" w:themeColor="text1"/>
          <w:sz w:val="24"/>
        </w:rPr>
        <w:t xml:space="preserve">. </w:t>
      </w:r>
    </w:p>
    <w:p w14:paraId="723168AD" w14:textId="65AE64DE" w:rsidR="00463C23" w:rsidRPr="00915255" w:rsidRDefault="006A2290"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La sicurezza economica dell'UE è inoltre esposta ai rischi climatici nelle catene di approvvigionamento, in particolare per i prodotti farmaceutici e i semiconduttori. Alla luce delle lacune esistenti in termini di dati e conoscenze, non è escluso che i rischi legati al clima siano attualmente sottostimati. Ciò può generare reazioni caotiche sul mercato, ad esempio quando si verificano o possono verificarsi eventi estremi. Nell'UE vi è una bassa copertura assicurativa degli attivi e dei beni immobili esposti al clima, con variazioni significative tra gli Stati membri e i pericoli legati al clima, ed è probabile che essa diminuisca ulteriormente con l'incremento dei premi a seguito dell'aumento della frequenza e della gravità degli eventi legati al clima. Sono in corso lavori sostanziali sui vari rischi di sostenibilità, in particolare attraverso la strategia dell'UE per la finanza sostenibile o il dialogo sulla resilienza climatica, che mira a colmare il divario in materia di protezione climatica nel settore assicurativo</w:t>
      </w:r>
      <w:r w:rsidR="00FD6FC6">
        <w:rPr>
          <w:rStyle w:val="FootnoteReference"/>
          <w:rFonts w:ascii="Times New Roman" w:hAnsi="Times New Roman" w:cs="Times New Roman"/>
          <w:bCs/>
          <w:noProof/>
          <w:color w:val="000000" w:themeColor="text1"/>
          <w:sz w:val="24"/>
          <w:szCs w:val="24"/>
          <w:lang w:val="en-IE" w:eastAsia="en-IE"/>
        </w:rPr>
        <w:footnoteReference w:id="52"/>
      </w:r>
      <w:r>
        <w:rPr>
          <w:rFonts w:ascii="Times New Roman" w:hAnsi="Times New Roman"/>
          <w:noProof/>
          <w:color w:val="000000" w:themeColor="text1"/>
          <w:sz w:val="24"/>
        </w:rPr>
        <w:t xml:space="preserve">. </w:t>
      </w:r>
    </w:p>
    <w:p w14:paraId="70E72712" w14:textId="6E60782E" w:rsidR="003C5D9C" w:rsidRDefault="00453D4B"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L'UE ha già adottato misure importanti per mobilitare l'azione per il clima e il commercio a livello mondiale. La coalizione dei ministri del Commercio per il clima</w:t>
      </w:r>
      <w:r w:rsidRPr="00915255">
        <w:rPr>
          <w:rFonts w:ascii="Times New Roman" w:hAnsi="Times New Roman" w:cs="Times New Roman"/>
          <w:noProof/>
          <w:color w:val="000000" w:themeColor="text1"/>
          <w:sz w:val="24"/>
          <w:szCs w:val="24"/>
          <w:vertAlign w:val="superscript"/>
          <w:lang w:val="en-IE" w:eastAsia="en-IE"/>
        </w:rPr>
        <w:footnoteReference w:id="53"/>
      </w:r>
      <w:r>
        <w:rPr>
          <w:rFonts w:ascii="Times New Roman" w:hAnsi="Times New Roman"/>
          <w:noProof/>
          <w:color w:val="000000" w:themeColor="text1"/>
          <w:sz w:val="24"/>
        </w:rPr>
        <w:t>, proposta e guidata dall'Unione con Ecuador, Kenya e Nuova Zelanda, mostra un crescente riconoscimento da parte dei governi degli interessi condivisi sul nesso tra clima e commercio al fine di rafforzare il contributo che il commercio e la politica commerciale possono apportare all'azione per il clima. Gli accordi commerciali bilaterali dell'UE possono fungere da piattaforme importanti per dialogare con i partner commerciali in materia di azione per il clima e l'ambiente</w:t>
      </w:r>
      <w:r w:rsidR="00FE4D6B" w:rsidRPr="00C25C60">
        <w:rPr>
          <w:rFonts w:ascii="Times New Roman" w:hAnsi="Times New Roman" w:cs="Times New Roman"/>
          <w:noProof/>
          <w:color w:val="000000" w:themeColor="text1"/>
          <w:sz w:val="24"/>
          <w:szCs w:val="24"/>
          <w:vertAlign w:val="superscript"/>
          <w:lang w:eastAsia="en-IE"/>
        </w:rPr>
        <w:footnoteReference w:id="54"/>
      </w:r>
      <w:r>
        <w:rPr>
          <w:rFonts w:ascii="Times New Roman" w:hAnsi="Times New Roman"/>
          <w:noProof/>
          <w:color w:val="000000" w:themeColor="text1"/>
          <w:sz w:val="24"/>
        </w:rPr>
        <w:t xml:space="preserve">. </w:t>
      </w:r>
    </w:p>
    <w:p w14:paraId="46F23799" w14:textId="6674D712" w:rsidR="007D4C6B" w:rsidRPr="00915255" w:rsidRDefault="001C7367"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I rischi legati al clima rappresentano un grave pericolo per la </w:t>
      </w:r>
      <w:r>
        <w:rPr>
          <w:rFonts w:ascii="Times New Roman" w:hAnsi="Times New Roman"/>
          <w:noProof/>
          <w:color w:val="000000" w:themeColor="text1"/>
          <w:sz w:val="24"/>
          <w:u w:val="single"/>
        </w:rPr>
        <w:t>resilienza delle imprese dell'UE, in particolare delle PMI</w:t>
      </w:r>
      <w:r>
        <w:rPr>
          <w:rFonts w:ascii="Times New Roman" w:hAnsi="Times New Roman"/>
          <w:noProof/>
          <w:color w:val="000000" w:themeColor="text1"/>
          <w:sz w:val="24"/>
        </w:rPr>
        <w:t>. I rischi climatici incidono sull'accesso delle PMI ai finanziamenti, sul loro costo del capitale e sulla loro capacità di rimborsare i debiti</w:t>
      </w:r>
      <w:r w:rsidR="00F74E4A">
        <w:rPr>
          <w:rStyle w:val="FootnoteReference"/>
          <w:rFonts w:ascii="Times New Roman" w:hAnsi="Times New Roman" w:cs="Times New Roman"/>
          <w:noProof/>
          <w:color w:val="000000" w:themeColor="text1"/>
          <w:sz w:val="24"/>
          <w:szCs w:val="24"/>
          <w:lang w:val="en-IE" w:eastAsia="en-IE"/>
        </w:rPr>
        <w:footnoteReference w:id="55"/>
      </w:r>
      <w:r>
        <w:rPr>
          <w:rFonts w:ascii="Times New Roman" w:hAnsi="Times New Roman"/>
          <w:noProof/>
          <w:color w:val="000000" w:themeColor="text1"/>
          <w:sz w:val="24"/>
        </w:rPr>
        <w:t>. Quasi la metà delle imprese dell'UE è preoccupata per i rischi naturali, ma meno di un terzo di tali imprese ha investito o prevede di farlo per mitigare l'impatto di tali rischi</w:t>
      </w:r>
      <w:r w:rsidR="001A31EC" w:rsidRPr="00915255">
        <w:rPr>
          <w:rFonts w:ascii="Times New Roman" w:hAnsi="Times New Roman" w:cs="Times New Roman"/>
          <w:noProof/>
          <w:color w:val="000000" w:themeColor="text1"/>
          <w:sz w:val="24"/>
          <w:szCs w:val="24"/>
          <w:vertAlign w:val="superscript"/>
          <w:lang w:val="en-IE" w:eastAsia="en-IE"/>
        </w:rPr>
        <w:footnoteReference w:id="56"/>
      </w:r>
      <w:r>
        <w:rPr>
          <w:rFonts w:ascii="Times New Roman" w:hAnsi="Times New Roman"/>
          <w:noProof/>
          <w:color w:val="000000" w:themeColor="text1"/>
          <w:sz w:val="24"/>
        </w:rPr>
        <w:t>.</w:t>
      </w:r>
      <w:r>
        <w:rPr>
          <w:rFonts w:ascii="Times New Roman" w:hAnsi="Times New Roman"/>
          <w:noProof/>
          <w:color w:val="000000" w:themeColor="text1"/>
          <w:sz w:val="24"/>
          <w:vertAlign w:val="superscript"/>
        </w:rPr>
        <w:t xml:space="preserve"> </w:t>
      </w:r>
      <w:r>
        <w:rPr>
          <w:rFonts w:ascii="Times New Roman" w:hAnsi="Times New Roman"/>
          <w:noProof/>
          <w:color w:val="000000" w:themeColor="text1"/>
          <w:sz w:val="24"/>
        </w:rPr>
        <w:t>Come indicato nella strategia dell'UE per le PMI, è essenziale sostenere le PMI nella comprensione e nella mitigazione dei rischi ambientali</w:t>
      </w:r>
      <w:r w:rsidR="00BD486C" w:rsidRPr="001A3A0E">
        <w:rPr>
          <w:rStyle w:val="FootnoteReference"/>
          <w:rFonts w:ascii="Times New Roman" w:hAnsi="Times New Roman" w:cs="Times New Roman"/>
          <w:noProof/>
          <w:color w:val="000000" w:themeColor="text1"/>
          <w:sz w:val="24"/>
          <w:szCs w:val="24"/>
          <w:lang w:val="en-IE" w:eastAsia="en-IE"/>
        </w:rPr>
        <w:footnoteReference w:id="57"/>
      </w:r>
      <w:r>
        <w:rPr>
          <w:rFonts w:ascii="Times New Roman" w:hAnsi="Times New Roman"/>
          <w:noProof/>
          <w:color w:val="000000" w:themeColor="text1"/>
          <w:sz w:val="24"/>
        </w:rPr>
        <w:t>. Nell'ambito dell'attuazione della strategia europea per la sicurezza economica</w:t>
      </w:r>
      <w:r w:rsidR="00D95E11" w:rsidRPr="001A3A0E">
        <w:rPr>
          <w:rStyle w:val="FootnoteReference"/>
          <w:rFonts w:ascii="Times New Roman" w:hAnsi="Times New Roman" w:cs="Times New Roman"/>
          <w:noProof/>
          <w:color w:val="000000" w:themeColor="text1"/>
          <w:sz w:val="24"/>
          <w:szCs w:val="24"/>
          <w:lang w:val="en-IE" w:eastAsia="en-IE"/>
        </w:rPr>
        <w:footnoteReference w:id="58"/>
      </w:r>
      <w:r>
        <w:rPr>
          <w:rFonts w:ascii="Times New Roman" w:hAnsi="Times New Roman"/>
          <w:noProof/>
          <w:color w:val="000000" w:themeColor="text1"/>
          <w:sz w:val="24"/>
        </w:rPr>
        <w:t>, la Commissione prenderà in considerazione anche i rischi climatici. Le azioni previste nel pacchetto di aiuti per le PMI</w:t>
      </w:r>
      <w:r w:rsidR="0086628C" w:rsidRPr="00D45989">
        <w:rPr>
          <w:rStyle w:val="FootnoteReference"/>
          <w:rFonts w:ascii="Times New Roman" w:hAnsi="Times New Roman"/>
          <w:noProof/>
          <w:color w:val="000000" w:themeColor="text1"/>
          <w:sz w:val="24"/>
          <w:lang w:val="en-IE"/>
        </w:rPr>
        <w:footnoteReference w:id="59"/>
      </w:r>
      <w:r>
        <w:rPr>
          <w:rFonts w:ascii="Times New Roman" w:hAnsi="Times New Roman"/>
          <w:noProof/>
          <w:color w:val="000000" w:themeColor="text1"/>
          <w:sz w:val="24"/>
        </w:rPr>
        <w:t xml:space="preserve">, che mirano, tra l'altro, a facilitare l'accesso delle PMI a finanziamenti sostenibili riducendo al minimo gli oneri amministrativi, aiutano anche le imprese dell'UE a mantenere la loro posizione competitiva e, potenzialmente, a creare e guidare lo sviluppo del mercato in segmenti che rafforzano la resilienza ai cambiamenti climatici. </w:t>
      </w:r>
      <w:r w:rsidR="0028441D">
        <w:rPr>
          <w:rFonts w:ascii="Times New Roman" w:hAnsi="Times New Roman"/>
          <w:noProof/>
          <w:color w:val="000000" w:themeColor="text1"/>
          <w:sz w:val="24"/>
        </w:rPr>
        <w:br/>
      </w:r>
      <w:r>
        <w:rPr>
          <w:rFonts w:ascii="Times New Roman" w:hAnsi="Times New Roman"/>
          <w:noProof/>
          <w:color w:val="000000" w:themeColor="text1"/>
          <w:sz w:val="24"/>
        </w:rPr>
        <w:t>Ciò comprende sia il sostegno alla società che l'occupazione di una quota significativa del mercato mondiale per le tecnologie e i sistemi informatici legati alla resilienza ai cambiamenti climatici e alla gestione dei rischi. Al fine di migliorare la resilienza sistemica delle catene di approvvigionamento dell'UE, la Commissione prenderà in considerazione il potenziale della valutazione dei rischi climatici fisici nel contesto del monitoraggio delle vulnerabilità delle catene di approvvigionamento.</w:t>
      </w:r>
    </w:p>
    <w:p w14:paraId="77DF6DCE" w14:textId="29FBD71F" w:rsidR="00211506" w:rsidRPr="001A3A0E" w:rsidRDefault="00211506" w:rsidP="00A632E5">
      <w:pPr>
        <w:spacing w:after="120"/>
        <w:jc w:val="both"/>
        <w:rPr>
          <w:rFonts w:ascii="Times New Roman" w:hAnsi="Times New Roman" w:cs="Times New Roman"/>
          <w:noProof/>
          <w:color w:val="000000" w:themeColor="text1"/>
          <w:sz w:val="24"/>
          <w:szCs w:val="24"/>
        </w:rPr>
      </w:pPr>
      <w:bookmarkStart w:id="61" w:name="_Hlk160800506"/>
      <w:r>
        <w:rPr>
          <w:rFonts w:ascii="Times New Roman" w:hAnsi="Times New Roman"/>
          <w:noProof/>
          <w:color w:val="000000" w:themeColor="text1"/>
          <w:sz w:val="24"/>
          <w:u w:val="single"/>
        </w:rPr>
        <w:t>Vi è una chiara necessità di rafforzare la sostenibilità di bilancio</w:t>
      </w:r>
      <w:r>
        <w:rPr>
          <w:rFonts w:ascii="Times New Roman" w:hAnsi="Times New Roman"/>
          <w:noProof/>
          <w:color w:val="000000" w:themeColor="text1"/>
          <w:sz w:val="24"/>
        </w:rPr>
        <w:t xml:space="preserve">. </w:t>
      </w:r>
      <w:r>
        <w:rPr>
          <w:rFonts w:ascii="Times New Roman" w:hAnsi="Times New Roman"/>
          <w:noProof/>
          <w:sz w:val="24"/>
        </w:rPr>
        <w:t>L'accordo provvisorio su nuove regole di governance economica dovrebbe rafforzare la sostenibilità di bilancio e promuovere la crescita attraverso riforme e investimenti, non da ultimo quelli per le priorità comuni dell'UE come la transizione climatica</w:t>
      </w:r>
      <w:r w:rsidRPr="00915255">
        <w:rPr>
          <w:rFonts w:ascii="Times New Roman" w:hAnsi="Times New Roman" w:cs="Times New Roman"/>
          <w:noProof/>
          <w:color w:val="000000" w:themeColor="text1"/>
          <w:sz w:val="24"/>
          <w:szCs w:val="24"/>
          <w:vertAlign w:val="superscript"/>
          <w:lang w:val="en-IE" w:eastAsia="en-IE"/>
        </w:rPr>
        <w:footnoteReference w:id="60"/>
      </w:r>
      <w:r>
        <w:rPr>
          <w:rFonts w:ascii="Times New Roman" w:hAnsi="Times New Roman"/>
          <w:noProof/>
          <w:sz w:val="24"/>
        </w:rPr>
        <w:t>.</w:t>
      </w:r>
      <w:r>
        <w:rPr>
          <w:rFonts w:ascii="Times New Roman" w:hAnsi="Times New Roman"/>
          <w:noProof/>
          <w:color w:val="000000" w:themeColor="text1"/>
          <w:sz w:val="24"/>
        </w:rPr>
        <w:t xml:space="preserve"> Sono in corso lavori per sviluppare la proiezione degli impatti climatici sulla sostenibilità del debito. Nell'ambito dell'accordo provvisorio, le modifiche della direttiva sui quadri di bilancio nazionali includono obblighi di comunicazione in materia di clima nei piani di bilancio nazionali annuali e pluriennali. Tali disposizioni riguardano i dati raccolti in precedenza sulle perdite causate da catastrofi legate al clima e le stime dei rischi di bilancio derivanti dai cambiamenti climatici. Per migliorare e integrare il bilancio dei rischi climatici nei processi di bilancio nazionali, la Commissione è pronta a sostenere gli Stati membri nello scambio delle migliori pratiche e a fornire assistenza tecnica e formazione. Sono in corso lavori per perfezionare le stime del fabbisogno di investimenti nell'adattamento</w:t>
      </w:r>
      <w:r w:rsidR="006F47E3" w:rsidRPr="006F47E3">
        <w:rPr>
          <w:rFonts w:ascii="Times New Roman" w:hAnsi="Times New Roman" w:cs="Times New Roman"/>
          <w:noProof/>
          <w:color w:val="000000" w:themeColor="text1"/>
          <w:sz w:val="24"/>
          <w:szCs w:val="24"/>
          <w:vertAlign w:val="superscript"/>
          <w:lang w:val="en-IE" w:eastAsia="en-IE"/>
        </w:rPr>
        <w:footnoteReference w:id="61"/>
      </w:r>
      <w:r>
        <w:rPr>
          <w:rFonts w:ascii="Times New Roman" w:hAnsi="Times New Roman"/>
          <w:noProof/>
          <w:color w:val="000000" w:themeColor="text1"/>
          <w:sz w:val="24"/>
        </w:rPr>
        <w:t xml:space="preserve"> e la Commissione collaborerà inoltre con gli Stati membri per colmare le lacune nei dati, tra l'altro, per stimare il fabbisogno nazionale di investimenti nell'adattamento. La Commissione è disponibile a sostenere i ministeri del Tesoro degli Stati membri che intendono confrontarsi sul loro ruolo in materia di coordinamento, elaborazione e attuazione delle politiche di adattamento. </w:t>
      </w:r>
    </w:p>
    <w:bookmarkEnd w:id="61"/>
    <w:p w14:paraId="77A2ACA8" w14:textId="2B6BBFCE" w:rsidR="008C27E2" w:rsidRDefault="00867C89"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 xml:space="preserve">Le politiche dei mercati finanziari devono adottare un approccio prudente ai rischi climatici per salvaguardare la stabilità finanziaria. </w:t>
      </w:r>
      <w:r>
        <w:rPr>
          <w:rFonts w:ascii="Times New Roman" w:hAnsi="Times New Roman"/>
          <w:noProof/>
          <w:color w:val="000000" w:themeColor="text1"/>
          <w:sz w:val="24"/>
        </w:rPr>
        <w:t>La strategia dell'UE per la finanza sostenibile mira a rendere più trasparenti i rischi climatici e altri rischi ambientali e più sicuro il sistema finanziario dell'UE</w:t>
      </w:r>
      <w:bookmarkStart w:id="62" w:name="_Hlk160823229"/>
      <w:r>
        <w:rPr>
          <w:rFonts w:ascii="Times New Roman" w:hAnsi="Times New Roman"/>
          <w:noProof/>
          <w:color w:val="000000" w:themeColor="text1"/>
          <w:sz w:val="24"/>
        </w:rPr>
        <w:t xml:space="preserve">. La Commissione continuerà a garantire che tutti i rischi pertinenti siano adeguatamente rispecchiati nei quadri prudenziali, ad esempio nelle proposte recentemente approvate sulla direttiva "Solvibilità II" e sul regolamento sui requisiti patrimoniali, che costituiscono la base per incorporare il rischio climatico nei quadri bancari e assicurativi. </w:t>
      </w:r>
      <w:r w:rsidR="0028441D">
        <w:rPr>
          <w:rFonts w:ascii="Times New Roman" w:hAnsi="Times New Roman"/>
          <w:noProof/>
          <w:color w:val="000000" w:themeColor="text1"/>
          <w:sz w:val="24"/>
        </w:rPr>
        <w:br/>
      </w:r>
      <w:r>
        <w:rPr>
          <w:rFonts w:ascii="Times New Roman" w:hAnsi="Times New Roman"/>
          <w:noProof/>
          <w:color w:val="000000" w:themeColor="text1"/>
          <w:sz w:val="24"/>
        </w:rPr>
        <w:t>La Commissione ne garantirà la rapida attuazione.</w:t>
      </w:r>
    </w:p>
    <w:bookmarkEnd w:id="62"/>
    <w:p w14:paraId="42859B86" w14:textId="657A5CC7" w:rsidR="00FE74B1" w:rsidRPr="00915255" w:rsidRDefault="00FE74B1" w:rsidP="00FE74B1">
      <w:pPr>
        <w:spacing w:after="120"/>
        <w:jc w:val="both"/>
        <w:rPr>
          <w:rFonts w:ascii="Times New Roman" w:hAnsi="Times New Roman" w:cs="Times New Roman"/>
          <w:noProof/>
          <w:color w:val="000000" w:themeColor="text1"/>
          <w:sz w:val="24"/>
          <w:szCs w:val="24"/>
          <w:u w:val="single"/>
          <w:lang w:val="en-IE" w:eastAsia="en-IE"/>
        </w:rPr>
      </w:pPr>
    </w:p>
    <w:p w14:paraId="4E4E36AE" w14:textId="53B0D8EE" w:rsidR="0053389F" w:rsidRPr="00420C4C" w:rsidRDefault="0053389F" w:rsidP="00B2476E">
      <w:pPr>
        <w:pStyle w:val="Heading1"/>
        <w:numPr>
          <w:ilvl w:val="0"/>
          <w:numId w:val="1"/>
        </w:numPr>
        <w:ind w:left="357" w:hanging="357"/>
        <w:rPr>
          <w:rFonts w:ascii="Times New Roman" w:hAnsi="Times New Roman" w:cs="Times New Roman"/>
          <w:b/>
          <w:bCs/>
          <w:noProof/>
          <w:color w:val="000000" w:themeColor="text1"/>
          <w:sz w:val="24"/>
          <w:szCs w:val="24"/>
        </w:rPr>
      </w:pPr>
      <w:bookmarkStart w:id="63" w:name="_Toc159792213"/>
      <w:r>
        <w:rPr>
          <w:rFonts w:ascii="Times New Roman" w:hAnsi="Times New Roman"/>
          <w:b/>
          <w:noProof/>
          <w:color w:val="000000" w:themeColor="text1"/>
          <w:sz w:val="24"/>
        </w:rPr>
        <w:t>Prossime tappe</w:t>
      </w:r>
      <w:bookmarkEnd w:id="63"/>
      <w:r>
        <w:rPr>
          <w:rFonts w:ascii="Times New Roman" w:hAnsi="Times New Roman"/>
          <w:b/>
          <w:noProof/>
          <w:color w:val="000000" w:themeColor="text1"/>
          <w:sz w:val="24"/>
        </w:rPr>
        <w:t xml:space="preserve"> </w:t>
      </w:r>
    </w:p>
    <w:p w14:paraId="22937A63" w14:textId="77777777" w:rsidR="00420C4C" w:rsidRDefault="00420C4C" w:rsidP="006A5049">
      <w:pPr>
        <w:jc w:val="both"/>
        <w:textAlignment w:val="baseline"/>
        <w:rPr>
          <w:rFonts w:ascii="Times New Roman" w:eastAsia="Times New Roman" w:hAnsi="Times New Roman" w:cs="Times New Roman"/>
          <w:noProof/>
          <w:color w:val="000000" w:themeColor="text1"/>
          <w:sz w:val="24"/>
          <w:szCs w:val="24"/>
          <w:lang w:val="en-IE" w:eastAsia="en-IE"/>
        </w:rPr>
      </w:pPr>
    </w:p>
    <w:p w14:paraId="1F616742" w14:textId="11E1FCE1" w:rsidR="00363162" w:rsidRPr="00915255" w:rsidRDefault="0049025D" w:rsidP="00BB3B6A">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Nell'ambito dell'attuazione della strategia dell'UE di adattamento ai cambiamenti climatici, la presente comunicazione sottolinea le azioni chiave che l'UE e gli Stati membri devono intraprendere per gestire meglio i crescenti rischi climatici, in particolare per attuare le politiche esistenti e chiarire la titolarità dei rischi nei processi di governance. Mira a fornire una risposta solida e tempestiva al pericolo chiaro e reale che si verifichino altre catastrofi climatiche. </w:t>
      </w:r>
    </w:p>
    <w:p w14:paraId="43AC9216" w14:textId="63125849" w:rsidR="00F370B9" w:rsidRPr="00915255" w:rsidRDefault="49C48264" w:rsidP="00BB3B6A">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La comunicazione sottolinea la necessità di elementi di prova utili ai fini delle decisioni, quali la relazione EUCRA, le più recenti osservazioni sulla temperatura, le relazioni sullo stato di avanzamento e le informazioni sui costi causati dai danni climatici. Evidenzia la necessità di utilizzare appieno le informazioni disponibili per orientare le scelte politiche in tutti i settori. Nei prossimi anni i responsabili politici a tutti i livelli di governance dovrebbero affrontare in modo proattivo l'adattamento ai cambiamenti climatici, utilizzando strumenti, tecnologie e altri mezzi già esistenti. </w:t>
      </w:r>
      <w:r>
        <w:rPr>
          <w:rFonts w:ascii="Times New Roman" w:hAnsi="Times New Roman"/>
          <w:b/>
          <w:noProof/>
          <w:color w:val="000000" w:themeColor="text1"/>
          <w:sz w:val="24"/>
        </w:rPr>
        <w:t>Ciò richiede un'azione concertata a tutti i livelli e lo sviluppo di un percorso chiaro per migliorare la preparazione e la resilienza.</w:t>
      </w:r>
    </w:p>
    <w:p w14:paraId="15BAA7F0" w14:textId="1BF76D65" w:rsidR="00831DA5" w:rsidRPr="001A3A0E" w:rsidRDefault="00831DA5" w:rsidP="00831DA5">
      <w:pPr>
        <w:spacing w:after="120"/>
        <w:jc w:val="both"/>
        <w:rPr>
          <w:rFonts w:ascii="Times New Roman" w:eastAsia="Times New Roman" w:hAnsi="Times New Roman" w:cs="Times New Roman"/>
          <w:noProof/>
          <w:color w:val="000000" w:themeColor="text1"/>
          <w:sz w:val="24"/>
          <w:szCs w:val="24"/>
        </w:rPr>
      </w:pPr>
      <w:r>
        <w:rPr>
          <w:rFonts w:ascii="Times New Roman" w:hAnsi="Times New Roman"/>
          <w:noProof/>
          <w:sz w:val="24"/>
        </w:rPr>
        <w:t>Pur concentrandosi sull'azione nell'Unione europea, la presente comunicazione prevede anche lo scambio e la condivisione di esperienze e informazioni con i paesi partner dell'UE. I settori e le aree di intervento contemplati dal presente documento sono sostanzialmente in linea con le decisioni relative all'adattamento ai cambiamenti climatici adottate in occasione della COP</w:t>
      </w:r>
      <w:r w:rsidR="0028441D">
        <w:rPr>
          <w:rFonts w:ascii="Times New Roman" w:hAnsi="Times New Roman"/>
          <w:noProof/>
          <w:sz w:val="24"/>
        </w:rPr>
        <w:t> </w:t>
      </w:r>
      <w:r>
        <w:rPr>
          <w:rFonts w:ascii="Times New Roman" w:hAnsi="Times New Roman"/>
          <w:noProof/>
          <w:sz w:val="24"/>
        </w:rPr>
        <w:t xml:space="preserve">28 dell'UNFCCC a Dubai. La Commissione presenterà in modo proattivo temi pertinenti nei dialoghi bilaterali, attraverso alleanze </w:t>
      </w:r>
      <w:r>
        <w:rPr>
          <w:rFonts w:ascii="Times New Roman" w:hAnsi="Times New Roman"/>
          <w:noProof/>
          <w:color w:val="000000" w:themeColor="text1"/>
          <w:sz w:val="24"/>
        </w:rPr>
        <w:t xml:space="preserve">verdi e partenariati verdi, nonché nelle pertinenti sedi delle Nazioni Unite e di altri consessi multilaterali (quali G7, G20, OCSE, FEM, OMC). Inoltre la Commissione esaminerà la possibilità di organizzare nel 2025 un simposio internazionale sulla gestione dei rischi climatici mondiali, che riunisca rappresentanti governativi, finanziatori e organizzazioni di esperti di tutto il mondo. </w:t>
      </w:r>
    </w:p>
    <w:p w14:paraId="0FB24F29" w14:textId="60280C48" w:rsidR="003B472B" w:rsidRPr="00755240" w:rsidRDefault="005D1C82" w:rsidP="00F01461">
      <w:pPr>
        <w:spacing w:after="120"/>
        <w:jc w:val="both"/>
        <w:textAlignment w:val="baseline"/>
        <w:rPr>
          <w:rFonts w:ascii="Times New Roman" w:hAnsi="Times New Roman"/>
          <w:b/>
          <w:noProof/>
          <w:sz w:val="24"/>
        </w:rPr>
      </w:pPr>
      <w:r>
        <w:rPr>
          <w:rFonts w:ascii="Times New Roman" w:hAnsi="Times New Roman"/>
          <w:b/>
          <w:noProof/>
          <w:sz w:val="24"/>
        </w:rPr>
        <w:t>La Commissione continuerà a collaborare con gli Stati membri, i cittadini, le imprese e le altre istituzioni dell'UE per rafforzare la resilienza della società e dell'economia dell'UE</w:t>
      </w:r>
      <w:r>
        <w:rPr>
          <w:rFonts w:ascii="Times New Roman" w:hAnsi="Times New Roman"/>
          <w:b/>
          <w:noProof/>
          <w:color w:val="000000" w:themeColor="text1"/>
          <w:sz w:val="24"/>
        </w:rPr>
        <w:t>. Insieme possiamo proteggere le persone e la prosperità.</w:t>
      </w:r>
    </w:p>
    <w:sectPr w:rsidR="003B472B" w:rsidRPr="00755240" w:rsidSect="00915255">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F08E36" w14:textId="77777777" w:rsidR="006848B1" w:rsidRDefault="006848B1" w:rsidP="003F1FF2">
      <w:pPr>
        <w:spacing w:after="0" w:line="240" w:lineRule="auto"/>
      </w:pPr>
      <w:r>
        <w:separator/>
      </w:r>
    </w:p>
  </w:endnote>
  <w:endnote w:type="continuationSeparator" w:id="0">
    <w:p w14:paraId="36C1655D" w14:textId="77777777" w:rsidR="006848B1" w:rsidRDefault="006848B1" w:rsidP="003F1FF2">
      <w:pPr>
        <w:spacing w:after="0" w:line="240" w:lineRule="auto"/>
      </w:pPr>
      <w:r>
        <w:continuationSeparator/>
      </w:r>
    </w:p>
  </w:endnote>
  <w:endnote w:type="continuationNotice" w:id="1">
    <w:p w14:paraId="0EB776F2" w14:textId="77777777" w:rsidR="006848B1" w:rsidRDefault="006848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2CFEC" w14:textId="2FC6815C" w:rsidR="004464EF" w:rsidRPr="004464EF" w:rsidRDefault="004464EF" w:rsidP="004464EF">
    <w:pPr>
      <w:pStyle w:val="FooterCoverPage"/>
      <w:rPr>
        <w:rFonts w:ascii="Arial" w:hAnsi="Arial" w:cs="Arial"/>
        <w:b/>
        <w:sz w:val="48"/>
      </w:rPr>
    </w:pPr>
    <w:r w:rsidRPr="004464EF">
      <w:rPr>
        <w:rFonts w:ascii="Arial" w:hAnsi="Arial" w:cs="Arial"/>
        <w:b/>
        <w:sz w:val="48"/>
      </w:rPr>
      <w:t>IT</w:t>
    </w:r>
    <w:r w:rsidRPr="004464EF">
      <w:rPr>
        <w:rFonts w:ascii="Arial" w:hAnsi="Arial" w:cs="Arial"/>
        <w:b/>
        <w:sz w:val="48"/>
      </w:rPr>
      <w:tab/>
    </w:r>
    <w:r w:rsidRPr="004464EF">
      <w:rPr>
        <w:rFonts w:ascii="Arial" w:hAnsi="Arial" w:cs="Arial"/>
        <w:b/>
        <w:sz w:val="48"/>
      </w:rPr>
      <w:tab/>
    </w:r>
    <w:r w:rsidRPr="004464EF">
      <w:tab/>
    </w:r>
    <w:r w:rsidRPr="004464EF">
      <w:rPr>
        <w:rFonts w:ascii="Arial" w:hAnsi="Arial" w:cs="Arial"/>
        <w:b/>
        <w:sz w:val="48"/>
      </w:rPr>
      <w:t>IT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AA7EF" w14:textId="52378270" w:rsidR="004464EF" w:rsidRPr="004464EF" w:rsidRDefault="004464EF" w:rsidP="004464EF">
    <w:pPr>
      <w:pStyle w:val="FooterCoverPage"/>
      <w:rPr>
        <w:rFonts w:ascii="Arial" w:hAnsi="Arial" w:cs="Arial"/>
        <w:b/>
        <w:sz w:val="48"/>
      </w:rPr>
    </w:pPr>
    <w:r w:rsidRPr="004464EF">
      <w:rPr>
        <w:rFonts w:ascii="Arial" w:hAnsi="Arial" w:cs="Arial"/>
        <w:b/>
        <w:sz w:val="48"/>
      </w:rPr>
      <w:t>IT</w:t>
    </w:r>
    <w:r w:rsidRPr="004464EF">
      <w:rPr>
        <w:rFonts w:ascii="Arial" w:hAnsi="Arial" w:cs="Arial"/>
        <w:b/>
        <w:sz w:val="48"/>
      </w:rPr>
      <w:tab/>
    </w:r>
    <w:r w:rsidRPr="004464EF">
      <w:rPr>
        <w:rFonts w:ascii="Arial" w:hAnsi="Arial" w:cs="Arial"/>
        <w:b/>
        <w:sz w:val="48"/>
      </w:rPr>
      <w:tab/>
    </w:r>
    <w:r w:rsidRPr="004464EF">
      <w:tab/>
    </w:r>
    <w:r w:rsidRPr="004464EF">
      <w:rPr>
        <w:rFonts w:ascii="Arial" w:hAnsi="Arial" w:cs="Arial"/>
        <w:b/>
        <w:sz w:val="48"/>
      </w:rPr>
      <w:t>IT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FE96B" w14:textId="77777777" w:rsidR="004464EF" w:rsidRPr="004464EF" w:rsidRDefault="004464EF" w:rsidP="004464EF">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01DD3" w14:textId="77777777" w:rsidR="00915255" w:rsidRDefault="0091525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5407010"/>
      <w:docPartObj>
        <w:docPartGallery w:val="Page Numbers (Bottom of Page)"/>
        <w:docPartUnique/>
      </w:docPartObj>
    </w:sdtPr>
    <w:sdtEndPr>
      <w:rPr>
        <w:noProof/>
      </w:rPr>
    </w:sdtEndPr>
    <w:sdtContent>
      <w:p w14:paraId="65F03D3E" w14:textId="27AB862B" w:rsidR="00915255" w:rsidRDefault="00915255">
        <w:pPr>
          <w:pStyle w:val="Footer"/>
          <w:jc w:val="center"/>
        </w:pPr>
        <w:r>
          <w:fldChar w:fldCharType="begin"/>
        </w:r>
        <w:r>
          <w:instrText xml:space="preserve"> PAGE   \* MERGEFORMAT </w:instrText>
        </w:r>
        <w:r>
          <w:fldChar w:fldCharType="separate"/>
        </w:r>
        <w:r w:rsidR="004464EF">
          <w:rPr>
            <w:noProof/>
          </w:rPr>
          <w:t>1</w:t>
        </w:r>
        <w:r>
          <w:fldChar w:fldCharType="end"/>
        </w:r>
      </w:p>
    </w:sdtContent>
  </w:sdt>
  <w:p w14:paraId="4C6A6D95" w14:textId="77777777" w:rsidR="00915255" w:rsidRDefault="0091525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DA1DE" w14:textId="77777777" w:rsidR="00915255" w:rsidRDefault="009152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1A6FC4" w14:textId="77777777" w:rsidR="006848B1" w:rsidRDefault="006848B1" w:rsidP="003F1FF2">
      <w:pPr>
        <w:spacing w:after="0" w:line="240" w:lineRule="auto"/>
      </w:pPr>
      <w:r>
        <w:separator/>
      </w:r>
    </w:p>
  </w:footnote>
  <w:footnote w:type="continuationSeparator" w:id="0">
    <w:p w14:paraId="34618140" w14:textId="77777777" w:rsidR="006848B1" w:rsidRDefault="006848B1" w:rsidP="003F1FF2">
      <w:pPr>
        <w:spacing w:after="0" w:line="240" w:lineRule="auto"/>
      </w:pPr>
      <w:r>
        <w:continuationSeparator/>
      </w:r>
    </w:p>
  </w:footnote>
  <w:footnote w:type="continuationNotice" w:id="1">
    <w:p w14:paraId="1E958A66" w14:textId="77777777" w:rsidR="006848B1" w:rsidRDefault="006848B1">
      <w:pPr>
        <w:spacing w:after="0" w:line="240" w:lineRule="auto"/>
      </w:pPr>
    </w:p>
  </w:footnote>
  <w:footnote w:id="2">
    <w:p w14:paraId="2FB16C84" w14:textId="17F779A7" w:rsidR="0049438C" w:rsidRPr="009007D4" w:rsidRDefault="0049438C">
      <w:pPr>
        <w:pStyle w:val="FootnoteText"/>
        <w:rPr>
          <w:lang w:val="en-IE"/>
        </w:rPr>
      </w:pPr>
      <w:r>
        <w:rPr>
          <w:rStyle w:val="FootnoteReference"/>
        </w:rPr>
        <w:footnoteRef/>
      </w:r>
      <w:r w:rsidRPr="009007D4">
        <w:rPr>
          <w:lang w:val="en-IE"/>
        </w:rPr>
        <w:t xml:space="preserve"> COM(2024) 63 final, </w:t>
      </w:r>
      <w:hyperlink r:id="rId1" w:history="1">
        <w:r w:rsidRPr="009007D4">
          <w:rPr>
            <w:rStyle w:val="Hyperlink"/>
            <w:lang w:val="en-IE"/>
          </w:rPr>
          <w:t>https://eur-lex.europa.eu/legal-content/IT/TXT/?uri=COM%3A2024%3A63%3AFIN</w:t>
        </w:r>
      </w:hyperlink>
      <w:r w:rsidRPr="009007D4">
        <w:rPr>
          <w:lang w:val="en-IE"/>
        </w:rPr>
        <w:t>.</w:t>
      </w:r>
    </w:p>
  </w:footnote>
  <w:footnote w:id="3">
    <w:p w14:paraId="174C2E86" w14:textId="52D8D331" w:rsidR="00A002CB" w:rsidRPr="009007D4" w:rsidRDefault="00A002CB">
      <w:pPr>
        <w:pStyle w:val="FootnoteText"/>
        <w:rPr>
          <w:lang w:val="en-IE"/>
        </w:rPr>
      </w:pPr>
      <w:r>
        <w:rPr>
          <w:rStyle w:val="FootnoteReference"/>
        </w:rPr>
        <w:footnoteRef/>
      </w:r>
      <w:r w:rsidRPr="009007D4">
        <w:rPr>
          <w:lang w:val="en-IE"/>
        </w:rPr>
        <w:t xml:space="preserve"> </w:t>
      </w:r>
      <w:hyperlink r:id="rId2" w:history="1">
        <w:r w:rsidRPr="009007D4">
          <w:rPr>
            <w:rStyle w:val="Hyperlink"/>
            <w:lang w:val="en-IE"/>
          </w:rPr>
          <w:t>https://climate.copernicus.eu/copernicus-2023-hottest-year-record</w:t>
        </w:r>
      </w:hyperlink>
      <w:r w:rsidRPr="009007D4">
        <w:rPr>
          <w:lang w:val="en-IE"/>
        </w:rPr>
        <w:t xml:space="preserve">. </w:t>
      </w:r>
    </w:p>
  </w:footnote>
  <w:footnote w:id="4">
    <w:p w14:paraId="28C2380D" w14:textId="04D73A8B" w:rsidR="001364A4" w:rsidRPr="009007D4" w:rsidRDefault="001364A4" w:rsidP="00701176">
      <w:pPr>
        <w:pStyle w:val="FootnoteText"/>
        <w:jc w:val="left"/>
        <w:rPr>
          <w:lang w:val="en-IE"/>
        </w:rPr>
      </w:pPr>
      <w:r>
        <w:rPr>
          <w:rStyle w:val="FootnoteReference"/>
        </w:rPr>
        <w:footnoteRef/>
      </w:r>
      <w:r w:rsidRPr="009007D4">
        <w:rPr>
          <w:rFonts w:asciiTheme="minorHAnsi" w:hAnsiTheme="minorHAnsi"/>
          <w:sz w:val="22"/>
          <w:lang w:val="en-IE"/>
        </w:rPr>
        <w:t xml:space="preserve"> </w:t>
      </w:r>
      <w:r w:rsidRPr="009007D4">
        <w:rPr>
          <w:lang w:val="en-IE"/>
        </w:rPr>
        <w:t xml:space="preserve">AEA, </w:t>
      </w:r>
      <w:r w:rsidRPr="009007D4">
        <w:rPr>
          <w:i/>
          <w:lang w:val="en-IE"/>
        </w:rPr>
        <w:t>European Climate Risk Assessment</w:t>
      </w:r>
      <w:r w:rsidRPr="009007D4">
        <w:rPr>
          <w:lang w:val="en-IE"/>
        </w:rPr>
        <w:t xml:space="preserve">, 2024, ISSN 1977-8449, </w:t>
      </w:r>
      <w:hyperlink r:id="rId3" w:history="1">
        <w:r w:rsidRPr="009007D4">
          <w:rPr>
            <w:rStyle w:val="Hyperlink"/>
            <w:lang w:val="en-IE"/>
          </w:rPr>
          <w:t>https://www.eea.europa.eu/publications/european-climate-risk-assessment</w:t>
        </w:r>
      </w:hyperlink>
      <w:r w:rsidRPr="009007D4">
        <w:rPr>
          <w:lang w:val="en-IE"/>
        </w:rPr>
        <w:t xml:space="preserve">. </w:t>
      </w:r>
    </w:p>
  </w:footnote>
  <w:footnote w:id="5">
    <w:p w14:paraId="0F1F6333" w14:textId="77777777" w:rsidR="00202AD4" w:rsidRPr="009007D4" w:rsidRDefault="00202AD4" w:rsidP="00202AD4">
      <w:pPr>
        <w:pStyle w:val="FootnoteText"/>
        <w:rPr>
          <w:lang w:val="en-IE"/>
        </w:rPr>
      </w:pPr>
      <w:r>
        <w:rPr>
          <w:rStyle w:val="FootnoteReference"/>
        </w:rPr>
        <w:footnoteRef/>
      </w:r>
      <w:r w:rsidRPr="009007D4">
        <w:rPr>
          <w:lang w:val="en-IE"/>
        </w:rPr>
        <w:t xml:space="preserve"> </w:t>
      </w:r>
      <w:hyperlink r:id="rId4" w:history="1">
        <w:r w:rsidRPr="009007D4">
          <w:rPr>
            <w:rStyle w:val="Hyperlink"/>
            <w:lang w:val="en-IE"/>
          </w:rPr>
          <w:t>https://www.weforum.org/publications/global-risks-report-2024/</w:t>
        </w:r>
      </w:hyperlink>
      <w:r w:rsidRPr="009007D4">
        <w:rPr>
          <w:lang w:val="en-IE"/>
        </w:rPr>
        <w:t xml:space="preserve">. </w:t>
      </w:r>
    </w:p>
  </w:footnote>
  <w:footnote w:id="6">
    <w:p w14:paraId="422D5DC4" w14:textId="03B0052D" w:rsidR="00202AD4" w:rsidRPr="009007D4" w:rsidRDefault="00202AD4" w:rsidP="00202AD4">
      <w:pPr>
        <w:pStyle w:val="FootnoteText"/>
        <w:rPr>
          <w:lang w:val="en-IE"/>
        </w:rPr>
      </w:pPr>
      <w:r>
        <w:rPr>
          <w:rStyle w:val="FootnoteReference"/>
        </w:rPr>
        <w:footnoteRef/>
      </w:r>
      <w:r w:rsidRPr="009007D4">
        <w:rPr>
          <w:lang w:val="en-IE"/>
        </w:rPr>
        <w:t xml:space="preserve"> </w:t>
      </w:r>
      <w:hyperlink r:id="rId5" w:history="1">
        <w:r w:rsidRPr="009007D4">
          <w:rPr>
            <w:rStyle w:val="Hyperlink"/>
            <w:lang w:val="en-IE"/>
          </w:rPr>
          <w:t>https://www.ecb.europa.eu/press/pr/date/2023/html/ecb.pr231218_1~6b3bea9532.it.html</w:t>
        </w:r>
      </w:hyperlink>
      <w:r w:rsidRPr="009007D4">
        <w:rPr>
          <w:lang w:val="en-IE"/>
        </w:rPr>
        <w:t xml:space="preserve">. </w:t>
      </w:r>
    </w:p>
  </w:footnote>
  <w:footnote w:id="7">
    <w:p w14:paraId="29D84196" w14:textId="22D8E179" w:rsidR="00082DDA" w:rsidRPr="009007D4" w:rsidRDefault="00082DDA">
      <w:pPr>
        <w:pStyle w:val="FootnoteText"/>
        <w:rPr>
          <w:lang w:val="fr-FR"/>
        </w:rPr>
      </w:pPr>
      <w:r>
        <w:rPr>
          <w:rStyle w:val="FootnoteReference"/>
        </w:rPr>
        <w:footnoteRef/>
      </w:r>
      <w:r w:rsidRPr="009007D4">
        <w:rPr>
          <w:lang w:val="fr-FR"/>
        </w:rPr>
        <w:t xml:space="preserve"> P9_TA(2022)0330, </w:t>
      </w:r>
      <w:hyperlink r:id="rId6" w:history="1">
        <w:r w:rsidRPr="009007D4">
          <w:rPr>
            <w:rStyle w:val="Hyperlink"/>
            <w:lang w:val="fr-FR"/>
          </w:rPr>
          <w:t>https://www.europarl.europa.eu/doceo/document/TA-9-2022-0330_IT.html</w:t>
        </w:r>
      </w:hyperlink>
      <w:r w:rsidRPr="009007D4">
        <w:rPr>
          <w:lang w:val="fr-FR"/>
        </w:rPr>
        <w:t xml:space="preserve">. </w:t>
      </w:r>
    </w:p>
  </w:footnote>
  <w:footnote w:id="8">
    <w:p w14:paraId="3CE6D5B0" w14:textId="77777777" w:rsidR="00566DC0" w:rsidRPr="009007D4" w:rsidRDefault="00566DC0" w:rsidP="00566DC0">
      <w:pPr>
        <w:pStyle w:val="FootnoteText"/>
        <w:rPr>
          <w:lang w:val="fr-FR"/>
        </w:rPr>
      </w:pPr>
      <w:r>
        <w:rPr>
          <w:rStyle w:val="FootnoteReference"/>
        </w:rPr>
        <w:footnoteRef/>
      </w:r>
      <w:r w:rsidRPr="009007D4">
        <w:rPr>
          <w:lang w:val="fr-FR"/>
        </w:rPr>
        <w:t xml:space="preserve"> EUCO 14/23, </w:t>
      </w:r>
      <w:hyperlink r:id="rId7" w:history="1">
        <w:r w:rsidRPr="009007D4">
          <w:rPr>
            <w:rStyle w:val="Hyperlink"/>
            <w:lang w:val="fr-FR"/>
          </w:rPr>
          <w:t>https://www.consilium.europa.eu/media/67645/20231027-european-council-conclusions-it.pdf</w:t>
        </w:r>
      </w:hyperlink>
      <w:r w:rsidRPr="009007D4">
        <w:rPr>
          <w:lang w:val="fr-FR"/>
        </w:rPr>
        <w:t xml:space="preserve">. </w:t>
      </w:r>
    </w:p>
  </w:footnote>
  <w:footnote w:id="9">
    <w:p w14:paraId="7776C871" w14:textId="77777777" w:rsidR="00050DE4" w:rsidRPr="009007D4" w:rsidRDefault="00050DE4" w:rsidP="00050DE4">
      <w:pPr>
        <w:pStyle w:val="FootnoteText"/>
        <w:rPr>
          <w:color w:val="0000FF" w:themeColor="hyperlink"/>
          <w:u w:val="single"/>
          <w:lang w:val="en-IE"/>
        </w:rPr>
      </w:pPr>
      <w:r>
        <w:rPr>
          <w:rStyle w:val="FootnoteReference"/>
        </w:rPr>
        <w:footnoteRef/>
      </w:r>
      <w:r w:rsidRPr="009007D4">
        <w:rPr>
          <w:lang w:val="en-IE"/>
        </w:rPr>
        <w:t xml:space="preserve"> SWD(2023) 339 final, </w:t>
      </w:r>
      <w:hyperlink r:id="rId8" w:history="1">
        <w:r w:rsidRPr="009007D4">
          <w:rPr>
            <w:rStyle w:val="Hyperlink"/>
            <w:lang w:val="en-IE"/>
          </w:rPr>
          <w:t>https://eur-lex.europa.eu/legal-content/EN/ALL/?uri=CELEX:52023SC0339</w:t>
        </w:r>
      </w:hyperlink>
      <w:r w:rsidRPr="009007D4">
        <w:rPr>
          <w:lang w:val="en-IE"/>
        </w:rPr>
        <w:t>.</w:t>
      </w:r>
    </w:p>
  </w:footnote>
  <w:footnote w:id="10">
    <w:p w14:paraId="1350A12C" w14:textId="67E89D26" w:rsidR="00050DE4" w:rsidRPr="009007D4" w:rsidRDefault="00050DE4" w:rsidP="00050DE4">
      <w:pPr>
        <w:pStyle w:val="FootnoteText"/>
        <w:rPr>
          <w:lang w:val="en-IE"/>
        </w:rPr>
      </w:pPr>
      <w:r>
        <w:rPr>
          <w:rStyle w:val="FootnoteReference"/>
        </w:rPr>
        <w:footnoteRef/>
      </w:r>
      <w:r w:rsidRPr="009007D4">
        <w:rPr>
          <w:lang w:val="en-IE"/>
        </w:rPr>
        <w:t xml:space="preserve"> SWD(2023) 932 final, </w:t>
      </w:r>
      <w:hyperlink r:id="rId9" w:history="1">
        <w:r w:rsidRPr="009007D4">
          <w:rPr>
            <w:rStyle w:val="Hyperlink"/>
            <w:lang w:val="en-IE"/>
          </w:rPr>
          <w:t>https://climate.ec.europa.eu/system/files/2023-12/SWD_2023_932_1_EN.pdf</w:t>
        </w:r>
      </w:hyperlink>
      <w:r w:rsidRPr="009007D4">
        <w:rPr>
          <w:lang w:val="en-IE"/>
        </w:rPr>
        <w:t xml:space="preserve">. </w:t>
      </w:r>
    </w:p>
  </w:footnote>
  <w:footnote w:id="11">
    <w:p w14:paraId="663AD807" w14:textId="36185962" w:rsidR="00B809D0" w:rsidRPr="009007D4" w:rsidRDefault="00B809D0" w:rsidP="005A32D6">
      <w:pPr>
        <w:pStyle w:val="FootnoteText"/>
        <w:jc w:val="left"/>
        <w:rPr>
          <w:lang w:val="en-IE"/>
        </w:rPr>
      </w:pPr>
      <w:r>
        <w:rPr>
          <w:rStyle w:val="FootnoteReference"/>
        </w:rPr>
        <w:footnoteRef/>
      </w:r>
      <w:r w:rsidRPr="009007D4">
        <w:rPr>
          <w:lang w:val="en-IE"/>
        </w:rPr>
        <w:t xml:space="preserve"> </w:t>
      </w:r>
      <w:hyperlink r:id="rId10" w:history="1">
        <w:r w:rsidRPr="009007D4">
          <w:rPr>
            <w:rStyle w:val="Hyperlink"/>
            <w:lang w:val="en-IE"/>
          </w:rPr>
          <w:t>https://commission.europa.eu/energy-climate-change-environment/implementation-eu-countries/energy-and-climate-governance-and-reporting/national-energy-and-climate-plans_en?prefLang=it&amp;etrans=it</w:t>
        </w:r>
      </w:hyperlink>
      <w:r w:rsidRPr="009007D4">
        <w:rPr>
          <w:lang w:val="en-IE"/>
        </w:rPr>
        <w:t xml:space="preserve">. </w:t>
      </w:r>
    </w:p>
  </w:footnote>
  <w:footnote w:id="12">
    <w:p w14:paraId="5B56BA62" w14:textId="4EDF2B27" w:rsidR="008573D8" w:rsidRPr="009007D4" w:rsidRDefault="008573D8" w:rsidP="008573D8">
      <w:pPr>
        <w:pStyle w:val="FootnoteText"/>
        <w:rPr>
          <w:lang w:val="en-IE"/>
        </w:rPr>
      </w:pPr>
      <w:r>
        <w:rPr>
          <w:rStyle w:val="FootnoteReference"/>
        </w:rPr>
        <w:footnoteRef/>
      </w:r>
      <w:r w:rsidRPr="009007D4">
        <w:rPr>
          <w:lang w:val="en-IE"/>
        </w:rPr>
        <w:t xml:space="preserve"> COM(2024) 130 final, </w:t>
      </w:r>
      <w:hyperlink r:id="rId11" w:history="1">
        <w:r w:rsidRPr="009007D4">
          <w:rPr>
            <w:rStyle w:val="Hyperlink"/>
            <w:lang w:val="en-IE"/>
          </w:rPr>
          <w:t>https://civil-protection-humanitarian-aid.ec.europa.eu/what/civil-protection/european-disaster-risk-management_en?prefLang=it&amp;etrans=it</w:t>
        </w:r>
      </w:hyperlink>
      <w:r w:rsidRPr="009007D4">
        <w:rPr>
          <w:lang w:val="en-IE"/>
        </w:rPr>
        <w:t xml:space="preserve">. </w:t>
      </w:r>
    </w:p>
  </w:footnote>
  <w:footnote w:id="13">
    <w:p w14:paraId="415FDB94" w14:textId="5612A780" w:rsidR="008E56D1" w:rsidRPr="009007D4" w:rsidRDefault="008E56D1" w:rsidP="008E56D1">
      <w:pPr>
        <w:pStyle w:val="FootnoteText"/>
        <w:rPr>
          <w:lang w:val="en-IE"/>
        </w:rPr>
      </w:pPr>
      <w:r>
        <w:rPr>
          <w:rStyle w:val="FootnoteReference"/>
        </w:rPr>
        <w:footnoteRef/>
      </w:r>
      <w:r w:rsidRPr="009007D4">
        <w:rPr>
          <w:lang w:val="en-IE"/>
        </w:rPr>
        <w:t xml:space="preserve"> JOIN(2023) 19 final, </w:t>
      </w:r>
      <w:hyperlink r:id="rId12" w:history="1">
        <w:r w:rsidRPr="009007D4">
          <w:rPr>
            <w:rStyle w:val="Hyperlink"/>
            <w:lang w:val="en-IE"/>
          </w:rPr>
          <w:t>https://eur-lex.europa.eu/legal-content/IT/TXT/?uri=CELEX%3A52023JC0019</w:t>
        </w:r>
      </w:hyperlink>
      <w:r w:rsidRPr="009007D4">
        <w:rPr>
          <w:lang w:val="en-IE"/>
        </w:rPr>
        <w:t xml:space="preserve">. </w:t>
      </w:r>
    </w:p>
  </w:footnote>
  <w:footnote w:id="14">
    <w:p w14:paraId="4C7AF43B" w14:textId="77777777" w:rsidR="00A70A3C" w:rsidRPr="009007D4" w:rsidRDefault="00A70A3C" w:rsidP="00A70A3C">
      <w:pPr>
        <w:pStyle w:val="FootnoteText"/>
        <w:rPr>
          <w:lang w:val="en-IE"/>
        </w:rPr>
      </w:pPr>
      <w:r>
        <w:rPr>
          <w:rStyle w:val="FootnoteReference"/>
        </w:rPr>
        <w:footnoteRef/>
      </w:r>
      <w:r w:rsidRPr="009007D4">
        <w:rPr>
          <w:lang w:val="en-IE"/>
        </w:rPr>
        <w:t xml:space="preserve"> COM(2021) 82 final, </w:t>
      </w:r>
      <w:hyperlink r:id="rId13" w:history="1">
        <w:r w:rsidRPr="009007D4">
          <w:rPr>
            <w:rStyle w:val="Hyperlink"/>
            <w:lang w:val="en-IE"/>
          </w:rPr>
          <w:t>eur-lex.europa.eu/legal-content/IT/TXT/PDF/?uri=CELEX:52021DC0082&amp;from=EN</w:t>
        </w:r>
      </w:hyperlink>
      <w:r w:rsidRPr="009007D4">
        <w:rPr>
          <w:lang w:val="en-IE"/>
        </w:rPr>
        <w:t>.</w:t>
      </w:r>
    </w:p>
  </w:footnote>
  <w:footnote w:id="15">
    <w:p w14:paraId="6D62BDB8" w14:textId="0CAECF1C" w:rsidR="00D7188A" w:rsidRPr="0090450C" w:rsidRDefault="00D7188A" w:rsidP="00D7188A">
      <w:pPr>
        <w:pStyle w:val="FootnoteText"/>
      </w:pPr>
      <w:r>
        <w:rPr>
          <w:rStyle w:val="FootnoteReference"/>
        </w:rPr>
        <w:footnoteRef/>
      </w:r>
      <w:r>
        <w:t xml:space="preserve"> CMA.5 Decisione sul programma di lavoro Glasgow-Sharm el-Sheikh sull'obiettivo globale in materia di adattamento. </w:t>
      </w:r>
    </w:p>
  </w:footnote>
  <w:footnote w:id="16">
    <w:p w14:paraId="67984363" w14:textId="77777777" w:rsidR="00582114" w:rsidRPr="009007D4" w:rsidRDefault="00582114" w:rsidP="00582114">
      <w:pPr>
        <w:pStyle w:val="FootnoteText"/>
        <w:jc w:val="left"/>
        <w:rPr>
          <w:lang w:val="en-IE"/>
        </w:rPr>
      </w:pPr>
      <w:r>
        <w:rPr>
          <w:rStyle w:val="FootnoteReference"/>
        </w:rPr>
        <w:footnoteRef/>
      </w:r>
      <w:r w:rsidRPr="009007D4">
        <w:rPr>
          <w:lang w:val="en-IE"/>
        </w:rPr>
        <w:t xml:space="preserve"> SWD(2024) 63 final, </w:t>
      </w:r>
      <w:hyperlink r:id="rId14" w:history="1">
        <w:r w:rsidRPr="009007D4">
          <w:rPr>
            <w:rStyle w:val="Hyperlink"/>
            <w:lang w:val="en-IE"/>
          </w:rPr>
          <w:t>https://climate.ec.europa.eu/document/download/768bc81f-5f48-48e3-b4d4-e02ba09faca1_en</w:t>
        </w:r>
      </w:hyperlink>
      <w:r w:rsidRPr="009007D4">
        <w:rPr>
          <w:lang w:val="en-IE"/>
        </w:rPr>
        <w:t xml:space="preserve">. </w:t>
      </w:r>
    </w:p>
  </w:footnote>
  <w:footnote w:id="17">
    <w:p w14:paraId="575E217A" w14:textId="70CAA85E" w:rsidR="00582114" w:rsidRPr="009007D4" w:rsidRDefault="00582114" w:rsidP="00582114">
      <w:pPr>
        <w:pStyle w:val="FootnoteText"/>
        <w:rPr>
          <w:lang w:val="en-IE"/>
        </w:rPr>
      </w:pPr>
      <w:r>
        <w:rPr>
          <w:rStyle w:val="FootnoteReference"/>
        </w:rPr>
        <w:footnoteRef/>
      </w:r>
      <w:r w:rsidRPr="009007D4">
        <w:rPr>
          <w:lang w:val="en-IE"/>
        </w:rPr>
        <w:t xml:space="preserve"> </w:t>
      </w:r>
      <w:r w:rsidRPr="009007D4">
        <w:rPr>
          <w:rStyle w:val="cf01"/>
          <w:rFonts w:ascii="Times New Roman" w:hAnsi="Times New Roman"/>
          <w:color w:val="0000FF"/>
          <w:sz w:val="20"/>
          <w:u w:val="single"/>
          <w:lang w:val="en-IE"/>
        </w:rPr>
        <w:t>https://www.nature.com/articles/s41467-020-15665-3.</w:t>
      </w:r>
    </w:p>
  </w:footnote>
  <w:footnote w:id="18">
    <w:p w14:paraId="78404492" w14:textId="2F93C928" w:rsidR="000B141D" w:rsidRPr="000B141D" w:rsidRDefault="000B141D">
      <w:pPr>
        <w:pStyle w:val="FootnoteText"/>
      </w:pPr>
      <w:r>
        <w:rPr>
          <w:rStyle w:val="FootnoteReference"/>
        </w:rPr>
        <w:footnoteRef/>
      </w:r>
      <w:r>
        <w:t xml:space="preserve"> Per le politiche dell'Unione, come sancito dall'articolo 191 del trattato sul funzionamento dell'Unione europea.</w:t>
      </w:r>
    </w:p>
  </w:footnote>
  <w:footnote w:id="19">
    <w:p w14:paraId="4B61E419" w14:textId="62875F64" w:rsidR="00FF67E3" w:rsidRPr="00C51152" w:rsidRDefault="00FF67E3" w:rsidP="00FF67E3">
      <w:pPr>
        <w:pStyle w:val="FootnoteText"/>
      </w:pPr>
      <w:r>
        <w:rPr>
          <w:rStyle w:val="FootnoteReference"/>
        </w:rPr>
        <w:footnoteRef/>
      </w:r>
      <w:r>
        <w:t xml:space="preserve"> Banca internazionale per la ricostruzione e lo sviluppo / Banca mondiale, </w:t>
      </w:r>
      <w:r>
        <w:rPr>
          <w:i/>
          <w:iCs/>
        </w:rPr>
        <w:t>Economics for Disaster Prevention and Preparedness:</w:t>
      </w:r>
      <w:r>
        <w:t xml:space="preserve"> </w:t>
      </w:r>
      <w:r>
        <w:rPr>
          <w:i/>
        </w:rPr>
        <w:t>Investment in Disaster Risk management in Europe Makes Economic Sense</w:t>
      </w:r>
      <w:r>
        <w:t>, 2021.</w:t>
      </w:r>
    </w:p>
  </w:footnote>
  <w:footnote w:id="20">
    <w:p w14:paraId="05787910" w14:textId="1A5BACBA" w:rsidR="00FF67E3" w:rsidRPr="00DC1F2B" w:rsidRDefault="00FF67E3" w:rsidP="00FF67E3">
      <w:pPr>
        <w:pStyle w:val="FootnoteText"/>
      </w:pPr>
      <w:r>
        <w:rPr>
          <w:rStyle w:val="FootnoteReference"/>
        </w:rPr>
        <w:footnoteRef/>
      </w:r>
      <w:r>
        <w:t xml:space="preserve"> Raccomandazione sugli obiettivi dell'Unione in materia di resilienza alle catastrofi (GU C 56 del 15.2.2023).</w:t>
      </w:r>
    </w:p>
  </w:footnote>
  <w:footnote w:id="21">
    <w:p w14:paraId="5E0B3D0D" w14:textId="5C857355" w:rsidR="001355AB" w:rsidRDefault="001355AB" w:rsidP="001355AB">
      <w:pPr>
        <w:pStyle w:val="FootnoteText"/>
      </w:pPr>
      <w:r>
        <w:rPr>
          <w:rStyle w:val="FootnoteReference"/>
        </w:rPr>
        <w:footnoteRef/>
      </w:r>
      <w:r>
        <w:t xml:space="preserve"> </w:t>
      </w:r>
      <w:hyperlink r:id="rId15" w:history="1">
        <w:r>
          <w:rPr>
            <w:rStyle w:val="Hyperlink"/>
          </w:rPr>
          <w:t>https://dataspace.copernicus.eu/</w:t>
        </w:r>
      </w:hyperlink>
      <w:r>
        <w:t xml:space="preserve">. </w:t>
      </w:r>
    </w:p>
  </w:footnote>
  <w:footnote w:id="22">
    <w:p w14:paraId="7031F8A2" w14:textId="6FA27646" w:rsidR="001355AB" w:rsidRDefault="001355AB" w:rsidP="001355AB">
      <w:pPr>
        <w:pStyle w:val="FootnoteText"/>
      </w:pPr>
      <w:r>
        <w:rPr>
          <w:rStyle w:val="FootnoteReference"/>
        </w:rPr>
        <w:footnoteRef/>
      </w:r>
      <w:r>
        <w:t xml:space="preserve"> </w:t>
      </w:r>
      <w:hyperlink r:id="rId16" w:history="1">
        <w:r>
          <w:rPr>
            <w:rStyle w:val="Hyperlink"/>
          </w:rPr>
          <w:t>https://www.wekeo.eu/</w:t>
        </w:r>
      </w:hyperlink>
      <w:r>
        <w:t xml:space="preserve">. </w:t>
      </w:r>
    </w:p>
  </w:footnote>
  <w:footnote w:id="23">
    <w:p w14:paraId="41EA95C6" w14:textId="482F0C74" w:rsidR="002F1D2F" w:rsidRPr="009007D4" w:rsidRDefault="002F1D2F" w:rsidP="002F1D2F">
      <w:pPr>
        <w:pStyle w:val="FootnoteText"/>
        <w:rPr>
          <w:lang w:val="en-IE"/>
        </w:rPr>
      </w:pPr>
      <w:r>
        <w:rPr>
          <w:rStyle w:val="FootnoteReference"/>
        </w:rPr>
        <w:footnoteRef/>
      </w:r>
      <w:r w:rsidRPr="009007D4">
        <w:rPr>
          <w:lang w:val="en-IE"/>
        </w:rPr>
        <w:t xml:space="preserve"> COM(2023) 728 final, </w:t>
      </w:r>
      <w:hyperlink r:id="rId17" w:history="1">
        <w:r w:rsidRPr="009007D4">
          <w:rPr>
            <w:rStyle w:val="Hyperlink"/>
            <w:lang w:val="en-IE"/>
          </w:rPr>
          <w:t>https://eur-lex.europa.eu/legal-content/IT/TXT/?uri=COM%3A2023%3A728%3AFIN</w:t>
        </w:r>
      </w:hyperlink>
      <w:r w:rsidRPr="009007D4">
        <w:rPr>
          <w:lang w:val="en-IE"/>
        </w:rPr>
        <w:t xml:space="preserve">. </w:t>
      </w:r>
    </w:p>
  </w:footnote>
  <w:footnote w:id="24">
    <w:p w14:paraId="5B8663C5" w14:textId="4C49A60C" w:rsidR="007B69D8" w:rsidRPr="009007D4" w:rsidRDefault="007B69D8" w:rsidP="007B69D8">
      <w:pPr>
        <w:pStyle w:val="FootnoteText"/>
        <w:rPr>
          <w:lang w:val="en-IE"/>
        </w:rPr>
      </w:pPr>
      <w:r>
        <w:rPr>
          <w:rStyle w:val="FootnoteReference"/>
        </w:rPr>
        <w:footnoteRef/>
      </w:r>
      <w:r w:rsidRPr="009007D4">
        <w:rPr>
          <w:lang w:val="en-IE"/>
        </w:rPr>
        <w:t xml:space="preserve"> COM(2023) 416 final, </w:t>
      </w:r>
      <w:hyperlink r:id="rId18" w:history="1">
        <w:r w:rsidRPr="009007D4">
          <w:rPr>
            <w:rStyle w:val="Hyperlink"/>
            <w:lang w:val="en-IE"/>
          </w:rPr>
          <w:t>https://eur-lex.europa.eu/legal-content/IT/TXT/?uri=CELEX%3A52023PC0416</w:t>
        </w:r>
      </w:hyperlink>
      <w:r w:rsidRPr="009007D4">
        <w:rPr>
          <w:lang w:val="en-IE"/>
        </w:rPr>
        <w:t xml:space="preserve">. </w:t>
      </w:r>
    </w:p>
  </w:footnote>
  <w:footnote w:id="25">
    <w:p w14:paraId="78A50AC1" w14:textId="2AAA18BB" w:rsidR="00FD5E36" w:rsidRPr="00F434C8" w:rsidRDefault="00FD5E36" w:rsidP="00FD5E36">
      <w:pPr>
        <w:pStyle w:val="FootnoteText"/>
      </w:pPr>
      <w:r>
        <w:rPr>
          <w:rStyle w:val="FootnoteReference"/>
        </w:rPr>
        <w:footnoteRef/>
      </w:r>
      <w:r>
        <w:t xml:space="preserve"> Ad esempio EFAS, EFFIS, EDO.</w:t>
      </w:r>
    </w:p>
  </w:footnote>
  <w:footnote w:id="26">
    <w:p w14:paraId="77D728A7" w14:textId="77777777" w:rsidR="00F40219" w:rsidRPr="00F434C8" w:rsidRDefault="00F40219" w:rsidP="00F40219">
      <w:pPr>
        <w:pStyle w:val="FootnoteText"/>
      </w:pPr>
      <w:r>
        <w:rPr>
          <w:rStyle w:val="FootnoteReference"/>
        </w:rPr>
        <w:footnoteRef/>
      </w:r>
      <w:r>
        <w:t xml:space="preserve"> </w:t>
      </w:r>
      <w:hyperlink r:id="rId19" w:history="1">
        <w:r>
          <w:rPr>
            <w:rStyle w:val="Hyperlink"/>
          </w:rPr>
          <w:t>https://climate-adapt.eea.europa.eu/en/knowledge/european-climate-data-explorer/</w:t>
        </w:r>
      </w:hyperlink>
      <w:r>
        <w:t xml:space="preserve">. </w:t>
      </w:r>
    </w:p>
  </w:footnote>
  <w:footnote w:id="27">
    <w:p w14:paraId="1EFAEF15" w14:textId="79B529FB" w:rsidR="00A66FC2" w:rsidRPr="00F434C8" w:rsidRDefault="00A66FC2" w:rsidP="00A66FC2">
      <w:pPr>
        <w:pStyle w:val="FootnoteText"/>
      </w:pPr>
      <w:r>
        <w:rPr>
          <w:rStyle w:val="FootnoteReference"/>
        </w:rPr>
        <w:footnoteRef/>
      </w:r>
      <w:r>
        <w:t xml:space="preserve"> </w:t>
      </w:r>
      <w:r>
        <w:rPr>
          <w:rStyle w:val="Hyperlink"/>
        </w:rPr>
        <w:t>https://discomap.eea.europa.eu/MKH/MapViewer/index.html.</w:t>
      </w:r>
    </w:p>
  </w:footnote>
  <w:footnote w:id="28">
    <w:p w14:paraId="26CF0EB1" w14:textId="2877A7E9" w:rsidR="006B0A95" w:rsidRPr="00F434C8" w:rsidRDefault="006B0A95" w:rsidP="00870A15">
      <w:pPr>
        <w:pStyle w:val="FootnoteText"/>
        <w:jc w:val="left"/>
      </w:pPr>
      <w:r>
        <w:rPr>
          <w:rStyle w:val="FootnoteReference"/>
        </w:rPr>
        <w:footnoteRef/>
      </w:r>
      <w:r>
        <w:t xml:space="preserve"> </w:t>
      </w:r>
      <w:hyperlink r:id="rId20" w:anchor="/" w:history="1">
        <w:r>
          <w:rPr>
            <w:rStyle w:val="Hyperlink"/>
          </w:rPr>
          <w:t>https://drmkc.jrc.ec.europa.eu/risk-data-hub#/</w:t>
        </w:r>
      </w:hyperlink>
      <w:r>
        <w:t xml:space="preserve">. </w:t>
      </w:r>
    </w:p>
  </w:footnote>
  <w:footnote w:id="29">
    <w:p w14:paraId="143F7925" w14:textId="77777777" w:rsidR="00F40219" w:rsidRPr="00F434C8" w:rsidRDefault="00F40219" w:rsidP="00F40219">
      <w:pPr>
        <w:pStyle w:val="FootnoteText"/>
      </w:pPr>
      <w:r>
        <w:rPr>
          <w:rStyle w:val="FootnoteReference"/>
        </w:rPr>
        <w:footnoteRef/>
      </w:r>
      <w:r>
        <w:t xml:space="preserve"> </w:t>
      </w:r>
      <w:hyperlink r:id="rId21" w:history="1">
        <w:r>
          <w:rPr>
            <w:rStyle w:val="Hyperlink"/>
          </w:rPr>
          <w:t>https://climate-risk-dashboard.climateanalytics.org/</w:t>
        </w:r>
      </w:hyperlink>
      <w:r>
        <w:t xml:space="preserve">. </w:t>
      </w:r>
    </w:p>
  </w:footnote>
  <w:footnote w:id="30">
    <w:p w14:paraId="671478EE" w14:textId="7CA052C1" w:rsidR="00CD5F6E" w:rsidRPr="00E8443B" w:rsidRDefault="00CD5F6E">
      <w:pPr>
        <w:pStyle w:val="FootnoteText"/>
      </w:pPr>
      <w:r>
        <w:rPr>
          <w:rStyle w:val="FootnoteReference"/>
        </w:rPr>
        <w:footnoteRef/>
      </w:r>
      <w:r>
        <w:t xml:space="preserve"> Descritto nella 6</w:t>
      </w:r>
      <w:r>
        <w:rPr>
          <w:vertAlign w:val="superscript"/>
        </w:rPr>
        <w:t>a</w:t>
      </w:r>
      <w:r>
        <w:t xml:space="preserve"> relazione di valutazione dell'IPCC nell'ambito dello scenario SSP2-4.5, con una forzatura radiativa effettiva a livello mondiale approssimativamente del 4,5. </w:t>
      </w:r>
    </w:p>
  </w:footnote>
  <w:footnote w:id="31">
    <w:p w14:paraId="64B2A218" w14:textId="001C82BB" w:rsidR="00E351C4" w:rsidRPr="008550B3" w:rsidRDefault="00E351C4" w:rsidP="00E351C4">
      <w:pPr>
        <w:pStyle w:val="FootnoteText"/>
        <w:rPr>
          <w:lang w:val="en-US"/>
        </w:rPr>
      </w:pPr>
      <w:r>
        <w:rPr>
          <w:rStyle w:val="FootnoteReference"/>
        </w:rPr>
        <w:footnoteRef/>
      </w:r>
      <w:r w:rsidRPr="008550B3">
        <w:rPr>
          <w:lang w:val="en-US"/>
        </w:rPr>
        <w:t xml:space="preserve"> </w:t>
      </w:r>
      <w:r w:rsidRPr="008550B3">
        <w:rPr>
          <w:color w:val="000000"/>
          <w:lang w:val="en-US"/>
        </w:rPr>
        <w:t xml:space="preserve">COM(2023) 667, </w:t>
      </w:r>
      <w:hyperlink r:id="rId22" w:history="1">
        <w:r w:rsidRPr="008550B3">
          <w:rPr>
            <w:rStyle w:val="Hyperlink"/>
            <w:lang w:val="en-US"/>
          </w:rPr>
          <w:t>https://eur-lex.europa.eu/legal-content/IT/ALL/?uri=COM:2023:667:FIN</w:t>
        </w:r>
      </w:hyperlink>
      <w:r w:rsidRPr="008550B3">
        <w:rPr>
          <w:lang w:val="en-US"/>
        </w:rPr>
        <w:t>.</w:t>
      </w:r>
      <w:r w:rsidRPr="008550B3">
        <w:rPr>
          <w:color w:val="000000"/>
          <w:lang w:val="en-US"/>
        </w:rPr>
        <w:t xml:space="preserve"> </w:t>
      </w:r>
    </w:p>
  </w:footnote>
  <w:footnote w:id="32">
    <w:p w14:paraId="4E8D63CB" w14:textId="77777777" w:rsidR="006840A6" w:rsidRPr="008550B3" w:rsidRDefault="006840A6" w:rsidP="006840A6">
      <w:pPr>
        <w:pStyle w:val="FootnoteText"/>
        <w:rPr>
          <w:lang w:val="en-US"/>
        </w:rPr>
      </w:pPr>
      <w:r>
        <w:rPr>
          <w:rStyle w:val="FootnoteReference"/>
        </w:rPr>
        <w:footnoteRef/>
      </w:r>
      <w:r w:rsidRPr="008550B3">
        <w:rPr>
          <w:lang w:val="en-US"/>
        </w:rPr>
        <w:t xml:space="preserve"> </w:t>
      </w:r>
      <w:hyperlink r:id="rId23" w:history="1">
        <w:r w:rsidRPr="008550B3">
          <w:rPr>
            <w:rStyle w:val="Hyperlink"/>
            <w:lang w:val="en-US"/>
          </w:rPr>
          <w:t>https://new-european-bauhaus.europa.eu/get-involved/use-compass_en?prefLang=it&amp;etrans=it</w:t>
        </w:r>
      </w:hyperlink>
      <w:r w:rsidRPr="008550B3">
        <w:rPr>
          <w:lang w:val="en-US"/>
        </w:rPr>
        <w:t xml:space="preserve">. </w:t>
      </w:r>
    </w:p>
  </w:footnote>
  <w:footnote w:id="33">
    <w:p w14:paraId="791B1005" w14:textId="062C5259" w:rsidR="002743A3" w:rsidRPr="00BB6BA8" w:rsidRDefault="002743A3">
      <w:pPr>
        <w:pStyle w:val="FootnoteText"/>
      </w:pPr>
      <w:r>
        <w:rPr>
          <w:rStyle w:val="FootnoteReference"/>
        </w:rPr>
        <w:footnoteRef/>
      </w:r>
      <w:r>
        <w:t xml:space="preserve"> Direttiva (UE) 2022/2557. GU L 333 del 27.12.2022, pag. 164.</w:t>
      </w:r>
    </w:p>
  </w:footnote>
  <w:footnote w:id="34">
    <w:p w14:paraId="0695C598" w14:textId="09FF3419" w:rsidR="009C6C0A" w:rsidRPr="00EF5256" w:rsidRDefault="009C6C0A" w:rsidP="000B572F">
      <w:pPr>
        <w:pStyle w:val="FootnoteText"/>
        <w:jc w:val="left"/>
      </w:pPr>
      <w:r>
        <w:rPr>
          <w:rStyle w:val="FootnoteReference"/>
        </w:rPr>
        <w:footnoteRef/>
      </w:r>
      <w:r>
        <w:t xml:space="preserve"> COM(2023) 61. Raccomandazione GU C 56 del 15.2.2023, pag. 1, </w:t>
      </w:r>
      <w:hyperlink r:id="rId24" w:history="1">
        <w:r>
          <w:rPr>
            <w:rStyle w:val="Hyperlink"/>
          </w:rPr>
          <w:t>https://eur-lex.europa.eu/legal-content/IT/TXT/?uri=CELEX:52023DC0061</w:t>
        </w:r>
      </w:hyperlink>
      <w:r>
        <w:t xml:space="preserve">. </w:t>
      </w:r>
    </w:p>
  </w:footnote>
  <w:footnote w:id="35">
    <w:p w14:paraId="3ACA03AE" w14:textId="4413A8DC" w:rsidR="009C6C0A" w:rsidRPr="009007D4" w:rsidRDefault="009C6C0A" w:rsidP="009C6C0A">
      <w:pPr>
        <w:pStyle w:val="FootnoteText"/>
        <w:rPr>
          <w:lang w:val="en-IE"/>
        </w:rPr>
      </w:pPr>
      <w:r>
        <w:rPr>
          <w:rStyle w:val="FootnoteReference"/>
        </w:rPr>
        <w:footnoteRef/>
      </w:r>
      <w:r w:rsidRPr="009007D4">
        <w:rPr>
          <w:lang w:val="en-IE"/>
        </w:rPr>
        <w:t xml:space="preserve"> COM(2024) 130. </w:t>
      </w:r>
    </w:p>
  </w:footnote>
  <w:footnote w:id="36">
    <w:p w14:paraId="59A7CA8A" w14:textId="3DACFD2A" w:rsidR="00CA7DFD" w:rsidRPr="009007D4" w:rsidRDefault="00CA7DFD">
      <w:pPr>
        <w:pStyle w:val="FootnoteText"/>
        <w:rPr>
          <w:lang w:val="en-IE"/>
        </w:rPr>
      </w:pPr>
      <w:r>
        <w:rPr>
          <w:rStyle w:val="FootnoteReference"/>
        </w:rPr>
        <w:footnoteRef/>
      </w:r>
      <w:r w:rsidRPr="009007D4">
        <w:rPr>
          <w:lang w:val="en-IE"/>
        </w:rPr>
        <w:t xml:space="preserve"> COM(2023) 161.</w:t>
      </w:r>
    </w:p>
  </w:footnote>
  <w:footnote w:id="37">
    <w:p w14:paraId="3E9387FF" w14:textId="361874AD" w:rsidR="00CA14DC" w:rsidRPr="009007D4" w:rsidRDefault="00CA14DC">
      <w:pPr>
        <w:pStyle w:val="FootnoteText"/>
        <w:rPr>
          <w:lang w:val="en-IE"/>
        </w:rPr>
      </w:pPr>
      <w:r>
        <w:rPr>
          <w:rStyle w:val="FootnoteReference"/>
        </w:rPr>
        <w:footnoteRef/>
      </w:r>
      <w:r w:rsidRPr="009007D4">
        <w:rPr>
          <w:lang w:val="en-IE"/>
        </w:rPr>
        <w:t xml:space="preserve"> IPCC AR6, </w:t>
      </w:r>
      <w:hyperlink r:id="rId25" w:history="1">
        <w:r w:rsidRPr="009007D4">
          <w:rPr>
            <w:rStyle w:val="Hyperlink"/>
            <w:lang w:val="en-IE"/>
          </w:rPr>
          <w:t>https://www.ipcc.ch/assessment-report/ar6/</w:t>
        </w:r>
      </w:hyperlink>
      <w:r w:rsidRPr="009007D4">
        <w:rPr>
          <w:lang w:val="en-IE"/>
        </w:rPr>
        <w:t xml:space="preserve">. </w:t>
      </w:r>
    </w:p>
  </w:footnote>
  <w:footnote w:id="38">
    <w:p w14:paraId="6363F420" w14:textId="6340D94D" w:rsidR="00E01EF8" w:rsidRPr="009007D4" w:rsidRDefault="00E01EF8" w:rsidP="00E01EF8">
      <w:pPr>
        <w:pStyle w:val="FootnoteText"/>
        <w:rPr>
          <w:lang w:val="en-IE"/>
        </w:rPr>
      </w:pPr>
      <w:r>
        <w:rPr>
          <w:rStyle w:val="FootnoteReference"/>
        </w:rPr>
        <w:footnoteRef/>
      </w:r>
      <w:r w:rsidRPr="009007D4">
        <w:rPr>
          <w:lang w:val="en-IE"/>
        </w:rPr>
        <w:t xml:space="preserve"> Dasgupta, P., </w:t>
      </w:r>
      <w:r w:rsidRPr="009007D4">
        <w:rPr>
          <w:i/>
          <w:iCs/>
          <w:lang w:val="en-IE"/>
        </w:rPr>
        <w:t>The Economics of Biodiversity:</w:t>
      </w:r>
      <w:r w:rsidRPr="009007D4">
        <w:rPr>
          <w:lang w:val="en-IE"/>
        </w:rPr>
        <w:t xml:space="preserve"> </w:t>
      </w:r>
      <w:r w:rsidRPr="009007D4">
        <w:rPr>
          <w:i/>
          <w:lang w:val="en-IE"/>
        </w:rPr>
        <w:t>The Dasgupta Review</w:t>
      </w:r>
      <w:r w:rsidRPr="009007D4">
        <w:rPr>
          <w:lang w:val="en-IE"/>
        </w:rPr>
        <w:t xml:space="preserve">, HM Treasury, Londra, 2021; </w:t>
      </w:r>
      <w:bookmarkStart w:id="48" w:name="_Hlk160963836"/>
      <w:r w:rsidR="000E4168">
        <w:fldChar w:fldCharType="begin"/>
      </w:r>
      <w:r w:rsidR="000E4168" w:rsidRPr="009007D4">
        <w:rPr>
          <w:lang w:val="en-IE"/>
        </w:rPr>
        <w:instrText>HYPERLINK ""</w:instrText>
      </w:r>
      <w:r w:rsidR="000E4168">
        <w:fldChar w:fldCharType="end"/>
      </w:r>
      <w:bookmarkEnd w:id="48"/>
      <w:r w:rsidR="00EF5256">
        <w:fldChar w:fldCharType="begin"/>
      </w:r>
      <w:r w:rsidR="00EF5256" w:rsidRPr="009007D4">
        <w:rPr>
          <w:lang w:val="en-IE"/>
        </w:rPr>
        <w:instrText xml:space="preserve"> HYPERLINK "https://www.worldbank.org/en/publication/changing-wealth-of-nations." </w:instrText>
      </w:r>
      <w:r w:rsidR="00EF5256">
        <w:fldChar w:fldCharType="separate"/>
      </w:r>
      <w:r w:rsidRPr="009007D4">
        <w:rPr>
          <w:rStyle w:val="Hyperlink"/>
          <w:lang w:val="en-IE"/>
        </w:rPr>
        <w:t>https://www.worldbank.org/en/publication/changing-wealth-of-nations.</w:t>
      </w:r>
      <w:r w:rsidR="00EF5256">
        <w:rPr>
          <w:rStyle w:val="Hyperlink"/>
        </w:rPr>
        <w:fldChar w:fldCharType="end"/>
      </w:r>
      <w:r w:rsidRPr="009007D4">
        <w:rPr>
          <w:rStyle w:val="Hyperlink"/>
          <w:lang w:val="en-IE"/>
        </w:rPr>
        <w:t xml:space="preserve"> </w:t>
      </w:r>
    </w:p>
  </w:footnote>
  <w:footnote w:id="39">
    <w:p w14:paraId="44C87ABC" w14:textId="3DC1FF4D" w:rsidR="002A4652" w:rsidRPr="009007D4" w:rsidRDefault="002A4652" w:rsidP="002A4652">
      <w:pPr>
        <w:pStyle w:val="FootnoteText"/>
        <w:rPr>
          <w:lang w:val="en-IE"/>
        </w:rPr>
      </w:pPr>
      <w:r>
        <w:rPr>
          <w:rStyle w:val="FootnoteReference"/>
        </w:rPr>
        <w:footnoteRef/>
      </w:r>
      <w:r w:rsidRPr="009007D4">
        <w:rPr>
          <w:lang w:val="en-IE"/>
        </w:rPr>
        <w:t xml:space="preserve"> COM(2023) 102 final, </w:t>
      </w:r>
      <w:hyperlink r:id="rId26" w:history="1">
        <w:r w:rsidRPr="009007D4">
          <w:rPr>
            <w:rStyle w:val="Hyperlink"/>
            <w:lang w:val="en-IE"/>
          </w:rPr>
          <w:t>https://eur-lex.europa.eu/legal-content/IT/TXT/?uri=CELEX%3A52023DC0102</w:t>
        </w:r>
      </w:hyperlink>
      <w:r w:rsidRPr="009007D4">
        <w:rPr>
          <w:lang w:val="en-IE"/>
        </w:rPr>
        <w:t xml:space="preserve">. </w:t>
      </w:r>
    </w:p>
  </w:footnote>
  <w:footnote w:id="40">
    <w:p w14:paraId="70BD6574" w14:textId="4D0D8700" w:rsidR="00507E1A" w:rsidRPr="009007D4" w:rsidRDefault="00507E1A">
      <w:pPr>
        <w:pStyle w:val="FootnoteText"/>
        <w:rPr>
          <w:lang w:val="en-IE"/>
        </w:rPr>
      </w:pPr>
      <w:r>
        <w:rPr>
          <w:rStyle w:val="FootnoteReference"/>
        </w:rPr>
        <w:footnoteRef/>
      </w:r>
      <w:r w:rsidRPr="009007D4">
        <w:rPr>
          <w:lang w:val="en-IE"/>
        </w:rPr>
        <w:t xml:space="preserve"> </w:t>
      </w:r>
      <w:hyperlink r:id="rId27" w:history="1">
        <w:r w:rsidRPr="009007D4">
          <w:rPr>
            <w:rStyle w:val="Hyperlink"/>
            <w:lang w:val="en-IE"/>
          </w:rPr>
          <w:t>https://research-and-innovation.ec.europa.eu/funding/funding-opportunities/funding-programmes-and-open-calls/horizon-europe/eu-missions-horizon-europe/restore-our-ocean-and-waters_en?prefLang=it&amp;etrans=it</w:t>
        </w:r>
      </w:hyperlink>
      <w:r w:rsidRPr="009007D4">
        <w:rPr>
          <w:lang w:val="en-IE"/>
        </w:rPr>
        <w:t xml:space="preserve">. </w:t>
      </w:r>
    </w:p>
  </w:footnote>
  <w:footnote w:id="41">
    <w:p w14:paraId="303479BD" w14:textId="3C6B66A6" w:rsidR="00C879A9" w:rsidRPr="009248B3" w:rsidRDefault="00C879A9">
      <w:pPr>
        <w:pStyle w:val="FootnoteText"/>
        <w:rPr>
          <w:b/>
          <w:bCs/>
        </w:rPr>
      </w:pPr>
      <w:bookmarkStart w:id="52" w:name="_Hlk158909971"/>
      <w:r>
        <w:rPr>
          <w:rStyle w:val="FootnoteReference"/>
        </w:rPr>
        <w:footnoteRef/>
      </w:r>
      <w:r>
        <w:t xml:space="preserve"> Strumento interattivo EXHAUSTION: </w:t>
      </w:r>
      <w:hyperlink r:id="rId28" w:history="1">
        <w:r>
          <w:rPr>
            <w:rStyle w:val="Hyperlink"/>
          </w:rPr>
          <w:t>https://www.exhaustion.eu/</w:t>
        </w:r>
      </w:hyperlink>
      <w:r>
        <w:t>.</w:t>
      </w:r>
    </w:p>
    <w:bookmarkEnd w:id="52"/>
  </w:footnote>
  <w:footnote w:id="42">
    <w:p w14:paraId="7D0A162E" w14:textId="0BCE9C02" w:rsidR="0016213D" w:rsidRPr="007E5CF7" w:rsidRDefault="0016213D" w:rsidP="0044238F">
      <w:pPr>
        <w:pStyle w:val="FootnoteText"/>
        <w:jc w:val="left"/>
      </w:pPr>
      <w:r>
        <w:rPr>
          <w:rStyle w:val="FootnoteReference"/>
        </w:rPr>
        <w:footnoteRef/>
      </w:r>
      <w:r>
        <w:t xml:space="preserve"> </w:t>
      </w:r>
      <w:hyperlink r:id="rId29" w:history="1">
        <w:r>
          <w:rPr>
            <w:rStyle w:val="Hyperlink"/>
          </w:rPr>
          <w:t>https://health.ec.europa.eu/non-communicable-diseases/healthier-together-eu-non-communicable-diseases-initiative_en?prefLang=it&amp;etrans=it</w:t>
        </w:r>
      </w:hyperlink>
      <w:r>
        <w:t xml:space="preserve">. </w:t>
      </w:r>
    </w:p>
  </w:footnote>
  <w:footnote w:id="43">
    <w:p w14:paraId="778A79D0" w14:textId="72FD8AC7" w:rsidR="00CE4000" w:rsidRPr="009007D4" w:rsidRDefault="00CE4000">
      <w:pPr>
        <w:pStyle w:val="FootnoteText"/>
        <w:rPr>
          <w:lang w:val="en-IE"/>
        </w:rPr>
      </w:pPr>
      <w:r>
        <w:rPr>
          <w:rStyle w:val="FootnoteReference"/>
        </w:rPr>
        <w:footnoteRef/>
      </w:r>
      <w:r w:rsidRPr="009007D4">
        <w:rPr>
          <w:lang w:val="en-IE"/>
        </w:rPr>
        <w:t xml:space="preserve"> COM(2023) 298 final, </w:t>
      </w:r>
      <w:hyperlink r:id="rId30" w:history="1">
        <w:r w:rsidRPr="009007D4">
          <w:rPr>
            <w:rStyle w:val="Hyperlink"/>
            <w:lang w:val="en-IE"/>
          </w:rPr>
          <w:t>https://health.ec.europa.eu/publications/comprehensive-approach-mental-health_en?prefLang=it&amp;etrans=it</w:t>
        </w:r>
      </w:hyperlink>
      <w:r w:rsidRPr="009007D4">
        <w:rPr>
          <w:lang w:val="en-IE"/>
        </w:rPr>
        <w:t xml:space="preserve">. </w:t>
      </w:r>
    </w:p>
  </w:footnote>
  <w:footnote w:id="44">
    <w:p w14:paraId="18BD2D0E" w14:textId="63A71D4C" w:rsidR="002E16D5" w:rsidRPr="002E16D5" w:rsidRDefault="002E16D5" w:rsidP="000B572F">
      <w:pPr>
        <w:pStyle w:val="FootnoteText"/>
        <w:jc w:val="left"/>
      </w:pPr>
      <w:r>
        <w:rPr>
          <w:rStyle w:val="FootnoteReference"/>
        </w:rPr>
        <w:footnoteRef/>
      </w:r>
      <w:r>
        <w:t xml:space="preserve"> Dichiarazione della settima conferenza ministeriale sull'ambiente e la salute (</w:t>
      </w:r>
      <w:hyperlink r:id="rId31" w:history="1">
        <w:r>
          <w:rPr>
            <w:rStyle w:val="Hyperlink"/>
          </w:rPr>
          <w:t>https://www.who.int/europe/publications/i/item/EURO-Budapest2023-6</w:t>
        </w:r>
      </w:hyperlink>
      <w:r>
        <w:t>), dichiarazione su clima e salute alla COP 28 negli EAU (</w:t>
      </w:r>
      <w:hyperlink r:id="rId32" w:history="1">
        <w:r>
          <w:rPr>
            <w:rStyle w:val="Hyperlink"/>
          </w:rPr>
          <w:t>https://www.cop28.com/en/cop28-uae-declaration-on-climate-and-health</w:t>
        </w:r>
      </w:hyperlink>
      <w:r>
        <w:t>).</w:t>
      </w:r>
    </w:p>
  </w:footnote>
  <w:footnote w:id="45">
    <w:p w14:paraId="15D0A2FA" w14:textId="47DA88CD" w:rsidR="006E78CB" w:rsidRPr="006E78CB" w:rsidRDefault="006E78CB">
      <w:pPr>
        <w:pStyle w:val="FootnoteText"/>
      </w:pPr>
      <w:r>
        <w:rPr>
          <w:rStyle w:val="FootnoteReference"/>
        </w:rPr>
        <w:footnoteRef/>
      </w:r>
      <w:r>
        <w:t xml:space="preserve"> </w:t>
      </w:r>
      <w:hyperlink r:id="rId33" w:history="1">
        <w:r>
          <w:rPr>
            <w:rStyle w:val="Hyperlink"/>
          </w:rPr>
          <w:t>https://osha.europa.eu/it/oshnews/heat-work-guidance-workplaces</w:t>
        </w:r>
      </w:hyperlink>
      <w:r>
        <w:t xml:space="preserve">. </w:t>
      </w:r>
    </w:p>
  </w:footnote>
  <w:footnote w:id="46">
    <w:p w14:paraId="70C30146" w14:textId="53CB9D8F" w:rsidR="005848F9" w:rsidRPr="005848F9" w:rsidRDefault="005848F9">
      <w:pPr>
        <w:pStyle w:val="FootnoteText"/>
      </w:pPr>
      <w:r>
        <w:rPr>
          <w:rStyle w:val="FootnoteReference"/>
        </w:rPr>
        <w:footnoteRef/>
      </w:r>
      <w:r>
        <w:t xml:space="preserve"> Gruppo di lavoro sui cambiamenti climatici e la sicurezza e la salute sul lavoro del comitato consultivo tripartito per la sicurezza e la salute sul luogo di lavoro (CCSS).</w:t>
      </w:r>
    </w:p>
  </w:footnote>
  <w:footnote w:id="47">
    <w:p w14:paraId="2A3D2D4A" w14:textId="01537A15" w:rsidR="007A6FC7" w:rsidRPr="009007D4" w:rsidRDefault="007A6FC7" w:rsidP="007A6FC7">
      <w:pPr>
        <w:rPr>
          <w:color w:val="000000" w:themeColor="text1"/>
          <w:sz w:val="24"/>
          <w:szCs w:val="24"/>
          <w:lang w:val="en-IE"/>
        </w:rPr>
      </w:pPr>
      <w:r>
        <w:rPr>
          <w:rStyle w:val="FootnoteReference"/>
          <w:rFonts w:ascii="Times New Roman" w:hAnsi="Times New Roman" w:cs="Times New Roman"/>
          <w:sz w:val="20"/>
          <w:szCs w:val="20"/>
        </w:rPr>
        <w:footnoteRef/>
      </w:r>
      <w:r w:rsidRPr="009007D4">
        <w:rPr>
          <w:rFonts w:ascii="Times New Roman" w:hAnsi="Times New Roman"/>
          <w:sz w:val="20"/>
          <w:lang w:val="en-IE"/>
        </w:rPr>
        <w:t xml:space="preserve"> Studio prospettico </w:t>
      </w:r>
      <w:r w:rsidRPr="009007D4">
        <w:rPr>
          <w:rFonts w:ascii="Times New Roman" w:hAnsi="Times New Roman"/>
          <w:i/>
          <w:iCs/>
          <w:sz w:val="20"/>
          <w:lang w:val="en-IE"/>
        </w:rPr>
        <w:t>OSH implications of future climate change-related developments and crises</w:t>
      </w:r>
      <w:r w:rsidRPr="009007D4">
        <w:rPr>
          <w:rFonts w:ascii="Times New Roman" w:hAnsi="Times New Roman"/>
          <w:sz w:val="20"/>
          <w:lang w:val="en-IE"/>
        </w:rPr>
        <w:t xml:space="preserve"> (avviato nel 2024</w:t>
      </w:r>
      <w:r w:rsidRPr="009007D4">
        <w:rPr>
          <w:rFonts w:ascii="Times New Roman" w:hAnsi="Times New Roman"/>
          <w:color w:val="000000" w:themeColor="text1"/>
          <w:sz w:val="20"/>
          <w:lang w:val="en-IE"/>
        </w:rPr>
        <w:t>).</w:t>
      </w:r>
      <w:r w:rsidRPr="009007D4">
        <w:rPr>
          <w:color w:val="000000" w:themeColor="text1"/>
          <w:sz w:val="24"/>
          <w:lang w:val="en-IE"/>
        </w:rPr>
        <w:t xml:space="preserve"> </w:t>
      </w:r>
    </w:p>
  </w:footnote>
  <w:footnote w:id="48">
    <w:p w14:paraId="271534AF" w14:textId="0F96BD7D" w:rsidR="00C04ACD" w:rsidRPr="009007D4" w:rsidRDefault="00C04ACD">
      <w:pPr>
        <w:pStyle w:val="FootnoteText"/>
        <w:rPr>
          <w:lang w:val="en-IE"/>
        </w:rPr>
      </w:pPr>
      <w:r>
        <w:rPr>
          <w:rStyle w:val="FootnoteReference"/>
        </w:rPr>
        <w:footnoteRef/>
      </w:r>
      <w:r w:rsidRPr="009007D4">
        <w:rPr>
          <w:lang w:val="en-IE"/>
        </w:rPr>
        <w:t xml:space="preserve"> COM(2023) 411 final.</w:t>
      </w:r>
    </w:p>
  </w:footnote>
  <w:footnote w:id="49">
    <w:p w14:paraId="53944F2C" w14:textId="77777777" w:rsidR="005D61D6" w:rsidRPr="009007D4" w:rsidRDefault="005D61D6" w:rsidP="005D61D6">
      <w:pPr>
        <w:pStyle w:val="FootnoteText"/>
        <w:rPr>
          <w:lang w:val="en-IE"/>
        </w:rPr>
      </w:pPr>
      <w:r>
        <w:rPr>
          <w:rStyle w:val="FootnoteReference"/>
        </w:rPr>
        <w:footnoteRef/>
      </w:r>
      <w:r w:rsidRPr="009007D4">
        <w:rPr>
          <w:lang w:val="en-IE"/>
        </w:rPr>
        <w:t xml:space="preserve"> </w:t>
      </w:r>
      <w:hyperlink r:id="rId34" w:history="1">
        <w:r w:rsidRPr="009007D4">
          <w:rPr>
            <w:rStyle w:val="Hyperlink"/>
            <w:lang w:val="en-IE"/>
          </w:rPr>
          <w:t>https://eurocodes.jrc.ec.europa.eu/2nd-generation/second-generation-eurocodes-what-new</w:t>
        </w:r>
      </w:hyperlink>
      <w:r w:rsidRPr="009007D4">
        <w:rPr>
          <w:lang w:val="en-IE"/>
        </w:rPr>
        <w:t xml:space="preserve">. </w:t>
      </w:r>
    </w:p>
  </w:footnote>
  <w:footnote w:id="50">
    <w:p w14:paraId="75FCF0FA" w14:textId="77777777" w:rsidR="00B2668D" w:rsidRPr="009248B3" w:rsidRDefault="00B2668D" w:rsidP="00B2668D">
      <w:pPr>
        <w:pStyle w:val="FootnoteText"/>
      </w:pPr>
      <w:r>
        <w:rPr>
          <w:rStyle w:val="FootnoteReference"/>
        </w:rPr>
        <w:footnoteRef/>
      </w:r>
      <w:r w:rsidRPr="009007D4">
        <w:rPr>
          <w:lang w:val="en-IE"/>
        </w:rPr>
        <w:t xml:space="preserve"> Schade, W., Khanna, A.A., Mader, S., Streif, M., Abkai, T., de Stasio, C., Thiery, W., Deidda, C., Maatsch, S., Kramer, H., </w:t>
      </w:r>
      <w:r w:rsidRPr="009007D4">
        <w:rPr>
          <w:i/>
          <w:iCs/>
          <w:lang w:val="en-IE"/>
        </w:rPr>
        <w:t>Support study on the climate adaptation &amp; cross-border investment needs to realize the TEN-T network</w:t>
      </w:r>
      <w:r w:rsidRPr="009007D4">
        <w:rPr>
          <w:lang w:val="en-IE"/>
        </w:rPr>
        <w:t xml:space="preserve">, 2023. </w:t>
      </w:r>
      <w:r>
        <w:t>Relazione per conto della Commissione europea (di prossima pubblicazione).</w:t>
      </w:r>
    </w:p>
  </w:footnote>
  <w:footnote w:id="51">
    <w:p w14:paraId="69169EE4" w14:textId="356834FF" w:rsidR="003057A0" w:rsidRPr="00BC538A" w:rsidRDefault="003057A0" w:rsidP="00D63A43">
      <w:pPr>
        <w:pStyle w:val="FootnoteText"/>
        <w:jc w:val="left"/>
      </w:pPr>
      <w:r>
        <w:rPr>
          <w:rStyle w:val="FootnoteReference"/>
        </w:rPr>
        <w:footnoteRef/>
      </w:r>
      <w:r>
        <w:t xml:space="preserve"> SWD(2024) 63 final, </w:t>
      </w:r>
      <w:hyperlink r:id="rId35" w:history="1">
        <w:r>
          <w:rPr>
            <w:rStyle w:val="Hyperlink"/>
          </w:rPr>
          <w:t>https://climate.ec.europa.eu/document/download/768bc81f-5f48-48e3-b4d4-e02ba09faca1_en</w:t>
        </w:r>
      </w:hyperlink>
      <w:r>
        <w:t xml:space="preserve">. </w:t>
      </w:r>
    </w:p>
  </w:footnote>
  <w:footnote w:id="52">
    <w:p w14:paraId="406BD2AA" w14:textId="54F0BAF9" w:rsidR="00FD6FC6" w:rsidRPr="00BB6BA8" w:rsidRDefault="00FD6FC6">
      <w:pPr>
        <w:pStyle w:val="FootnoteText"/>
      </w:pPr>
      <w:r>
        <w:rPr>
          <w:rStyle w:val="FootnoteReference"/>
        </w:rPr>
        <w:footnoteRef/>
      </w:r>
      <w:r>
        <w:t xml:space="preserve"> La relazione relativa al dialogo sulla resilienza climatica è prevista per l'estate 2024.</w:t>
      </w:r>
    </w:p>
  </w:footnote>
  <w:footnote w:id="53">
    <w:p w14:paraId="61110D59" w14:textId="6E03CD70" w:rsidR="0059141A" w:rsidRPr="009007D4" w:rsidRDefault="00453D4B" w:rsidP="00453D4B">
      <w:pPr>
        <w:pStyle w:val="FootnoteText"/>
        <w:rPr>
          <w:lang w:val="en-IE"/>
        </w:rPr>
      </w:pPr>
      <w:r>
        <w:rPr>
          <w:rStyle w:val="FootnoteReference"/>
        </w:rPr>
        <w:footnoteRef/>
      </w:r>
      <w:r w:rsidRPr="009007D4">
        <w:rPr>
          <w:lang w:val="en-IE"/>
        </w:rPr>
        <w:t xml:space="preserve"> </w:t>
      </w:r>
      <w:hyperlink r:id="rId36" w:history="1">
        <w:r w:rsidRPr="009007D4">
          <w:rPr>
            <w:rStyle w:val="Hyperlink"/>
            <w:lang w:val="en-IE"/>
          </w:rPr>
          <w:t>http://www.tradeministersonclimate.org/</w:t>
        </w:r>
      </w:hyperlink>
      <w:r w:rsidRPr="009007D4">
        <w:rPr>
          <w:lang w:val="en-IE"/>
        </w:rPr>
        <w:t>.</w:t>
      </w:r>
    </w:p>
  </w:footnote>
  <w:footnote w:id="54">
    <w:p w14:paraId="1A279E0D" w14:textId="03FDD8D8" w:rsidR="00FE4D6B" w:rsidRPr="009007D4" w:rsidRDefault="00FE4D6B" w:rsidP="00FE4D6B">
      <w:pPr>
        <w:pStyle w:val="FootnoteText"/>
        <w:rPr>
          <w:rFonts w:asciiTheme="minorHAnsi" w:hAnsiTheme="minorHAnsi"/>
          <w:lang w:val="en-IE"/>
        </w:rPr>
      </w:pPr>
      <w:r>
        <w:rPr>
          <w:rStyle w:val="FootnoteReference"/>
        </w:rPr>
        <w:footnoteRef/>
      </w:r>
      <w:r w:rsidRPr="009007D4">
        <w:rPr>
          <w:lang w:val="en-IE"/>
        </w:rPr>
        <w:t xml:space="preserve"> COM(2022) 409 final, </w:t>
      </w:r>
      <w:hyperlink r:id="rId37" w:history="1">
        <w:r w:rsidRPr="009007D4">
          <w:rPr>
            <w:rStyle w:val="Hyperlink"/>
            <w:lang w:val="en-IE"/>
          </w:rPr>
          <w:t>https://eur-lex.europa.eu/legal-content/IT/TXT/?uri=CELEX%3A52022DC0409</w:t>
        </w:r>
      </w:hyperlink>
      <w:r w:rsidRPr="009007D4">
        <w:rPr>
          <w:lang w:val="en-IE"/>
        </w:rPr>
        <w:t xml:space="preserve">. </w:t>
      </w:r>
    </w:p>
  </w:footnote>
  <w:footnote w:id="55">
    <w:p w14:paraId="7247A17F" w14:textId="1F85DCF5" w:rsidR="00F74E4A" w:rsidRPr="0043667E" w:rsidRDefault="00F74E4A" w:rsidP="00F74E4A">
      <w:pPr>
        <w:pStyle w:val="FootnoteText"/>
      </w:pPr>
      <w:r>
        <w:rPr>
          <w:rStyle w:val="FootnoteReference"/>
        </w:rPr>
        <w:footnoteRef/>
      </w:r>
      <w:r>
        <w:t xml:space="preserve"> </w:t>
      </w:r>
      <w:hyperlink r:id="rId38" w:history="1">
        <w:r>
          <w:rPr>
            <w:rStyle w:val="Hyperlink"/>
            <w:color w:val="000000" w:themeColor="text1"/>
            <w:u w:val="none"/>
          </w:rPr>
          <w:t xml:space="preserve">Barbaglia, L., Fatica, S. e Rho, C., </w:t>
        </w:r>
        <w:r>
          <w:rPr>
            <w:rStyle w:val="Hyperlink"/>
            <w:i/>
            <w:iCs/>
            <w:color w:val="000000" w:themeColor="text1"/>
            <w:u w:val="none"/>
          </w:rPr>
          <w:t>Mercati del credito inondati: rischio fisico climatico e prestiti alle piccole imprese</w:t>
        </w:r>
        <w:r>
          <w:rPr>
            <w:rStyle w:val="Hyperlink"/>
            <w:color w:val="000000" w:themeColor="text1"/>
            <w:u w:val="none"/>
          </w:rPr>
          <w:t>, Commissione europea, 2023, JRC136274 (non disponibile in IT).</w:t>
        </w:r>
      </w:hyperlink>
    </w:p>
  </w:footnote>
  <w:footnote w:id="56">
    <w:p w14:paraId="4AAAEADE" w14:textId="77777777" w:rsidR="001A31EC" w:rsidRPr="005A4F57" w:rsidRDefault="001A31EC" w:rsidP="001A31EC">
      <w:pPr>
        <w:pStyle w:val="FootnoteText"/>
        <w:jc w:val="left"/>
      </w:pPr>
      <w:r>
        <w:rPr>
          <w:rStyle w:val="FootnoteReference"/>
        </w:rPr>
        <w:footnoteRef/>
      </w:r>
      <w:r>
        <w:t xml:space="preserve"> </w:t>
      </w:r>
      <w:hyperlink r:id="rId39" w:history="1">
        <w:r>
          <w:rPr>
            <w:rStyle w:val="Hyperlink"/>
          </w:rPr>
          <w:t>https://www.ecb.europa.eu/pub/economic-bulletin/focus/2023/html/ecb.ebbox202306_05~f5ec994b9e.it.html</w:t>
        </w:r>
      </w:hyperlink>
      <w:r>
        <w:t>.</w:t>
      </w:r>
    </w:p>
  </w:footnote>
  <w:footnote w:id="57">
    <w:p w14:paraId="77E7DC42" w14:textId="05ECE764" w:rsidR="00BD486C" w:rsidRPr="009007D4" w:rsidRDefault="00BD486C">
      <w:pPr>
        <w:pStyle w:val="FootnoteText"/>
        <w:rPr>
          <w:lang w:val="en-IE"/>
        </w:rPr>
      </w:pPr>
      <w:r>
        <w:rPr>
          <w:rStyle w:val="FootnoteReference"/>
        </w:rPr>
        <w:footnoteRef/>
      </w:r>
      <w:r w:rsidRPr="009007D4">
        <w:rPr>
          <w:lang w:val="en-IE"/>
        </w:rPr>
        <w:t xml:space="preserve"> COM(2020) 103 final, </w:t>
      </w:r>
      <w:hyperlink r:id="rId40" w:history="1">
        <w:r w:rsidRPr="009007D4">
          <w:rPr>
            <w:rStyle w:val="Hyperlink"/>
            <w:lang w:val="en-IE"/>
          </w:rPr>
          <w:t>https://eur-lex.europa.eu/legal-content/IT/ALL/?uri=CELEX%3A52020DC0103</w:t>
        </w:r>
      </w:hyperlink>
      <w:r w:rsidRPr="009007D4">
        <w:rPr>
          <w:lang w:val="en-IE"/>
        </w:rPr>
        <w:t xml:space="preserve">. </w:t>
      </w:r>
    </w:p>
  </w:footnote>
  <w:footnote w:id="58">
    <w:p w14:paraId="19E1506E" w14:textId="4E9D2474" w:rsidR="00D95E11" w:rsidRPr="009007D4" w:rsidRDefault="00D95E11">
      <w:pPr>
        <w:pStyle w:val="FootnoteText"/>
        <w:rPr>
          <w:lang w:val="en-IE"/>
        </w:rPr>
      </w:pPr>
      <w:r>
        <w:rPr>
          <w:rStyle w:val="FootnoteReference"/>
        </w:rPr>
        <w:footnoteRef/>
      </w:r>
      <w:r w:rsidRPr="009007D4">
        <w:rPr>
          <w:lang w:val="en-IE"/>
        </w:rPr>
        <w:t xml:space="preserve"> JOIN(2023) 20 final, </w:t>
      </w:r>
      <w:hyperlink r:id="rId41" w:history="1">
        <w:r w:rsidRPr="009007D4">
          <w:rPr>
            <w:rStyle w:val="Hyperlink"/>
            <w:lang w:val="en-IE"/>
          </w:rPr>
          <w:t>https://eur-lex.europa.eu/legal-content/IT/TXT/?uri=CELEX%3A52023JC0020</w:t>
        </w:r>
      </w:hyperlink>
      <w:r w:rsidRPr="009007D4">
        <w:rPr>
          <w:lang w:val="en-IE"/>
        </w:rPr>
        <w:t xml:space="preserve">. </w:t>
      </w:r>
    </w:p>
  </w:footnote>
  <w:footnote w:id="59">
    <w:p w14:paraId="7A5C3D6E" w14:textId="54393DBE" w:rsidR="0086628C" w:rsidRPr="009007D4" w:rsidRDefault="0086628C">
      <w:pPr>
        <w:pStyle w:val="FootnoteText"/>
        <w:rPr>
          <w:lang w:val="en-IE"/>
        </w:rPr>
      </w:pPr>
      <w:r>
        <w:rPr>
          <w:rStyle w:val="FootnoteReference"/>
        </w:rPr>
        <w:footnoteRef/>
      </w:r>
      <w:r w:rsidRPr="009007D4">
        <w:rPr>
          <w:lang w:val="en-IE"/>
        </w:rPr>
        <w:t xml:space="preserve"> COM(2023) 535 final, </w:t>
      </w:r>
      <w:hyperlink r:id="rId42" w:history="1">
        <w:r w:rsidRPr="009007D4">
          <w:rPr>
            <w:rStyle w:val="Hyperlink"/>
            <w:lang w:val="en-IE"/>
          </w:rPr>
          <w:t>https://eur-lex.europa.eu/legal-content/IT/TXT/?uri=COM%3A2023%3A535%3AFIN</w:t>
        </w:r>
      </w:hyperlink>
      <w:r w:rsidRPr="009007D4">
        <w:rPr>
          <w:lang w:val="en-IE"/>
        </w:rPr>
        <w:t xml:space="preserve">. </w:t>
      </w:r>
    </w:p>
  </w:footnote>
  <w:footnote w:id="60">
    <w:p w14:paraId="52C84E5A" w14:textId="2D0324BB" w:rsidR="00211506" w:rsidRPr="009007D4" w:rsidRDefault="00211506" w:rsidP="00211506">
      <w:pPr>
        <w:pStyle w:val="FootnoteText"/>
        <w:rPr>
          <w:lang w:val="en-IE"/>
        </w:rPr>
      </w:pPr>
      <w:r>
        <w:rPr>
          <w:rStyle w:val="FootnoteReference"/>
        </w:rPr>
        <w:footnoteRef/>
      </w:r>
      <w:r w:rsidRPr="009007D4">
        <w:rPr>
          <w:lang w:val="en-IE"/>
        </w:rPr>
        <w:t xml:space="preserve"> COM(2023) 240 final, </w:t>
      </w:r>
      <w:hyperlink r:id="rId43" w:history="1">
        <w:r w:rsidRPr="009007D4">
          <w:rPr>
            <w:rStyle w:val="Hyperlink"/>
            <w:lang w:val="en-IE"/>
          </w:rPr>
          <w:t>https://eur-lex.europa.eu/legal-content/IT/TXT/?uri=CELEX%3A52023PC0240</w:t>
        </w:r>
      </w:hyperlink>
      <w:r w:rsidRPr="009007D4">
        <w:rPr>
          <w:lang w:val="en-IE"/>
        </w:rPr>
        <w:t xml:space="preserve">. </w:t>
      </w:r>
    </w:p>
  </w:footnote>
  <w:footnote w:id="61">
    <w:p w14:paraId="6A3B86B3" w14:textId="1E7E66E5" w:rsidR="006F47E3" w:rsidRPr="009007D4" w:rsidRDefault="006F47E3" w:rsidP="006F47E3">
      <w:pPr>
        <w:pStyle w:val="FootnoteText"/>
        <w:rPr>
          <w:lang w:val="en-IE"/>
        </w:rPr>
      </w:pPr>
      <w:r>
        <w:rPr>
          <w:rStyle w:val="FootnoteReference"/>
        </w:rPr>
        <w:footnoteRef/>
      </w:r>
      <w:r>
        <w:t xml:space="preserve"> Estrapolando dalle stime dei singoli paesi al livello dell'UE, il costo annuo dell'adattamento ai cambiamenti climatici può variare da 15 miliardi di EUR a 64 miliardi di EUR all'anno (0,1-0,4 % del PIL dell'UE) fino al 2030, con una stima mediana di circa 21 miliardi di EUR (Banca mondiale, di prossima pubblicazione, 2024). </w:t>
      </w:r>
      <w:r w:rsidRPr="009007D4">
        <w:rPr>
          <w:i/>
          <w:iCs/>
          <w:lang w:val="en-IE"/>
        </w:rPr>
        <w:t>Investing in Resilience:</w:t>
      </w:r>
      <w:r w:rsidRPr="009007D4">
        <w:rPr>
          <w:lang w:val="en-IE"/>
        </w:rPr>
        <w:t xml:space="preserve"> </w:t>
      </w:r>
      <w:r w:rsidRPr="009007D4">
        <w:rPr>
          <w:i/>
          <w:iCs/>
          <w:lang w:val="en-IE"/>
        </w:rPr>
        <w:t>Climate Adaptation Costing in a Changing World.</w:t>
      </w:r>
      <w:r w:rsidRPr="009007D4">
        <w:rPr>
          <w:lang w:val="en-IE"/>
        </w:rPr>
        <w:t xml:space="preserve"> </w:t>
      </w:r>
      <w:r w:rsidRPr="009007D4">
        <w:rPr>
          <w:i/>
          <w:iCs/>
          <w:lang w:val="en-IE"/>
        </w:rPr>
        <w:t>Phase II study under Economics for Disaster Prevention and Preparedness:</w:t>
      </w:r>
      <w:r w:rsidRPr="009007D4">
        <w:rPr>
          <w:lang w:val="en-IE"/>
        </w:rPr>
        <w:t xml:space="preserve"> </w:t>
      </w:r>
      <w:r w:rsidRPr="009007D4">
        <w:rPr>
          <w:i/>
          <w:iCs/>
          <w:lang w:val="en-IE"/>
        </w:rPr>
        <w:t>Prioritizing and Financing Resilient Investments</w:t>
      </w:r>
      <w:r w:rsidRPr="009007D4">
        <w:rPr>
          <w:lang w:val="en-I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B088B" w14:textId="77777777" w:rsidR="004464EF" w:rsidRPr="004464EF" w:rsidRDefault="004464EF" w:rsidP="004464EF">
    <w:pPr>
      <w:pStyle w:val="HeaderCoverPag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A3A28" w14:textId="77777777" w:rsidR="004464EF" w:rsidRPr="004464EF" w:rsidRDefault="004464EF" w:rsidP="004464EF">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8A2A8" w14:textId="77777777" w:rsidR="004464EF" w:rsidRPr="004464EF" w:rsidRDefault="004464EF" w:rsidP="004464EF">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61C4C" w14:textId="77777777" w:rsidR="00915255" w:rsidRDefault="0091525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A65F3" w14:textId="77777777" w:rsidR="00915255" w:rsidRDefault="0091525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3438B" w14:textId="77777777" w:rsidR="00915255" w:rsidRDefault="009152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07EBE"/>
    <w:multiLevelType w:val="multilevel"/>
    <w:tmpl w:val="2FA891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960CC3"/>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906B92"/>
    <w:multiLevelType w:val="hybridMultilevel"/>
    <w:tmpl w:val="486E22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B142A61"/>
    <w:multiLevelType w:val="multilevel"/>
    <w:tmpl w:val="2A00BA5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793F72"/>
    <w:multiLevelType w:val="hybridMultilevel"/>
    <w:tmpl w:val="27507C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06E7B88"/>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3F552B5"/>
    <w:multiLevelType w:val="hybridMultilevel"/>
    <w:tmpl w:val="60D8AEF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5547881"/>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7012D86"/>
    <w:multiLevelType w:val="multilevel"/>
    <w:tmpl w:val="4D6A73C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A5181D"/>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B78081F"/>
    <w:multiLevelType w:val="multilevel"/>
    <w:tmpl w:val="7EA85E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C8147B5"/>
    <w:multiLevelType w:val="hybridMultilevel"/>
    <w:tmpl w:val="63982DDC"/>
    <w:lvl w:ilvl="0" w:tplc="D65C0078">
      <w:start w:val="1"/>
      <w:numFmt w:val="bullet"/>
      <w:lvlText w:val=""/>
      <w:lvlJc w:val="left"/>
      <w:pPr>
        <w:ind w:left="720" w:hanging="360"/>
      </w:pPr>
      <w:rPr>
        <w:rFonts w:ascii="Symbol" w:hAnsi="Symbol"/>
      </w:rPr>
    </w:lvl>
    <w:lvl w:ilvl="1" w:tplc="44D4F288">
      <w:start w:val="1"/>
      <w:numFmt w:val="bullet"/>
      <w:lvlText w:val=""/>
      <w:lvlJc w:val="left"/>
      <w:pPr>
        <w:ind w:left="720" w:hanging="360"/>
      </w:pPr>
      <w:rPr>
        <w:rFonts w:ascii="Symbol" w:hAnsi="Symbol"/>
      </w:rPr>
    </w:lvl>
    <w:lvl w:ilvl="2" w:tplc="EBA83878">
      <w:start w:val="1"/>
      <w:numFmt w:val="bullet"/>
      <w:lvlText w:val=""/>
      <w:lvlJc w:val="left"/>
      <w:pPr>
        <w:ind w:left="720" w:hanging="360"/>
      </w:pPr>
      <w:rPr>
        <w:rFonts w:ascii="Symbol" w:hAnsi="Symbol"/>
      </w:rPr>
    </w:lvl>
    <w:lvl w:ilvl="3" w:tplc="CB1C7342">
      <w:start w:val="1"/>
      <w:numFmt w:val="bullet"/>
      <w:lvlText w:val=""/>
      <w:lvlJc w:val="left"/>
      <w:pPr>
        <w:ind w:left="720" w:hanging="360"/>
      </w:pPr>
      <w:rPr>
        <w:rFonts w:ascii="Symbol" w:hAnsi="Symbol"/>
      </w:rPr>
    </w:lvl>
    <w:lvl w:ilvl="4" w:tplc="38E61770">
      <w:start w:val="1"/>
      <w:numFmt w:val="bullet"/>
      <w:lvlText w:val=""/>
      <w:lvlJc w:val="left"/>
      <w:pPr>
        <w:ind w:left="720" w:hanging="360"/>
      </w:pPr>
      <w:rPr>
        <w:rFonts w:ascii="Symbol" w:hAnsi="Symbol"/>
      </w:rPr>
    </w:lvl>
    <w:lvl w:ilvl="5" w:tplc="AA4C99F4">
      <w:start w:val="1"/>
      <w:numFmt w:val="bullet"/>
      <w:lvlText w:val=""/>
      <w:lvlJc w:val="left"/>
      <w:pPr>
        <w:ind w:left="720" w:hanging="360"/>
      </w:pPr>
      <w:rPr>
        <w:rFonts w:ascii="Symbol" w:hAnsi="Symbol"/>
      </w:rPr>
    </w:lvl>
    <w:lvl w:ilvl="6" w:tplc="C1D6D30A">
      <w:start w:val="1"/>
      <w:numFmt w:val="bullet"/>
      <w:lvlText w:val=""/>
      <w:lvlJc w:val="left"/>
      <w:pPr>
        <w:ind w:left="720" w:hanging="360"/>
      </w:pPr>
      <w:rPr>
        <w:rFonts w:ascii="Symbol" w:hAnsi="Symbol"/>
      </w:rPr>
    </w:lvl>
    <w:lvl w:ilvl="7" w:tplc="AF5C02EC">
      <w:start w:val="1"/>
      <w:numFmt w:val="bullet"/>
      <w:lvlText w:val=""/>
      <w:lvlJc w:val="left"/>
      <w:pPr>
        <w:ind w:left="720" w:hanging="360"/>
      </w:pPr>
      <w:rPr>
        <w:rFonts w:ascii="Symbol" w:hAnsi="Symbol"/>
      </w:rPr>
    </w:lvl>
    <w:lvl w:ilvl="8" w:tplc="97528FD4">
      <w:start w:val="1"/>
      <w:numFmt w:val="bullet"/>
      <w:lvlText w:val=""/>
      <w:lvlJc w:val="left"/>
      <w:pPr>
        <w:ind w:left="720" w:hanging="360"/>
      </w:pPr>
      <w:rPr>
        <w:rFonts w:ascii="Symbol" w:hAnsi="Symbol"/>
      </w:rPr>
    </w:lvl>
  </w:abstractNum>
  <w:abstractNum w:abstractNumId="12" w15:restartNumberingAfterBreak="0">
    <w:nsid w:val="1C971491"/>
    <w:multiLevelType w:val="multilevel"/>
    <w:tmpl w:val="B62AD75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D130AB0"/>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0981556"/>
    <w:multiLevelType w:val="multilevel"/>
    <w:tmpl w:val="9572E5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E75984"/>
    <w:multiLevelType w:val="multilevel"/>
    <w:tmpl w:val="B62AD75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7437AB6"/>
    <w:multiLevelType w:val="hybridMultilevel"/>
    <w:tmpl w:val="B0A08FCE"/>
    <w:lvl w:ilvl="0" w:tplc="18090001">
      <w:start w:val="1"/>
      <w:numFmt w:val="bullet"/>
      <w:lvlText w:val=""/>
      <w:lvlJc w:val="left"/>
      <w:pPr>
        <w:ind w:left="720" w:hanging="360"/>
      </w:pPr>
      <w:rPr>
        <w:rFonts w:ascii="Symbol" w:eastAsia="Times New Roman" w:hAnsi="Symbol"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7" w15:restartNumberingAfterBreak="0">
    <w:nsid w:val="27A946FC"/>
    <w:multiLevelType w:val="multilevel"/>
    <w:tmpl w:val="A1560E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EDC66CC"/>
    <w:multiLevelType w:val="hybridMultilevel"/>
    <w:tmpl w:val="D41CF4B8"/>
    <w:lvl w:ilvl="0" w:tplc="FA72B0EC">
      <w:start w:val="1"/>
      <w:numFmt w:val="bullet"/>
      <w:lvlText w:val=""/>
      <w:lvlJc w:val="left"/>
      <w:pPr>
        <w:ind w:left="720" w:hanging="360"/>
      </w:pPr>
      <w:rPr>
        <w:rFonts w:ascii="Symbol" w:hAnsi="Symbol"/>
      </w:rPr>
    </w:lvl>
    <w:lvl w:ilvl="1" w:tplc="B92C430A">
      <w:start w:val="1"/>
      <w:numFmt w:val="bullet"/>
      <w:lvlText w:val=""/>
      <w:lvlJc w:val="left"/>
      <w:pPr>
        <w:ind w:left="720" w:hanging="360"/>
      </w:pPr>
      <w:rPr>
        <w:rFonts w:ascii="Symbol" w:hAnsi="Symbol"/>
      </w:rPr>
    </w:lvl>
    <w:lvl w:ilvl="2" w:tplc="4A6C88BA">
      <w:start w:val="1"/>
      <w:numFmt w:val="bullet"/>
      <w:lvlText w:val=""/>
      <w:lvlJc w:val="left"/>
      <w:pPr>
        <w:ind w:left="720" w:hanging="360"/>
      </w:pPr>
      <w:rPr>
        <w:rFonts w:ascii="Symbol" w:hAnsi="Symbol"/>
      </w:rPr>
    </w:lvl>
    <w:lvl w:ilvl="3" w:tplc="EB965748">
      <w:start w:val="1"/>
      <w:numFmt w:val="bullet"/>
      <w:lvlText w:val=""/>
      <w:lvlJc w:val="left"/>
      <w:pPr>
        <w:ind w:left="720" w:hanging="360"/>
      </w:pPr>
      <w:rPr>
        <w:rFonts w:ascii="Symbol" w:hAnsi="Symbol"/>
      </w:rPr>
    </w:lvl>
    <w:lvl w:ilvl="4" w:tplc="BF78F00A">
      <w:start w:val="1"/>
      <w:numFmt w:val="bullet"/>
      <w:lvlText w:val=""/>
      <w:lvlJc w:val="left"/>
      <w:pPr>
        <w:ind w:left="720" w:hanging="360"/>
      </w:pPr>
      <w:rPr>
        <w:rFonts w:ascii="Symbol" w:hAnsi="Symbol"/>
      </w:rPr>
    </w:lvl>
    <w:lvl w:ilvl="5" w:tplc="5E266956">
      <w:start w:val="1"/>
      <w:numFmt w:val="bullet"/>
      <w:lvlText w:val=""/>
      <w:lvlJc w:val="left"/>
      <w:pPr>
        <w:ind w:left="720" w:hanging="360"/>
      </w:pPr>
      <w:rPr>
        <w:rFonts w:ascii="Symbol" w:hAnsi="Symbol"/>
      </w:rPr>
    </w:lvl>
    <w:lvl w:ilvl="6" w:tplc="67D0FB34">
      <w:start w:val="1"/>
      <w:numFmt w:val="bullet"/>
      <w:lvlText w:val=""/>
      <w:lvlJc w:val="left"/>
      <w:pPr>
        <w:ind w:left="720" w:hanging="360"/>
      </w:pPr>
      <w:rPr>
        <w:rFonts w:ascii="Symbol" w:hAnsi="Symbol"/>
      </w:rPr>
    </w:lvl>
    <w:lvl w:ilvl="7" w:tplc="BE80E966">
      <w:start w:val="1"/>
      <w:numFmt w:val="bullet"/>
      <w:lvlText w:val=""/>
      <w:lvlJc w:val="left"/>
      <w:pPr>
        <w:ind w:left="720" w:hanging="360"/>
      </w:pPr>
      <w:rPr>
        <w:rFonts w:ascii="Symbol" w:hAnsi="Symbol"/>
      </w:rPr>
    </w:lvl>
    <w:lvl w:ilvl="8" w:tplc="97A62044">
      <w:start w:val="1"/>
      <w:numFmt w:val="bullet"/>
      <w:lvlText w:val=""/>
      <w:lvlJc w:val="left"/>
      <w:pPr>
        <w:ind w:left="720" w:hanging="360"/>
      </w:pPr>
      <w:rPr>
        <w:rFonts w:ascii="Symbol" w:hAnsi="Symbol"/>
      </w:rPr>
    </w:lvl>
  </w:abstractNum>
  <w:abstractNum w:abstractNumId="19" w15:restartNumberingAfterBreak="0">
    <w:nsid w:val="2EFF2113"/>
    <w:multiLevelType w:val="hybridMultilevel"/>
    <w:tmpl w:val="3B30222A"/>
    <w:lvl w:ilvl="0" w:tplc="2716DEEE">
      <w:start w:val="1"/>
      <w:numFmt w:val="bullet"/>
      <w:lvlText w:val=""/>
      <w:lvlJc w:val="left"/>
      <w:pPr>
        <w:ind w:left="720" w:hanging="360"/>
      </w:pPr>
      <w:rPr>
        <w:rFonts w:ascii="Symbol" w:hAnsi="Symbol"/>
      </w:rPr>
    </w:lvl>
    <w:lvl w:ilvl="1" w:tplc="CD12B078">
      <w:start w:val="1"/>
      <w:numFmt w:val="bullet"/>
      <w:lvlText w:val=""/>
      <w:lvlJc w:val="left"/>
      <w:pPr>
        <w:ind w:left="720" w:hanging="360"/>
      </w:pPr>
      <w:rPr>
        <w:rFonts w:ascii="Symbol" w:hAnsi="Symbol"/>
      </w:rPr>
    </w:lvl>
    <w:lvl w:ilvl="2" w:tplc="6D086B84">
      <w:start w:val="1"/>
      <w:numFmt w:val="bullet"/>
      <w:lvlText w:val=""/>
      <w:lvlJc w:val="left"/>
      <w:pPr>
        <w:ind w:left="720" w:hanging="360"/>
      </w:pPr>
      <w:rPr>
        <w:rFonts w:ascii="Symbol" w:hAnsi="Symbol"/>
      </w:rPr>
    </w:lvl>
    <w:lvl w:ilvl="3" w:tplc="1D9C73B0">
      <w:start w:val="1"/>
      <w:numFmt w:val="bullet"/>
      <w:lvlText w:val=""/>
      <w:lvlJc w:val="left"/>
      <w:pPr>
        <w:ind w:left="720" w:hanging="360"/>
      </w:pPr>
      <w:rPr>
        <w:rFonts w:ascii="Symbol" w:hAnsi="Symbol"/>
      </w:rPr>
    </w:lvl>
    <w:lvl w:ilvl="4" w:tplc="A5FA0224">
      <w:start w:val="1"/>
      <w:numFmt w:val="bullet"/>
      <w:lvlText w:val=""/>
      <w:lvlJc w:val="left"/>
      <w:pPr>
        <w:ind w:left="720" w:hanging="360"/>
      </w:pPr>
      <w:rPr>
        <w:rFonts w:ascii="Symbol" w:hAnsi="Symbol"/>
      </w:rPr>
    </w:lvl>
    <w:lvl w:ilvl="5" w:tplc="6F580270">
      <w:start w:val="1"/>
      <w:numFmt w:val="bullet"/>
      <w:lvlText w:val=""/>
      <w:lvlJc w:val="left"/>
      <w:pPr>
        <w:ind w:left="720" w:hanging="360"/>
      </w:pPr>
      <w:rPr>
        <w:rFonts w:ascii="Symbol" w:hAnsi="Symbol"/>
      </w:rPr>
    </w:lvl>
    <w:lvl w:ilvl="6" w:tplc="CA5CBCD6">
      <w:start w:val="1"/>
      <w:numFmt w:val="bullet"/>
      <w:lvlText w:val=""/>
      <w:lvlJc w:val="left"/>
      <w:pPr>
        <w:ind w:left="720" w:hanging="360"/>
      </w:pPr>
      <w:rPr>
        <w:rFonts w:ascii="Symbol" w:hAnsi="Symbol"/>
      </w:rPr>
    </w:lvl>
    <w:lvl w:ilvl="7" w:tplc="E40653AE">
      <w:start w:val="1"/>
      <w:numFmt w:val="bullet"/>
      <w:lvlText w:val=""/>
      <w:lvlJc w:val="left"/>
      <w:pPr>
        <w:ind w:left="720" w:hanging="360"/>
      </w:pPr>
      <w:rPr>
        <w:rFonts w:ascii="Symbol" w:hAnsi="Symbol"/>
      </w:rPr>
    </w:lvl>
    <w:lvl w:ilvl="8" w:tplc="8C121CE2">
      <w:start w:val="1"/>
      <w:numFmt w:val="bullet"/>
      <w:lvlText w:val=""/>
      <w:lvlJc w:val="left"/>
      <w:pPr>
        <w:ind w:left="720" w:hanging="360"/>
      </w:pPr>
      <w:rPr>
        <w:rFonts w:ascii="Symbol" w:hAnsi="Symbol"/>
      </w:rPr>
    </w:lvl>
  </w:abstractNum>
  <w:abstractNum w:abstractNumId="20" w15:restartNumberingAfterBreak="0">
    <w:nsid w:val="39A94022"/>
    <w:multiLevelType w:val="multilevel"/>
    <w:tmpl w:val="2A6491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9AC4C35"/>
    <w:multiLevelType w:val="multilevel"/>
    <w:tmpl w:val="B62AD75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9B21281"/>
    <w:multiLevelType w:val="multilevel"/>
    <w:tmpl w:val="412A465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DE07F3A"/>
    <w:multiLevelType w:val="hybridMultilevel"/>
    <w:tmpl w:val="3EAA6476"/>
    <w:lvl w:ilvl="0" w:tplc="9DDA3F20">
      <w:numFmt w:val="bullet"/>
      <w:lvlText w:val="-"/>
      <w:lvlJc w:val="left"/>
      <w:pPr>
        <w:ind w:left="720" w:hanging="360"/>
      </w:pPr>
      <w:rPr>
        <w:rFonts w:ascii="Calibri" w:eastAsiaTheme="minorHAns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4" w15:restartNumberingAfterBreak="0">
    <w:nsid w:val="3F847391"/>
    <w:multiLevelType w:val="multilevel"/>
    <w:tmpl w:val="8A962B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FC11F14"/>
    <w:multiLevelType w:val="hybridMultilevel"/>
    <w:tmpl w:val="D2802AC0"/>
    <w:lvl w:ilvl="0" w:tplc="833AC21C">
      <w:start w:val="1"/>
      <w:numFmt w:val="bullet"/>
      <w:lvlText w:val=""/>
      <w:lvlJc w:val="left"/>
      <w:pPr>
        <w:ind w:left="1440" w:hanging="360"/>
      </w:pPr>
      <w:rPr>
        <w:rFonts w:ascii="Symbol" w:hAnsi="Symbol"/>
      </w:rPr>
    </w:lvl>
    <w:lvl w:ilvl="1" w:tplc="2EB099CA">
      <w:start w:val="1"/>
      <w:numFmt w:val="bullet"/>
      <w:lvlText w:val=""/>
      <w:lvlJc w:val="left"/>
      <w:pPr>
        <w:ind w:left="1440" w:hanging="360"/>
      </w:pPr>
      <w:rPr>
        <w:rFonts w:ascii="Symbol" w:hAnsi="Symbol"/>
      </w:rPr>
    </w:lvl>
    <w:lvl w:ilvl="2" w:tplc="7C289D7A">
      <w:start w:val="1"/>
      <w:numFmt w:val="bullet"/>
      <w:lvlText w:val=""/>
      <w:lvlJc w:val="left"/>
      <w:pPr>
        <w:ind w:left="1440" w:hanging="360"/>
      </w:pPr>
      <w:rPr>
        <w:rFonts w:ascii="Symbol" w:hAnsi="Symbol"/>
      </w:rPr>
    </w:lvl>
    <w:lvl w:ilvl="3" w:tplc="DC52F9C8">
      <w:start w:val="1"/>
      <w:numFmt w:val="bullet"/>
      <w:lvlText w:val=""/>
      <w:lvlJc w:val="left"/>
      <w:pPr>
        <w:ind w:left="1440" w:hanging="360"/>
      </w:pPr>
      <w:rPr>
        <w:rFonts w:ascii="Symbol" w:hAnsi="Symbol"/>
      </w:rPr>
    </w:lvl>
    <w:lvl w:ilvl="4" w:tplc="F2C07A40">
      <w:start w:val="1"/>
      <w:numFmt w:val="bullet"/>
      <w:lvlText w:val=""/>
      <w:lvlJc w:val="left"/>
      <w:pPr>
        <w:ind w:left="1440" w:hanging="360"/>
      </w:pPr>
      <w:rPr>
        <w:rFonts w:ascii="Symbol" w:hAnsi="Symbol"/>
      </w:rPr>
    </w:lvl>
    <w:lvl w:ilvl="5" w:tplc="7E2E3CC8">
      <w:start w:val="1"/>
      <w:numFmt w:val="bullet"/>
      <w:lvlText w:val=""/>
      <w:lvlJc w:val="left"/>
      <w:pPr>
        <w:ind w:left="1440" w:hanging="360"/>
      </w:pPr>
      <w:rPr>
        <w:rFonts w:ascii="Symbol" w:hAnsi="Symbol"/>
      </w:rPr>
    </w:lvl>
    <w:lvl w:ilvl="6" w:tplc="40C8A7F6">
      <w:start w:val="1"/>
      <w:numFmt w:val="bullet"/>
      <w:lvlText w:val=""/>
      <w:lvlJc w:val="left"/>
      <w:pPr>
        <w:ind w:left="1440" w:hanging="360"/>
      </w:pPr>
      <w:rPr>
        <w:rFonts w:ascii="Symbol" w:hAnsi="Symbol"/>
      </w:rPr>
    </w:lvl>
    <w:lvl w:ilvl="7" w:tplc="300201DE">
      <w:start w:val="1"/>
      <w:numFmt w:val="bullet"/>
      <w:lvlText w:val=""/>
      <w:lvlJc w:val="left"/>
      <w:pPr>
        <w:ind w:left="1440" w:hanging="360"/>
      </w:pPr>
      <w:rPr>
        <w:rFonts w:ascii="Symbol" w:hAnsi="Symbol"/>
      </w:rPr>
    </w:lvl>
    <w:lvl w:ilvl="8" w:tplc="F5401D9E">
      <w:start w:val="1"/>
      <w:numFmt w:val="bullet"/>
      <w:lvlText w:val=""/>
      <w:lvlJc w:val="left"/>
      <w:pPr>
        <w:ind w:left="1440" w:hanging="360"/>
      </w:pPr>
      <w:rPr>
        <w:rFonts w:ascii="Symbol" w:hAnsi="Symbol"/>
      </w:rPr>
    </w:lvl>
  </w:abstractNum>
  <w:abstractNum w:abstractNumId="26" w15:restartNumberingAfterBreak="0">
    <w:nsid w:val="42FD19F6"/>
    <w:multiLevelType w:val="multilevel"/>
    <w:tmpl w:val="032A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644B68"/>
    <w:multiLevelType w:val="multilevel"/>
    <w:tmpl w:val="206AC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639438E"/>
    <w:multiLevelType w:val="multilevel"/>
    <w:tmpl w:val="6030AC8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74F6E14"/>
    <w:multiLevelType w:val="hybridMultilevel"/>
    <w:tmpl w:val="67AA85F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486509AE"/>
    <w:multiLevelType w:val="hybridMultilevel"/>
    <w:tmpl w:val="F13654BA"/>
    <w:lvl w:ilvl="0" w:tplc="18090001">
      <w:start w:val="1"/>
      <w:numFmt w:val="bullet"/>
      <w:lvlText w:val=""/>
      <w:lvlJc w:val="left"/>
      <w:pPr>
        <w:ind w:left="1202" w:hanging="360"/>
      </w:pPr>
      <w:rPr>
        <w:rFonts w:ascii="Symbol" w:hAnsi="Symbol" w:hint="default"/>
      </w:rPr>
    </w:lvl>
    <w:lvl w:ilvl="1" w:tplc="18090003" w:tentative="1">
      <w:start w:val="1"/>
      <w:numFmt w:val="bullet"/>
      <w:lvlText w:val="o"/>
      <w:lvlJc w:val="left"/>
      <w:pPr>
        <w:ind w:left="1922" w:hanging="360"/>
      </w:pPr>
      <w:rPr>
        <w:rFonts w:ascii="Courier New" w:hAnsi="Courier New" w:cs="Courier New" w:hint="default"/>
      </w:rPr>
    </w:lvl>
    <w:lvl w:ilvl="2" w:tplc="18090005" w:tentative="1">
      <w:start w:val="1"/>
      <w:numFmt w:val="bullet"/>
      <w:lvlText w:val=""/>
      <w:lvlJc w:val="left"/>
      <w:pPr>
        <w:ind w:left="2642" w:hanging="360"/>
      </w:pPr>
      <w:rPr>
        <w:rFonts w:ascii="Wingdings" w:hAnsi="Wingdings" w:hint="default"/>
      </w:rPr>
    </w:lvl>
    <w:lvl w:ilvl="3" w:tplc="18090001" w:tentative="1">
      <w:start w:val="1"/>
      <w:numFmt w:val="bullet"/>
      <w:lvlText w:val=""/>
      <w:lvlJc w:val="left"/>
      <w:pPr>
        <w:ind w:left="3362" w:hanging="360"/>
      </w:pPr>
      <w:rPr>
        <w:rFonts w:ascii="Symbol" w:hAnsi="Symbol" w:hint="default"/>
      </w:rPr>
    </w:lvl>
    <w:lvl w:ilvl="4" w:tplc="18090003" w:tentative="1">
      <w:start w:val="1"/>
      <w:numFmt w:val="bullet"/>
      <w:lvlText w:val="o"/>
      <w:lvlJc w:val="left"/>
      <w:pPr>
        <w:ind w:left="4082" w:hanging="360"/>
      </w:pPr>
      <w:rPr>
        <w:rFonts w:ascii="Courier New" w:hAnsi="Courier New" w:cs="Courier New" w:hint="default"/>
      </w:rPr>
    </w:lvl>
    <w:lvl w:ilvl="5" w:tplc="18090005" w:tentative="1">
      <w:start w:val="1"/>
      <w:numFmt w:val="bullet"/>
      <w:lvlText w:val=""/>
      <w:lvlJc w:val="left"/>
      <w:pPr>
        <w:ind w:left="4802" w:hanging="360"/>
      </w:pPr>
      <w:rPr>
        <w:rFonts w:ascii="Wingdings" w:hAnsi="Wingdings" w:hint="default"/>
      </w:rPr>
    </w:lvl>
    <w:lvl w:ilvl="6" w:tplc="18090001" w:tentative="1">
      <w:start w:val="1"/>
      <w:numFmt w:val="bullet"/>
      <w:lvlText w:val=""/>
      <w:lvlJc w:val="left"/>
      <w:pPr>
        <w:ind w:left="5522" w:hanging="360"/>
      </w:pPr>
      <w:rPr>
        <w:rFonts w:ascii="Symbol" w:hAnsi="Symbol" w:hint="default"/>
      </w:rPr>
    </w:lvl>
    <w:lvl w:ilvl="7" w:tplc="18090003" w:tentative="1">
      <w:start w:val="1"/>
      <w:numFmt w:val="bullet"/>
      <w:lvlText w:val="o"/>
      <w:lvlJc w:val="left"/>
      <w:pPr>
        <w:ind w:left="6242" w:hanging="360"/>
      </w:pPr>
      <w:rPr>
        <w:rFonts w:ascii="Courier New" w:hAnsi="Courier New" w:cs="Courier New" w:hint="default"/>
      </w:rPr>
    </w:lvl>
    <w:lvl w:ilvl="8" w:tplc="18090005" w:tentative="1">
      <w:start w:val="1"/>
      <w:numFmt w:val="bullet"/>
      <w:lvlText w:val=""/>
      <w:lvlJc w:val="left"/>
      <w:pPr>
        <w:ind w:left="6962" w:hanging="360"/>
      </w:pPr>
      <w:rPr>
        <w:rFonts w:ascii="Wingdings" w:hAnsi="Wingdings" w:hint="default"/>
      </w:rPr>
    </w:lvl>
  </w:abstractNum>
  <w:abstractNum w:abstractNumId="31" w15:restartNumberingAfterBreak="0">
    <w:nsid w:val="48EC5204"/>
    <w:multiLevelType w:val="multilevel"/>
    <w:tmpl w:val="FD94D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9A1660F"/>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AB54686"/>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BAC514E"/>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C163A02"/>
    <w:multiLevelType w:val="multilevel"/>
    <w:tmpl w:val="2604CA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D3C3BA9"/>
    <w:multiLevelType w:val="hybridMultilevel"/>
    <w:tmpl w:val="E5FCAE2C"/>
    <w:lvl w:ilvl="0" w:tplc="68E22FC2">
      <w:start w:val="1"/>
      <w:numFmt w:val="bullet"/>
      <w:lvlText w:val=""/>
      <w:lvlJc w:val="left"/>
      <w:pPr>
        <w:ind w:left="1780" w:hanging="360"/>
      </w:pPr>
      <w:rPr>
        <w:rFonts w:ascii="Symbol" w:hAnsi="Symbol"/>
      </w:rPr>
    </w:lvl>
    <w:lvl w:ilvl="1" w:tplc="A3D0EC82">
      <w:start w:val="1"/>
      <w:numFmt w:val="bullet"/>
      <w:lvlText w:val=""/>
      <w:lvlJc w:val="left"/>
      <w:pPr>
        <w:ind w:left="1780" w:hanging="360"/>
      </w:pPr>
      <w:rPr>
        <w:rFonts w:ascii="Symbol" w:hAnsi="Symbol"/>
      </w:rPr>
    </w:lvl>
    <w:lvl w:ilvl="2" w:tplc="B436FF50">
      <w:start w:val="1"/>
      <w:numFmt w:val="bullet"/>
      <w:lvlText w:val=""/>
      <w:lvlJc w:val="left"/>
      <w:pPr>
        <w:ind w:left="1780" w:hanging="360"/>
      </w:pPr>
      <w:rPr>
        <w:rFonts w:ascii="Symbol" w:hAnsi="Symbol"/>
      </w:rPr>
    </w:lvl>
    <w:lvl w:ilvl="3" w:tplc="427E3F2C">
      <w:start w:val="1"/>
      <w:numFmt w:val="bullet"/>
      <w:lvlText w:val=""/>
      <w:lvlJc w:val="left"/>
      <w:pPr>
        <w:ind w:left="1780" w:hanging="360"/>
      </w:pPr>
      <w:rPr>
        <w:rFonts w:ascii="Symbol" w:hAnsi="Symbol"/>
      </w:rPr>
    </w:lvl>
    <w:lvl w:ilvl="4" w:tplc="DCAEC042">
      <w:start w:val="1"/>
      <w:numFmt w:val="bullet"/>
      <w:lvlText w:val=""/>
      <w:lvlJc w:val="left"/>
      <w:pPr>
        <w:ind w:left="1780" w:hanging="360"/>
      </w:pPr>
      <w:rPr>
        <w:rFonts w:ascii="Symbol" w:hAnsi="Symbol"/>
      </w:rPr>
    </w:lvl>
    <w:lvl w:ilvl="5" w:tplc="51A0B7DA">
      <w:start w:val="1"/>
      <w:numFmt w:val="bullet"/>
      <w:lvlText w:val=""/>
      <w:lvlJc w:val="left"/>
      <w:pPr>
        <w:ind w:left="1780" w:hanging="360"/>
      </w:pPr>
      <w:rPr>
        <w:rFonts w:ascii="Symbol" w:hAnsi="Symbol"/>
      </w:rPr>
    </w:lvl>
    <w:lvl w:ilvl="6" w:tplc="D5C69496">
      <w:start w:val="1"/>
      <w:numFmt w:val="bullet"/>
      <w:lvlText w:val=""/>
      <w:lvlJc w:val="left"/>
      <w:pPr>
        <w:ind w:left="1780" w:hanging="360"/>
      </w:pPr>
      <w:rPr>
        <w:rFonts w:ascii="Symbol" w:hAnsi="Symbol"/>
      </w:rPr>
    </w:lvl>
    <w:lvl w:ilvl="7" w:tplc="B034292C">
      <w:start w:val="1"/>
      <w:numFmt w:val="bullet"/>
      <w:lvlText w:val=""/>
      <w:lvlJc w:val="left"/>
      <w:pPr>
        <w:ind w:left="1780" w:hanging="360"/>
      </w:pPr>
      <w:rPr>
        <w:rFonts w:ascii="Symbol" w:hAnsi="Symbol"/>
      </w:rPr>
    </w:lvl>
    <w:lvl w:ilvl="8" w:tplc="002AC438">
      <w:start w:val="1"/>
      <w:numFmt w:val="bullet"/>
      <w:lvlText w:val=""/>
      <w:lvlJc w:val="left"/>
      <w:pPr>
        <w:ind w:left="1780" w:hanging="360"/>
      </w:pPr>
      <w:rPr>
        <w:rFonts w:ascii="Symbol" w:hAnsi="Symbol"/>
      </w:rPr>
    </w:lvl>
  </w:abstractNum>
  <w:abstractNum w:abstractNumId="37" w15:restartNumberingAfterBreak="0">
    <w:nsid w:val="4F8F6D02"/>
    <w:multiLevelType w:val="hybridMultilevel"/>
    <w:tmpl w:val="71EAAA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51160BA1"/>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40C139F"/>
    <w:multiLevelType w:val="hybridMultilevel"/>
    <w:tmpl w:val="CAFA9612"/>
    <w:lvl w:ilvl="0" w:tplc="B5889958">
      <w:start w:val="1"/>
      <w:numFmt w:val="bullet"/>
      <w:lvlText w:val=""/>
      <w:lvlJc w:val="left"/>
      <w:pPr>
        <w:ind w:left="720" w:hanging="360"/>
      </w:pPr>
      <w:rPr>
        <w:rFonts w:ascii="Symbol" w:hAnsi="Symbol"/>
      </w:rPr>
    </w:lvl>
    <w:lvl w:ilvl="1" w:tplc="2F206D76">
      <w:start w:val="1"/>
      <w:numFmt w:val="bullet"/>
      <w:lvlText w:val=""/>
      <w:lvlJc w:val="left"/>
      <w:pPr>
        <w:ind w:left="720" w:hanging="360"/>
      </w:pPr>
      <w:rPr>
        <w:rFonts w:ascii="Symbol" w:hAnsi="Symbol"/>
      </w:rPr>
    </w:lvl>
    <w:lvl w:ilvl="2" w:tplc="B282ADE0">
      <w:start w:val="1"/>
      <w:numFmt w:val="bullet"/>
      <w:lvlText w:val=""/>
      <w:lvlJc w:val="left"/>
      <w:pPr>
        <w:ind w:left="720" w:hanging="360"/>
      </w:pPr>
      <w:rPr>
        <w:rFonts w:ascii="Symbol" w:hAnsi="Symbol"/>
      </w:rPr>
    </w:lvl>
    <w:lvl w:ilvl="3" w:tplc="1856E85A">
      <w:start w:val="1"/>
      <w:numFmt w:val="bullet"/>
      <w:lvlText w:val=""/>
      <w:lvlJc w:val="left"/>
      <w:pPr>
        <w:ind w:left="720" w:hanging="360"/>
      </w:pPr>
      <w:rPr>
        <w:rFonts w:ascii="Symbol" w:hAnsi="Symbol"/>
      </w:rPr>
    </w:lvl>
    <w:lvl w:ilvl="4" w:tplc="810E5556">
      <w:start w:val="1"/>
      <w:numFmt w:val="bullet"/>
      <w:lvlText w:val=""/>
      <w:lvlJc w:val="left"/>
      <w:pPr>
        <w:ind w:left="720" w:hanging="360"/>
      </w:pPr>
      <w:rPr>
        <w:rFonts w:ascii="Symbol" w:hAnsi="Symbol"/>
      </w:rPr>
    </w:lvl>
    <w:lvl w:ilvl="5" w:tplc="4D726534">
      <w:start w:val="1"/>
      <w:numFmt w:val="bullet"/>
      <w:lvlText w:val=""/>
      <w:lvlJc w:val="left"/>
      <w:pPr>
        <w:ind w:left="720" w:hanging="360"/>
      </w:pPr>
      <w:rPr>
        <w:rFonts w:ascii="Symbol" w:hAnsi="Symbol"/>
      </w:rPr>
    </w:lvl>
    <w:lvl w:ilvl="6" w:tplc="DF4618B6">
      <w:start w:val="1"/>
      <w:numFmt w:val="bullet"/>
      <w:lvlText w:val=""/>
      <w:lvlJc w:val="left"/>
      <w:pPr>
        <w:ind w:left="720" w:hanging="360"/>
      </w:pPr>
      <w:rPr>
        <w:rFonts w:ascii="Symbol" w:hAnsi="Symbol"/>
      </w:rPr>
    </w:lvl>
    <w:lvl w:ilvl="7" w:tplc="53B26F2C">
      <w:start w:val="1"/>
      <w:numFmt w:val="bullet"/>
      <w:lvlText w:val=""/>
      <w:lvlJc w:val="left"/>
      <w:pPr>
        <w:ind w:left="720" w:hanging="360"/>
      </w:pPr>
      <w:rPr>
        <w:rFonts w:ascii="Symbol" w:hAnsi="Symbol"/>
      </w:rPr>
    </w:lvl>
    <w:lvl w:ilvl="8" w:tplc="5E30D5F6">
      <w:start w:val="1"/>
      <w:numFmt w:val="bullet"/>
      <w:lvlText w:val=""/>
      <w:lvlJc w:val="left"/>
      <w:pPr>
        <w:ind w:left="720" w:hanging="360"/>
      </w:pPr>
      <w:rPr>
        <w:rFonts w:ascii="Symbol" w:hAnsi="Symbol"/>
      </w:rPr>
    </w:lvl>
  </w:abstractNum>
  <w:abstractNum w:abstractNumId="40" w15:restartNumberingAfterBreak="0">
    <w:nsid w:val="57BF0C26"/>
    <w:multiLevelType w:val="hybridMultilevel"/>
    <w:tmpl w:val="795E7142"/>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8382113"/>
    <w:multiLevelType w:val="multilevel"/>
    <w:tmpl w:val="E9560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96E0B3C"/>
    <w:multiLevelType w:val="multilevel"/>
    <w:tmpl w:val="47C495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9AD178B"/>
    <w:multiLevelType w:val="hybridMultilevel"/>
    <w:tmpl w:val="ED0A398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5E1E6C28"/>
    <w:multiLevelType w:val="hybridMultilevel"/>
    <w:tmpl w:val="31481A7E"/>
    <w:lvl w:ilvl="0" w:tplc="CA441392">
      <w:start w:val="1"/>
      <w:numFmt w:val="bullet"/>
      <w:lvlText w:val=""/>
      <w:lvlJc w:val="left"/>
      <w:pPr>
        <w:ind w:left="1440" w:hanging="360"/>
      </w:pPr>
      <w:rPr>
        <w:rFonts w:ascii="Symbol" w:hAnsi="Symbol"/>
      </w:rPr>
    </w:lvl>
    <w:lvl w:ilvl="1" w:tplc="43603F02">
      <w:start w:val="1"/>
      <w:numFmt w:val="bullet"/>
      <w:lvlText w:val=""/>
      <w:lvlJc w:val="left"/>
      <w:pPr>
        <w:ind w:left="1440" w:hanging="360"/>
      </w:pPr>
      <w:rPr>
        <w:rFonts w:ascii="Symbol" w:hAnsi="Symbol"/>
      </w:rPr>
    </w:lvl>
    <w:lvl w:ilvl="2" w:tplc="878A4A34">
      <w:start w:val="1"/>
      <w:numFmt w:val="bullet"/>
      <w:lvlText w:val=""/>
      <w:lvlJc w:val="left"/>
      <w:pPr>
        <w:ind w:left="1440" w:hanging="360"/>
      </w:pPr>
      <w:rPr>
        <w:rFonts w:ascii="Symbol" w:hAnsi="Symbol"/>
      </w:rPr>
    </w:lvl>
    <w:lvl w:ilvl="3" w:tplc="315E4810">
      <w:start w:val="1"/>
      <w:numFmt w:val="bullet"/>
      <w:lvlText w:val=""/>
      <w:lvlJc w:val="left"/>
      <w:pPr>
        <w:ind w:left="1440" w:hanging="360"/>
      </w:pPr>
      <w:rPr>
        <w:rFonts w:ascii="Symbol" w:hAnsi="Symbol"/>
      </w:rPr>
    </w:lvl>
    <w:lvl w:ilvl="4" w:tplc="23CA48E6">
      <w:start w:val="1"/>
      <w:numFmt w:val="bullet"/>
      <w:lvlText w:val=""/>
      <w:lvlJc w:val="left"/>
      <w:pPr>
        <w:ind w:left="1440" w:hanging="360"/>
      </w:pPr>
      <w:rPr>
        <w:rFonts w:ascii="Symbol" w:hAnsi="Symbol"/>
      </w:rPr>
    </w:lvl>
    <w:lvl w:ilvl="5" w:tplc="EE220BEC">
      <w:start w:val="1"/>
      <w:numFmt w:val="bullet"/>
      <w:lvlText w:val=""/>
      <w:lvlJc w:val="left"/>
      <w:pPr>
        <w:ind w:left="1440" w:hanging="360"/>
      </w:pPr>
      <w:rPr>
        <w:rFonts w:ascii="Symbol" w:hAnsi="Symbol"/>
      </w:rPr>
    </w:lvl>
    <w:lvl w:ilvl="6" w:tplc="D3062440">
      <w:start w:val="1"/>
      <w:numFmt w:val="bullet"/>
      <w:lvlText w:val=""/>
      <w:lvlJc w:val="left"/>
      <w:pPr>
        <w:ind w:left="1440" w:hanging="360"/>
      </w:pPr>
      <w:rPr>
        <w:rFonts w:ascii="Symbol" w:hAnsi="Symbol"/>
      </w:rPr>
    </w:lvl>
    <w:lvl w:ilvl="7" w:tplc="13843606">
      <w:start w:val="1"/>
      <w:numFmt w:val="bullet"/>
      <w:lvlText w:val=""/>
      <w:lvlJc w:val="left"/>
      <w:pPr>
        <w:ind w:left="1440" w:hanging="360"/>
      </w:pPr>
      <w:rPr>
        <w:rFonts w:ascii="Symbol" w:hAnsi="Symbol"/>
      </w:rPr>
    </w:lvl>
    <w:lvl w:ilvl="8" w:tplc="01486AB2">
      <w:start w:val="1"/>
      <w:numFmt w:val="bullet"/>
      <w:lvlText w:val=""/>
      <w:lvlJc w:val="left"/>
      <w:pPr>
        <w:ind w:left="1440" w:hanging="360"/>
      </w:pPr>
      <w:rPr>
        <w:rFonts w:ascii="Symbol" w:hAnsi="Symbol"/>
      </w:rPr>
    </w:lvl>
  </w:abstractNum>
  <w:abstractNum w:abstractNumId="45" w15:restartNumberingAfterBreak="0">
    <w:nsid w:val="608A5C15"/>
    <w:multiLevelType w:val="multilevel"/>
    <w:tmpl w:val="711811DE"/>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6" w15:restartNumberingAfterBreak="0">
    <w:nsid w:val="60F3258F"/>
    <w:multiLevelType w:val="hybridMultilevel"/>
    <w:tmpl w:val="0962434E"/>
    <w:lvl w:ilvl="0" w:tplc="1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7" w15:restartNumberingAfterBreak="0">
    <w:nsid w:val="61C21740"/>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2260BF1"/>
    <w:multiLevelType w:val="hybridMultilevel"/>
    <w:tmpl w:val="986C0D6C"/>
    <w:lvl w:ilvl="0" w:tplc="30C2DC86">
      <w:start w:val="1"/>
      <w:numFmt w:val="bullet"/>
      <w:lvlText w:val=""/>
      <w:lvlJc w:val="left"/>
      <w:pPr>
        <w:ind w:left="1440" w:hanging="360"/>
      </w:pPr>
      <w:rPr>
        <w:rFonts w:ascii="Symbol" w:hAnsi="Symbol"/>
      </w:rPr>
    </w:lvl>
    <w:lvl w:ilvl="1" w:tplc="8F8ECBB2">
      <w:start w:val="1"/>
      <w:numFmt w:val="bullet"/>
      <w:lvlText w:val=""/>
      <w:lvlJc w:val="left"/>
      <w:pPr>
        <w:ind w:left="1440" w:hanging="360"/>
      </w:pPr>
      <w:rPr>
        <w:rFonts w:ascii="Symbol" w:hAnsi="Symbol"/>
      </w:rPr>
    </w:lvl>
    <w:lvl w:ilvl="2" w:tplc="F4B2DD48">
      <w:start w:val="1"/>
      <w:numFmt w:val="bullet"/>
      <w:lvlText w:val=""/>
      <w:lvlJc w:val="left"/>
      <w:pPr>
        <w:ind w:left="1440" w:hanging="360"/>
      </w:pPr>
      <w:rPr>
        <w:rFonts w:ascii="Symbol" w:hAnsi="Symbol"/>
      </w:rPr>
    </w:lvl>
    <w:lvl w:ilvl="3" w:tplc="B0ECC5BA">
      <w:start w:val="1"/>
      <w:numFmt w:val="bullet"/>
      <w:lvlText w:val=""/>
      <w:lvlJc w:val="left"/>
      <w:pPr>
        <w:ind w:left="1440" w:hanging="360"/>
      </w:pPr>
      <w:rPr>
        <w:rFonts w:ascii="Symbol" w:hAnsi="Symbol"/>
      </w:rPr>
    </w:lvl>
    <w:lvl w:ilvl="4" w:tplc="252C89B2">
      <w:start w:val="1"/>
      <w:numFmt w:val="bullet"/>
      <w:lvlText w:val=""/>
      <w:lvlJc w:val="left"/>
      <w:pPr>
        <w:ind w:left="1440" w:hanging="360"/>
      </w:pPr>
      <w:rPr>
        <w:rFonts w:ascii="Symbol" w:hAnsi="Symbol"/>
      </w:rPr>
    </w:lvl>
    <w:lvl w:ilvl="5" w:tplc="1A522DC6">
      <w:start w:val="1"/>
      <w:numFmt w:val="bullet"/>
      <w:lvlText w:val=""/>
      <w:lvlJc w:val="left"/>
      <w:pPr>
        <w:ind w:left="1440" w:hanging="360"/>
      </w:pPr>
      <w:rPr>
        <w:rFonts w:ascii="Symbol" w:hAnsi="Symbol"/>
      </w:rPr>
    </w:lvl>
    <w:lvl w:ilvl="6" w:tplc="6AB4DAA2">
      <w:start w:val="1"/>
      <w:numFmt w:val="bullet"/>
      <w:lvlText w:val=""/>
      <w:lvlJc w:val="left"/>
      <w:pPr>
        <w:ind w:left="1440" w:hanging="360"/>
      </w:pPr>
      <w:rPr>
        <w:rFonts w:ascii="Symbol" w:hAnsi="Symbol"/>
      </w:rPr>
    </w:lvl>
    <w:lvl w:ilvl="7" w:tplc="FEA6BAAA">
      <w:start w:val="1"/>
      <w:numFmt w:val="bullet"/>
      <w:lvlText w:val=""/>
      <w:lvlJc w:val="left"/>
      <w:pPr>
        <w:ind w:left="1440" w:hanging="360"/>
      </w:pPr>
      <w:rPr>
        <w:rFonts w:ascii="Symbol" w:hAnsi="Symbol"/>
      </w:rPr>
    </w:lvl>
    <w:lvl w:ilvl="8" w:tplc="7A9C4510">
      <w:start w:val="1"/>
      <w:numFmt w:val="bullet"/>
      <w:lvlText w:val=""/>
      <w:lvlJc w:val="left"/>
      <w:pPr>
        <w:ind w:left="1440" w:hanging="360"/>
      </w:pPr>
      <w:rPr>
        <w:rFonts w:ascii="Symbol" w:hAnsi="Symbol"/>
      </w:rPr>
    </w:lvl>
  </w:abstractNum>
  <w:abstractNum w:abstractNumId="49" w15:restartNumberingAfterBreak="0">
    <w:nsid w:val="64820F3B"/>
    <w:multiLevelType w:val="multilevel"/>
    <w:tmpl w:val="032A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66B5C6B"/>
    <w:multiLevelType w:val="hybridMultilevel"/>
    <w:tmpl w:val="6D641952"/>
    <w:lvl w:ilvl="0" w:tplc="BBB6E35E">
      <w:start w:val="1"/>
      <w:numFmt w:val="bullet"/>
      <w:lvlText w:val=""/>
      <w:lvlJc w:val="left"/>
      <w:pPr>
        <w:ind w:left="720" w:hanging="360"/>
      </w:pPr>
      <w:rPr>
        <w:rFonts w:ascii="Symbol" w:hAnsi="Symbol"/>
      </w:rPr>
    </w:lvl>
    <w:lvl w:ilvl="1" w:tplc="14E613BA">
      <w:start w:val="1"/>
      <w:numFmt w:val="bullet"/>
      <w:lvlText w:val=""/>
      <w:lvlJc w:val="left"/>
      <w:pPr>
        <w:ind w:left="720" w:hanging="360"/>
      </w:pPr>
      <w:rPr>
        <w:rFonts w:ascii="Symbol" w:hAnsi="Symbol"/>
      </w:rPr>
    </w:lvl>
    <w:lvl w:ilvl="2" w:tplc="3D72A1C8">
      <w:start w:val="1"/>
      <w:numFmt w:val="bullet"/>
      <w:lvlText w:val=""/>
      <w:lvlJc w:val="left"/>
      <w:pPr>
        <w:ind w:left="720" w:hanging="360"/>
      </w:pPr>
      <w:rPr>
        <w:rFonts w:ascii="Symbol" w:hAnsi="Symbol"/>
      </w:rPr>
    </w:lvl>
    <w:lvl w:ilvl="3" w:tplc="1E3EA968">
      <w:start w:val="1"/>
      <w:numFmt w:val="bullet"/>
      <w:lvlText w:val=""/>
      <w:lvlJc w:val="left"/>
      <w:pPr>
        <w:ind w:left="720" w:hanging="360"/>
      </w:pPr>
      <w:rPr>
        <w:rFonts w:ascii="Symbol" w:hAnsi="Symbol"/>
      </w:rPr>
    </w:lvl>
    <w:lvl w:ilvl="4" w:tplc="90CAFD24">
      <w:start w:val="1"/>
      <w:numFmt w:val="bullet"/>
      <w:lvlText w:val=""/>
      <w:lvlJc w:val="left"/>
      <w:pPr>
        <w:ind w:left="720" w:hanging="360"/>
      </w:pPr>
      <w:rPr>
        <w:rFonts w:ascii="Symbol" w:hAnsi="Symbol"/>
      </w:rPr>
    </w:lvl>
    <w:lvl w:ilvl="5" w:tplc="0E705430">
      <w:start w:val="1"/>
      <w:numFmt w:val="bullet"/>
      <w:lvlText w:val=""/>
      <w:lvlJc w:val="left"/>
      <w:pPr>
        <w:ind w:left="720" w:hanging="360"/>
      </w:pPr>
      <w:rPr>
        <w:rFonts w:ascii="Symbol" w:hAnsi="Symbol"/>
      </w:rPr>
    </w:lvl>
    <w:lvl w:ilvl="6" w:tplc="1B4C95B4">
      <w:start w:val="1"/>
      <w:numFmt w:val="bullet"/>
      <w:lvlText w:val=""/>
      <w:lvlJc w:val="left"/>
      <w:pPr>
        <w:ind w:left="720" w:hanging="360"/>
      </w:pPr>
      <w:rPr>
        <w:rFonts w:ascii="Symbol" w:hAnsi="Symbol"/>
      </w:rPr>
    </w:lvl>
    <w:lvl w:ilvl="7" w:tplc="8772860C">
      <w:start w:val="1"/>
      <w:numFmt w:val="bullet"/>
      <w:lvlText w:val=""/>
      <w:lvlJc w:val="left"/>
      <w:pPr>
        <w:ind w:left="720" w:hanging="360"/>
      </w:pPr>
      <w:rPr>
        <w:rFonts w:ascii="Symbol" w:hAnsi="Symbol"/>
      </w:rPr>
    </w:lvl>
    <w:lvl w:ilvl="8" w:tplc="EB56DE96">
      <w:start w:val="1"/>
      <w:numFmt w:val="bullet"/>
      <w:lvlText w:val=""/>
      <w:lvlJc w:val="left"/>
      <w:pPr>
        <w:ind w:left="720" w:hanging="360"/>
      </w:pPr>
      <w:rPr>
        <w:rFonts w:ascii="Symbol" w:hAnsi="Symbol"/>
      </w:rPr>
    </w:lvl>
  </w:abstractNum>
  <w:abstractNum w:abstractNumId="51" w15:restartNumberingAfterBreak="0">
    <w:nsid w:val="66ED4C83"/>
    <w:multiLevelType w:val="multilevel"/>
    <w:tmpl w:val="032A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839298A"/>
    <w:multiLevelType w:val="multilevel"/>
    <w:tmpl w:val="B3AC47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B6C53BE"/>
    <w:multiLevelType w:val="multilevel"/>
    <w:tmpl w:val="032A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E230169"/>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6F653A52"/>
    <w:multiLevelType w:val="hybridMultilevel"/>
    <w:tmpl w:val="182CA628"/>
    <w:lvl w:ilvl="0" w:tplc="DA2C5A06">
      <w:numFmt w:val="bullet"/>
      <w:lvlText w:val="-"/>
      <w:lvlJc w:val="left"/>
      <w:pPr>
        <w:ind w:left="360" w:hanging="360"/>
      </w:pPr>
      <w:rPr>
        <w:rFonts w:ascii="Times New Roman" w:eastAsia="Times New Roman" w:hAnsi="Times New Roman" w:cs="Times New Roman"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6" w15:restartNumberingAfterBreak="0">
    <w:nsid w:val="6F752763"/>
    <w:multiLevelType w:val="multilevel"/>
    <w:tmpl w:val="853A6E9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1CC7370"/>
    <w:multiLevelType w:val="hybridMultilevel"/>
    <w:tmpl w:val="A47227C8"/>
    <w:lvl w:ilvl="0" w:tplc="B0320138">
      <w:start w:val="1"/>
      <w:numFmt w:val="bullet"/>
      <w:lvlText w:val=""/>
      <w:lvlJc w:val="left"/>
      <w:pPr>
        <w:ind w:left="1780" w:hanging="360"/>
      </w:pPr>
      <w:rPr>
        <w:rFonts w:ascii="Symbol" w:hAnsi="Symbol"/>
      </w:rPr>
    </w:lvl>
    <w:lvl w:ilvl="1" w:tplc="2FCE377E">
      <w:start w:val="1"/>
      <w:numFmt w:val="bullet"/>
      <w:lvlText w:val=""/>
      <w:lvlJc w:val="left"/>
      <w:pPr>
        <w:ind w:left="1780" w:hanging="360"/>
      </w:pPr>
      <w:rPr>
        <w:rFonts w:ascii="Symbol" w:hAnsi="Symbol"/>
      </w:rPr>
    </w:lvl>
    <w:lvl w:ilvl="2" w:tplc="2A7C1A30">
      <w:start w:val="1"/>
      <w:numFmt w:val="bullet"/>
      <w:lvlText w:val=""/>
      <w:lvlJc w:val="left"/>
      <w:pPr>
        <w:ind w:left="1780" w:hanging="360"/>
      </w:pPr>
      <w:rPr>
        <w:rFonts w:ascii="Symbol" w:hAnsi="Symbol"/>
      </w:rPr>
    </w:lvl>
    <w:lvl w:ilvl="3" w:tplc="16D8D48C">
      <w:start w:val="1"/>
      <w:numFmt w:val="bullet"/>
      <w:lvlText w:val=""/>
      <w:lvlJc w:val="left"/>
      <w:pPr>
        <w:ind w:left="1780" w:hanging="360"/>
      </w:pPr>
      <w:rPr>
        <w:rFonts w:ascii="Symbol" w:hAnsi="Symbol"/>
      </w:rPr>
    </w:lvl>
    <w:lvl w:ilvl="4" w:tplc="7C60CE46">
      <w:start w:val="1"/>
      <w:numFmt w:val="bullet"/>
      <w:lvlText w:val=""/>
      <w:lvlJc w:val="left"/>
      <w:pPr>
        <w:ind w:left="1780" w:hanging="360"/>
      </w:pPr>
      <w:rPr>
        <w:rFonts w:ascii="Symbol" w:hAnsi="Symbol"/>
      </w:rPr>
    </w:lvl>
    <w:lvl w:ilvl="5" w:tplc="ED1A8BBE">
      <w:start w:val="1"/>
      <w:numFmt w:val="bullet"/>
      <w:lvlText w:val=""/>
      <w:lvlJc w:val="left"/>
      <w:pPr>
        <w:ind w:left="1780" w:hanging="360"/>
      </w:pPr>
      <w:rPr>
        <w:rFonts w:ascii="Symbol" w:hAnsi="Symbol"/>
      </w:rPr>
    </w:lvl>
    <w:lvl w:ilvl="6" w:tplc="95008466">
      <w:start w:val="1"/>
      <w:numFmt w:val="bullet"/>
      <w:lvlText w:val=""/>
      <w:lvlJc w:val="left"/>
      <w:pPr>
        <w:ind w:left="1780" w:hanging="360"/>
      </w:pPr>
      <w:rPr>
        <w:rFonts w:ascii="Symbol" w:hAnsi="Symbol"/>
      </w:rPr>
    </w:lvl>
    <w:lvl w:ilvl="7" w:tplc="A7E690B2">
      <w:start w:val="1"/>
      <w:numFmt w:val="bullet"/>
      <w:lvlText w:val=""/>
      <w:lvlJc w:val="left"/>
      <w:pPr>
        <w:ind w:left="1780" w:hanging="360"/>
      </w:pPr>
      <w:rPr>
        <w:rFonts w:ascii="Symbol" w:hAnsi="Symbol"/>
      </w:rPr>
    </w:lvl>
    <w:lvl w:ilvl="8" w:tplc="7868A59C">
      <w:start w:val="1"/>
      <w:numFmt w:val="bullet"/>
      <w:lvlText w:val=""/>
      <w:lvlJc w:val="left"/>
      <w:pPr>
        <w:ind w:left="1780" w:hanging="360"/>
      </w:pPr>
      <w:rPr>
        <w:rFonts w:ascii="Symbol" w:hAnsi="Symbol"/>
      </w:rPr>
    </w:lvl>
  </w:abstractNum>
  <w:abstractNum w:abstractNumId="58" w15:restartNumberingAfterBreak="0">
    <w:nsid w:val="72FA3433"/>
    <w:multiLevelType w:val="hybridMultilevel"/>
    <w:tmpl w:val="6496404C"/>
    <w:lvl w:ilvl="0" w:tplc="737CF57E">
      <w:numFmt w:val="bullet"/>
      <w:lvlText w:val="-"/>
      <w:lvlJc w:val="left"/>
      <w:pPr>
        <w:ind w:left="720" w:hanging="360"/>
      </w:pPr>
      <w:rPr>
        <w:rFonts w:ascii="Times New Roman" w:eastAsiaTheme="minorHAnsi" w:hAnsi="Times New Roman" w:cs="Times New Roman" w:hint="default"/>
        <w:u w:val="single"/>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9" w15:restartNumberingAfterBreak="0">
    <w:nsid w:val="744C5F91"/>
    <w:multiLevelType w:val="multilevel"/>
    <w:tmpl w:val="293672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46C1629"/>
    <w:multiLevelType w:val="hybridMultilevel"/>
    <w:tmpl w:val="9202EF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 w15:restartNumberingAfterBreak="0">
    <w:nsid w:val="747460AA"/>
    <w:multiLevelType w:val="multilevel"/>
    <w:tmpl w:val="8C0897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49C4A37"/>
    <w:multiLevelType w:val="hybridMultilevel"/>
    <w:tmpl w:val="DEFA961E"/>
    <w:lvl w:ilvl="0" w:tplc="8FD456CA">
      <w:start w:val="1"/>
      <w:numFmt w:val="bullet"/>
      <w:lvlText w:val=""/>
      <w:lvlJc w:val="left"/>
      <w:pPr>
        <w:ind w:left="720" w:hanging="360"/>
      </w:pPr>
      <w:rPr>
        <w:rFonts w:ascii="Symbol" w:hAnsi="Symbol"/>
      </w:rPr>
    </w:lvl>
    <w:lvl w:ilvl="1" w:tplc="04CEBB6E">
      <w:start w:val="1"/>
      <w:numFmt w:val="bullet"/>
      <w:lvlText w:val=""/>
      <w:lvlJc w:val="left"/>
      <w:pPr>
        <w:ind w:left="720" w:hanging="360"/>
      </w:pPr>
      <w:rPr>
        <w:rFonts w:ascii="Symbol" w:hAnsi="Symbol"/>
      </w:rPr>
    </w:lvl>
    <w:lvl w:ilvl="2" w:tplc="E6920A22">
      <w:start w:val="1"/>
      <w:numFmt w:val="bullet"/>
      <w:lvlText w:val=""/>
      <w:lvlJc w:val="left"/>
      <w:pPr>
        <w:ind w:left="720" w:hanging="360"/>
      </w:pPr>
      <w:rPr>
        <w:rFonts w:ascii="Symbol" w:hAnsi="Symbol"/>
      </w:rPr>
    </w:lvl>
    <w:lvl w:ilvl="3" w:tplc="2A06B4B4">
      <w:start w:val="1"/>
      <w:numFmt w:val="bullet"/>
      <w:lvlText w:val=""/>
      <w:lvlJc w:val="left"/>
      <w:pPr>
        <w:ind w:left="720" w:hanging="360"/>
      </w:pPr>
      <w:rPr>
        <w:rFonts w:ascii="Symbol" w:hAnsi="Symbol"/>
      </w:rPr>
    </w:lvl>
    <w:lvl w:ilvl="4" w:tplc="E4BE0588">
      <w:start w:val="1"/>
      <w:numFmt w:val="bullet"/>
      <w:lvlText w:val=""/>
      <w:lvlJc w:val="left"/>
      <w:pPr>
        <w:ind w:left="720" w:hanging="360"/>
      </w:pPr>
      <w:rPr>
        <w:rFonts w:ascii="Symbol" w:hAnsi="Symbol"/>
      </w:rPr>
    </w:lvl>
    <w:lvl w:ilvl="5" w:tplc="81AAF516">
      <w:start w:val="1"/>
      <w:numFmt w:val="bullet"/>
      <w:lvlText w:val=""/>
      <w:lvlJc w:val="left"/>
      <w:pPr>
        <w:ind w:left="720" w:hanging="360"/>
      </w:pPr>
      <w:rPr>
        <w:rFonts w:ascii="Symbol" w:hAnsi="Symbol"/>
      </w:rPr>
    </w:lvl>
    <w:lvl w:ilvl="6" w:tplc="D4A8D962">
      <w:start w:val="1"/>
      <w:numFmt w:val="bullet"/>
      <w:lvlText w:val=""/>
      <w:lvlJc w:val="left"/>
      <w:pPr>
        <w:ind w:left="720" w:hanging="360"/>
      </w:pPr>
      <w:rPr>
        <w:rFonts w:ascii="Symbol" w:hAnsi="Symbol"/>
      </w:rPr>
    </w:lvl>
    <w:lvl w:ilvl="7" w:tplc="2FD0C322">
      <w:start w:val="1"/>
      <w:numFmt w:val="bullet"/>
      <w:lvlText w:val=""/>
      <w:lvlJc w:val="left"/>
      <w:pPr>
        <w:ind w:left="720" w:hanging="360"/>
      </w:pPr>
      <w:rPr>
        <w:rFonts w:ascii="Symbol" w:hAnsi="Symbol"/>
      </w:rPr>
    </w:lvl>
    <w:lvl w:ilvl="8" w:tplc="6316B8B8">
      <w:start w:val="1"/>
      <w:numFmt w:val="bullet"/>
      <w:lvlText w:val=""/>
      <w:lvlJc w:val="left"/>
      <w:pPr>
        <w:ind w:left="720" w:hanging="360"/>
      </w:pPr>
      <w:rPr>
        <w:rFonts w:ascii="Symbol" w:hAnsi="Symbol"/>
      </w:rPr>
    </w:lvl>
  </w:abstractNum>
  <w:abstractNum w:abstractNumId="63" w15:restartNumberingAfterBreak="0">
    <w:nsid w:val="79243CA2"/>
    <w:multiLevelType w:val="multilevel"/>
    <w:tmpl w:val="D26E3F9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7AAC736E"/>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7C824D80"/>
    <w:multiLevelType w:val="multilevel"/>
    <w:tmpl w:val="C106A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D207868"/>
    <w:multiLevelType w:val="hybridMultilevel"/>
    <w:tmpl w:val="ECF0515E"/>
    <w:lvl w:ilvl="0" w:tplc="F05EE8B0">
      <w:start w:val="1"/>
      <w:numFmt w:val="bullet"/>
      <w:lvlText w:val=""/>
      <w:lvlJc w:val="left"/>
      <w:pPr>
        <w:ind w:left="720" w:hanging="360"/>
      </w:pPr>
      <w:rPr>
        <w:rFonts w:ascii="Symbol" w:hAnsi="Symbol"/>
      </w:rPr>
    </w:lvl>
    <w:lvl w:ilvl="1" w:tplc="532411DA">
      <w:start w:val="1"/>
      <w:numFmt w:val="bullet"/>
      <w:lvlText w:val=""/>
      <w:lvlJc w:val="left"/>
      <w:pPr>
        <w:ind w:left="720" w:hanging="360"/>
      </w:pPr>
      <w:rPr>
        <w:rFonts w:ascii="Symbol" w:hAnsi="Symbol"/>
      </w:rPr>
    </w:lvl>
    <w:lvl w:ilvl="2" w:tplc="519415D6">
      <w:start w:val="1"/>
      <w:numFmt w:val="bullet"/>
      <w:lvlText w:val=""/>
      <w:lvlJc w:val="left"/>
      <w:pPr>
        <w:ind w:left="720" w:hanging="360"/>
      </w:pPr>
      <w:rPr>
        <w:rFonts w:ascii="Symbol" w:hAnsi="Symbol"/>
      </w:rPr>
    </w:lvl>
    <w:lvl w:ilvl="3" w:tplc="2F04F1B6">
      <w:start w:val="1"/>
      <w:numFmt w:val="bullet"/>
      <w:lvlText w:val=""/>
      <w:lvlJc w:val="left"/>
      <w:pPr>
        <w:ind w:left="720" w:hanging="360"/>
      </w:pPr>
      <w:rPr>
        <w:rFonts w:ascii="Symbol" w:hAnsi="Symbol"/>
      </w:rPr>
    </w:lvl>
    <w:lvl w:ilvl="4" w:tplc="69A43C62">
      <w:start w:val="1"/>
      <w:numFmt w:val="bullet"/>
      <w:lvlText w:val=""/>
      <w:lvlJc w:val="left"/>
      <w:pPr>
        <w:ind w:left="720" w:hanging="360"/>
      </w:pPr>
      <w:rPr>
        <w:rFonts w:ascii="Symbol" w:hAnsi="Symbol"/>
      </w:rPr>
    </w:lvl>
    <w:lvl w:ilvl="5" w:tplc="C55CD730">
      <w:start w:val="1"/>
      <w:numFmt w:val="bullet"/>
      <w:lvlText w:val=""/>
      <w:lvlJc w:val="left"/>
      <w:pPr>
        <w:ind w:left="720" w:hanging="360"/>
      </w:pPr>
      <w:rPr>
        <w:rFonts w:ascii="Symbol" w:hAnsi="Symbol"/>
      </w:rPr>
    </w:lvl>
    <w:lvl w:ilvl="6" w:tplc="F8FA3D6E">
      <w:start w:val="1"/>
      <w:numFmt w:val="bullet"/>
      <w:lvlText w:val=""/>
      <w:lvlJc w:val="left"/>
      <w:pPr>
        <w:ind w:left="720" w:hanging="360"/>
      </w:pPr>
      <w:rPr>
        <w:rFonts w:ascii="Symbol" w:hAnsi="Symbol"/>
      </w:rPr>
    </w:lvl>
    <w:lvl w:ilvl="7" w:tplc="0FD60396">
      <w:start w:val="1"/>
      <w:numFmt w:val="bullet"/>
      <w:lvlText w:val=""/>
      <w:lvlJc w:val="left"/>
      <w:pPr>
        <w:ind w:left="720" w:hanging="360"/>
      </w:pPr>
      <w:rPr>
        <w:rFonts w:ascii="Symbol" w:hAnsi="Symbol"/>
      </w:rPr>
    </w:lvl>
    <w:lvl w:ilvl="8" w:tplc="E498385A">
      <w:start w:val="1"/>
      <w:numFmt w:val="bullet"/>
      <w:lvlText w:val=""/>
      <w:lvlJc w:val="left"/>
      <w:pPr>
        <w:ind w:left="720" w:hanging="360"/>
      </w:pPr>
      <w:rPr>
        <w:rFonts w:ascii="Symbol" w:hAnsi="Symbol"/>
      </w:rPr>
    </w:lvl>
  </w:abstractNum>
  <w:abstractNum w:abstractNumId="67" w15:restartNumberingAfterBreak="0">
    <w:nsid w:val="7FCB61CA"/>
    <w:multiLevelType w:val="multilevel"/>
    <w:tmpl w:val="379A7796"/>
    <w:lvl w:ilvl="0">
      <w:start w:val="1"/>
      <w:numFmt w:val="decimal"/>
      <w:lvlText w:val="%1."/>
      <w:lvlJc w:val="left"/>
      <w:pPr>
        <w:ind w:left="360" w:hanging="360"/>
      </w:pPr>
    </w:lvl>
    <w:lvl w:ilvl="1">
      <w:start w:val="1"/>
      <w:numFmt w:val="decimal"/>
      <w:pStyle w:val="Heading2"/>
      <w:lvlText w:val="%1.%2."/>
      <w:lvlJc w:val="left"/>
      <w:pPr>
        <w:ind w:left="1566"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7"/>
  </w:num>
  <w:num w:numId="2">
    <w:abstractNumId w:val="57"/>
  </w:num>
  <w:num w:numId="3">
    <w:abstractNumId w:val="11"/>
  </w:num>
  <w:num w:numId="4">
    <w:abstractNumId w:val="36"/>
  </w:num>
  <w:num w:numId="5">
    <w:abstractNumId w:val="19"/>
  </w:num>
  <w:num w:numId="6">
    <w:abstractNumId w:val="25"/>
  </w:num>
  <w:num w:numId="7">
    <w:abstractNumId w:val="44"/>
  </w:num>
  <w:num w:numId="8">
    <w:abstractNumId w:val="48"/>
  </w:num>
  <w:num w:numId="9">
    <w:abstractNumId w:val="30"/>
  </w:num>
  <w:num w:numId="10">
    <w:abstractNumId w:val="27"/>
  </w:num>
  <w:num w:numId="11">
    <w:abstractNumId w:val="20"/>
  </w:num>
  <w:num w:numId="12">
    <w:abstractNumId w:val="42"/>
  </w:num>
  <w:num w:numId="13">
    <w:abstractNumId w:val="52"/>
  </w:num>
  <w:num w:numId="14">
    <w:abstractNumId w:val="56"/>
  </w:num>
  <w:num w:numId="15">
    <w:abstractNumId w:val="8"/>
  </w:num>
  <w:num w:numId="16">
    <w:abstractNumId w:val="7"/>
  </w:num>
  <w:num w:numId="17">
    <w:abstractNumId w:val="0"/>
  </w:num>
  <w:num w:numId="18">
    <w:abstractNumId w:val="3"/>
  </w:num>
  <w:num w:numId="19">
    <w:abstractNumId w:val="49"/>
  </w:num>
  <w:num w:numId="20">
    <w:abstractNumId w:val="14"/>
  </w:num>
  <w:num w:numId="21">
    <w:abstractNumId w:val="35"/>
  </w:num>
  <w:num w:numId="22">
    <w:abstractNumId w:val="59"/>
  </w:num>
  <w:num w:numId="23">
    <w:abstractNumId w:val="24"/>
  </w:num>
  <w:num w:numId="24">
    <w:abstractNumId w:val="22"/>
  </w:num>
  <w:num w:numId="25">
    <w:abstractNumId w:val="17"/>
  </w:num>
  <w:num w:numId="26">
    <w:abstractNumId w:val="65"/>
  </w:num>
  <w:num w:numId="27">
    <w:abstractNumId w:val="45"/>
  </w:num>
  <w:num w:numId="28">
    <w:abstractNumId w:val="41"/>
  </w:num>
  <w:num w:numId="29">
    <w:abstractNumId w:val="31"/>
  </w:num>
  <w:num w:numId="30">
    <w:abstractNumId w:val="53"/>
  </w:num>
  <w:num w:numId="31">
    <w:abstractNumId w:val="26"/>
  </w:num>
  <w:num w:numId="32">
    <w:abstractNumId w:val="51"/>
  </w:num>
  <w:num w:numId="33">
    <w:abstractNumId w:val="29"/>
  </w:num>
  <w:num w:numId="34">
    <w:abstractNumId w:val="61"/>
  </w:num>
  <w:num w:numId="35">
    <w:abstractNumId w:val="6"/>
  </w:num>
  <w:num w:numId="36">
    <w:abstractNumId w:val="64"/>
  </w:num>
  <w:num w:numId="37">
    <w:abstractNumId w:val="32"/>
  </w:num>
  <w:num w:numId="38">
    <w:abstractNumId w:val="38"/>
  </w:num>
  <w:num w:numId="39">
    <w:abstractNumId w:val="54"/>
  </w:num>
  <w:num w:numId="40">
    <w:abstractNumId w:val="1"/>
  </w:num>
  <w:num w:numId="41">
    <w:abstractNumId w:val="34"/>
  </w:num>
  <w:num w:numId="42">
    <w:abstractNumId w:val="47"/>
  </w:num>
  <w:num w:numId="43">
    <w:abstractNumId w:val="13"/>
  </w:num>
  <w:num w:numId="44">
    <w:abstractNumId w:val="33"/>
  </w:num>
  <w:num w:numId="45">
    <w:abstractNumId w:val="5"/>
  </w:num>
  <w:num w:numId="46">
    <w:abstractNumId w:val="28"/>
  </w:num>
  <w:num w:numId="47">
    <w:abstractNumId w:val="43"/>
  </w:num>
  <w:num w:numId="48">
    <w:abstractNumId w:val="40"/>
  </w:num>
  <w:num w:numId="49">
    <w:abstractNumId w:val="60"/>
  </w:num>
  <w:num w:numId="50">
    <w:abstractNumId w:val="2"/>
  </w:num>
  <w:num w:numId="51">
    <w:abstractNumId w:val="9"/>
  </w:num>
  <w:num w:numId="52">
    <w:abstractNumId w:val="37"/>
  </w:num>
  <w:num w:numId="53">
    <w:abstractNumId w:val="63"/>
  </w:num>
  <w:num w:numId="54">
    <w:abstractNumId w:val="12"/>
  </w:num>
  <w:num w:numId="55">
    <w:abstractNumId w:val="21"/>
  </w:num>
  <w:num w:numId="56">
    <w:abstractNumId w:val="15"/>
  </w:num>
  <w:num w:numId="57">
    <w:abstractNumId w:val="58"/>
  </w:num>
  <w:num w:numId="58">
    <w:abstractNumId w:val="46"/>
  </w:num>
  <w:num w:numId="59">
    <w:abstractNumId w:val="10"/>
  </w:num>
  <w:num w:numId="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6"/>
  </w:num>
  <w:num w:numId="62">
    <w:abstractNumId w:val="62"/>
  </w:num>
  <w:num w:numId="63">
    <w:abstractNumId w:val="23"/>
  </w:num>
  <w:num w:numId="64">
    <w:abstractNumId w:val="4"/>
  </w:num>
  <w:num w:numId="65">
    <w:abstractNumId w:val="55"/>
  </w:num>
  <w:num w:numId="66">
    <w:abstractNumId w:val="18"/>
  </w:num>
  <w:num w:numId="67">
    <w:abstractNumId w:val="16"/>
  </w:num>
  <w:num w:numId="68">
    <w:abstractNumId w:val="16"/>
  </w:num>
  <w:num w:numId="69">
    <w:abstractNumId w:val="50"/>
  </w:num>
  <w:num w:numId="70">
    <w:abstractNumId w:val="3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hideSpellingErrors/>
  <w:hideGrammaticalErrors/>
  <w:revisionView w:markup="0"/>
  <w:documentProtection w:edit="readOnly" w:enforcement="0"/>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Green"/>
    <w:docVar w:name="LW_CORRIGENDUM" w:val="&lt;UNUSED&gt;"/>
    <w:docVar w:name="LW_COVERPAGE_EXISTS" w:val="True"/>
    <w:docVar w:name="LW_COVERPAGE_GUID" w:val="E69B28FD-F5CB-45A8-B2D5-6618349B6A74"/>
    <w:docVar w:name="LW_COVERPAGE_TYPE" w:val="1"/>
    <w:docVar w:name="LW_CROSSREFERENCE" w:val="&lt;UNUSED&gt;"/>
    <w:docVar w:name="LW_DocType" w:val="NORMAL"/>
    <w:docVar w:name="LW_EMISSION" w:val="12.3.2024"/>
    <w:docVar w:name="LW_EMISSION_ISODATE" w:val="2024-03-12"/>
    <w:docVar w:name="LW_EMISSION_LOCATION" w:val="STR"/>
    <w:docVar w:name="LW_EMISSION_PREFIX" w:val="Strasburgo, "/>
    <w:docVar w:name="LW_EMISSION_SUFFIX" w:val=" "/>
    <w:docVar w:name="LW_ID_DOCTYPE_NONLW" w:val="CP-014"/>
    <w:docVar w:name="LW_LANGUE" w:val="IT"/>
    <w:docVar w:name="LW_LEVEL_OF_SENSITIVITY" w:val="Standard treatment"/>
    <w:docVar w:name="LW_NOM.INST" w:val="COMMISSIONE EUROPEA"/>
    <w:docVar w:name="LW_NOM.INST_JOINTDOC" w:val="&lt;EMPTY&gt;"/>
    <w:docVar w:name="LW_PART_NBR" w:val="1"/>
    <w:docVar w:name="LW_PART_NBR_TOTAL" w:val="1"/>
    <w:docVar w:name="LW_REF.INST.NEW" w:val="COM"/>
    <w:docVar w:name="LW_REF.INST.NEW_ADOPTED" w:val="final"/>
    <w:docVar w:name="LW_REF.INST.NEW_TEXT" w:val="(2024) 9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Gestire i rischi climatici: proteggere le persone e la prosperità"/>
    <w:docVar w:name="LW_TYPE.DOC.CP" w:val="COMUNICAZIONE DELLA COMMISSIONE AL PARLAMENTO EUROPEO, AL CONSIGLIO, AL COMITATO ECONOMICO E SOCIALE EUROPEO E AL COMITATO DELLE REGIONI"/>
    <w:docVar w:name="LW_TYPE.DOC.CP.USERTEXT" w:val="&lt;EMPTY&gt;"/>
    <w:docVar w:name="LwApiVersions" w:val="LW4CoDe 1.24.5.0; LW 9.0, Build 20240221"/>
  </w:docVars>
  <w:rsids>
    <w:rsidRoot w:val="0053389F"/>
    <w:rsid w:val="00000066"/>
    <w:rsid w:val="00000455"/>
    <w:rsid w:val="000005EC"/>
    <w:rsid w:val="000008B7"/>
    <w:rsid w:val="0000095D"/>
    <w:rsid w:val="0000096D"/>
    <w:rsid w:val="000009B7"/>
    <w:rsid w:val="00000A80"/>
    <w:rsid w:val="0000104D"/>
    <w:rsid w:val="000012FA"/>
    <w:rsid w:val="000013CC"/>
    <w:rsid w:val="0000165B"/>
    <w:rsid w:val="0000173F"/>
    <w:rsid w:val="00001819"/>
    <w:rsid w:val="0000187B"/>
    <w:rsid w:val="00001CE7"/>
    <w:rsid w:val="00001CF8"/>
    <w:rsid w:val="00001DEC"/>
    <w:rsid w:val="00001E5A"/>
    <w:rsid w:val="00001EB2"/>
    <w:rsid w:val="00001ED4"/>
    <w:rsid w:val="000022DA"/>
    <w:rsid w:val="00002309"/>
    <w:rsid w:val="000023F2"/>
    <w:rsid w:val="000024B5"/>
    <w:rsid w:val="0000254B"/>
    <w:rsid w:val="0000259A"/>
    <w:rsid w:val="00002703"/>
    <w:rsid w:val="00002735"/>
    <w:rsid w:val="00002B07"/>
    <w:rsid w:val="00002B52"/>
    <w:rsid w:val="00002B56"/>
    <w:rsid w:val="00002C91"/>
    <w:rsid w:val="00002F4F"/>
    <w:rsid w:val="0000334C"/>
    <w:rsid w:val="0000341B"/>
    <w:rsid w:val="00003592"/>
    <w:rsid w:val="0000375A"/>
    <w:rsid w:val="000037DF"/>
    <w:rsid w:val="000038FC"/>
    <w:rsid w:val="00003B97"/>
    <w:rsid w:val="00003C18"/>
    <w:rsid w:val="00003C5B"/>
    <w:rsid w:val="00003CA6"/>
    <w:rsid w:val="00003CD2"/>
    <w:rsid w:val="000040FA"/>
    <w:rsid w:val="00004170"/>
    <w:rsid w:val="000041CA"/>
    <w:rsid w:val="0000428B"/>
    <w:rsid w:val="000042E8"/>
    <w:rsid w:val="00004536"/>
    <w:rsid w:val="00004609"/>
    <w:rsid w:val="00004616"/>
    <w:rsid w:val="00004847"/>
    <w:rsid w:val="00004879"/>
    <w:rsid w:val="00004C19"/>
    <w:rsid w:val="00004FEE"/>
    <w:rsid w:val="0000549D"/>
    <w:rsid w:val="0000554F"/>
    <w:rsid w:val="00005789"/>
    <w:rsid w:val="00005898"/>
    <w:rsid w:val="0000599C"/>
    <w:rsid w:val="00005A2F"/>
    <w:rsid w:val="00005B11"/>
    <w:rsid w:val="00005C39"/>
    <w:rsid w:val="0000602C"/>
    <w:rsid w:val="00006080"/>
    <w:rsid w:val="000060E5"/>
    <w:rsid w:val="00006220"/>
    <w:rsid w:val="0000627B"/>
    <w:rsid w:val="00006337"/>
    <w:rsid w:val="00006463"/>
    <w:rsid w:val="000065AC"/>
    <w:rsid w:val="00006716"/>
    <w:rsid w:val="000067F3"/>
    <w:rsid w:val="0000693C"/>
    <w:rsid w:val="00006D40"/>
    <w:rsid w:val="00007186"/>
    <w:rsid w:val="000072C8"/>
    <w:rsid w:val="00007397"/>
    <w:rsid w:val="000073BB"/>
    <w:rsid w:val="00007528"/>
    <w:rsid w:val="00007718"/>
    <w:rsid w:val="0000772E"/>
    <w:rsid w:val="0000789E"/>
    <w:rsid w:val="000079A8"/>
    <w:rsid w:val="000079AD"/>
    <w:rsid w:val="00007B54"/>
    <w:rsid w:val="00007ED2"/>
    <w:rsid w:val="0001017B"/>
    <w:rsid w:val="00010493"/>
    <w:rsid w:val="0001053E"/>
    <w:rsid w:val="000105AA"/>
    <w:rsid w:val="000105E0"/>
    <w:rsid w:val="0001084E"/>
    <w:rsid w:val="00010BCC"/>
    <w:rsid w:val="00010C38"/>
    <w:rsid w:val="00010E22"/>
    <w:rsid w:val="00010E7B"/>
    <w:rsid w:val="000113BA"/>
    <w:rsid w:val="000113BB"/>
    <w:rsid w:val="000114CF"/>
    <w:rsid w:val="000114DC"/>
    <w:rsid w:val="0001159C"/>
    <w:rsid w:val="000115A7"/>
    <w:rsid w:val="000116A0"/>
    <w:rsid w:val="000117B9"/>
    <w:rsid w:val="00011813"/>
    <w:rsid w:val="00011973"/>
    <w:rsid w:val="00011A71"/>
    <w:rsid w:val="00011DEF"/>
    <w:rsid w:val="00011E39"/>
    <w:rsid w:val="00011F2B"/>
    <w:rsid w:val="00011F99"/>
    <w:rsid w:val="0001222E"/>
    <w:rsid w:val="000123D9"/>
    <w:rsid w:val="00012500"/>
    <w:rsid w:val="000125DD"/>
    <w:rsid w:val="000125F6"/>
    <w:rsid w:val="000128EE"/>
    <w:rsid w:val="00012988"/>
    <w:rsid w:val="000129C9"/>
    <w:rsid w:val="00012AE4"/>
    <w:rsid w:val="00012B0B"/>
    <w:rsid w:val="00012B72"/>
    <w:rsid w:val="00012C81"/>
    <w:rsid w:val="00012D47"/>
    <w:rsid w:val="00012D93"/>
    <w:rsid w:val="00012DC6"/>
    <w:rsid w:val="00012F68"/>
    <w:rsid w:val="00012FAC"/>
    <w:rsid w:val="00013133"/>
    <w:rsid w:val="000135BA"/>
    <w:rsid w:val="000138A8"/>
    <w:rsid w:val="00013A3F"/>
    <w:rsid w:val="00013C11"/>
    <w:rsid w:val="00013DDB"/>
    <w:rsid w:val="00013E15"/>
    <w:rsid w:val="00013EAF"/>
    <w:rsid w:val="0001450F"/>
    <w:rsid w:val="000145B6"/>
    <w:rsid w:val="00014617"/>
    <w:rsid w:val="000147C5"/>
    <w:rsid w:val="00014841"/>
    <w:rsid w:val="000149EE"/>
    <w:rsid w:val="00014A4F"/>
    <w:rsid w:val="00014BAC"/>
    <w:rsid w:val="00014D4A"/>
    <w:rsid w:val="000152F0"/>
    <w:rsid w:val="0001579C"/>
    <w:rsid w:val="0001581E"/>
    <w:rsid w:val="00015E38"/>
    <w:rsid w:val="000160C9"/>
    <w:rsid w:val="00016212"/>
    <w:rsid w:val="000162D3"/>
    <w:rsid w:val="00016421"/>
    <w:rsid w:val="000167E8"/>
    <w:rsid w:val="00016E48"/>
    <w:rsid w:val="00016F15"/>
    <w:rsid w:val="00017346"/>
    <w:rsid w:val="0001735A"/>
    <w:rsid w:val="0001735C"/>
    <w:rsid w:val="000173E5"/>
    <w:rsid w:val="0001744F"/>
    <w:rsid w:val="000175CC"/>
    <w:rsid w:val="00017C82"/>
    <w:rsid w:val="00017CFD"/>
    <w:rsid w:val="00017E7F"/>
    <w:rsid w:val="00017FA4"/>
    <w:rsid w:val="000200FC"/>
    <w:rsid w:val="0002021B"/>
    <w:rsid w:val="000202D7"/>
    <w:rsid w:val="00020367"/>
    <w:rsid w:val="00020567"/>
    <w:rsid w:val="00020588"/>
    <w:rsid w:val="0002115D"/>
    <w:rsid w:val="0002118F"/>
    <w:rsid w:val="0002122B"/>
    <w:rsid w:val="0002140F"/>
    <w:rsid w:val="00021631"/>
    <w:rsid w:val="00021663"/>
    <w:rsid w:val="000216DC"/>
    <w:rsid w:val="000217EA"/>
    <w:rsid w:val="0002198F"/>
    <w:rsid w:val="00021A06"/>
    <w:rsid w:val="00021B57"/>
    <w:rsid w:val="00021C49"/>
    <w:rsid w:val="00021D45"/>
    <w:rsid w:val="00021D66"/>
    <w:rsid w:val="00021F07"/>
    <w:rsid w:val="00021F9F"/>
    <w:rsid w:val="00022052"/>
    <w:rsid w:val="0002208D"/>
    <w:rsid w:val="00022123"/>
    <w:rsid w:val="000221BB"/>
    <w:rsid w:val="00022431"/>
    <w:rsid w:val="000225D3"/>
    <w:rsid w:val="00022633"/>
    <w:rsid w:val="0002267F"/>
    <w:rsid w:val="000227D1"/>
    <w:rsid w:val="000228C3"/>
    <w:rsid w:val="00022984"/>
    <w:rsid w:val="00022A38"/>
    <w:rsid w:val="00022B16"/>
    <w:rsid w:val="00022B3C"/>
    <w:rsid w:val="0002310F"/>
    <w:rsid w:val="00023153"/>
    <w:rsid w:val="000232F3"/>
    <w:rsid w:val="00023303"/>
    <w:rsid w:val="00023390"/>
    <w:rsid w:val="00023E46"/>
    <w:rsid w:val="00023FCC"/>
    <w:rsid w:val="00024066"/>
    <w:rsid w:val="00024110"/>
    <w:rsid w:val="0002415E"/>
    <w:rsid w:val="000244E5"/>
    <w:rsid w:val="0002475C"/>
    <w:rsid w:val="00024B92"/>
    <w:rsid w:val="00024CF2"/>
    <w:rsid w:val="00024EAA"/>
    <w:rsid w:val="00025099"/>
    <w:rsid w:val="00025166"/>
    <w:rsid w:val="00025168"/>
    <w:rsid w:val="0002528A"/>
    <w:rsid w:val="0002561B"/>
    <w:rsid w:val="000257F3"/>
    <w:rsid w:val="00025931"/>
    <w:rsid w:val="00025A33"/>
    <w:rsid w:val="00025B39"/>
    <w:rsid w:val="00025CF8"/>
    <w:rsid w:val="00025D3A"/>
    <w:rsid w:val="00025E3C"/>
    <w:rsid w:val="00025F0D"/>
    <w:rsid w:val="000260B7"/>
    <w:rsid w:val="0002618D"/>
    <w:rsid w:val="000262C8"/>
    <w:rsid w:val="0002638C"/>
    <w:rsid w:val="0002650A"/>
    <w:rsid w:val="0002651F"/>
    <w:rsid w:val="00026691"/>
    <w:rsid w:val="0002686A"/>
    <w:rsid w:val="0002690E"/>
    <w:rsid w:val="00026A9B"/>
    <w:rsid w:val="00026AC3"/>
    <w:rsid w:val="00026AFC"/>
    <w:rsid w:val="00026AFF"/>
    <w:rsid w:val="00026F51"/>
    <w:rsid w:val="0002702D"/>
    <w:rsid w:val="000275BC"/>
    <w:rsid w:val="00027601"/>
    <w:rsid w:val="00027655"/>
    <w:rsid w:val="0002775F"/>
    <w:rsid w:val="000278E0"/>
    <w:rsid w:val="00027ACE"/>
    <w:rsid w:val="00027C6C"/>
    <w:rsid w:val="00027CD1"/>
    <w:rsid w:val="00027DF7"/>
    <w:rsid w:val="000303B2"/>
    <w:rsid w:val="00030482"/>
    <w:rsid w:val="000305F7"/>
    <w:rsid w:val="0003067E"/>
    <w:rsid w:val="00030800"/>
    <w:rsid w:val="0003082B"/>
    <w:rsid w:val="00030B2B"/>
    <w:rsid w:val="00030BAF"/>
    <w:rsid w:val="00030BE6"/>
    <w:rsid w:val="00030C95"/>
    <w:rsid w:val="00030DAB"/>
    <w:rsid w:val="000310DB"/>
    <w:rsid w:val="00031269"/>
    <w:rsid w:val="00031389"/>
    <w:rsid w:val="00031420"/>
    <w:rsid w:val="00031709"/>
    <w:rsid w:val="00031C4E"/>
    <w:rsid w:val="00031C99"/>
    <w:rsid w:val="00031CCC"/>
    <w:rsid w:val="00031D7F"/>
    <w:rsid w:val="00031D9F"/>
    <w:rsid w:val="0003202F"/>
    <w:rsid w:val="00032096"/>
    <w:rsid w:val="00032669"/>
    <w:rsid w:val="0003276F"/>
    <w:rsid w:val="00032ADC"/>
    <w:rsid w:val="00032C02"/>
    <w:rsid w:val="00032C0D"/>
    <w:rsid w:val="00032C65"/>
    <w:rsid w:val="00032D11"/>
    <w:rsid w:val="00032DB0"/>
    <w:rsid w:val="00032FEE"/>
    <w:rsid w:val="00033756"/>
    <w:rsid w:val="000338F4"/>
    <w:rsid w:val="00033AA4"/>
    <w:rsid w:val="00033CE6"/>
    <w:rsid w:val="00033EA4"/>
    <w:rsid w:val="00033F82"/>
    <w:rsid w:val="00034010"/>
    <w:rsid w:val="000343DF"/>
    <w:rsid w:val="0003457C"/>
    <w:rsid w:val="000346A4"/>
    <w:rsid w:val="0003471B"/>
    <w:rsid w:val="00034853"/>
    <w:rsid w:val="000348B8"/>
    <w:rsid w:val="00034B07"/>
    <w:rsid w:val="00034BD7"/>
    <w:rsid w:val="00034C63"/>
    <w:rsid w:val="00034DD5"/>
    <w:rsid w:val="00034EEC"/>
    <w:rsid w:val="0003504E"/>
    <w:rsid w:val="00035246"/>
    <w:rsid w:val="000352EE"/>
    <w:rsid w:val="000353A7"/>
    <w:rsid w:val="000353E2"/>
    <w:rsid w:val="000355A9"/>
    <w:rsid w:val="00035991"/>
    <w:rsid w:val="00035A49"/>
    <w:rsid w:val="00035BD4"/>
    <w:rsid w:val="00035E05"/>
    <w:rsid w:val="00035E26"/>
    <w:rsid w:val="00035FB6"/>
    <w:rsid w:val="00036035"/>
    <w:rsid w:val="00036181"/>
    <w:rsid w:val="00036C47"/>
    <w:rsid w:val="00036DB2"/>
    <w:rsid w:val="000374E1"/>
    <w:rsid w:val="00037838"/>
    <w:rsid w:val="00037A30"/>
    <w:rsid w:val="00037CD5"/>
    <w:rsid w:val="00037D92"/>
    <w:rsid w:val="00037F7C"/>
    <w:rsid w:val="00037FFE"/>
    <w:rsid w:val="00040039"/>
    <w:rsid w:val="00040260"/>
    <w:rsid w:val="00040539"/>
    <w:rsid w:val="00040652"/>
    <w:rsid w:val="00040BB4"/>
    <w:rsid w:val="00040C6C"/>
    <w:rsid w:val="00040CC6"/>
    <w:rsid w:val="00040E8A"/>
    <w:rsid w:val="00040F07"/>
    <w:rsid w:val="0004109A"/>
    <w:rsid w:val="00041112"/>
    <w:rsid w:val="0004138A"/>
    <w:rsid w:val="000419BB"/>
    <w:rsid w:val="00041A9E"/>
    <w:rsid w:val="00041BEF"/>
    <w:rsid w:val="00041F41"/>
    <w:rsid w:val="000424C2"/>
    <w:rsid w:val="00042935"/>
    <w:rsid w:val="00042936"/>
    <w:rsid w:val="000429AB"/>
    <w:rsid w:val="00042B57"/>
    <w:rsid w:val="00042B60"/>
    <w:rsid w:val="00042CF3"/>
    <w:rsid w:val="00042E44"/>
    <w:rsid w:val="00042FB7"/>
    <w:rsid w:val="00043029"/>
    <w:rsid w:val="000430C3"/>
    <w:rsid w:val="0004357B"/>
    <w:rsid w:val="000435FD"/>
    <w:rsid w:val="000438EF"/>
    <w:rsid w:val="00043BDF"/>
    <w:rsid w:val="00043CAF"/>
    <w:rsid w:val="00043CC4"/>
    <w:rsid w:val="00043CD0"/>
    <w:rsid w:val="000442D2"/>
    <w:rsid w:val="000444E6"/>
    <w:rsid w:val="0004458B"/>
    <w:rsid w:val="0004477D"/>
    <w:rsid w:val="00044BFC"/>
    <w:rsid w:val="00044CB7"/>
    <w:rsid w:val="00044DC7"/>
    <w:rsid w:val="00044FAB"/>
    <w:rsid w:val="000450BC"/>
    <w:rsid w:val="000452AD"/>
    <w:rsid w:val="00045390"/>
    <w:rsid w:val="0004542D"/>
    <w:rsid w:val="00045478"/>
    <w:rsid w:val="0004549D"/>
    <w:rsid w:val="0004571B"/>
    <w:rsid w:val="0004577A"/>
    <w:rsid w:val="0004584B"/>
    <w:rsid w:val="00045BF1"/>
    <w:rsid w:val="00045D79"/>
    <w:rsid w:val="00045DCE"/>
    <w:rsid w:val="00046670"/>
    <w:rsid w:val="000466C3"/>
    <w:rsid w:val="00046843"/>
    <w:rsid w:val="0004693C"/>
    <w:rsid w:val="000469F4"/>
    <w:rsid w:val="00046B05"/>
    <w:rsid w:val="00046B2C"/>
    <w:rsid w:val="00046BE9"/>
    <w:rsid w:val="00046C2F"/>
    <w:rsid w:val="00046D6D"/>
    <w:rsid w:val="000473DB"/>
    <w:rsid w:val="00047541"/>
    <w:rsid w:val="000475FA"/>
    <w:rsid w:val="0004762C"/>
    <w:rsid w:val="00047648"/>
    <w:rsid w:val="000476CD"/>
    <w:rsid w:val="00047AB3"/>
    <w:rsid w:val="00047BDF"/>
    <w:rsid w:val="00047C13"/>
    <w:rsid w:val="00047D30"/>
    <w:rsid w:val="00047D33"/>
    <w:rsid w:val="00047E4A"/>
    <w:rsid w:val="00047FA1"/>
    <w:rsid w:val="0005002D"/>
    <w:rsid w:val="00050093"/>
    <w:rsid w:val="000502CB"/>
    <w:rsid w:val="00050376"/>
    <w:rsid w:val="0005053E"/>
    <w:rsid w:val="00050631"/>
    <w:rsid w:val="00050845"/>
    <w:rsid w:val="000508EB"/>
    <w:rsid w:val="00050DE4"/>
    <w:rsid w:val="00050EF6"/>
    <w:rsid w:val="00050FFE"/>
    <w:rsid w:val="0005109D"/>
    <w:rsid w:val="000511D9"/>
    <w:rsid w:val="0005122F"/>
    <w:rsid w:val="00051310"/>
    <w:rsid w:val="000514D3"/>
    <w:rsid w:val="0005158B"/>
    <w:rsid w:val="0005159B"/>
    <w:rsid w:val="000515F4"/>
    <w:rsid w:val="000516FA"/>
    <w:rsid w:val="0005172F"/>
    <w:rsid w:val="000517D0"/>
    <w:rsid w:val="000518D6"/>
    <w:rsid w:val="00051A8B"/>
    <w:rsid w:val="00051B1D"/>
    <w:rsid w:val="00051BBD"/>
    <w:rsid w:val="00051D06"/>
    <w:rsid w:val="00051E81"/>
    <w:rsid w:val="00051F02"/>
    <w:rsid w:val="00051FAE"/>
    <w:rsid w:val="00052051"/>
    <w:rsid w:val="000520C7"/>
    <w:rsid w:val="000525E7"/>
    <w:rsid w:val="000525FD"/>
    <w:rsid w:val="00052813"/>
    <w:rsid w:val="00052C60"/>
    <w:rsid w:val="00052F72"/>
    <w:rsid w:val="00053099"/>
    <w:rsid w:val="000533AE"/>
    <w:rsid w:val="000536C9"/>
    <w:rsid w:val="000536CB"/>
    <w:rsid w:val="00053B22"/>
    <w:rsid w:val="00053D11"/>
    <w:rsid w:val="00053D1A"/>
    <w:rsid w:val="00053DCE"/>
    <w:rsid w:val="00053F02"/>
    <w:rsid w:val="000543CF"/>
    <w:rsid w:val="0005442D"/>
    <w:rsid w:val="00054447"/>
    <w:rsid w:val="000545E2"/>
    <w:rsid w:val="00054732"/>
    <w:rsid w:val="00054736"/>
    <w:rsid w:val="000548B4"/>
    <w:rsid w:val="00054991"/>
    <w:rsid w:val="000549ED"/>
    <w:rsid w:val="000549F5"/>
    <w:rsid w:val="00054A9D"/>
    <w:rsid w:val="00054B9F"/>
    <w:rsid w:val="00054BEB"/>
    <w:rsid w:val="00054CD7"/>
    <w:rsid w:val="00054D16"/>
    <w:rsid w:val="00054D2F"/>
    <w:rsid w:val="00054E6B"/>
    <w:rsid w:val="00055119"/>
    <w:rsid w:val="00055256"/>
    <w:rsid w:val="00055298"/>
    <w:rsid w:val="000554A6"/>
    <w:rsid w:val="00055559"/>
    <w:rsid w:val="000555DA"/>
    <w:rsid w:val="000555ED"/>
    <w:rsid w:val="000556FA"/>
    <w:rsid w:val="0005583B"/>
    <w:rsid w:val="00055AB6"/>
    <w:rsid w:val="00055B1D"/>
    <w:rsid w:val="0005600B"/>
    <w:rsid w:val="00056835"/>
    <w:rsid w:val="000569C8"/>
    <w:rsid w:val="00056AE1"/>
    <w:rsid w:val="00056C5A"/>
    <w:rsid w:val="00057080"/>
    <w:rsid w:val="000570DF"/>
    <w:rsid w:val="000573EB"/>
    <w:rsid w:val="000574E2"/>
    <w:rsid w:val="00057594"/>
    <w:rsid w:val="0005761E"/>
    <w:rsid w:val="0005763C"/>
    <w:rsid w:val="000576D9"/>
    <w:rsid w:val="000577B0"/>
    <w:rsid w:val="00057B5E"/>
    <w:rsid w:val="00057EED"/>
    <w:rsid w:val="0006002F"/>
    <w:rsid w:val="000604E2"/>
    <w:rsid w:val="00060759"/>
    <w:rsid w:val="00060797"/>
    <w:rsid w:val="00060C28"/>
    <w:rsid w:val="00060C8F"/>
    <w:rsid w:val="00060C94"/>
    <w:rsid w:val="00060CB9"/>
    <w:rsid w:val="00060D94"/>
    <w:rsid w:val="00060F20"/>
    <w:rsid w:val="00061176"/>
    <w:rsid w:val="000613F8"/>
    <w:rsid w:val="0006147C"/>
    <w:rsid w:val="000614E9"/>
    <w:rsid w:val="0006166F"/>
    <w:rsid w:val="000617A9"/>
    <w:rsid w:val="000619BB"/>
    <w:rsid w:val="00061D9E"/>
    <w:rsid w:val="00061DE5"/>
    <w:rsid w:val="00062016"/>
    <w:rsid w:val="0006216F"/>
    <w:rsid w:val="00062709"/>
    <w:rsid w:val="00062794"/>
    <w:rsid w:val="0006282B"/>
    <w:rsid w:val="00062C55"/>
    <w:rsid w:val="0006302B"/>
    <w:rsid w:val="00063558"/>
    <w:rsid w:val="0006367A"/>
    <w:rsid w:val="00063783"/>
    <w:rsid w:val="000638EA"/>
    <w:rsid w:val="00063A57"/>
    <w:rsid w:val="00063BA5"/>
    <w:rsid w:val="000640A1"/>
    <w:rsid w:val="000643E3"/>
    <w:rsid w:val="000646D1"/>
    <w:rsid w:val="00064A66"/>
    <w:rsid w:val="00064A97"/>
    <w:rsid w:val="00064B1D"/>
    <w:rsid w:val="00064ED3"/>
    <w:rsid w:val="00065193"/>
    <w:rsid w:val="0006538D"/>
    <w:rsid w:val="00065599"/>
    <w:rsid w:val="000655E9"/>
    <w:rsid w:val="0006563C"/>
    <w:rsid w:val="000656E9"/>
    <w:rsid w:val="00065A89"/>
    <w:rsid w:val="00065BF6"/>
    <w:rsid w:val="000660E6"/>
    <w:rsid w:val="00066224"/>
    <w:rsid w:val="00066642"/>
    <w:rsid w:val="0006665E"/>
    <w:rsid w:val="00066717"/>
    <w:rsid w:val="00066927"/>
    <w:rsid w:val="00066A31"/>
    <w:rsid w:val="00066B51"/>
    <w:rsid w:val="00066C0C"/>
    <w:rsid w:val="00066C60"/>
    <w:rsid w:val="00066F9F"/>
    <w:rsid w:val="00066FC1"/>
    <w:rsid w:val="00066FDF"/>
    <w:rsid w:val="00067351"/>
    <w:rsid w:val="00067400"/>
    <w:rsid w:val="0006744E"/>
    <w:rsid w:val="00067946"/>
    <w:rsid w:val="00067BB2"/>
    <w:rsid w:val="00067E12"/>
    <w:rsid w:val="00067F95"/>
    <w:rsid w:val="0007009E"/>
    <w:rsid w:val="00070253"/>
    <w:rsid w:val="000702AB"/>
    <w:rsid w:val="00070861"/>
    <w:rsid w:val="00070880"/>
    <w:rsid w:val="00070995"/>
    <w:rsid w:val="00070A0B"/>
    <w:rsid w:val="00070E20"/>
    <w:rsid w:val="00070FA3"/>
    <w:rsid w:val="0007115C"/>
    <w:rsid w:val="000711A2"/>
    <w:rsid w:val="00071280"/>
    <w:rsid w:val="0007135C"/>
    <w:rsid w:val="0007168A"/>
    <w:rsid w:val="00071694"/>
    <w:rsid w:val="000719CB"/>
    <w:rsid w:val="00071A95"/>
    <w:rsid w:val="00071F9A"/>
    <w:rsid w:val="00072078"/>
    <w:rsid w:val="000721A7"/>
    <w:rsid w:val="000722BE"/>
    <w:rsid w:val="000722D0"/>
    <w:rsid w:val="000723A9"/>
    <w:rsid w:val="000723CA"/>
    <w:rsid w:val="00072457"/>
    <w:rsid w:val="0007263D"/>
    <w:rsid w:val="000726DF"/>
    <w:rsid w:val="00072797"/>
    <w:rsid w:val="00072849"/>
    <w:rsid w:val="00072B55"/>
    <w:rsid w:val="00072B7A"/>
    <w:rsid w:val="00072C8A"/>
    <w:rsid w:val="0007312A"/>
    <w:rsid w:val="00073451"/>
    <w:rsid w:val="00073767"/>
    <w:rsid w:val="000737F6"/>
    <w:rsid w:val="00073A7A"/>
    <w:rsid w:val="00073B68"/>
    <w:rsid w:val="00073F90"/>
    <w:rsid w:val="0007407A"/>
    <w:rsid w:val="00074092"/>
    <w:rsid w:val="00074188"/>
    <w:rsid w:val="000741F5"/>
    <w:rsid w:val="0007426B"/>
    <w:rsid w:val="000742AE"/>
    <w:rsid w:val="00074761"/>
    <w:rsid w:val="000749CB"/>
    <w:rsid w:val="00074A1D"/>
    <w:rsid w:val="00074D23"/>
    <w:rsid w:val="00074D72"/>
    <w:rsid w:val="00074E20"/>
    <w:rsid w:val="0007551E"/>
    <w:rsid w:val="0007561A"/>
    <w:rsid w:val="000758EC"/>
    <w:rsid w:val="00075A83"/>
    <w:rsid w:val="00075E96"/>
    <w:rsid w:val="000761BB"/>
    <w:rsid w:val="00076314"/>
    <w:rsid w:val="00076B49"/>
    <w:rsid w:val="00076D06"/>
    <w:rsid w:val="000770F1"/>
    <w:rsid w:val="00077346"/>
    <w:rsid w:val="00077412"/>
    <w:rsid w:val="00077685"/>
    <w:rsid w:val="0007777E"/>
    <w:rsid w:val="000777CC"/>
    <w:rsid w:val="00077BB3"/>
    <w:rsid w:val="00077C76"/>
    <w:rsid w:val="00077E3F"/>
    <w:rsid w:val="00077F5A"/>
    <w:rsid w:val="000800DA"/>
    <w:rsid w:val="000801C7"/>
    <w:rsid w:val="000805A4"/>
    <w:rsid w:val="00080641"/>
    <w:rsid w:val="0008073B"/>
    <w:rsid w:val="00080808"/>
    <w:rsid w:val="00080914"/>
    <w:rsid w:val="0008091F"/>
    <w:rsid w:val="000809B5"/>
    <w:rsid w:val="00080A7A"/>
    <w:rsid w:val="00080B82"/>
    <w:rsid w:val="00080CAC"/>
    <w:rsid w:val="00080E84"/>
    <w:rsid w:val="00080EF0"/>
    <w:rsid w:val="00080F04"/>
    <w:rsid w:val="00080F43"/>
    <w:rsid w:val="0008101D"/>
    <w:rsid w:val="000814C2"/>
    <w:rsid w:val="000815C6"/>
    <w:rsid w:val="00081840"/>
    <w:rsid w:val="00081B92"/>
    <w:rsid w:val="00081F1B"/>
    <w:rsid w:val="00082179"/>
    <w:rsid w:val="00082217"/>
    <w:rsid w:val="00082575"/>
    <w:rsid w:val="000825C1"/>
    <w:rsid w:val="000827BB"/>
    <w:rsid w:val="00082A2F"/>
    <w:rsid w:val="00082AFF"/>
    <w:rsid w:val="00082B29"/>
    <w:rsid w:val="00082B5C"/>
    <w:rsid w:val="00082B9D"/>
    <w:rsid w:val="00082CB9"/>
    <w:rsid w:val="00082D47"/>
    <w:rsid w:val="00082DDA"/>
    <w:rsid w:val="00082ECD"/>
    <w:rsid w:val="00082FF6"/>
    <w:rsid w:val="000839D0"/>
    <w:rsid w:val="00083B5A"/>
    <w:rsid w:val="00083D02"/>
    <w:rsid w:val="00083D3E"/>
    <w:rsid w:val="00083EF3"/>
    <w:rsid w:val="00084257"/>
    <w:rsid w:val="00084438"/>
    <w:rsid w:val="00084449"/>
    <w:rsid w:val="000847A0"/>
    <w:rsid w:val="00084A8A"/>
    <w:rsid w:val="00084B54"/>
    <w:rsid w:val="00084CC1"/>
    <w:rsid w:val="00085146"/>
    <w:rsid w:val="000851DA"/>
    <w:rsid w:val="000852A7"/>
    <w:rsid w:val="000852B6"/>
    <w:rsid w:val="000853BD"/>
    <w:rsid w:val="0008548B"/>
    <w:rsid w:val="00085544"/>
    <w:rsid w:val="000855FE"/>
    <w:rsid w:val="00085FC1"/>
    <w:rsid w:val="0008602A"/>
    <w:rsid w:val="00086346"/>
    <w:rsid w:val="00086597"/>
    <w:rsid w:val="000865D0"/>
    <w:rsid w:val="00086BC5"/>
    <w:rsid w:val="00086D1D"/>
    <w:rsid w:val="00086DCC"/>
    <w:rsid w:val="00086FB7"/>
    <w:rsid w:val="00086FBE"/>
    <w:rsid w:val="0008708C"/>
    <w:rsid w:val="0008737F"/>
    <w:rsid w:val="000875B4"/>
    <w:rsid w:val="000879D1"/>
    <w:rsid w:val="00087AA8"/>
    <w:rsid w:val="00087DE1"/>
    <w:rsid w:val="00087EC2"/>
    <w:rsid w:val="00087EE5"/>
    <w:rsid w:val="00087F94"/>
    <w:rsid w:val="00087FDA"/>
    <w:rsid w:val="00090136"/>
    <w:rsid w:val="000901D2"/>
    <w:rsid w:val="00090342"/>
    <w:rsid w:val="0009053D"/>
    <w:rsid w:val="00090547"/>
    <w:rsid w:val="00090D73"/>
    <w:rsid w:val="00090F5D"/>
    <w:rsid w:val="00090F79"/>
    <w:rsid w:val="0009120A"/>
    <w:rsid w:val="000912B4"/>
    <w:rsid w:val="000915F5"/>
    <w:rsid w:val="00091680"/>
    <w:rsid w:val="0009180B"/>
    <w:rsid w:val="00091876"/>
    <w:rsid w:val="00091914"/>
    <w:rsid w:val="00091C0A"/>
    <w:rsid w:val="00091C0B"/>
    <w:rsid w:val="00091C37"/>
    <w:rsid w:val="00091E2C"/>
    <w:rsid w:val="00091EEE"/>
    <w:rsid w:val="000926CD"/>
    <w:rsid w:val="0009282D"/>
    <w:rsid w:val="00092B43"/>
    <w:rsid w:val="00092D6E"/>
    <w:rsid w:val="0009328D"/>
    <w:rsid w:val="000932D8"/>
    <w:rsid w:val="000933A6"/>
    <w:rsid w:val="0009347C"/>
    <w:rsid w:val="000934E7"/>
    <w:rsid w:val="00093B5B"/>
    <w:rsid w:val="00093C2D"/>
    <w:rsid w:val="00093E5C"/>
    <w:rsid w:val="0009420C"/>
    <w:rsid w:val="00094225"/>
    <w:rsid w:val="00094449"/>
    <w:rsid w:val="00094691"/>
    <w:rsid w:val="000947E8"/>
    <w:rsid w:val="000947EF"/>
    <w:rsid w:val="000948C1"/>
    <w:rsid w:val="000948F6"/>
    <w:rsid w:val="0009498F"/>
    <w:rsid w:val="00094B8A"/>
    <w:rsid w:val="00094C53"/>
    <w:rsid w:val="00094DE6"/>
    <w:rsid w:val="00094F07"/>
    <w:rsid w:val="00094FE0"/>
    <w:rsid w:val="0009510A"/>
    <w:rsid w:val="000951D8"/>
    <w:rsid w:val="0009534D"/>
    <w:rsid w:val="000956A3"/>
    <w:rsid w:val="000957D6"/>
    <w:rsid w:val="000958BC"/>
    <w:rsid w:val="0009590F"/>
    <w:rsid w:val="000959D2"/>
    <w:rsid w:val="00095AC9"/>
    <w:rsid w:val="00095CA3"/>
    <w:rsid w:val="00095CA8"/>
    <w:rsid w:val="00095D0A"/>
    <w:rsid w:val="00095E0B"/>
    <w:rsid w:val="00095FAD"/>
    <w:rsid w:val="00096024"/>
    <w:rsid w:val="00096031"/>
    <w:rsid w:val="0009604B"/>
    <w:rsid w:val="0009605C"/>
    <w:rsid w:val="000961C4"/>
    <w:rsid w:val="0009639C"/>
    <w:rsid w:val="000963AC"/>
    <w:rsid w:val="0009658D"/>
    <w:rsid w:val="00096EE9"/>
    <w:rsid w:val="00097057"/>
    <w:rsid w:val="000970CC"/>
    <w:rsid w:val="0009715E"/>
    <w:rsid w:val="00097182"/>
    <w:rsid w:val="000971A3"/>
    <w:rsid w:val="000972BD"/>
    <w:rsid w:val="000975E2"/>
    <w:rsid w:val="00097650"/>
    <w:rsid w:val="000976D0"/>
    <w:rsid w:val="0009799A"/>
    <w:rsid w:val="00097BA6"/>
    <w:rsid w:val="00097D24"/>
    <w:rsid w:val="000A04AA"/>
    <w:rsid w:val="000A06E5"/>
    <w:rsid w:val="000A0722"/>
    <w:rsid w:val="000A0E98"/>
    <w:rsid w:val="000A1050"/>
    <w:rsid w:val="000A108D"/>
    <w:rsid w:val="000A10A1"/>
    <w:rsid w:val="000A1501"/>
    <w:rsid w:val="000A1B83"/>
    <w:rsid w:val="000A1C63"/>
    <w:rsid w:val="000A1DA6"/>
    <w:rsid w:val="000A1DEC"/>
    <w:rsid w:val="000A1E7B"/>
    <w:rsid w:val="000A229E"/>
    <w:rsid w:val="000A2E27"/>
    <w:rsid w:val="000A2F22"/>
    <w:rsid w:val="000A32FC"/>
    <w:rsid w:val="000A35EE"/>
    <w:rsid w:val="000A37E3"/>
    <w:rsid w:val="000A386D"/>
    <w:rsid w:val="000A3917"/>
    <w:rsid w:val="000A3E80"/>
    <w:rsid w:val="000A432B"/>
    <w:rsid w:val="000A43BB"/>
    <w:rsid w:val="000A43E7"/>
    <w:rsid w:val="000A440A"/>
    <w:rsid w:val="000A454D"/>
    <w:rsid w:val="000A4712"/>
    <w:rsid w:val="000A492A"/>
    <w:rsid w:val="000A4BB9"/>
    <w:rsid w:val="000A4F56"/>
    <w:rsid w:val="000A4F67"/>
    <w:rsid w:val="000A53DE"/>
    <w:rsid w:val="000A5418"/>
    <w:rsid w:val="000A56FA"/>
    <w:rsid w:val="000A5769"/>
    <w:rsid w:val="000A59EE"/>
    <w:rsid w:val="000A5EF7"/>
    <w:rsid w:val="000A5F64"/>
    <w:rsid w:val="000A6286"/>
    <w:rsid w:val="000A6424"/>
    <w:rsid w:val="000A6442"/>
    <w:rsid w:val="000A661D"/>
    <w:rsid w:val="000A6CDD"/>
    <w:rsid w:val="000A6D37"/>
    <w:rsid w:val="000A6E21"/>
    <w:rsid w:val="000A6F34"/>
    <w:rsid w:val="000A6F3F"/>
    <w:rsid w:val="000A6F95"/>
    <w:rsid w:val="000A71F7"/>
    <w:rsid w:val="000A7200"/>
    <w:rsid w:val="000A72AF"/>
    <w:rsid w:val="000A7312"/>
    <w:rsid w:val="000A741E"/>
    <w:rsid w:val="000A7711"/>
    <w:rsid w:val="000A7844"/>
    <w:rsid w:val="000A79CA"/>
    <w:rsid w:val="000A7A18"/>
    <w:rsid w:val="000A7A72"/>
    <w:rsid w:val="000A7B35"/>
    <w:rsid w:val="000A7B81"/>
    <w:rsid w:val="000A7C09"/>
    <w:rsid w:val="000B00B5"/>
    <w:rsid w:val="000B0214"/>
    <w:rsid w:val="000B0347"/>
    <w:rsid w:val="000B0B1F"/>
    <w:rsid w:val="000B0B25"/>
    <w:rsid w:val="000B0C0F"/>
    <w:rsid w:val="000B0E9A"/>
    <w:rsid w:val="000B0FF2"/>
    <w:rsid w:val="000B113E"/>
    <w:rsid w:val="000B1345"/>
    <w:rsid w:val="000B1388"/>
    <w:rsid w:val="000B1414"/>
    <w:rsid w:val="000B141D"/>
    <w:rsid w:val="000B15D6"/>
    <w:rsid w:val="000B1B3E"/>
    <w:rsid w:val="000B1CA7"/>
    <w:rsid w:val="000B1CD4"/>
    <w:rsid w:val="000B1F76"/>
    <w:rsid w:val="000B20FB"/>
    <w:rsid w:val="000B2131"/>
    <w:rsid w:val="000B2195"/>
    <w:rsid w:val="000B2315"/>
    <w:rsid w:val="000B2520"/>
    <w:rsid w:val="000B26F3"/>
    <w:rsid w:val="000B27B4"/>
    <w:rsid w:val="000B27FB"/>
    <w:rsid w:val="000B2A3F"/>
    <w:rsid w:val="000B2B92"/>
    <w:rsid w:val="000B2CD4"/>
    <w:rsid w:val="000B2EB5"/>
    <w:rsid w:val="000B3082"/>
    <w:rsid w:val="000B323D"/>
    <w:rsid w:val="000B32D1"/>
    <w:rsid w:val="000B3379"/>
    <w:rsid w:val="000B3387"/>
    <w:rsid w:val="000B3508"/>
    <w:rsid w:val="000B3556"/>
    <w:rsid w:val="000B3782"/>
    <w:rsid w:val="000B37C6"/>
    <w:rsid w:val="000B397B"/>
    <w:rsid w:val="000B3A7B"/>
    <w:rsid w:val="000B3CD0"/>
    <w:rsid w:val="000B4040"/>
    <w:rsid w:val="000B4279"/>
    <w:rsid w:val="000B428B"/>
    <w:rsid w:val="000B437C"/>
    <w:rsid w:val="000B4421"/>
    <w:rsid w:val="000B4569"/>
    <w:rsid w:val="000B4A4D"/>
    <w:rsid w:val="000B4A9D"/>
    <w:rsid w:val="000B4AA1"/>
    <w:rsid w:val="000B4C4B"/>
    <w:rsid w:val="000B4DED"/>
    <w:rsid w:val="000B4E0B"/>
    <w:rsid w:val="000B50EC"/>
    <w:rsid w:val="000B51A5"/>
    <w:rsid w:val="000B531E"/>
    <w:rsid w:val="000B5634"/>
    <w:rsid w:val="000B571F"/>
    <w:rsid w:val="000B572F"/>
    <w:rsid w:val="000B582A"/>
    <w:rsid w:val="000B5844"/>
    <w:rsid w:val="000B58E1"/>
    <w:rsid w:val="000B5980"/>
    <w:rsid w:val="000B59AA"/>
    <w:rsid w:val="000B5ABB"/>
    <w:rsid w:val="000B5AC2"/>
    <w:rsid w:val="000B5DED"/>
    <w:rsid w:val="000B5E79"/>
    <w:rsid w:val="000B6032"/>
    <w:rsid w:val="000B622E"/>
    <w:rsid w:val="000B64B9"/>
    <w:rsid w:val="000B6A59"/>
    <w:rsid w:val="000B6DF1"/>
    <w:rsid w:val="000B6FB6"/>
    <w:rsid w:val="000B739E"/>
    <w:rsid w:val="000B745A"/>
    <w:rsid w:val="000B76F2"/>
    <w:rsid w:val="000B7B68"/>
    <w:rsid w:val="000B7D6E"/>
    <w:rsid w:val="000B7FCE"/>
    <w:rsid w:val="000C042F"/>
    <w:rsid w:val="000C04D2"/>
    <w:rsid w:val="000C0562"/>
    <w:rsid w:val="000C064B"/>
    <w:rsid w:val="000C0728"/>
    <w:rsid w:val="000C096C"/>
    <w:rsid w:val="000C0BAB"/>
    <w:rsid w:val="000C0C49"/>
    <w:rsid w:val="000C0F6C"/>
    <w:rsid w:val="000C1036"/>
    <w:rsid w:val="000C10D8"/>
    <w:rsid w:val="000C11EF"/>
    <w:rsid w:val="000C1370"/>
    <w:rsid w:val="000C14EA"/>
    <w:rsid w:val="000C15EF"/>
    <w:rsid w:val="000C1664"/>
    <w:rsid w:val="000C1694"/>
    <w:rsid w:val="000C169B"/>
    <w:rsid w:val="000C1726"/>
    <w:rsid w:val="000C1831"/>
    <w:rsid w:val="000C1C8D"/>
    <w:rsid w:val="000C1D88"/>
    <w:rsid w:val="000C1E0E"/>
    <w:rsid w:val="000C21E6"/>
    <w:rsid w:val="000C223C"/>
    <w:rsid w:val="000C2273"/>
    <w:rsid w:val="000C247E"/>
    <w:rsid w:val="000C26F4"/>
    <w:rsid w:val="000C27CE"/>
    <w:rsid w:val="000C2827"/>
    <w:rsid w:val="000C2C92"/>
    <w:rsid w:val="000C30B4"/>
    <w:rsid w:val="000C3229"/>
    <w:rsid w:val="000C32B2"/>
    <w:rsid w:val="000C33F4"/>
    <w:rsid w:val="000C356A"/>
    <w:rsid w:val="000C36F7"/>
    <w:rsid w:val="000C3969"/>
    <w:rsid w:val="000C3975"/>
    <w:rsid w:val="000C39CE"/>
    <w:rsid w:val="000C3A0A"/>
    <w:rsid w:val="000C3BD4"/>
    <w:rsid w:val="000C3C24"/>
    <w:rsid w:val="000C3E66"/>
    <w:rsid w:val="000C3F55"/>
    <w:rsid w:val="000C419D"/>
    <w:rsid w:val="000C41CB"/>
    <w:rsid w:val="000C4283"/>
    <w:rsid w:val="000C4418"/>
    <w:rsid w:val="000C44A7"/>
    <w:rsid w:val="000C4573"/>
    <w:rsid w:val="000C4995"/>
    <w:rsid w:val="000C5369"/>
    <w:rsid w:val="000C54A6"/>
    <w:rsid w:val="000C5592"/>
    <w:rsid w:val="000C576D"/>
    <w:rsid w:val="000C588F"/>
    <w:rsid w:val="000C5A64"/>
    <w:rsid w:val="000C5AAF"/>
    <w:rsid w:val="000C5E63"/>
    <w:rsid w:val="000C5EF9"/>
    <w:rsid w:val="000C5FF3"/>
    <w:rsid w:val="000C60EA"/>
    <w:rsid w:val="000C639C"/>
    <w:rsid w:val="000C63C5"/>
    <w:rsid w:val="000C6494"/>
    <w:rsid w:val="000C668C"/>
    <w:rsid w:val="000C66A4"/>
    <w:rsid w:val="000C68B9"/>
    <w:rsid w:val="000C6901"/>
    <w:rsid w:val="000C699B"/>
    <w:rsid w:val="000C6AE6"/>
    <w:rsid w:val="000C6CF0"/>
    <w:rsid w:val="000C6D26"/>
    <w:rsid w:val="000C6E0C"/>
    <w:rsid w:val="000C6E40"/>
    <w:rsid w:val="000C6EDB"/>
    <w:rsid w:val="000C7047"/>
    <w:rsid w:val="000C71EC"/>
    <w:rsid w:val="000C7225"/>
    <w:rsid w:val="000C73A4"/>
    <w:rsid w:val="000C756E"/>
    <w:rsid w:val="000C75FC"/>
    <w:rsid w:val="000C78A8"/>
    <w:rsid w:val="000C78CE"/>
    <w:rsid w:val="000C793D"/>
    <w:rsid w:val="000C7968"/>
    <w:rsid w:val="000C7D15"/>
    <w:rsid w:val="000C7D30"/>
    <w:rsid w:val="000C7F7F"/>
    <w:rsid w:val="000C7FD7"/>
    <w:rsid w:val="000C7FEF"/>
    <w:rsid w:val="000D0003"/>
    <w:rsid w:val="000D0102"/>
    <w:rsid w:val="000D0330"/>
    <w:rsid w:val="000D038D"/>
    <w:rsid w:val="000D0418"/>
    <w:rsid w:val="000D05DF"/>
    <w:rsid w:val="000D0720"/>
    <w:rsid w:val="000D0753"/>
    <w:rsid w:val="000D0989"/>
    <w:rsid w:val="000D0ADE"/>
    <w:rsid w:val="000D0DED"/>
    <w:rsid w:val="000D0DF9"/>
    <w:rsid w:val="000D0F34"/>
    <w:rsid w:val="000D0F4A"/>
    <w:rsid w:val="000D105A"/>
    <w:rsid w:val="000D1078"/>
    <w:rsid w:val="000D10D7"/>
    <w:rsid w:val="000D1154"/>
    <w:rsid w:val="000D1311"/>
    <w:rsid w:val="000D135A"/>
    <w:rsid w:val="000D16AB"/>
    <w:rsid w:val="000D19DE"/>
    <w:rsid w:val="000D19E6"/>
    <w:rsid w:val="000D1A66"/>
    <w:rsid w:val="000D1C39"/>
    <w:rsid w:val="000D1D08"/>
    <w:rsid w:val="000D1D3A"/>
    <w:rsid w:val="000D22C5"/>
    <w:rsid w:val="000D2393"/>
    <w:rsid w:val="000D251A"/>
    <w:rsid w:val="000D258F"/>
    <w:rsid w:val="000D2725"/>
    <w:rsid w:val="000D2B40"/>
    <w:rsid w:val="000D2D20"/>
    <w:rsid w:val="000D2DAA"/>
    <w:rsid w:val="000D2EAF"/>
    <w:rsid w:val="000D3035"/>
    <w:rsid w:val="000D3146"/>
    <w:rsid w:val="000D3357"/>
    <w:rsid w:val="000D34CC"/>
    <w:rsid w:val="000D38A8"/>
    <w:rsid w:val="000D3A2B"/>
    <w:rsid w:val="000D3F06"/>
    <w:rsid w:val="000D4106"/>
    <w:rsid w:val="000D4133"/>
    <w:rsid w:val="000D42B0"/>
    <w:rsid w:val="000D45C5"/>
    <w:rsid w:val="000D4979"/>
    <w:rsid w:val="000D49B5"/>
    <w:rsid w:val="000D4D8F"/>
    <w:rsid w:val="000D4E80"/>
    <w:rsid w:val="000D4E86"/>
    <w:rsid w:val="000D4FBB"/>
    <w:rsid w:val="000D5058"/>
    <w:rsid w:val="000D5202"/>
    <w:rsid w:val="000D5352"/>
    <w:rsid w:val="000D536B"/>
    <w:rsid w:val="000D5470"/>
    <w:rsid w:val="000D5722"/>
    <w:rsid w:val="000D57E2"/>
    <w:rsid w:val="000D58A1"/>
    <w:rsid w:val="000D5A62"/>
    <w:rsid w:val="000D5B50"/>
    <w:rsid w:val="000D5EB8"/>
    <w:rsid w:val="000D5EF4"/>
    <w:rsid w:val="000D5EFA"/>
    <w:rsid w:val="000D5F8F"/>
    <w:rsid w:val="000D605F"/>
    <w:rsid w:val="000D60D5"/>
    <w:rsid w:val="000D644A"/>
    <w:rsid w:val="000D647B"/>
    <w:rsid w:val="000D65D3"/>
    <w:rsid w:val="000D6788"/>
    <w:rsid w:val="000D68AB"/>
    <w:rsid w:val="000D6F50"/>
    <w:rsid w:val="000D71D5"/>
    <w:rsid w:val="000D7333"/>
    <w:rsid w:val="000D7408"/>
    <w:rsid w:val="000D75D0"/>
    <w:rsid w:val="000D773E"/>
    <w:rsid w:val="000D784B"/>
    <w:rsid w:val="000D7AD4"/>
    <w:rsid w:val="000D7D4C"/>
    <w:rsid w:val="000D7F80"/>
    <w:rsid w:val="000D7FAE"/>
    <w:rsid w:val="000E000B"/>
    <w:rsid w:val="000E018C"/>
    <w:rsid w:val="000E0198"/>
    <w:rsid w:val="000E0228"/>
    <w:rsid w:val="000E0237"/>
    <w:rsid w:val="000E05C5"/>
    <w:rsid w:val="000E0994"/>
    <w:rsid w:val="000E0A06"/>
    <w:rsid w:val="000E0AC6"/>
    <w:rsid w:val="000E0AF3"/>
    <w:rsid w:val="000E0DB3"/>
    <w:rsid w:val="000E1224"/>
    <w:rsid w:val="000E158F"/>
    <w:rsid w:val="000E16CF"/>
    <w:rsid w:val="000E177C"/>
    <w:rsid w:val="000E199A"/>
    <w:rsid w:val="000E1B1B"/>
    <w:rsid w:val="000E1B3A"/>
    <w:rsid w:val="000E2064"/>
    <w:rsid w:val="000E20F1"/>
    <w:rsid w:val="000E2202"/>
    <w:rsid w:val="000E230B"/>
    <w:rsid w:val="000E2341"/>
    <w:rsid w:val="000E2373"/>
    <w:rsid w:val="000E24A3"/>
    <w:rsid w:val="000E2514"/>
    <w:rsid w:val="000E256D"/>
    <w:rsid w:val="000E2587"/>
    <w:rsid w:val="000E266A"/>
    <w:rsid w:val="000E2908"/>
    <w:rsid w:val="000E2DF9"/>
    <w:rsid w:val="000E2F0A"/>
    <w:rsid w:val="000E3056"/>
    <w:rsid w:val="000E3134"/>
    <w:rsid w:val="000E313A"/>
    <w:rsid w:val="000E38CD"/>
    <w:rsid w:val="000E3D38"/>
    <w:rsid w:val="000E3F66"/>
    <w:rsid w:val="000E40BE"/>
    <w:rsid w:val="000E4142"/>
    <w:rsid w:val="000E4168"/>
    <w:rsid w:val="000E42A6"/>
    <w:rsid w:val="000E42CC"/>
    <w:rsid w:val="000E42DF"/>
    <w:rsid w:val="000E42E6"/>
    <w:rsid w:val="000E46CB"/>
    <w:rsid w:val="000E475F"/>
    <w:rsid w:val="000E4882"/>
    <w:rsid w:val="000E49E4"/>
    <w:rsid w:val="000E4BEF"/>
    <w:rsid w:val="000E4D21"/>
    <w:rsid w:val="000E4D60"/>
    <w:rsid w:val="000E4E23"/>
    <w:rsid w:val="000E50DA"/>
    <w:rsid w:val="000E5332"/>
    <w:rsid w:val="000E5806"/>
    <w:rsid w:val="000E5ABD"/>
    <w:rsid w:val="000E5EE3"/>
    <w:rsid w:val="000E62E2"/>
    <w:rsid w:val="000E644C"/>
    <w:rsid w:val="000E6533"/>
    <w:rsid w:val="000E6607"/>
    <w:rsid w:val="000E66AA"/>
    <w:rsid w:val="000E66C9"/>
    <w:rsid w:val="000E673D"/>
    <w:rsid w:val="000E699D"/>
    <w:rsid w:val="000E6FA4"/>
    <w:rsid w:val="000E6FAD"/>
    <w:rsid w:val="000E70CB"/>
    <w:rsid w:val="000E719D"/>
    <w:rsid w:val="000E7252"/>
    <w:rsid w:val="000E72AF"/>
    <w:rsid w:val="000E7414"/>
    <w:rsid w:val="000E756C"/>
    <w:rsid w:val="000E7688"/>
    <w:rsid w:val="000E76EE"/>
    <w:rsid w:val="000E7792"/>
    <w:rsid w:val="000E7793"/>
    <w:rsid w:val="000E7B1A"/>
    <w:rsid w:val="000E7D5B"/>
    <w:rsid w:val="000E7E07"/>
    <w:rsid w:val="000F038E"/>
    <w:rsid w:val="000F042F"/>
    <w:rsid w:val="000F0968"/>
    <w:rsid w:val="000F0D12"/>
    <w:rsid w:val="000F12A4"/>
    <w:rsid w:val="000F12E7"/>
    <w:rsid w:val="000F14D8"/>
    <w:rsid w:val="000F1537"/>
    <w:rsid w:val="000F17BD"/>
    <w:rsid w:val="000F1865"/>
    <w:rsid w:val="000F1B37"/>
    <w:rsid w:val="000F1DC5"/>
    <w:rsid w:val="000F2116"/>
    <w:rsid w:val="000F23AE"/>
    <w:rsid w:val="000F2488"/>
    <w:rsid w:val="000F259D"/>
    <w:rsid w:val="000F25D0"/>
    <w:rsid w:val="000F280E"/>
    <w:rsid w:val="000F28A3"/>
    <w:rsid w:val="000F29E1"/>
    <w:rsid w:val="000F2A8E"/>
    <w:rsid w:val="000F2B8D"/>
    <w:rsid w:val="000F3165"/>
    <w:rsid w:val="000F32AB"/>
    <w:rsid w:val="000F3622"/>
    <w:rsid w:val="000F3633"/>
    <w:rsid w:val="000F38D5"/>
    <w:rsid w:val="000F3906"/>
    <w:rsid w:val="000F3BF4"/>
    <w:rsid w:val="000F3DBC"/>
    <w:rsid w:val="000F3E51"/>
    <w:rsid w:val="000F424B"/>
    <w:rsid w:val="000F4320"/>
    <w:rsid w:val="000F47EB"/>
    <w:rsid w:val="000F482A"/>
    <w:rsid w:val="000F4889"/>
    <w:rsid w:val="000F4AE8"/>
    <w:rsid w:val="000F4C12"/>
    <w:rsid w:val="000F4D0C"/>
    <w:rsid w:val="000F4E55"/>
    <w:rsid w:val="000F4F1C"/>
    <w:rsid w:val="000F523F"/>
    <w:rsid w:val="000F5503"/>
    <w:rsid w:val="000F5538"/>
    <w:rsid w:val="000F555E"/>
    <w:rsid w:val="000F564A"/>
    <w:rsid w:val="000F5710"/>
    <w:rsid w:val="000F5776"/>
    <w:rsid w:val="000F5869"/>
    <w:rsid w:val="000F586B"/>
    <w:rsid w:val="000F5926"/>
    <w:rsid w:val="000F5AFE"/>
    <w:rsid w:val="000F5D44"/>
    <w:rsid w:val="000F5F05"/>
    <w:rsid w:val="000F61E3"/>
    <w:rsid w:val="000F6B28"/>
    <w:rsid w:val="000F6E9A"/>
    <w:rsid w:val="000F6EEA"/>
    <w:rsid w:val="000F6FB0"/>
    <w:rsid w:val="000F707E"/>
    <w:rsid w:val="000F729C"/>
    <w:rsid w:val="000F7434"/>
    <w:rsid w:val="000F77E1"/>
    <w:rsid w:val="000F7832"/>
    <w:rsid w:val="000F78D1"/>
    <w:rsid w:val="000F78DE"/>
    <w:rsid w:val="000F79F2"/>
    <w:rsid w:val="000F7A9E"/>
    <w:rsid w:val="0010010B"/>
    <w:rsid w:val="00100140"/>
    <w:rsid w:val="00100207"/>
    <w:rsid w:val="00100281"/>
    <w:rsid w:val="0010032F"/>
    <w:rsid w:val="00100331"/>
    <w:rsid w:val="0010035A"/>
    <w:rsid w:val="001003BA"/>
    <w:rsid w:val="001003FA"/>
    <w:rsid w:val="00100668"/>
    <w:rsid w:val="00100DB1"/>
    <w:rsid w:val="00100DBB"/>
    <w:rsid w:val="00100EB9"/>
    <w:rsid w:val="00100FC9"/>
    <w:rsid w:val="00101091"/>
    <w:rsid w:val="001010C6"/>
    <w:rsid w:val="00101456"/>
    <w:rsid w:val="001016C4"/>
    <w:rsid w:val="0010178C"/>
    <w:rsid w:val="00101CF1"/>
    <w:rsid w:val="00101D33"/>
    <w:rsid w:val="00101F41"/>
    <w:rsid w:val="0010228D"/>
    <w:rsid w:val="001022E6"/>
    <w:rsid w:val="0010234B"/>
    <w:rsid w:val="001024A1"/>
    <w:rsid w:val="00102553"/>
    <w:rsid w:val="0010273A"/>
    <w:rsid w:val="00102B37"/>
    <w:rsid w:val="00102B85"/>
    <w:rsid w:val="00102D2E"/>
    <w:rsid w:val="00102EC8"/>
    <w:rsid w:val="00102F31"/>
    <w:rsid w:val="00103062"/>
    <w:rsid w:val="0010355A"/>
    <w:rsid w:val="001035DA"/>
    <w:rsid w:val="00103BBE"/>
    <w:rsid w:val="00103F7E"/>
    <w:rsid w:val="00104025"/>
    <w:rsid w:val="0010407D"/>
    <w:rsid w:val="00104265"/>
    <w:rsid w:val="0010433E"/>
    <w:rsid w:val="00104415"/>
    <w:rsid w:val="001044A1"/>
    <w:rsid w:val="0010454F"/>
    <w:rsid w:val="00104900"/>
    <w:rsid w:val="0010490B"/>
    <w:rsid w:val="00104AF5"/>
    <w:rsid w:val="00104C17"/>
    <w:rsid w:val="00105332"/>
    <w:rsid w:val="00105338"/>
    <w:rsid w:val="001054E4"/>
    <w:rsid w:val="0010554E"/>
    <w:rsid w:val="001059B3"/>
    <w:rsid w:val="00105C25"/>
    <w:rsid w:val="00105D25"/>
    <w:rsid w:val="00105E05"/>
    <w:rsid w:val="00105E1A"/>
    <w:rsid w:val="00105F1F"/>
    <w:rsid w:val="00105FCA"/>
    <w:rsid w:val="00105FF6"/>
    <w:rsid w:val="001060A1"/>
    <w:rsid w:val="00106106"/>
    <w:rsid w:val="0010622D"/>
    <w:rsid w:val="00106239"/>
    <w:rsid w:val="00106449"/>
    <w:rsid w:val="001064FD"/>
    <w:rsid w:val="001069E8"/>
    <w:rsid w:val="00106AA1"/>
    <w:rsid w:val="00106AFB"/>
    <w:rsid w:val="00106DEA"/>
    <w:rsid w:val="00106ED4"/>
    <w:rsid w:val="00106F10"/>
    <w:rsid w:val="001071ED"/>
    <w:rsid w:val="0010742F"/>
    <w:rsid w:val="00107517"/>
    <w:rsid w:val="0010777C"/>
    <w:rsid w:val="001077F6"/>
    <w:rsid w:val="001078A5"/>
    <w:rsid w:val="0010799E"/>
    <w:rsid w:val="001079CC"/>
    <w:rsid w:val="00107B0A"/>
    <w:rsid w:val="00107B68"/>
    <w:rsid w:val="00107D58"/>
    <w:rsid w:val="001106B7"/>
    <w:rsid w:val="00110777"/>
    <w:rsid w:val="00110840"/>
    <w:rsid w:val="00110A5B"/>
    <w:rsid w:val="00110BAC"/>
    <w:rsid w:val="00110F05"/>
    <w:rsid w:val="00110F08"/>
    <w:rsid w:val="001110B6"/>
    <w:rsid w:val="001112A4"/>
    <w:rsid w:val="00111446"/>
    <w:rsid w:val="001114FA"/>
    <w:rsid w:val="00111609"/>
    <w:rsid w:val="001117AA"/>
    <w:rsid w:val="001117D6"/>
    <w:rsid w:val="00111A3A"/>
    <w:rsid w:val="00111D7E"/>
    <w:rsid w:val="00111DF6"/>
    <w:rsid w:val="00111F3B"/>
    <w:rsid w:val="001120F9"/>
    <w:rsid w:val="0011211F"/>
    <w:rsid w:val="0011231A"/>
    <w:rsid w:val="0011254D"/>
    <w:rsid w:val="001127CE"/>
    <w:rsid w:val="0011286E"/>
    <w:rsid w:val="001128A3"/>
    <w:rsid w:val="00113450"/>
    <w:rsid w:val="00113470"/>
    <w:rsid w:val="0011367B"/>
    <w:rsid w:val="00113A16"/>
    <w:rsid w:val="00113AF4"/>
    <w:rsid w:val="00113D65"/>
    <w:rsid w:val="00113E89"/>
    <w:rsid w:val="00113F4D"/>
    <w:rsid w:val="0011400B"/>
    <w:rsid w:val="0011413D"/>
    <w:rsid w:val="001144CA"/>
    <w:rsid w:val="00114690"/>
    <w:rsid w:val="00114731"/>
    <w:rsid w:val="00114879"/>
    <w:rsid w:val="00114A51"/>
    <w:rsid w:val="00114A90"/>
    <w:rsid w:val="00114B28"/>
    <w:rsid w:val="00114CA6"/>
    <w:rsid w:val="00114CA9"/>
    <w:rsid w:val="00114EDA"/>
    <w:rsid w:val="00114F46"/>
    <w:rsid w:val="00115023"/>
    <w:rsid w:val="0011519F"/>
    <w:rsid w:val="00115272"/>
    <w:rsid w:val="0011527A"/>
    <w:rsid w:val="001155B6"/>
    <w:rsid w:val="00115B22"/>
    <w:rsid w:val="00115CC5"/>
    <w:rsid w:val="00115D32"/>
    <w:rsid w:val="00115D76"/>
    <w:rsid w:val="00115DD7"/>
    <w:rsid w:val="00116606"/>
    <w:rsid w:val="001166CB"/>
    <w:rsid w:val="001166DC"/>
    <w:rsid w:val="00116851"/>
    <w:rsid w:val="00116C9F"/>
    <w:rsid w:val="00116DEB"/>
    <w:rsid w:val="00116F2D"/>
    <w:rsid w:val="00117232"/>
    <w:rsid w:val="00117639"/>
    <w:rsid w:val="00117689"/>
    <w:rsid w:val="001178F3"/>
    <w:rsid w:val="00117DD5"/>
    <w:rsid w:val="00120594"/>
    <w:rsid w:val="001207A7"/>
    <w:rsid w:val="001208AD"/>
    <w:rsid w:val="001208CC"/>
    <w:rsid w:val="00120929"/>
    <w:rsid w:val="00120C2A"/>
    <w:rsid w:val="00120CB7"/>
    <w:rsid w:val="00120E41"/>
    <w:rsid w:val="001211B4"/>
    <w:rsid w:val="00121219"/>
    <w:rsid w:val="00121332"/>
    <w:rsid w:val="0012151D"/>
    <w:rsid w:val="001215EE"/>
    <w:rsid w:val="001218F7"/>
    <w:rsid w:val="0012196F"/>
    <w:rsid w:val="001219AD"/>
    <w:rsid w:val="00121BC4"/>
    <w:rsid w:val="00121C26"/>
    <w:rsid w:val="00121F86"/>
    <w:rsid w:val="0012204F"/>
    <w:rsid w:val="00122257"/>
    <w:rsid w:val="00122374"/>
    <w:rsid w:val="001223AD"/>
    <w:rsid w:val="001224B3"/>
    <w:rsid w:val="001224D3"/>
    <w:rsid w:val="001225FC"/>
    <w:rsid w:val="00122676"/>
    <w:rsid w:val="001226D7"/>
    <w:rsid w:val="00122B2C"/>
    <w:rsid w:val="00122CD6"/>
    <w:rsid w:val="00122D8D"/>
    <w:rsid w:val="00122F69"/>
    <w:rsid w:val="001230A3"/>
    <w:rsid w:val="00123332"/>
    <w:rsid w:val="00123457"/>
    <w:rsid w:val="001234C6"/>
    <w:rsid w:val="0012381D"/>
    <w:rsid w:val="0012394E"/>
    <w:rsid w:val="0012398E"/>
    <w:rsid w:val="001239A3"/>
    <w:rsid w:val="00123C01"/>
    <w:rsid w:val="00123F33"/>
    <w:rsid w:val="00123F40"/>
    <w:rsid w:val="00123F72"/>
    <w:rsid w:val="00124071"/>
    <w:rsid w:val="0012427F"/>
    <w:rsid w:val="001243B3"/>
    <w:rsid w:val="001244F9"/>
    <w:rsid w:val="001249A1"/>
    <w:rsid w:val="001249E3"/>
    <w:rsid w:val="00124A0F"/>
    <w:rsid w:val="00124C58"/>
    <w:rsid w:val="00124DB3"/>
    <w:rsid w:val="00124FFA"/>
    <w:rsid w:val="0012503C"/>
    <w:rsid w:val="00125480"/>
    <w:rsid w:val="00125488"/>
    <w:rsid w:val="001254E9"/>
    <w:rsid w:val="0012557F"/>
    <w:rsid w:val="001255F4"/>
    <w:rsid w:val="001256E7"/>
    <w:rsid w:val="0012570C"/>
    <w:rsid w:val="00125834"/>
    <w:rsid w:val="00125A9E"/>
    <w:rsid w:val="00125AC7"/>
    <w:rsid w:val="00125DEF"/>
    <w:rsid w:val="001264A1"/>
    <w:rsid w:val="001268A2"/>
    <w:rsid w:val="00126DEC"/>
    <w:rsid w:val="00126E60"/>
    <w:rsid w:val="00126F59"/>
    <w:rsid w:val="001270FF"/>
    <w:rsid w:val="00127142"/>
    <w:rsid w:val="00127175"/>
    <w:rsid w:val="0012727D"/>
    <w:rsid w:val="00127578"/>
    <w:rsid w:val="0012757A"/>
    <w:rsid w:val="0012777B"/>
    <w:rsid w:val="00127B8D"/>
    <w:rsid w:val="00127D5A"/>
    <w:rsid w:val="00127DA6"/>
    <w:rsid w:val="00127EEE"/>
    <w:rsid w:val="00130059"/>
    <w:rsid w:val="001304F2"/>
    <w:rsid w:val="001305FE"/>
    <w:rsid w:val="00130735"/>
    <w:rsid w:val="0013079C"/>
    <w:rsid w:val="001308E2"/>
    <w:rsid w:val="00130A49"/>
    <w:rsid w:val="00130C7B"/>
    <w:rsid w:val="00130E2C"/>
    <w:rsid w:val="00130EB1"/>
    <w:rsid w:val="001310A4"/>
    <w:rsid w:val="0013119F"/>
    <w:rsid w:val="00131422"/>
    <w:rsid w:val="0013176C"/>
    <w:rsid w:val="00131801"/>
    <w:rsid w:val="00131B8E"/>
    <w:rsid w:val="00131CC2"/>
    <w:rsid w:val="00131D0B"/>
    <w:rsid w:val="00131D3F"/>
    <w:rsid w:val="00132157"/>
    <w:rsid w:val="0013233D"/>
    <w:rsid w:val="0013249E"/>
    <w:rsid w:val="001325F7"/>
    <w:rsid w:val="00132920"/>
    <w:rsid w:val="00132961"/>
    <w:rsid w:val="00132C24"/>
    <w:rsid w:val="00132CF5"/>
    <w:rsid w:val="001335A4"/>
    <w:rsid w:val="001335C9"/>
    <w:rsid w:val="00133610"/>
    <w:rsid w:val="00133724"/>
    <w:rsid w:val="00133763"/>
    <w:rsid w:val="0013380C"/>
    <w:rsid w:val="00133871"/>
    <w:rsid w:val="00133900"/>
    <w:rsid w:val="001339B6"/>
    <w:rsid w:val="00133AF2"/>
    <w:rsid w:val="00133CB9"/>
    <w:rsid w:val="00133DB4"/>
    <w:rsid w:val="0013401E"/>
    <w:rsid w:val="001342CC"/>
    <w:rsid w:val="001342F0"/>
    <w:rsid w:val="0013430C"/>
    <w:rsid w:val="001344EF"/>
    <w:rsid w:val="001348EA"/>
    <w:rsid w:val="00134BA3"/>
    <w:rsid w:val="00135139"/>
    <w:rsid w:val="00135177"/>
    <w:rsid w:val="00135201"/>
    <w:rsid w:val="001355AB"/>
    <w:rsid w:val="00135F7B"/>
    <w:rsid w:val="00136296"/>
    <w:rsid w:val="001364A4"/>
    <w:rsid w:val="001367D1"/>
    <w:rsid w:val="0013691C"/>
    <w:rsid w:val="00136AEA"/>
    <w:rsid w:val="00136D33"/>
    <w:rsid w:val="00136DC7"/>
    <w:rsid w:val="00137361"/>
    <w:rsid w:val="001373FA"/>
    <w:rsid w:val="001374CE"/>
    <w:rsid w:val="001379FF"/>
    <w:rsid w:val="00137A4B"/>
    <w:rsid w:val="00137B4F"/>
    <w:rsid w:val="00137BBD"/>
    <w:rsid w:val="00137CB0"/>
    <w:rsid w:val="00137D27"/>
    <w:rsid w:val="00137EEC"/>
    <w:rsid w:val="00137F5B"/>
    <w:rsid w:val="00137F71"/>
    <w:rsid w:val="00137FBA"/>
    <w:rsid w:val="00137FF5"/>
    <w:rsid w:val="001404A2"/>
    <w:rsid w:val="001406EE"/>
    <w:rsid w:val="0014074C"/>
    <w:rsid w:val="001409F8"/>
    <w:rsid w:val="00140AA7"/>
    <w:rsid w:val="00140AC1"/>
    <w:rsid w:val="00140AC8"/>
    <w:rsid w:val="00140B14"/>
    <w:rsid w:val="00140B85"/>
    <w:rsid w:val="00140B90"/>
    <w:rsid w:val="00140F60"/>
    <w:rsid w:val="00140F64"/>
    <w:rsid w:val="00141520"/>
    <w:rsid w:val="0014163E"/>
    <w:rsid w:val="00141852"/>
    <w:rsid w:val="00141E9C"/>
    <w:rsid w:val="00141F03"/>
    <w:rsid w:val="0014207E"/>
    <w:rsid w:val="00142080"/>
    <w:rsid w:val="00142116"/>
    <w:rsid w:val="00142188"/>
    <w:rsid w:val="0014232E"/>
    <w:rsid w:val="0014236F"/>
    <w:rsid w:val="00142555"/>
    <w:rsid w:val="001426C9"/>
    <w:rsid w:val="00142707"/>
    <w:rsid w:val="001427D5"/>
    <w:rsid w:val="0014288C"/>
    <w:rsid w:val="00142959"/>
    <w:rsid w:val="0014297C"/>
    <w:rsid w:val="00142C6E"/>
    <w:rsid w:val="00142F30"/>
    <w:rsid w:val="00142F9D"/>
    <w:rsid w:val="0014372D"/>
    <w:rsid w:val="00143802"/>
    <w:rsid w:val="00143970"/>
    <w:rsid w:val="00143A7C"/>
    <w:rsid w:val="00143B5A"/>
    <w:rsid w:val="00143EAE"/>
    <w:rsid w:val="001440F1"/>
    <w:rsid w:val="0014415A"/>
    <w:rsid w:val="00144212"/>
    <w:rsid w:val="00144262"/>
    <w:rsid w:val="001442A3"/>
    <w:rsid w:val="001444F7"/>
    <w:rsid w:val="00144598"/>
    <w:rsid w:val="00144A0C"/>
    <w:rsid w:val="00144F8E"/>
    <w:rsid w:val="00145026"/>
    <w:rsid w:val="001450E0"/>
    <w:rsid w:val="001450E9"/>
    <w:rsid w:val="0014532F"/>
    <w:rsid w:val="001453A6"/>
    <w:rsid w:val="00145400"/>
    <w:rsid w:val="00145603"/>
    <w:rsid w:val="00145662"/>
    <w:rsid w:val="0014574F"/>
    <w:rsid w:val="00145951"/>
    <w:rsid w:val="001459A2"/>
    <w:rsid w:val="00145A2D"/>
    <w:rsid w:val="00145B33"/>
    <w:rsid w:val="00145D26"/>
    <w:rsid w:val="00145DFC"/>
    <w:rsid w:val="00145EC8"/>
    <w:rsid w:val="00145F72"/>
    <w:rsid w:val="00145FB9"/>
    <w:rsid w:val="00146002"/>
    <w:rsid w:val="00146045"/>
    <w:rsid w:val="00146298"/>
    <w:rsid w:val="00146361"/>
    <w:rsid w:val="001463C9"/>
    <w:rsid w:val="00146A2D"/>
    <w:rsid w:val="00146AEB"/>
    <w:rsid w:val="00146B74"/>
    <w:rsid w:val="00146C0F"/>
    <w:rsid w:val="00146CD9"/>
    <w:rsid w:val="00146E3A"/>
    <w:rsid w:val="00146EC6"/>
    <w:rsid w:val="00146F38"/>
    <w:rsid w:val="001470A0"/>
    <w:rsid w:val="0014710E"/>
    <w:rsid w:val="001472D8"/>
    <w:rsid w:val="0014735F"/>
    <w:rsid w:val="00147551"/>
    <w:rsid w:val="00147733"/>
    <w:rsid w:val="00147B03"/>
    <w:rsid w:val="00150061"/>
    <w:rsid w:val="0015022E"/>
    <w:rsid w:val="001502CD"/>
    <w:rsid w:val="00150321"/>
    <w:rsid w:val="0015063C"/>
    <w:rsid w:val="0015069D"/>
    <w:rsid w:val="00150718"/>
    <w:rsid w:val="001509E9"/>
    <w:rsid w:val="00150B63"/>
    <w:rsid w:val="00150E21"/>
    <w:rsid w:val="00151095"/>
    <w:rsid w:val="00151213"/>
    <w:rsid w:val="00151356"/>
    <w:rsid w:val="00151375"/>
    <w:rsid w:val="00151483"/>
    <w:rsid w:val="00151605"/>
    <w:rsid w:val="0015177C"/>
    <w:rsid w:val="00151C71"/>
    <w:rsid w:val="00151C8C"/>
    <w:rsid w:val="00151CC9"/>
    <w:rsid w:val="00151E7A"/>
    <w:rsid w:val="00151FF0"/>
    <w:rsid w:val="00152191"/>
    <w:rsid w:val="00152419"/>
    <w:rsid w:val="0015286E"/>
    <w:rsid w:val="00152AE9"/>
    <w:rsid w:val="00152FA4"/>
    <w:rsid w:val="00152FEC"/>
    <w:rsid w:val="001530B2"/>
    <w:rsid w:val="001533CC"/>
    <w:rsid w:val="001535D8"/>
    <w:rsid w:val="00153BAB"/>
    <w:rsid w:val="00153C0E"/>
    <w:rsid w:val="00154068"/>
    <w:rsid w:val="0015417C"/>
    <w:rsid w:val="00154370"/>
    <w:rsid w:val="00154375"/>
    <w:rsid w:val="0015444D"/>
    <w:rsid w:val="00154456"/>
    <w:rsid w:val="00154614"/>
    <w:rsid w:val="0015472B"/>
    <w:rsid w:val="00154A07"/>
    <w:rsid w:val="00154C43"/>
    <w:rsid w:val="00154CEB"/>
    <w:rsid w:val="00154CF4"/>
    <w:rsid w:val="00154DAF"/>
    <w:rsid w:val="00154F15"/>
    <w:rsid w:val="00155083"/>
    <w:rsid w:val="0015564F"/>
    <w:rsid w:val="001557D1"/>
    <w:rsid w:val="00155921"/>
    <w:rsid w:val="001559FB"/>
    <w:rsid w:val="00155B20"/>
    <w:rsid w:val="00155DDA"/>
    <w:rsid w:val="00155F1D"/>
    <w:rsid w:val="00155FC4"/>
    <w:rsid w:val="0015601C"/>
    <w:rsid w:val="001561F9"/>
    <w:rsid w:val="00156436"/>
    <w:rsid w:val="0015672A"/>
    <w:rsid w:val="00156758"/>
    <w:rsid w:val="001568EC"/>
    <w:rsid w:val="001569A5"/>
    <w:rsid w:val="00156A49"/>
    <w:rsid w:val="00156A6A"/>
    <w:rsid w:val="00156B8B"/>
    <w:rsid w:val="00156CFA"/>
    <w:rsid w:val="00156D1C"/>
    <w:rsid w:val="00157181"/>
    <w:rsid w:val="00157253"/>
    <w:rsid w:val="0015727F"/>
    <w:rsid w:val="0015739E"/>
    <w:rsid w:val="00157472"/>
    <w:rsid w:val="001575B1"/>
    <w:rsid w:val="00157684"/>
    <w:rsid w:val="0015781F"/>
    <w:rsid w:val="00157933"/>
    <w:rsid w:val="00157991"/>
    <w:rsid w:val="00157A45"/>
    <w:rsid w:val="00157B5F"/>
    <w:rsid w:val="00157C14"/>
    <w:rsid w:val="00157EBD"/>
    <w:rsid w:val="00157EC5"/>
    <w:rsid w:val="00157F04"/>
    <w:rsid w:val="001600F4"/>
    <w:rsid w:val="00160134"/>
    <w:rsid w:val="001603AA"/>
    <w:rsid w:val="00160501"/>
    <w:rsid w:val="00160522"/>
    <w:rsid w:val="001605A5"/>
    <w:rsid w:val="0016068C"/>
    <w:rsid w:val="00160C6D"/>
    <w:rsid w:val="00160C8E"/>
    <w:rsid w:val="00161169"/>
    <w:rsid w:val="00161357"/>
    <w:rsid w:val="00161464"/>
    <w:rsid w:val="0016148B"/>
    <w:rsid w:val="00161998"/>
    <w:rsid w:val="001619C9"/>
    <w:rsid w:val="00161B41"/>
    <w:rsid w:val="00161BAF"/>
    <w:rsid w:val="00161BF1"/>
    <w:rsid w:val="00161C3A"/>
    <w:rsid w:val="00161D8F"/>
    <w:rsid w:val="00161E1F"/>
    <w:rsid w:val="00161FA5"/>
    <w:rsid w:val="0016213D"/>
    <w:rsid w:val="0016223E"/>
    <w:rsid w:val="0016228D"/>
    <w:rsid w:val="00162434"/>
    <w:rsid w:val="001624B1"/>
    <w:rsid w:val="0016254A"/>
    <w:rsid w:val="00162581"/>
    <w:rsid w:val="00162823"/>
    <w:rsid w:val="0016286D"/>
    <w:rsid w:val="00162971"/>
    <w:rsid w:val="00162982"/>
    <w:rsid w:val="001629EC"/>
    <w:rsid w:val="00162C97"/>
    <w:rsid w:val="00162DB0"/>
    <w:rsid w:val="00162E9B"/>
    <w:rsid w:val="00162F4B"/>
    <w:rsid w:val="0016331B"/>
    <w:rsid w:val="00163740"/>
    <w:rsid w:val="00163A81"/>
    <w:rsid w:val="00163C6F"/>
    <w:rsid w:val="00163D0E"/>
    <w:rsid w:val="001642F6"/>
    <w:rsid w:val="00164553"/>
    <w:rsid w:val="001646D9"/>
    <w:rsid w:val="00164B0A"/>
    <w:rsid w:val="00164FA1"/>
    <w:rsid w:val="001651D9"/>
    <w:rsid w:val="001653E9"/>
    <w:rsid w:val="00165607"/>
    <w:rsid w:val="00165839"/>
    <w:rsid w:val="001658F8"/>
    <w:rsid w:val="00165A87"/>
    <w:rsid w:val="00165C49"/>
    <w:rsid w:val="00165E65"/>
    <w:rsid w:val="00165F90"/>
    <w:rsid w:val="0016602A"/>
    <w:rsid w:val="00166244"/>
    <w:rsid w:val="001663CC"/>
    <w:rsid w:val="00166859"/>
    <w:rsid w:val="001669A2"/>
    <w:rsid w:val="00166B9A"/>
    <w:rsid w:val="00166BDD"/>
    <w:rsid w:val="00166D76"/>
    <w:rsid w:val="00167104"/>
    <w:rsid w:val="00167163"/>
    <w:rsid w:val="0016716F"/>
    <w:rsid w:val="00167320"/>
    <w:rsid w:val="00167572"/>
    <w:rsid w:val="001676D2"/>
    <w:rsid w:val="00167727"/>
    <w:rsid w:val="001677B3"/>
    <w:rsid w:val="00167953"/>
    <w:rsid w:val="0016797C"/>
    <w:rsid w:val="00167A25"/>
    <w:rsid w:val="00167C25"/>
    <w:rsid w:val="00167D81"/>
    <w:rsid w:val="00167FA7"/>
    <w:rsid w:val="0017001E"/>
    <w:rsid w:val="001704B4"/>
    <w:rsid w:val="00170533"/>
    <w:rsid w:val="001705C8"/>
    <w:rsid w:val="00170808"/>
    <w:rsid w:val="00170956"/>
    <w:rsid w:val="00170993"/>
    <w:rsid w:val="001709FC"/>
    <w:rsid w:val="00170B72"/>
    <w:rsid w:val="00171043"/>
    <w:rsid w:val="00171204"/>
    <w:rsid w:val="001713EE"/>
    <w:rsid w:val="00171409"/>
    <w:rsid w:val="00171418"/>
    <w:rsid w:val="001714DA"/>
    <w:rsid w:val="0017161A"/>
    <w:rsid w:val="00171734"/>
    <w:rsid w:val="00171857"/>
    <w:rsid w:val="00171897"/>
    <w:rsid w:val="00171B13"/>
    <w:rsid w:val="00172116"/>
    <w:rsid w:val="00172260"/>
    <w:rsid w:val="00172711"/>
    <w:rsid w:val="00172736"/>
    <w:rsid w:val="00172811"/>
    <w:rsid w:val="0017296C"/>
    <w:rsid w:val="00172CC6"/>
    <w:rsid w:val="00172D39"/>
    <w:rsid w:val="00172FFD"/>
    <w:rsid w:val="00173565"/>
    <w:rsid w:val="0017359F"/>
    <w:rsid w:val="001736D5"/>
    <w:rsid w:val="0017370B"/>
    <w:rsid w:val="0017370E"/>
    <w:rsid w:val="0017375E"/>
    <w:rsid w:val="00173A60"/>
    <w:rsid w:val="00173B83"/>
    <w:rsid w:val="00173BF1"/>
    <w:rsid w:val="00173C4C"/>
    <w:rsid w:val="00173D14"/>
    <w:rsid w:val="0017422A"/>
    <w:rsid w:val="0017436E"/>
    <w:rsid w:val="00174400"/>
    <w:rsid w:val="00174404"/>
    <w:rsid w:val="00174413"/>
    <w:rsid w:val="00174566"/>
    <w:rsid w:val="0017463E"/>
    <w:rsid w:val="001746C1"/>
    <w:rsid w:val="00174720"/>
    <w:rsid w:val="00174734"/>
    <w:rsid w:val="00174807"/>
    <w:rsid w:val="001748E9"/>
    <w:rsid w:val="001749A5"/>
    <w:rsid w:val="00174A09"/>
    <w:rsid w:val="00174B3B"/>
    <w:rsid w:val="00174BE8"/>
    <w:rsid w:val="001751D4"/>
    <w:rsid w:val="00175232"/>
    <w:rsid w:val="00175443"/>
    <w:rsid w:val="00175669"/>
    <w:rsid w:val="00175EAF"/>
    <w:rsid w:val="00176025"/>
    <w:rsid w:val="00176028"/>
    <w:rsid w:val="00176048"/>
    <w:rsid w:val="001763EE"/>
    <w:rsid w:val="0017642E"/>
    <w:rsid w:val="00176479"/>
    <w:rsid w:val="0017660D"/>
    <w:rsid w:val="00176A9D"/>
    <w:rsid w:val="00176F36"/>
    <w:rsid w:val="0017700E"/>
    <w:rsid w:val="001770F1"/>
    <w:rsid w:val="0017718F"/>
    <w:rsid w:val="001771AC"/>
    <w:rsid w:val="00177266"/>
    <w:rsid w:val="00177461"/>
    <w:rsid w:val="00177597"/>
    <w:rsid w:val="0017789A"/>
    <w:rsid w:val="001778EA"/>
    <w:rsid w:val="0017795D"/>
    <w:rsid w:val="00177B10"/>
    <w:rsid w:val="00177BDC"/>
    <w:rsid w:val="00177E83"/>
    <w:rsid w:val="0018035F"/>
    <w:rsid w:val="00180397"/>
    <w:rsid w:val="0018060E"/>
    <w:rsid w:val="0018063E"/>
    <w:rsid w:val="00180752"/>
    <w:rsid w:val="00180A9E"/>
    <w:rsid w:val="00180C33"/>
    <w:rsid w:val="00181020"/>
    <w:rsid w:val="001810D3"/>
    <w:rsid w:val="00181141"/>
    <w:rsid w:val="0018119B"/>
    <w:rsid w:val="001814F7"/>
    <w:rsid w:val="001816C8"/>
    <w:rsid w:val="0018171F"/>
    <w:rsid w:val="00181778"/>
    <w:rsid w:val="00181821"/>
    <w:rsid w:val="0018193F"/>
    <w:rsid w:val="00181CD8"/>
    <w:rsid w:val="00181CEC"/>
    <w:rsid w:val="00181D57"/>
    <w:rsid w:val="00181EF9"/>
    <w:rsid w:val="00181F77"/>
    <w:rsid w:val="00181FDE"/>
    <w:rsid w:val="00182095"/>
    <w:rsid w:val="001820A3"/>
    <w:rsid w:val="001823AA"/>
    <w:rsid w:val="001823EC"/>
    <w:rsid w:val="00182532"/>
    <w:rsid w:val="0018263B"/>
    <w:rsid w:val="0018269A"/>
    <w:rsid w:val="001826B2"/>
    <w:rsid w:val="001826DD"/>
    <w:rsid w:val="00182758"/>
    <w:rsid w:val="00182818"/>
    <w:rsid w:val="0018289A"/>
    <w:rsid w:val="001828EF"/>
    <w:rsid w:val="00182F84"/>
    <w:rsid w:val="001830FA"/>
    <w:rsid w:val="00183361"/>
    <w:rsid w:val="00183577"/>
    <w:rsid w:val="001836AA"/>
    <w:rsid w:val="00183EA6"/>
    <w:rsid w:val="001840BB"/>
    <w:rsid w:val="00184239"/>
    <w:rsid w:val="001844A4"/>
    <w:rsid w:val="001845F1"/>
    <w:rsid w:val="00184637"/>
    <w:rsid w:val="0018478F"/>
    <w:rsid w:val="00184CCB"/>
    <w:rsid w:val="00184CF2"/>
    <w:rsid w:val="00184F3B"/>
    <w:rsid w:val="00184F70"/>
    <w:rsid w:val="00184FA5"/>
    <w:rsid w:val="0018512B"/>
    <w:rsid w:val="00185189"/>
    <w:rsid w:val="0018526E"/>
    <w:rsid w:val="0018531C"/>
    <w:rsid w:val="0018539F"/>
    <w:rsid w:val="001853B8"/>
    <w:rsid w:val="001855CD"/>
    <w:rsid w:val="001855F2"/>
    <w:rsid w:val="001859E1"/>
    <w:rsid w:val="00185B01"/>
    <w:rsid w:val="00185B4B"/>
    <w:rsid w:val="00185CC0"/>
    <w:rsid w:val="001861A0"/>
    <w:rsid w:val="00186235"/>
    <w:rsid w:val="0018672B"/>
    <w:rsid w:val="00186BA0"/>
    <w:rsid w:val="00186F42"/>
    <w:rsid w:val="00186F73"/>
    <w:rsid w:val="001870E9"/>
    <w:rsid w:val="001871AE"/>
    <w:rsid w:val="001873B4"/>
    <w:rsid w:val="001873D0"/>
    <w:rsid w:val="0018756F"/>
    <w:rsid w:val="00187588"/>
    <w:rsid w:val="00187679"/>
    <w:rsid w:val="001877C6"/>
    <w:rsid w:val="00187B4E"/>
    <w:rsid w:val="00187C2D"/>
    <w:rsid w:val="00187CE0"/>
    <w:rsid w:val="00187DF1"/>
    <w:rsid w:val="00187F91"/>
    <w:rsid w:val="00190097"/>
    <w:rsid w:val="00190280"/>
    <w:rsid w:val="0019046F"/>
    <w:rsid w:val="00190597"/>
    <w:rsid w:val="00190861"/>
    <w:rsid w:val="00190A88"/>
    <w:rsid w:val="00190A97"/>
    <w:rsid w:val="00190AEA"/>
    <w:rsid w:val="00190C27"/>
    <w:rsid w:val="0019108A"/>
    <w:rsid w:val="001911EA"/>
    <w:rsid w:val="001913CB"/>
    <w:rsid w:val="0019154D"/>
    <w:rsid w:val="0019155C"/>
    <w:rsid w:val="00191A32"/>
    <w:rsid w:val="0019217E"/>
    <w:rsid w:val="001921EE"/>
    <w:rsid w:val="001921F8"/>
    <w:rsid w:val="001922C2"/>
    <w:rsid w:val="00192416"/>
    <w:rsid w:val="00192537"/>
    <w:rsid w:val="00192548"/>
    <w:rsid w:val="001926A8"/>
    <w:rsid w:val="001926D0"/>
    <w:rsid w:val="00192D01"/>
    <w:rsid w:val="00192E39"/>
    <w:rsid w:val="00192FA0"/>
    <w:rsid w:val="0019304E"/>
    <w:rsid w:val="00193389"/>
    <w:rsid w:val="001933A9"/>
    <w:rsid w:val="00193598"/>
    <w:rsid w:val="0019363E"/>
    <w:rsid w:val="00193A3A"/>
    <w:rsid w:val="00193D01"/>
    <w:rsid w:val="00193EC4"/>
    <w:rsid w:val="00193EDD"/>
    <w:rsid w:val="00193F43"/>
    <w:rsid w:val="001940CD"/>
    <w:rsid w:val="001940E3"/>
    <w:rsid w:val="00194400"/>
    <w:rsid w:val="00194472"/>
    <w:rsid w:val="001946F3"/>
    <w:rsid w:val="001948A4"/>
    <w:rsid w:val="001948C1"/>
    <w:rsid w:val="001949DB"/>
    <w:rsid w:val="00194ABE"/>
    <w:rsid w:val="00194ACA"/>
    <w:rsid w:val="00194C7C"/>
    <w:rsid w:val="00194E1E"/>
    <w:rsid w:val="00194E38"/>
    <w:rsid w:val="00194FF5"/>
    <w:rsid w:val="001951B2"/>
    <w:rsid w:val="00195791"/>
    <w:rsid w:val="00195C5C"/>
    <w:rsid w:val="00195D71"/>
    <w:rsid w:val="00195EF0"/>
    <w:rsid w:val="00195FB5"/>
    <w:rsid w:val="0019612E"/>
    <w:rsid w:val="00196184"/>
    <w:rsid w:val="0019619C"/>
    <w:rsid w:val="00196202"/>
    <w:rsid w:val="001965A8"/>
    <w:rsid w:val="00196725"/>
    <w:rsid w:val="001967ED"/>
    <w:rsid w:val="00196807"/>
    <w:rsid w:val="0019697F"/>
    <w:rsid w:val="00196B1E"/>
    <w:rsid w:val="00196E35"/>
    <w:rsid w:val="00196E77"/>
    <w:rsid w:val="001971DF"/>
    <w:rsid w:val="00197291"/>
    <w:rsid w:val="0019751A"/>
    <w:rsid w:val="00197692"/>
    <w:rsid w:val="001977A0"/>
    <w:rsid w:val="00197821"/>
    <w:rsid w:val="0019784A"/>
    <w:rsid w:val="001978D0"/>
    <w:rsid w:val="00197A3A"/>
    <w:rsid w:val="00197ABE"/>
    <w:rsid w:val="00197CAF"/>
    <w:rsid w:val="00197FBB"/>
    <w:rsid w:val="001A0037"/>
    <w:rsid w:val="001A00CA"/>
    <w:rsid w:val="001A03F4"/>
    <w:rsid w:val="001A04D2"/>
    <w:rsid w:val="001A074F"/>
    <w:rsid w:val="001A08F2"/>
    <w:rsid w:val="001A0D2A"/>
    <w:rsid w:val="001A0ED6"/>
    <w:rsid w:val="001A0FCF"/>
    <w:rsid w:val="001A1693"/>
    <w:rsid w:val="001A19A3"/>
    <w:rsid w:val="001A1AFD"/>
    <w:rsid w:val="001A1B13"/>
    <w:rsid w:val="001A1BAB"/>
    <w:rsid w:val="001A1D06"/>
    <w:rsid w:val="001A1DBD"/>
    <w:rsid w:val="001A1DE3"/>
    <w:rsid w:val="001A1E09"/>
    <w:rsid w:val="001A1FD5"/>
    <w:rsid w:val="001A215C"/>
    <w:rsid w:val="001A2173"/>
    <w:rsid w:val="001A2334"/>
    <w:rsid w:val="001A2424"/>
    <w:rsid w:val="001A2471"/>
    <w:rsid w:val="001A25A7"/>
    <w:rsid w:val="001A26C4"/>
    <w:rsid w:val="001A28F9"/>
    <w:rsid w:val="001A2A49"/>
    <w:rsid w:val="001A2B34"/>
    <w:rsid w:val="001A2D5E"/>
    <w:rsid w:val="001A2E03"/>
    <w:rsid w:val="001A308A"/>
    <w:rsid w:val="001A31EC"/>
    <w:rsid w:val="001A329B"/>
    <w:rsid w:val="001A32EC"/>
    <w:rsid w:val="001A3309"/>
    <w:rsid w:val="001A348C"/>
    <w:rsid w:val="001A34BC"/>
    <w:rsid w:val="001A39D0"/>
    <w:rsid w:val="001A3A0E"/>
    <w:rsid w:val="001A3B78"/>
    <w:rsid w:val="001A3C24"/>
    <w:rsid w:val="001A3C60"/>
    <w:rsid w:val="001A3D8B"/>
    <w:rsid w:val="001A3E2E"/>
    <w:rsid w:val="001A3EFD"/>
    <w:rsid w:val="001A4108"/>
    <w:rsid w:val="001A415A"/>
    <w:rsid w:val="001A433F"/>
    <w:rsid w:val="001A43FF"/>
    <w:rsid w:val="001A4546"/>
    <w:rsid w:val="001A4622"/>
    <w:rsid w:val="001A479B"/>
    <w:rsid w:val="001A486B"/>
    <w:rsid w:val="001A48A6"/>
    <w:rsid w:val="001A4BB1"/>
    <w:rsid w:val="001A4E79"/>
    <w:rsid w:val="001A514E"/>
    <w:rsid w:val="001A5198"/>
    <w:rsid w:val="001A5275"/>
    <w:rsid w:val="001A52DE"/>
    <w:rsid w:val="001A55E4"/>
    <w:rsid w:val="001A570B"/>
    <w:rsid w:val="001A5837"/>
    <w:rsid w:val="001A5956"/>
    <w:rsid w:val="001A5A1B"/>
    <w:rsid w:val="001A5A23"/>
    <w:rsid w:val="001A5A36"/>
    <w:rsid w:val="001A5A5E"/>
    <w:rsid w:val="001A5CAC"/>
    <w:rsid w:val="001A6145"/>
    <w:rsid w:val="001A63FB"/>
    <w:rsid w:val="001A6459"/>
    <w:rsid w:val="001A6AA2"/>
    <w:rsid w:val="001A6AC9"/>
    <w:rsid w:val="001A6B41"/>
    <w:rsid w:val="001A6FA7"/>
    <w:rsid w:val="001A7115"/>
    <w:rsid w:val="001A7597"/>
    <w:rsid w:val="001A7689"/>
    <w:rsid w:val="001A77D9"/>
    <w:rsid w:val="001A7848"/>
    <w:rsid w:val="001B015E"/>
    <w:rsid w:val="001B0236"/>
    <w:rsid w:val="001B0301"/>
    <w:rsid w:val="001B030C"/>
    <w:rsid w:val="001B03B3"/>
    <w:rsid w:val="001B04FE"/>
    <w:rsid w:val="001B065A"/>
    <w:rsid w:val="001B0856"/>
    <w:rsid w:val="001B0ACE"/>
    <w:rsid w:val="001B0E99"/>
    <w:rsid w:val="001B11AF"/>
    <w:rsid w:val="001B1481"/>
    <w:rsid w:val="001B16AA"/>
    <w:rsid w:val="001B2051"/>
    <w:rsid w:val="001B2139"/>
    <w:rsid w:val="001B21A9"/>
    <w:rsid w:val="001B21F4"/>
    <w:rsid w:val="001B2352"/>
    <w:rsid w:val="001B24C3"/>
    <w:rsid w:val="001B26CA"/>
    <w:rsid w:val="001B2916"/>
    <w:rsid w:val="001B2A4F"/>
    <w:rsid w:val="001B2A64"/>
    <w:rsid w:val="001B2C35"/>
    <w:rsid w:val="001B2E94"/>
    <w:rsid w:val="001B3297"/>
    <w:rsid w:val="001B35B6"/>
    <w:rsid w:val="001B36EA"/>
    <w:rsid w:val="001B3ADF"/>
    <w:rsid w:val="001B42FF"/>
    <w:rsid w:val="001B4380"/>
    <w:rsid w:val="001B43AB"/>
    <w:rsid w:val="001B47B1"/>
    <w:rsid w:val="001B4CB2"/>
    <w:rsid w:val="001B4D0B"/>
    <w:rsid w:val="001B4D0D"/>
    <w:rsid w:val="001B4D26"/>
    <w:rsid w:val="001B4DF0"/>
    <w:rsid w:val="001B4E0E"/>
    <w:rsid w:val="001B4F1C"/>
    <w:rsid w:val="001B511D"/>
    <w:rsid w:val="001B5121"/>
    <w:rsid w:val="001B517A"/>
    <w:rsid w:val="001B533E"/>
    <w:rsid w:val="001B5345"/>
    <w:rsid w:val="001B53D8"/>
    <w:rsid w:val="001B5453"/>
    <w:rsid w:val="001B5464"/>
    <w:rsid w:val="001B5887"/>
    <w:rsid w:val="001B5B59"/>
    <w:rsid w:val="001B5D48"/>
    <w:rsid w:val="001B5FF4"/>
    <w:rsid w:val="001B6061"/>
    <w:rsid w:val="001B60DD"/>
    <w:rsid w:val="001B6161"/>
    <w:rsid w:val="001B659E"/>
    <w:rsid w:val="001B68EA"/>
    <w:rsid w:val="001B6C72"/>
    <w:rsid w:val="001B6DAB"/>
    <w:rsid w:val="001B6FF0"/>
    <w:rsid w:val="001B7104"/>
    <w:rsid w:val="001B71C6"/>
    <w:rsid w:val="001B742D"/>
    <w:rsid w:val="001B7A58"/>
    <w:rsid w:val="001B7BAA"/>
    <w:rsid w:val="001B7D64"/>
    <w:rsid w:val="001B7E31"/>
    <w:rsid w:val="001C002C"/>
    <w:rsid w:val="001C041E"/>
    <w:rsid w:val="001C067C"/>
    <w:rsid w:val="001C07B3"/>
    <w:rsid w:val="001C0CCC"/>
    <w:rsid w:val="001C0CD4"/>
    <w:rsid w:val="001C0D29"/>
    <w:rsid w:val="001C0E52"/>
    <w:rsid w:val="001C1181"/>
    <w:rsid w:val="001C1232"/>
    <w:rsid w:val="001C1298"/>
    <w:rsid w:val="001C12EA"/>
    <w:rsid w:val="001C152A"/>
    <w:rsid w:val="001C167D"/>
    <w:rsid w:val="001C1904"/>
    <w:rsid w:val="001C1A8A"/>
    <w:rsid w:val="001C1B45"/>
    <w:rsid w:val="001C1FD8"/>
    <w:rsid w:val="001C2111"/>
    <w:rsid w:val="001C23A7"/>
    <w:rsid w:val="001C2673"/>
    <w:rsid w:val="001C26EC"/>
    <w:rsid w:val="001C27CA"/>
    <w:rsid w:val="001C285B"/>
    <w:rsid w:val="001C292C"/>
    <w:rsid w:val="001C30BF"/>
    <w:rsid w:val="001C3241"/>
    <w:rsid w:val="001C337F"/>
    <w:rsid w:val="001C3495"/>
    <w:rsid w:val="001C34D5"/>
    <w:rsid w:val="001C3E44"/>
    <w:rsid w:val="001C4324"/>
    <w:rsid w:val="001C46F1"/>
    <w:rsid w:val="001C4956"/>
    <w:rsid w:val="001C4A57"/>
    <w:rsid w:val="001C4AE9"/>
    <w:rsid w:val="001C4BBE"/>
    <w:rsid w:val="001C4CB3"/>
    <w:rsid w:val="001C4DBF"/>
    <w:rsid w:val="001C4EB6"/>
    <w:rsid w:val="001C4FDF"/>
    <w:rsid w:val="001C5433"/>
    <w:rsid w:val="001C5546"/>
    <w:rsid w:val="001C5638"/>
    <w:rsid w:val="001C5749"/>
    <w:rsid w:val="001C5759"/>
    <w:rsid w:val="001C5A6C"/>
    <w:rsid w:val="001C5B31"/>
    <w:rsid w:val="001C5C60"/>
    <w:rsid w:val="001C5DAA"/>
    <w:rsid w:val="001C5DB9"/>
    <w:rsid w:val="001C6201"/>
    <w:rsid w:val="001C644F"/>
    <w:rsid w:val="001C65A7"/>
    <w:rsid w:val="001C6849"/>
    <w:rsid w:val="001C6932"/>
    <w:rsid w:val="001C696D"/>
    <w:rsid w:val="001C6997"/>
    <w:rsid w:val="001C69D8"/>
    <w:rsid w:val="001C6A96"/>
    <w:rsid w:val="001C6AD6"/>
    <w:rsid w:val="001C6C5B"/>
    <w:rsid w:val="001C6D5E"/>
    <w:rsid w:val="001C7013"/>
    <w:rsid w:val="001C70CC"/>
    <w:rsid w:val="001C7260"/>
    <w:rsid w:val="001C72F5"/>
    <w:rsid w:val="001C7367"/>
    <w:rsid w:val="001C7422"/>
    <w:rsid w:val="001C7456"/>
    <w:rsid w:val="001C79FB"/>
    <w:rsid w:val="001C7C80"/>
    <w:rsid w:val="001C7EA1"/>
    <w:rsid w:val="001C7EA9"/>
    <w:rsid w:val="001D006D"/>
    <w:rsid w:val="001D0105"/>
    <w:rsid w:val="001D0115"/>
    <w:rsid w:val="001D0402"/>
    <w:rsid w:val="001D0404"/>
    <w:rsid w:val="001D046A"/>
    <w:rsid w:val="001D0720"/>
    <w:rsid w:val="001D074B"/>
    <w:rsid w:val="001D0794"/>
    <w:rsid w:val="001D0CA2"/>
    <w:rsid w:val="001D0D71"/>
    <w:rsid w:val="001D0EDB"/>
    <w:rsid w:val="001D0F59"/>
    <w:rsid w:val="001D1190"/>
    <w:rsid w:val="001D1191"/>
    <w:rsid w:val="001D15FB"/>
    <w:rsid w:val="001D191D"/>
    <w:rsid w:val="001D1A33"/>
    <w:rsid w:val="001D1BFE"/>
    <w:rsid w:val="001D1CCC"/>
    <w:rsid w:val="001D2792"/>
    <w:rsid w:val="001D2871"/>
    <w:rsid w:val="001D29ED"/>
    <w:rsid w:val="001D2B57"/>
    <w:rsid w:val="001D2E3D"/>
    <w:rsid w:val="001D2EED"/>
    <w:rsid w:val="001D2F42"/>
    <w:rsid w:val="001D2F9E"/>
    <w:rsid w:val="001D33CC"/>
    <w:rsid w:val="001D367F"/>
    <w:rsid w:val="001D370E"/>
    <w:rsid w:val="001D3878"/>
    <w:rsid w:val="001D3993"/>
    <w:rsid w:val="001D39F5"/>
    <w:rsid w:val="001D3C41"/>
    <w:rsid w:val="001D3C5C"/>
    <w:rsid w:val="001D3E88"/>
    <w:rsid w:val="001D4335"/>
    <w:rsid w:val="001D463E"/>
    <w:rsid w:val="001D46CA"/>
    <w:rsid w:val="001D486C"/>
    <w:rsid w:val="001D48BB"/>
    <w:rsid w:val="001D495E"/>
    <w:rsid w:val="001D514D"/>
    <w:rsid w:val="001D540E"/>
    <w:rsid w:val="001D56E9"/>
    <w:rsid w:val="001D58F2"/>
    <w:rsid w:val="001D5902"/>
    <w:rsid w:val="001D5B3C"/>
    <w:rsid w:val="001D5F94"/>
    <w:rsid w:val="001D6335"/>
    <w:rsid w:val="001D6482"/>
    <w:rsid w:val="001D6489"/>
    <w:rsid w:val="001D657F"/>
    <w:rsid w:val="001D6607"/>
    <w:rsid w:val="001D668D"/>
    <w:rsid w:val="001D671A"/>
    <w:rsid w:val="001D6862"/>
    <w:rsid w:val="001D6ACD"/>
    <w:rsid w:val="001D6B64"/>
    <w:rsid w:val="001D6C5A"/>
    <w:rsid w:val="001D6D8F"/>
    <w:rsid w:val="001D6EA3"/>
    <w:rsid w:val="001D6EBB"/>
    <w:rsid w:val="001D6FD2"/>
    <w:rsid w:val="001D7048"/>
    <w:rsid w:val="001D71A2"/>
    <w:rsid w:val="001D74DA"/>
    <w:rsid w:val="001D7792"/>
    <w:rsid w:val="001D7810"/>
    <w:rsid w:val="001D79A5"/>
    <w:rsid w:val="001D79BE"/>
    <w:rsid w:val="001D7D4C"/>
    <w:rsid w:val="001D7E29"/>
    <w:rsid w:val="001D7FBA"/>
    <w:rsid w:val="001E028B"/>
    <w:rsid w:val="001E0363"/>
    <w:rsid w:val="001E0944"/>
    <w:rsid w:val="001E11F2"/>
    <w:rsid w:val="001E1400"/>
    <w:rsid w:val="001E15F2"/>
    <w:rsid w:val="001E1685"/>
    <w:rsid w:val="001E182D"/>
    <w:rsid w:val="001E19CA"/>
    <w:rsid w:val="001E1A11"/>
    <w:rsid w:val="001E1A16"/>
    <w:rsid w:val="001E1A9C"/>
    <w:rsid w:val="001E1D42"/>
    <w:rsid w:val="001E1E2A"/>
    <w:rsid w:val="001E1F6E"/>
    <w:rsid w:val="001E248F"/>
    <w:rsid w:val="001E293D"/>
    <w:rsid w:val="001E2E6D"/>
    <w:rsid w:val="001E3088"/>
    <w:rsid w:val="001E3283"/>
    <w:rsid w:val="001E33D7"/>
    <w:rsid w:val="001E37CB"/>
    <w:rsid w:val="001E39DA"/>
    <w:rsid w:val="001E3A3F"/>
    <w:rsid w:val="001E3B3E"/>
    <w:rsid w:val="001E3DA8"/>
    <w:rsid w:val="001E3F7C"/>
    <w:rsid w:val="001E4010"/>
    <w:rsid w:val="001E40B2"/>
    <w:rsid w:val="001E4256"/>
    <w:rsid w:val="001E433D"/>
    <w:rsid w:val="001E435A"/>
    <w:rsid w:val="001E43D3"/>
    <w:rsid w:val="001E461C"/>
    <w:rsid w:val="001E4784"/>
    <w:rsid w:val="001E4A34"/>
    <w:rsid w:val="001E4BC0"/>
    <w:rsid w:val="001E4C99"/>
    <w:rsid w:val="001E50D9"/>
    <w:rsid w:val="001E5576"/>
    <w:rsid w:val="001E56FE"/>
    <w:rsid w:val="001E59AE"/>
    <w:rsid w:val="001E5A3E"/>
    <w:rsid w:val="001E5E03"/>
    <w:rsid w:val="001E600F"/>
    <w:rsid w:val="001E6659"/>
    <w:rsid w:val="001E6668"/>
    <w:rsid w:val="001E66B7"/>
    <w:rsid w:val="001E6799"/>
    <w:rsid w:val="001E6ADB"/>
    <w:rsid w:val="001E6AEA"/>
    <w:rsid w:val="001E6B61"/>
    <w:rsid w:val="001E6DF3"/>
    <w:rsid w:val="001E6E49"/>
    <w:rsid w:val="001E6E88"/>
    <w:rsid w:val="001E737D"/>
    <w:rsid w:val="001E74A7"/>
    <w:rsid w:val="001E794B"/>
    <w:rsid w:val="001E7A4E"/>
    <w:rsid w:val="001F0174"/>
    <w:rsid w:val="001F020D"/>
    <w:rsid w:val="001F031D"/>
    <w:rsid w:val="001F0598"/>
    <w:rsid w:val="001F06A9"/>
    <w:rsid w:val="001F08B3"/>
    <w:rsid w:val="001F0940"/>
    <w:rsid w:val="001F0AE2"/>
    <w:rsid w:val="001F0B0B"/>
    <w:rsid w:val="001F0CA9"/>
    <w:rsid w:val="001F0D9B"/>
    <w:rsid w:val="001F1073"/>
    <w:rsid w:val="001F1BBC"/>
    <w:rsid w:val="001F1BEF"/>
    <w:rsid w:val="001F1C41"/>
    <w:rsid w:val="001F1DCD"/>
    <w:rsid w:val="001F1FAB"/>
    <w:rsid w:val="001F2040"/>
    <w:rsid w:val="001F2141"/>
    <w:rsid w:val="001F2365"/>
    <w:rsid w:val="001F2523"/>
    <w:rsid w:val="001F25FE"/>
    <w:rsid w:val="001F2BCB"/>
    <w:rsid w:val="001F2D50"/>
    <w:rsid w:val="001F2EFC"/>
    <w:rsid w:val="001F31F1"/>
    <w:rsid w:val="001F33DF"/>
    <w:rsid w:val="001F35CB"/>
    <w:rsid w:val="001F3923"/>
    <w:rsid w:val="001F392C"/>
    <w:rsid w:val="001F397F"/>
    <w:rsid w:val="001F39B5"/>
    <w:rsid w:val="001F3C61"/>
    <w:rsid w:val="001F3DBE"/>
    <w:rsid w:val="001F3E95"/>
    <w:rsid w:val="001F4324"/>
    <w:rsid w:val="001F44D4"/>
    <w:rsid w:val="001F48E2"/>
    <w:rsid w:val="001F4B02"/>
    <w:rsid w:val="001F4B1D"/>
    <w:rsid w:val="001F4C55"/>
    <w:rsid w:val="001F5044"/>
    <w:rsid w:val="001F50D1"/>
    <w:rsid w:val="001F522D"/>
    <w:rsid w:val="001F52E5"/>
    <w:rsid w:val="001F5660"/>
    <w:rsid w:val="001F5934"/>
    <w:rsid w:val="001F5944"/>
    <w:rsid w:val="001F5A45"/>
    <w:rsid w:val="001F5B2B"/>
    <w:rsid w:val="001F5B2E"/>
    <w:rsid w:val="001F5B95"/>
    <w:rsid w:val="001F5C17"/>
    <w:rsid w:val="001F5DA7"/>
    <w:rsid w:val="001F5DBC"/>
    <w:rsid w:val="001F5E35"/>
    <w:rsid w:val="001F605C"/>
    <w:rsid w:val="001F6197"/>
    <w:rsid w:val="001F631E"/>
    <w:rsid w:val="001F6985"/>
    <w:rsid w:val="001F6992"/>
    <w:rsid w:val="001F69F5"/>
    <w:rsid w:val="001F6A45"/>
    <w:rsid w:val="001F6B5D"/>
    <w:rsid w:val="001F6C4B"/>
    <w:rsid w:val="001F7204"/>
    <w:rsid w:val="001F7297"/>
    <w:rsid w:val="001F7409"/>
    <w:rsid w:val="001F7507"/>
    <w:rsid w:val="001F7A8F"/>
    <w:rsid w:val="001F7AFD"/>
    <w:rsid w:val="001F7E94"/>
    <w:rsid w:val="00200219"/>
    <w:rsid w:val="00200387"/>
    <w:rsid w:val="00200522"/>
    <w:rsid w:val="0020067B"/>
    <w:rsid w:val="00200685"/>
    <w:rsid w:val="002007A8"/>
    <w:rsid w:val="00200823"/>
    <w:rsid w:val="002008B7"/>
    <w:rsid w:val="002008C6"/>
    <w:rsid w:val="00200ABC"/>
    <w:rsid w:val="00200C69"/>
    <w:rsid w:val="00200C77"/>
    <w:rsid w:val="00200FB0"/>
    <w:rsid w:val="00201088"/>
    <w:rsid w:val="002010C8"/>
    <w:rsid w:val="002011A0"/>
    <w:rsid w:val="00201213"/>
    <w:rsid w:val="0020121E"/>
    <w:rsid w:val="002015DA"/>
    <w:rsid w:val="00201937"/>
    <w:rsid w:val="00201CA3"/>
    <w:rsid w:val="00201D59"/>
    <w:rsid w:val="00202079"/>
    <w:rsid w:val="002020FA"/>
    <w:rsid w:val="002021A1"/>
    <w:rsid w:val="002021AC"/>
    <w:rsid w:val="00202757"/>
    <w:rsid w:val="00202881"/>
    <w:rsid w:val="00202AD4"/>
    <w:rsid w:val="00202BD9"/>
    <w:rsid w:val="00202C30"/>
    <w:rsid w:val="00202F0B"/>
    <w:rsid w:val="002033DD"/>
    <w:rsid w:val="002036CF"/>
    <w:rsid w:val="00203897"/>
    <w:rsid w:val="002039C9"/>
    <w:rsid w:val="00203C42"/>
    <w:rsid w:val="00203CBF"/>
    <w:rsid w:val="00203EC0"/>
    <w:rsid w:val="00203F39"/>
    <w:rsid w:val="00203F4B"/>
    <w:rsid w:val="00203F4D"/>
    <w:rsid w:val="00204163"/>
    <w:rsid w:val="00204296"/>
    <w:rsid w:val="002042F0"/>
    <w:rsid w:val="00204578"/>
    <w:rsid w:val="002046A5"/>
    <w:rsid w:val="00204831"/>
    <w:rsid w:val="00204B2A"/>
    <w:rsid w:val="00204C8D"/>
    <w:rsid w:val="002050F7"/>
    <w:rsid w:val="002052D9"/>
    <w:rsid w:val="002054AC"/>
    <w:rsid w:val="00205E03"/>
    <w:rsid w:val="00205E3C"/>
    <w:rsid w:val="00205E46"/>
    <w:rsid w:val="00205F7B"/>
    <w:rsid w:val="00205FDD"/>
    <w:rsid w:val="002060EC"/>
    <w:rsid w:val="002062B9"/>
    <w:rsid w:val="00206375"/>
    <w:rsid w:val="002064CA"/>
    <w:rsid w:val="0020660E"/>
    <w:rsid w:val="00206933"/>
    <w:rsid w:val="0020693D"/>
    <w:rsid w:val="00206BE3"/>
    <w:rsid w:val="00206CAE"/>
    <w:rsid w:val="00206DB1"/>
    <w:rsid w:val="00206E54"/>
    <w:rsid w:val="00206FC5"/>
    <w:rsid w:val="002070EF"/>
    <w:rsid w:val="00207148"/>
    <w:rsid w:val="002072EE"/>
    <w:rsid w:val="00207405"/>
    <w:rsid w:val="00207618"/>
    <w:rsid w:val="00207673"/>
    <w:rsid w:val="002078B5"/>
    <w:rsid w:val="00207984"/>
    <w:rsid w:val="00207DE8"/>
    <w:rsid w:val="0021025A"/>
    <w:rsid w:val="002104DB"/>
    <w:rsid w:val="00210849"/>
    <w:rsid w:val="00210B38"/>
    <w:rsid w:val="00210B77"/>
    <w:rsid w:val="0021123E"/>
    <w:rsid w:val="0021126A"/>
    <w:rsid w:val="00211446"/>
    <w:rsid w:val="00211506"/>
    <w:rsid w:val="00211743"/>
    <w:rsid w:val="00211870"/>
    <w:rsid w:val="00211A9B"/>
    <w:rsid w:val="00211AF8"/>
    <w:rsid w:val="00211E8A"/>
    <w:rsid w:val="00212185"/>
    <w:rsid w:val="002123BA"/>
    <w:rsid w:val="00212438"/>
    <w:rsid w:val="002128FD"/>
    <w:rsid w:val="00212BEE"/>
    <w:rsid w:val="00212C64"/>
    <w:rsid w:val="00212D63"/>
    <w:rsid w:val="00212D72"/>
    <w:rsid w:val="00212E04"/>
    <w:rsid w:val="00212F38"/>
    <w:rsid w:val="00213017"/>
    <w:rsid w:val="0021301C"/>
    <w:rsid w:val="00213255"/>
    <w:rsid w:val="00213325"/>
    <w:rsid w:val="002133DE"/>
    <w:rsid w:val="00213454"/>
    <w:rsid w:val="002135E7"/>
    <w:rsid w:val="002138F7"/>
    <w:rsid w:val="0021390E"/>
    <w:rsid w:val="00213AED"/>
    <w:rsid w:val="00213C3F"/>
    <w:rsid w:val="00213E7C"/>
    <w:rsid w:val="002141B5"/>
    <w:rsid w:val="00214934"/>
    <w:rsid w:val="00214A0A"/>
    <w:rsid w:val="00214AC5"/>
    <w:rsid w:val="00214B8C"/>
    <w:rsid w:val="00214FE8"/>
    <w:rsid w:val="0021509C"/>
    <w:rsid w:val="002150DF"/>
    <w:rsid w:val="00215233"/>
    <w:rsid w:val="00215471"/>
    <w:rsid w:val="002155EB"/>
    <w:rsid w:val="002156EE"/>
    <w:rsid w:val="002159B4"/>
    <w:rsid w:val="00215D1F"/>
    <w:rsid w:val="00215E15"/>
    <w:rsid w:val="00215FB3"/>
    <w:rsid w:val="00216196"/>
    <w:rsid w:val="00216510"/>
    <w:rsid w:val="0021675B"/>
    <w:rsid w:val="002168FB"/>
    <w:rsid w:val="002169C5"/>
    <w:rsid w:val="00216A3A"/>
    <w:rsid w:val="00216EB1"/>
    <w:rsid w:val="002170BA"/>
    <w:rsid w:val="0021717D"/>
    <w:rsid w:val="0021731E"/>
    <w:rsid w:val="002173AD"/>
    <w:rsid w:val="00217405"/>
    <w:rsid w:val="0021740B"/>
    <w:rsid w:val="002174FF"/>
    <w:rsid w:val="0021751B"/>
    <w:rsid w:val="002176EB"/>
    <w:rsid w:val="00217721"/>
    <w:rsid w:val="00217761"/>
    <w:rsid w:val="002177DD"/>
    <w:rsid w:val="00217911"/>
    <w:rsid w:val="0021792A"/>
    <w:rsid w:val="00217A4A"/>
    <w:rsid w:val="00217C53"/>
    <w:rsid w:val="00217EC8"/>
    <w:rsid w:val="00217EE1"/>
    <w:rsid w:val="00217F04"/>
    <w:rsid w:val="0022051F"/>
    <w:rsid w:val="0022094C"/>
    <w:rsid w:val="002209F1"/>
    <w:rsid w:val="00220A2E"/>
    <w:rsid w:val="00220AA1"/>
    <w:rsid w:val="00220E58"/>
    <w:rsid w:val="00220EC7"/>
    <w:rsid w:val="00220F4B"/>
    <w:rsid w:val="00221304"/>
    <w:rsid w:val="0022157E"/>
    <w:rsid w:val="002215A2"/>
    <w:rsid w:val="002216CF"/>
    <w:rsid w:val="0022176C"/>
    <w:rsid w:val="002217C3"/>
    <w:rsid w:val="00221964"/>
    <w:rsid w:val="002219CF"/>
    <w:rsid w:val="00221D9E"/>
    <w:rsid w:val="00221E26"/>
    <w:rsid w:val="0022200E"/>
    <w:rsid w:val="00222041"/>
    <w:rsid w:val="002222B5"/>
    <w:rsid w:val="00222328"/>
    <w:rsid w:val="002224A0"/>
    <w:rsid w:val="0022250C"/>
    <w:rsid w:val="00222820"/>
    <w:rsid w:val="002229A7"/>
    <w:rsid w:val="00222D46"/>
    <w:rsid w:val="00222D71"/>
    <w:rsid w:val="00223250"/>
    <w:rsid w:val="00223336"/>
    <w:rsid w:val="002233D8"/>
    <w:rsid w:val="002234C6"/>
    <w:rsid w:val="0022355C"/>
    <w:rsid w:val="002236F6"/>
    <w:rsid w:val="00223904"/>
    <w:rsid w:val="00223A05"/>
    <w:rsid w:val="00223AEB"/>
    <w:rsid w:val="00223B7B"/>
    <w:rsid w:val="00223BD2"/>
    <w:rsid w:val="00223D1C"/>
    <w:rsid w:val="002241A8"/>
    <w:rsid w:val="002241F0"/>
    <w:rsid w:val="002242C0"/>
    <w:rsid w:val="00224300"/>
    <w:rsid w:val="00224332"/>
    <w:rsid w:val="0022448B"/>
    <w:rsid w:val="00224537"/>
    <w:rsid w:val="0022458A"/>
    <w:rsid w:val="002245AC"/>
    <w:rsid w:val="002245FE"/>
    <w:rsid w:val="00224753"/>
    <w:rsid w:val="00224776"/>
    <w:rsid w:val="00224868"/>
    <w:rsid w:val="002248B1"/>
    <w:rsid w:val="00224907"/>
    <w:rsid w:val="00224B7D"/>
    <w:rsid w:val="00224E2E"/>
    <w:rsid w:val="0022515A"/>
    <w:rsid w:val="002252B8"/>
    <w:rsid w:val="0022559E"/>
    <w:rsid w:val="002257B5"/>
    <w:rsid w:val="00225893"/>
    <w:rsid w:val="002258D7"/>
    <w:rsid w:val="00225929"/>
    <w:rsid w:val="00225AA9"/>
    <w:rsid w:val="00225AD3"/>
    <w:rsid w:val="00225B5C"/>
    <w:rsid w:val="00225BB6"/>
    <w:rsid w:val="00225C70"/>
    <w:rsid w:val="00225E1B"/>
    <w:rsid w:val="00225F23"/>
    <w:rsid w:val="00225FD8"/>
    <w:rsid w:val="00226077"/>
    <w:rsid w:val="002263F8"/>
    <w:rsid w:val="00226444"/>
    <w:rsid w:val="00226900"/>
    <w:rsid w:val="00226CDF"/>
    <w:rsid w:val="00226D20"/>
    <w:rsid w:val="00226DDC"/>
    <w:rsid w:val="00226DED"/>
    <w:rsid w:val="00226E7D"/>
    <w:rsid w:val="00226F3A"/>
    <w:rsid w:val="002273AF"/>
    <w:rsid w:val="002277BD"/>
    <w:rsid w:val="002279F1"/>
    <w:rsid w:val="00227A4B"/>
    <w:rsid w:val="00227A7E"/>
    <w:rsid w:val="00227AE9"/>
    <w:rsid w:val="00227E96"/>
    <w:rsid w:val="00227EC5"/>
    <w:rsid w:val="002300B9"/>
    <w:rsid w:val="0023047A"/>
    <w:rsid w:val="0023047E"/>
    <w:rsid w:val="0023051D"/>
    <w:rsid w:val="00230580"/>
    <w:rsid w:val="0023058F"/>
    <w:rsid w:val="00230650"/>
    <w:rsid w:val="002308AC"/>
    <w:rsid w:val="00230A3E"/>
    <w:rsid w:val="00230ABB"/>
    <w:rsid w:val="00230AD0"/>
    <w:rsid w:val="00230CCF"/>
    <w:rsid w:val="00230F20"/>
    <w:rsid w:val="00230F58"/>
    <w:rsid w:val="00231080"/>
    <w:rsid w:val="00231347"/>
    <w:rsid w:val="002313DB"/>
    <w:rsid w:val="002314D2"/>
    <w:rsid w:val="002315D0"/>
    <w:rsid w:val="002315E1"/>
    <w:rsid w:val="00231810"/>
    <w:rsid w:val="002318E6"/>
    <w:rsid w:val="00231966"/>
    <w:rsid w:val="00231A71"/>
    <w:rsid w:val="00231A82"/>
    <w:rsid w:val="00231AD6"/>
    <w:rsid w:val="00231BF0"/>
    <w:rsid w:val="00231DBB"/>
    <w:rsid w:val="00231E9D"/>
    <w:rsid w:val="00232023"/>
    <w:rsid w:val="00232038"/>
    <w:rsid w:val="00232335"/>
    <w:rsid w:val="0023235A"/>
    <w:rsid w:val="00232439"/>
    <w:rsid w:val="0023244B"/>
    <w:rsid w:val="002325F2"/>
    <w:rsid w:val="002326AA"/>
    <w:rsid w:val="0023280D"/>
    <w:rsid w:val="00232DB6"/>
    <w:rsid w:val="00232E75"/>
    <w:rsid w:val="00232FE0"/>
    <w:rsid w:val="002330A3"/>
    <w:rsid w:val="002336EF"/>
    <w:rsid w:val="00233820"/>
    <w:rsid w:val="00233AE7"/>
    <w:rsid w:val="00233C2A"/>
    <w:rsid w:val="00233FA1"/>
    <w:rsid w:val="002340F0"/>
    <w:rsid w:val="0023424E"/>
    <w:rsid w:val="0023457C"/>
    <w:rsid w:val="002346C2"/>
    <w:rsid w:val="00234763"/>
    <w:rsid w:val="002349F2"/>
    <w:rsid w:val="00234B23"/>
    <w:rsid w:val="00234D1C"/>
    <w:rsid w:val="00234E2F"/>
    <w:rsid w:val="002351A8"/>
    <w:rsid w:val="002352E7"/>
    <w:rsid w:val="002353C0"/>
    <w:rsid w:val="002355FF"/>
    <w:rsid w:val="0023572A"/>
    <w:rsid w:val="00235755"/>
    <w:rsid w:val="00235762"/>
    <w:rsid w:val="002357C6"/>
    <w:rsid w:val="002358FE"/>
    <w:rsid w:val="00235963"/>
    <w:rsid w:val="00235ABE"/>
    <w:rsid w:val="00235C5A"/>
    <w:rsid w:val="00235F49"/>
    <w:rsid w:val="002360AA"/>
    <w:rsid w:val="00236224"/>
    <w:rsid w:val="002363C1"/>
    <w:rsid w:val="00236424"/>
    <w:rsid w:val="002365FE"/>
    <w:rsid w:val="0023668C"/>
    <w:rsid w:val="002366BF"/>
    <w:rsid w:val="00236A32"/>
    <w:rsid w:val="00236B3E"/>
    <w:rsid w:val="00236C7C"/>
    <w:rsid w:val="00236C95"/>
    <w:rsid w:val="00236D90"/>
    <w:rsid w:val="00236E5F"/>
    <w:rsid w:val="00236F6F"/>
    <w:rsid w:val="002371C2"/>
    <w:rsid w:val="00237272"/>
    <w:rsid w:val="002374C3"/>
    <w:rsid w:val="00237579"/>
    <w:rsid w:val="0023766D"/>
    <w:rsid w:val="002379DE"/>
    <w:rsid w:val="00237A38"/>
    <w:rsid w:val="00237E51"/>
    <w:rsid w:val="00237FE5"/>
    <w:rsid w:val="002407DF"/>
    <w:rsid w:val="0024089C"/>
    <w:rsid w:val="002408B6"/>
    <w:rsid w:val="00240FDC"/>
    <w:rsid w:val="002410E9"/>
    <w:rsid w:val="002416D5"/>
    <w:rsid w:val="0024186D"/>
    <w:rsid w:val="00241965"/>
    <w:rsid w:val="00241A6B"/>
    <w:rsid w:val="00241AFE"/>
    <w:rsid w:val="00241B3D"/>
    <w:rsid w:val="00241B68"/>
    <w:rsid w:val="00241D18"/>
    <w:rsid w:val="00241E62"/>
    <w:rsid w:val="00241EAE"/>
    <w:rsid w:val="00241F98"/>
    <w:rsid w:val="0024219B"/>
    <w:rsid w:val="002421AF"/>
    <w:rsid w:val="002423FB"/>
    <w:rsid w:val="0024251C"/>
    <w:rsid w:val="0024256E"/>
    <w:rsid w:val="0024270C"/>
    <w:rsid w:val="002429A3"/>
    <w:rsid w:val="00242A11"/>
    <w:rsid w:val="00242A69"/>
    <w:rsid w:val="00242BDB"/>
    <w:rsid w:val="00242E35"/>
    <w:rsid w:val="002430D4"/>
    <w:rsid w:val="002431F9"/>
    <w:rsid w:val="00243657"/>
    <w:rsid w:val="00243909"/>
    <w:rsid w:val="0024398D"/>
    <w:rsid w:val="002439AA"/>
    <w:rsid w:val="00243BBC"/>
    <w:rsid w:val="00243CE3"/>
    <w:rsid w:val="00244553"/>
    <w:rsid w:val="002446AF"/>
    <w:rsid w:val="002448A3"/>
    <w:rsid w:val="002448CD"/>
    <w:rsid w:val="00244BB8"/>
    <w:rsid w:val="00244C18"/>
    <w:rsid w:val="00244E8B"/>
    <w:rsid w:val="00245005"/>
    <w:rsid w:val="0024502C"/>
    <w:rsid w:val="00245106"/>
    <w:rsid w:val="0024525B"/>
    <w:rsid w:val="00245395"/>
    <w:rsid w:val="002453F5"/>
    <w:rsid w:val="002454D9"/>
    <w:rsid w:val="002455A4"/>
    <w:rsid w:val="0024594D"/>
    <w:rsid w:val="00245989"/>
    <w:rsid w:val="00245D52"/>
    <w:rsid w:val="00245F04"/>
    <w:rsid w:val="00245F36"/>
    <w:rsid w:val="00246238"/>
    <w:rsid w:val="0024626C"/>
    <w:rsid w:val="00246383"/>
    <w:rsid w:val="002465C1"/>
    <w:rsid w:val="00246831"/>
    <w:rsid w:val="00246AA5"/>
    <w:rsid w:val="00246D42"/>
    <w:rsid w:val="00246E20"/>
    <w:rsid w:val="002475B6"/>
    <w:rsid w:val="0024760D"/>
    <w:rsid w:val="00247BDF"/>
    <w:rsid w:val="00247C83"/>
    <w:rsid w:val="00247FC6"/>
    <w:rsid w:val="002503A1"/>
    <w:rsid w:val="002504F4"/>
    <w:rsid w:val="00250740"/>
    <w:rsid w:val="00250ED9"/>
    <w:rsid w:val="00250F51"/>
    <w:rsid w:val="00251076"/>
    <w:rsid w:val="00251081"/>
    <w:rsid w:val="002510BA"/>
    <w:rsid w:val="002512F6"/>
    <w:rsid w:val="0025130B"/>
    <w:rsid w:val="002513BE"/>
    <w:rsid w:val="002515B1"/>
    <w:rsid w:val="002515C8"/>
    <w:rsid w:val="0025176F"/>
    <w:rsid w:val="00251A45"/>
    <w:rsid w:val="00251A8A"/>
    <w:rsid w:val="00251AFB"/>
    <w:rsid w:val="00251D32"/>
    <w:rsid w:val="0025215E"/>
    <w:rsid w:val="00252267"/>
    <w:rsid w:val="00252518"/>
    <w:rsid w:val="002525D7"/>
    <w:rsid w:val="002526CC"/>
    <w:rsid w:val="0025287E"/>
    <w:rsid w:val="00252FE6"/>
    <w:rsid w:val="00252FF2"/>
    <w:rsid w:val="00253174"/>
    <w:rsid w:val="0025317E"/>
    <w:rsid w:val="00253370"/>
    <w:rsid w:val="002536E0"/>
    <w:rsid w:val="00253730"/>
    <w:rsid w:val="00253F79"/>
    <w:rsid w:val="00254223"/>
    <w:rsid w:val="002543D2"/>
    <w:rsid w:val="0025456B"/>
    <w:rsid w:val="002546AA"/>
    <w:rsid w:val="00254EEF"/>
    <w:rsid w:val="0025525D"/>
    <w:rsid w:val="00255294"/>
    <w:rsid w:val="0025558D"/>
    <w:rsid w:val="0025593A"/>
    <w:rsid w:val="00255D63"/>
    <w:rsid w:val="00255FBD"/>
    <w:rsid w:val="00256353"/>
    <w:rsid w:val="002563DB"/>
    <w:rsid w:val="002563F5"/>
    <w:rsid w:val="00256410"/>
    <w:rsid w:val="00256C61"/>
    <w:rsid w:val="0025702E"/>
    <w:rsid w:val="00257197"/>
    <w:rsid w:val="002572E1"/>
    <w:rsid w:val="00257319"/>
    <w:rsid w:val="002573C5"/>
    <w:rsid w:val="002573F6"/>
    <w:rsid w:val="002574EE"/>
    <w:rsid w:val="00257673"/>
    <w:rsid w:val="002576CD"/>
    <w:rsid w:val="0025781A"/>
    <w:rsid w:val="0025793A"/>
    <w:rsid w:val="00257950"/>
    <w:rsid w:val="00257BFE"/>
    <w:rsid w:val="00257E0D"/>
    <w:rsid w:val="00257E71"/>
    <w:rsid w:val="0026001B"/>
    <w:rsid w:val="00260157"/>
    <w:rsid w:val="002605CF"/>
    <w:rsid w:val="002606C8"/>
    <w:rsid w:val="002607E6"/>
    <w:rsid w:val="00260A9A"/>
    <w:rsid w:val="00260AF1"/>
    <w:rsid w:val="00260BD4"/>
    <w:rsid w:val="00260C58"/>
    <w:rsid w:val="00260D7F"/>
    <w:rsid w:val="00260E6F"/>
    <w:rsid w:val="00260FE3"/>
    <w:rsid w:val="002616B6"/>
    <w:rsid w:val="002616D5"/>
    <w:rsid w:val="0026174C"/>
    <w:rsid w:val="00261BA3"/>
    <w:rsid w:val="00261BC6"/>
    <w:rsid w:val="00261CA2"/>
    <w:rsid w:val="00261CF7"/>
    <w:rsid w:val="00261F0A"/>
    <w:rsid w:val="002620E3"/>
    <w:rsid w:val="0026226B"/>
    <w:rsid w:val="00262530"/>
    <w:rsid w:val="00262580"/>
    <w:rsid w:val="002627B3"/>
    <w:rsid w:val="002627E9"/>
    <w:rsid w:val="00262854"/>
    <w:rsid w:val="00262A70"/>
    <w:rsid w:val="00262A7B"/>
    <w:rsid w:val="00262CB9"/>
    <w:rsid w:val="00262D03"/>
    <w:rsid w:val="00262D41"/>
    <w:rsid w:val="00262E6C"/>
    <w:rsid w:val="00262F74"/>
    <w:rsid w:val="002630F1"/>
    <w:rsid w:val="002631B8"/>
    <w:rsid w:val="00263299"/>
    <w:rsid w:val="0026334A"/>
    <w:rsid w:val="0026334C"/>
    <w:rsid w:val="00263366"/>
    <w:rsid w:val="00263370"/>
    <w:rsid w:val="0026338D"/>
    <w:rsid w:val="002633D2"/>
    <w:rsid w:val="0026378B"/>
    <w:rsid w:val="0026393B"/>
    <w:rsid w:val="00263CAB"/>
    <w:rsid w:val="00263E42"/>
    <w:rsid w:val="00263F5E"/>
    <w:rsid w:val="00263FE4"/>
    <w:rsid w:val="002641F9"/>
    <w:rsid w:val="002643A5"/>
    <w:rsid w:val="00264771"/>
    <w:rsid w:val="0026493A"/>
    <w:rsid w:val="00264955"/>
    <w:rsid w:val="002649B6"/>
    <w:rsid w:val="00264C13"/>
    <w:rsid w:val="00264C98"/>
    <w:rsid w:val="00264DB5"/>
    <w:rsid w:val="00264FFF"/>
    <w:rsid w:val="0026526F"/>
    <w:rsid w:val="00265439"/>
    <w:rsid w:val="002654CA"/>
    <w:rsid w:val="002655B4"/>
    <w:rsid w:val="002655D9"/>
    <w:rsid w:val="0026587D"/>
    <w:rsid w:val="00265891"/>
    <w:rsid w:val="00265E70"/>
    <w:rsid w:val="00266143"/>
    <w:rsid w:val="0026650B"/>
    <w:rsid w:val="0026660F"/>
    <w:rsid w:val="00266846"/>
    <w:rsid w:val="002669CF"/>
    <w:rsid w:val="00266AFB"/>
    <w:rsid w:val="00266B19"/>
    <w:rsid w:val="00266CB5"/>
    <w:rsid w:val="00266E5B"/>
    <w:rsid w:val="00267062"/>
    <w:rsid w:val="002670C4"/>
    <w:rsid w:val="002671D2"/>
    <w:rsid w:val="002674BA"/>
    <w:rsid w:val="00267746"/>
    <w:rsid w:val="00267982"/>
    <w:rsid w:val="00267C52"/>
    <w:rsid w:val="00267EA7"/>
    <w:rsid w:val="00267EB7"/>
    <w:rsid w:val="00267EFC"/>
    <w:rsid w:val="002701CF"/>
    <w:rsid w:val="00270280"/>
    <w:rsid w:val="0027029F"/>
    <w:rsid w:val="0027046B"/>
    <w:rsid w:val="002704C5"/>
    <w:rsid w:val="0027058D"/>
    <w:rsid w:val="002706D3"/>
    <w:rsid w:val="00270A4E"/>
    <w:rsid w:val="00270A9E"/>
    <w:rsid w:val="00270B50"/>
    <w:rsid w:val="00270B89"/>
    <w:rsid w:val="00270BE3"/>
    <w:rsid w:val="00270C7B"/>
    <w:rsid w:val="00270EA2"/>
    <w:rsid w:val="00270ED6"/>
    <w:rsid w:val="0027107D"/>
    <w:rsid w:val="0027109A"/>
    <w:rsid w:val="00271155"/>
    <w:rsid w:val="00271277"/>
    <w:rsid w:val="00271376"/>
    <w:rsid w:val="0027148A"/>
    <w:rsid w:val="002714A8"/>
    <w:rsid w:val="002714FD"/>
    <w:rsid w:val="00271694"/>
    <w:rsid w:val="002718BD"/>
    <w:rsid w:val="00271B59"/>
    <w:rsid w:val="00271C5C"/>
    <w:rsid w:val="00271E0E"/>
    <w:rsid w:val="00271F4B"/>
    <w:rsid w:val="002722AB"/>
    <w:rsid w:val="00272414"/>
    <w:rsid w:val="002728B0"/>
    <w:rsid w:val="002728EB"/>
    <w:rsid w:val="00272D27"/>
    <w:rsid w:val="00272F3B"/>
    <w:rsid w:val="00272FA7"/>
    <w:rsid w:val="002731DC"/>
    <w:rsid w:val="002732B8"/>
    <w:rsid w:val="00273398"/>
    <w:rsid w:val="002734A8"/>
    <w:rsid w:val="002735C4"/>
    <w:rsid w:val="00273649"/>
    <w:rsid w:val="0027366E"/>
    <w:rsid w:val="002736DC"/>
    <w:rsid w:val="002736E7"/>
    <w:rsid w:val="00273B42"/>
    <w:rsid w:val="00273C7D"/>
    <w:rsid w:val="00273DDE"/>
    <w:rsid w:val="002743A3"/>
    <w:rsid w:val="0027457F"/>
    <w:rsid w:val="002746E0"/>
    <w:rsid w:val="002749DF"/>
    <w:rsid w:val="00274AF0"/>
    <w:rsid w:val="0027516F"/>
    <w:rsid w:val="002751BF"/>
    <w:rsid w:val="0027537D"/>
    <w:rsid w:val="00275A17"/>
    <w:rsid w:val="00275C81"/>
    <w:rsid w:val="00275F0B"/>
    <w:rsid w:val="00275F35"/>
    <w:rsid w:val="00275FCC"/>
    <w:rsid w:val="00276516"/>
    <w:rsid w:val="00276538"/>
    <w:rsid w:val="002766FC"/>
    <w:rsid w:val="00276910"/>
    <w:rsid w:val="00276A9F"/>
    <w:rsid w:val="00276BB9"/>
    <w:rsid w:val="00276C3C"/>
    <w:rsid w:val="00276D88"/>
    <w:rsid w:val="00276EC2"/>
    <w:rsid w:val="00276EDE"/>
    <w:rsid w:val="00276FB1"/>
    <w:rsid w:val="00277001"/>
    <w:rsid w:val="002772D6"/>
    <w:rsid w:val="0027795B"/>
    <w:rsid w:val="00277A1A"/>
    <w:rsid w:val="00277AEF"/>
    <w:rsid w:val="00277B7B"/>
    <w:rsid w:val="00277BD7"/>
    <w:rsid w:val="00277C29"/>
    <w:rsid w:val="00277F14"/>
    <w:rsid w:val="002805F8"/>
    <w:rsid w:val="00280778"/>
    <w:rsid w:val="002808D3"/>
    <w:rsid w:val="00280942"/>
    <w:rsid w:val="002809F2"/>
    <w:rsid w:val="00280B8F"/>
    <w:rsid w:val="00280C5B"/>
    <w:rsid w:val="00280C92"/>
    <w:rsid w:val="00280E1D"/>
    <w:rsid w:val="00280FD4"/>
    <w:rsid w:val="002812C2"/>
    <w:rsid w:val="002812FA"/>
    <w:rsid w:val="002814CB"/>
    <w:rsid w:val="00281653"/>
    <w:rsid w:val="002816AC"/>
    <w:rsid w:val="00281BC7"/>
    <w:rsid w:val="00281E32"/>
    <w:rsid w:val="00281FC1"/>
    <w:rsid w:val="002820D6"/>
    <w:rsid w:val="002822A0"/>
    <w:rsid w:val="002823F7"/>
    <w:rsid w:val="00282513"/>
    <w:rsid w:val="00282580"/>
    <w:rsid w:val="002827BD"/>
    <w:rsid w:val="00282902"/>
    <w:rsid w:val="00282E8E"/>
    <w:rsid w:val="00282EC0"/>
    <w:rsid w:val="00282F9D"/>
    <w:rsid w:val="0028300D"/>
    <w:rsid w:val="002830BD"/>
    <w:rsid w:val="0028324A"/>
    <w:rsid w:val="002832BA"/>
    <w:rsid w:val="002833A2"/>
    <w:rsid w:val="00283421"/>
    <w:rsid w:val="00283690"/>
    <w:rsid w:val="002838A3"/>
    <w:rsid w:val="00283C12"/>
    <w:rsid w:val="00283DD4"/>
    <w:rsid w:val="00283E6C"/>
    <w:rsid w:val="00283E75"/>
    <w:rsid w:val="00283EFD"/>
    <w:rsid w:val="002842D7"/>
    <w:rsid w:val="0028441D"/>
    <w:rsid w:val="0028453A"/>
    <w:rsid w:val="00284605"/>
    <w:rsid w:val="002846CF"/>
    <w:rsid w:val="00284716"/>
    <w:rsid w:val="00284807"/>
    <w:rsid w:val="00284813"/>
    <w:rsid w:val="0028486A"/>
    <w:rsid w:val="00284AAB"/>
    <w:rsid w:val="00284AFA"/>
    <w:rsid w:val="00284BE7"/>
    <w:rsid w:val="00284C6E"/>
    <w:rsid w:val="00284D68"/>
    <w:rsid w:val="002851CF"/>
    <w:rsid w:val="002852B8"/>
    <w:rsid w:val="002854A1"/>
    <w:rsid w:val="002855CB"/>
    <w:rsid w:val="0028576A"/>
    <w:rsid w:val="002857B3"/>
    <w:rsid w:val="002858CD"/>
    <w:rsid w:val="00285A82"/>
    <w:rsid w:val="00285A89"/>
    <w:rsid w:val="00285C3D"/>
    <w:rsid w:val="00285E01"/>
    <w:rsid w:val="00285E80"/>
    <w:rsid w:val="00285F4F"/>
    <w:rsid w:val="002860C7"/>
    <w:rsid w:val="0028611E"/>
    <w:rsid w:val="00286420"/>
    <w:rsid w:val="00286455"/>
    <w:rsid w:val="0028648B"/>
    <w:rsid w:val="002864E9"/>
    <w:rsid w:val="00286F6D"/>
    <w:rsid w:val="002870B2"/>
    <w:rsid w:val="002872AF"/>
    <w:rsid w:val="00287431"/>
    <w:rsid w:val="00287673"/>
    <w:rsid w:val="00287686"/>
    <w:rsid w:val="00287B68"/>
    <w:rsid w:val="00287CFB"/>
    <w:rsid w:val="00287E5B"/>
    <w:rsid w:val="00290006"/>
    <w:rsid w:val="00290232"/>
    <w:rsid w:val="0029025D"/>
    <w:rsid w:val="0029062E"/>
    <w:rsid w:val="00290BCD"/>
    <w:rsid w:val="00290DCF"/>
    <w:rsid w:val="00290F55"/>
    <w:rsid w:val="002910B9"/>
    <w:rsid w:val="00291250"/>
    <w:rsid w:val="00291260"/>
    <w:rsid w:val="002912C3"/>
    <w:rsid w:val="002913A5"/>
    <w:rsid w:val="00291671"/>
    <w:rsid w:val="00291730"/>
    <w:rsid w:val="0029180C"/>
    <w:rsid w:val="00291924"/>
    <w:rsid w:val="00291967"/>
    <w:rsid w:val="00291D56"/>
    <w:rsid w:val="00291FC3"/>
    <w:rsid w:val="00291FCD"/>
    <w:rsid w:val="00292129"/>
    <w:rsid w:val="00292226"/>
    <w:rsid w:val="0029226C"/>
    <w:rsid w:val="002923E2"/>
    <w:rsid w:val="002924E8"/>
    <w:rsid w:val="0029257A"/>
    <w:rsid w:val="0029268C"/>
    <w:rsid w:val="002928F5"/>
    <w:rsid w:val="00292A83"/>
    <w:rsid w:val="00292DD9"/>
    <w:rsid w:val="0029321D"/>
    <w:rsid w:val="0029326B"/>
    <w:rsid w:val="0029333D"/>
    <w:rsid w:val="002933A7"/>
    <w:rsid w:val="002934AF"/>
    <w:rsid w:val="00293674"/>
    <w:rsid w:val="002938E3"/>
    <w:rsid w:val="00293AAE"/>
    <w:rsid w:val="00294168"/>
    <w:rsid w:val="00294198"/>
    <w:rsid w:val="0029425B"/>
    <w:rsid w:val="002943A8"/>
    <w:rsid w:val="002944F6"/>
    <w:rsid w:val="00294687"/>
    <w:rsid w:val="002946E1"/>
    <w:rsid w:val="0029472B"/>
    <w:rsid w:val="00294769"/>
    <w:rsid w:val="00294880"/>
    <w:rsid w:val="00294BA3"/>
    <w:rsid w:val="00294D03"/>
    <w:rsid w:val="00294DCF"/>
    <w:rsid w:val="00294F47"/>
    <w:rsid w:val="00295113"/>
    <w:rsid w:val="0029532F"/>
    <w:rsid w:val="002955E7"/>
    <w:rsid w:val="0029562D"/>
    <w:rsid w:val="0029576B"/>
    <w:rsid w:val="00295851"/>
    <w:rsid w:val="002959AE"/>
    <w:rsid w:val="00295A61"/>
    <w:rsid w:val="00295B1D"/>
    <w:rsid w:val="00295B6C"/>
    <w:rsid w:val="00295CD1"/>
    <w:rsid w:val="00295DA2"/>
    <w:rsid w:val="00295F61"/>
    <w:rsid w:val="00295F78"/>
    <w:rsid w:val="00295FAD"/>
    <w:rsid w:val="00296118"/>
    <w:rsid w:val="002962E1"/>
    <w:rsid w:val="0029640B"/>
    <w:rsid w:val="002965D2"/>
    <w:rsid w:val="002965F1"/>
    <w:rsid w:val="0029684B"/>
    <w:rsid w:val="00296DF1"/>
    <w:rsid w:val="00296E76"/>
    <w:rsid w:val="00296EF1"/>
    <w:rsid w:val="00297006"/>
    <w:rsid w:val="0029707F"/>
    <w:rsid w:val="002970BB"/>
    <w:rsid w:val="00297149"/>
    <w:rsid w:val="002972FD"/>
    <w:rsid w:val="002973B9"/>
    <w:rsid w:val="00297451"/>
    <w:rsid w:val="0029748F"/>
    <w:rsid w:val="00297495"/>
    <w:rsid w:val="00297A16"/>
    <w:rsid w:val="00297AF4"/>
    <w:rsid w:val="00297D67"/>
    <w:rsid w:val="00297E50"/>
    <w:rsid w:val="002A001B"/>
    <w:rsid w:val="002A02BE"/>
    <w:rsid w:val="002A0481"/>
    <w:rsid w:val="002A0522"/>
    <w:rsid w:val="002A0766"/>
    <w:rsid w:val="002A076C"/>
    <w:rsid w:val="002A0845"/>
    <w:rsid w:val="002A091B"/>
    <w:rsid w:val="002A0A89"/>
    <w:rsid w:val="002A0AFA"/>
    <w:rsid w:val="002A0BB1"/>
    <w:rsid w:val="002A0D89"/>
    <w:rsid w:val="002A1022"/>
    <w:rsid w:val="002A10BA"/>
    <w:rsid w:val="002A1227"/>
    <w:rsid w:val="002A13C8"/>
    <w:rsid w:val="002A13D4"/>
    <w:rsid w:val="002A13DA"/>
    <w:rsid w:val="002A1540"/>
    <w:rsid w:val="002A17B0"/>
    <w:rsid w:val="002A21AE"/>
    <w:rsid w:val="002A22AB"/>
    <w:rsid w:val="002A22D1"/>
    <w:rsid w:val="002A2335"/>
    <w:rsid w:val="002A2481"/>
    <w:rsid w:val="002A252A"/>
    <w:rsid w:val="002A25A7"/>
    <w:rsid w:val="002A286D"/>
    <w:rsid w:val="002A2875"/>
    <w:rsid w:val="002A2900"/>
    <w:rsid w:val="002A2906"/>
    <w:rsid w:val="002A2A26"/>
    <w:rsid w:val="002A2E44"/>
    <w:rsid w:val="002A3209"/>
    <w:rsid w:val="002A32DD"/>
    <w:rsid w:val="002A3358"/>
    <w:rsid w:val="002A33F2"/>
    <w:rsid w:val="002A350B"/>
    <w:rsid w:val="002A35E9"/>
    <w:rsid w:val="002A36C2"/>
    <w:rsid w:val="002A3937"/>
    <w:rsid w:val="002A3961"/>
    <w:rsid w:val="002A3B84"/>
    <w:rsid w:val="002A3C40"/>
    <w:rsid w:val="002A3DD9"/>
    <w:rsid w:val="002A3E8F"/>
    <w:rsid w:val="002A3FDD"/>
    <w:rsid w:val="002A4177"/>
    <w:rsid w:val="002A427E"/>
    <w:rsid w:val="002A436D"/>
    <w:rsid w:val="002A4480"/>
    <w:rsid w:val="002A4652"/>
    <w:rsid w:val="002A4714"/>
    <w:rsid w:val="002A4A24"/>
    <w:rsid w:val="002A4A32"/>
    <w:rsid w:val="002A4CAC"/>
    <w:rsid w:val="002A55D2"/>
    <w:rsid w:val="002A56B6"/>
    <w:rsid w:val="002A5844"/>
    <w:rsid w:val="002A594C"/>
    <w:rsid w:val="002A5A44"/>
    <w:rsid w:val="002A5A8A"/>
    <w:rsid w:val="002A5D42"/>
    <w:rsid w:val="002A6282"/>
    <w:rsid w:val="002A62C4"/>
    <w:rsid w:val="002A65D3"/>
    <w:rsid w:val="002A6659"/>
    <w:rsid w:val="002A66D9"/>
    <w:rsid w:val="002A6808"/>
    <w:rsid w:val="002A682B"/>
    <w:rsid w:val="002A68FE"/>
    <w:rsid w:val="002A6DCE"/>
    <w:rsid w:val="002A7034"/>
    <w:rsid w:val="002A719D"/>
    <w:rsid w:val="002A7213"/>
    <w:rsid w:val="002A7284"/>
    <w:rsid w:val="002A77FB"/>
    <w:rsid w:val="002A7A5B"/>
    <w:rsid w:val="002A7AB5"/>
    <w:rsid w:val="002A7CBA"/>
    <w:rsid w:val="002A7D40"/>
    <w:rsid w:val="002A7EB3"/>
    <w:rsid w:val="002A7F1F"/>
    <w:rsid w:val="002A7F86"/>
    <w:rsid w:val="002B019C"/>
    <w:rsid w:val="002B01AC"/>
    <w:rsid w:val="002B01F6"/>
    <w:rsid w:val="002B0299"/>
    <w:rsid w:val="002B04BE"/>
    <w:rsid w:val="002B05C3"/>
    <w:rsid w:val="002B0682"/>
    <w:rsid w:val="002B074B"/>
    <w:rsid w:val="002B0790"/>
    <w:rsid w:val="002B0935"/>
    <w:rsid w:val="002B0E24"/>
    <w:rsid w:val="002B0EEA"/>
    <w:rsid w:val="002B128E"/>
    <w:rsid w:val="002B171B"/>
    <w:rsid w:val="002B1793"/>
    <w:rsid w:val="002B17F5"/>
    <w:rsid w:val="002B188C"/>
    <w:rsid w:val="002B1A4B"/>
    <w:rsid w:val="002B1C83"/>
    <w:rsid w:val="002B1CE5"/>
    <w:rsid w:val="002B2070"/>
    <w:rsid w:val="002B22BA"/>
    <w:rsid w:val="002B23A3"/>
    <w:rsid w:val="002B23C1"/>
    <w:rsid w:val="002B2503"/>
    <w:rsid w:val="002B25DC"/>
    <w:rsid w:val="002B2630"/>
    <w:rsid w:val="002B2B0A"/>
    <w:rsid w:val="002B2D9A"/>
    <w:rsid w:val="002B2FBB"/>
    <w:rsid w:val="002B2FFC"/>
    <w:rsid w:val="002B379D"/>
    <w:rsid w:val="002B3B1A"/>
    <w:rsid w:val="002B3B62"/>
    <w:rsid w:val="002B3B6D"/>
    <w:rsid w:val="002B3E4D"/>
    <w:rsid w:val="002B406B"/>
    <w:rsid w:val="002B42EE"/>
    <w:rsid w:val="002B45D7"/>
    <w:rsid w:val="002B48C6"/>
    <w:rsid w:val="002B499B"/>
    <w:rsid w:val="002B4A90"/>
    <w:rsid w:val="002B4ADA"/>
    <w:rsid w:val="002B4C32"/>
    <w:rsid w:val="002B4E94"/>
    <w:rsid w:val="002B4F38"/>
    <w:rsid w:val="002B527B"/>
    <w:rsid w:val="002B5398"/>
    <w:rsid w:val="002B5795"/>
    <w:rsid w:val="002B58CD"/>
    <w:rsid w:val="002B5982"/>
    <w:rsid w:val="002B59E4"/>
    <w:rsid w:val="002B5A5E"/>
    <w:rsid w:val="002B5B88"/>
    <w:rsid w:val="002B5BB1"/>
    <w:rsid w:val="002B5D02"/>
    <w:rsid w:val="002B654A"/>
    <w:rsid w:val="002B6A9E"/>
    <w:rsid w:val="002B6B0C"/>
    <w:rsid w:val="002B6BD7"/>
    <w:rsid w:val="002B6CE9"/>
    <w:rsid w:val="002B6E47"/>
    <w:rsid w:val="002B7292"/>
    <w:rsid w:val="002B75CB"/>
    <w:rsid w:val="002B7683"/>
    <w:rsid w:val="002B76AC"/>
    <w:rsid w:val="002B7989"/>
    <w:rsid w:val="002B7990"/>
    <w:rsid w:val="002B7A3B"/>
    <w:rsid w:val="002B7DA6"/>
    <w:rsid w:val="002B7E38"/>
    <w:rsid w:val="002C00AC"/>
    <w:rsid w:val="002C0366"/>
    <w:rsid w:val="002C0535"/>
    <w:rsid w:val="002C08E1"/>
    <w:rsid w:val="002C0A1F"/>
    <w:rsid w:val="002C0AE8"/>
    <w:rsid w:val="002C0E7A"/>
    <w:rsid w:val="002C0E85"/>
    <w:rsid w:val="002C0F5F"/>
    <w:rsid w:val="002C11AB"/>
    <w:rsid w:val="002C13C9"/>
    <w:rsid w:val="002C1604"/>
    <w:rsid w:val="002C161F"/>
    <w:rsid w:val="002C164E"/>
    <w:rsid w:val="002C173F"/>
    <w:rsid w:val="002C1B1F"/>
    <w:rsid w:val="002C1BC5"/>
    <w:rsid w:val="002C1C19"/>
    <w:rsid w:val="002C1E5A"/>
    <w:rsid w:val="002C1EB2"/>
    <w:rsid w:val="002C2148"/>
    <w:rsid w:val="002C2184"/>
    <w:rsid w:val="002C2441"/>
    <w:rsid w:val="002C25F5"/>
    <w:rsid w:val="002C2977"/>
    <w:rsid w:val="002C29C9"/>
    <w:rsid w:val="002C2C8D"/>
    <w:rsid w:val="002C2E56"/>
    <w:rsid w:val="002C3091"/>
    <w:rsid w:val="002C3174"/>
    <w:rsid w:val="002C32DE"/>
    <w:rsid w:val="002C33DA"/>
    <w:rsid w:val="002C3BDC"/>
    <w:rsid w:val="002C3ED0"/>
    <w:rsid w:val="002C3F2F"/>
    <w:rsid w:val="002C45F9"/>
    <w:rsid w:val="002C4966"/>
    <w:rsid w:val="002C4BE9"/>
    <w:rsid w:val="002C4BFD"/>
    <w:rsid w:val="002C4CA8"/>
    <w:rsid w:val="002C534A"/>
    <w:rsid w:val="002C5A0A"/>
    <w:rsid w:val="002C5F51"/>
    <w:rsid w:val="002C5FBD"/>
    <w:rsid w:val="002C6170"/>
    <w:rsid w:val="002C6416"/>
    <w:rsid w:val="002C650D"/>
    <w:rsid w:val="002C66CC"/>
    <w:rsid w:val="002C6766"/>
    <w:rsid w:val="002C691A"/>
    <w:rsid w:val="002C6B94"/>
    <w:rsid w:val="002C6C5C"/>
    <w:rsid w:val="002C6ECD"/>
    <w:rsid w:val="002C7092"/>
    <w:rsid w:val="002C7258"/>
    <w:rsid w:val="002C73F4"/>
    <w:rsid w:val="002C7416"/>
    <w:rsid w:val="002C7431"/>
    <w:rsid w:val="002C7BCF"/>
    <w:rsid w:val="002C7F10"/>
    <w:rsid w:val="002D0025"/>
    <w:rsid w:val="002D0211"/>
    <w:rsid w:val="002D02F8"/>
    <w:rsid w:val="002D0385"/>
    <w:rsid w:val="002D0603"/>
    <w:rsid w:val="002D0D23"/>
    <w:rsid w:val="002D1282"/>
    <w:rsid w:val="002D1303"/>
    <w:rsid w:val="002D15E6"/>
    <w:rsid w:val="002D160F"/>
    <w:rsid w:val="002D1674"/>
    <w:rsid w:val="002D1847"/>
    <w:rsid w:val="002D1B96"/>
    <w:rsid w:val="002D1E21"/>
    <w:rsid w:val="002D1E24"/>
    <w:rsid w:val="002D227E"/>
    <w:rsid w:val="002D23EA"/>
    <w:rsid w:val="002D242C"/>
    <w:rsid w:val="002D24BB"/>
    <w:rsid w:val="002D2737"/>
    <w:rsid w:val="002D28F7"/>
    <w:rsid w:val="002D2B72"/>
    <w:rsid w:val="002D2DED"/>
    <w:rsid w:val="002D2F2D"/>
    <w:rsid w:val="002D2F55"/>
    <w:rsid w:val="002D3096"/>
    <w:rsid w:val="002D3283"/>
    <w:rsid w:val="002D33EA"/>
    <w:rsid w:val="002D34C7"/>
    <w:rsid w:val="002D3609"/>
    <w:rsid w:val="002D3898"/>
    <w:rsid w:val="002D3928"/>
    <w:rsid w:val="002D3A5E"/>
    <w:rsid w:val="002D3BC7"/>
    <w:rsid w:val="002D3C93"/>
    <w:rsid w:val="002D3EC7"/>
    <w:rsid w:val="002D3F47"/>
    <w:rsid w:val="002D405F"/>
    <w:rsid w:val="002D40AC"/>
    <w:rsid w:val="002D4164"/>
    <w:rsid w:val="002D41C2"/>
    <w:rsid w:val="002D43A1"/>
    <w:rsid w:val="002D44C2"/>
    <w:rsid w:val="002D4542"/>
    <w:rsid w:val="002D45AB"/>
    <w:rsid w:val="002D4649"/>
    <w:rsid w:val="002D46B5"/>
    <w:rsid w:val="002D4D82"/>
    <w:rsid w:val="002D4FC4"/>
    <w:rsid w:val="002D5138"/>
    <w:rsid w:val="002D53C1"/>
    <w:rsid w:val="002D5501"/>
    <w:rsid w:val="002D550A"/>
    <w:rsid w:val="002D5522"/>
    <w:rsid w:val="002D5676"/>
    <w:rsid w:val="002D64CA"/>
    <w:rsid w:val="002D66B0"/>
    <w:rsid w:val="002D693A"/>
    <w:rsid w:val="002D6D2E"/>
    <w:rsid w:val="002D6D4E"/>
    <w:rsid w:val="002D6D8B"/>
    <w:rsid w:val="002D6E5F"/>
    <w:rsid w:val="002D6E8E"/>
    <w:rsid w:val="002D6EB1"/>
    <w:rsid w:val="002D6ED8"/>
    <w:rsid w:val="002D70D0"/>
    <w:rsid w:val="002D71AA"/>
    <w:rsid w:val="002D7309"/>
    <w:rsid w:val="002D7622"/>
    <w:rsid w:val="002D7689"/>
    <w:rsid w:val="002D7EF9"/>
    <w:rsid w:val="002E02DB"/>
    <w:rsid w:val="002E03C9"/>
    <w:rsid w:val="002E04E1"/>
    <w:rsid w:val="002E078F"/>
    <w:rsid w:val="002E08B7"/>
    <w:rsid w:val="002E08D6"/>
    <w:rsid w:val="002E08FF"/>
    <w:rsid w:val="002E099B"/>
    <w:rsid w:val="002E0A7A"/>
    <w:rsid w:val="002E10C8"/>
    <w:rsid w:val="002E11F5"/>
    <w:rsid w:val="002E1221"/>
    <w:rsid w:val="002E150E"/>
    <w:rsid w:val="002E15BC"/>
    <w:rsid w:val="002E1651"/>
    <w:rsid w:val="002E16CD"/>
    <w:rsid w:val="002E16D5"/>
    <w:rsid w:val="002E17F5"/>
    <w:rsid w:val="002E1806"/>
    <w:rsid w:val="002E1BF7"/>
    <w:rsid w:val="002E1CED"/>
    <w:rsid w:val="002E1EA5"/>
    <w:rsid w:val="002E1FDF"/>
    <w:rsid w:val="002E212D"/>
    <w:rsid w:val="002E2158"/>
    <w:rsid w:val="002E21C8"/>
    <w:rsid w:val="002E246F"/>
    <w:rsid w:val="002E282A"/>
    <w:rsid w:val="002E2947"/>
    <w:rsid w:val="002E2AA7"/>
    <w:rsid w:val="002E2C64"/>
    <w:rsid w:val="002E2F9D"/>
    <w:rsid w:val="002E2FC3"/>
    <w:rsid w:val="002E3100"/>
    <w:rsid w:val="002E328D"/>
    <w:rsid w:val="002E355B"/>
    <w:rsid w:val="002E3823"/>
    <w:rsid w:val="002E38CD"/>
    <w:rsid w:val="002E39AD"/>
    <w:rsid w:val="002E3C2E"/>
    <w:rsid w:val="002E3CAD"/>
    <w:rsid w:val="002E3F7F"/>
    <w:rsid w:val="002E401B"/>
    <w:rsid w:val="002E4262"/>
    <w:rsid w:val="002E4689"/>
    <w:rsid w:val="002E4907"/>
    <w:rsid w:val="002E4A7F"/>
    <w:rsid w:val="002E4AE2"/>
    <w:rsid w:val="002E531B"/>
    <w:rsid w:val="002E537C"/>
    <w:rsid w:val="002E53EF"/>
    <w:rsid w:val="002E54B6"/>
    <w:rsid w:val="002E5971"/>
    <w:rsid w:val="002E5AFB"/>
    <w:rsid w:val="002E6028"/>
    <w:rsid w:val="002E62DF"/>
    <w:rsid w:val="002E62FA"/>
    <w:rsid w:val="002E6C73"/>
    <w:rsid w:val="002E6CF5"/>
    <w:rsid w:val="002E71C7"/>
    <w:rsid w:val="002E7351"/>
    <w:rsid w:val="002E7774"/>
    <w:rsid w:val="002E7794"/>
    <w:rsid w:val="002E7830"/>
    <w:rsid w:val="002E787B"/>
    <w:rsid w:val="002E78AE"/>
    <w:rsid w:val="002E79ED"/>
    <w:rsid w:val="002E7B27"/>
    <w:rsid w:val="002E7B60"/>
    <w:rsid w:val="002E7F29"/>
    <w:rsid w:val="002E7F81"/>
    <w:rsid w:val="002F0004"/>
    <w:rsid w:val="002F005D"/>
    <w:rsid w:val="002F022E"/>
    <w:rsid w:val="002F03F1"/>
    <w:rsid w:val="002F0551"/>
    <w:rsid w:val="002F05AE"/>
    <w:rsid w:val="002F0824"/>
    <w:rsid w:val="002F084B"/>
    <w:rsid w:val="002F09B8"/>
    <w:rsid w:val="002F0A5A"/>
    <w:rsid w:val="002F0B21"/>
    <w:rsid w:val="002F0B73"/>
    <w:rsid w:val="002F0CCA"/>
    <w:rsid w:val="002F0D06"/>
    <w:rsid w:val="002F0E27"/>
    <w:rsid w:val="002F10D3"/>
    <w:rsid w:val="002F1210"/>
    <w:rsid w:val="002F12DE"/>
    <w:rsid w:val="002F13CE"/>
    <w:rsid w:val="002F161C"/>
    <w:rsid w:val="002F17F3"/>
    <w:rsid w:val="002F1860"/>
    <w:rsid w:val="002F1AE0"/>
    <w:rsid w:val="002F1BED"/>
    <w:rsid w:val="002F1D06"/>
    <w:rsid w:val="002F1D2F"/>
    <w:rsid w:val="002F1DE3"/>
    <w:rsid w:val="002F1E24"/>
    <w:rsid w:val="002F2045"/>
    <w:rsid w:val="002F23C1"/>
    <w:rsid w:val="002F2625"/>
    <w:rsid w:val="002F293C"/>
    <w:rsid w:val="002F2AFE"/>
    <w:rsid w:val="002F2B5A"/>
    <w:rsid w:val="002F2DDA"/>
    <w:rsid w:val="002F3167"/>
    <w:rsid w:val="002F350D"/>
    <w:rsid w:val="002F35C0"/>
    <w:rsid w:val="002F36E5"/>
    <w:rsid w:val="002F3A0E"/>
    <w:rsid w:val="002F3C56"/>
    <w:rsid w:val="002F3DA0"/>
    <w:rsid w:val="002F3F0C"/>
    <w:rsid w:val="002F4088"/>
    <w:rsid w:val="002F4126"/>
    <w:rsid w:val="002F41FD"/>
    <w:rsid w:val="002F4237"/>
    <w:rsid w:val="002F467C"/>
    <w:rsid w:val="002F4953"/>
    <w:rsid w:val="002F4DE5"/>
    <w:rsid w:val="002F5440"/>
    <w:rsid w:val="002F5674"/>
    <w:rsid w:val="002F57BD"/>
    <w:rsid w:val="002F5A6A"/>
    <w:rsid w:val="002F5CAF"/>
    <w:rsid w:val="002F5F59"/>
    <w:rsid w:val="002F69C9"/>
    <w:rsid w:val="002F6A6D"/>
    <w:rsid w:val="002F6ACA"/>
    <w:rsid w:val="002F6C15"/>
    <w:rsid w:val="002F6E21"/>
    <w:rsid w:val="002F6FA9"/>
    <w:rsid w:val="002F70BB"/>
    <w:rsid w:val="002F7142"/>
    <w:rsid w:val="002F7193"/>
    <w:rsid w:val="002F721F"/>
    <w:rsid w:val="002F732B"/>
    <w:rsid w:val="002F7374"/>
    <w:rsid w:val="002F7467"/>
    <w:rsid w:val="002F76D5"/>
    <w:rsid w:val="002F7769"/>
    <w:rsid w:val="002F7A6B"/>
    <w:rsid w:val="002F7A8D"/>
    <w:rsid w:val="002F7C35"/>
    <w:rsid w:val="002F7F25"/>
    <w:rsid w:val="003001AF"/>
    <w:rsid w:val="0030024C"/>
    <w:rsid w:val="0030053E"/>
    <w:rsid w:val="00300B2E"/>
    <w:rsid w:val="003010E1"/>
    <w:rsid w:val="0030126B"/>
    <w:rsid w:val="003015B1"/>
    <w:rsid w:val="003017AA"/>
    <w:rsid w:val="00301835"/>
    <w:rsid w:val="00301C03"/>
    <w:rsid w:val="00301CC8"/>
    <w:rsid w:val="00301E93"/>
    <w:rsid w:val="00301F85"/>
    <w:rsid w:val="00302336"/>
    <w:rsid w:val="003023BE"/>
    <w:rsid w:val="003024B1"/>
    <w:rsid w:val="00302CC0"/>
    <w:rsid w:val="00302DAC"/>
    <w:rsid w:val="00303555"/>
    <w:rsid w:val="00303759"/>
    <w:rsid w:val="00303818"/>
    <w:rsid w:val="00303821"/>
    <w:rsid w:val="003039D3"/>
    <w:rsid w:val="00303BE2"/>
    <w:rsid w:val="00303C81"/>
    <w:rsid w:val="003041BE"/>
    <w:rsid w:val="003043CD"/>
    <w:rsid w:val="00304476"/>
    <w:rsid w:val="00304635"/>
    <w:rsid w:val="00304653"/>
    <w:rsid w:val="00304983"/>
    <w:rsid w:val="003049AF"/>
    <w:rsid w:val="003049C9"/>
    <w:rsid w:val="00304B4B"/>
    <w:rsid w:val="00304BFA"/>
    <w:rsid w:val="00304D0D"/>
    <w:rsid w:val="00304D38"/>
    <w:rsid w:val="00304F20"/>
    <w:rsid w:val="0030513E"/>
    <w:rsid w:val="00305153"/>
    <w:rsid w:val="00305223"/>
    <w:rsid w:val="003052D6"/>
    <w:rsid w:val="00305310"/>
    <w:rsid w:val="003053AD"/>
    <w:rsid w:val="003054BC"/>
    <w:rsid w:val="0030550E"/>
    <w:rsid w:val="0030570F"/>
    <w:rsid w:val="003057A0"/>
    <w:rsid w:val="003057B8"/>
    <w:rsid w:val="003058CE"/>
    <w:rsid w:val="00305C46"/>
    <w:rsid w:val="00305C72"/>
    <w:rsid w:val="00305D43"/>
    <w:rsid w:val="00305F4B"/>
    <w:rsid w:val="00305FD4"/>
    <w:rsid w:val="003060A7"/>
    <w:rsid w:val="003060B8"/>
    <w:rsid w:val="003061F7"/>
    <w:rsid w:val="0030626A"/>
    <w:rsid w:val="0030673A"/>
    <w:rsid w:val="0030679B"/>
    <w:rsid w:val="0030693B"/>
    <w:rsid w:val="003069C6"/>
    <w:rsid w:val="003069E3"/>
    <w:rsid w:val="00306A5F"/>
    <w:rsid w:val="00306BBC"/>
    <w:rsid w:val="00306E53"/>
    <w:rsid w:val="003070DF"/>
    <w:rsid w:val="0030719E"/>
    <w:rsid w:val="00307261"/>
    <w:rsid w:val="003072B0"/>
    <w:rsid w:val="00307511"/>
    <w:rsid w:val="003075B8"/>
    <w:rsid w:val="003075BA"/>
    <w:rsid w:val="0030764D"/>
    <w:rsid w:val="003077EF"/>
    <w:rsid w:val="00307AB6"/>
    <w:rsid w:val="00307B2F"/>
    <w:rsid w:val="00307D47"/>
    <w:rsid w:val="00307EED"/>
    <w:rsid w:val="00307FC8"/>
    <w:rsid w:val="0031015E"/>
    <w:rsid w:val="003108A8"/>
    <w:rsid w:val="003108CC"/>
    <w:rsid w:val="0031095D"/>
    <w:rsid w:val="00310E40"/>
    <w:rsid w:val="003110B2"/>
    <w:rsid w:val="00311237"/>
    <w:rsid w:val="0031136A"/>
    <w:rsid w:val="003113C3"/>
    <w:rsid w:val="0031143F"/>
    <w:rsid w:val="00311457"/>
    <w:rsid w:val="003114BB"/>
    <w:rsid w:val="003119E4"/>
    <w:rsid w:val="00311C77"/>
    <w:rsid w:val="00311D91"/>
    <w:rsid w:val="003123E3"/>
    <w:rsid w:val="00312432"/>
    <w:rsid w:val="0031245A"/>
    <w:rsid w:val="00312595"/>
    <w:rsid w:val="003125C3"/>
    <w:rsid w:val="003126F7"/>
    <w:rsid w:val="003129BD"/>
    <w:rsid w:val="00312AAD"/>
    <w:rsid w:val="00312ACD"/>
    <w:rsid w:val="00312C3B"/>
    <w:rsid w:val="00312CBB"/>
    <w:rsid w:val="00312D4A"/>
    <w:rsid w:val="0031308F"/>
    <w:rsid w:val="0031340C"/>
    <w:rsid w:val="00313470"/>
    <w:rsid w:val="003135C8"/>
    <w:rsid w:val="0031372F"/>
    <w:rsid w:val="00313960"/>
    <w:rsid w:val="003139C7"/>
    <w:rsid w:val="00313B78"/>
    <w:rsid w:val="00313D1F"/>
    <w:rsid w:val="00314018"/>
    <w:rsid w:val="003147E2"/>
    <w:rsid w:val="003151C9"/>
    <w:rsid w:val="003151D3"/>
    <w:rsid w:val="00315284"/>
    <w:rsid w:val="00315293"/>
    <w:rsid w:val="00315319"/>
    <w:rsid w:val="00315333"/>
    <w:rsid w:val="00315509"/>
    <w:rsid w:val="00315AF8"/>
    <w:rsid w:val="00315C17"/>
    <w:rsid w:val="00316345"/>
    <w:rsid w:val="00316356"/>
    <w:rsid w:val="00316409"/>
    <w:rsid w:val="003169FD"/>
    <w:rsid w:val="00316A0E"/>
    <w:rsid w:val="00316AA3"/>
    <w:rsid w:val="00316AD5"/>
    <w:rsid w:val="00316DC8"/>
    <w:rsid w:val="00316EAA"/>
    <w:rsid w:val="00316ECF"/>
    <w:rsid w:val="00316F14"/>
    <w:rsid w:val="003177D0"/>
    <w:rsid w:val="0031780B"/>
    <w:rsid w:val="003178E9"/>
    <w:rsid w:val="00317AAE"/>
    <w:rsid w:val="00317BB8"/>
    <w:rsid w:val="00317D82"/>
    <w:rsid w:val="00317E2A"/>
    <w:rsid w:val="0032012F"/>
    <w:rsid w:val="00320150"/>
    <w:rsid w:val="0032026B"/>
    <w:rsid w:val="00320485"/>
    <w:rsid w:val="00320486"/>
    <w:rsid w:val="0032063A"/>
    <w:rsid w:val="003206D7"/>
    <w:rsid w:val="00320DBF"/>
    <w:rsid w:val="00320ED0"/>
    <w:rsid w:val="00321031"/>
    <w:rsid w:val="003213C8"/>
    <w:rsid w:val="003215B6"/>
    <w:rsid w:val="00321675"/>
    <w:rsid w:val="003217AB"/>
    <w:rsid w:val="003217B5"/>
    <w:rsid w:val="003219BA"/>
    <w:rsid w:val="00321B6B"/>
    <w:rsid w:val="00321DB2"/>
    <w:rsid w:val="00321FAA"/>
    <w:rsid w:val="00321FC7"/>
    <w:rsid w:val="00322004"/>
    <w:rsid w:val="003220E7"/>
    <w:rsid w:val="00322124"/>
    <w:rsid w:val="003221BA"/>
    <w:rsid w:val="003225E8"/>
    <w:rsid w:val="003226D5"/>
    <w:rsid w:val="0032274F"/>
    <w:rsid w:val="00322849"/>
    <w:rsid w:val="00322894"/>
    <w:rsid w:val="003228EC"/>
    <w:rsid w:val="003229D7"/>
    <w:rsid w:val="00322CCB"/>
    <w:rsid w:val="00322D8D"/>
    <w:rsid w:val="00322E54"/>
    <w:rsid w:val="00322E79"/>
    <w:rsid w:val="00322E8E"/>
    <w:rsid w:val="00322EDB"/>
    <w:rsid w:val="00323580"/>
    <w:rsid w:val="003238C4"/>
    <w:rsid w:val="00323902"/>
    <w:rsid w:val="00323988"/>
    <w:rsid w:val="00323A42"/>
    <w:rsid w:val="00323BD6"/>
    <w:rsid w:val="00323EAD"/>
    <w:rsid w:val="00323F60"/>
    <w:rsid w:val="00323FA7"/>
    <w:rsid w:val="003240F8"/>
    <w:rsid w:val="0032422F"/>
    <w:rsid w:val="00324395"/>
    <w:rsid w:val="00324683"/>
    <w:rsid w:val="003246A0"/>
    <w:rsid w:val="003247D4"/>
    <w:rsid w:val="003249AE"/>
    <w:rsid w:val="00324A71"/>
    <w:rsid w:val="00324D09"/>
    <w:rsid w:val="0032512E"/>
    <w:rsid w:val="00325292"/>
    <w:rsid w:val="00325681"/>
    <w:rsid w:val="003256F2"/>
    <w:rsid w:val="0032594D"/>
    <w:rsid w:val="003259CA"/>
    <w:rsid w:val="00325AB1"/>
    <w:rsid w:val="00325EBA"/>
    <w:rsid w:val="00326016"/>
    <w:rsid w:val="0032603C"/>
    <w:rsid w:val="00326073"/>
    <w:rsid w:val="003262E4"/>
    <w:rsid w:val="00326575"/>
    <w:rsid w:val="003266DA"/>
    <w:rsid w:val="003267C9"/>
    <w:rsid w:val="00326B7E"/>
    <w:rsid w:val="00326C04"/>
    <w:rsid w:val="0032709E"/>
    <w:rsid w:val="003270CE"/>
    <w:rsid w:val="00327121"/>
    <w:rsid w:val="003271FD"/>
    <w:rsid w:val="00327291"/>
    <w:rsid w:val="0032730D"/>
    <w:rsid w:val="00327375"/>
    <w:rsid w:val="00327596"/>
    <w:rsid w:val="00327778"/>
    <w:rsid w:val="00327A80"/>
    <w:rsid w:val="00327AF5"/>
    <w:rsid w:val="00330044"/>
    <w:rsid w:val="00330066"/>
    <w:rsid w:val="003303CE"/>
    <w:rsid w:val="00330499"/>
    <w:rsid w:val="0033069F"/>
    <w:rsid w:val="00330717"/>
    <w:rsid w:val="003307AF"/>
    <w:rsid w:val="00330911"/>
    <w:rsid w:val="00330AC3"/>
    <w:rsid w:val="00330AFF"/>
    <w:rsid w:val="00330B2A"/>
    <w:rsid w:val="00330FA4"/>
    <w:rsid w:val="00331233"/>
    <w:rsid w:val="003312CF"/>
    <w:rsid w:val="00331796"/>
    <w:rsid w:val="00331A8D"/>
    <w:rsid w:val="00331B1D"/>
    <w:rsid w:val="00331C05"/>
    <w:rsid w:val="00331C6E"/>
    <w:rsid w:val="00331CD3"/>
    <w:rsid w:val="00331D5D"/>
    <w:rsid w:val="00331F73"/>
    <w:rsid w:val="00332821"/>
    <w:rsid w:val="0033285C"/>
    <w:rsid w:val="00332A6C"/>
    <w:rsid w:val="00332B2C"/>
    <w:rsid w:val="00332C3F"/>
    <w:rsid w:val="00332D7C"/>
    <w:rsid w:val="00332E09"/>
    <w:rsid w:val="00332EDC"/>
    <w:rsid w:val="003330B1"/>
    <w:rsid w:val="003332A8"/>
    <w:rsid w:val="00333387"/>
    <w:rsid w:val="003335EB"/>
    <w:rsid w:val="0033363C"/>
    <w:rsid w:val="0033372B"/>
    <w:rsid w:val="00333834"/>
    <w:rsid w:val="00333DC2"/>
    <w:rsid w:val="00333DD1"/>
    <w:rsid w:val="00333EBF"/>
    <w:rsid w:val="0033430D"/>
    <w:rsid w:val="00334394"/>
    <w:rsid w:val="00334532"/>
    <w:rsid w:val="003345A1"/>
    <w:rsid w:val="003345BB"/>
    <w:rsid w:val="0033468F"/>
    <w:rsid w:val="00334887"/>
    <w:rsid w:val="00334B66"/>
    <w:rsid w:val="00334B83"/>
    <w:rsid w:val="00334C84"/>
    <w:rsid w:val="00334CB2"/>
    <w:rsid w:val="00334CCB"/>
    <w:rsid w:val="00334F45"/>
    <w:rsid w:val="00335056"/>
    <w:rsid w:val="00335202"/>
    <w:rsid w:val="003352AA"/>
    <w:rsid w:val="0033535D"/>
    <w:rsid w:val="0033536B"/>
    <w:rsid w:val="0033545E"/>
    <w:rsid w:val="0033553D"/>
    <w:rsid w:val="003357A2"/>
    <w:rsid w:val="00335F9E"/>
    <w:rsid w:val="00335FAA"/>
    <w:rsid w:val="00336013"/>
    <w:rsid w:val="00336119"/>
    <w:rsid w:val="00336183"/>
    <w:rsid w:val="00336245"/>
    <w:rsid w:val="0033626C"/>
    <w:rsid w:val="00336808"/>
    <w:rsid w:val="00336954"/>
    <w:rsid w:val="00336986"/>
    <w:rsid w:val="00336A11"/>
    <w:rsid w:val="00336CF8"/>
    <w:rsid w:val="00336DAD"/>
    <w:rsid w:val="0033707D"/>
    <w:rsid w:val="003370A1"/>
    <w:rsid w:val="00337213"/>
    <w:rsid w:val="00337218"/>
    <w:rsid w:val="00337278"/>
    <w:rsid w:val="003372BC"/>
    <w:rsid w:val="00337396"/>
    <w:rsid w:val="003373E5"/>
    <w:rsid w:val="00337460"/>
    <w:rsid w:val="00337602"/>
    <w:rsid w:val="003378EF"/>
    <w:rsid w:val="00337A81"/>
    <w:rsid w:val="00337AD5"/>
    <w:rsid w:val="00337B85"/>
    <w:rsid w:val="00337BED"/>
    <w:rsid w:val="00337C1F"/>
    <w:rsid w:val="00337D1F"/>
    <w:rsid w:val="00337E61"/>
    <w:rsid w:val="00340715"/>
    <w:rsid w:val="003407AA"/>
    <w:rsid w:val="00340842"/>
    <w:rsid w:val="00340910"/>
    <w:rsid w:val="00340956"/>
    <w:rsid w:val="00340978"/>
    <w:rsid w:val="00340A6F"/>
    <w:rsid w:val="00340CED"/>
    <w:rsid w:val="00340D4A"/>
    <w:rsid w:val="00340D57"/>
    <w:rsid w:val="00340FD6"/>
    <w:rsid w:val="00341229"/>
    <w:rsid w:val="003412BA"/>
    <w:rsid w:val="003414D3"/>
    <w:rsid w:val="0034163B"/>
    <w:rsid w:val="00341B1A"/>
    <w:rsid w:val="00341B20"/>
    <w:rsid w:val="00341DAF"/>
    <w:rsid w:val="00341FE7"/>
    <w:rsid w:val="0034212B"/>
    <w:rsid w:val="003424F0"/>
    <w:rsid w:val="0034262C"/>
    <w:rsid w:val="003428F4"/>
    <w:rsid w:val="00342BBE"/>
    <w:rsid w:val="00342CB8"/>
    <w:rsid w:val="00342CD5"/>
    <w:rsid w:val="00342DB9"/>
    <w:rsid w:val="0034302D"/>
    <w:rsid w:val="00343179"/>
    <w:rsid w:val="003431DE"/>
    <w:rsid w:val="0034343F"/>
    <w:rsid w:val="0034357C"/>
    <w:rsid w:val="00343622"/>
    <w:rsid w:val="00343666"/>
    <w:rsid w:val="003439DA"/>
    <w:rsid w:val="003439FE"/>
    <w:rsid w:val="00343A94"/>
    <w:rsid w:val="00343E86"/>
    <w:rsid w:val="00343F87"/>
    <w:rsid w:val="003442B6"/>
    <w:rsid w:val="003443D3"/>
    <w:rsid w:val="003443E7"/>
    <w:rsid w:val="0034449B"/>
    <w:rsid w:val="003444EC"/>
    <w:rsid w:val="0034479C"/>
    <w:rsid w:val="0034493F"/>
    <w:rsid w:val="0034496D"/>
    <w:rsid w:val="00344A48"/>
    <w:rsid w:val="00344A54"/>
    <w:rsid w:val="00344AF4"/>
    <w:rsid w:val="00344AF8"/>
    <w:rsid w:val="00344C57"/>
    <w:rsid w:val="00344CD5"/>
    <w:rsid w:val="00344D12"/>
    <w:rsid w:val="00344D56"/>
    <w:rsid w:val="00344E6B"/>
    <w:rsid w:val="00344FA2"/>
    <w:rsid w:val="00345013"/>
    <w:rsid w:val="00345095"/>
    <w:rsid w:val="00345264"/>
    <w:rsid w:val="003453CC"/>
    <w:rsid w:val="003457D0"/>
    <w:rsid w:val="003458E7"/>
    <w:rsid w:val="00345ABD"/>
    <w:rsid w:val="00345CC1"/>
    <w:rsid w:val="00345D31"/>
    <w:rsid w:val="00345DDA"/>
    <w:rsid w:val="00345E6E"/>
    <w:rsid w:val="00345EA4"/>
    <w:rsid w:val="00345F8C"/>
    <w:rsid w:val="00345FBB"/>
    <w:rsid w:val="00345FDC"/>
    <w:rsid w:val="00346142"/>
    <w:rsid w:val="003463DE"/>
    <w:rsid w:val="00346554"/>
    <w:rsid w:val="0034657E"/>
    <w:rsid w:val="00346773"/>
    <w:rsid w:val="003467FE"/>
    <w:rsid w:val="003468D9"/>
    <w:rsid w:val="00346941"/>
    <w:rsid w:val="0034695F"/>
    <w:rsid w:val="00346BC1"/>
    <w:rsid w:val="00346F1B"/>
    <w:rsid w:val="00347015"/>
    <w:rsid w:val="0034701F"/>
    <w:rsid w:val="00347095"/>
    <w:rsid w:val="00347167"/>
    <w:rsid w:val="00347527"/>
    <w:rsid w:val="00347559"/>
    <w:rsid w:val="00347613"/>
    <w:rsid w:val="00347802"/>
    <w:rsid w:val="0034783E"/>
    <w:rsid w:val="00347CF7"/>
    <w:rsid w:val="00347EAB"/>
    <w:rsid w:val="00347F51"/>
    <w:rsid w:val="0035028C"/>
    <w:rsid w:val="00350693"/>
    <w:rsid w:val="003507F7"/>
    <w:rsid w:val="0035083D"/>
    <w:rsid w:val="003508A4"/>
    <w:rsid w:val="00350939"/>
    <w:rsid w:val="00350958"/>
    <w:rsid w:val="00350AB9"/>
    <w:rsid w:val="00350C13"/>
    <w:rsid w:val="00350DD1"/>
    <w:rsid w:val="00351266"/>
    <w:rsid w:val="003512FD"/>
    <w:rsid w:val="00351421"/>
    <w:rsid w:val="0035142D"/>
    <w:rsid w:val="003514E3"/>
    <w:rsid w:val="00351507"/>
    <w:rsid w:val="00351966"/>
    <w:rsid w:val="00352008"/>
    <w:rsid w:val="0035207A"/>
    <w:rsid w:val="00352194"/>
    <w:rsid w:val="003521A6"/>
    <w:rsid w:val="00352AB4"/>
    <w:rsid w:val="00352C02"/>
    <w:rsid w:val="00352C4F"/>
    <w:rsid w:val="00352C7F"/>
    <w:rsid w:val="00352E3B"/>
    <w:rsid w:val="00352FFF"/>
    <w:rsid w:val="0035328B"/>
    <w:rsid w:val="00353298"/>
    <w:rsid w:val="00353353"/>
    <w:rsid w:val="00353401"/>
    <w:rsid w:val="0035375D"/>
    <w:rsid w:val="003538B8"/>
    <w:rsid w:val="00353A39"/>
    <w:rsid w:val="00353BBE"/>
    <w:rsid w:val="00353E4F"/>
    <w:rsid w:val="00353F1F"/>
    <w:rsid w:val="00353F7E"/>
    <w:rsid w:val="00354291"/>
    <w:rsid w:val="0035442A"/>
    <w:rsid w:val="003545BF"/>
    <w:rsid w:val="003550FC"/>
    <w:rsid w:val="00355453"/>
    <w:rsid w:val="0035594C"/>
    <w:rsid w:val="00355A81"/>
    <w:rsid w:val="00355AF7"/>
    <w:rsid w:val="003561DC"/>
    <w:rsid w:val="00356497"/>
    <w:rsid w:val="003564E8"/>
    <w:rsid w:val="003566B6"/>
    <w:rsid w:val="00356789"/>
    <w:rsid w:val="00356926"/>
    <w:rsid w:val="00356B35"/>
    <w:rsid w:val="00356BC0"/>
    <w:rsid w:val="00356D3F"/>
    <w:rsid w:val="003571A2"/>
    <w:rsid w:val="00357203"/>
    <w:rsid w:val="0035720E"/>
    <w:rsid w:val="00357262"/>
    <w:rsid w:val="00357B20"/>
    <w:rsid w:val="00357B22"/>
    <w:rsid w:val="00357DD5"/>
    <w:rsid w:val="00357FD5"/>
    <w:rsid w:val="003601BE"/>
    <w:rsid w:val="003601FD"/>
    <w:rsid w:val="0036024F"/>
    <w:rsid w:val="003602FE"/>
    <w:rsid w:val="0036037A"/>
    <w:rsid w:val="003604C6"/>
    <w:rsid w:val="003604F8"/>
    <w:rsid w:val="003605B2"/>
    <w:rsid w:val="003608D6"/>
    <w:rsid w:val="00360A00"/>
    <w:rsid w:val="00360C92"/>
    <w:rsid w:val="00360E8B"/>
    <w:rsid w:val="00360F16"/>
    <w:rsid w:val="0036109C"/>
    <w:rsid w:val="00361181"/>
    <w:rsid w:val="0036123F"/>
    <w:rsid w:val="00361261"/>
    <w:rsid w:val="0036135B"/>
    <w:rsid w:val="00361377"/>
    <w:rsid w:val="003616FD"/>
    <w:rsid w:val="00361936"/>
    <w:rsid w:val="00361AE6"/>
    <w:rsid w:val="00361AF3"/>
    <w:rsid w:val="00361DB7"/>
    <w:rsid w:val="00361F3F"/>
    <w:rsid w:val="00362398"/>
    <w:rsid w:val="0036240F"/>
    <w:rsid w:val="003624F1"/>
    <w:rsid w:val="00362893"/>
    <w:rsid w:val="00362CAA"/>
    <w:rsid w:val="00362E08"/>
    <w:rsid w:val="00362E68"/>
    <w:rsid w:val="00362F93"/>
    <w:rsid w:val="0036300D"/>
    <w:rsid w:val="00363162"/>
    <w:rsid w:val="003632EC"/>
    <w:rsid w:val="0036345E"/>
    <w:rsid w:val="00363567"/>
    <w:rsid w:val="0036374B"/>
    <w:rsid w:val="003638C4"/>
    <w:rsid w:val="003638E1"/>
    <w:rsid w:val="003639F3"/>
    <w:rsid w:val="00363B20"/>
    <w:rsid w:val="00363C34"/>
    <w:rsid w:val="00363CD4"/>
    <w:rsid w:val="00363DEB"/>
    <w:rsid w:val="00363F00"/>
    <w:rsid w:val="00363F3D"/>
    <w:rsid w:val="0036410D"/>
    <w:rsid w:val="00364119"/>
    <w:rsid w:val="003641C6"/>
    <w:rsid w:val="00364263"/>
    <w:rsid w:val="003644E7"/>
    <w:rsid w:val="0036450C"/>
    <w:rsid w:val="003645D9"/>
    <w:rsid w:val="00364642"/>
    <w:rsid w:val="00364677"/>
    <w:rsid w:val="00364B85"/>
    <w:rsid w:val="00364CB3"/>
    <w:rsid w:val="00364FC1"/>
    <w:rsid w:val="003650FB"/>
    <w:rsid w:val="00365250"/>
    <w:rsid w:val="003652C4"/>
    <w:rsid w:val="0036577B"/>
    <w:rsid w:val="00365C93"/>
    <w:rsid w:val="00365CD0"/>
    <w:rsid w:val="00365D68"/>
    <w:rsid w:val="00365F93"/>
    <w:rsid w:val="00366144"/>
    <w:rsid w:val="00366190"/>
    <w:rsid w:val="00366330"/>
    <w:rsid w:val="003663AF"/>
    <w:rsid w:val="003663C4"/>
    <w:rsid w:val="003664D6"/>
    <w:rsid w:val="0036659F"/>
    <w:rsid w:val="00366804"/>
    <w:rsid w:val="0036680E"/>
    <w:rsid w:val="003668C8"/>
    <w:rsid w:val="00366B35"/>
    <w:rsid w:val="00366C70"/>
    <w:rsid w:val="00366E6C"/>
    <w:rsid w:val="00366FA1"/>
    <w:rsid w:val="00367082"/>
    <w:rsid w:val="00367300"/>
    <w:rsid w:val="0036744E"/>
    <w:rsid w:val="00367578"/>
    <w:rsid w:val="0036761A"/>
    <w:rsid w:val="003678F7"/>
    <w:rsid w:val="00367B7A"/>
    <w:rsid w:val="00367BA4"/>
    <w:rsid w:val="00367BD7"/>
    <w:rsid w:val="00367ECD"/>
    <w:rsid w:val="00367ECE"/>
    <w:rsid w:val="00370359"/>
    <w:rsid w:val="00370404"/>
    <w:rsid w:val="00370423"/>
    <w:rsid w:val="00370466"/>
    <w:rsid w:val="0037051E"/>
    <w:rsid w:val="003705E3"/>
    <w:rsid w:val="003707E0"/>
    <w:rsid w:val="00370958"/>
    <w:rsid w:val="00370B19"/>
    <w:rsid w:val="00370D82"/>
    <w:rsid w:val="00370DB9"/>
    <w:rsid w:val="00370FF4"/>
    <w:rsid w:val="003713F4"/>
    <w:rsid w:val="003716BF"/>
    <w:rsid w:val="003716C2"/>
    <w:rsid w:val="00371AB5"/>
    <w:rsid w:val="00371F18"/>
    <w:rsid w:val="00371FAE"/>
    <w:rsid w:val="003720CA"/>
    <w:rsid w:val="003720DC"/>
    <w:rsid w:val="00372225"/>
    <w:rsid w:val="00372606"/>
    <w:rsid w:val="00372891"/>
    <w:rsid w:val="0037289F"/>
    <w:rsid w:val="00372914"/>
    <w:rsid w:val="00372ADE"/>
    <w:rsid w:val="00372B9C"/>
    <w:rsid w:val="00372BE0"/>
    <w:rsid w:val="00373106"/>
    <w:rsid w:val="00373210"/>
    <w:rsid w:val="0037328F"/>
    <w:rsid w:val="0037355D"/>
    <w:rsid w:val="0037394A"/>
    <w:rsid w:val="003739F6"/>
    <w:rsid w:val="00373A62"/>
    <w:rsid w:val="00373D12"/>
    <w:rsid w:val="00373D17"/>
    <w:rsid w:val="00373FEC"/>
    <w:rsid w:val="00374175"/>
    <w:rsid w:val="00374716"/>
    <w:rsid w:val="003747BA"/>
    <w:rsid w:val="00374A21"/>
    <w:rsid w:val="00374A52"/>
    <w:rsid w:val="00374B25"/>
    <w:rsid w:val="00374FD6"/>
    <w:rsid w:val="00375293"/>
    <w:rsid w:val="003752CE"/>
    <w:rsid w:val="003753C5"/>
    <w:rsid w:val="00375555"/>
    <w:rsid w:val="003757AA"/>
    <w:rsid w:val="003758B5"/>
    <w:rsid w:val="0037592E"/>
    <w:rsid w:val="00375D97"/>
    <w:rsid w:val="00375E66"/>
    <w:rsid w:val="00375EC0"/>
    <w:rsid w:val="00376178"/>
    <w:rsid w:val="003761A8"/>
    <w:rsid w:val="003764E3"/>
    <w:rsid w:val="00376905"/>
    <w:rsid w:val="00376983"/>
    <w:rsid w:val="00376B34"/>
    <w:rsid w:val="00376B4E"/>
    <w:rsid w:val="00376CAF"/>
    <w:rsid w:val="00376E83"/>
    <w:rsid w:val="00376EE7"/>
    <w:rsid w:val="003770B2"/>
    <w:rsid w:val="003770C2"/>
    <w:rsid w:val="00377260"/>
    <w:rsid w:val="00377472"/>
    <w:rsid w:val="003774DE"/>
    <w:rsid w:val="0037780D"/>
    <w:rsid w:val="003778DA"/>
    <w:rsid w:val="00377B09"/>
    <w:rsid w:val="00377B92"/>
    <w:rsid w:val="00380007"/>
    <w:rsid w:val="00380335"/>
    <w:rsid w:val="00380574"/>
    <w:rsid w:val="0038058E"/>
    <w:rsid w:val="003805F2"/>
    <w:rsid w:val="003808E8"/>
    <w:rsid w:val="00380B16"/>
    <w:rsid w:val="00380BB3"/>
    <w:rsid w:val="00380E91"/>
    <w:rsid w:val="00381149"/>
    <w:rsid w:val="00381775"/>
    <w:rsid w:val="003817E3"/>
    <w:rsid w:val="003817FD"/>
    <w:rsid w:val="00381913"/>
    <w:rsid w:val="003819C1"/>
    <w:rsid w:val="00381A94"/>
    <w:rsid w:val="00381AC7"/>
    <w:rsid w:val="00381BFC"/>
    <w:rsid w:val="00381C38"/>
    <w:rsid w:val="00381D71"/>
    <w:rsid w:val="00381EDC"/>
    <w:rsid w:val="00381EEC"/>
    <w:rsid w:val="00381F42"/>
    <w:rsid w:val="00381FB9"/>
    <w:rsid w:val="00381FF8"/>
    <w:rsid w:val="003821D2"/>
    <w:rsid w:val="00382240"/>
    <w:rsid w:val="003824C0"/>
    <w:rsid w:val="003826D7"/>
    <w:rsid w:val="003827EA"/>
    <w:rsid w:val="00382C40"/>
    <w:rsid w:val="00382E6E"/>
    <w:rsid w:val="00383280"/>
    <w:rsid w:val="0038329F"/>
    <w:rsid w:val="0038331E"/>
    <w:rsid w:val="0038337D"/>
    <w:rsid w:val="00383442"/>
    <w:rsid w:val="0038359A"/>
    <w:rsid w:val="00383AC3"/>
    <w:rsid w:val="00384545"/>
    <w:rsid w:val="003845C7"/>
    <w:rsid w:val="0038465D"/>
    <w:rsid w:val="0038483A"/>
    <w:rsid w:val="00384A06"/>
    <w:rsid w:val="00384A6E"/>
    <w:rsid w:val="00384AD2"/>
    <w:rsid w:val="00384B29"/>
    <w:rsid w:val="00384D63"/>
    <w:rsid w:val="00384DBD"/>
    <w:rsid w:val="00384F4A"/>
    <w:rsid w:val="00385191"/>
    <w:rsid w:val="00385347"/>
    <w:rsid w:val="0038578C"/>
    <w:rsid w:val="00385A99"/>
    <w:rsid w:val="00385EDE"/>
    <w:rsid w:val="00385F2F"/>
    <w:rsid w:val="00386233"/>
    <w:rsid w:val="0038624E"/>
    <w:rsid w:val="003862D3"/>
    <w:rsid w:val="003862FA"/>
    <w:rsid w:val="0038652B"/>
    <w:rsid w:val="00386552"/>
    <w:rsid w:val="003868AE"/>
    <w:rsid w:val="00386A67"/>
    <w:rsid w:val="00386AD6"/>
    <w:rsid w:val="00386D79"/>
    <w:rsid w:val="00386F1A"/>
    <w:rsid w:val="00387087"/>
    <w:rsid w:val="00387093"/>
    <w:rsid w:val="0038756B"/>
    <w:rsid w:val="003875E8"/>
    <w:rsid w:val="0038766E"/>
    <w:rsid w:val="003877E0"/>
    <w:rsid w:val="003879F6"/>
    <w:rsid w:val="00387A12"/>
    <w:rsid w:val="00387A64"/>
    <w:rsid w:val="00387C88"/>
    <w:rsid w:val="00387D69"/>
    <w:rsid w:val="00387D84"/>
    <w:rsid w:val="0039030B"/>
    <w:rsid w:val="00390497"/>
    <w:rsid w:val="0039053B"/>
    <w:rsid w:val="0039068C"/>
    <w:rsid w:val="003906FD"/>
    <w:rsid w:val="00390753"/>
    <w:rsid w:val="00390983"/>
    <w:rsid w:val="003909B9"/>
    <w:rsid w:val="00390E40"/>
    <w:rsid w:val="00390ED0"/>
    <w:rsid w:val="00390F16"/>
    <w:rsid w:val="00391321"/>
    <w:rsid w:val="00391590"/>
    <w:rsid w:val="0039173C"/>
    <w:rsid w:val="00391868"/>
    <w:rsid w:val="00391C71"/>
    <w:rsid w:val="00391D2A"/>
    <w:rsid w:val="00391D7B"/>
    <w:rsid w:val="00391DAE"/>
    <w:rsid w:val="00391F17"/>
    <w:rsid w:val="00392187"/>
    <w:rsid w:val="003922CE"/>
    <w:rsid w:val="0039268D"/>
    <w:rsid w:val="003927F3"/>
    <w:rsid w:val="00392844"/>
    <w:rsid w:val="003928BE"/>
    <w:rsid w:val="00392B76"/>
    <w:rsid w:val="00392B83"/>
    <w:rsid w:val="00392CD5"/>
    <w:rsid w:val="00392CF4"/>
    <w:rsid w:val="00392DF3"/>
    <w:rsid w:val="00392ECC"/>
    <w:rsid w:val="0039321D"/>
    <w:rsid w:val="00393450"/>
    <w:rsid w:val="00393573"/>
    <w:rsid w:val="00393593"/>
    <w:rsid w:val="003937AC"/>
    <w:rsid w:val="00393907"/>
    <w:rsid w:val="003939F3"/>
    <w:rsid w:val="00393AC2"/>
    <w:rsid w:val="00393BED"/>
    <w:rsid w:val="00393EA2"/>
    <w:rsid w:val="00394716"/>
    <w:rsid w:val="003947A7"/>
    <w:rsid w:val="0039498C"/>
    <w:rsid w:val="00394A28"/>
    <w:rsid w:val="00394E49"/>
    <w:rsid w:val="00394E57"/>
    <w:rsid w:val="00394EBB"/>
    <w:rsid w:val="003950A2"/>
    <w:rsid w:val="00395266"/>
    <w:rsid w:val="0039554B"/>
    <w:rsid w:val="00395949"/>
    <w:rsid w:val="00395A32"/>
    <w:rsid w:val="00395E74"/>
    <w:rsid w:val="00395F79"/>
    <w:rsid w:val="00395FD9"/>
    <w:rsid w:val="003963E9"/>
    <w:rsid w:val="00396861"/>
    <w:rsid w:val="00396987"/>
    <w:rsid w:val="00396DA8"/>
    <w:rsid w:val="00396DE4"/>
    <w:rsid w:val="00396E38"/>
    <w:rsid w:val="00396F43"/>
    <w:rsid w:val="00396FDA"/>
    <w:rsid w:val="003971B6"/>
    <w:rsid w:val="003971E6"/>
    <w:rsid w:val="00397205"/>
    <w:rsid w:val="0039759B"/>
    <w:rsid w:val="00397E02"/>
    <w:rsid w:val="00397FD2"/>
    <w:rsid w:val="003A0236"/>
    <w:rsid w:val="003A02F4"/>
    <w:rsid w:val="003A0410"/>
    <w:rsid w:val="003A0795"/>
    <w:rsid w:val="003A07E0"/>
    <w:rsid w:val="003A08AD"/>
    <w:rsid w:val="003A0BB3"/>
    <w:rsid w:val="003A0BD6"/>
    <w:rsid w:val="003A0DE3"/>
    <w:rsid w:val="003A0F05"/>
    <w:rsid w:val="003A1522"/>
    <w:rsid w:val="003A1770"/>
    <w:rsid w:val="003A17BA"/>
    <w:rsid w:val="003A183D"/>
    <w:rsid w:val="003A18FB"/>
    <w:rsid w:val="003A1930"/>
    <w:rsid w:val="003A1C03"/>
    <w:rsid w:val="003A1CB9"/>
    <w:rsid w:val="003A1F0D"/>
    <w:rsid w:val="003A2099"/>
    <w:rsid w:val="003A227B"/>
    <w:rsid w:val="003A249A"/>
    <w:rsid w:val="003A24EB"/>
    <w:rsid w:val="003A2551"/>
    <w:rsid w:val="003A25A5"/>
    <w:rsid w:val="003A25F2"/>
    <w:rsid w:val="003A2786"/>
    <w:rsid w:val="003A2953"/>
    <w:rsid w:val="003A2AF0"/>
    <w:rsid w:val="003A2CB4"/>
    <w:rsid w:val="003A2D69"/>
    <w:rsid w:val="003A2E2E"/>
    <w:rsid w:val="003A2FE9"/>
    <w:rsid w:val="003A306F"/>
    <w:rsid w:val="003A318F"/>
    <w:rsid w:val="003A3480"/>
    <w:rsid w:val="003A3656"/>
    <w:rsid w:val="003A36B5"/>
    <w:rsid w:val="003A36F4"/>
    <w:rsid w:val="003A3769"/>
    <w:rsid w:val="003A3817"/>
    <w:rsid w:val="003A3A9B"/>
    <w:rsid w:val="003A3D12"/>
    <w:rsid w:val="003A3E32"/>
    <w:rsid w:val="003A3F86"/>
    <w:rsid w:val="003A4076"/>
    <w:rsid w:val="003A4290"/>
    <w:rsid w:val="003A43EB"/>
    <w:rsid w:val="003A4427"/>
    <w:rsid w:val="003A44D1"/>
    <w:rsid w:val="003A47E2"/>
    <w:rsid w:val="003A4800"/>
    <w:rsid w:val="003A4D64"/>
    <w:rsid w:val="003A4E98"/>
    <w:rsid w:val="003A5018"/>
    <w:rsid w:val="003A51C1"/>
    <w:rsid w:val="003A52B8"/>
    <w:rsid w:val="003A5432"/>
    <w:rsid w:val="003A5721"/>
    <w:rsid w:val="003A5977"/>
    <w:rsid w:val="003A59E9"/>
    <w:rsid w:val="003A5BD4"/>
    <w:rsid w:val="003A64BE"/>
    <w:rsid w:val="003A6574"/>
    <w:rsid w:val="003A6583"/>
    <w:rsid w:val="003A66F4"/>
    <w:rsid w:val="003A6837"/>
    <w:rsid w:val="003A6932"/>
    <w:rsid w:val="003A6C2A"/>
    <w:rsid w:val="003A6CD6"/>
    <w:rsid w:val="003A6CF5"/>
    <w:rsid w:val="003A6E33"/>
    <w:rsid w:val="003A6E7E"/>
    <w:rsid w:val="003A6EAD"/>
    <w:rsid w:val="003A700A"/>
    <w:rsid w:val="003A712D"/>
    <w:rsid w:val="003A71D5"/>
    <w:rsid w:val="003A747E"/>
    <w:rsid w:val="003A764C"/>
    <w:rsid w:val="003A779F"/>
    <w:rsid w:val="003A77A0"/>
    <w:rsid w:val="003A77A3"/>
    <w:rsid w:val="003A7C9A"/>
    <w:rsid w:val="003A7CC8"/>
    <w:rsid w:val="003A7E7B"/>
    <w:rsid w:val="003B0206"/>
    <w:rsid w:val="003B0925"/>
    <w:rsid w:val="003B0928"/>
    <w:rsid w:val="003B09A4"/>
    <w:rsid w:val="003B0A05"/>
    <w:rsid w:val="003B0A20"/>
    <w:rsid w:val="003B0A5D"/>
    <w:rsid w:val="003B0B02"/>
    <w:rsid w:val="003B0B2F"/>
    <w:rsid w:val="003B0BA4"/>
    <w:rsid w:val="003B0D72"/>
    <w:rsid w:val="003B0DAF"/>
    <w:rsid w:val="003B0FC3"/>
    <w:rsid w:val="003B0FDA"/>
    <w:rsid w:val="003B10D0"/>
    <w:rsid w:val="003B10DC"/>
    <w:rsid w:val="003B110B"/>
    <w:rsid w:val="003B1186"/>
    <w:rsid w:val="003B124D"/>
    <w:rsid w:val="003B145C"/>
    <w:rsid w:val="003B146B"/>
    <w:rsid w:val="003B14FD"/>
    <w:rsid w:val="003B1523"/>
    <w:rsid w:val="003B1846"/>
    <w:rsid w:val="003B1B72"/>
    <w:rsid w:val="003B1C23"/>
    <w:rsid w:val="003B1C7E"/>
    <w:rsid w:val="003B1DFC"/>
    <w:rsid w:val="003B1EA6"/>
    <w:rsid w:val="003B1EFB"/>
    <w:rsid w:val="003B2178"/>
    <w:rsid w:val="003B2538"/>
    <w:rsid w:val="003B266B"/>
    <w:rsid w:val="003B2AFB"/>
    <w:rsid w:val="003B2B40"/>
    <w:rsid w:val="003B2D44"/>
    <w:rsid w:val="003B2F32"/>
    <w:rsid w:val="003B3030"/>
    <w:rsid w:val="003B304C"/>
    <w:rsid w:val="003B30FB"/>
    <w:rsid w:val="003B3228"/>
    <w:rsid w:val="003B3237"/>
    <w:rsid w:val="003B3260"/>
    <w:rsid w:val="003B3291"/>
    <w:rsid w:val="003B3446"/>
    <w:rsid w:val="003B3595"/>
    <w:rsid w:val="003B3635"/>
    <w:rsid w:val="003B370B"/>
    <w:rsid w:val="003B372E"/>
    <w:rsid w:val="003B397E"/>
    <w:rsid w:val="003B3B3F"/>
    <w:rsid w:val="003B4154"/>
    <w:rsid w:val="003B4193"/>
    <w:rsid w:val="003B41EA"/>
    <w:rsid w:val="003B45A2"/>
    <w:rsid w:val="003B4667"/>
    <w:rsid w:val="003B46B5"/>
    <w:rsid w:val="003B472B"/>
    <w:rsid w:val="003B4797"/>
    <w:rsid w:val="003B4AA4"/>
    <w:rsid w:val="003B4AFA"/>
    <w:rsid w:val="003B4BE7"/>
    <w:rsid w:val="003B4D55"/>
    <w:rsid w:val="003B4D57"/>
    <w:rsid w:val="003B4F0E"/>
    <w:rsid w:val="003B51FF"/>
    <w:rsid w:val="003B53F9"/>
    <w:rsid w:val="003B5536"/>
    <w:rsid w:val="003B564C"/>
    <w:rsid w:val="003B56CB"/>
    <w:rsid w:val="003B58F9"/>
    <w:rsid w:val="003B59CB"/>
    <w:rsid w:val="003B5A54"/>
    <w:rsid w:val="003B5D07"/>
    <w:rsid w:val="003B6060"/>
    <w:rsid w:val="003B607F"/>
    <w:rsid w:val="003B6217"/>
    <w:rsid w:val="003B6233"/>
    <w:rsid w:val="003B6352"/>
    <w:rsid w:val="003B645F"/>
    <w:rsid w:val="003B665B"/>
    <w:rsid w:val="003B66F8"/>
    <w:rsid w:val="003B6985"/>
    <w:rsid w:val="003B6CA5"/>
    <w:rsid w:val="003B6DBC"/>
    <w:rsid w:val="003B6E28"/>
    <w:rsid w:val="003B7345"/>
    <w:rsid w:val="003B74DE"/>
    <w:rsid w:val="003B7519"/>
    <w:rsid w:val="003B7793"/>
    <w:rsid w:val="003B79F0"/>
    <w:rsid w:val="003B7B06"/>
    <w:rsid w:val="003B7B25"/>
    <w:rsid w:val="003B7B31"/>
    <w:rsid w:val="003B7B6B"/>
    <w:rsid w:val="003B7CD6"/>
    <w:rsid w:val="003B7D51"/>
    <w:rsid w:val="003B7F20"/>
    <w:rsid w:val="003C01EA"/>
    <w:rsid w:val="003C048A"/>
    <w:rsid w:val="003C0738"/>
    <w:rsid w:val="003C07A0"/>
    <w:rsid w:val="003C07A9"/>
    <w:rsid w:val="003C07B4"/>
    <w:rsid w:val="003C0851"/>
    <w:rsid w:val="003C09AF"/>
    <w:rsid w:val="003C0ADC"/>
    <w:rsid w:val="003C0F56"/>
    <w:rsid w:val="003C0FFF"/>
    <w:rsid w:val="003C11A0"/>
    <w:rsid w:val="003C12F6"/>
    <w:rsid w:val="003C146F"/>
    <w:rsid w:val="003C14C4"/>
    <w:rsid w:val="003C1504"/>
    <w:rsid w:val="003C1566"/>
    <w:rsid w:val="003C19E2"/>
    <w:rsid w:val="003C1C79"/>
    <w:rsid w:val="003C1E5E"/>
    <w:rsid w:val="003C1EB7"/>
    <w:rsid w:val="003C1FDE"/>
    <w:rsid w:val="003C20B0"/>
    <w:rsid w:val="003C215D"/>
    <w:rsid w:val="003C21F4"/>
    <w:rsid w:val="003C22FC"/>
    <w:rsid w:val="003C2334"/>
    <w:rsid w:val="003C246E"/>
    <w:rsid w:val="003C2528"/>
    <w:rsid w:val="003C25EE"/>
    <w:rsid w:val="003C27C6"/>
    <w:rsid w:val="003C29EE"/>
    <w:rsid w:val="003C2A0A"/>
    <w:rsid w:val="003C2AF8"/>
    <w:rsid w:val="003C2BFC"/>
    <w:rsid w:val="003C2E9E"/>
    <w:rsid w:val="003C2F65"/>
    <w:rsid w:val="003C306A"/>
    <w:rsid w:val="003C31FA"/>
    <w:rsid w:val="003C3246"/>
    <w:rsid w:val="003C3282"/>
    <w:rsid w:val="003C3331"/>
    <w:rsid w:val="003C36CC"/>
    <w:rsid w:val="003C39E1"/>
    <w:rsid w:val="003C3A5A"/>
    <w:rsid w:val="003C3D08"/>
    <w:rsid w:val="003C3F2E"/>
    <w:rsid w:val="003C4109"/>
    <w:rsid w:val="003C419F"/>
    <w:rsid w:val="003C4AD1"/>
    <w:rsid w:val="003C4B78"/>
    <w:rsid w:val="003C4CDA"/>
    <w:rsid w:val="003C4E12"/>
    <w:rsid w:val="003C4E1F"/>
    <w:rsid w:val="003C4E3A"/>
    <w:rsid w:val="003C5068"/>
    <w:rsid w:val="003C5140"/>
    <w:rsid w:val="003C54E5"/>
    <w:rsid w:val="003C5583"/>
    <w:rsid w:val="003C55DE"/>
    <w:rsid w:val="003C57CB"/>
    <w:rsid w:val="003C5D9C"/>
    <w:rsid w:val="003C611E"/>
    <w:rsid w:val="003C6188"/>
    <w:rsid w:val="003C6364"/>
    <w:rsid w:val="003C640E"/>
    <w:rsid w:val="003C65A9"/>
    <w:rsid w:val="003C6658"/>
    <w:rsid w:val="003C6A3A"/>
    <w:rsid w:val="003C6C91"/>
    <w:rsid w:val="003C6CAD"/>
    <w:rsid w:val="003C6D12"/>
    <w:rsid w:val="003C6D58"/>
    <w:rsid w:val="003C7390"/>
    <w:rsid w:val="003C76A6"/>
    <w:rsid w:val="003C77D0"/>
    <w:rsid w:val="003C78E8"/>
    <w:rsid w:val="003C7A17"/>
    <w:rsid w:val="003C7A1C"/>
    <w:rsid w:val="003C7A79"/>
    <w:rsid w:val="003C7BA7"/>
    <w:rsid w:val="003C7DD7"/>
    <w:rsid w:val="003C7FAD"/>
    <w:rsid w:val="003D02B9"/>
    <w:rsid w:val="003D0414"/>
    <w:rsid w:val="003D0B79"/>
    <w:rsid w:val="003D0EB9"/>
    <w:rsid w:val="003D10E5"/>
    <w:rsid w:val="003D11E1"/>
    <w:rsid w:val="003D1330"/>
    <w:rsid w:val="003D146B"/>
    <w:rsid w:val="003D149B"/>
    <w:rsid w:val="003D15C0"/>
    <w:rsid w:val="003D15E1"/>
    <w:rsid w:val="003D165A"/>
    <w:rsid w:val="003D17D0"/>
    <w:rsid w:val="003D198D"/>
    <w:rsid w:val="003D1C7A"/>
    <w:rsid w:val="003D1EB1"/>
    <w:rsid w:val="003D22DC"/>
    <w:rsid w:val="003D2357"/>
    <w:rsid w:val="003D24FD"/>
    <w:rsid w:val="003D25A8"/>
    <w:rsid w:val="003D25AF"/>
    <w:rsid w:val="003D2618"/>
    <w:rsid w:val="003D2A55"/>
    <w:rsid w:val="003D2A61"/>
    <w:rsid w:val="003D2C4B"/>
    <w:rsid w:val="003D2DA6"/>
    <w:rsid w:val="003D2F15"/>
    <w:rsid w:val="003D2FA5"/>
    <w:rsid w:val="003D2FC3"/>
    <w:rsid w:val="003D30B6"/>
    <w:rsid w:val="003D31A7"/>
    <w:rsid w:val="003D3309"/>
    <w:rsid w:val="003D358F"/>
    <w:rsid w:val="003D3689"/>
    <w:rsid w:val="003D3722"/>
    <w:rsid w:val="003D3EC9"/>
    <w:rsid w:val="003D4160"/>
    <w:rsid w:val="003D4200"/>
    <w:rsid w:val="003D43AF"/>
    <w:rsid w:val="003D469C"/>
    <w:rsid w:val="003D47D2"/>
    <w:rsid w:val="003D4EDC"/>
    <w:rsid w:val="003D4FF5"/>
    <w:rsid w:val="003D534C"/>
    <w:rsid w:val="003D5404"/>
    <w:rsid w:val="003D54C8"/>
    <w:rsid w:val="003D5B31"/>
    <w:rsid w:val="003D5B39"/>
    <w:rsid w:val="003D5C0D"/>
    <w:rsid w:val="003D5C6D"/>
    <w:rsid w:val="003D5DDC"/>
    <w:rsid w:val="003D60B9"/>
    <w:rsid w:val="003D6222"/>
    <w:rsid w:val="003D62C0"/>
    <w:rsid w:val="003D631C"/>
    <w:rsid w:val="003D6329"/>
    <w:rsid w:val="003D6764"/>
    <w:rsid w:val="003D693D"/>
    <w:rsid w:val="003D6992"/>
    <w:rsid w:val="003D69E5"/>
    <w:rsid w:val="003D6A1C"/>
    <w:rsid w:val="003D6AE1"/>
    <w:rsid w:val="003D6F59"/>
    <w:rsid w:val="003D700B"/>
    <w:rsid w:val="003D712F"/>
    <w:rsid w:val="003D78B4"/>
    <w:rsid w:val="003D7E30"/>
    <w:rsid w:val="003E0592"/>
    <w:rsid w:val="003E0887"/>
    <w:rsid w:val="003E0A8D"/>
    <w:rsid w:val="003E0BD5"/>
    <w:rsid w:val="003E0C30"/>
    <w:rsid w:val="003E0CCE"/>
    <w:rsid w:val="003E10AC"/>
    <w:rsid w:val="003E114A"/>
    <w:rsid w:val="003E123B"/>
    <w:rsid w:val="003E1520"/>
    <w:rsid w:val="003E163D"/>
    <w:rsid w:val="003E190E"/>
    <w:rsid w:val="003E1A08"/>
    <w:rsid w:val="003E1A4F"/>
    <w:rsid w:val="003E1A60"/>
    <w:rsid w:val="003E1F64"/>
    <w:rsid w:val="003E1FA2"/>
    <w:rsid w:val="003E2BF5"/>
    <w:rsid w:val="003E2C0A"/>
    <w:rsid w:val="003E2D00"/>
    <w:rsid w:val="003E2E59"/>
    <w:rsid w:val="003E31D5"/>
    <w:rsid w:val="003E329B"/>
    <w:rsid w:val="003E335E"/>
    <w:rsid w:val="003E3404"/>
    <w:rsid w:val="003E3732"/>
    <w:rsid w:val="003E391D"/>
    <w:rsid w:val="003E3ACF"/>
    <w:rsid w:val="003E3BDA"/>
    <w:rsid w:val="003E40B7"/>
    <w:rsid w:val="003E4442"/>
    <w:rsid w:val="003E453B"/>
    <w:rsid w:val="003E455F"/>
    <w:rsid w:val="003E45A0"/>
    <w:rsid w:val="003E4610"/>
    <w:rsid w:val="003E46AB"/>
    <w:rsid w:val="003E473F"/>
    <w:rsid w:val="003E47B3"/>
    <w:rsid w:val="003E4BBB"/>
    <w:rsid w:val="003E4D3F"/>
    <w:rsid w:val="003E4E1C"/>
    <w:rsid w:val="003E4E7F"/>
    <w:rsid w:val="003E4E9A"/>
    <w:rsid w:val="003E4FA9"/>
    <w:rsid w:val="003E52B0"/>
    <w:rsid w:val="003E5471"/>
    <w:rsid w:val="003E552E"/>
    <w:rsid w:val="003E56F5"/>
    <w:rsid w:val="003E57D6"/>
    <w:rsid w:val="003E58C4"/>
    <w:rsid w:val="003E59A0"/>
    <w:rsid w:val="003E5B45"/>
    <w:rsid w:val="003E5CB5"/>
    <w:rsid w:val="003E5D81"/>
    <w:rsid w:val="003E60CA"/>
    <w:rsid w:val="003E628C"/>
    <w:rsid w:val="003E65CB"/>
    <w:rsid w:val="003E6AB7"/>
    <w:rsid w:val="003E6C44"/>
    <w:rsid w:val="003E6C98"/>
    <w:rsid w:val="003E6DCA"/>
    <w:rsid w:val="003E6F9E"/>
    <w:rsid w:val="003E6FCC"/>
    <w:rsid w:val="003E721E"/>
    <w:rsid w:val="003E7241"/>
    <w:rsid w:val="003E76EE"/>
    <w:rsid w:val="003E7782"/>
    <w:rsid w:val="003E7810"/>
    <w:rsid w:val="003E78E5"/>
    <w:rsid w:val="003E7970"/>
    <w:rsid w:val="003E7BE8"/>
    <w:rsid w:val="003E7E0E"/>
    <w:rsid w:val="003E7E65"/>
    <w:rsid w:val="003E7F0B"/>
    <w:rsid w:val="003F0477"/>
    <w:rsid w:val="003F047B"/>
    <w:rsid w:val="003F049A"/>
    <w:rsid w:val="003F09F0"/>
    <w:rsid w:val="003F0B21"/>
    <w:rsid w:val="003F0CF4"/>
    <w:rsid w:val="003F0DF8"/>
    <w:rsid w:val="003F10E4"/>
    <w:rsid w:val="003F133D"/>
    <w:rsid w:val="003F1797"/>
    <w:rsid w:val="003F1869"/>
    <w:rsid w:val="003F1BB9"/>
    <w:rsid w:val="003F1BE4"/>
    <w:rsid w:val="003F1EA0"/>
    <w:rsid w:val="003F1F8F"/>
    <w:rsid w:val="003F1FF2"/>
    <w:rsid w:val="003F237E"/>
    <w:rsid w:val="003F2423"/>
    <w:rsid w:val="003F2570"/>
    <w:rsid w:val="003F261D"/>
    <w:rsid w:val="003F2678"/>
    <w:rsid w:val="003F2697"/>
    <w:rsid w:val="003F285E"/>
    <w:rsid w:val="003F292F"/>
    <w:rsid w:val="003F29E8"/>
    <w:rsid w:val="003F2B83"/>
    <w:rsid w:val="003F2C13"/>
    <w:rsid w:val="003F2CF6"/>
    <w:rsid w:val="003F2D54"/>
    <w:rsid w:val="003F2D5F"/>
    <w:rsid w:val="003F2F28"/>
    <w:rsid w:val="003F2F3C"/>
    <w:rsid w:val="003F2F7E"/>
    <w:rsid w:val="003F30D4"/>
    <w:rsid w:val="003F321E"/>
    <w:rsid w:val="003F33E4"/>
    <w:rsid w:val="003F353D"/>
    <w:rsid w:val="003F35D2"/>
    <w:rsid w:val="003F39D3"/>
    <w:rsid w:val="003F3AD0"/>
    <w:rsid w:val="003F3B62"/>
    <w:rsid w:val="003F3BCE"/>
    <w:rsid w:val="003F3BD8"/>
    <w:rsid w:val="003F3C21"/>
    <w:rsid w:val="003F3ED2"/>
    <w:rsid w:val="003F407E"/>
    <w:rsid w:val="003F42D3"/>
    <w:rsid w:val="003F4303"/>
    <w:rsid w:val="003F435E"/>
    <w:rsid w:val="003F4478"/>
    <w:rsid w:val="003F4741"/>
    <w:rsid w:val="003F4881"/>
    <w:rsid w:val="003F49D1"/>
    <w:rsid w:val="003F4A6D"/>
    <w:rsid w:val="003F4E69"/>
    <w:rsid w:val="003F4ECA"/>
    <w:rsid w:val="003F4F4E"/>
    <w:rsid w:val="003F4F5C"/>
    <w:rsid w:val="003F5439"/>
    <w:rsid w:val="003F559C"/>
    <w:rsid w:val="003F58D8"/>
    <w:rsid w:val="003F59CB"/>
    <w:rsid w:val="003F5B8C"/>
    <w:rsid w:val="003F5C57"/>
    <w:rsid w:val="003F604D"/>
    <w:rsid w:val="003F6058"/>
    <w:rsid w:val="003F606F"/>
    <w:rsid w:val="003F6132"/>
    <w:rsid w:val="003F6173"/>
    <w:rsid w:val="003F6622"/>
    <w:rsid w:val="003F6A27"/>
    <w:rsid w:val="003F6B77"/>
    <w:rsid w:val="003F6C67"/>
    <w:rsid w:val="003F6CAB"/>
    <w:rsid w:val="003F6DC0"/>
    <w:rsid w:val="003F6FAF"/>
    <w:rsid w:val="003F7012"/>
    <w:rsid w:val="003F7430"/>
    <w:rsid w:val="003F74E6"/>
    <w:rsid w:val="003F7550"/>
    <w:rsid w:val="003F789E"/>
    <w:rsid w:val="003F7C69"/>
    <w:rsid w:val="003F7F03"/>
    <w:rsid w:val="003F7F86"/>
    <w:rsid w:val="00400243"/>
    <w:rsid w:val="004003EF"/>
    <w:rsid w:val="00400461"/>
    <w:rsid w:val="004005A6"/>
    <w:rsid w:val="004006C1"/>
    <w:rsid w:val="004008D3"/>
    <w:rsid w:val="00400AFA"/>
    <w:rsid w:val="00400DE3"/>
    <w:rsid w:val="00400FAC"/>
    <w:rsid w:val="0040108F"/>
    <w:rsid w:val="004010E3"/>
    <w:rsid w:val="00401497"/>
    <w:rsid w:val="004017B9"/>
    <w:rsid w:val="004017E7"/>
    <w:rsid w:val="0040186D"/>
    <w:rsid w:val="004018C3"/>
    <w:rsid w:val="00401AD8"/>
    <w:rsid w:val="00401B59"/>
    <w:rsid w:val="00401C44"/>
    <w:rsid w:val="00401F04"/>
    <w:rsid w:val="00401F5A"/>
    <w:rsid w:val="00401F5B"/>
    <w:rsid w:val="00401F73"/>
    <w:rsid w:val="00401FFE"/>
    <w:rsid w:val="004020DB"/>
    <w:rsid w:val="004021DD"/>
    <w:rsid w:val="004021E0"/>
    <w:rsid w:val="00402597"/>
    <w:rsid w:val="004025EC"/>
    <w:rsid w:val="00402734"/>
    <w:rsid w:val="0040282C"/>
    <w:rsid w:val="00402A3D"/>
    <w:rsid w:val="00402B55"/>
    <w:rsid w:val="00402BE6"/>
    <w:rsid w:val="00402EE5"/>
    <w:rsid w:val="00403019"/>
    <w:rsid w:val="00403190"/>
    <w:rsid w:val="00403207"/>
    <w:rsid w:val="004032A9"/>
    <w:rsid w:val="004032EE"/>
    <w:rsid w:val="00403335"/>
    <w:rsid w:val="0040376A"/>
    <w:rsid w:val="0040409D"/>
    <w:rsid w:val="00404205"/>
    <w:rsid w:val="004044B6"/>
    <w:rsid w:val="0040456A"/>
    <w:rsid w:val="004048FD"/>
    <w:rsid w:val="00404B24"/>
    <w:rsid w:val="00404BD4"/>
    <w:rsid w:val="00404CBE"/>
    <w:rsid w:val="00404CC1"/>
    <w:rsid w:val="00404E6C"/>
    <w:rsid w:val="00404ED8"/>
    <w:rsid w:val="00405076"/>
    <w:rsid w:val="00405094"/>
    <w:rsid w:val="00405232"/>
    <w:rsid w:val="0040532A"/>
    <w:rsid w:val="00405372"/>
    <w:rsid w:val="0040559B"/>
    <w:rsid w:val="004055AE"/>
    <w:rsid w:val="0040568B"/>
    <w:rsid w:val="00405CC2"/>
    <w:rsid w:val="00405E51"/>
    <w:rsid w:val="0040601C"/>
    <w:rsid w:val="0040617A"/>
    <w:rsid w:val="004061F0"/>
    <w:rsid w:val="00406494"/>
    <w:rsid w:val="004064CE"/>
    <w:rsid w:val="00406A85"/>
    <w:rsid w:val="00406AEA"/>
    <w:rsid w:val="00406B0F"/>
    <w:rsid w:val="00406B6B"/>
    <w:rsid w:val="00406E9A"/>
    <w:rsid w:val="00406F61"/>
    <w:rsid w:val="0040703C"/>
    <w:rsid w:val="0040708B"/>
    <w:rsid w:val="0040729F"/>
    <w:rsid w:val="0040765C"/>
    <w:rsid w:val="004076BB"/>
    <w:rsid w:val="00407701"/>
    <w:rsid w:val="004079A1"/>
    <w:rsid w:val="00407A76"/>
    <w:rsid w:val="00407ACD"/>
    <w:rsid w:val="00407B51"/>
    <w:rsid w:val="00407D42"/>
    <w:rsid w:val="00407E87"/>
    <w:rsid w:val="004100E9"/>
    <w:rsid w:val="0041013C"/>
    <w:rsid w:val="004104FB"/>
    <w:rsid w:val="0041063C"/>
    <w:rsid w:val="00410645"/>
    <w:rsid w:val="0041074D"/>
    <w:rsid w:val="00410A60"/>
    <w:rsid w:val="00410CAE"/>
    <w:rsid w:val="00410E39"/>
    <w:rsid w:val="00410FF7"/>
    <w:rsid w:val="00411238"/>
    <w:rsid w:val="004113F6"/>
    <w:rsid w:val="004116E1"/>
    <w:rsid w:val="00411CD7"/>
    <w:rsid w:val="00411CDF"/>
    <w:rsid w:val="00411DC4"/>
    <w:rsid w:val="00412270"/>
    <w:rsid w:val="00412280"/>
    <w:rsid w:val="0041288F"/>
    <w:rsid w:val="004129D8"/>
    <w:rsid w:val="00412BDD"/>
    <w:rsid w:val="00412C03"/>
    <w:rsid w:val="00412F82"/>
    <w:rsid w:val="00412FD4"/>
    <w:rsid w:val="004130F4"/>
    <w:rsid w:val="00413363"/>
    <w:rsid w:val="004135F6"/>
    <w:rsid w:val="0041369B"/>
    <w:rsid w:val="00413965"/>
    <w:rsid w:val="00413A1E"/>
    <w:rsid w:val="00413A57"/>
    <w:rsid w:val="00413B88"/>
    <w:rsid w:val="00413B89"/>
    <w:rsid w:val="00413BCD"/>
    <w:rsid w:val="00413EF9"/>
    <w:rsid w:val="004140A7"/>
    <w:rsid w:val="00414E42"/>
    <w:rsid w:val="00414E89"/>
    <w:rsid w:val="00414EF8"/>
    <w:rsid w:val="00414F96"/>
    <w:rsid w:val="00414FFC"/>
    <w:rsid w:val="004151A0"/>
    <w:rsid w:val="004151D4"/>
    <w:rsid w:val="00415224"/>
    <w:rsid w:val="00415443"/>
    <w:rsid w:val="00415454"/>
    <w:rsid w:val="0041563F"/>
    <w:rsid w:val="004157D9"/>
    <w:rsid w:val="004158DB"/>
    <w:rsid w:val="00415929"/>
    <w:rsid w:val="004159D5"/>
    <w:rsid w:val="00415C49"/>
    <w:rsid w:val="00416131"/>
    <w:rsid w:val="00416162"/>
    <w:rsid w:val="00416593"/>
    <w:rsid w:val="004168C4"/>
    <w:rsid w:val="004168CE"/>
    <w:rsid w:val="00416B51"/>
    <w:rsid w:val="00417504"/>
    <w:rsid w:val="0041752A"/>
    <w:rsid w:val="004175A3"/>
    <w:rsid w:val="00417829"/>
    <w:rsid w:val="00417F5C"/>
    <w:rsid w:val="00420743"/>
    <w:rsid w:val="00420A1C"/>
    <w:rsid w:val="00420A32"/>
    <w:rsid w:val="00420BA9"/>
    <w:rsid w:val="00420BEC"/>
    <w:rsid w:val="00420C4C"/>
    <w:rsid w:val="00420D2A"/>
    <w:rsid w:val="00420F6F"/>
    <w:rsid w:val="00421179"/>
    <w:rsid w:val="00421205"/>
    <w:rsid w:val="004214B9"/>
    <w:rsid w:val="004216D0"/>
    <w:rsid w:val="00421709"/>
    <w:rsid w:val="004218DA"/>
    <w:rsid w:val="00421A77"/>
    <w:rsid w:val="00421A89"/>
    <w:rsid w:val="00421ABB"/>
    <w:rsid w:val="00421E96"/>
    <w:rsid w:val="00422137"/>
    <w:rsid w:val="00422214"/>
    <w:rsid w:val="00422263"/>
    <w:rsid w:val="004224AE"/>
    <w:rsid w:val="0042253A"/>
    <w:rsid w:val="00422927"/>
    <w:rsid w:val="00422973"/>
    <w:rsid w:val="00422C23"/>
    <w:rsid w:val="00422C6F"/>
    <w:rsid w:val="00422EF8"/>
    <w:rsid w:val="00422FEC"/>
    <w:rsid w:val="004230F6"/>
    <w:rsid w:val="00423290"/>
    <w:rsid w:val="004233D5"/>
    <w:rsid w:val="004234E0"/>
    <w:rsid w:val="004235AF"/>
    <w:rsid w:val="0042369B"/>
    <w:rsid w:val="004238EE"/>
    <w:rsid w:val="00423D23"/>
    <w:rsid w:val="00423DA3"/>
    <w:rsid w:val="00423E07"/>
    <w:rsid w:val="00423E2F"/>
    <w:rsid w:val="00423EC1"/>
    <w:rsid w:val="00423EF9"/>
    <w:rsid w:val="00423F14"/>
    <w:rsid w:val="00423F5C"/>
    <w:rsid w:val="004241C6"/>
    <w:rsid w:val="004242F5"/>
    <w:rsid w:val="00424524"/>
    <w:rsid w:val="0042472C"/>
    <w:rsid w:val="0042472D"/>
    <w:rsid w:val="00424C82"/>
    <w:rsid w:val="00424E3F"/>
    <w:rsid w:val="00424E50"/>
    <w:rsid w:val="00425060"/>
    <w:rsid w:val="004251E6"/>
    <w:rsid w:val="004254B4"/>
    <w:rsid w:val="00425573"/>
    <w:rsid w:val="004255B6"/>
    <w:rsid w:val="004255D5"/>
    <w:rsid w:val="00425618"/>
    <w:rsid w:val="00425A56"/>
    <w:rsid w:val="00425C4C"/>
    <w:rsid w:val="0042636A"/>
    <w:rsid w:val="00426682"/>
    <w:rsid w:val="00426972"/>
    <w:rsid w:val="00426AF3"/>
    <w:rsid w:val="00426E23"/>
    <w:rsid w:val="00426E48"/>
    <w:rsid w:val="0042722D"/>
    <w:rsid w:val="004276A1"/>
    <w:rsid w:val="004277EA"/>
    <w:rsid w:val="00427B40"/>
    <w:rsid w:val="00427C55"/>
    <w:rsid w:val="00427E03"/>
    <w:rsid w:val="0043029A"/>
    <w:rsid w:val="0043066E"/>
    <w:rsid w:val="0043095F"/>
    <w:rsid w:val="00430D04"/>
    <w:rsid w:val="00430E88"/>
    <w:rsid w:val="00430EB6"/>
    <w:rsid w:val="00431048"/>
    <w:rsid w:val="004312BC"/>
    <w:rsid w:val="004316DF"/>
    <w:rsid w:val="004316E9"/>
    <w:rsid w:val="00431855"/>
    <w:rsid w:val="00431974"/>
    <w:rsid w:val="004319D9"/>
    <w:rsid w:val="004319F9"/>
    <w:rsid w:val="00431AE1"/>
    <w:rsid w:val="00431BDE"/>
    <w:rsid w:val="00431DC7"/>
    <w:rsid w:val="00431EEC"/>
    <w:rsid w:val="00431FB5"/>
    <w:rsid w:val="00432059"/>
    <w:rsid w:val="00432502"/>
    <w:rsid w:val="0043261D"/>
    <w:rsid w:val="004328BF"/>
    <w:rsid w:val="004329D1"/>
    <w:rsid w:val="00432B30"/>
    <w:rsid w:val="00432C13"/>
    <w:rsid w:val="00432EB6"/>
    <w:rsid w:val="00432F63"/>
    <w:rsid w:val="00433136"/>
    <w:rsid w:val="004333BA"/>
    <w:rsid w:val="0043379D"/>
    <w:rsid w:val="00433C8D"/>
    <w:rsid w:val="00433CFD"/>
    <w:rsid w:val="00433F16"/>
    <w:rsid w:val="0043415A"/>
    <w:rsid w:val="00434224"/>
    <w:rsid w:val="0043432E"/>
    <w:rsid w:val="00434399"/>
    <w:rsid w:val="00434709"/>
    <w:rsid w:val="00434CDF"/>
    <w:rsid w:val="00434D3A"/>
    <w:rsid w:val="00434F10"/>
    <w:rsid w:val="00435171"/>
    <w:rsid w:val="004351FD"/>
    <w:rsid w:val="004355BA"/>
    <w:rsid w:val="00435A3E"/>
    <w:rsid w:val="00435AE4"/>
    <w:rsid w:val="00435C45"/>
    <w:rsid w:val="00435C64"/>
    <w:rsid w:val="00435D73"/>
    <w:rsid w:val="00435E9A"/>
    <w:rsid w:val="004360EA"/>
    <w:rsid w:val="0043611D"/>
    <w:rsid w:val="0043626A"/>
    <w:rsid w:val="004362FE"/>
    <w:rsid w:val="00436354"/>
    <w:rsid w:val="004364F9"/>
    <w:rsid w:val="00436598"/>
    <w:rsid w:val="004365BE"/>
    <w:rsid w:val="004365F1"/>
    <w:rsid w:val="004366B5"/>
    <w:rsid w:val="004367B3"/>
    <w:rsid w:val="00436A28"/>
    <w:rsid w:val="00436B0E"/>
    <w:rsid w:val="00436F3C"/>
    <w:rsid w:val="00436F43"/>
    <w:rsid w:val="00436FAA"/>
    <w:rsid w:val="00436FBD"/>
    <w:rsid w:val="00437027"/>
    <w:rsid w:val="004372CD"/>
    <w:rsid w:val="00437445"/>
    <w:rsid w:val="00437797"/>
    <w:rsid w:val="00437838"/>
    <w:rsid w:val="004379DD"/>
    <w:rsid w:val="00437A11"/>
    <w:rsid w:val="00437AEA"/>
    <w:rsid w:val="00437F91"/>
    <w:rsid w:val="0044029D"/>
    <w:rsid w:val="00440311"/>
    <w:rsid w:val="004403C7"/>
    <w:rsid w:val="00440590"/>
    <w:rsid w:val="004405A7"/>
    <w:rsid w:val="00440D73"/>
    <w:rsid w:val="004417E4"/>
    <w:rsid w:val="00441937"/>
    <w:rsid w:val="0044198B"/>
    <w:rsid w:val="004419C6"/>
    <w:rsid w:val="00441A1F"/>
    <w:rsid w:val="00441BC9"/>
    <w:rsid w:val="00441D78"/>
    <w:rsid w:val="00441E86"/>
    <w:rsid w:val="0044216E"/>
    <w:rsid w:val="004421A3"/>
    <w:rsid w:val="00442242"/>
    <w:rsid w:val="0044238F"/>
    <w:rsid w:val="004423B6"/>
    <w:rsid w:val="004423F0"/>
    <w:rsid w:val="00442590"/>
    <w:rsid w:val="00442620"/>
    <w:rsid w:val="0044263E"/>
    <w:rsid w:val="004428FF"/>
    <w:rsid w:val="00442A48"/>
    <w:rsid w:val="00442B0C"/>
    <w:rsid w:val="00442BF3"/>
    <w:rsid w:val="00442D03"/>
    <w:rsid w:val="00442D8C"/>
    <w:rsid w:val="00442E88"/>
    <w:rsid w:val="00442EE3"/>
    <w:rsid w:val="00443043"/>
    <w:rsid w:val="004430A1"/>
    <w:rsid w:val="004431CF"/>
    <w:rsid w:val="004432A1"/>
    <w:rsid w:val="004432E2"/>
    <w:rsid w:val="004433A3"/>
    <w:rsid w:val="0044348B"/>
    <w:rsid w:val="0044363C"/>
    <w:rsid w:val="004438A3"/>
    <w:rsid w:val="0044393D"/>
    <w:rsid w:val="00443D14"/>
    <w:rsid w:val="00443E6A"/>
    <w:rsid w:val="004444A4"/>
    <w:rsid w:val="00444746"/>
    <w:rsid w:val="0044497D"/>
    <w:rsid w:val="00444BDD"/>
    <w:rsid w:val="00444CAA"/>
    <w:rsid w:val="00444F04"/>
    <w:rsid w:val="00445116"/>
    <w:rsid w:val="004453A5"/>
    <w:rsid w:val="0044560C"/>
    <w:rsid w:val="00445612"/>
    <w:rsid w:val="004456E8"/>
    <w:rsid w:val="004462AB"/>
    <w:rsid w:val="004464EF"/>
    <w:rsid w:val="0044689E"/>
    <w:rsid w:val="004468AC"/>
    <w:rsid w:val="004469F0"/>
    <w:rsid w:val="00446BF7"/>
    <w:rsid w:val="00446ED6"/>
    <w:rsid w:val="00447086"/>
    <w:rsid w:val="004470E2"/>
    <w:rsid w:val="004470FD"/>
    <w:rsid w:val="00447480"/>
    <w:rsid w:val="00447515"/>
    <w:rsid w:val="00447812"/>
    <w:rsid w:val="00447AA1"/>
    <w:rsid w:val="00447AC7"/>
    <w:rsid w:val="00447AD5"/>
    <w:rsid w:val="00447C4E"/>
    <w:rsid w:val="00447CCD"/>
    <w:rsid w:val="00447FDB"/>
    <w:rsid w:val="00447FFB"/>
    <w:rsid w:val="00450152"/>
    <w:rsid w:val="004501B5"/>
    <w:rsid w:val="0045029B"/>
    <w:rsid w:val="00450572"/>
    <w:rsid w:val="004506DC"/>
    <w:rsid w:val="00450737"/>
    <w:rsid w:val="00450798"/>
    <w:rsid w:val="00450C0B"/>
    <w:rsid w:val="00450E23"/>
    <w:rsid w:val="00450E71"/>
    <w:rsid w:val="00451085"/>
    <w:rsid w:val="004511B2"/>
    <w:rsid w:val="00451284"/>
    <w:rsid w:val="004515DE"/>
    <w:rsid w:val="00451946"/>
    <w:rsid w:val="00451B28"/>
    <w:rsid w:val="00451BA3"/>
    <w:rsid w:val="00451C6D"/>
    <w:rsid w:val="00451CB2"/>
    <w:rsid w:val="0045203C"/>
    <w:rsid w:val="00452426"/>
    <w:rsid w:val="00452518"/>
    <w:rsid w:val="0045253A"/>
    <w:rsid w:val="004527BA"/>
    <w:rsid w:val="004528B9"/>
    <w:rsid w:val="00452A6D"/>
    <w:rsid w:val="00452C9F"/>
    <w:rsid w:val="00452FA8"/>
    <w:rsid w:val="00452FAF"/>
    <w:rsid w:val="004534F8"/>
    <w:rsid w:val="004538BC"/>
    <w:rsid w:val="00453927"/>
    <w:rsid w:val="0045394C"/>
    <w:rsid w:val="0045397A"/>
    <w:rsid w:val="00453D4B"/>
    <w:rsid w:val="00453D88"/>
    <w:rsid w:val="00453E0D"/>
    <w:rsid w:val="00453F5B"/>
    <w:rsid w:val="00454018"/>
    <w:rsid w:val="0045402A"/>
    <w:rsid w:val="004541B2"/>
    <w:rsid w:val="00454231"/>
    <w:rsid w:val="0045436E"/>
    <w:rsid w:val="004543E2"/>
    <w:rsid w:val="0045482A"/>
    <w:rsid w:val="00454B7E"/>
    <w:rsid w:val="00454C8D"/>
    <w:rsid w:val="00454CD5"/>
    <w:rsid w:val="00454DE7"/>
    <w:rsid w:val="00455033"/>
    <w:rsid w:val="00455164"/>
    <w:rsid w:val="00455816"/>
    <w:rsid w:val="00455891"/>
    <w:rsid w:val="00455BBC"/>
    <w:rsid w:val="00455D09"/>
    <w:rsid w:val="004560FB"/>
    <w:rsid w:val="004565B9"/>
    <w:rsid w:val="00456AEB"/>
    <w:rsid w:val="00456B69"/>
    <w:rsid w:val="00456C74"/>
    <w:rsid w:val="00456EC0"/>
    <w:rsid w:val="0045718D"/>
    <w:rsid w:val="00457212"/>
    <w:rsid w:val="00457440"/>
    <w:rsid w:val="00457711"/>
    <w:rsid w:val="0045787C"/>
    <w:rsid w:val="00457980"/>
    <w:rsid w:val="00457A48"/>
    <w:rsid w:val="00457A8B"/>
    <w:rsid w:val="00457AA2"/>
    <w:rsid w:val="00457D18"/>
    <w:rsid w:val="00457D91"/>
    <w:rsid w:val="004600B5"/>
    <w:rsid w:val="004600F4"/>
    <w:rsid w:val="00460170"/>
    <w:rsid w:val="0046048E"/>
    <w:rsid w:val="004607CE"/>
    <w:rsid w:val="004607FD"/>
    <w:rsid w:val="0046098A"/>
    <w:rsid w:val="00460A20"/>
    <w:rsid w:val="00460B3A"/>
    <w:rsid w:val="00460C66"/>
    <w:rsid w:val="004611A6"/>
    <w:rsid w:val="004613FD"/>
    <w:rsid w:val="004614DD"/>
    <w:rsid w:val="00461589"/>
    <w:rsid w:val="004615FF"/>
    <w:rsid w:val="0046178A"/>
    <w:rsid w:val="004618B4"/>
    <w:rsid w:val="004618BA"/>
    <w:rsid w:val="00461A9F"/>
    <w:rsid w:val="00461BE0"/>
    <w:rsid w:val="004620B1"/>
    <w:rsid w:val="004622D8"/>
    <w:rsid w:val="00462318"/>
    <w:rsid w:val="0046268A"/>
    <w:rsid w:val="0046284C"/>
    <w:rsid w:val="00462954"/>
    <w:rsid w:val="0046296D"/>
    <w:rsid w:val="00462A24"/>
    <w:rsid w:val="00462D25"/>
    <w:rsid w:val="00462DFC"/>
    <w:rsid w:val="00463471"/>
    <w:rsid w:val="0046358E"/>
    <w:rsid w:val="00463836"/>
    <w:rsid w:val="0046384C"/>
    <w:rsid w:val="004638F5"/>
    <w:rsid w:val="00463942"/>
    <w:rsid w:val="00463A00"/>
    <w:rsid w:val="00463A70"/>
    <w:rsid w:val="00463BD7"/>
    <w:rsid w:val="00463C1C"/>
    <w:rsid w:val="00463C23"/>
    <w:rsid w:val="00463C82"/>
    <w:rsid w:val="00463D23"/>
    <w:rsid w:val="00464088"/>
    <w:rsid w:val="0046439A"/>
    <w:rsid w:val="0046459B"/>
    <w:rsid w:val="004647E7"/>
    <w:rsid w:val="00464E85"/>
    <w:rsid w:val="00464F36"/>
    <w:rsid w:val="004650F0"/>
    <w:rsid w:val="00465121"/>
    <w:rsid w:val="004652F4"/>
    <w:rsid w:val="00465622"/>
    <w:rsid w:val="004656AE"/>
    <w:rsid w:val="00465716"/>
    <w:rsid w:val="00465B88"/>
    <w:rsid w:val="00465C71"/>
    <w:rsid w:val="00465F49"/>
    <w:rsid w:val="00465F50"/>
    <w:rsid w:val="0046605C"/>
    <w:rsid w:val="004663A5"/>
    <w:rsid w:val="00466468"/>
    <w:rsid w:val="004666EF"/>
    <w:rsid w:val="00466736"/>
    <w:rsid w:val="00466841"/>
    <w:rsid w:val="00466AD5"/>
    <w:rsid w:val="00466AD9"/>
    <w:rsid w:val="00466B0D"/>
    <w:rsid w:val="00466B15"/>
    <w:rsid w:val="00466C24"/>
    <w:rsid w:val="00466C2E"/>
    <w:rsid w:val="00466D17"/>
    <w:rsid w:val="00466E95"/>
    <w:rsid w:val="0046744E"/>
    <w:rsid w:val="004675DF"/>
    <w:rsid w:val="0046781F"/>
    <w:rsid w:val="0046789F"/>
    <w:rsid w:val="004678C4"/>
    <w:rsid w:val="00467BED"/>
    <w:rsid w:val="00467C2D"/>
    <w:rsid w:val="00467C3D"/>
    <w:rsid w:val="00467DD5"/>
    <w:rsid w:val="00470048"/>
    <w:rsid w:val="004700A0"/>
    <w:rsid w:val="004702DE"/>
    <w:rsid w:val="0047093D"/>
    <w:rsid w:val="00470C6A"/>
    <w:rsid w:val="00470ECF"/>
    <w:rsid w:val="00470F8E"/>
    <w:rsid w:val="00470F91"/>
    <w:rsid w:val="0047103E"/>
    <w:rsid w:val="00471089"/>
    <w:rsid w:val="00471291"/>
    <w:rsid w:val="00471370"/>
    <w:rsid w:val="00471663"/>
    <w:rsid w:val="00471711"/>
    <w:rsid w:val="0047174F"/>
    <w:rsid w:val="00471769"/>
    <w:rsid w:val="0047179A"/>
    <w:rsid w:val="0047179D"/>
    <w:rsid w:val="00471C0C"/>
    <w:rsid w:val="00471CA0"/>
    <w:rsid w:val="00471CEC"/>
    <w:rsid w:val="00471D2A"/>
    <w:rsid w:val="00471DD6"/>
    <w:rsid w:val="00471F3A"/>
    <w:rsid w:val="00472021"/>
    <w:rsid w:val="004720D2"/>
    <w:rsid w:val="00472224"/>
    <w:rsid w:val="00472401"/>
    <w:rsid w:val="004724A8"/>
    <w:rsid w:val="004725C5"/>
    <w:rsid w:val="00472789"/>
    <w:rsid w:val="00472993"/>
    <w:rsid w:val="004729E1"/>
    <w:rsid w:val="00472A6C"/>
    <w:rsid w:val="00472AA9"/>
    <w:rsid w:val="00472BE9"/>
    <w:rsid w:val="00472C12"/>
    <w:rsid w:val="004731C0"/>
    <w:rsid w:val="004733F9"/>
    <w:rsid w:val="00473526"/>
    <w:rsid w:val="0047384F"/>
    <w:rsid w:val="0047388A"/>
    <w:rsid w:val="0047398F"/>
    <w:rsid w:val="00473C8C"/>
    <w:rsid w:val="00473D44"/>
    <w:rsid w:val="00474023"/>
    <w:rsid w:val="00474210"/>
    <w:rsid w:val="0047439E"/>
    <w:rsid w:val="00474511"/>
    <w:rsid w:val="00474677"/>
    <w:rsid w:val="00474740"/>
    <w:rsid w:val="004748CA"/>
    <w:rsid w:val="00474979"/>
    <w:rsid w:val="00474D91"/>
    <w:rsid w:val="00475533"/>
    <w:rsid w:val="004755DD"/>
    <w:rsid w:val="00475646"/>
    <w:rsid w:val="0047569C"/>
    <w:rsid w:val="00475757"/>
    <w:rsid w:val="0047578F"/>
    <w:rsid w:val="004758A8"/>
    <w:rsid w:val="00475A4C"/>
    <w:rsid w:val="00475B42"/>
    <w:rsid w:val="00475EB6"/>
    <w:rsid w:val="0047604C"/>
    <w:rsid w:val="00476131"/>
    <w:rsid w:val="004762E4"/>
    <w:rsid w:val="004763AC"/>
    <w:rsid w:val="0047646E"/>
    <w:rsid w:val="00476A90"/>
    <w:rsid w:val="00476D23"/>
    <w:rsid w:val="00476D8F"/>
    <w:rsid w:val="00476E7E"/>
    <w:rsid w:val="00476FB7"/>
    <w:rsid w:val="0047708B"/>
    <w:rsid w:val="004770AB"/>
    <w:rsid w:val="0047737A"/>
    <w:rsid w:val="004774E4"/>
    <w:rsid w:val="004775F1"/>
    <w:rsid w:val="004776B1"/>
    <w:rsid w:val="00477AC0"/>
    <w:rsid w:val="00477B61"/>
    <w:rsid w:val="00477CBB"/>
    <w:rsid w:val="00477EC6"/>
    <w:rsid w:val="00477F2A"/>
    <w:rsid w:val="00477FBA"/>
    <w:rsid w:val="00477FD5"/>
    <w:rsid w:val="0048005A"/>
    <w:rsid w:val="004800AD"/>
    <w:rsid w:val="004800B8"/>
    <w:rsid w:val="004803DD"/>
    <w:rsid w:val="00480541"/>
    <w:rsid w:val="004805C1"/>
    <w:rsid w:val="00480631"/>
    <w:rsid w:val="004806A4"/>
    <w:rsid w:val="00480B00"/>
    <w:rsid w:val="00480C19"/>
    <w:rsid w:val="00480F13"/>
    <w:rsid w:val="00481042"/>
    <w:rsid w:val="00481120"/>
    <w:rsid w:val="00481315"/>
    <w:rsid w:val="004816DB"/>
    <w:rsid w:val="004819F1"/>
    <w:rsid w:val="00481C7C"/>
    <w:rsid w:val="00481D5D"/>
    <w:rsid w:val="00481DB7"/>
    <w:rsid w:val="00481F37"/>
    <w:rsid w:val="0048210F"/>
    <w:rsid w:val="00482112"/>
    <w:rsid w:val="00482172"/>
    <w:rsid w:val="004821A6"/>
    <w:rsid w:val="004822A8"/>
    <w:rsid w:val="00482598"/>
    <w:rsid w:val="004825BC"/>
    <w:rsid w:val="0048283A"/>
    <w:rsid w:val="00482B72"/>
    <w:rsid w:val="00482B8D"/>
    <w:rsid w:val="00482BEC"/>
    <w:rsid w:val="00482DD8"/>
    <w:rsid w:val="00482DE9"/>
    <w:rsid w:val="00482E59"/>
    <w:rsid w:val="00482EF3"/>
    <w:rsid w:val="00483035"/>
    <w:rsid w:val="004833BA"/>
    <w:rsid w:val="0048363F"/>
    <w:rsid w:val="004836E4"/>
    <w:rsid w:val="00483736"/>
    <w:rsid w:val="00483765"/>
    <w:rsid w:val="00483983"/>
    <w:rsid w:val="004839C2"/>
    <w:rsid w:val="004839CA"/>
    <w:rsid w:val="00483BC6"/>
    <w:rsid w:val="00483EC8"/>
    <w:rsid w:val="00483F0A"/>
    <w:rsid w:val="00483FE7"/>
    <w:rsid w:val="004840A1"/>
    <w:rsid w:val="0048429D"/>
    <w:rsid w:val="004843E4"/>
    <w:rsid w:val="004845F1"/>
    <w:rsid w:val="004847B5"/>
    <w:rsid w:val="00484B14"/>
    <w:rsid w:val="00484B29"/>
    <w:rsid w:val="00484B9A"/>
    <w:rsid w:val="00484C9F"/>
    <w:rsid w:val="00484CE4"/>
    <w:rsid w:val="00485040"/>
    <w:rsid w:val="0048507F"/>
    <w:rsid w:val="0048520A"/>
    <w:rsid w:val="004853D0"/>
    <w:rsid w:val="00485493"/>
    <w:rsid w:val="00485532"/>
    <w:rsid w:val="00485DDD"/>
    <w:rsid w:val="00485FD4"/>
    <w:rsid w:val="004860C5"/>
    <w:rsid w:val="004861AA"/>
    <w:rsid w:val="0048637D"/>
    <w:rsid w:val="004864CA"/>
    <w:rsid w:val="004867FD"/>
    <w:rsid w:val="00486801"/>
    <w:rsid w:val="004869B7"/>
    <w:rsid w:val="00486AA2"/>
    <w:rsid w:val="00486BD0"/>
    <w:rsid w:val="00486C28"/>
    <w:rsid w:val="00486C63"/>
    <w:rsid w:val="00486C67"/>
    <w:rsid w:val="00486E8F"/>
    <w:rsid w:val="00486F92"/>
    <w:rsid w:val="00486FE8"/>
    <w:rsid w:val="00487144"/>
    <w:rsid w:val="0048737D"/>
    <w:rsid w:val="004874EE"/>
    <w:rsid w:val="00487676"/>
    <w:rsid w:val="00487837"/>
    <w:rsid w:val="00487994"/>
    <w:rsid w:val="00487B0A"/>
    <w:rsid w:val="00487CFC"/>
    <w:rsid w:val="00487E97"/>
    <w:rsid w:val="00487F33"/>
    <w:rsid w:val="00487FE2"/>
    <w:rsid w:val="004900EA"/>
    <w:rsid w:val="0049018A"/>
    <w:rsid w:val="004901DD"/>
    <w:rsid w:val="00490220"/>
    <w:rsid w:val="0049025D"/>
    <w:rsid w:val="0049051D"/>
    <w:rsid w:val="00490C60"/>
    <w:rsid w:val="00490D7E"/>
    <w:rsid w:val="00490F10"/>
    <w:rsid w:val="00491408"/>
    <w:rsid w:val="0049156F"/>
    <w:rsid w:val="00491888"/>
    <w:rsid w:val="00491945"/>
    <w:rsid w:val="00491BBD"/>
    <w:rsid w:val="00491C9B"/>
    <w:rsid w:val="0049209A"/>
    <w:rsid w:val="00492122"/>
    <w:rsid w:val="004921ED"/>
    <w:rsid w:val="00492219"/>
    <w:rsid w:val="00492339"/>
    <w:rsid w:val="004924E6"/>
    <w:rsid w:val="00492657"/>
    <w:rsid w:val="0049282A"/>
    <w:rsid w:val="004929D2"/>
    <w:rsid w:val="00492A31"/>
    <w:rsid w:val="00492B95"/>
    <w:rsid w:val="00492E36"/>
    <w:rsid w:val="00492FCE"/>
    <w:rsid w:val="004930A3"/>
    <w:rsid w:val="004930B6"/>
    <w:rsid w:val="00493380"/>
    <w:rsid w:val="0049361B"/>
    <w:rsid w:val="004938B7"/>
    <w:rsid w:val="00493B26"/>
    <w:rsid w:val="00493CE4"/>
    <w:rsid w:val="00493D2C"/>
    <w:rsid w:val="00493D73"/>
    <w:rsid w:val="00493DC0"/>
    <w:rsid w:val="00493E65"/>
    <w:rsid w:val="00493F31"/>
    <w:rsid w:val="00494345"/>
    <w:rsid w:val="0049438C"/>
    <w:rsid w:val="004943BB"/>
    <w:rsid w:val="004946D4"/>
    <w:rsid w:val="00494A52"/>
    <w:rsid w:val="00494EAC"/>
    <w:rsid w:val="00495051"/>
    <w:rsid w:val="00495231"/>
    <w:rsid w:val="00495304"/>
    <w:rsid w:val="004954B3"/>
    <w:rsid w:val="0049581F"/>
    <w:rsid w:val="00495CD2"/>
    <w:rsid w:val="00495DB5"/>
    <w:rsid w:val="00496003"/>
    <w:rsid w:val="0049612E"/>
    <w:rsid w:val="00496181"/>
    <w:rsid w:val="0049637E"/>
    <w:rsid w:val="004964C1"/>
    <w:rsid w:val="004965E6"/>
    <w:rsid w:val="004968C3"/>
    <w:rsid w:val="004968FD"/>
    <w:rsid w:val="004969C1"/>
    <w:rsid w:val="00496A45"/>
    <w:rsid w:val="00496ACC"/>
    <w:rsid w:val="00496B3F"/>
    <w:rsid w:val="00496C3C"/>
    <w:rsid w:val="00496EE8"/>
    <w:rsid w:val="00497050"/>
    <w:rsid w:val="00497223"/>
    <w:rsid w:val="0049753C"/>
    <w:rsid w:val="0049770A"/>
    <w:rsid w:val="004977B2"/>
    <w:rsid w:val="00497B69"/>
    <w:rsid w:val="00497CE8"/>
    <w:rsid w:val="00497E9F"/>
    <w:rsid w:val="00497F26"/>
    <w:rsid w:val="00497F73"/>
    <w:rsid w:val="004A0084"/>
    <w:rsid w:val="004A01C9"/>
    <w:rsid w:val="004A03DA"/>
    <w:rsid w:val="004A0586"/>
    <w:rsid w:val="004A0607"/>
    <w:rsid w:val="004A065F"/>
    <w:rsid w:val="004A09A3"/>
    <w:rsid w:val="004A0BBC"/>
    <w:rsid w:val="004A0E47"/>
    <w:rsid w:val="004A0EF1"/>
    <w:rsid w:val="004A1013"/>
    <w:rsid w:val="004A13FF"/>
    <w:rsid w:val="004A1519"/>
    <w:rsid w:val="004A16F7"/>
    <w:rsid w:val="004A18EE"/>
    <w:rsid w:val="004A190E"/>
    <w:rsid w:val="004A1C99"/>
    <w:rsid w:val="004A1F7F"/>
    <w:rsid w:val="004A1FB6"/>
    <w:rsid w:val="004A202F"/>
    <w:rsid w:val="004A2074"/>
    <w:rsid w:val="004A2215"/>
    <w:rsid w:val="004A2389"/>
    <w:rsid w:val="004A2514"/>
    <w:rsid w:val="004A252C"/>
    <w:rsid w:val="004A2695"/>
    <w:rsid w:val="004A26F0"/>
    <w:rsid w:val="004A26F3"/>
    <w:rsid w:val="004A2748"/>
    <w:rsid w:val="004A2835"/>
    <w:rsid w:val="004A2A5B"/>
    <w:rsid w:val="004A2C81"/>
    <w:rsid w:val="004A2D6D"/>
    <w:rsid w:val="004A2E9C"/>
    <w:rsid w:val="004A3013"/>
    <w:rsid w:val="004A3085"/>
    <w:rsid w:val="004A31D1"/>
    <w:rsid w:val="004A358A"/>
    <w:rsid w:val="004A363B"/>
    <w:rsid w:val="004A36AF"/>
    <w:rsid w:val="004A3746"/>
    <w:rsid w:val="004A3B0D"/>
    <w:rsid w:val="004A3CAA"/>
    <w:rsid w:val="004A3E3F"/>
    <w:rsid w:val="004A3EB9"/>
    <w:rsid w:val="004A40B9"/>
    <w:rsid w:val="004A4171"/>
    <w:rsid w:val="004A435D"/>
    <w:rsid w:val="004A437F"/>
    <w:rsid w:val="004A46CC"/>
    <w:rsid w:val="004A48DF"/>
    <w:rsid w:val="004A494A"/>
    <w:rsid w:val="004A4CAE"/>
    <w:rsid w:val="004A5234"/>
    <w:rsid w:val="004A52CC"/>
    <w:rsid w:val="004A531B"/>
    <w:rsid w:val="004A543D"/>
    <w:rsid w:val="004A5592"/>
    <w:rsid w:val="004A55D8"/>
    <w:rsid w:val="004A5637"/>
    <w:rsid w:val="004A564C"/>
    <w:rsid w:val="004A591C"/>
    <w:rsid w:val="004A5B8A"/>
    <w:rsid w:val="004A60C8"/>
    <w:rsid w:val="004A61CB"/>
    <w:rsid w:val="004A62A0"/>
    <w:rsid w:val="004A63A4"/>
    <w:rsid w:val="004A641A"/>
    <w:rsid w:val="004A64B3"/>
    <w:rsid w:val="004A65AC"/>
    <w:rsid w:val="004A6760"/>
    <w:rsid w:val="004A67A2"/>
    <w:rsid w:val="004A68EA"/>
    <w:rsid w:val="004A68F9"/>
    <w:rsid w:val="004A6A01"/>
    <w:rsid w:val="004A6AF3"/>
    <w:rsid w:val="004A6C76"/>
    <w:rsid w:val="004A6D0E"/>
    <w:rsid w:val="004A707C"/>
    <w:rsid w:val="004A71A0"/>
    <w:rsid w:val="004A76D9"/>
    <w:rsid w:val="004A7972"/>
    <w:rsid w:val="004A7A49"/>
    <w:rsid w:val="004A7A58"/>
    <w:rsid w:val="004A7C65"/>
    <w:rsid w:val="004A7D94"/>
    <w:rsid w:val="004A7DD6"/>
    <w:rsid w:val="004A7F12"/>
    <w:rsid w:val="004A7F6B"/>
    <w:rsid w:val="004B0128"/>
    <w:rsid w:val="004B0385"/>
    <w:rsid w:val="004B0428"/>
    <w:rsid w:val="004B04FA"/>
    <w:rsid w:val="004B068F"/>
    <w:rsid w:val="004B06DE"/>
    <w:rsid w:val="004B0AC1"/>
    <w:rsid w:val="004B0BD8"/>
    <w:rsid w:val="004B0FE0"/>
    <w:rsid w:val="004B10BD"/>
    <w:rsid w:val="004B1123"/>
    <w:rsid w:val="004B14D6"/>
    <w:rsid w:val="004B1572"/>
    <w:rsid w:val="004B178C"/>
    <w:rsid w:val="004B18A1"/>
    <w:rsid w:val="004B1BF1"/>
    <w:rsid w:val="004B1C66"/>
    <w:rsid w:val="004B1D9D"/>
    <w:rsid w:val="004B1E2A"/>
    <w:rsid w:val="004B1F44"/>
    <w:rsid w:val="004B1FF1"/>
    <w:rsid w:val="004B21E4"/>
    <w:rsid w:val="004B24FD"/>
    <w:rsid w:val="004B2861"/>
    <w:rsid w:val="004B2C0D"/>
    <w:rsid w:val="004B2DF9"/>
    <w:rsid w:val="004B2EC6"/>
    <w:rsid w:val="004B2FB2"/>
    <w:rsid w:val="004B2FF5"/>
    <w:rsid w:val="004B309C"/>
    <w:rsid w:val="004B30FB"/>
    <w:rsid w:val="004B3148"/>
    <w:rsid w:val="004B31DB"/>
    <w:rsid w:val="004B365D"/>
    <w:rsid w:val="004B3718"/>
    <w:rsid w:val="004B375B"/>
    <w:rsid w:val="004B3790"/>
    <w:rsid w:val="004B3997"/>
    <w:rsid w:val="004B39AD"/>
    <w:rsid w:val="004B39BB"/>
    <w:rsid w:val="004B3A95"/>
    <w:rsid w:val="004B3ADA"/>
    <w:rsid w:val="004B3C74"/>
    <w:rsid w:val="004B3CBC"/>
    <w:rsid w:val="004B3DE1"/>
    <w:rsid w:val="004B3F3B"/>
    <w:rsid w:val="004B3F45"/>
    <w:rsid w:val="004B3F64"/>
    <w:rsid w:val="004B4060"/>
    <w:rsid w:val="004B43CD"/>
    <w:rsid w:val="004B4451"/>
    <w:rsid w:val="004B45BF"/>
    <w:rsid w:val="004B468C"/>
    <w:rsid w:val="004B46DA"/>
    <w:rsid w:val="004B4B46"/>
    <w:rsid w:val="004B4B6D"/>
    <w:rsid w:val="004B4C5E"/>
    <w:rsid w:val="004B50C5"/>
    <w:rsid w:val="004B5104"/>
    <w:rsid w:val="004B565A"/>
    <w:rsid w:val="004B58F1"/>
    <w:rsid w:val="004B5B94"/>
    <w:rsid w:val="004B5DD5"/>
    <w:rsid w:val="004B5E35"/>
    <w:rsid w:val="004B5F01"/>
    <w:rsid w:val="004B5FB2"/>
    <w:rsid w:val="004B6346"/>
    <w:rsid w:val="004B6361"/>
    <w:rsid w:val="004B6827"/>
    <w:rsid w:val="004B6958"/>
    <w:rsid w:val="004B6A45"/>
    <w:rsid w:val="004B6CEB"/>
    <w:rsid w:val="004B6DD7"/>
    <w:rsid w:val="004B6E1B"/>
    <w:rsid w:val="004B707D"/>
    <w:rsid w:val="004B7101"/>
    <w:rsid w:val="004B73C8"/>
    <w:rsid w:val="004B73D7"/>
    <w:rsid w:val="004B73DF"/>
    <w:rsid w:val="004B7A26"/>
    <w:rsid w:val="004B7AE7"/>
    <w:rsid w:val="004C003B"/>
    <w:rsid w:val="004C00C1"/>
    <w:rsid w:val="004C02E5"/>
    <w:rsid w:val="004C03B5"/>
    <w:rsid w:val="004C0753"/>
    <w:rsid w:val="004C0A27"/>
    <w:rsid w:val="004C0B46"/>
    <w:rsid w:val="004C10BF"/>
    <w:rsid w:val="004C19A2"/>
    <w:rsid w:val="004C1A91"/>
    <w:rsid w:val="004C1BD7"/>
    <w:rsid w:val="004C1F25"/>
    <w:rsid w:val="004C20FE"/>
    <w:rsid w:val="004C217F"/>
    <w:rsid w:val="004C23F7"/>
    <w:rsid w:val="004C2435"/>
    <w:rsid w:val="004C24DB"/>
    <w:rsid w:val="004C262F"/>
    <w:rsid w:val="004C2687"/>
    <w:rsid w:val="004C27F5"/>
    <w:rsid w:val="004C2A6A"/>
    <w:rsid w:val="004C2BAB"/>
    <w:rsid w:val="004C2BF7"/>
    <w:rsid w:val="004C325C"/>
    <w:rsid w:val="004C332C"/>
    <w:rsid w:val="004C33A0"/>
    <w:rsid w:val="004C35D6"/>
    <w:rsid w:val="004C37A5"/>
    <w:rsid w:val="004C3914"/>
    <w:rsid w:val="004C3A89"/>
    <w:rsid w:val="004C3C0A"/>
    <w:rsid w:val="004C3C28"/>
    <w:rsid w:val="004C3C94"/>
    <w:rsid w:val="004C42F0"/>
    <w:rsid w:val="004C430B"/>
    <w:rsid w:val="004C43F7"/>
    <w:rsid w:val="004C4477"/>
    <w:rsid w:val="004C45CC"/>
    <w:rsid w:val="004C4608"/>
    <w:rsid w:val="004C4AE7"/>
    <w:rsid w:val="004C4EA6"/>
    <w:rsid w:val="004C4EC5"/>
    <w:rsid w:val="004C5009"/>
    <w:rsid w:val="004C537F"/>
    <w:rsid w:val="004C5595"/>
    <w:rsid w:val="004C5631"/>
    <w:rsid w:val="004C5835"/>
    <w:rsid w:val="004C5920"/>
    <w:rsid w:val="004C5A4D"/>
    <w:rsid w:val="004C5B5A"/>
    <w:rsid w:val="004C5C99"/>
    <w:rsid w:val="004C5D26"/>
    <w:rsid w:val="004C5D83"/>
    <w:rsid w:val="004C5D8E"/>
    <w:rsid w:val="004C5EA4"/>
    <w:rsid w:val="004C5F4A"/>
    <w:rsid w:val="004C6044"/>
    <w:rsid w:val="004C604D"/>
    <w:rsid w:val="004C620C"/>
    <w:rsid w:val="004C62D7"/>
    <w:rsid w:val="004C63C7"/>
    <w:rsid w:val="004C63F0"/>
    <w:rsid w:val="004C655B"/>
    <w:rsid w:val="004C658E"/>
    <w:rsid w:val="004C68D4"/>
    <w:rsid w:val="004C69C6"/>
    <w:rsid w:val="004C6A5D"/>
    <w:rsid w:val="004C6A6B"/>
    <w:rsid w:val="004C703C"/>
    <w:rsid w:val="004C706B"/>
    <w:rsid w:val="004C710B"/>
    <w:rsid w:val="004C7111"/>
    <w:rsid w:val="004C71CE"/>
    <w:rsid w:val="004C727F"/>
    <w:rsid w:val="004C72B3"/>
    <w:rsid w:val="004C739C"/>
    <w:rsid w:val="004C74D0"/>
    <w:rsid w:val="004C74D5"/>
    <w:rsid w:val="004C7563"/>
    <w:rsid w:val="004C775B"/>
    <w:rsid w:val="004C78BF"/>
    <w:rsid w:val="004D0150"/>
    <w:rsid w:val="004D02F7"/>
    <w:rsid w:val="004D05A6"/>
    <w:rsid w:val="004D08D1"/>
    <w:rsid w:val="004D090F"/>
    <w:rsid w:val="004D0A8C"/>
    <w:rsid w:val="004D0BDD"/>
    <w:rsid w:val="004D0D05"/>
    <w:rsid w:val="004D0D9D"/>
    <w:rsid w:val="004D1149"/>
    <w:rsid w:val="004D1215"/>
    <w:rsid w:val="004D12D1"/>
    <w:rsid w:val="004D13A8"/>
    <w:rsid w:val="004D1412"/>
    <w:rsid w:val="004D1555"/>
    <w:rsid w:val="004D1587"/>
    <w:rsid w:val="004D15CB"/>
    <w:rsid w:val="004D16B4"/>
    <w:rsid w:val="004D18F7"/>
    <w:rsid w:val="004D1EBE"/>
    <w:rsid w:val="004D1F43"/>
    <w:rsid w:val="004D212D"/>
    <w:rsid w:val="004D21A0"/>
    <w:rsid w:val="004D21BD"/>
    <w:rsid w:val="004D226D"/>
    <w:rsid w:val="004D258C"/>
    <w:rsid w:val="004D289F"/>
    <w:rsid w:val="004D2963"/>
    <w:rsid w:val="004D2BB5"/>
    <w:rsid w:val="004D2C3B"/>
    <w:rsid w:val="004D2D12"/>
    <w:rsid w:val="004D2DE1"/>
    <w:rsid w:val="004D2E78"/>
    <w:rsid w:val="004D2EF9"/>
    <w:rsid w:val="004D2F9B"/>
    <w:rsid w:val="004D3333"/>
    <w:rsid w:val="004D34E7"/>
    <w:rsid w:val="004D37D2"/>
    <w:rsid w:val="004D38B4"/>
    <w:rsid w:val="004D3A12"/>
    <w:rsid w:val="004D3AEB"/>
    <w:rsid w:val="004D3BD5"/>
    <w:rsid w:val="004D3E57"/>
    <w:rsid w:val="004D3F18"/>
    <w:rsid w:val="004D4004"/>
    <w:rsid w:val="004D4160"/>
    <w:rsid w:val="004D41A4"/>
    <w:rsid w:val="004D4223"/>
    <w:rsid w:val="004D4651"/>
    <w:rsid w:val="004D478D"/>
    <w:rsid w:val="004D4B81"/>
    <w:rsid w:val="004D4BEE"/>
    <w:rsid w:val="004D4D87"/>
    <w:rsid w:val="004D4DFF"/>
    <w:rsid w:val="004D4F71"/>
    <w:rsid w:val="004D548D"/>
    <w:rsid w:val="004D568D"/>
    <w:rsid w:val="004D576C"/>
    <w:rsid w:val="004D5AA8"/>
    <w:rsid w:val="004D5C0B"/>
    <w:rsid w:val="004D6049"/>
    <w:rsid w:val="004D621A"/>
    <w:rsid w:val="004D62AA"/>
    <w:rsid w:val="004D6679"/>
    <w:rsid w:val="004D6921"/>
    <w:rsid w:val="004D693F"/>
    <w:rsid w:val="004D694A"/>
    <w:rsid w:val="004D6AE4"/>
    <w:rsid w:val="004D6D8A"/>
    <w:rsid w:val="004D6FC5"/>
    <w:rsid w:val="004D7333"/>
    <w:rsid w:val="004D7391"/>
    <w:rsid w:val="004D749F"/>
    <w:rsid w:val="004D7515"/>
    <w:rsid w:val="004D76EA"/>
    <w:rsid w:val="004D76EB"/>
    <w:rsid w:val="004D7787"/>
    <w:rsid w:val="004D79F0"/>
    <w:rsid w:val="004D7A14"/>
    <w:rsid w:val="004D7ABC"/>
    <w:rsid w:val="004D7B9B"/>
    <w:rsid w:val="004D7BFC"/>
    <w:rsid w:val="004D7C98"/>
    <w:rsid w:val="004D7DAD"/>
    <w:rsid w:val="004D7E8E"/>
    <w:rsid w:val="004E01D0"/>
    <w:rsid w:val="004E0315"/>
    <w:rsid w:val="004E038B"/>
    <w:rsid w:val="004E041D"/>
    <w:rsid w:val="004E0481"/>
    <w:rsid w:val="004E05B6"/>
    <w:rsid w:val="004E0779"/>
    <w:rsid w:val="004E094C"/>
    <w:rsid w:val="004E0B7B"/>
    <w:rsid w:val="004E0C12"/>
    <w:rsid w:val="004E0C4E"/>
    <w:rsid w:val="004E0D30"/>
    <w:rsid w:val="004E0D67"/>
    <w:rsid w:val="004E0DA2"/>
    <w:rsid w:val="004E0DB8"/>
    <w:rsid w:val="004E0EE9"/>
    <w:rsid w:val="004E0FBB"/>
    <w:rsid w:val="004E0FBE"/>
    <w:rsid w:val="004E11C4"/>
    <w:rsid w:val="004E1372"/>
    <w:rsid w:val="004E14CB"/>
    <w:rsid w:val="004E1657"/>
    <w:rsid w:val="004E167D"/>
    <w:rsid w:val="004E16BD"/>
    <w:rsid w:val="004E17F0"/>
    <w:rsid w:val="004E1876"/>
    <w:rsid w:val="004E18D2"/>
    <w:rsid w:val="004E195D"/>
    <w:rsid w:val="004E1995"/>
    <w:rsid w:val="004E1C3C"/>
    <w:rsid w:val="004E1D1B"/>
    <w:rsid w:val="004E1F2E"/>
    <w:rsid w:val="004E2378"/>
    <w:rsid w:val="004E23A1"/>
    <w:rsid w:val="004E25DB"/>
    <w:rsid w:val="004E2793"/>
    <w:rsid w:val="004E28A1"/>
    <w:rsid w:val="004E28E4"/>
    <w:rsid w:val="004E2ADB"/>
    <w:rsid w:val="004E2CBF"/>
    <w:rsid w:val="004E32F4"/>
    <w:rsid w:val="004E3380"/>
    <w:rsid w:val="004E37C7"/>
    <w:rsid w:val="004E3C8F"/>
    <w:rsid w:val="004E3F79"/>
    <w:rsid w:val="004E3FC4"/>
    <w:rsid w:val="004E4043"/>
    <w:rsid w:val="004E4170"/>
    <w:rsid w:val="004E4381"/>
    <w:rsid w:val="004E43C2"/>
    <w:rsid w:val="004E4434"/>
    <w:rsid w:val="004E493E"/>
    <w:rsid w:val="004E4A36"/>
    <w:rsid w:val="004E4B39"/>
    <w:rsid w:val="004E4E74"/>
    <w:rsid w:val="004E4EEC"/>
    <w:rsid w:val="004E515F"/>
    <w:rsid w:val="004E5303"/>
    <w:rsid w:val="004E5398"/>
    <w:rsid w:val="004E5537"/>
    <w:rsid w:val="004E55D5"/>
    <w:rsid w:val="004E5811"/>
    <w:rsid w:val="004E59CC"/>
    <w:rsid w:val="004E5A0A"/>
    <w:rsid w:val="004E5AF4"/>
    <w:rsid w:val="004E5BA6"/>
    <w:rsid w:val="004E5D8F"/>
    <w:rsid w:val="004E5FA4"/>
    <w:rsid w:val="004E60D5"/>
    <w:rsid w:val="004E6114"/>
    <w:rsid w:val="004E6392"/>
    <w:rsid w:val="004E646E"/>
    <w:rsid w:val="004E647B"/>
    <w:rsid w:val="004E65DC"/>
    <w:rsid w:val="004E672A"/>
    <w:rsid w:val="004E68C6"/>
    <w:rsid w:val="004E6A92"/>
    <w:rsid w:val="004E6B21"/>
    <w:rsid w:val="004E6C45"/>
    <w:rsid w:val="004E6D9C"/>
    <w:rsid w:val="004E6F6E"/>
    <w:rsid w:val="004E70A9"/>
    <w:rsid w:val="004E753A"/>
    <w:rsid w:val="004E7824"/>
    <w:rsid w:val="004E7B09"/>
    <w:rsid w:val="004F0077"/>
    <w:rsid w:val="004F07E6"/>
    <w:rsid w:val="004F0856"/>
    <w:rsid w:val="004F0988"/>
    <w:rsid w:val="004F0AF2"/>
    <w:rsid w:val="004F0D71"/>
    <w:rsid w:val="004F0D7A"/>
    <w:rsid w:val="004F0FD4"/>
    <w:rsid w:val="004F130B"/>
    <w:rsid w:val="004F14B0"/>
    <w:rsid w:val="004F153F"/>
    <w:rsid w:val="004F16C1"/>
    <w:rsid w:val="004F17D3"/>
    <w:rsid w:val="004F1888"/>
    <w:rsid w:val="004F18AC"/>
    <w:rsid w:val="004F1940"/>
    <w:rsid w:val="004F1EFD"/>
    <w:rsid w:val="004F2101"/>
    <w:rsid w:val="004F211F"/>
    <w:rsid w:val="004F23AD"/>
    <w:rsid w:val="004F24C1"/>
    <w:rsid w:val="004F2620"/>
    <w:rsid w:val="004F2902"/>
    <w:rsid w:val="004F29D5"/>
    <w:rsid w:val="004F2ADA"/>
    <w:rsid w:val="004F2CE3"/>
    <w:rsid w:val="004F2F0A"/>
    <w:rsid w:val="004F3089"/>
    <w:rsid w:val="004F322B"/>
    <w:rsid w:val="004F3343"/>
    <w:rsid w:val="004F35A3"/>
    <w:rsid w:val="004F3708"/>
    <w:rsid w:val="004F3B05"/>
    <w:rsid w:val="004F3D2C"/>
    <w:rsid w:val="004F43FC"/>
    <w:rsid w:val="004F4426"/>
    <w:rsid w:val="004F454B"/>
    <w:rsid w:val="004F45AE"/>
    <w:rsid w:val="004F4604"/>
    <w:rsid w:val="004F465D"/>
    <w:rsid w:val="004F46FC"/>
    <w:rsid w:val="004F488B"/>
    <w:rsid w:val="004F4B5A"/>
    <w:rsid w:val="004F4C78"/>
    <w:rsid w:val="004F4D52"/>
    <w:rsid w:val="004F4E39"/>
    <w:rsid w:val="004F4E4B"/>
    <w:rsid w:val="004F4E5F"/>
    <w:rsid w:val="004F4FEA"/>
    <w:rsid w:val="004F5024"/>
    <w:rsid w:val="004F5222"/>
    <w:rsid w:val="004F5388"/>
    <w:rsid w:val="004F556E"/>
    <w:rsid w:val="004F5853"/>
    <w:rsid w:val="004F593E"/>
    <w:rsid w:val="004F5BE6"/>
    <w:rsid w:val="004F5D30"/>
    <w:rsid w:val="004F5D66"/>
    <w:rsid w:val="004F5EB9"/>
    <w:rsid w:val="004F6080"/>
    <w:rsid w:val="004F6299"/>
    <w:rsid w:val="004F63F5"/>
    <w:rsid w:val="004F65BA"/>
    <w:rsid w:val="004F6796"/>
    <w:rsid w:val="004F68DC"/>
    <w:rsid w:val="004F6B7C"/>
    <w:rsid w:val="004F6BF8"/>
    <w:rsid w:val="004F6E95"/>
    <w:rsid w:val="004F6F80"/>
    <w:rsid w:val="004F6FFC"/>
    <w:rsid w:val="004F7154"/>
    <w:rsid w:val="004F74FD"/>
    <w:rsid w:val="004F75B1"/>
    <w:rsid w:val="004F76E9"/>
    <w:rsid w:val="004F7885"/>
    <w:rsid w:val="004F79A6"/>
    <w:rsid w:val="004F79F0"/>
    <w:rsid w:val="004F7A53"/>
    <w:rsid w:val="004F7B1E"/>
    <w:rsid w:val="004F7C8A"/>
    <w:rsid w:val="004F7C93"/>
    <w:rsid w:val="004F7C9D"/>
    <w:rsid w:val="0050023E"/>
    <w:rsid w:val="0050041C"/>
    <w:rsid w:val="005006A1"/>
    <w:rsid w:val="00500767"/>
    <w:rsid w:val="005007AA"/>
    <w:rsid w:val="00500810"/>
    <w:rsid w:val="00500A24"/>
    <w:rsid w:val="00500CA9"/>
    <w:rsid w:val="00500EB0"/>
    <w:rsid w:val="00500F52"/>
    <w:rsid w:val="00501066"/>
    <w:rsid w:val="005012E3"/>
    <w:rsid w:val="005012FB"/>
    <w:rsid w:val="0050139C"/>
    <w:rsid w:val="005013FF"/>
    <w:rsid w:val="00501406"/>
    <w:rsid w:val="00501435"/>
    <w:rsid w:val="0050154B"/>
    <w:rsid w:val="005016AC"/>
    <w:rsid w:val="005019F7"/>
    <w:rsid w:val="00501C5A"/>
    <w:rsid w:val="00501D64"/>
    <w:rsid w:val="00501FCA"/>
    <w:rsid w:val="0050235A"/>
    <w:rsid w:val="005023F2"/>
    <w:rsid w:val="00502B88"/>
    <w:rsid w:val="00502C28"/>
    <w:rsid w:val="00502CEF"/>
    <w:rsid w:val="00502D21"/>
    <w:rsid w:val="00502D32"/>
    <w:rsid w:val="0050300E"/>
    <w:rsid w:val="0050330B"/>
    <w:rsid w:val="00503603"/>
    <w:rsid w:val="00503653"/>
    <w:rsid w:val="0050380A"/>
    <w:rsid w:val="00503895"/>
    <w:rsid w:val="005038AF"/>
    <w:rsid w:val="00503AC2"/>
    <w:rsid w:val="00503B5C"/>
    <w:rsid w:val="00503D57"/>
    <w:rsid w:val="00503F27"/>
    <w:rsid w:val="00504103"/>
    <w:rsid w:val="00504389"/>
    <w:rsid w:val="00504494"/>
    <w:rsid w:val="00504515"/>
    <w:rsid w:val="00504674"/>
    <w:rsid w:val="00504854"/>
    <w:rsid w:val="00504F86"/>
    <w:rsid w:val="00505131"/>
    <w:rsid w:val="00505266"/>
    <w:rsid w:val="00505335"/>
    <w:rsid w:val="0050560F"/>
    <w:rsid w:val="00505627"/>
    <w:rsid w:val="005057B5"/>
    <w:rsid w:val="00505A76"/>
    <w:rsid w:val="00505BCD"/>
    <w:rsid w:val="00505D65"/>
    <w:rsid w:val="00505FEC"/>
    <w:rsid w:val="005061C3"/>
    <w:rsid w:val="0050621B"/>
    <w:rsid w:val="005063E1"/>
    <w:rsid w:val="0050643C"/>
    <w:rsid w:val="00506497"/>
    <w:rsid w:val="0050671E"/>
    <w:rsid w:val="0050674E"/>
    <w:rsid w:val="005069C7"/>
    <w:rsid w:val="00506C05"/>
    <w:rsid w:val="00506E22"/>
    <w:rsid w:val="00506EE6"/>
    <w:rsid w:val="00506FAF"/>
    <w:rsid w:val="00507009"/>
    <w:rsid w:val="00507027"/>
    <w:rsid w:val="00507927"/>
    <w:rsid w:val="00507B73"/>
    <w:rsid w:val="00507D12"/>
    <w:rsid w:val="00507E1A"/>
    <w:rsid w:val="00507EFC"/>
    <w:rsid w:val="00507F7C"/>
    <w:rsid w:val="00507F82"/>
    <w:rsid w:val="00507FD6"/>
    <w:rsid w:val="00510175"/>
    <w:rsid w:val="00510201"/>
    <w:rsid w:val="00510260"/>
    <w:rsid w:val="0051067B"/>
    <w:rsid w:val="00510C78"/>
    <w:rsid w:val="005110EB"/>
    <w:rsid w:val="005111AC"/>
    <w:rsid w:val="005112C3"/>
    <w:rsid w:val="005112F1"/>
    <w:rsid w:val="00511356"/>
    <w:rsid w:val="005114A6"/>
    <w:rsid w:val="00511691"/>
    <w:rsid w:val="00511695"/>
    <w:rsid w:val="005116D9"/>
    <w:rsid w:val="005117E4"/>
    <w:rsid w:val="00511BC1"/>
    <w:rsid w:val="00511F36"/>
    <w:rsid w:val="005120D3"/>
    <w:rsid w:val="005120FA"/>
    <w:rsid w:val="00512255"/>
    <w:rsid w:val="00512720"/>
    <w:rsid w:val="00512749"/>
    <w:rsid w:val="005127BC"/>
    <w:rsid w:val="00512825"/>
    <w:rsid w:val="00512875"/>
    <w:rsid w:val="0051287A"/>
    <w:rsid w:val="005129B9"/>
    <w:rsid w:val="00512AA2"/>
    <w:rsid w:val="00512C3F"/>
    <w:rsid w:val="00512CA7"/>
    <w:rsid w:val="00512F7C"/>
    <w:rsid w:val="00513648"/>
    <w:rsid w:val="0051376F"/>
    <w:rsid w:val="00513806"/>
    <w:rsid w:val="00513959"/>
    <w:rsid w:val="00514223"/>
    <w:rsid w:val="005144FF"/>
    <w:rsid w:val="00514524"/>
    <w:rsid w:val="005147B0"/>
    <w:rsid w:val="00514890"/>
    <w:rsid w:val="005149CF"/>
    <w:rsid w:val="00514CB5"/>
    <w:rsid w:val="00514D3A"/>
    <w:rsid w:val="005151E0"/>
    <w:rsid w:val="00515334"/>
    <w:rsid w:val="0051533B"/>
    <w:rsid w:val="0051533E"/>
    <w:rsid w:val="00515727"/>
    <w:rsid w:val="00515864"/>
    <w:rsid w:val="0051594F"/>
    <w:rsid w:val="00515A7D"/>
    <w:rsid w:val="00515E7B"/>
    <w:rsid w:val="00515EB6"/>
    <w:rsid w:val="00515F68"/>
    <w:rsid w:val="0051626A"/>
    <w:rsid w:val="005162D6"/>
    <w:rsid w:val="00516600"/>
    <w:rsid w:val="00516691"/>
    <w:rsid w:val="00516710"/>
    <w:rsid w:val="005169CC"/>
    <w:rsid w:val="00516A09"/>
    <w:rsid w:val="00516BC4"/>
    <w:rsid w:val="00516EB5"/>
    <w:rsid w:val="00517185"/>
    <w:rsid w:val="005171EE"/>
    <w:rsid w:val="0051747A"/>
    <w:rsid w:val="0051750E"/>
    <w:rsid w:val="0051784A"/>
    <w:rsid w:val="00517862"/>
    <w:rsid w:val="005179B1"/>
    <w:rsid w:val="00517A3C"/>
    <w:rsid w:val="00517D3B"/>
    <w:rsid w:val="00517D7E"/>
    <w:rsid w:val="00517F08"/>
    <w:rsid w:val="0052002F"/>
    <w:rsid w:val="00520175"/>
    <w:rsid w:val="00520235"/>
    <w:rsid w:val="00520243"/>
    <w:rsid w:val="005203B6"/>
    <w:rsid w:val="00520407"/>
    <w:rsid w:val="00520610"/>
    <w:rsid w:val="00520757"/>
    <w:rsid w:val="00520B31"/>
    <w:rsid w:val="00520C18"/>
    <w:rsid w:val="00520D09"/>
    <w:rsid w:val="00520D28"/>
    <w:rsid w:val="00520D3A"/>
    <w:rsid w:val="00520D55"/>
    <w:rsid w:val="00520FE4"/>
    <w:rsid w:val="0052116C"/>
    <w:rsid w:val="005211A1"/>
    <w:rsid w:val="00521274"/>
    <w:rsid w:val="0052138C"/>
    <w:rsid w:val="00521646"/>
    <w:rsid w:val="00521757"/>
    <w:rsid w:val="005217B8"/>
    <w:rsid w:val="005217EF"/>
    <w:rsid w:val="005218F3"/>
    <w:rsid w:val="00521A08"/>
    <w:rsid w:val="00521A1F"/>
    <w:rsid w:val="00521A48"/>
    <w:rsid w:val="00521DB2"/>
    <w:rsid w:val="00521E7E"/>
    <w:rsid w:val="005220BF"/>
    <w:rsid w:val="005220E3"/>
    <w:rsid w:val="00522536"/>
    <w:rsid w:val="00522546"/>
    <w:rsid w:val="0052254E"/>
    <w:rsid w:val="005228E8"/>
    <w:rsid w:val="00522AE8"/>
    <w:rsid w:val="00522C64"/>
    <w:rsid w:val="00522CE9"/>
    <w:rsid w:val="0052336B"/>
    <w:rsid w:val="005233CC"/>
    <w:rsid w:val="005234C7"/>
    <w:rsid w:val="005235F2"/>
    <w:rsid w:val="005236A1"/>
    <w:rsid w:val="00523912"/>
    <w:rsid w:val="00524136"/>
    <w:rsid w:val="005244A1"/>
    <w:rsid w:val="005248D2"/>
    <w:rsid w:val="00524996"/>
    <w:rsid w:val="00524BB4"/>
    <w:rsid w:val="00524C27"/>
    <w:rsid w:val="00524DD0"/>
    <w:rsid w:val="00524E7D"/>
    <w:rsid w:val="00524EBE"/>
    <w:rsid w:val="00524EC5"/>
    <w:rsid w:val="005251FE"/>
    <w:rsid w:val="00525314"/>
    <w:rsid w:val="005253AC"/>
    <w:rsid w:val="005256DF"/>
    <w:rsid w:val="005256FD"/>
    <w:rsid w:val="00525709"/>
    <w:rsid w:val="00525913"/>
    <w:rsid w:val="005259B4"/>
    <w:rsid w:val="00525BAC"/>
    <w:rsid w:val="00525BDD"/>
    <w:rsid w:val="00525E71"/>
    <w:rsid w:val="00526054"/>
    <w:rsid w:val="00526066"/>
    <w:rsid w:val="005261F5"/>
    <w:rsid w:val="0052626C"/>
    <w:rsid w:val="00526785"/>
    <w:rsid w:val="00526793"/>
    <w:rsid w:val="00526824"/>
    <w:rsid w:val="00526A99"/>
    <w:rsid w:val="00526B55"/>
    <w:rsid w:val="00526BDA"/>
    <w:rsid w:val="00526C8C"/>
    <w:rsid w:val="00526D30"/>
    <w:rsid w:val="0052707E"/>
    <w:rsid w:val="005270F6"/>
    <w:rsid w:val="005271BA"/>
    <w:rsid w:val="00527372"/>
    <w:rsid w:val="00527874"/>
    <w:rsid w:val="0052793C"/>
    <w:rsid w:val="00527B5D"/>
    <w:rsid w:val="00527CF0"/>
    <w:rsid w:val="00530373"/>
    <w:rsid w:val="0053060B"/>
    <w:rsid w:val="0053075B"/>
    <w:rsid w:val="005307B6"/>
    <w:rsid w:val="0053097C"/>
    <w:rsid w:val="005309F4"/>
    <w:rsid w:val="00530D21"/>
    <w:rsid w:val="00530EBE"/>
    <w:rsid w:val="00530F65"/>
    <w:rsid w:val="00531179"/>
    <w:rsid w:val="005311B0"/>
    <w:rsid w:val="0053150E"/>
    <w:rsid w:val="00531D7A"/>
    <w:rsid w:val="00531F55"/>
    <w:rsid w:val="00532179"/>
    <w:rsid w:val="005325EE"/>
    <w:rsid w:val="00532855"/>
    <w:rsid w:val="0053285B"/>
    <w:rsid w:val="00532AE7"/>
    <w:rsid w:val="00532D25"/>
    <w:rsid w:val="00532D72"/>
    <w:rsid w:val="00532DB2"/>
    <w:rsid w:val="00532E38"/>
    <w:rsid w:val="00532E72"/>
    <w:rsid w:val="00532EBA"/>
    <w:rsid w:val="00532F98"/>
    <w:rsid w:val="0053314A"/>
    <w:rsid w:val="00533527"/>
    <w:rsid w:val="0053358F"/>
    <w:rsid w:val="005335A6"/>
    <w:rsid w:val="0053374F"/>
    <w:rsid w:val="0053384C"/>
    <w:rsid w:val="0053389F"/>
    <w:rsid w:val="00533A3F"/>
    <w:rsid w:val="00533B8E"/>
    <w:rsid w:val="00533DCD"/>
    <w:rsid w:val="00533E5F"/>
    <w:rsid w:val="00533FC7"/>
    <w:rsid w:val="005342D3"/>
    <w:rsid w:val="005346C7"/>
    <w:rsid w:val="0053478C"/>
    <w:rsid w:val="00534987"/>
    <w:rsid w:val="005349E8"/>
    <w:rsid w:val="00534B87"/>
    <w:rsid w:val="00534CED"/>
    <w:rsid w:val="00534D10"/>
    <w:rsid w:val="00534F3F"/>
    <w:rsid w:val="00535078"/>
    <w:rsid w:val="005350D9"/>
    <w:rsid w:val="00535128"/>
    <w:rsid w:val="0053526A"/>
    <w:rsid w:val="005352A8"/>
    <w:rsid w:val="005355CC"/>
    <w:rsid w:val="00535680"/>
    <w:rsid w:val="00535E3F"/>
    <w:rsid w:val="00536233"/>
    <w:rsid w:val="005362B5"/>
    <w:rsid w:val="005363D9"/>
    <w:rsid w:val="0053650D"/>
    <w:rsid w:val="00536568"/>
    <w:rsid w:val="0053659B"/>
    <w:rsid w:val="00536609"/>
    <w:rsid w:val="005366A0"/>
    <w:rsid w:val="0053683D"/>
    <w:rsid w:val="00536D7B"/>
    <w:rsid w:val="00536F30"/>
    <w:rsid w:val="00537367"/>
    <w:rsid w:val="005373DB"/>
    <w:rsid w:val="005374E6"/>
    <w:rsid w:val="005374F0"/>
    <w:rsid w:val="00537510"/>
    <w:rsid w:val="005376D6"/>
    <w:rsid w:val="00537DC6"/>
    <w:rsid w:val="00537E4B"/>
    <w:rsid w:val="005401D9"/>
    <w:rsid w:val="0054020C"/>
    <w:rsid w:val="0054035D"/>
    <w:rsid w:val="005403BD"/>
    <w:rsid w:val="00540422"/>
    <w:rsid w:val="00540553"/>
    <w:rsid w:val="00540600"/>
    <w:rsid w:val="005407AA"/>
    <w:rsid w:val="005407D8"/>
    <w:rsid w:val="0054082C"/>
    <w:rsid w:val="005408B6"/>
    <w:rsid w:val="0054093A"/>
    <w:rsid w:val="00540A18"/>
    <w:rsid w:val="00540AB5"/>
    <w:rsid w:val="00540D85"/>
    <w:rsid w:val="00541122"/>
    <w:rsid w:val="005411AA"/>
    <w:rsid w:val="00541771"/>
    <w:rsid w:val="00541909"/>
    <w:rsid w:val="00541AA6"/>
    <w:rsid w:val="00541C00"/>
    <w:rsid w:val="00541FC9"/>
    <w:rsid w:val="00542250"/>
    <w:rsid w:val="005422CE"/>
    <w:rsid w:val="00542335"/>
    <w:rsid w:val="00542337"/>
    <w:rsid w:val="00542463"/>
    <w:rsid w:val="005424DD"/>
    <w:rsid w:val="00542561"/>
    <w:rsid w:val="005425B5"/>
    <w:rsid w:val="00542653"/>
    <w:rsid w:val="005427F3"/>
    <w:rsid w:val="00542800"/>
    <w:rsid w:val="0054286B"/>
    <w:rsid w:val="0054287B"/>
    <w:rsid w:val="0054296C"/>
    <w:rsid w:val="005429FE"/>
    <w:rsid w:val="00542A04"/>
    <w:rsid w:val="00542A98"/>
    <w:rsid w:val="00542AA0"/>
    <w:rsid w:val="00542C63"/>
    <w:rsid w:val="00542CEE"/>
    <w:rsid w:val="00542DC6"/>
    <w:rsid w:val="00542F8F"/>
    <w:rsid w:val="0054307D"/>
    <w:rsid w:val="005433CE"/>
    <w:rsid w:val="005433ED"/>
    <w:rsid w:val="00543430"/>
    <w:rsid w:val="005434C6"/>
    <w:rsid w:val="00543E7F"/>
    <w:rsid w:val="00543EC8"/>
    <w:rsid w:val="00544211"/>
    <w:rsid w:val="0054478B"/>
    <w:rsid w:val="0054491C"/>
    <w:rsid w:val="00544ACB"/>
    <w:rsid w:val="00544BD4"/>
    <w:rsid w:val="00544FA6"/>
    <w:rsid w:val="00545038"/>
    <w:rsid w:val="005450DE"/>
    <w:rsid w:val="00545219"/>
    <w:rsid w:val="00545223"/>
    <w:rsid w:val="005452D9"/>
    <w:rsid w:val="005453F9"/>
    <w:rsid w:val="0054599E"/>
    <w:rsid w:val="005459B8"/>
    <w:rsid w:val="00545C57"/>
    <w:rsid w:val="00545D4C"/>
    <w:rsid w:val="00545E45"/>
    <w:rsid w:val="00545E49"/>
    <w:rsid w:val="00545FAF"/>
    <w:rsid w:val="00545FF1"/>
    <w:rsid w:val="00546036"/>
    <w:rsid w:val="005460E6"/>
    <w:rsid w:val="005467D9"/>
    <w:rsid w:val="005468CF"/>
    <w:rsid w:val="00546ABE"/>
    <w:rsid w:val="00546DD3"/>
    <w:rsid w:val="00546E9C"/>
    <w:rsid w:val="00546F0A"/>
    <w:rsid w:val="00547087"/>
    <w:rsid w:val="00547159"/>
    <w:rsid w:val="005471EE"/>
    <w:rsid w:val="00547352"/>
    <w:rsid w:val="0054768C"/>
    <w:rsid w:val="00547BA8"/>
    <w:rsid w:val="00547BEE"/>
    <w:rsid w:val="00547D07"/>
    <w:rsid w:val="00547D5C"/>
    <w:rsid w:val="00547DA5"/>
    <w:rsid w:val="00550016"/>
    <w:rsid w:val="00550263"/>
    <w:rsid w:val="005504D2"/>
    <w:rsid w:val="005504DA"/>
    <w:rsid w:val="005508E7"/>
    <w:rsid w:val="00550A24"/>
    <w:rsid w:val="00550C5C"/>
    <w:rsid w:val="00550DE1"/>
    <w:rsid w:val="00551022"/>
    <w:rsid w:val="00551139"/>
    <w:rsid w:val="005512FF"/>
    <w:rsid w:val="00551397"/>
    <w:rsid w:val="00551451"/>
    <w:rsid w:val="00551824"/>
    <w:rsid w:val="00551946"/>
    <w:rsid w:val="00551947"/>
    <w:rsid w:val="00551B30"/>
    <w:rsid w:val="00551BD1"/>
    <w:rsid w:val="00551D87"/>
    <w:rsid w:val="00551E17"/>
    <w:rsid w:val="00551E33"/>
    <w:rsid w:val="00551FDF"/>
    <w:rsid w:val="0055251A"/>
    <w:rsid w:val="005525AD"/>
    <w:rsid w:val="005525D2"/>
    <w:rsid w:val="00552860"/>
    <w:rsid w:val="005528C5"/>
    <w:rsid w:val="005528DE"/>
    <w:rsid w:val="005528E5"/>
    <w:rsid w:val="00552935"/>
    <w:rsid w:val="00552A2F"/>
    <w:rsid w:val="00552A7A"/>
    <w:rsid w:val="00552BED"/>
    <w:rsid w:val="00552C16"/>
    <w:rsid w:val="00552C5E"/>
    <w:rsid w:val="00552D31"/>
    <w:rsid w:val="00552D69"/>
    <w:rsid w:val="00553044"/>
    <w:rsid w:val="005530CD"/>
    <w:rsid w:val="00553113"/>
    <w:rsid w:val="0055326E"/>
    <w:rsid w:val="00553399"/>
    <w:rsid w:val="005533CD"/>
    <w:rsid w:val="0055353E"/>
    <w:rsid w:val="0055372A"/>
    <w:rsid w:val="0055393A"/>
    <w:rsid w:val="00553ADA"/>
    <w:rsid w:val="00553DFB"/>
    <w:rsid w:val="00553FC0"/>
    <w:rsid w:val="00554040"/>
    <w:rsid w:val="005546E0"/>
    <w:rsid w:val="00554711"/>
    <w:rsid w:val="00554939"/>
    <w:rsid w:val="00554969"/>
    <w:rsid w:val="00554C2D"/>
    <w:rsid w:val="00554E32"/>
    <w:rsid w:val="00554F8F"/>
    <w:rsid w:val="00555145"/>
    <w:rsid w:val="005552DC"/>
    <w:rsid w:val="005553C4"/>
    <w:rsid w:val="00555515"/>
    <w:rsid w:val="005559B4"/>
    <w:rsid w:val="005559E1"/>
    <w:rsid w:val="00555ABD"/>
    <w:rsid w:val="00555E22"/>
    <w:rsid w:val="00556152"/>
    <w:rsid w:val="00556295"/>
    <w:rsid w:val="005566C7"/>
    <w:rsid w:val="00556889"/>
    <w:rsid w:val="00556970"/>
    <w:rsid w:val="00556A17"/>
    <w:rsid w:val="00556A51"/>
    <w:rsid w:val="00556CBC"/>
    <w:rsid w:val="0055755D"/>
    <w:rsid w:val="00557663"/>
    <w:rsid w:val="005576C3"/>
    <w:rsid w:val="005576F8"/>
    <w:rsid w:val="00557727"/>
    <w:rsid w:val="005579FC"/>
    <w:rsid w:val="00557B03"/>
    <w:rsid w:val="00557C2E"/>
    <w:rsid w:val="00557CAE"/>
    <w:rsid w:val="00557DDF"/>
    <w:rsid w:val="00557E4D"/>
    <w:rsid w:val="00557FDE"/>
    <w:rsid w:val="005600B4"/>
    <w:rsid w:val="00560141"/>
    <w:rsid w:val="005608BF"/>
    <w:rsid w:val="00560969"/>
    <w:rsid w:val="00560B93"/>
    <w:rsid w:val="00560CAB"/>
    <w:rsid w:val="00560D6C"/>
    <w:rsid w:val="00560DA5"/>
    <w:rsid w:val="0056101A"/>
    <w:rsid w:val="00561132"/>
    <w:rsid w:val="005611E6"/>
    <w:rsid w:val="00561371"/>
    <w:rsid w:val="005616AF"/>
    <w:rsid w:val="00561798"/>
    <w:rsid w:val="00561824"/>
    <w:rsid w:val="0056188E"/>
    <w:rsid w:val="00561982"/>
    <w:rsid w:val="00561B54"/>
    <w:rsid w:val="00561E9B"/>
    <w:rsid w:val="005621A4"/>
    <w:rsid w:val="00562772"/>
    <w:rsid w:val="00562AE6"/>
    <w:rsid w:val="00562D95"/>
    <w:rsid w:val="00562E31"/>
    <w:rsid w:val="00562FB2"/>
    <w:rsid w:val="005633C0"/>
    <w:rsid w:val="005636B0"/>
    <w:rsid w:val="005637BC"/>
    <w:rsid w:val="00563865"/>
    <w:rsid w:val="00563894"/>
    <w:rsid w:val="0056394B"/>
    <w:rsid w:val="0056398F"/>
    <w:rsid w:val="00563C85"/>
    <w:rsid w:val="00563EE4"/>
    <w:rsid w:val="00563FA8"/>
    <w:rsid w:val="005640CD"/>
    <w:rsid w:val="00564153"/>
    <w:rsid w:val="00564169"/>
    <w:rsid w:val="00564A37"/>
    <w:rsid w:val="00564AA5"/>
    <w:rsid w:val="00565056"/>
    <w:rsid w:val="00565136"/>
    <w:rsid w:val="005653CC"/>
    <w:rsid w:val="005655F8"/>
    <w:rsid w:val="00565982"/>
    <w:rsid w:val="00565A7E"/>
    <w:rsid w:val="00565B3B"/>
    <w:rsid w:val="00565CBC"/>
    <w:rsid w:val="00565DF1"/>
    <w:rsid w:val="0056605A"/>
    <w:rsid w:val="005661D3"/>
    <w:rsid w:val="00566369"/>
    <w:rsid w:val="00566688"/>
    <w:rsid w:val="005667BC"/>
    <w:rsid w:val="00566823"/>
    <w:rsid w:val="0056684D"/>
    <w:rsid w:val="005668FE"/>
    <w:rsid w:val="00566BC0"/>
    <w:rsid w:val="00566BEB"/>
    <w:rsid w:val="00566C51"/>
    <w:rsid w:val="00566DC0"/>
    <w:rsid w:val="00566E74"/>
    <w:rsid w:val="0056712B"/>
    <w:rsid w:val="00567155"/>
    <w:rsid w:val="005671C3"/>
    <w:rsid w:val="0056725F"/>
    <w:rsid w:val="00567478"/>
    <w:rsid w:val="0056758B"/>
    <w:rsid w:val="005677AA"/>
    <w:rsid w:val="0056785C"/>
    <w:rsid w:val="00567B12"/>
    <w:rsid w:val="00567BC5"/>
    <w:rsid w:val="00567CC4"/>
    <w:rsid w:val="00567FD7"/>
    <w:rsid w:val="00570389"/>
    <w:rsid w:val="005705A1"/>
    <w:rsid w:val="00570C53"/>
    <w:rsid w:val="00570C55"/>
    <w:rsid w:val="00570C6C"/>
    <w:rsid w:val="00570D27"/>
    <w:rsid w:val="00570D8E"/>
    <w:rsid w:val="00570DBE"/>
    <w:rsid w:val="00570E1A"/>
    <w:rsid w:val="00570F10"/>
    <w:rsid w:val="00570F6A"/>
    <w:rsid w:val="00571121"/>
    <w:rsid w:val="005712FD"/>
    <w:rsid w:val="00571350"/>
    <w:rsid w:val="005713A4"/>
    <w:rsid w:val="005713C0"/>
    <w:rsid w:val="00571454"/>
    <w:rsid w:val="005714B4"/>
    <w:rsid w:val="00571865"/>
    <w:rsid w:val="00571AEF"/>
    <w:rsid w:val="00571C20"/>
    <w:rsid w:val="00571C60"/>
    <w:rsid w:val="00571CAD"/>
    <w:rsid w:val="00571D29"/>
    <w:rsid w:val="00571EC0"/>
    <w:rsid w:val="005723B6"/>
    <w:rsid w:val="005725C5"/>
    <w:rsid w:val="00572A6C"/>
    <w:rsid w:val="00572A90"/>
    <w:rsid w:val="00572B4E"/>
    <w:rsid w:val="00572B5D"/>
    <w:rsid w:val="00572D33"/>
    <w:rsid w:val="00572F0B"/>
    <w:rsid w:val="00572F52"/>
    <w:rsid w:val="00573092"/>
    <w:rsid w:val="005734BE"/>
    <w:rsid w:val="005734C3"/>
    <w:rsid w:val="00573500"/>
    <w:rsid w:val="0057361F"/>
    <w:rsid w:val="00573821"/>
    <w:rsid w:val="005738EF"/>
    <w:rsid w:val="00573E03"/>
    <w:rsid w:val="00573E7D"/>
    <w:rsid w:val="00573FED"/>
    <w:rsid w:val="005743E9"/>
    <w:rsid w:val="005745A8"/>
    <w:rsid w:val="0057466E"/>
    <w:rsid w:val="00574697"/>
    <w:rsid w:val="0057486F"/>
    <w:rsid w:val="005752AD"/>
    <w:rsid w:val="005752E5"/>
    <w:rsid w:val="0057536C"/>
    <w:rsid w:val="005753E8"/>
    <w:rsid w:val="0057561F"/>
    <w:rsid w:val="00575687"/>
    <w:rsid w:val="0057571C"/>
    <w:rsid w:val="00575801"/>
    <w:rsid w:val="005759A9"/>
    <w:rsid w:val="00575C9C"/>
    <w:rsid w:val="00575DA4"/>
    <w:rsid w:val="00576473"/>
    <w:rsid w:val="00576692"/>
    <w:rsid w:val="00576953"/>
    <w:rsid w:val="00576973"/>
    <w:rsid w:val="00576A3D"/>
    <w:rsid w:val="00576A8C"/>
    <w:rsid w:val="00576AB2"/>
    <w:rsid w:val="00576CBD"/>
    <w:rsid w:val="00576DBD"/>
    <w:rsid w:val="00576E03"/>
    <w:rsid w:val="00576E77"/>
    <w:rsid w:val="00577102"/>
    <w:rsid w:val="00577215"/>
    <w:rsid w:val="0057722F"/>
    <w:rsid w:val="0057748A"/>
    <w:rsid w:val="00577530"/>
    <w:rsid w:val="00577552"/>
    <w:rsid w:val="005776AC"/>
    <w:rsid w:val="005776BF"/>
    <w:rsid w:val="00577916"/>
    <w:rsid w:val="0057791A"/>
    <w:rsid w:val="00577934"/>
    <w:rsid w:val="0057797A"/>
    <w:rsid w:val="00577996"/>
    <w:rsid w:val="00577A35"/>
    <w:rsid w:val="00577ACB"/>
    <w:rsid w:val="00577C25"/>
    <w:rsid w:val="00577FCB"/>
    <w:rsid w:val="0058011C"/>
    <w:rsid w:val="005801F0"/>
    <w:rsid w:val="00580493"/>
    <w:rsid w:val="0058052F"/>
    <w:rsid w:val="00580643"/>
    <w:rsid w:val="00580AB5"/>
    <w:rsid w:val="00580C54"/>
    <w:rsid w:val="00580FC2"/>
    <w:rsid w:val="00581099"/>
    <w:rsid w:val="0058120F"/>
    <w:rsid w:val="005812B9"/>
    <w:rsid w:val="005812FC"/>
    <w:rsid w:val="00581392"/>
    <w:rsid w:val="0058144A"/>
    <w:rsid w:val="005814AC"/>
    <w:rsid w:val="0058167D"/>
    <w:rsid w:val="00581910"/>
    <w:rsid w:val="00581960"/>
    <w:rsid w:val="00581C86"/>
    <w:rsid w:val="00581ED9"/>
    <w:rsid w:val="005820FB"/>
    <w:rsid w:val="005820FF"/>
    <w:rsid w:val="00582114"/>
    <w:rsid w:val="00582583"/>
    <w:rsid w:val="0058269F"/>
    <w:rsid w:val="00582964"/>
    <w:rsid w:val="00582E28"/>
    <w:rsid w:val="00582E4C"/>
    <w:rsid w:val="00583817"/>
    <w:rsid w:val="00583853"/>
    <w:rsid w:val="005839A1"/>
    <w:rsid w:val="00583A14"/>
    <w:rsid w:val="00583B1E"/>
    <w:rsid w:val="00583B38"/>
    <w:rsid w:val="00583D08"/>
    <w:rsid w:val="00583E1C"/>
    <w:rsid w:val="00583E88"/>
    <w:rsid w:val="005840CF"/>
    <w:rsid w:val="00584455"/>
    <w:rsid w:val="005844EE"/>
    <w:rsid w:val="005845EF"/>
    <w:rsid w:val="00584880"/>
    <w:rsid w:val="005848F9"/>
    <w:rsid w:val="00584903"/>
    <w:rsid w:val="00584ACE"/>
    <w:rsid w:val="00584AF1"/>
    <w:rsid w:val="005850AF"/>
    <w:rsid w:val="00585301"/>
    <w:rsid w:val="0058555A"/>
    <w:rsid w:val="0058572B"/>
    <w:rsid w:val="00585794"/>
    <w:rsid w:val="00585A25"/>
    <w:rsid w:val="00585AA7"/>
    <w:rsid w:val="00585B76"/>
    <w:rsid w:val="00585D2F"/>
    <w:rsid w:val="00585E13"/>
    <w:rsid w:val="005860D5"/>
    <w:rsid w:val="005860DC"/>
    <w:rsid w:val="005861A4"/>
    <w:rsid w:val="00586298"/>
    <w:rsid w:val="0058651C"/>
    <w:rsid w:val="00586609"/>
    <w:rsid w:val="00586738"/>
    <w:rsid w:val="005867C4"/>
    <w:rsid w:val="005869CC"/>
    <w:rsid w:val="00586BDE"/>
    <w:rsid w:val="00586D14"/>
    <w:rsid w:val="00586E46"/>
    <w:rsid w:val="00586F22"/>
    <w:rsid w:val="0058716D"/>
    <w:rsid w:val="0058718E"/>
    <w:rsid w:val="00587256"/>
    <w:rsid w:val="005875EC"/>
    <w:rsid w:val="00587711"/>
    <w:rsid w:val="005877A9"/>
    <w:rsid w:val="00587933"/>
    <w:rsid w:val="00587C9F"/>
    <w:rsid w:val="00590090"/>
    <w:rsid w:val="005900A0"/>
    <w:rsid w:val="005905EA"/>
    <w:rsid w:val="00590773"/>
    <w:rsid w:val="005907C8"/>
    <w:rsid w:val="0059085A"/>
    <w:rsid w:val="005908F9"/>
    <w:rsid w:val="00590AA9"/>
    <w:rsid w:val="00590D07"/>
    <w:rsid w:val="00590E59"/>
    <w:rsid w:val="005910F8"/>
    <w:rsid w:val="005911AA"/>
    <w:rsid w:val="005911F5"/>
    <w:rsid w:val="005912E8"/>
    <w:rsid w:val="00591300"/>
    <w:rsid w:val="005913C5"/>
    <w:rsid w:val="0059141A"/>
    <w:rsid w:val="005914CE"/>
    <w:rsid w:val="0059191D"/>
    <w:rsid w:val="00591AC0"/>
    <w:rsid w:val="00591B03"/>
    <w:rsid w:val="00591B61"/>
    <w:rsid w:val="00591BCD"/>
    <w:rsid w:val="0059236A"/>
    <w:rsid w:val="0059251C"/>
    <w:rsid w:val="00592777"/>
    <w:rsid w:val="00592972"/>
    <w:rsid w:val="00592B12"/>
    <w:rsid w:val="00592F29"/>
    <w:rsid w:val="0059302F"/>
    <w:rsid w:val="005930C6"/>
    <w:rsid w:val="00593363"/>
    <w:rsid w:val="00593585"/>
    <w:rsid w:val="005935F3"/>
    <w:rsid w:val="00593B18"/>
    <w:rsid w:val="00593DC8"/>
    <w:rsid w:val="00593F95"/>
    <w:rsid w:val="00593FD2"/>
    <w:rsid w:val="005940B6"/>
    <w:rsid w:val="005940FB"/>
    <w:rsid w:val="0059410E"/>
    <w:rsid w:val="0059418E"/>
    <w:rsid w:val="005942B1"/>
    <w:rsid w:val="005942D3"/>
    <w:rsid w:val="005942D7"/>
    <w:rsid w:val="005943C4"/>
    <w:rsid w:val="0059466E"/>
    <w:rsid w:val="00594836"/>
    <w:rsid w:val="00594859"/>
    <w:rsid w:val="005948F7"/>
    <w:rsid w:val="00594FDC"/>
    <w:rsid w:val="0059500D"/>
    <w:rsid w:val="00595169"/>
    <w:rsid w:val="005951BB"/>
    <w:rsid w:val="005954F3"/>
    <w:rsid w:val="00595849"/>
    <w:rsid w:val="00595B4C"/>
    <w:rsid w:val="00595B6C"/>
    <w:rsid w:val="00595BD2"/>
    <w:rsid w:val="00595E00"/>
    <w:rsid w:val="00595E88"/>
    <w:rsid w:val="00596235"/>
    <w:rsid w:val="005963D1"/>
    <w:rsid w:val="0059641D"/>
    <w:rsid w:val="0059646B"/>
    <w:rsid w:val="00596907"/>
    <w:rsid w:val="00596B2C"/>
    <w:rsid w:val="00596B3C"/>
    <w:rsid w:val="00596F0C"/>
    <w:rsid w:val="00597009"/>
    <w:rsid w:val="00597133"/>
    <w:rsid w:val="00597412"/>
    <w:rsid w:val="00597499"/>
    <w:rsid w:val="0059756B"/>
    <w:rsid w:val="005975AC"/>
    <w:rsid w:val="0059779A"/>
    <w:rsid w:val="00597C1F"/>
    <w:rsid w:val="00597D7E"/>
    <w:rsid w:val="00597E08"/>
    <w:rsid w:val="00597EEF"/>
    <w:rsid w:val="00597F7A"/>
    <w:rsid w:val="00597FCD"/>
    <w:rsid w:val="005A030F"/>
    <w:rsid w:val="005A0572"/>
    <w:rsid w:val="005A058F"/>
    <w:rsid w:val="005A05AF"/>
    <w:rsid w:val="005A07CB"/>
    <w:rsid w:val="005A082D"/>
    <w:rsid w:val="005A0831"/>
    <w:rsid w:val="005A08FD"/>
    <w:rsid w:val="005A0925"/>
    <w:rsid w:val="005A0941"/>
    <w:rsid w:val="005A0A43"/>
    <w:rsid w:val="005A0AC8"/>
    <w:rsid w:val="005A0ADA"/>
    <w:rsid w:val="005A0F7D"/>
    <w:rsid w:val="005A121D"/>
    <w:rsid w:val="005A1328"/>
    <w:rsid w:val="005A13F2"/>
    <w:rsid w:val="005A169E"/>
    <w:rsid w:val="005A1797"/>
    <w:rsid w:val="005A1899"/>
    <w:rsid w:val="005A1AA4"/>
    <w:rsid w:val="005A1B82"/>
    <w:rsid w:val="005A1E26"/>
    <w:rsid w:val="005A1E7F"/>
    <w:rsid w:val="005A2097"/>
    <w:rsid w:val="005A221A"/>
    <w:rsid w:val="005A2225"/>
    <w:rsid w:val="005A26F9"/>
    <w:rsid w:val="005A270B"/>
    <w:rsid w:val="005A2D05"/>
    <w:rsid w:val="005A2D28"/>
    <w:rsid w:val="005A2E66"/>
    <w:rsid w:val="005A312E"/>
    <w:rsid w:val="005A3140"/>
    <w:rsid w:val="005A31B9"/>
    <w:rsid w:val="005A32D6"/>
    <w:rsid w:val="005A331E"/>
    <w:rsid w:val="005A33D3"/>
    <w:rsid w:val="005A37B9"/>
    <w:rsid w:val="005A383A"/>
    <w:rsid w:val="005A3D1C"/>
    <w:rsid w:val="005A426F"/>
    <w:rsid w:val="005A42FA"/>
    <w:rsid w:val="005A43E6"/>
    <w:rsid w:val="005A4A36"/>
    <w:rsid w:val="005A4AFA"/>
    <w:rsid w:val="005A4B11"/>
    <w:rsid w:val="005A4C65"/>
    <w:rsid w:val="005A4CAA"/>
    <w:rsid w:val="005A4D70"/>
    <w:rsid w:val="005A4DC8"/>
    <w:rsid w:val="005A4DF2"/>
    <w:rsid w:val="005A4EFB"/>
    <w:rsid w:val="005A4F57"/>
    <w:rsid w:val="005A5445"/>
    <w:rsid w:val="005A55A6"/>
    <w:rsid w:val="005A5618"/>
    <w:rsid w:val="005A570C"/>
    <w:rsid w:val="005A5723"/>
    <w:rsid w:val="005A5836"/>
    <w:rsid w:val="005A5B07"/>
    <w:rsid w:val="005A5BD0"/>
    <w:rsid w:val="005A5D69"/>
    <w:rsid w:val="005A5D97"/>
    <w:rsid w:val="005A5DED"/>
    <w:rsid w:val="005A5E51"/>
    <w:rsid w:val="005A5E90"/>
    <w:rsid w:val="005A5EED"/>
    <w:rsid w:val="005A5FB6"/>
    <w:rsid w:val="005A61C4"/>
    <w:rsid w:val="005A64DE"/>
    <w:rsid w:val="005A6594"/>
    <w:rsid w:val="005A6AA1"/>
    <w:rsid w:val="005A6E71"/>
    <w:rsid w:val="005A70B6"/>
    <w:rsid w:val="005A70BF"/>
    <w:rsid w:val="005A71AA"/>
    <w:rsid w:val="005A7269"/>
    <w:rsid w:val="005A72BF"/>
    <w:rsid w:val="005A7672"/>
    <w:rsid w:val="005A7A30"/>
    <w:rsid w:val="005A7B26"/>
    <w:rsid w:val="005A7B8D"/>
    <w:rsid w:val="005A7B92"/>
    <w:rsid w:val="005A7CF6"/>
    <w:rsid w:val="005A7D59"/>
    <w:rsid w:val="005B00FA"/>
    <w:rsid w:val="005B04B9"/>
    <w:rsid w:val="005B0B82"/>
    <w:rsid w:val="005B0BDB"/>
    <w:rsid w:val="005B0DC8"/>
    <w:rsid w:val="005B109F"/>
    <w:rsid w:val="005B10D9"/>
    <w:rsid w:val="005B1259"/>
    <w:rsid w:val="005B14D2"/>
    <w:rsid w:val="005B15E2"/>
    <w:rsid w:val="005B1A92"/>
    <w:rsid w:val="005B1B74"/>
    <w:rsid w:val="005B1B76"/>
    <w:rsid w:val="005B1BB0"/>
    <w:rsid w:val="005B1DE8"/>
    <w:rsid w:val="005B1F80"/>
    <w:rsid w:val="005B20DD"/>
    <w:rsid w:val="005B234F"/>
    <w:rsid w:val="005B2465"/>
    <w:rsid w:val="005B28AB"/>
    <w:rsid w:val="005B29D9"/>
    <w:rsid w:val="005B2AB8"/>
    <w:rsid w:val="005B2C85"/>
    <w:rsid w:val="005B2C8A"/>
    <w:rsid w:val="005B2D71"/>
    <w:rsid w:val="005B3017"/>
    <w:rsid w:val="005B30EA"/>
    <w:rsid w:val="005B311B"/>
    <w:rsid w:val="005B31E7"/>
    <w:rsid w:val="005B3239"/>
    <w:rsid w:val="005B36F2"/>
    <w:rsid w:val="005B3EB4"/>
    <w:rsid w:val="005B3F8E"/>
    <w:rsid w:val="005B41AB"/>
    <w:rsid w:val="005B423A"/>
    <w:rsid w:val="005B4CB5"/>
    <w:rsid w:val="005B51E0"/>
    <w:rsid w:val="005B52CF"/>
    <w:rsid w:val="005B544F"/>
    <w:rsid w:val="005B5A89"/>
    <w:rsid w:val="005B5AB9"/>
    <w:rsid w:val="005B5DBC"/>
    <w:rsid w:val="005B5ED5"/>
    <w:rsid w:val="005B614D"/>
    <w:rsid w:val="005B6202"/>
    <w:rsid w:val="005B625E"/>
    <w:rsid w:val="005B6370"/>
    <w:rsid w:val="005B657C"/>
    <w:rsid w:val="005B6887"/>
    <w:rsid w:val="005B691C"/>
    <w:rsid w:val="005B6D47"/>
    <w:rsid w:val="005B6D9E"/>
    <w:rsid w:val="005B6E9A"/>
    <w:rsid w:val="005B72B3"/>
    <w:rsid w:val="005B72E6"/>
    <w:rsid w:val="005B7301"/>
    <w:rsid w:val="005B738E"/>
    <w:rsid w:val="005B7481"/>
    <w:rsid w:val="005B78BE"/>
    <w:rsid w:val="005B7960"/>
    <w:rsid w:val="005B7ABD"/>
    <w:rsid w:val="005B7ADE"/>
    <w:rsid w:val="005B7DD6"/>
    <w:rsid w:val="005B7F80"/>
    <w:rsid w:val="005C0341"/>
    <w:rsid w:val="005C0426"/>
    <w:rsid w:val="005C072F"/>
    <w:rsid w:val="005C0737"/>
    <w:rsid w:val="005C08EE"/>
    <w:rsid w:val="005C0AA6"/>
    <w:rsid w:val="005C0AA9"/>
    <w:rsid w:val="005C0AC1"/>
    <w:rsid w:val="005C0BDF"/>
    <w:rsid w:val="005C0E78"/>
    <w:rsid w:val="005C0F3D"/>
    <w:rsid w:val="005C10A5"/>
    <w:rsid w:val="005C124C"/>
    <w:rsid w:val="005C139F"/>
    <w:rsid w:val="005C1546"/>
    <w:rsid w:val="005C1B96"/>
    <w:rsid w:val="005C1BAD"/>
    <w:rsid w:val="005C1C36"/>
    <w:rsid w:val="005C21C4"/>
    <w:rsid w:val="005C22B4"/>
    <w:rsid w:val="005C24F2"/>
    <w:rsid w:val="005C2564"/>
    <w:rsid w:val="005C25F5"/>
    <w:rsid w:val="005C2621"/>
    <w:rsid w:val="005C26FC"/>
    <w:rsid w:val="005C27CC"/>
    <w:rsid w:val="005C2A12"/>
    <w:rsid w:val="005C2A57"/>
    <w:rsid w:val="005C2DAC"/>
    <w:rsid w:val="005C2DC0"/>
    <w:rsid w:val="005C2DEF"/>
    <w:rsid w:val="005C2F84"/>
    <w:rsid w:val="005C3557"/>
    <w:rsid w:val="005C3768"/>
    <w:rsid w:val="005C382A"/>
    <w:rsid w:val="005C3A44"/>
    <w:rsid w:val="005C3B99"/>
    <w:rsid w:val="005C3C51"/>
    <w:rsid w:val="005C40AC"/>
    <w:rsid w:val="005C41A7"/>
    <w:rsid w:val="005C4493"/>
    <w:rsid w:val="005C4554"/>
    <w:rsid w:val="005C4655"/>
    <w:rsid w:val="005C4B17"/>
    <w:rsid w:val="005C4D48"/>
    <w:rsid w:val="005C4DB6"/>
    <w:rsid w:val="005C55A3"/>
    <w:rsid w:val="005C57C6"/>
    <w:rsid w:val="005C58BE"/>
    <w:rsid w:val="005C5C2E"/>
    <w:rsid w:val="005C5EDC"/>
    <w:rsid w:val="005C602F"/>
    <w:rsid w:val="005C68AB"/>
    <w:rsid w:val="005C6A0B"/>
    <w:rsid w:val="005C6A2C"/>
    <w:rsid w:val="005C6CB3"/>
    <w:rsid w:val="005C6D63"/>
    <w:rsid w:val="005C70D0"/>
    <w:rsid w:val="005C7205"/>
    <w:rsid w:val="005C7463"/>
    <w:rsid w:val="005C7516"/>
    <w:rsid w:val="005C76C9"/>
    <w:rsid w:val="005C7AC0"/>
    <w:rsid w:val="005C7C2A"/>
    <w:rsid w:val="005C7D5E"/>
    <w:rsid w:val="005D0060"/>
    <w:rsid w:val="005D018B"/>
    <w:rsid w:val="005D0736"/>
    <w:rsid w:val="005D07E1"/>
    <w:rsid w:val="005D0928"/>
    <w:rsid w:val="005D0C28"/>
    <w:rsid w:val="005D0FDC"/>
    <w:rsid w:val="005D105D"/>
    <w:rsid w:val="005D110F"/>
    <w:rsid w:val="005D119A"/>
    <w:rsid w:val="005D1217"/>
    <w:rsid w:val="005D122F"/>
    <w:rsid w:val="005D130F"/>
    <w:rsid w:val="005D1487"/>
    <w:rsid w:val="005D1755"/>
    <w:rsid w:val="005D1978"/>
    <w:rsid w:val="005D1B0D"/>
    <w:rsid w:val="005D1BD2"/>
    <w:rsid w:val="005D1C82"/>
    <w:rsid w:val="005D1F18"/>
    <w:rsid w:val="005D1F77"/>
    <w:rsid w:val="005D218C"/>
    <w:rsid w:val="005D2205"/>
    <w:rsid w:val="005D25DA"/>
    <w:rsid w:val="005D265F"/>
    <w:rsid w:val="005D31B2"/>
    <w:rsid w:val="005D32DE"/>
    <w:rsid w:val="005D354D"/>
    <w:rsid w:val="005D366E"/>
    <w:rsid w:val="005D36C3"/>
    <w:rsid w:val="005D371C"/>
    <w:rsid w:val="005D37DA"/>
    <w:rsid w:val="005D3839"/>
    <w:rsid w:val="005D3A0A"/>
    <w:rsid w:val="005D3A8D"/>
    <w:rsid w:val="005D3CCA"/>
    <w:rsid w:val="005D3CD3"/>
    <w:rsid w:val="005D3CE1"/>
    <w:rsid w:val="005D3CED"/>
    <w:rsid w:val="005D3DA6"/>
    <w:rsid w:val="005D3E0E"/>
    <w:rsid w:val="005D41D6"/>
    <w:rsid w:val="005D4326"/>
    <w:rsid w:val="005D435A"/>
    <w:rsid w:val="005D44CA"/>
    <w:rsid w:val="005D4773"/>
    <w:rsid w:val="005D4783"/>
    <w:rsid w:val="005D489A"/>
    <w:rsid w:val="005D4B9D"/>
    <w:rsid w:val="005D4BA2"/>
    <w:rsid w:val="005D4C0A"/>
    <w:rsid w:val="005D4E62"/>
    <w:rsid w:val="005D5115"/>
    <w:rsid w:val="005D5140"/>
    <w:rsid w:val="005D515D"/>
    <w:rsid w:val="005D55B7"/>
    <w:rsid w:val="005D56F0"/>
    <w:rsid w:val="005D58D7"/>
    <w:rsid w:val="005D59A1"/>
    <w:rsid w:val="005D5A78"/>
    <w:rsid w:val="005D5ACE"/>
    <w:rsid w:val="005D5BA6"/>
    <w:rsid w:val="005D5D8D"/>
    <w:rsid w:val="005D611A"/>
    <w:rsid w:val="005D61C0"/>
    <w:rsid w:val="005D61D6"/>
    <w:rsid w:val="005D638E"/>
    <w:rsid w:val="005D66B1"/>
    <w:rsid w:val="005D6797"/>
    <w:rsid w:val="005D6A10"/>
    <w:rsid w:val="005D6A1A"/>
    <w:rsid w:val="005D6ADB"/>
    <w:rsid w:val="005D6BCD"/>
    <w:rsid w:val="005D6C29"/>
    <w:rsid w:val="005D6D85"/>
    <w:rsid w:val="005D6FEB"/>
    <w:rsid w:val="005D7089"/>
    <w:rsid w:val="005D71C4"/>
    <w:rsid w:val="005D74B2"/>
    <w:rsid w:val="005D77E9"/>
    <w:rsid w:val="005D7927"/>
    <w:rsid w:val="005D7A73"/>
    <w:rsid w:val="005D7B7F"/>
    <w:rsid w:val="005D7C40"/>
    <w:rsid w:val="005D7CB7"/>
    <w:rsid w:val="005D7CCD"/>
    <w:rsid w:val="005D7DFA"/>
    <w:rsid w:val="005E00EA"/>
    <w:rsid w:val="005E04E5"/>
    <w:rsid w:val="005E0BA7"/>
    <w:rsid w:val="005E12BA"/>
    <w:rsid w:val="005E15AA"/>
    <w:rsid w:val="005E15C0"/>
    <w:rsid w:val="005E15F7"/>
    <w:rsid w:val="005E1765"/>
    <w:rsid w:val="005E1AB2"/>
    <w:rsid w:val="005E1C8A"/>
    <w:rsid w:val="005E1DFC"/>
    <w:rsid w:val="005E202D"/>
    <w:rsid w:val="005E21A6"/>
    <w:rsid w:val="005E222C"/>
    <w:rsid w:val="005E2394"/>
    <w:rsid w:val="005E2545"/>
    <w:rsid w:val="005E25B1"/>
    <w:rsid w:val="005E28F9"/>
    <w:rsid w:val="005E2AF3"/>
    <w:rsid w:val="005E2B96"/>
    <w:rsid w:val="005E2F30"/>
    <w:rsid w:val="005E309A"/>
    <w:rsid w:val="005E321E"/>
    <w:rsid w:val="005E3251"/>
    <w:rsid w:val="005E3620"/>
    <w:rsid w:val="005E37E4"/>
    <w:rsid w:val="005E3B9A"/>
    <w:rsid w:val="005E3E65"/>
    <w:rsid w:val="005E406A"/>
    <w:rsid w:val="005E408D"/>
    <w:rsid w:val="005E4169"/>
    <w:rsid w:val="005E41C5"/>
    <w:rsid w:val="005E420C"/>
    <w:rsid w:val="005E435D"/>
    <w:rsid w:val="005E4516"/>
    <w:rsid w:val="005E45BF"/>
    <w:rsid w:val="005E4991"/>
    <w:rsid w:val="005E49B4"/>
    <w:rsid w:val="005E4ADB"/>
    <w:rsid w:val="005E4E97"/>
    <w:rsid w:val="005E523C"/>
    <w:rsid w:val="005E52C2"/>
    <w:rsid w:val="005E5378"/>
    <w:rsid w:val="005E543D"/>
    <w:rsid w:val="005E5BB3"/>
    <w:rsid w:val="005E5C8F"/>
    <w:rsid w:val="005E607A"/>
    <w:rsid w:val="005E6473"/>
    <w:rsid w:val="005E6A66"/>
    <w:rsid w:val="005E6B71"/>
    <w:rsid w:val="005E6B7B"/>
    <w:rsid w:val="005E6CE8"/>
    <w:rsid w:val="005E6DFA"/>
    <w:rsid w:val="005E6E78"/>
    <w:rsid w:val="005E6EB7"/>
    <w:rsid w:val="005E70F8"/>
    <w:rsid w:val="005E72E0"/>
    <w:rsid w:val="005E737A"/>
    <w:rsid w:val="005E75FC"/>
    <w:rsid w:val="005E760A"/>
    <w:rsid w:val="005E77D7"/>
    <w:rsid w:val="005E7AA1"/>
    <w:rsid w:val="005E7B64"/>
    <w:rsid w:val="005E7CFB"/>
    <w:rsid w:val="005E7D7B"/>
    <w:rsid w:val="005E7EE5"/>
    <w:rsid w:val="005E7F5E"/>
    <w:rsid w:val="005F0040"/>
    <w:rsid w:val="005F040C"/>
    <w:rsid w:val="005F04DD"/>
    <w:rsid w:val="005F0A2B"/>
    <w:rsid w:val="005F0AD5"/>
    <w:rsid w:val="005F0D8B"/>
    <w:rsid w:val="005F0DB8"/>
    <w:rsid w:val="005F121C"/>
    <w:rsid w:val="005F1260"/>
    <w:rsid w:val="005F12B7"/>
    <w:rsid w:val="005F13C7"/>
    <w:rsid w:val="005F1672"/>
    <w:rsid w:val="005F187D"/>
    <w:rsid w:val="005F1917"/>
    <w:rsid w:val="005F1D5D"/>
    <w:rsid w:val="005F1E6A"/>
    <w:rsid w:val="005F1EAF"/>
    <w:rsid w:val="005F21DC"/>
    <w:rsid w:val="005F2338"/>
    <w:rsid w:val="005F236A"/>
    <w:rsid w:val="005F29F8"/>
    <w:rsid w:val="005F2AB7"/>
    <w:rsid w:val="005F2BDF"/>
    <w:rsid w:val="005F321D"/>
    <w:rsid w:val="005F3243"/>
    <w:rsid w:val="005F360F"/>
    <w:rsid w:val="005F37BF"/>
    <w:rsid w:val="005F381D"/>
    <w:rsid w:val="005F38BD"/>
    <w:rsid w:val="005F3953"/>
    <w:rsid w:val="005F3975"/>
    <w:rsid w:val="005F3C1D"/>
    <w:rsid w:val="005F434F"/>
    <w:rsid w:val="005F4574"/>
    <w:rsid w:val="005F459F"/>
    <w:rsid w:val="005F462F"/>
    <w:rsid w:val="005F4645"/>
    <w:rsid w:val="005F4B82"/>
    <w:rsid w:val="005F4C5D"/>
    <w:rsid w:val="005F4D53"/>
    <w:rsid w:val="005F4E77"/>
    <w:rsid w:val="005F51B8"/>
    <w:rsid w:val="005F5225"/>
    <w:rsid w:val="005F52B1"/>
    <w:rsid w:val="005F52E4"/>
    <w:rsid w:val="005F54BE"/>
    <w:rsid w:val="005F5584"/>
    <w:rsid w:val="005F569C"/>
    <w:rsid w:val="005F5765"/>
    <w:rsid w:val="005F57AA"/>
    <w:rsid w:val="005F58B5"/>
    <w:rsid w:val="005F58D0"/>
    <w:rsid w:val="005F5AAE"/>
    <w:rsid w:val="005F5C54"/>
    <w:rsid w:val="005F5C93"/>
    <w:rsid w:val="005F5E16"/>
    <w:rsid w:val="005F60FF"/>
    <w:rsid w:val="005F645F"/>
    <w:rsid w:val="005F65BA"/>
    <w:rsid w:val="005F67F6"/>
    <w:rsid w:val="005F6923"/>
    <w:rsid w:val="005F6C77"/>
    <w:rsid w:val="005F6CE6"/>
    <w:rsid w:val="005F6D59"/>
    <w:rsid w:val="005F6EAE"/>
    <w:rsid w:val="005F7352"/>
    <w:rsid w:val="005F73CB"/>
    <w:rsid w:val="005F742D"/>
    <w:rsid w:val="005F7681"/>
    <w:rsid w:val="005F7886"/>
    <w:rsid w:val="005F7AC3"/>
    <w:rsid w:val="005F7C7B"/>
    <w:rsid w:val="005F7CE4"/>
    <w:rsid w:val="005F7E7D"/>
    <w:rsid w:val="005F7F54"/>
    <w:rsid w:val="00600079"/>
    <w:rsid w:val="006000DC"/>
    <w:rsid w:val="00600402"/>
    <w:rsid w:val="006004E6"/>
    <w:rsid w:val="00600597"/>
    <w:rsid w:val="00600703"/>
    <w:rsid w:val="00600718"/>
    <w:rsid w:val="0060081D"/>
    <w:rsid w:val="0060082B"/>
    <w:rsid w:val="006008D4"/>
    <w:rsid w:val="00600A75"/>
    <w:rsid w:val="00600AD1"/>
    <w:rsid w:val="0060120F"/>
    <w:rsid w:val="0060137B"/>
    <w:rsid w:val="00601636"/>
    <w:rsid w:val="006018ED"/>
    <w:rsid w:val="00601933"/>
    <w:rsid w:val="00601ABF"/>
    <w:rsid w:val="00601B16"/>
    <w:rsid w:val="00601BFC"/>
    <w:rsid w:val="00601CA0"/>
    <w:rsid w:val="00601D9C"/>
    <w:rsid w:val="00601E70"/>
    <w:rsid w:val="00601FC9"/>
    <w:rsid w:val="00602245"/>
    <w:rsid w:val="0060242F"/>
    <w:rsid w:val="006024EA"/>
    <w:rsid w:val="00602A03"/>
    <w:rsid w:val="00602C72"/>
    <w:rsid w:val="00602E6F"/>
    <w:rsid w:val="00602FFD"/>
    <w:rsid w:val="0060302A"/>
    <w:rsid w:val="006034EA"/>
    <w:rsid w:val="006036A2"/>
    <w:rsid w:val="006037B8"/>
    <w:rsid w:val="006037BE"/>
    <w:rsid w:val="006037C5"/>
    <w:rsid w:val="00603986"/>
    <w:rsid w:val="00603C3A"/>
    <w:rsid w:val="00603DCF"/>
    <w:rsid w:val="00603E8E"/>
    <w:rsid w:val="006044B7"/>
    <w:rsid w:val="0060485D"/>
    <w:rsid w:val="00604914"/>
    <w:rsid w:val="00604A09"/>
    <w:rsid w:val="00604AF5"/>
    <w:rsid w:val="00604C88"/>
    <w:rsid w:val="00604D6B"/>
    <w:rsid w:val="0060505A"/>
    <w:rsid w:val="0060516E"/>
    <w:rsid w:val="00605379"/>
    <w:rsid w:val="00605380"/>
    <w:rsid w:val="00605546"/>
    <w:rsid w:val="00605586"/>
    <w:rsid w:val="00605DD2"/>
    <w:rsid w:val="00605E0D"/>
    <w:rsid w:val="00605EA0"/>
    <w:rsid w:val="0060625C"/>
    <w:rsid w:val="006062D6"/>
    <w:rsid w:val="00606305"/>
    <w:rsid w:val="00606569"/>
    <w:rsid w:val="006069F6"/>
    <w:rsid w:val="006069FE"/>
    <w:rsid w:val="00606B64"/>
    <w:rsid w:val="00606BEA"/>
    <w:rsid w:val="00606D54"/>
    <w:rsid w:val="00606D66"/>
    <w:rsid w:val="00606D70"/>
    <w:rsid w:val="00606E5B"/>
    <w:rsid w:val="0060711B"/>
    <w:rsid w:val="006071C2"/>
    <w:rsid w:val="00607360"/>
    <w:rsid w:val="0060739C"/>
    <w:rsid w:val="006073E1"/>
    <w:rsid w:val="0060747F"/>
    <w:rsid w:val="0060749F"/>
    <w:rsid w:val="0060758E"/>
    <w:rsid w:val="00607618"/>
    <w:rsid w:val="00607969"/>
    <w:rsid w:val="00607AB7"/>
    <w:rsid w:val="00607ABB"/>
    <w:rsid w:val="00607BE5"/>
    <w:rsid w:val="00607DE5"/>
    <w:rsid w:val="00607E91"/>
    <w:rsid w:val="00607F0B"/>
    <w:rsid w:val="0061007C"/>
    <w:rsid w:val="00610145"/>
    <w:rsid w:val="006101C2"/>
    <w:rsid w:val="00610647"/>
    <w:rsid w:val="006107AA"/>
    <w:rsid w:val="00610883"/>
    <w:rsid w:val="00610902"/>
    <w:rsid w:val="0061099D"/>
    <w:rsid w:val="006109D3"/>
    <w:rsid w:val="00610AFC"/>
    <w:rsid w:val="00610BBA"/>
    <w:rsid w:val="00610DFD"/>
    <w:rsid w:val="00610F45"/>
    <w:rsid w:val="006111EB"/>
    <w:rsid w:val="0061156D"/>
    <w:rsid w:val="006116BA"/>
    <w:rsid w:val="00611750"/>
    <w:rsid w:val="006117C0"/>
    <w:rsid w:val="00611868"/>
    <w:rsid w:val="00611BDA"/>
    <w:rsid w:val="00611E8B"/>
    <w:rsid w:val="00611F1A"/>
    <w:rsid w:val="00611FC2"/>
    <w:rsid w:val="0061234B"/>
    <w:rsid w:val="00612491"/>
    <w:rsid w:val="006125EB"/>
    <w:rsid w:val="006128C8"/>
    <w:rsid w:val="00612C35"/>
    <w:rsid w:val="00612CFA"/>
    <w:rsid w:val="00612DF9"/>
    <w:rsid w:val="00612F07"/>
    <w:rsid w:val="00612F47"/>
    <w:rsid w:val="0061302B"/>
    <w:rsid w:val="00613500"/>
    <w:rsid w:val="0061376C"/>
    <w:rsid w:val="006137C9"/>
    <w:rsid w:val="0061381D"/>
    <w:rsid w:val="00613846"/>
    <w:rsid w:val="00613984"/>
    <w:rsid w:val="006139A9"/>
    <w:rsid w:val="006139B6"/>
    <w:rsid w:val="00613B70"/>
    <w:rsid w:val="00613B81"/>
    <w:rsid w:val="00613FE8"/>
    <w:rsid w:val="006140A7"/>
    <w:rsid w:val="006143AF"/>
    <w:rsid w:val="006147AD"/>
    <w:rsid w:val="006147F8"/>
    <w:rsid w:val="00614835"/>
    <w:rsid w:val="00614F4E"/>
    <w:rsid w:val="00614FEB"/>
    <w:rsid w:val="006150BD"/>
    <w:rsid w:val="006151A2"/>
    <w:rsid w:val="006152B1"/>
    <w:rsid w:val="006152F7"/>
    <w:rsid w:val="0061531D"/>
    <w:rsid w:val="00615382"/>
    <w:rsid w:val="0061555A"/>
    <w:rsid w:val="00615770"/>
    <w:rsid w:val="006157AA"/>
    <w:rsid w:val="006159C0"/>
    <w:rsid w:val="00615CBB"/>
    <w:rsid w:val="00615D1D"/>
    <w:rsid w:val="00615EAC"/>
    <w:rsid w:val="0061601A"/>
    <w:rsid w:val="00616085"/>
    <w:rsid w:val="00616102"/>
    <w:rsid w:val="00616124"/>
    <w:rsid w:val="00616447"/>
    <w:rsid w:val="0061672D"/>
    <w:rsid w:val="006168D2"/>
    <w:rsid w:val="0061698F"/>
    <w:rsid w:val="00616BFB"/>
    <w:rsid w:val="00616CE5"/>
    <w:rsid w:val="00616E12"/>
    <w:rsid w:val="00616FA5"/>
    <w:rsid w:val="0061707E"/>
    <w:rsid w:val="0061740F"/>
    <w:rsid w:val="006175F3"/>
    <w:rsid w:val="00617DD7"/>
    <w:rsid w:val="00617F26"/>
    <w:rsid w:val="00620180"/>
    <w:rsid w:val="006206F4"/>
    <w:rsid w:val="00620AF3"/>
    <w:rsid w:val="00620BFF"/>
    <w:rsid w:val="00620DBD"/>
    <w:rsid w:val="00620EB8"/>
    <w:rsid w:val="00621179"/>
    <w:rsid w:val="006211D2"/>
    <w:rsid w:val="0062137D"/>
    <w:rsid w:val="006216B9"/>
    <w:rsid w:val="00621738"/>
    <w:rsid w:val="00621896"/>
    <w:rsid w:val="006219B4"/>
    <w:rsid w:val="006219F5"/>
    <w:rsid w:val="00621BD2"/>
    <w:rsid w:val="00621C4B"/>
    <w:rsid w:val="00621CDD"/>
    <w:rsid w:val="00621DA0"/>
    <w:rsid w:val="00621EAB"/>
    <w:rsid w:val="00622113"/>
    <w:rsid w:val="006222DE"/>
    <w:rsid w:val="00622314"/>
    <w:rsid w:val="006223AE"/>
    <w:rsid w:val="00622547"/>
    <w:rsid w:val="006225B9"/>
    <w:rsid w:val="006225C2"/>
    <w:rsid w:val="0062268F"/>
    <w:rsid w:val="00622D41"/>
    <w:rsid w:val="00622DCC"/>
    <w:rsid w:val="00622E21"/>
    <w:rsid w:val="00622FC5"/>
    <w:rsid w:val="00623018"/>
    <w:rsid w:val="00623083"/>
    <w:rsid w:val="0062328C"/>
    <w:rsid w:val="006232AA"/>
    <w:rsid w:val="00623547"/>
    <w:rsid w:val="00623C4B"/>
    <w:rsid w:val="0062409D"/>
    <w:rsid w:val="0062410A"/>
    <w:rsid w:val="006241F8"/>
    <w:rsid w:val="006242A6"/>
    <w:rsid w:val="0062435E"/>
    <w:rsid w:val="00624453"/>
    <w:rsid w:val="00624631"/>
    <w:rsid w:val="0062464F"/>
    <w:rsid w:val="006249F3"/>
    <w:rsid w:val="00624BBB"/>
    <w:rsid w:val="00624C04"/>
    <w:rsid w:val="00624EC1"/>
    <w:rsid w:val="00624EC8"/>
    <w:rsid w:val="00625074"/>
    <w:rsid w:val="0062509A"/>
    <w:rsid w:val="006250F1"/>
    <w:rsid w:val="0062522F"/>
    <w:rsid w:val="006252BB"/>
    <w:rsid w:val="006254C6"/>
    <w:rsid w:val="0062553D"/>
    <w:rsid w:val="00625812"/>
    <w:rsid w:val="006258EF"/>
    <w:rsid w:val="00625A71"/>
    <w:rsid w:val="00625B67"/>
    <w:rsid w:val="00625C75"/>
    <w:rsid w:val="00625CE9"/>
    <w:rsid w:val="00625D01"/>
    <w:rsid w:val="00625DDD"/>
    <w:rsid w:val="00625EF3"/>
    <w:rsid w:val="00625F35"/>
    <w:rsid w:val="00625F8F"/>
    <w:rsid w:val="006260A7"/>
    <w:rsid w:val="006260C0"/>
    <w:rsid w:val="006262EF"/>
    <w:rsid w:val="00626546"/>
    <w:rsid w:val="00626815"/>
    <w:rsid w:val="00626938"/>
    <w:rsid w:val="0062693F"/>
    <w:rsid w:val="00626A4C"/>
    <w:rsid w:val="00626D2A"/>
    <w:rsid w:val="00626E6C"/>
    <w:rsid w:val="00626EAD"/>
    <w:rsid w:val="00626F44"/>
    <w:rsid w:val="00626F45"/>
    <w:rsid w:val="006270BB"/>
    <w:rsid w:val="006270DE"/>
    <w:rsid w:val="006271B9"/>
    <w:rsid w:val="00627290"/>
    <w:rsid w:val="006273CF"/>
    <w:rsid w:val="00627550"/>
    <w:rsid w:val="0062772A"/>
    <w:rsid w:val="00627736"/>
    <w:rsid w:val="0062783A"/>
    <w:rsid w:val="006279C9"/>
    <w:rsid w:val="00627A07"/>
    <w:rsid w:val="00627B18"/>
    <w:rsid w:val="00627BF4"/>
    <w:rsid w:val="00627C5D"/>
    <w:rsid w:val="00627DC3"/>
    <w:rsid w:val="00627E92"/>
    <w:rsid w:val="00627E95"/>
    <w:rsid w:val="00627EF7"/>
    <w:rsid w:val="006300C0"/>
    <w:rsid w:val="00630179"/>
    <w:rsid w:val="006301F9"/>
    <w:rsid w:val="00630255"/>
    <w:rsid w:val="00630339"/>
    <w:rsid w:val="00630430"/>
    <w:rsid w:val="00630C4A"/>
    <w:rsid w:val="0063100D"/>
    <w:rsid w:val="0063106C"/>
    <w:rsid w:val="006310BC"/>
    <w:rsid w:val="0063117A"/>
    <w:rsid w:val="006314E7"/>
    <w:rsid w:val="00631A27"/>
    <w:rsid w:val="00631A71"/>
    <w:rsid w:val="00631A88"/>
    <w:rsid w:val="00632215"/>
    <w:rsid w:val="006322D4"/>
    <w:rsid w:val="00632400"/>
    <w:rsid w:val="006325D4"/>
    <w:rsid w:val="006325F1"/>
    <w:rsid w:val="006329D8"/>
    <w:rsid w:val="00632ABF"/>
    <w:rsid w:val="00632C68"/>
    <w:rsid w:val="00632C74"/>
    <w:rsid w:val="00632D82"/>
    <w:rsid w:val="00632F95"/>
    <w:rsid w:val="00632FD4"/>
    <w:rsid w:val="0063302E"/>
    <w:rsid w:val="006333E1"/>
    <w:rsid w:val="0063353C"/>
    <w:rsid w:val="00633552"/>
    <w:rsid w:val="00633853"/>
    <w:rsid w:val="006339DD"/>
    <w:rsid w:val="00633B72"/>
    <w:rsid w:val="00633BA5"/>
    <w:rsid w:val="00633C94"/>
    <w:rsid w:val="00633E64"/>
    <w:rsid w:val="00634162"/>
    <w:rsid w:val="00634206"/>
    <w:rsid w:val="006344DD"/>
    <w:rsid w:val="006345CF"/>
    <w:rsid w:val="006345F5"/>
    <w:rsid w:val="006346FD"/>
    <w:rsid w:val="006347FF"/>
    <w:rsid w:val="006349B7"/>
    <w:rsid w:val="00634A80"/>
    <w:rsid w:val="00634AA2"/>
    <w:rsid w:val="00634B32"/>
    <w:rsid w:val="00634B7E"/>
    <w:rsid w:val="00634C1A"/>
    <w:rsid w:val="00634C75"/>
    <w:rsid w:val="00634D56"/>
    <w:rsid w:val="00634D94"/>
    <w:rsid w:val="006352E8"/>
    <w:rsid w:val="006354E4"/>
    <w:rsid w:val="00635884"/>
    <w:rsid w:val="006359DF"/>
    <w:rsid w:val="00635A25"/>
    <w:rsid w:val="00635A3C"/>
    <w:rsid w:val="00635B5A"/>
    <w:rsid w:val="00635CEB"/>
    <w:rsid w:val="00635D44"/>
    <w:rsid w:val="00635E9D"/>
    <w:rsid w:val="006362DA"/>
    <w:rsid w:val="00636310"/>
    <w:rsid w:val="0063632A"/>
    <w:rsid w:val="0063638F"/>
    <w:rsid w:val="00636495"/>
    <w:rsid w:val="006365A8"/>
    <w:rsid w:val="00636609"/>
    <w:rsid w:val="00636636"/>
    <w:rsid w:val="00636A25"/>
    <w:rsid w:val="00636AE7"/>
    <w:rsid w:val="00637006"/>
    <w:rsid w:val="00637080"/>
    <w:rsid w:val="00637098"/>
    <w:rsid w:val="006370F6"/>
    <w:rsid w:val="006371BB"/>
    <w:rsid w:val="00637217"/>
    <w:rsid w:val="00637263"/>
    <w:rsid w:val="00637267"/>
    <w:rsid w:val="006375A3"/>
    <w:rsid w:val="0063762B"/>
    <w:rsid w:val="006376DF"/>
    <w:rsid w:val="006379DF"/>
    <w:rsid w:val="00637B5B"/>
    <w:rsid w:val="00637BD5"/>
    <w:rsid w:val="00637C5E"/>
    <w:rsid w:val="00637CAF"/>
    <w:rsid w:val="00637CB4"/>
    <w:rsid w:val="00637DB2"/>
    <w:rsid w:val="00637F1B"/>
    <w:rsid w:val="006401F5"/>
    <w:rsid w:val="0064032A"/>
    <w:rsid w:val="00640473"/>
    <w:rsid w:val="00640495"/>
    <w:rsid w:val="006405DA"/>
    <w:rsid w:val="006407D3"/>
    <w:rsid w:val="006409A3"/>
    <w:rsid w:val="00640A4C"/>
    <w:rsid w:val="00640A64"/>
    <w:rsid w:val="0064117E"/>
    <w:rsid w:val="0064119D"/>
    <w:rsid w:val="00641545"/>
    <w:rsid w:val="006415C5"/>
    <w:rsid w:val="00641933"/>
    <w:rsid w:val="00641CB0"/>
    <w:rsid w:val="00641F93"/>
    <w:rsid w:val="00641FBD"/>
    <w:rsid w:val="006422CC"/>
    <w:rsid w:val="006423C7"/>
    <w:rsid w:val="0064242A"/>
    <w:rsid w:val="0064246D"/>
    <w:rsid w:val="006425E6"/>
    <w:rsid w:val="00642669"/>
    <w:rsid w:val="0064266F"/>
    <w:rsid w:val="006426DA"/>
    <w:rsid w:val="00642723"/>
    <w:rsid w:val="00642BED"/>
    <w:rsid w:val="00642BFA"/>
    <w:rsid w:val="006431D4"/>
    <w:rsid w:val="006432A1"/>
    <w:rsid w:val="006435AC"/>
    <w:rsid w:val="006436BF"/>
    <w:rsid w:val="006436C4"/>
    <w:rsid w:val="006437CF"/>
    <w:rsid w:val="0064381F"/>
    <w:rsid w:val="00643895"/>
    <w:rsid w:val="00643899"/>
    <w:rsid w:val="00643ADE"/>
    <w:rsid w:val="00643E05"/>
    <w:rsid w:val="0064422E"/>
    <w:rsid w:val="00644293"/>
    <w:rsid w:val="006443C6"/>
    <w:rsid w:val="006444B3"/>
    <w:rsid w:val="006445B6"/>
    <w:rsid w:val="006445CC"/>
    <w:rsid w:val="00644607"/>
    <w:rsid w:val="00644625"/>
    <w:rsid w:val="00644664"/>
    <w:rsid w:val="00644A69"/>
    <w:rsid w:val="00644BE3"/>
    <w:rsid w:val="00644C15"/>
    <w:rsid w:val="00644CB0"/>
    <w:rsid w:val="00644E32"/>
    <w:rsid w:val="00645180"/>
    <w:rsid w:val="006451A1"/>
    <w:rsid w:val="0064536A"/>
    <w:rsid w:val="0064555C"/>
    <w:rsid w:val="0064589F"/>
    <w:rsid w:val="00645AD8"/>
    <w:rsid w:val="00645B00"/>
    <w:rsid w:val="00645C75"/>
    <w:rsid w:val="00645C81"/>
    <w:rsid w:val="00645CE9"/>
    <w:rsid w:val="00645DE4"/>
    <w:rsid w:val="00645EEA"/>
    <w:rsid w:val="00645F06"/>
    <w:rsid w:val="00645F46"/>
    <w:rsid w:val="0064621B"/>
    <w:rsid w:val="00646235"/>
    <w:rsid w:val="006462E7"/>
    <w:rsid w:val="006462EC"/>
    <w:rsid w:val="006465D1"/>
    <w:rsid w:val="006466D7"/>
    <w:rsid w:val="0064670E"/>
    <w:rsid w:val="00646838"/>
    <w:rsid w:val="0064687C"/>
    <w:rsid w:val="0064689C"/>
    <w:rsid w:val="00646B8C"/>
    <w:rsid w:val="00646B95"/>
    <w:rsid w:val="00646F82"/>
    <w:rsid w:val="00646FE5"/>
    <w:rsid w:val="00647027"/>
    <w:rsid w:val="006473F1"/>
    <w:rsid w:val="0064744B"/>
    <w:rsid w:val="006474E7"/>
    <w:rsid w:val="0064764D"/>
    <w:rsid w:val="006476EB"/>
    <w:rsid w:val="0064796E"/>
    <w:rsid w:val="00647A2E"/>
    <w:rsid w:val="00647B4C"/>
    <w:rsid w:val="00647C26"/>
    <w:rsid w:val="00647E3D"/>
    <w:rsid w:val="00650105"/>
    <w:rsid w:val="0065026D"/>
    <w:rsid w:val="00650478"/>
    <w:rsid w:val="00650771"/>
    <w:rsid w:val="006507E2"/>
    <w:rsid w:val="00650862"/>
    <w:rsid w:val="006508A7"/>
    <w:rsid w:val="00650E42"/>
    <w:rsid w:val="00650E99"/>
    <w:rsid w:val="00651357"/>
    <w:rsid w:val="00651493"/>
    <w:rsid w:val="0065164A"/>
    <w:rsid w:val="00651829"/>
    <w:rsid w:val="0065197B"/>
    <w:rsid w:val="00651BCC"/>
    <w:rsid w:val="00651D29"/>
    <w:rsid w:val="00651D77"/>
    <w:rsid w:val="00651FD5"/>
    <w:rsid w:val="006520A7"/>
    <w:rsid w:val="006522C0"/>
    <w:rsid w:val="00652853"/>
    <w:rsid w:val="006529A9"/>
    <w:rsid w:val="00652A62"/>
    <w:rsid w:val="00652AFC"/>
    <w:rsid w:val="00652D24"/>
    <w:rsid w:val="00653040"/>
    <w:rsid w:val="00653105"/>
    <w:rsid w:val="00653636"/>
    <w:rsid w:val="00653B39"/>
    <w:rsid w:val="00653C64"/>
    <w:rsid w:val="00653C79"/>
    <w:rsid w:val="00653C89"/>
    <w:rsid w:val="00653D36"/>
    <w:rsid w:val="00653FC3"/>
    <w:rsid w:val="006540A7"/>
    <w:rsid w:val="006542D8"/>
    <w:rsid w:val="006542FC"/>
    <w:rsid w:val="006544EC"/>
    <w:rsid w:val="006547BF"/>
    <w:rsid w:val="006547C5"/>
    <w:rsid w:val="006549B0"/>
    <w:rsid w:val="00654AD4"/>
    <w:rsid w:val="00654B97"/>
    <w:rsid w:val="00654C5A"/>
    <w:rsid w:val="00655008"/>
    <w:rsid w:val="0065510F"/>
    <w:rsid w:val="006554F6"/>
    <w:rsid w:val="0065564C"/>
    <w:rsid w:val="00655C39"/>
    <w:rsid w:val="00655C87"/>
    <w:rsid w:val="0065624E"/>
    <w:rsid w:val="00656419"/>
    <w:rsid w:val="00656465"/>
    <w:rsid w:val="0065674B"/>
    <w:rsid w:val="00656894"/>
    <w:rsid w:val="00656AEA"/>
    <w:rsid w:val="00656E05"/>
    <w:rsid w:val="00657142"/>
    <w:rsid w:val="00657168"/>
    <w:rsid w:val="00657171"/>
    <w:rsid w:val="006572A0"/>
    <w:rsid w:val="006576B8"/>
    <w:rsid w:val="006578EF"/>
    <w:rsid w:val="00657998"/>
    <w:rsid w:val="006579DB"/>
    <w:rsid w:val="00657D26"/>
    <w:rsid w:val="00657D6F"/>
    <w:rsid w:val="0066012F"/>
    <w:rsid w:val="00660198"/>
    <w:rsid w:val="006602BC"/>
    <w:rsid w:val="00660372"/>
    <w:rsid w:val="0066064E"/>
    <w:rsid w:val="0066068F"/>
    <w:rsid w:val="0066080E"/>
    <w:rsid w:val="00660816"/>
    <w:rsid w:val="00660969"/>
    <w:rsid w:val="0066096B"/>
    <w:rsid w:val="00660A05"/>
    <w:rsid w:val="00660A21"/>
    <w:rsid w:val="00660A5F"/>
    <w:rsid w:val="00660B89"/>
    <w:rsid w:val="00660C68"/>
    <w:rsid w:val="00660E35"/>
    <w:rsid w:val="00660E42"/>
    <w:rsid w:val="00661145"/>
    <w:rsid w:val="0066124F"/>
    <w:rsid w:val="006613D4"/>
    <w:rsid w:val="006617CC"/>
    <w:rsid w:val="00661AA1"/>
    <w:rsid w:val="00661B33"/>
    <w:rsid w:val="0066203C"/>
    <w:rsid w:val="00662092"/>
    <w:rsid w:val="0066217C"/>
    <w:rsid w:val="0066249E"/>
    <w:rsid w:val="006624F3"/>
    <w:rsid w:val="0066267D"/>
    <w:rsid w:val="006626EB"/>
    <w:rsid w:val="0066295F"/>
    <w:rsid w:val="00662A65"/>
    <w:rsid w:val="00662B9A"/>
    <w:rsid w:val="00662BFB"/>
    <w:rsid w:val="00662C8C"/>
    <w:rsid w:val="00662EBF"/>
    <w:rsid w:val="00663087"/>
    <w:rsid w:val="00663542"/>
    <w:rsid w:val="00663564"/>
    <w:rsid w:val="0066362E"/>
    <w:rsid w:val="00663DD7"/>
    <w:rsid w:val="00663EE5"/>
    <w:rsid w:val="006640BD"/>
    <w:rsid w:val="00664177"/>
    <w:rsid w:val="0066441D"/>
    <w:rsid w:val="006644D7"/>
    <w:rsid w:val="00664922"/>
    <w:rsid w:val="00664F75"/>
    <w:rsid w:val="006653F4"/>
    <w:rsid w:val="00665518"/>
    <w:rsid w:val="00665613"/>
    <w:rsid w:val="0066577F"/>
    <w:rsid w:val="00665889"/>
    <w:rsid w:val="00665D79"/>
    <w:rsid w:val="00665E6D"/>
    <w:rsid w:val="00665E93"/>
    <w:rsid w:val="00665F76"/>
    <w:rsid w:val="00665FB7"/>
    <w:rsid w:val="00666026"/>
    <w:rsid w:val="0066623C"/>
    <w:rsid w:val="00666243"/>
    <w:rsid w:val="00666409"/>
    <w:rsid w:val="0066646D"/>
    <w:rsid w:val="00666566"/>
    <w:rsid w:val="00666719"/>
    <w:rsid w:val="006667AA"/>
    <w:rsid w:val="00666808"/>
    <w:rsid w:val="00666A48"/>
    <w:rsid w:val="00666CEF"/>
    <w:rsid w:val="00666D47"/>
    <w:rsid w:val="00667040"/>
    <w:rsid w:val="0066713B"/>
    <w:rsid w:val="00667140"/>
    <w:rsid w:val="006671E1"/>
    <w:rsid w:val="0066730C"/>
    <w:rsid w:val="00667361"/>
    <w:rsid w:val="0066761A"/>
    <w:rsid w:val="00667647"/>
    <w:rsid w:val="00667668"/>
    <w:rsid w:val="00667836"/>
    <w:rsid w:val="006678BD"/>
    <w:rsid w:val="00667A08"/>
    <w:rsid w:val="00667AE1"/>
    <w:rsid w:val="00667BD0"/>
    <w:rsid w:val="00667CD8"/>
    <w:rsid w:val="00667CF1"/>
    <w:rsid w:val="00667DCF"/>
    <w:rsid w:val="00667E00"/>
    <w:rsid w:val="006701AE"/>
    <w:rsid w:val="006704F7"/>
    <w:rsid w:val="006707EE"/>
    <w:rsid w:val="00670833"/>
    <w:rsid w:val="0067084C"/>
    <w:rsid w:val="00670987"/>
    <w:rsid w:val="006709E8"/>
    <w:rsid w:val="00670A36"/>
    <w:rsid w:val="00670D5B"/>
    <w:rsid w:val="00670DBA"/>
    <w:rsid w:val="00670F86"/>
    <w:rsid w:val="006710E2"/>
    <w:rsid w:val="006712D0"/>
    <w:rsid w:val="00671446"/>
    <w:rsid w:val="006717DB"/>
    <w:rsid w:val="006718BD"/>
    <w:rsid w:val="00671970"/>
    <w:rsid w:val="00671979"/>
    <w:rsid w:val="0067198F"/>
    <w:rsid w:val="006719ED"/>
    <w:rsid w:val="00671A4E"/>
    <w:rsid w:val="00671A8C"/>
    <w:rsid w:val="00671A9B"/>
    <w:rsid w:val="00671AF5"/>
    <w:rsid w:val="0067240C"/>
    <w:rsid w:val="00672FB8"/>
    <w:rsid w:val="00673450"/>
    <w:rsid w:val="00673492"/>
    <w:rsid w:val="00673586"/>
    <w:rsid w:val="006738EE"/>
    <w:rsid w:val="00673949"/>
    <w:rsid w:val="0067442E"/>
    <w:rsid w:val="006744E4"/>
    <w:rsid w:val="006745BF"/>
    <w:rsid w:val="0067497F"/>
    <w:rsid w:val="00674A61"/>
    <w:rsid w:val="00674A88"/>
    <w:rsid w:val="00674BA8"/>
    <w:rsid w:val="00674CB7"/>
    <w:rsid w:val="00674CDE"/>
    <w:rsid w:val="00674D9F"/>
    <w:rsid w:val="00674F4C"/>
    <w:rsid w:val="00675016"/>
    <w:rsid w:val="00675038"/>
    <w:rsid w:val="006750C6"/>
    <w:rsid w:val="006752B3"/>
    <w:rsid w:val="00675523"/>
    <w:rsid w:val="0067573F"/>
    <w:rsid w:val="00675871"/>
    <w:rsid w:val="00675AAD"/>
    <w:rsid w:val="00675B88"/>
    <w:rsid w:val="00675BF6"/>
    <w:rsid w:val="00675C3B"/>
    <w:rsid w:val="00675D7F"/>
    <w:rsid w:val="00675DD5"/>
    <w:rsid w:val="00675E85"/>
    <w:rsid w:val="00675FFB"/>
    <w:rsid w:val="006768FC"/>
    <w:rsid w:val="00677067"/>
    <w:rsid w:val="006770EE"/>
    <w:rsid w:val="0067715A"/>
    <w:rsid w:val="006772AB"/>
    <w:rsid w:val="00677783"/>
    <w:rsid w:val="00677906"/>
    <w:rsid w:val="00677909"/>
    <w:rsid w:val="00677927"/>
    <w:rsid w:val="00677B9B"/>
    <w:rsid w:val="00677D0C"/>
    <w:rsid w:val="00677E49"/>
    <w:rsid w:val="00680029"/>
    <w:rsid w:val="006802C5"/>
    <w:rsid w:val="006802CA"/>
    <w:rsid w:val="00680393"/>
    <w:rsid w:val="00680461"/>
    <w:rsid w:val="00680500"/>
    <w:rsid w:val="006805D3"/>
    <w:rsid w:val="006806BB"/>
    <w:rsid w:val="00680797"/>
    <w:rsid w:val="00680991"/>
    <w:rsid w:val="00680A75"/>
    <w:rsid w:val="00680B79"/>
    <w:rsid w:val="00680CF4"/>
    <w:rsid w:val="00680D37"/>
    <w:rsid w:val="00680F62"/>
    <w:rsid w:val="00680FFC"/>
    <w:rsid w:val="006810C5"/>
    <w:rsid w:val="006810D3"/>
    <w:rsid w:val="0068119A"/>
    <w:rsid w:val="0068134E"/>
    <w:rsid w:val="0068149D"/>
    <w:rsid w:val="0068150C"/>
    <w:rsid w:val="00681779"/>
    <w:rsid w:val="006817F4"/>
    <w:rsid w:val="00681953"/>
    <w:rsid w:val="006819CB"/>
    <w:rsid w:val="00681BB2"/>
    <w:rsid w:val="00681BFF"/>
    <w:rsid w:val="00681C6F"/>
    <w:rsid w:val="00681CAF"/>
    <w:rsid w:val="00681D5B"/>
    <w:rsid w:val="00681DD6"/>
    <w:rsid w:val="00681EAF"/>
    <w:rsid w:val="00682066"/>
    <w:rsid w:val="00682160"/>
    <w:rsid w:val="006822ED"/>
    <w:rsid w:val="0068234B"/>
    <w:rsid w:val="00682389"/>
    <w:rsid w:val="00682438"/>
    <w:rsid w:val="00682AC3"/>
    <w:rsid w:val="00682FF2"/>
    <w:rsid w:val="006830CD"/>
    <w:rsid w:val="006830EB"/>
    <w:rsid w:val="006831FF"/>
    <w:rsid w:val="00683238"/>
    <w:rsid w:val="006832B5"/>
    <w:rsid w:val="00683300"/>
    <w:rsid w:val="00683493"/>
    <w:rsid w:val="0068349C"/>
    <w:rsid w:val="006837AB"/>
    <w:rsid w:val="00683C1A"/>
    <w:rsid w:val="00683C56"/>
    <w:rsid w:val="00683E6A"/>
    <w:rsid w:val="00683F63"/>
    <w:rsid w:val="006840A6"/>
    <w:rsid w:val="00684264"/>
    <w:rsid w:val="006845CE"/>
    <w:rsid w:val="00684809"/>
    <w:rsid w:val="0068480C"/>
    <w:rsid w:val="00684817"/>
    <w:rsid w:val="0068482C"/>
    <w:rsid w:val="006848B1"/>
    <w:rsid w:val="00684931"/>
    <w:rsid w:val="00684ACD"/>
    <w:rsid w:val="00685037"/>
    <w:rsid w:val="00685053"/>
    <w:rsid w:val="00685057"/>
    <w:rsid w:val="00685178"/>
    <w:rsid w:val="0068519C"/>
    <w:rsid w:val="0068519D"/>
    <w:rsid w:val="0068525B"/>
    <w:rsid w:val="00685314"/>
    <w:rsid w:val="00685459"/>
    <w:rsid w:val="00685472"/>
    <w:rsid w:val="0068560C"/>
    <w:rsid w:val="0068572A"/>
    <w:rsid w:val="00685872"/>
    <w:rsid w:val="00685996"/>
    <w:rsid w:val="00685B2C"/>
    <w:rsid w:val="00685B96"/>
    <w:rsid w:val="00685E65"/>
    <w:rsid w:val="00685EA4"/>
    <w:rsid w:val="006860D3"/>
    <w:rsid w:val="0068612C"/>
    <w:rsid w:val="00686133"/>
    <w:rsid w:val="006861AE"/>
    <w:rsid w:val="00686296"/>
    <w:rsid w:val="006862AB"/>
    <w:rsid w:val="006864EB"/>
    <w:rsid w:val="0068660A"/>
    <w:rsid w:val="00686957"/>
    <w:rsid w:val="00686C50"/>
    <w:rsid w:val="00687054"/>
    <w:rsid w:val="00687427"/>
    <w:rsid w:val="0068744D"/>
    <w:rsid w:val="00687473"/>
    <w:rsid w:val="00687714"/>
    <w:rsid w:val="00687A57"/>
    <w:rsid w:val="00687B71"/>
    <w:rsid w:val="00687B79"/>
    <w:rsid w:val="00687CD9"/>
    <w:rsid w:val="00687D83"/>
    <w:rsid w:val="00687D8D"/>
    <w:rsid w:val="00687DC7"/>
    <w:rsid w:val="00687F25"/>
    <w:rsid w:val="00690023"/>
    <w:rsid w:val="00690064"/>
    <w:rsid w:val="006900A1"/>
    <w:rsid w:val="0069026C"/>
    <w:rsid w:val="006903A1"/>
    <w:rsid w:val="006903ED"/>
    <w:rsid w:val="00690488"/>
    <w:rsid w:val="006904F7"/>
    <w:rsid w:val="00690732"/>
    <w:rsid w:val="0069078E"/>
    <w:rsid w:val="0069082A"/>
    <w:rsid w:val="00690CFE"/>
    <w:rsid w:val="00690EC4"/>
    <w:rsid w:val="00690F55"/>
    <w:rsid w:val="00690F77"/>
    <w:rsid w:val="00690FED"/>
    <w:rsid w:val="0069108C"/>
    <w:rsid w:val="006910F1"/>
    <w:rsid w:val="00691154"/>
    <w:rsid w:val="00691338"/>
    <w:rsid w:val="0069135A"/>
    <w:rsid w:val="0069146D"/>
    <w:rsid w:val="0069171E"/>
    <w:rsid w:val="0069176E"/>
    <w:rsid w:val="006917F1"/>
    <w:rsid w:val="00691AC6"/>
    <w:rsid w:val="00691B39"/>
    <w:rsid w:val="00691C16"/>
    <w:rsid w:val="00691ECA"/>
    <w:rsid w:val="00691FFC"/>
    <w:rsid w:val="00692419"/>
    <w:rsid w:val="006929B5"/>
    <w:rsid w:val="00692A4C"/>
    <w:rsid w:val="00692E8A"/>
    <w:rsid w:val="006930CB"/>
    <w:rsid w:val="006930F3"/>
    <w:rsid w:val="0069319B"/>
    <w:rsid w:val="006933B5"/>
    <w:rsid w:val="0069356A"/>
    <w:rsid w:val="0069375B"/>
    <w:rsid w:val="006937B0"/>
    <w:rsid w:val="00693B6C"/>
    <w:rsid w:val="00693C30"/>
    <w:rsid w:val="00693EA4"/>
    <w:rsid w:val="00693FD4"/>
    <w:rsid w:val="0069413E"/>
    <w:rsid w:val="00694260"/>
    <w:rsid w:val="00694471"/>
    <w:rsid w:val="00694588"/>
    <w:rsid w:val="006945DC"/>
    <w:rsid w:val="00694831"/>
    <w:rsid w:val="00694987"/>
    <w:rsid w:val="006949E6"/>
    <w:rsid w:val="00694A5C"/>
    <w:rsid w:val="00694ACB"/>
    <w:rsid w:val="00694B27"/>
    <w:rsid w:val="00694CF7"/>
    <w:rsid w:val="00694E99"/>
    <w:rsid w:val="00695103"/>
    <w:rsid w:val="006952A2"/>
    <w:rsid w:val="0069532F"/>
    <w:rsid w:val="00695366"/>
    <w:rsid w:val="006955DE"/>
    <w:rsid w:val="0069583B"/>
    <w:rsid w:val="00695A76"/>
    <w:rsid w:val="00695B7E"/>
    <w:rsid w:val="00695D83"/>
    <w:rsid w:val="00695E8D"/>
    <w:rsid w:val="00695F55"/>
    <w:rsid w:val="006960D8"/>
    <w:rsid w:val="006962BC"/>
    <w:rsid w:val="006968A7"/>
    <w:rsid w:val="00696C90"/>
    <w:rsid w:val="00696FA1"/>
    <w:rsid w:val="00696FA6"/>
    <w:rsid w:val="006970B4"/>
    <w:rsid w:val="00697441"/>
    <w:rsid w:val="00697445"/>
    <w:rsid w:val="006975F8"/>
    <w:rsid w:val="00697944"/>
    <w:rsid w:val="00697AA9"/>
    <w:rsid w:val="00697C54"/>
    <w:rsid w:val="00697DE8"/>
    <w:rsid w:val="00697F95"/>
    <w:rsid w:val="006A0096"/>
    <w:rsid w:val="006A0166"/>
    <w:rsid w:val="006A02DB"/>
    <w:rsid w:val="006A0476"/>
    <w:rsid w:val="006A0482"/>
    <w:rsid w:val="006A04E4"/>
    <w:rsid w:val="006A073F"/>
    <w:rsid w:val="006A09DD"/>
    <w:rsid w:val="006A0A89"/>
    <w:rsid w:val="006A0B76"/>
    <w:rsid w:val="006A0CFF"/>
    <w:rsid w:val="006A0D58"/>
    <w:rsid w:val="006A0E00"/>
    <w:rsid w:val="006A0E18"/>
    <w:rsid w:val="006A0F1C"/>
    <w:rsid w:val="006A11A4"/>
    <w:rsid w:val="006A12AD"/>
    <w:rsid w:val="006A12F5"/>
    <w:rsid w:val="006A136C"/>
    <w:rsid w:val="006A15DC"/>
    <w:rsid w:val="006A17C7"/>
    <w:rsid w:val="006A1824"/>
    <w:rsid w:val="006A18EE"/>
    <w:rsid w:val="006A1D87"/>
    <w:rsid w:val="006A1E52"/>
    <w:rsid w:val="006A20A9"/>
    <w:rsid w:val="006A2290"/>
    <w:rsid w:val="006A23A0"/>
    <w:rsid w:val="006A25E5"/>
    <w:rsid w:val="006A2904"/>
    <w:rsid w:val="006A2C78"/>
    <w:rsid w:val="006A2D9C"/>
    <w:rsid w:val="006A2F84"/>
    <w:rsid w:val="006A30C5"/>
    <w:rsid w:val="006A31D7"/>
    <w:rsid w:val="006A343F"/>
    <w:rsid w:val="006A353B"/>
    <w:rsid w:val="006A36C6"/>
    <w:rsid w:val="006A3827"/>
    <w:rsid w:val="006A39CF"/>
    <w:rsid w:val="006A3C23"/>
    <w:rsid w:val="006A3FF3"/>
    <w:rsid w:val="006A41F0"/>
    <w:rsid w:val="006A42DC"/>
    <w:rsid w:val="006A4384"/>
    <w:rsid w:val="006A4599"/>
    <w:rsid w:val="006A4669"/>
    <w:rsid w:val="006A496E"/>
    <w:rsid w:val="006A4970"/>
    <w:rsid w:val="006A4A70"/>
    <w:rsid w:val="006A4B80"/>
    <w:rsid w:val="006A4C2F"/>
    <w:rsid w:val="006A4CE2"/>
    <w:rsid w:val="006A4D19"/>
    <w:rsid w:val="006A4D1C"/>
    <w:rsid w:val="006A5049"/>
    <w:rsid w:val="006A56D7"/>
    <w:rsid w:val="006A56FC"/>
    <w:rsid w:val="006A5741"/>
    <w:rsid w:val="006A57C9"/>
    <w:rsid w:val="006A58CB"/>
    <w:rsid w:val="006A5B5D"/>
    <w:rsid w:val="006A5E7D"/>
    <w:rsid w:val="006A6250"/>
    <w:rsid w:val="006A64E2"/>
    <w:rsid w:val="006A660E"/>
    <w:rsid w:val="006A661F"/>
    <w:rsid w:val="006A6720"/>
    <w:rsid w:val="006A68A5"/>
    <w:rsid w:val="006A694E"/>
    <w:rsid w:val="006A6957"/>
    <w:rsid w:val="006A6A43"/>
    <w:rsid w:val="006A6DE2"/>
    <w:rsid w:val="006A7255"/>
    <w:rsid w:val="006A72F1"/>
    <w:rsid w:val="006A7433"/>
    <w:rsid w:val="006A77F1"/>
    <w:rsid w:val="006A7829"/>
    <w:rsid w:val="006A7854"/>
    <w:rsid w:val="006B0004"/>
    <w:rsid w:val="006B00A2"/>
    <w:rsid w:val="006B00AB"/>
    <w:rsid w:val="006B017A"/>
    <w:rsid w:val="006B03B1"/>
    <w:rsid w:val="006B056C"/>
    <w:rsid w:val="006B063A"/>
    <w:rsid w:val="006B07E2"/>
    <w:rsid w:val="006B0A95"/>
    <w:rsid w:val="006B0C77"/>
    <w:rsid w:val="006B1330"/>
    <w:rsid w:val="006B133B"/>
    <w:rsid w:val="006B1376"/>
    <w:rsid w:val="006B150C"/>
    <w:rsid w:val="006B1588"/>
    <w:rsid w:val="006B18E9"/>
    <w:rsid w:val="006B19BD"/>
    <w:rsid w:val="006B19DC"/>
    <w:rsid w:val="006B1A3E"/>
    <w:rsid w:val="006B1C08"/>
    <w:rsid w:val="006B1CDC"/>
    <w:rsid w:val="006B1DA7"/>
    <w:rsid w:val="006B1DB5"/>
    <w:rsid w:val="006B1E96"/>
    <w:rsid w:val="006B213E"/>
    <w:rsid w:val="006B2692"/>
    <w:rsid w:val="006B2704"/>
    <w:rsid w:val="006B27CA"/>
    <w:rsid w:val="006B287B"/>
    <w:rsid w:val="006B28F8"/>
    <w:rsid w:val="006B2956"/>
    <w:rsid w:val="006B2B17"/>
    <w:rsid w:val="006B2BA1"/>
    <w:rsid w:val="006B2BEC"/>
    <w:rsid w:val="006B2C41"/>
    <w:rsid w:val="006B2C8B"/>
    <w:rsid w:val="006B2DE5"/>
    <w:rsid w:val="006B30AB"/>
    <w:rsid w:val="006B30B5"/>
    <w:rsid w:val="006B3255"/>
    <w:rsid w:val="006B363D"/>
    <w:rsid w:val="006B367A"/>
    <w:rsid w:val="006B370D"/>
    <w:rsid w:val="006B382C"/>
    <w:rsid w:val="006B3BF8"/>
    <w:rsid w:val="006B3FD1"/>
    <w:rsid w:val="006B4065"/>
    <w:rsid w:val="006B4265"/>
    <w:rsid w:val="006B4312"/>
    <w:rsid w:val="006B437A"/>
    <w:rsid w:val="006B43B2"/>
    <w:rsid w:val="006B4AEA"/>
    <w:rsid w:val="006B4CC8"/>
    <w:rsid w:val="006B4E07"/>
    <w:rsid w:val="006B5498"/>
    <w:rsid w:val="006B5504"/>
    <w:rsid w:val="006B57B2"/>
    <w:rsid w:val="006B58E4"/>
    <w:rsid w:val="006B5A07"/>
    <w:rsid w:val="006B5C7C"/>
    <w:rsid w:val="006B6001"/>
    <w:rsid w:val="006B6135"/>
    <w:rsid w:val="006B6147"/>
    <w:rsid w:val="006B636B"/>
    <w:rsid w:val="006B6451"/>
    <w:rsid w:val="006B6748"/>
    <w:rsid w:val="006B682A"/>
    <w:rsid w:val="006B692B"/>
    <w:rsid w:val="006B6937"/>
    <w:rsid w:val="006B6CB9"/>
    <w:rsid w:val="006B6E18"/>
    <w:rsid w:val="006B6F18"/>
    <w:rsid w:val="006B7023"/>
    <w:rsid w:val="006B71C8"/>
    <w:rsid w:val="006B7364"/>
    <w:rsid w:val="006B748E"/>
    <w:rsid w:val="006B7564"/>
    <w:rsid w:val="006B78FF"/>
    <w:rsid w:val="006B798C"/>
    <w:rsid w:val="006B7A93"/>
    <w:rsid w:val="006B7CC5"/>
    <w:rsid w:val="006B7D01"/>
    <w:rsid w:val="006B7F0A"/>
    <w:rsid w:val="006B7FF7"/>
    <w:rsid w:val="006C019B"/>
    <w:rsid w:val="006C01CE"/>
    <w:rsid w:val="006C05EA"/>
    <w:rsid w:val="006C0856"/>
    <w:rsid w:val="006C094F"/>
    <w:rsid w:val="006C0C20"/>
    <w:rsid w:val="006C0E2A"/>
    <w:rsid w:val="006C0F1C"/>
    <w:rsid w:val="006C1173"/>
    <w:rsid w:val="006C12BA"/>
    <w:rsid w:val="006C13FA"/>
    <w:rsid w:val="006C146D"/>
    <w:rsid w:val="006C16D4"/>
    <w:rsid w:val="006C189A"/>
    <w:rsid w:val="006C1C31"/>
    <w:rsid w:val="006C1D60"/>
    <w:rsid w:val="006C1DF6"/>
    <w:rsid w:val="006C1F47"/>
    <w:rsid w:val="006C21BB"/>
    <w:rsid w:val="006C2247"/>
    <w:rsid w:val="006C2616"/>
    <w:rsid w:val="006C28B7"/>
    <w:rsid w:val="006C29BC"/>
    <w:rsid w:val="006C2AD7"/>
    <w:rsid w:val="006C2B89"/>
    <w:rsid w:val="006C2C55"/>
    <w:rsid w:val="006C2E07"/>
    <w:rsid w:val="006C2E7E"/>
    <w:rsid w:val="006C2EA4"/>
    <w:rsid w:val="006C2EC2"/>
    <w:rsid w:val="006C2ED1"/>
    <w:rsid w:val="006C3078"/>
    <w:rsid w:val="006C30EE"/>
    <w:rsid w:val="006C32B5"/>
    <w:rsid w:val="006C33BE"/>
    <w:rsid w:val="006C341F"/>
    <w:rsid w:val="006C348F"/>
    <w:rsid w:val="006C34E2"/>
    <w:rsid w:val="006C39E4"/>
    <w:rsid w:val="006C3B32"/>
    <w:rsid w:val="006C3B8F"/>
    <w:rsid w:val="006C3BB4"/>
    <w:rsid w:val="006C3D40"/>
    <w:rsid w:val="006C3D7A"/>
    <w:rsid w:val="006C3E79"/>
    <w:rsid w:val="006C4091"/>
    <w:rsid w:val="006C4106"/>
    <w:rsid w:val="006C4173"/>
    <w:rsid w:val="006C41B5"/>
    <w:rsid w:val="006C42A7"/>
    <w:rsid w:val="006C4637"/>
    <w:rsid w:val="006C47BC"/>
    <w:rsid w:val="006C47FC"/>
    <w:rsid w:val="006C499E"/>
    <w:rsid w:val="006C4BA7"/>
    <w:rsid w:val="006C4C85"/>
    <w:rsid w:val="006C4CE0"/>
    <w:rsid w:val="006C4E46"/>
    <w:rsid w:val="006C4E61"/>
    <w:rsid w:val="006C4EDF"/>
    <w:rsid w:val="006C4EEA"/>
    <w:rsid w:val="006C5121"/>
    <w:rsid w:val="006C51D4"/>
    <w:rsid w:val="006C521D"/>
    <w:rsid w:val="006C54E1"/>
    <w:rsid w:val="006C560F"/>
    <w:rsid w:val="006C5632"/>
    <w:rsid w:val="006C5855"/>
    <w:rsid w:val="006C5ACB"/>
    <w:rsid w:val="006C5C92"/>
    <w:rsid w:val="006C610B"/>
    <w:rsid w:val="006C613E"/>
    <w:rsid w:val="006C6357"/>
    <w:rsid w:val="006C648B"/>
    <w:rsid w:val="006C6653"/>
    <w:rsid w:val="006C6676"/>
    <w:rsid w:val="006C6682"/>
    <w:rsid w:val="006C6B38"/>
    <w:rsid w:val="006C6DBE"/>
    <w:rsid w:val="006C6E1A"/>
    <w:rsid w:val="006C6EAA"/>
    <w:rsid w:val="006C6FBB"/>
    <w:rsid w:val="006C7056"/>
    <w:rsid w:val="006C738A"/>
    <w:rsid w:val="006C74BF"/>
    <w:rsid w:val="006C74FF"/>
    <w:rsid w:val="006C768E"/>
    <w:rsid w:val="006C76A0"/>
    <w:rsid w:val="006C76FB"/>
    <w:rsid w:val="006C770D"/>
    <w:rsid w:val="006C7724"/>
    <w:rsid w:val="006C7733"/>
    <w:rsid w:val="006C7771"/>
    <w:rsid w:val="006C7988"/>
    <w:rsid w:val="006C79DD"/>
    <w:rsid w:val="006C7C17"/>
    <w:rsid w:val="006C7F4B"/>
    <w:rsid w:val="006D00C3"/>
    <w:rsid w:val="006D01B6"/>
    <w:rsid w:val="006D0281"/>
    <w:rsid w:val="006D06A0"/>
    <w:rsid w:val="006D06A3"/>
    <w:rsid w:val="006D0784"/>
    <w:rsid w:val="006D0A13"/>
    <w:rsid w:val="006D0C18"/>
    <w:rsid w:val="006D0D9A"/>
    <w:rsid w:val="006D0F41"/>
    <w:rsid w:val="006D1002"/>
    <w:rsid w:val="006D12A9"/>
    <w:rsid w:val="006D175A"/>
    <w:rsid w:val="006D17B0"/>
    <w:rsid w:val="006D1B05"/>
    <w:rsid w:val="006D1BA9"/>
    <w:rsid w:val="006D1BB5"/>
    <w:rsid w:val="006D1DCB"/>
    <w:rsid w:val="006D1F8C"/>
    <w:rsid w:val="006D214A"/>
    <w:rsid w:val="006D2174"/>
    <w:rsid w:val="006D2200"/>
    <w:rsid w:val="006D241F"/>
    <w:rsid w:val="006D24B4"/>
    <w:rsid w:val="006D2837"/>
    <w:rsid w:val="006D28B9"/>
    <w:rsid w:val="006D28D7"/>
    <w:rsid w:val="006D2911"/>
    <w:rsid w:val="006D2F64"/>
    <w:rsid w:val="006D3029"/>
    <w:rsid w:val="006D323A"/>
    <w:rsid w:val="006D32CC"/>
    <w:rsid w:val="006D3433"/>
    <w:rsid w:val="006D3517"/>
    <w:rsid w:val="006D3550"/>
    <w:rsid w:val="006D35D1"/>
    <w:rsid w:val="006D3663"/>
    <w:rsid w:val="006D38FF"/>
    <w:rsid w:val="006D393A"/>
    <w:rsid w:val="006D3C01"/>
    <w:rsid w:val="006D3CBE"/>
    <w:rsid w:val="006D3E92"/>
    <w:rsid w:val="006D4119"/>
    <w:rsid w:val="006D4153"/>
    <w:rsid w:val="006D4286"/>
    <w:rsid w:val="006D43DE"/>
    <w:rsid w:val="006D43E7"/>
    <w:rsid w:val="006D440D"/>
    <w:rsid w:val="006D451C"/>
    <w:rsid w:val="006D48B9"/>
    <w:rsid w:val="006D48CA"/>
    <w:rsid w:val="006D4DB1"/>
    <w:rsid w:val="006D4E14"/>
    <w:rsid w:val="006D4F64"/>
    <w:rsid w:val="006D5154"/>
    <w:rsid w:val="006D5313"/>
    <w:rsid w:val="006D555C"/>
    <w:rsid w:val="006D560E"/>
    <w:rsid w:val="006D5873"/>
    <w:rsid w:val="006D595C"/>
    <w:rsid w:val="006D5A82"/>
    <w:rsid w:val="006D5C78"/>
    <w:rsid w:val="006D5ED9"/>
    <w:rsid w:val="006D5EDD"/>
    <w:rsid w:val="006D60F1"/>
    <w:rsid w:val="006D6126"/>
    <w:rsid w:val="006D65BB"/>
    <w:rsid w:val="006D6612"/>
    <w:rsid w:val="006D663E"/>
    <w:rsid w:val="006D6666"/>
    <w:rsid w:val="006D69D0"/>
    <w:rsid w:val="006D6B98"/>
    <w:rsid w:val="006D6BC8"/>
    <w:rsid w:val="006D6D74"/>
    <w:rsid w:val="006D6ECB"/>
    <w:rsid w:val="006D6F5E"/>
    <w:rsid w:val="006D707F"/>
    <w:rsid w:val="006D7138"/>
    <w:rsid w:val="006D73A3"/>
    <w:rsid w:val="006D7496"/>
    <w:rsid w:val="006D74BC"/>
    <w:rsid w:val="006D7695"/>
    <w:rsid w:val="006D774E"/>
    <w:rsid w:val="006D77D5"/>
    <w:rsid w:val="006D799A"/>
    <w:rsid w:val="006D7C44"/>
    <w:rsid w:val="006D7C62"/>
    <w:rsid w:val="006D7CD0"/>
    <w:rsid w:val="006D7DBD"/>
    <w:rsid w:val="006D7ED8"/>
    <w:rsid w:val="006E006C"/>
    <w:rsid w:val="006E01DD"/>
    <w:rsid w:val="006E0369"/>
    <w:rsid w:val="006E04EF"/>
    <w:rsid w:val="006E0532"/>
    <w:rsid w:val="006E054E"/>
    <w:rsid w:val="006E08AC"/>
    <w:rsid w:val="006E092E"/>
    <w:rsid w:val="006E0998"/>
    <w:rsid w:val="006E0AF4"/>
    <w:rsid w:val="006E0D97"/>
    <w:rsid w:val="006E0E62"/>
    <w:rsid w:val="006E1195"/>
    <w:rsid w:val="006E11DC"/>
    <w:rsid w:val="006E17A8"/>
    <w:rsid w:val="006E1971"/>
    <w:rsid w:val="006E1E0B"/>
    <w:rsid w:val="006E1F06"/>
    <w:rsid w:val="006E212A"/>
    <w:rsid w:val="006E22DC"/>
    <w:rsid w:val="006E22FA"/>
    <w:rsid w:val="006E26A9"/>
    <w:rsid w:val="006E286F"/>
    <w:rsid w:val="006E29DC"/>
    <w:rsid w:val="006E2A0D"/>
    <w:rsid w:val="006E2A65"/>
    <w:rsid w:val="006E2B46"/>
    <w:rsid w:val="006E2BAF"/>
    <w:rsid w:val="006E2FD3"/>
    <w:rsid w:val="006E30E1"/>
    <w:rsid w:val="006E363B"/>
    <w:rsid w:val="006E3948"/>
    <w:rsid w:val="006E398D"/>
    <w:rsid w:val="006E399E"/>
    <w:rsid w:val="006E3D27"/>
    <w:rsid w:val="006E3E7F"/>
    <w:rsid w:val="006E3FBE"/>
    <w:rsid w:val="006E40A4"/>
    <w:rsid w:val="006E436E"/>
    <w:rsid w:val="006E4831"/>
    <w:rsid w:val="006E4BF0"/>
    <w:rsid w:val="006E4C00"/>
    <w:rsid w:val="006E4E09"/>
    <w:rsid w:val="006E50D6"/>
    <w:rsid w:val="006E51FE"/>
    <w:rsid w:val="006E52A1"/>
    <w:rsid w:val="006E5792"/>
    <w:rsid w:val="006E5793"/>
    <w:rsid w:val="006E57A0"/>
    <w:rsid w:val="006E57F3"/>
    <w:rsid w:val="006E5C67"/>
    <w:rsid w:val="006E5D92"/>
    <w:rsid w:val="006E5E27"/>
    <w:rsid w:val="006E5F53"/>
    <w:rsid w:val="006E625D"/>
    <w:rsid w:val="006E632D"/>
    <w:rsid w:val="006E64DC"/>
    <w:rsid w:val="006E66A8"/>
    <w:rsid w:val="006E673D"/>
    <w:rsid w:val="006E6916"/>
    <w:rsid w:val="006E6B6F"/>
    <w:rsid w:val="006E7195"/>
    <w:rsid w:val="006E720B"/>
    <w:rsid w:val="006E738D"/>
    <w:rsid w:val="006E74BB"/>
    <w:rsid w:val="006E75BE"/>
    <w:rsid w:val="006E76CE"/>
    <w:rsid w:val="006E7786"/>
    <w:rsid w:val="006E78CB"/>
    <w:rsid w:val="006E78D7"/>
    <w:rsid w:val="006E7A34"/>
    <w:rsid w:val="006E7ACA"/>
    <w:rsid w:val="006E7CC6"/>
    <w:rsid w:val="006E7F43"/>
    <w:rsid w:val="006F0170"/>
    <w:rsid w:val="006F0194"/>
    <w:rsid w:val="006F02C0"/>
    <w:rsid w:val="006F05E8"/>
    <w:rsid w:val="006F07E2"/>
    <w:rsid w:val="006F0F62"/>
    <w:rsid w:val="006F11CC"/>
    <w:rsid w:val="006F1200"/>
    <w:rsid w:val="006F12BD"/>
    <w:rsid w:val="006F13C4"/>
    <w:rsid w:val="006F15AC"/>
    <w:rsid w:val="006F1642"/>
    <w:rsid w:val="006F16AD"/>
    <w:rsid w:val="006F1701"/>
    <w:rsid w:val="006F170D"/>
    <w:rsid w:val="006F19ED"/>
    <w:rsid w:val="006F1D10"/>
    <w:rsid w:val="006F1D1F"/>
    <w:rsid w:val="006F200E"/>
    <w:rsid w:val="006F205D"/>
    <w:rsid w:val="006F23BD"/>
    <w:rsid w:val="006F2490"/>
    <w:rsid w:val="006F2791"/>
    <w:rsid w:val="006F2832"/>
    <w:rsid w:val="006F2855"/>
    <w:rsid w:val="006F2985"/>
    <w:rsid w:val="006F2A13"/>
    <w:rsid w:val="006F2F31"/>
    <w:rsid w:val="006F308E"/>
    <w:rsid w:val="006F31EC"/>
    <w:rsid w:val="006F34B9"/>
    <w:rsid w:val="006F3542"/>
    <w:rsid w:val="006F3BC9"/>
    <w:rsid w:val="006F3CA8"/>
    <w:rsid w:val="006F3F88"/>
    <w:rsid w:val="006F4206"/>
    <w:rsid w:val="006F4434"/>
    <w:rsid w:val="006F469F"/>
    <w:rsid w:val="006F46A6"/>
    <w:rsid w:val="006F47E3"/>
    <w:rsid w:val="006F48F9"/>
    <w:rsid w:val="006F4AD6"/>
    <w:rsid w:val="006F4B2C"/>
    <w:rsid w:val="006F521B"/>
    <w:rsid w:val="006F55C4"/>
    <w:rsid w:val="006F5730"/>
    <w:rsid w:val="006F5746"/>
    <w:rsid w:val="006F5856"/>
    <w:rsid w:val="006F5972"/>
    <w:rsid w:val="006F5BC9"/>
    <w:rsid w:val="006F5F5D"/>
    <w:rsid w:val="006F5F6D"/>
    <w:rsid w:val="006F5FFB"/>
    <w:rsid w:val="006F6127"/>
    <w:rsid w:val="006F633A"/>
    <w:rsid w:val="006F6584"/>
    <w:rsid w:val="006F6606"/>
    <w:rsid w:val="006F6994"/>
    <w:rsid w:val="006F6BDE"/>
    <w:rsid w:val="006F6F76"/>
    <w:rsid w:val="006F7094"/>
    <w:rsid w:val="006F72D6"/>
    <w:rsid w:val="006F7468"/>
    <w:rsid w:val="006F750F"/>
    <w:rsid w:val="006F7527"/>
    <w:rsid w:val="006F753C"/>
    <w:rsid w:val="006F76BB"/>
    <w:rsid w:val="006F777D"/>
    <w:rsid w:val="006F780F"/>
    <w:rsid w:val="006F78CD"/>
    <w:rsid w:val="006F78EE"/>
    <w:rsid w:val="006F7927"/>
    <w:rsid w:val="006F794F"/>
    <w:rsid w:val="006F7DB4"/>
    <w:rsid w:val="006F7E3E"/>
    <w:rsid w:val="006F7F69"/>
    <w:rsid w:val="006F7FBB"/>
    <w:rsid w:val="00700737"/>
    <w:rsid w:val="00700794"/>
    <w:rsid w:val="00700952"/>
    <w:rsid w:val="007009D8"/>
    <w:rsid w:val="00700C7E"/>
    <w:rsid w:val="00700CB9"/>
    <w:rsid w:val="00700E02"/>
    <w:rsid w:val="00700F20"/>
    <w:rsid w:val="00700F78"/>
    <w:rsid w:val="00700F7E"/>
    <w:rsid w:val="00701041"/>
    <w:rsid w:val="00701162"/>
    <w:rsid w:val="00701176"/>
    <w:rsid w:val="007013E7"/>
    <w:rsid w:val="00701681"/>
    <w:rsid w:val="0070173E"/>
    <w:rsid w:val="00701843"/>
    <w:rsid w:val="00701A03"/>
    <w:rsid w:val="00701A54"/>
    <w:rsid w:val="00701D06"/>
    <w:rsid w:val="00701D8F"/>
    <w:rsid w:val="00701F9C"/>
    <w:rsid w:val="007026EF"/>
    <w:rsid w:val="007028C0"/>
    <w:rsid w:val="00702934"/>
    <w:rsid w:val="00702A57"/>
    <w:rsid w:val="00702A69"/>
    <w:rsid w:val="00702AA6"/>
    <w:rsid w:val="00702BA6"/>
    <w:rsid w:val="00702D41"/>
    <w:rsid w:val="00702DB2"/>
    <w:rsid w:val="00702E21"/>
    <w:rsid w:val="00702E56"/>
    <w:rsid w:val="00702FB4"/>
    <w:rsid w:val="007030EF"/>
    <w:rsid w:val="00703266"/>
    <w:rsid w:val="007032AC"/>
    <w:rsid w:val="0070331A"/>
    <w:rsid w:val="00703512"/>
    <w:rsid w:val="007036AF"/>
    <w:rsid w:val="00703876"/>
    <w:rsid w:val="00703CC2"/>
    <w:rsid w:val="00703CFE"/>
    <w:rsid w:val="00703EB8"/>
    <w:rsid w:val="00703FAF"/>
    <w:rsid w:val="007040B6"/>
    <w:rsid w:val="00704277"/>
    <w:rsid w:val="007042BE"/>
    <w:rsid w:val="007043C2"/>
    <w:rsid w:val="007043D9"/>
    <w:rsid w:val="00704400"/>
    <w:rsid w:val="00704672"/>
    <w:rsid w:val="0070480A"/>
    <w:rsid w:val="007048CD"/>
    <w:rsid w:val="00704EE0"/>
    <w:rsid w:val="00704EE4"/>
    <w:rsid w:val="007054AE"/>
    <w:rsid w:val="00705ABC"/>
    <w:rsid w:val="00705B3B"/>
    <w:rsid w:val="00705C0D"/>
    <w:rsid w:val="00705CBC"/>
    <w:rsid w:val="00705D06"/>
    <w:rsid w:val="00705D7C"/>
    <w:rsid w:val="00706205"/>
    <w:rsid w:val="00706259"/>
    <w:rsid w:val="0070625B"/>
    <w:rsid w:val="007062DC"/>
    <w:rsid w:val="00706428"/>
    <w:rsid w:val="007067E1"/>
    <w:rsid w:val="007069F5"/>
    <w:rsid w:val="00706B0D"/>
    <w:rsid w:val="00706C53"/>
    <w:rsid w:val="00706C7B"/>
    <w:rsid w:val="00706D73"/>
    <w:rsid w:val="00706D75"/>
    <w:rsid w:val="00706DF5"/>
    <w:rsid w:val="007070F1"/>
    <w:rsid w:val="0070722E"/>
    <w:rsid w:val="00707277"/>
    <w:rsid w:val="0070729E"/>
    <w:rsid w:val="0070734C"/>
    <w:rsid w:val="00707507"/>
    <w:rsid w:val="00707A33"/>
    <w:rsid w:val="00707B36"/>
    <w:rsid w:val="00707BEE"/>
    <w:rsid w:val="007105EA"/>
    <w:rsid w:val="007106D1"/>
    <w:rsid w:val="00710954"/>
    <w:rsid w:val="00710D3B"/>
    <w:rsid w:val="00710D5B"/>
    <w:rsid w:val="00710DCF"/>
    <w:rsid w:val="00710DEF"/>
    <w:rsid w:val="00710E88"/>
    <w:rsid w:val="00711007"/>
    <w:rsid w:val="007111FB"/>
    <w:rsid w:val="007113ED"/>
    <w:rsid w:val="0071140B"/>
    <w:rsid w:val="007114A2"/>
    <w:rsid w:val="00711535"/>
    <w:rsid w:val="00711670"/>
    <w:rsid w:val="00711681"/>
    <w:rsid w:val="0071186B"/>
    <w:rsid w:val="00711910"/>
    <w:rsid w:val="00711A01"/>
    <w:rsid w:val="00711CFF"/>
    <w:rsid w:val="00711EA6"/>
    <w:rsid w:val="00712065"/>
    <w:rsid w:val="007120C0"/>
    <w:rsid w:val="0071245F"/>
    <w:rsid w:val="007129B8"/>
    <w:rsid w:val="00712A86"/>
    <w:rsid w:val="00712CA5"/>
    <w:rsid w:val="00712DEB"/>
    <w:rsid w:val="00712E94"/>
    <w:rsid w:val="0071338B"/>
    <w:rsid w:val="007134B6"/>
    <w:rsid w:val="0071374C"/>
    <w:rsid w:val="007138B8"/>
    <w:rsid w:val="0071394E"/>
    <w:rsid w:val="007139AF"/>
    <w:rsid w:val="00713A23"/>
    <w:rsid w:val="00713AC6"/>
    <w:rsid w:val="00713B05"/>
    <w:rsid w:val="00713BE9"/>
    <w:rsid w:val="00713C49"/>
    <w:rsid w:val="00713C63"/>
    <w:rsid w:val="00713D05"/>
    <w:rsid w:val="00713DA8"/>
    <w:rsid w:val="00713DBA"/>
    <w:rsid w:val="00713F57"/>
    <w:rsid w:val="0071413E"/>
    <w:rsid w:val="00714308"/>
    <w:rsid w:val="00714332"/>
    <w:rsid w:val="007144ED"/>
    <w:rsid w:val="00714732"/>
    <w:rsid w:val="007148BE"/>
    <w:rsid w:val="0071497E"/>
    <w:rsid w:val="007149D2"/>
    <w:rsid w:val="00714AC0"/>
    <w:rsid w:val="00714C2A"/>
    <w:rsid w:val="00714CDD"/>
    <w:rsid w:val="007154C1"/>
    <w:rsid w:val="0071553A"/>
    <w:rsid w:val="00715F73"/>
    <w:rsid w:val="00715FCD"/>
    <w:rsid w:val="00716036"/>
    <w:rsid w:val="007160AC"/>
    <w:rsid w:val="007160E6"/>
    <w:rsid w:val="00716119"/>
    <w:rsid w:val="00716395"/>
    <w:rsid w:val="007164CC"/>
    <w:rsid w:val="007165F6"/>
    <w:rsid w:val="00716606"/>
    <w:rsid w:val="0071683E"/>
    <w:rsid w:val="00716868"/>
    <w:rsid w:val="0071686C"/>
    <w:rsid w:val="00716A53"/>
    <w:rsid w:val="00716B24"/>
    <w:rsid w:val="00716BCF"/>
    <w:rsid w:val="00716D56"/>
    <w:rsid w:val="00716FF5"/>
    <w:rsid w:val="007171BF"/>
    <w:rsid w:val="00717259"/>
    <w:rsid w:val="00717307"/>
    <w:rsid w:val="007173C2"/>
    <w:rsid w:val="0071742E"/>
    <w:rsid w:val="00717611"/>
    <w:rsid w:val="007176F0"/>
    <w:rsid w:val="00717965"/>
    <w:rsid w:val="00717A36"/>
    <w:rsid w:val="00717D8C"/>
    <w:rsid w:val="00717EC9"/>
    <w:rsid w:val="00720002"/>
    <w:rsid w:val="007200E7"/>
    <w:rsid w:val="00720105"/>
    <w:rsid w:val="00720168"/>
    <w:rsid w:val="0072028C"/>
    <w:rsid w:val="00720293"/>
    <w:rsid w:val="00720409"/>
    <w:rsid w:val="007207BD"/>
    <w:rsid w:val="007209E8"/>
    <w:rsid w:val="00720D54"/>
    <w:rsid w:val="00721072"/>
    <w:rsid w:val="00721293"/>
    <w:rsid w:val="00721572"/>
    <w:rsid w:val="00721801"/>
    <w:rsid w:val="00721B2B"/>
    <w:rsid w:val="00721B35"/>
    <w:rsid w:val="00721D41"/>
    <w:rsid w:val="00721DF0"/>
    <w:rsid w:val="00721E1D"/>
    <w:rsid w:val="00722152"/>
    <w:rsid w:val="007221E5"/>
    <w:rsid w:val="007222C3"/>
    <w:rsid w:val="00722454"/>
    <w:rsid w:val="00722C82"/>
    <w:rsid w:val="00722DA3"/>
    <w:rsid w:val="00722E1A"/>
    <w:rsid w:val="00722F02"/>
    <w:rsid w:val="00722FC6"/>
    <w:rsid w:val="00722FDB"/>
    <w:rsid w:val="007231C2"/>
    <w:rsid w:val="007232D6"/>
    <w:rsid w:val="007236D0"/>
    <w:rsid w:val="007236F4"/>
    <w:rsid w:val="0072389D"/>
    <w:rsid w:val="00723952"/>
    <w:rsid w:val="00723D82"/>
    <w:rsid w:val="00723E64"/>
    <w:rsid w:val="00723F70"/>
    <w:rsid w:val="00723F9A"/>
    <w:rsid w:val="007240AF"/>
    <w:rsid w:val="007240F9"/>
    <w:rsid w:val="0072421B"/>
    <w:rsid w:val="00724230"/>
    <w:rsid w:val="0072435F"/>
    <w:rsid w:val="0072439D"/>
    <w:rsid w:val="00724481"/>
    <w:rsid w:val="007249E3"/>
    <w:rsid w:val="00724D24"/>
    <w:rsid w:val="00724EB5"/>
    <w:rsid w:val="00725024"/>
    <w:rsid w:val="00725133"/>
    <w:rsid w:val="007251C0"/>
    <w:rsid w:val="007252E1"/>
    <w:rsid w:val="00725390"/>
    <w:rsid w:val="00725457"/>
    <w:rsid w:val="00725B47"/>
    <w:rsid w:val="00725E90"/>
    <w:rsid w:val="007260C1"/>
    <w:rsid w:val="0072624D"/>
    <w:rsid w:val="007263A3"/>
    <w:rsid w:val="00726A67"/>
    <w:rsid w:val="00726B0D"/>
    <w:rsid w:val="007270DF"/>
    <w:rsid w:val="007270EF"/>
    <w:rsid w:val="00727107"/>
    <w:rsid w:val="00727116"/>
    <w:rsid w:val="0072720D"/>
    <w:rsid w:val="007273E3"/>
    <w:rsid w:val="00727643"/>
    <w:rsid w:val="00727792"/>
    <w:rsid w:val="007278AE"/>
    <w:rsid w:val="007278BA"/>
    <w:rsid w:val="007278C4"/>
    <w:rsid w:val="007278F5"/>
    <w:rsid w:val="00727BFC"/>
    <w:rsid w:val="00727C29"/>
    <w:rsid w:val="00727D30"/>
    <w:rsid w:val="00727EDC"/>
    <w:rsid w:val="00727FC1"/>
    <w:rsid w:val="00727FDA"/>
    <w:rsid w:val="00727FF4"/>
    <w:rsid w:val="007303A7"/>
    <w:rsid w:val="007304C8"/>
    <w:rsid w:val="00730607"/>
    <w:rsid w:val="00730802"/>
    <w:rsid w:val="00730854"/>
    <w:rsid w:val="007309B3"/>
    <w:rsid w:val="00730DB0"/>
    <w:rsid w:val="00730E25"/>
    <w:rsid w:val="00730FCA"/>
    <w:rsid w:val="00730FD2"/>
    <w:rsid w:val="007311FF"/>
    <w:rsid w:val="007313FB"/>
    <w:rsid w:val="00731409"/>
    <w:rsid w:val="007315BE"/>
    <w:rsid w:val="007319F4"/>
    <w:rsid w:val="00731E0F"/>
    <w:rsid w:val="00731F09"/>
    <w:rsid w:val="00731F2B"/>
    <w:rsid w:val="00731FA1"/>
    <w:rsid w:val="0073254E"/>
    <w:rsid w:val="007327E0"/>
    <w:rsid w:val="00732A21"/>
    <w:rsid w:val="00732B70"/>
    <w:rsid w:val="00732BFF"/>
    <w:rsid w:val="00732CE7"/>
    <w:rsid w:val="00732D17"/>
    <w:rsid w:val="00732DFA"/>
    <w:rsid w:val="00732EA8"/>
    <w:rsid w:val="00732FFB"/>
    <w:rsid w:val="007331F5"/>
    <w:rsid w:val="00733419"/>
    <w:rsid w:val="00733437"/>
    <w:rsid w:val="00733540"/>
    <w:rsid w:val="00733889"/>
    <w:rsid w:val="00733A13"/>
    <w:rsid w:val="00733C9B"/>
    <w:rsid w:val="00733CAE"/>
    <w:rsid w:val="00733F85"/>
    <w:rsid w:val="0073439A"/>
    <w:rsid w:val="00734B08"/>
    <w:rsid w:val="00734BC6"/>
    <w:rsid w:val="00734C1D"/>
    <w:rsid w:val="00734DB9"/>
    <w:rsid w:val="00734EF7"/>
    <w:rsid w:val="00734F75"/>
    <w:rsid w:val="00734F99"/>
    <w:rsid w:val="007351BF"/>
    <w:rsid w:val="00735504"/>
    <w:rsid w:val="007355CC"/>
    <w:rsid w:val="007357FC"/>
    <w:rsid w:val="0073588C"/>
    <w:rsid w:val="007358E1"/>
    <w:rsid w:val="00735930"/>
    <w:rsid w:val="0073598B"/>
    <w:rsid w:val="00735A3F"/>
    <w:rsid w:val="00735D34"/>
    <w:rsid w:val="00735DD0"/>
    <w:rsid w:val="0073606C"/>
    <w:rsid w:val="007361A7"/>
    <w:rsid w:val="007361DB"/>
    <w:rsid w:val="00736279"/>
    <w:rsid w:val="00736289"/>
    <w:rsid w:val="00736610"/>
    <w:rsid w:val="00736CBA"/>
    <w:rsid w:val="00736DAC"/>
    <w:rsid w:val="00736DAE"/>
    <w:rsid w:val="0073730D"/>
    <w:rsid w:val="0073731C"/>
    <w:rsid w:val="00737338"/>
    <w:rsid w:val="007373CA"/>
    <w:rsid w:val="007373E7"/>
    <w:rsid w:val="00737725"/>
    <w:rsid w:val="00737AF8"/>
    <w:rsid w:val="00737B5A"/>
    <w:rsid w:val="00740010"/>
    <w:rsid w:val="00740042"/>
    <w:rsid w:val="0074017A"/>
    <w:rsid w:val="007404B9"/>
    <w:rsid w:val="00740684"/>
    <w:rsid w:val="007406AD"/>
    <w:rsid w:val="00740A34"/>
    <w:rsid w:val="00740A52"/>
    <w:rsid w:val="00740AAF"/>
    <w:rsid w:val="00740B74"/>
    <w:rsid w:val="00740C08"/>
    <w:rsid w:val="0074114B"/>
    <w:rsid w:val="007412FE"/>
    <w:rsid w:val="007414CD"/>
    <w:rsid w:val="007415C8"/>
    <w:rsid w:val="00741667"/>
    <w:rsid w:val="00741762"/>
    <w:rsid w:val="00741827"/>
    <w:rsid w:val="00741903"/>
    <w:rsid w:val="00741A73"/>
    <w:rsid w:val="00741B35"/>
    <w:rsid w:val="00741B64"/>
    <w:rsid w:val="00741C17"/>
    <w:rsid w:val="00741CCF"/>
    <w:rsid w:val="00741D6F"/>
    <w:rsid w:val="00741E2D"/>
    <w:rsid w:val="00742079"/>
    <w:rsid w:val="0074219C"/>
    <w:rsid w:val="007422C6"/>
    <w:rsid w:val="00742645"/>
    <w:rsid w:val="007427F2"/>
    <w:rsid w:val="00742C59"/>
    <w:rsid w:val="00743105"/>
    <w:rsid w:val="0074316C"/>
    <w:rsid w:val="0074333F"/>
    <w:rsid w:val="007435CA"/>
    <w:rsid w:val="00743BD3"/>
    <w:rsid w:val="00743CBE"/>
    <w:rsid w:val="0074414B"/>
    <w:rsid w:val="00744343"/>
    <w:rsid w:val="007443D4"/>
    <w:rsid w:val="0074444A"/>
    <w:rsid w:val="00744669"/>
    <w:rsid w:val="0074492B"/>
    <w:rsid w:val="007449CE"/>
    <w:rsid w:val="00744C0A"/>
    <w:rsid w:val="00744CDD"/>
    <w:rsid w:val="00744E2D"/>
    <w:rsid w:val="00744EB8"/>
    <w:rsid w:val="00744F03"/>
    <w:rsid w:val="007450FC"/>
    <w:rsid w:val="007451C1"/>
    <w:rsid w:val="0074538C"/>
    <w:rsid w:val="007454F8"/>
    <w:rsid w:val="007456C4"/>
    <w:rsid w:val="007457AB"/>
    <w:rsid w:val="00745813"/>
    <w:rsid w:val="0074583A"/>
    <w:rsid w:val="00745A28"/>
    <w:rsid w:val="00745A70"/>
    <w:rsid w:val="00745B8D"/>
    <w:rsid w:val="00745D40"/>
    <w:rsid w:val="00745D5F"/>
    <w:rsid w:val="00746A1E"/>
    <w:rsid w:val="00746A89"/>
    <w:rsid w:val="00746AA2"/>
    <w:rsid w:val="00746AB7"/>
    <w:rsid w:val="00746B4A"/>
    <w:rsid w:val="00746B70"/>
    <w:rsid w:val="00747324"/>
    <w:rsid w:val="00747542"/>
    <w:rsid w:val="00747616"/>
    <w:rsid w:val="00747633"/>
    <w:rsid w:val="00747638"/>
    <w:rsid w:val="007476D9"/>
    <w:rsid w:val="00747AEB"/>
    <w:rsid w:val="00747B32"/>
    <w:rsid w:val="00747B45"/>
    <w:rsid w:val="00747E0F"/>
    <w:rsid w:val="00750593"/>
    <w:rsid w:val="0075068A"/>
    <w:rsid w:val="007506F6"/>
    <w:rsid w:val="00750ACD"/>
    <w:rsid w:val="00750B4D"/>
    <w:rsid w:val="00750BFD"/>
    <w:rsid w:val="00750CF7"/>
    <w:rsid w:val="0075117C"/>
    <w:rsid w:val="0075131C"/>
    <w:rsid w:val="00751453"/>
    <w:rsid w:val="0075146E"/>
    <w:rsid w:val="00751525"/>
    <w:rsid w:val="0075161E"/>
    <w:rsid w:val="00751713"/>
    <w:rsid w:val="007517FF"/>
    <w:rsid w:val="007519CD"/>
    <w:rsid w:val="00751AF3"/>
    <w:rsid w:val="00751B1D"/>
    <w:rsid w:val="00751B20"/>
    <w:rsid w:val="00751BE1"/>
    <w:rsid w:val="00751C63"/>
    <w:rsid w:val="00751CF6"/>
    <w:rsid w:val="00751DC8"/>
    <w:rsid w:val="007521F6"/>
    <w:rsid w:val="007522EE"/>
    <w:rsid w:val="00752449"/>
    <w:rsid w:val="00752469"/>
    <w:rsid w:val="0075258E"/>
    <w:rsid w:val="00752987"/>
    <w:rsid w:val="00752990"/>
    <w:rsid w:val="007529AD"/>
    <w:rsid w:val="00752CFA"/>
    <w:rsid w:val="00753784"/>
    <w:rsid w:val="00753CD0"/>
    <w:rsid w:val="00753D38"/>
    <w:rsid w:val="00753D92"/>
    <w:rsid w:val="00753E9F"/>
    <w:rsid w:val="00753EE4"/>
    <w:rsid w:val="0075402B"/>
    <w:rsid w:val="00754321"/>
    <w:rsid w:val="00754393"/>
    <w:rsid w:val="007547F0"/>
    <w:rsid w:val="00754A20"/>
    <w:rsid w:val="00754A26"/>
    <w:rsid w:val="00754D4F"/>
    <w:rsid w:val="00754F94"/>
    <w:rsid w:val="00755240"/>
    <w:rsid w:val="00755280"/>
    <w:rsid w:val="007552C9"/>
    <w:rsid w:val="007552D2"/>
    <w:rsid w:val="007553C4"/>
    <w:rsid w:val="00755AE7"/>
    <w:rsid w:val="00755B7E"/>
    <w:rsid w:val="00755BF4"/>
    <w:rsid w:val="00755C53"/>
    <w:rsid w:val="00755DC3"/>
    <w:rsid w:val="00755E3C"/>
    <w:rsid w:val="00755E78"/>
    <w:rsid w:val="0075600E"/>
    <w:rsid w:val="007561B1"/>
    <w:rsid w:val="007563E5"/>
    <w:rsid w:val="0075664F"/>
    <w:rsid w:val="007567DB"/>
    <w:rsid w:val="007567FF"/>
    <w:rsid w:val="007568A4"/>
    <w:rsid w:val="00756A31"/>
    <w:rsid w:val="00756E36"/>
    <w:rsid w:val="0075704D"/>
    <w:rsid w:val="0075730C"/>
    <w:rsid w:val="007575F1"/>
    <w:rsid w:val="00757623"/>
    <w:rsid w:val="00757797"/>
    <w:rsid w:val="007578B6"/>
    <w:rsid w:val="0075796A"/>
    <w:rsid w:val="00757A0C"/>
    <w:rsid w:val="00757B86"/>
    <w:rsid w:val="00757C40"/>
    <w:rsid w:val="007600D1"/>
    <w:rsid w:val="007601D8"/>
    <w:rsid w:val="0076024C"/>
    <w:rsid w:val="00760406"/>
    <w:rsid w:val="00760425"/>
    <w:rsid w:val="00760426"/>
    <w:rsid w:val="0076055E"/>
    <w:rsid w:val="0076073D"/>
    <w:rsid w:val="00760A8B"/>
    <w:rsid w:val="00760AFA"/>
    <w:rsid w:val="00760D23"/>
    <w:rsid w:val="00760E4D"/>
    <w:rsid w:val="00760E93"/>
    <w:rsid w:val="00760E9B"/>
    <w:rsid w:val="00761053"/>
    <w:rsid w:val="007610B7"/>
    <w:rsid w:val="007612CC"/>
    <w:rsid w:val="0076131C"/>
    <w:rsid w:val="00761350"/>
    <w:rsid w:val="00761461"/>
    <w:rsid w:val="00761655"/>
    <w:rsid w:val="00761847"/>
    <w:rsid w:val="00761902"/>
    <w:rsid w:val="007619BD"/>
    <w:rsid w:val="00761AEE"/>
    <w:rsid w:val="00761B97"/>
    <w:rsid w:val="00761CE5"/>
    <w:rsid w:val="00762094"/>
    <w:rsid w:val="00762343"/>
    <w:rsid w:val="0076239D"/>
    <w:rsid w:val="007623DA"/>
    <w:rsid w:val="007626FB"/>
    <w:rsid w:val="007628E5"/>
    <w:rsid w:val="00762934"/>
    <w:rsid w:val="00762984"/>
    <w:rsid w:val="00762CAC"/>
    <w:rsid w:val="00762D67"/>
    <w:rsid w:val="00762D96"/>
    <w:rsid w:val="00762E98"/>
    <w:rsid w:val="007631C1"/>
    <w:rsid w:val="007632F7"/>
    <w:rsid w:val="007635F9"/>
    <w:rsid w:val="00763771"/>
    <w:rsid w:val="00763AEE"/>
    <w:rsid w:val="00763B0A"/>
    <w:rsid w:val="00763C73"/>
    <w:rsid w:val="00763F12"/>
    <w:rsid w:val="00764109"/>
    <w:rsid w:val="00764438"/>
    <w:rsid w:val="007644CA"/>
    <w:rsid w:val="007646EF"/>
    <w:rsid w:val="00764915"/>
    <w:rsid w:val="00764DA3"/>
    <w:rsid w:val="00764DB4"/>
    <w:rsid w:val="007650B3"/>
    <w:rsid w:val="00765206"/>
    <w:rsid w:val="00765563"/>
    <w:rsid w:val="00765694"/>
    <w:rsid w:val="007656DD"/>
    <w:rsid w:val="00765A8F"/>
    <w:rsid w:val="00765E4B"/>
    <w:rsid w:val="00765EF9"/>
    <w:rsid w:val="00766060"/>
    <w:rsid w:val="007660B0"/>
    <w:rsid w:val="00766423"/>
    <w:rsid w:val="00766646"/>
    <w:rsid w:val="00766712"/>
    <w:rsid w:val="0076682C"/>
    <w:rsid w:val="00766D46"/>
    <w:rsid w:val="00766D61"/>
    <w:rsid w:val="0076750E"/>
    <w:rsid w:val="007675E0"/>
    <w:rsid w:val="00767ACF"/>
    <w:rsid w:val="00767AE9"/>
    <w:rsid w:val="00767C9B"/>
    <w:rsid w:val="00767DD2"/>
    <w:rsid w:val="007701DC"/>
    <w:rsid w:val="00770395"/>
    <w:rsid w:val="007704DA"/>
    <w:rsid w:val="0077052E"/>
    <w:rsid w:val="007709B7"/>
    <w:rsid w:val="00770A78"/>
    <w:rsid w:val="00770BAD"/>
    <w:rsid w:val="00770DC2"/>
    <w:rsid w:val="0077100E"/>
    <w:rsid w:val="007715F1"/>
    <w:rsid w:val="007717CE"/>
    <w:rsid w:val="0077197A"/>
    <w:rsid w:val="00771C14"/>
    <w:rsid w:val="00771C83"/>
    <w:rsid w:val="00771F16"/>
    <w:rsid w:val="0077226D"/>
    <w:rsid w:val="007725A4"/>
    <w:rsid w:val="0077265B"/>
    <w:rsid w:val="00772746"/>
    <w:rsid w:val="007728CB"/>
    <w:rsid w:val="007728D6"/>
    <w:rsid w:val="00772B9A"/>
    <w:rsid w:val="00772D97"/>
    <w:rsid w:val="00773015"/>
    <w:rsid w:val="0077332E"/>
    <w:rsid w:val="0077348A"/>
    <w:rsid w:val="00773554"/>
    <w:rsid w:val="00773577"/>
    <w:rsid w:val="007735C2"/>
    <w:rsid w:val="0077372A"/>
    <w:rsid w:val="007737D1"/>
    <w:rsid w:val="00773A1A"/>
    <w:rsid w:val="00773E60"/>
    <w:rsid w:val="00773E9D"/>
    <w:rsid w:val="00773ECD"/>
    <w:rsid w:val="00774220"/>
    <w:rsid w:val="00774547"/>
    <w:rsid w:val="007746E9"/>
    <w:rsid w:val="007748F9"/>
    <w:rsid w:val="00774BBE"/>
    <w:rsid w:val="00774BF4"/>
    <w:rsid w:val="0077515F"/>
    <w:rsid w:val="007751A6"/>
    <w:rsid w:val="00775598"/>
    <w:rsid w:val="007757DC"/>
    <w:rsid w:val="00775A6F"/>
    <w:rsid w:val="00775BD2"/>
    <w:rsid w:val="00775C1C"/>
    <w:rsid w:val="00776112"/>
    <w:rsid w:val="00776522"/>
    <w:rsid w:val="0077652B"/>
    <w:rsid w:val="007765C2"/>
    <w:rsid w:val="007766EF"/>
    <w:rsid w:val="0077672A"/>
    <w:rsid w:val="00776942"/>
    <w:rsid w:val="00776A90"/>
    <w:rsid w:val="00776B19"/>
    <w:rsid w:val="00776B57"/>
    <w:rsid w:val="00776D87"/>
    <w:rsid w:val="00776F1B"/>
    <w:rsid w:val="00777014"/>
    <w:rsid w:val="007770E6"/>
    <w:rsid w:val="00777431"/>
    <w:rsid w:val="007775A4"/>
    <w:rsid w:val="007777FB"/>
    <w:rsid w:val="007778DA"/>
    <w:rsid w:val="00777B4C"/>
    <w:rsid w:val="00777EC4"/>
    <w:rsid w:val="00777EC7"/>
    <w:rsid w:val="00777EE0"/>
    <w:rsid w:val="00780040"/>
    <w:rsid w:val="00780149"/>
    <w:rsid w:val="00780237"/>
    <w:rsid w:val="00780329"/>
    <w:rsid w:val="007804A1"/>
    <w:rsid w:val="007804EA"/>
    <w:rsid w:val="00780541"/>
    <w:rsid w:val="00780559"/>
    <w:rsid w:val="0078059C"/>
    <w:rsid w:val="00780847"/>
    <w:rsid w:val="00780B09"/>
    <w:rsid w:val="00780C0F"/>
    <w:rsid w:val="00780D52"/>
    <w:rsid w:val="00781360"/>
    <w:rsid w:val="00781399"/>
    <w:rsid w:val="007813CA"/>
    <w:rsid w:val="00781460"/>
    <w:rsid w:val="007814FA"/>
    <w:rsid w:val="0078155B"/>
    <w:rsid w:val="00781852"/>
    <w:rsid w:val="00781957"/>
    <w:rsid w:val="00781996"/>
    <w:rsid w:val="00781B83"/>
    <w:rsid w:val="00781BB9"/>
    <w:rsid w:val="00781F1A"/>
    <w:rsid w:val="00781FFE"/>
    <w:rsid w:val="0078223A"/>
    <w:rsid w:val="0078232C"/>
    <w:rsid w:val="007824D8"/>
    <w:rsid w:val="00782600"/>
    <w:rsid w:val="0078264A"/>
    <w:rsid w:val="0078269E"/>
    <w:rsid w:val="007826A5"/>
    <w:rsid w:val="007826B2"/>
    <w:rsid w:val="0078272B"/>
    <w:rsid w:val="00782851"/>
    <w:rsid w:val="0078286C"/>
    <w:rsid w:val="00782A0E"/>
    <w:rsid w:val="00782A33"/>
    <w:rsid w:val="00782A85"/>
    <w:rsid w:val="00782B87"/>
    <w:rsid w:val="00782B8C"/>
    <w:rsid w:val="00782BC3"/>
    <w:rsid w:val="00782DA9"/>
    <w:rsid w:val="00782FA4"/>
    <w:rsid w:val="00782FBE"/>
    <w:rsid w:val="007830B3"/>
    <w:rsid w:val="007830F6"/>
    <w:rsid w:val="00783254"/>
    <w:rsid w:val="007835F4"/>
    <w:rsid w:val="00783746"/>
    <w:rsid w:val="007838B0"/>
    <w:rsid w:val="00783927"/>
    <w:rsid w:val="00784176"/>
    <w:rsid w:val="00784235"/>
    <w:rsid w:val="007842F5"/>
    <w:rsid w:val="007842FB"/>
    <w:rsid w:val="007844EB"/>
    <w:rsid w:val="00784564"/>
    <w:rsid w:val="0078467C"/>
    <w:rsid w:val="00784D37"/>
    <w:rsid w:val="00784DB8"/>
    <w:rsid w:val="0078513B"/>
    <w:rsid w:val="007851EB"/>
    <w:rsid w:val="007852E3"/>
    <w:rsid w:val="00785496"/>
    <w:rsid w:val="007855C5"/>
    <w:rsid w:val="007859F7"/>
    <w:rsid w:val="00785BFB"/>
    <w:rsid w:val="00785C09"/>
    <w:rsid w:val="00785CED"/>
    <w:rsid w:val="00785E08"/>
    <w:rsid w:val="00785F5B"/>
    <w:rsid w:val="00785F77"/>
    <w:rsid w:val="00785FED"/>
    <w:rsid w:val="00786594"/>
    <w:rsid w:val="00786681"/>
    <w:rsid w:val="00786801"/>
    <w:rsid w:val="00786AF9"/>
    <w:rsid w:val="00787153"/>
    <w:rsid w:val="007874C8"/>
    <w:rsid w:val="007874CB"/>
    <w:rsid w:val="007874DC"/>
    <w:rsid w:val="00787599"/>
    <w:rsid w:val="007877CC"/>
    <w:rsid w:val="00787A22"/>
    <w:rsid w:val="00787AC0"/>
    <w:rsid w:val="00787C05"/>
    <w:rsid w:val="00787D03"/>
    <w:rsid w:val="007900A0"/>
    <w:rsid w:val="007901CD"/>
    <w:rsid w:val="00790212"/>
    <w:rsid w:val="00790271"/>
    <w:rsid w:val="0079036B"/>
    <w:rsid w:val="0079049B"/>
    <w:rsid w:val="00790584"/>
    <w:rsid w:val="00790741"/>
    <w:rsid w:val="00790A2E"/>
    <w:rsid w:val="00790C2C"/>
    <w:rsid w:val="00790D31"/>
    <w:rsid w:val="00790D53"/>
    <w:rsid w:val="00790D68"/>
    <w:rsid w:val="0079102D"/>
    <w:rsid w:val="00791152"/>
    <w:rsid w:val="00791218"/>
    <w:rsid w:val="0079142F"/>
    <w:rsid w:val="00791479"/>
    <w:rsid w:val="007916E4"/>
    <w:rsid w:val="00791740"/>
    <w:rsid w:val="007917C2"/>
    <w:rsid w:val="007917E4"/>
    <w:rsid w:val="00791867"/>
    <w:rsid w:val="00791A8C"/>
    <w:rsid w:val="00791B4A"/>
    <w:rsid w:val="00791D57"/>
    <w:rsid w:val="00791DD7"/>
    <w:rsid w:val="00791DDD"/>
    <w:rsid w:val="00791E9C"/>
    <w:rsid w:val="00791FFC"/>
    <w:rsid w:val="00792159"/>
    <w:rsid w:val="0079232A"/>
    <w:rsid w:val="007923E4"/>
    <w:rsid w:val="00792454"/>
    <w:rsid w:val="007928AC"/>
    <w:rsid w:val="00792991"/>
    <w:rsid w:val="00792B29"/>
    <w:rsid w:val="00792EEB"/>
    <w:rsid w:val="00792FD2"/>
    <w:rsid w:val="00793275"/>
    <w:rsid w:val="00793492"/>
    <w:rsid w:val="00793598"/>
    <w:rsid w:val="007936C9"/>
    <w:rsid w:val="0079375F"/>
    <w:rsid w:val="00793990"/>
    <w:rsid w:val="007939B0"/>
    <w:rsid w:val="00793AF4"/>
    <w:rsid w:val="00793C19"/>
    <w:rsid w:val="00793D0D"/>
    <w:rsid w:val="00793E58"/>
    <w:rsid w:val="00793FDC"/>
    <w:rsid w:val="007940DA"/>
    <w:rsid w:val="0079421D"/>
    <w:rsid w:val="00794418"/>
    <w:rsid w:val="00794497"/>
    <w:rsid w:val="00794564"/>
    <w:rsid w:val="0079473B"/>
    <w:rsid w:val="00794893"/>
    <w:rsid w:val="00794C78"/>
    <w:rsid w:val="00794CDC"/>
    <w:rsid w:val="00794EAF"/>
    <w:rsid w:val="00794EFD"/>
    <w:rsid w:val="00795081"/>
    <w:rsid w:val="007950CF"/>
    <w:rsid w:val="007950F4"/>
    <w:rsid w:val="00795108"/>
    <w:rsid w:val="0079513C"/>
    <w:rsid w:val="0079527D"/>
    <w:rsid w:val="007952DA"/>
    <w:rsid w:val="00795536"/>
    <w:rsid w:val="0079571E"/>
    <w:rsid w:val="0079595E"/>
    <w:rsid w:val="00795A58"/>
    <w:rsid w:val="00795BB4"/>
    <w:rsid w:val="00795C53"/>
    <w:rsid w:val="00795D15"/>
    <w:rsid w:val="00795D2D"/>
    <w:rsid w:val="00795E97"/>
    <w:rsid w:val="00795F7E"/>
    <w:rsid w:val="0079616F"/>
    <w:rsid w:val="00796185"/>
    <w:rsid w:val="00796398"/>
    <w:rsid w:val="00796583"/>
    <w:rsid w:val="007965EF"/>
    <w:rsid w:val="0079669E"/>
    <w:rsid w:val="007966A4"/>
    <w:rsid w:val="00796796"/>
    <w:rsid w:val="007967DE"/>
    <w:rsid w:val="00796A43"/>
    <w:rsid w:val="00796CE3"/>
    <w:rsid w:val="00796E8B"/>
    <w:rsid w:val="00796FFA"/>
    <w:rsid w:val="0079701D"/>
    <w:rsid w:val="00797390"/>
    <w:rsid w:val="00797458"/>
    <w:rsid w:val="007977D6"/>
    <w:rsid w:val="007978E9"/>
    <w:rsid w:val="007979E8"/>
    <w:rsid w:val="00797A0F"/>
    <w:rsid w:val="00797A76"/>
    <w:rsid w:val="00797C80"/>
    <w:rsid w:val="00797F46"/>
    <w:rsid w:val="007A030A"/>
    <w:rsid w:val="007A0474"/>
    <w:rsid w:val="007A0513"/>
    <w:rsid w:val="007A05BF"/>
    <w:rsid w:val="007A08A8"/>
    <w:rsid w:val="007A0935"/>
    <w:rsid w:val="007A0AF2"/>
    <w:rsid w:val="007A0E1C"/>
    <w:rsid w:val="007A0FD9"/>
    <w:rsid w:val="007A12E3"/>
    <w:rsid w:val="007A14FE"/>
    <w:rsid w:val="007A1624"/>
    <w:rsid w:val="007A167C"/>
    <w:rsid w:val="007A1680"/>
    <w:rsid w:val="007A168D"/>
    <w:rsid w:val="007A173E"/>
    <w:rsid w:val="007A1F21"/>
    <w:rsid w:val="007A20DE"/>
    <w:rsid w:val="007A279D"/>
    <w:rsid w:val="007A2B30"/>
    <w:rsid w:val="007A2BBC"/>
    <w:rsid w:val="007A2C0F"/>
    <w:rsid w:val="007A2DB4"/>
    <w:rsid w:val="007A2EA7"/>
    <w:rsid w:val="007A3005"/>
    <w:rsid w:val="007A30DF"/>
    <w:rsid w:val="007A3207"/>
    <w:rsid w:val="007A375A"/>
    <w:rsid w:val="007A376D"/>
    <w:rsid w:val="007A389D"/>
    <w:rsid w:val="007A38CF"/>
    <w:rsid w:val="007A3AB7"/>
    <w:rsid w:val="007A3B4B"/>
    <w:rsid w:val="007A3FCB"/>
    <w:rsid w:val="007A411B"/>
    <w:rsid w:val="007A424A"/>
    <w:rsid w:val="007A4692"/>
    <w:rsid w:val="007A4783"/>
    <w:rsid w:val="007A479A"/>
    <w:rsid w:val="007A47C0"/>
    <w:rsid w:val="007A490E"/>
    <w:rsid w:val="007A4B1E"/>
    <w:rsid w:val="007A4CF0"/>
    <w:rsid w:val="007A4D60"/>
    <w:rsid w:val="007A4D62"/>
    <w:rsid w:val="007A4D77"/>
    <w:rsid w:val="007A4EAC"/>
    <w:rsid w:val="007A4F72"/>
    <w:rsid w:val="007A5356"/>
    <w:rsid w:val="007A541D"/>
    <w:rsid w:val="007A5476"/>
    <w:rsid w:val="007A55E6"/>
    <w:rsid w:val="007A5828"/>
    <w:rsid w:val="007A58DF"/>
    <w:rsid w:val="007A5E65"/>
    <w:rsid w:val="007A6073"/>
    <w:rsid w:val="007A61E8"/>
    <w:rsid w:val="007A6236"/>
    <w:rsid w:val="007A6485"/>
    <w:rsid w:val="007A692C"/>
    <w:rsid w:val="007A6A00"/>
    <w:rsid w:val="007A6BFF"/>
    <w:rsid w:val="007A6F18"/>
    <w:rsid w:val="007A6FC7"/>
    <w:rsid w:val="007A709D"/>
    <w:rsid w:val="007A7299"/>
    <w:rsid w:val="007A738A"/>
    <w:rsid w:val="007A770B"/>
    <w:rsid w:val="007A775B"/>
    <w:rsid w:val="007A798F"/>
    <w:rsid w:val="007A79C3"/>
    <w:rsid w:val="007A7AE0"/>
    <w:rsid w:val="007A7B72"/>
    <w:rsid w:val="007A7C66"/>
    <w:rsid w:val="007A7CB6"/>
    <w:rsid w:val="007A7CF7"/>
    <w:rsid w:val="007A7DC1"/>
    <w:rsid w:val="007A7EFA"/>
    <w:rsid w:val="007B004C"/>
    <w:rsid w:val="007B00DC"/>
    <w:rsid w:val="007B01E0"/>
    <w:rsid w:val="007B0346"/>
    <w:rsid w:val="007B03F0"/>
    <w:rsid w:val="007B04F5"/>
    <w:rsid w:val="007B0833"/>
    <w:rsid w:val="007B09DB"/>
    <w:rsid w:val="007B09E7"/>
    <w:rsid w:val="007B0A16"/>
    <w:rsid w:val="007B0A68"/>
    <w:rsid w:val="007B0D08"/>
    <w:rsid w:val="007B0E69"/>
    <w:rsid w:val="007B11B8"/>
    <w:rsid w:val="007B12D1"/>
    <w:rsid w:val="007B132D"/>
    <w:rsid w:val="007B143D"/>
    <w:rsid w:val="007B147F"/>
    <w:rsid w:val="007B17CC"/>
    <w:rsid w:val="007B199F"/>
    <w:rsid w:val="007B1A82"/>
    <w:rsid w:val="007B1E77"/>
    <w:rsid w:val="007B1F35"/>
    <w:rsid w:val="007B1FD8"/>
    <w:rsid w:val="007B2315"/>
    <w:rsid w:val="007B2376"/>
    <w:rsid w:val="007B23F9"/>
    <w:rsid w:val="007B248E"/>
    <w:rsid w:val="007B25BA"/>
    <w:rsid w:val="007B2840"/>
    <w:rsid w:val="007B28F5"/>
    <w:rsid w:val="007B2AE4"/>
    <w:rsid w:val="007B2D0D"/>
    <w:rsid w:val="007B2FA6"/>
    <w:rsid w:val="007B3116"/>
    <w:rsid w:val="007B349B"/>
    <w:rsid w:val="007B3F33"/>
    <w:rsid w:val="007B3FA5"/>
    <w:rsid w:val="007B42F7"/>
    <w:rsid w:val="007B43F3"/>
    <w:rsid w:val="007B4441"/>
    <w:rsid w:val="007B451E"/>
    <w:rsid w:val="007B4551"/>
    <w:rsid w:val="007B458B"/>
    <w:rsid w:val="007B45DB"/>
    <w:rsid w:val="007B484E"/>
    <w:rsid w:val="007B48EF"/>
    <w:rsid w:val="007B4927"/>
    <w:rsid w:val="007B4BA7"/>
    <w:rsid w:val="007B51A0"/>
    <w:rsid w:val="007B51C5"/>
    <w:rsid w:val="007B5240"/>
    <w:rsid w:val="007B54E3"/>
    <w:rsid w:val="007B566C"/>
    <w:rsid w:val="007B56D6"/>
    <w:rsid w:val="007B56EB"/>
    <w:rsid w:val="007B5B9F"/>
    <w:rsid w:val="007B5BD0"/>
    <w:rsid w:val="007B600A"/>
    <w:rsid w:val="007B603A"/>
    <w:rsid w:val="007B6051"/>
    <w:rsid w:val="007B6194"/>
    <w:rsid w:val="007B624E"/>
    <w:rsid w:val="007B627F"/>
    <w:rsid w:val="007B631C"/>
    <w:rsid w:val="007B63AA"/>
    <w:rsid w:val="007B641F"/>
    <w:rsid w:val="007B64B2"/>
    <w:rsid w:val="007B65AD"/>
    <w:rsid w:val="007B6605"/>
    <w:rsid w:val="007B672E"/>
    <w:rsid w:val="007B68C9"/>
    <w:rsid w:val="007B69D8"/>
    <w:rsid w:val="007B69FC"/>
    <w:rsid w:val="007B6A5C"/>
    <w:rsid w:val="007B6B91"/>
    <w:rsid w:val="007B6D03"/>
    <w:rsid w:val="007B7075"/>
    <w:rsid w:val="007B7084"/>
    <w:rsid w:val="007B7220"/>
    <w:rsid w:val="007B72BC"/>
    <w:rsid w:val="007B75DE"/>
    <w:rsid w:val="007B76DA"/>
    <w:rsid w:val="007B7BF1"/>
    <w:rsid w:val="007B7D53"/>
    <w:rsid w:val="007B7FB5"/>
    <w:rsid w:val="007C0003"/>
    <w:rsid w:val="007C01E9"/>
    <w:rsid w:val="007C0214"/>
    <w:rsid w:val="007C07D5"/>
    <w:rsid w:val="007C09BA"/>
    <w:rsid w:val="007C0A00"/>
    <w:rsid w:val="007C0C5E"/>
    <w:rsid w:val="007C0E94"/>
    <w:rsid w:val="007C0FA4"/>
    <w:rsid w:val="007C0FBE"/>
    <w:rsid w:val="007C1103"/>
    <w:rsid w:val="007C12C3"/>
    <w:rsid w:val="007C1313"/>
    <w:rsid w:val="007C14E6"/>
    <w:rsid w:val="007C1BD4"/>
    <w:rsid w:val="007C1BE1"/>
    <w:rsid w:val="007C1CAD"/>
    <w:rsid w:val="007C1F8C"/>
    <w:rsid w:val="007C201B"/>
    <w:rsid w:val="007C21E4"/>
    <w:rsid w:val="007C2254"/>
    <w:rsid w:val="007C231B"/>
    <w:rsid w:val="007C2377"/>
    <w:rsid w:val="007C2577"/>
    <w:rsid w:val="007C2A79"/>
    <w:rsid w:val="007C2D32"/>
    <w:rsid w:val="007C33A8"/>
    <w:rsid w:val="007C38CC"/>
    <w:rsid w:val="007C3ABE"/>
    <w:rsid w:val="007C3BAD"/>
    <w:rsid w:val="007C3D35"/>
    <w:rsid w:val="007C3E2A"/>
    <w:rsid w:val="007C3EA8"/>
    <w:rsid w:val="007C3EDD"/>
    <w:rsid w:val="007C3F33"/>
    <w:rsid w:val="007C3FB6"/>
    <w:rsid w:val="007C426B"/>
    <w:rsid w:val="007C463B"/>
    <w:rsid w:val="007C47FE"/>
    <w:rsid w:val="007C4AA9"/>
    <w:rsid w:val="007C4E5C"/>
    <w:rsid w:val="007C4FB2"/>
    <w:rsid w:val="007C508A"/>
    <w:rsid w:val="007C50B6"/>
    <w:rsid w:val="007C53B8"/>
    <w:rsid w:val="007C5614"/>
    <w:rsid w:val="007C565C"/>
    <w:rsid w:val="007C5A49"/>
    <w:rsid w:val="007C5A56"/>
    <w:rsid w:val="007C5A69"/>
    <w:rsid w:val="007C5A78"/>
    <w:rsid w:val="007C5D05"/>
    <w:rsid w:val="007C5D95"/>
    <w:rsid w:val="007C5DC2"/>
    <w:rsid w:val="007C5EE0"/>
    <w:rsid w:val="007C5F8B"/>
    <w:rsid w:val="007C686B"/>
    <w:rsid w:val="007C6991"/>
    <w:rsid w:val="007C6A0D"/>
    <w:rsid w:val="007C6C82"/>
    <w:rsid w:val="007C6F11"/>
    <w:rsid w:val="007C6F2E"/>
    <w:rsid w:val="007C7322"/>
    <w:rsid w:val="007C74D9"/>
    <w:rsid w:val="007C7537"/>
    <w:rsid w:val="007C7804"/>
    <w:rsid w:val="007C7B0F"/>
    <w:rsid w:val="007C7B71"/>
    <w:rsid w:val="007C7CC9"/>
    <w:rsid w:val="007C7F08"/>
    <w:rsid w:val="007D044F"/>
    <w:rsid w:val="007D05B3"/>
    <w:rsid w:val="007D068D"/>
    <w:rsid w:val="007D08D5"/>
    <w:rsid w:val="007D094F"/>
    <w:rsid w:val="007D0B3F"/>
    <w:rsid w:val="007D0CD5"/>
    <w:rsid w:val="007D0E6B"/>
    <w:rsid w:val="007D0FB8"/>
    <w:rsid w:val="007D10D9"/>
    <w:rsid w:val="007D1104"/>
    <w:rsid w:val="007D11FB"/>
    <w:rsid w:val="007D1372"/>
    <w:rsid w:val="007D14BB"/>
    <w:rsid w:val="007D16AD"/>
    <w:rsid w:val="007D1823"/>
    <w:rsid w:val="007D18C4"/>
    <w:rsid w:val="007D1C85"/>
    <w:rsid w:val="007D207E"/>
    <w:rsid w:val="007D21E6"/>
    <w:rsid w:val="007D23B4"/>
    <w:rsid w:val="007D26E9"/>
    <w:rsid w:val="007D278B"/>
    <w:rsid w:val="007D289E"/>
    <w:rsid w:val="007D295B"/>
    <w:rsid w:val="007D2BC5"/>
    <w:rsid w:val="007D2E0B"/>
    <w:rsid w:val="007D2E3D"/>
    <w:rsid w:val="007D3240"/>
    <w:rsid w:val="007D3507"/>
    <w:rsid w:val="007D3681"/>
    <w:rsid w:val="007D3771"/>
    <w:rsid w:val="007D37AA"/>
    <w:rsid w:val="007D3A0C"/>
    <w:rsid w:val="007D3A91"/>
    <w:rsid w:val="007D3D80"/>
    <w:rsid w:val="007D3E1C"/>
    <w:rsid w:val="007D41C0"/>
    <w:rsid w:val="007D4306"/>
    <w:rsid w:val="007D4C6B"/>
    <w:rsid w:val="007D4CFF"/>
    <w:rsid w:val="007D4FEC"/>
    <w:rsid w:val="007D520D"/>
    <w:rsid w:val="007D591F"/>
    <w:rsid w:val="007D5B45"/>
    <w:rsid w:val="007D5CA7"/>
    <w:rsid w:val="007D5F58"/>
    <w:rsid w:val="007D6029"/>
    <w:rsid w:val="007D631B"/>
    <w:rsid w:val="007D6394"/>
    <w:rsid w:val="007D6614"/>
    <w:rsid w:val="007D6A5D"/>
    <w:rsid w:val="007D6F5C"/>
    <w:rsid w:val="007D71D8"/>
    <w:rsid w:val="007D73A8"/>
    <w:rsid w:val="007D7523"/>
    <w:rsid w:val="007D7605"/>
    <w:rsid w:val="007D763F"/>
    <w:rsid w:val="007D7763"/>
    <w:rsid w:val="007D7D1E"/>
    <w:rsid w:val="007D7E5B"/>
    <w:rsid w:val="007E0319"/>
    <w:rsid w:val="007E05F1"/>
    <w:rsid w:val="007E0A53"/>
    <w:rsid w:val="007E0C5C"/>
    <w:rsid w:val="007E0C95"/>
    <w:rsid w:val="007E0DF5"/>
    <w:rsid w:val="007E0E3B"/>
    <w:rsid w:val="007E0ECA"/>
    <w:rsid w:val="007E0F88"/>
    <w:rsid w:val="007E10AE"/>
    <w:rsid w:val="007E13B5"/>
    <w:rsid w:val="007E13FF"/>
    <w:rsid w:val="007E143A"/>
    <w:rsid w:val="007E1750"/>
    <w:rsid w:val="007E1A60"/>
    <w:rsid w:val="007E1AC5"/>
    <w:rsid w:val="007E1ACB"/>
    <w:rsid w:val="007E1CAE"/>
    <w:rsid w:val="007E1CDF"/>
    <w:rsid w:val="007E1D24"/>
    <w:rsid w:val="007E1D54"/>
    <w:rsid w:val="007E1E9F"/>
    <w:rsid w:val="007E24A1"/>
    <w:rsid w:val="007E2512"/>
    <w:rsid w:val="007E27E4"/>
    <w:rsid w:val="007E28C5"/>
    <w:rsid w:val="007E2B54"/>
    <w:rsid w:val="007E2F69"/>
    <w:rsid w:val="007E30F3"/>
    <w:rsid w:val="007E32CB"/>
    <w:rsid w:val="007E344F"/>
    <w:rsid w:val="007E35B0"/>
    <w:rsid w:val="007E3649"/>
    <w:rsid w:val="007E3670"/>
    <w:rsid w:val="007E3760"/>
    <w:rsid w:val="007E39DD"/>
    <w:rsid w:val="007E3B80"/>
    <w:rsid w:val="007E3C4A"/>
    <w:rsid w:val="007E3DA4"/>
    <w:rsid w:val="007E417E"/>
    <w:rsid w:val="007E434E"/>
    <w:rsid w:val="007E4621"/>
    <w:rsid w:val="007E483E"/>
    <w:rsid w:val="007E486F"/>
    <w:rsid w:val="007E4B1C"/>
    <w:rsid w:val="007E4B7F"/>
    <w:rsid w:val="007E4C24"/>
    <w:rsid w:val="007E4C41"/>
    <w:rsid w:val="007E4E5B"/>
    <w:rsid w:val="007E4FAC"/>
    <w:rsid w:val="007E4FDB"/>
    <w:rsid w:val="007E5101"/>
    <w:rsid w:val="007E550E"/>
    <w:rsid w:val="007E572D"/>
    <w:rsid w:val="007E5A2C"/>
    <w:rsid w:val="007E5CF7"/>
    <w:rsid w:val="007E5D47"/>
    <w:rsid w:val="007E5D60"/>
    <w:rsid w:val="007E5FA9"/>
    <w:rsid w:val="007E600F"/>
    <w:rsid w:val="007E6350"/>
    <w:rsid w:val="007E6465"/>
    <w:rsid w:val="007E6552"/>
    <w:rsid w:val="007E6908"/>
    <w:rsid w:val="007E69C2"/>
    <w:rsid w:val="007E6B36"/>
    <w:rsid w:val="007E6DE3"/>
    <w:rsid w:val="007E7138"/>
    <w:rsid w:val="007E74B3"/>
    <w:rsid w:val="007E74C3"/>
    <w:rsid w:val="007E756C"/>
    <w:rsid w:val="007E77F2"/>
    <w:rsid w:val="007E794E"/>
    <w:rsid w:val="007F014B"/>
    <w:rsid w:val="007F034C"/>
    <w:rsid w:val="007F06E5"/>
    <w:rsid w:val="007F06FE"/>
    <w:rsid w:val="007F1219"/>
    <w:rsid w:val="007F1446"/>
    <w:rsid w:val="007F1547"/>
    <w:rsid w:val="007F1972"/>
    <w:rsid w:val="007F1992"/>
    <w:rsid w:val="007F19A7"/>
    <w:rsid w:val="007F1A65"/>
    <w:rsid w:val="007F221D"/>
    <w:rsid w:val="007F22C9"/>
    <w:rsid w:val="007F26E6"/>
    <w:rsid w:val="007F2835"/>
    <w:rsid w:val="007F2967"/>
    <w:rsid w:val="007F2A0F"/>
    <w:rsid w:val="007F2B75"/>
    <w:rsid w:val="007F2BD6"/>
    <w:rsid w:val="007F2CA1"/>
    <w:rsid w:val="007F2E18"/>
    <w:rsid w:val="007F2ED0"/>
    <w:rsid w:val="007F2FD5"/>
    <w:rsid w:val="007F3196"/>
    <w:rsid w:val="007F31DC"/>
    <w:rsid w:val="007F323B"/>
    <w:rsid w:val="007F336D"/>
    <w:rsid w:val="007F3749"/>
    <w:rsid w:val="007F3962"/>
    <w:rsid w:val="007F39B6"/>
    <w:rsid w:val="007F3E2B"/>
    <w:rsid w:val="007F40BB"/>
    <w:rsid w:val="007F40F6"/>
    <w:rsid w:val="007F421A"/>
    <w:rsid w:val="007F432F"/>
    <w:rsid w:val="007F4380"/>
    <w:rsid w:val="007F4620"/>
    <w:rsid w:val="007F46F0"/>
    <w:rsid w:val="007F4A44"/>
    <w:rsid w:val="007F4BBF"/>
    <w:rsid w:val="007F4EFE"/>
    <w:rsid w:val="007F4F5C"/>
    <w:rsid w:val="007F5133"/>
    <w:rsid w:val="007F5278"/>
    <w:rsid w:val="007F52DB"/>
    <w:rsid w:val="007F5389"/>
    <w:rsid w:val="007F5442"/>
    <w:rsid w:val="007F54F6"/>
    <w:rsid w:val="007F550E"/>
    <w:rsid w:val="007F560F"/>
    <w:rsid w:val="007F5687"/>
    <w:rsid w:val="007F5733"/>
    <w:rsid w:val="007F5858"/>
    <w:rsid w:val="007F59B5"/>
    <w:rsid w:val="007F5FBB"/>
    <w:rsid w:val="007F6016"/>
    <w:rsid w:val="007F640D"/>
    <w:rsid w:val="007F6419"/>
    <w:rsid w:val="007F6590"/>
    <w:rsid w:val="007F65AD"/>
    <w:rsid w:val="007F6637"/>
    <w:rsid w:val="007F68E4"/>
    <w:rsid w:val="007F6B08"/>
    <w:rsid w:val="007F6BE1"/>
    <w:rsid w:val="007F6D40"/>
    <w:rsid w:val="007F6E40"/>
    <w:rsid w:val="007F71D3"/>
    <w:rsid w:val="007F72B1"/>
    <w:rsid w:val="007F742F"/>
    <w:rsid w:val="007F7445"/>
    <w:rsid w:val="007F7529"/>
    <w:rsid w:val="007F7606"/>
    <w:rsid w:val="007F78B6"/>
    <w:rsid w:val="007F7A12"/>
    <w:rsid w:val="007F7AFB"/>
    <w:rsid w:val="007F7BB9"/>
    <w:rsid w:val="007F7C32"/>
    <w:rsid w:val="007F7C56"/>
    <w:rsid w:val="007F7CC1"/>
    <w:rsid w:val="007F7D66"/>
    <w:rsid w:val="007F7E25"/>
    <w:rsid w:val="007F7E47"/>
    <w:rsid w:val="00800467"/>
    <w:rsid w:val="008008DB"/>
    <w:rsid w:val="00800994"/>
    <w:rsid w:val="00800B7F"/>
    <w:rsid w:val="00800C2D"/>
    <w:rsid w:val="00800CF7"/>
    <w:rsid w:val="00800F45"/>
    <w:rsid w:val="00800FA1"/>
    <w:rsid w:val="0080106A"/>
    <w:rsid w:val="00801217"/>
    <w:rsid w:val="0080122F"/>
    <w:rsid w:val="0080147B"/>
    <w:rsid w:val="0080148C"/>
    <w:rsid w:val="00801822"/>
    <w:rsid w:val="008018CA"/>
    <w:rsid w:val="008018E0"/>
    <w:rsid w:val="00801C8D"/>
    <w:rsid w:val="00801D54"/>
    <w:rsid w:val="00801D9E"/>
    <w:rsid w:val="00801DF8"/>
    <w:rsid w:val="00801ED6"/>
    <w:rsid w:val="00802442"/>
    <w:rsid w:val="0080250E"/>
    <w:rsid w:val="00802C14"/>
    <w:rsid w:val="00802CE7"/>
    <w:rsid w:val="00802CF1"/>
    <w:rsid w:val="00802E50"/>
    <w:rsid w:val="00802E75"/>
    <w:rsid w:val="00802F50"/>
    <w:rsid w:val="008032A6"/>
    <w:rsid w:val="00803631"/>
    <w:rsid w:val="00803689"/>
    <w:rsid w:val="008037D0"/>
    <w:rsid w:val="00803854"/>
    <w:rsid w:val="00803D29"/>
    <w:rsid w:val="00803E67"/>
    <w:rsid w:val="00803E7E"/>
    <w:rsid w:val="008040B2"/>
    <w:rsid w:val="008041FE"/>
    <w:rsid w:val="00804311"/>
    <w:rsid w:val="008044AD"/>
    <w:rsid w:val="008048C0"/>
    <w:rsid w:val="00804C72"/>
    <w:rsid w:val="00804D0D"/>
    <w:rsid w:val="00804EA2"/>
    <w:rsid w:val="00804F10"/>
    <w:rsid w:val="0080521D"/>
    <w:rsid w:val="00805273"/>
    <w:rsid w:val="008052D7"/>
    <w:rsid w:val="00805471"/>
    <w:rsid w:val="008055DB"/>
    <w:rsid w:val="00805ACA"/>
    <w:rsid w:val="00805BFB"/>
    <w:rsid w:val="00805CBC"/>
    <w:rsid w:val="00805CE0"/>
    <w:rsid w:val="0080608C"/>
    <w:rsid w:val="008063D6"/>
    <w:rsid w:val="008065AE"/>
    <w:rsid w:val="00806640"/>
    <w:rsid w:val="008067AB"/>
    <w:rsid w:val="00806918"/>
    <w:rsid w:val="00806A74"/>
    <w:rsid w:val="00806CD8"/>
    <w:rsid w:val="00806D50"/>
    <w:rsid w:val="008070B7"/>
    <w:rsid w:val="00807120"/>
    <w:rsid w:val="00807489"/>
    <w:rsid w:val="0080764C"/>
    <w:rsid w:val="00807980"/>
    <w:rsid w:val="008079B5"/>
    <w:rsid w:val="00807A9A"/>
    <w:rsid w:val="00807D27"/>
    <w:rsid w:val="00807F59"/>
    <w:rsid w:val="00807FD7"/>
    <w:rsid w:val="0081003D"/>
    <w:rsid w:val="008100A4"/>
    <w:rsid w:val="0081011D"/>
    <w:rsid w:val="00810238"/>
    <w:rsid w:val="0081045B"/>
    <w:rsid w:val="0081049D"/>
    <w:rsid w:val="00810639"/>
    <w:rsid w:val="008106B0"/>
    <w:rsid w:val="00810C27"/>
    <w:rsid w:val="00810DF5"/>
    <w:rsid w:val="00810F16"/>
    <w:rsid w:val="00811256"/>
    <w:rsid w:val="0081161A"/>
    <w:rsid w:val="008116AD"/>
    <w:rsid w:val="00811822"/>
    <w:rsid w:val="00811A43"/>
    <w:rsid w:val="00811B65"/>
    <w:rsid w:val="00811C6C"/>
    <w:rsid w:val="00811D46"/>
    <w:rsid w:val="00811DD1"/>
    <w:rsid w:val="00812353"/>
    <w:rsid w:val="008123B4"/>
    <w:rsid w:val="0081253C"/>
    <w:rsid w:val="008125B0"/>
    <w:rsid w:val="00812818"/>
    <w:rsid w:val="00812A3B"/>
    <w:rsid w:val="00813197"/>
    <w:rsid w:val="008131EB"/>
    <w:rsid w:val="00813399"/>
    <w:rsid w:val="00813426"/>
    <w:rsid w:val="00813BB6"/>
    <w:rsid w:val="00814044"/>
    <w:rsid w:val="00814522"/>
    <w:rsid w:val="00814595"/>
    <w:rsid w:val="008145E1"/>
    <w:rsid w:val="00814616"/>
    <w:rsid w:val="00814687"/>
    <w:rsid w:val="00814973"/>
    <w:rsid w:val="00814DBC"/>
    <w:rsid w:val="00814E94"/>
    <w:rsid w:val="00814FAF"/>
    <w:rsid w:val="00814FF4"/>
    <w:rsid w:val="00815054"/>
    <w:rsid w:val="008150E7"/>
    <w:rsid w:val="00815158"/>
    <w:rsid w:val="008151B0"/>
    <w:rsid w:val="00815249"/>
    <w:rsid w:val="00815488"/>
    <w:rsid w:val="0081580F"/>
    <w:rsid w:val="00815B2A"/>
    <w:rsid w:val="00815E6A"/>
    <w:rsid w:val="0081614E"/>
    <w:rsid w:val="0081633A"/>
    <w:rsid w:val="0081646D"/>
    <w:rsid w:val="008166A9"/>
    <w:rsid w:val="008166DC"/>
    <w:rsid w:val="00816988"/>
    <w:rsid w:val="008169C1"/>
    <w:rsid w:val="00816CF4"/>
    <w:rsid w:val="00816DE7"/>
    <w:rsid w:val="00816E27"/>
    <w:rsid w:val="00816FAC"/>
    <w:rsid w:val="008170E3"/>
    <w:rsid w:val="0081735D"/>
    <w:rsid w:val="00817588"/>
    <w:rsid w:val="008178A2"/>
    <w:rsid w:val="00817D92"/>
    <w:rsid w:val="008200C1"/>
    <w:rsid w:val="0082013B"/>
    <w:rsid w:val="00820287"/>
    <w:rsid w:val="008203D7"/>
    <w:rsid w:val="00820447"/>
    <w:rsid w:val="00820487"/>
    <w:rsid w:val="008205B4"/>
    <w:rsid w:val="008207F6"/>
    <w:rsid w:val="008207FC"/>
    <w:rsid w:val="0082087A"/>
    <w:rsid w:val="00820990"/>
    <w:rsid w:val="008209B3"/>
    <w:rsid w:val="00820B25"/>
    <w:rsid w:val="00820E41"/>
    <w:rsid w:val="00821361"/>
    <w:rsid w:val="00821927"/>
    <w:rsid w:val="00821A4F"/>
    <w:rsid w:val="00821FBF"/>
    <w:rsid w:val="008220E2"/>
    <w:rsid w:val="008222A8"/>
    <w:rsid w:val="008223CF"/>
    <w:rsid w:val="008223EC"/>
    <w:rsid w:val="008228EB"/>
    <w:rsid w:val="0082295F"/>
    <w:rsid w:val="00822A28"/>
    <w:rsid w:val="00822ACE"/>
    <w:rsid w:val="00822BB5"/>
    <w:rsid w:val="00822C04"/>
    <w:rsid w:val="00822CEE"/>
    <w:rsid w:val="00822DF7"/>
    <w:rsid w:val="00822F40"/>
    <w:rsid w:val="00823131"/>
    <w:rsid w:val="0082327D"/>
    <w:rsid w:val="0082342F"/>
    <w:rsid w:val="00823541"/>
    <w:rsid w:val="00823833"/>
    <w:rsid w:val="00823A3F"/>
    <w:rsid w:val="00823AFE"/>
    <w:rsid w:val="00823B11"/>
    <w:rsid w:val="00823D36"/>
    <w:rsid w:val="00823F46"/>
    <w:rsid w:val="008240D5"/>
    <w:rsid w:val="0082412E"/>
    <w:rsid w:val="00824599"/>
    <w:rsid w:val="008245B1"/>
    <w:rsid w:val="0082475C"/>
    <w:rsid w:val="008248C7"/>
    <w:rsid w:val="008249DA"/>
    <w:rsid w:val="00824AE9"/>
    <w:rsid w:val="00824DFC"/>
    <w:rsid w:val="008251B2"/>
    <w:rsid w:val="00825328"/>
    <w:rsid w:val="00825702"/>
    <w:rsid w:val="00825B8B"/>
    <w:rsid w:val="00825D1D"/>
    <w:rsid w:val="0082603E"/>
    <w:rsid w:val="00826245"/>
    <w:rsid w:val="00826543"/>
    <w:rsid w:val="0082661F"/>
    <w:rsid w:val="00826623"/>
    <w:rsid w:val="008268B4"/>
    <w:rsid w:val="008269B5"/>
    <w:rsid w:val="00826C3A"/>
    <w:rsid w:val="00826D94"/>
    <w:rsid w:val="00826F7C"/>
    <w:rsid w:val="00827101"/>
    <w:rsid w:val="0082714D"/>
    <w:rsid w:val="00827354"/>
    <w:rsid w:val="0082747C"/>
    <w:rsid w:val="008274CA"/>
    <w:rsid w:val="008275B2"/>
    <w:rsid w:val="00827974"/>
    <w:rsid w:val="00827ABF"/>
    <w:rsid w:val="00827B7B"/>
    <w:rsid w:val="00827E85"/>
    <w:rsid w:val="00827F68"/>
    <w:rsid w:val="00830076"/>
    <w:rsid w:val="008300B0"/>
    <w:rsid w:val="008302E8"/>
    <w:rsid w:val="00830444"/>
    <w:rsid w:val="008304DC"/>
    <w:rsid w:val="00830564"/>
    <w:rsid w:val="008305D3"/>
    <w:rsid w:val="00830614"/>
    <w:rsid w:val="0083061E"/>
    <w:rsid w:val="008306DC"/>
    <w:rsid w:val="008307A2"/>
    <w:rsid w:val="00830BA9"/>
    <w:rsid w:val="00830E12"/>
    <w:rsid w:val="00830E75"/>
    <w:rsid w:val="00831870"/>
    <w:rsid w:val="008318CE"/>
    <w:rsid w:val="008318FC"/>
    <w:rsid w:val="008319A0"/>
    <w:rsid w:val="00831D4E"/>
    <w:rsid w:val="00831DA5"/>
    <w:rsid w:val="00831E95"/>
    <w:rsid w:val="008323F7"/>
    <w:rsid w:val="0083270D"/>
    <w:rsid w:val="00832846"/>
    <w:rsid w:val="0083288D"/>
    <w:rsid w:val="00832999"/>
    <w:rsid w:val="00832C9C"/>
    <w:rsid w:val="00832D86"/>
    <w:rsid w:val="00832FB0"/>
    <w:rsid w:val="0083305E"/>
    <w:rsid w:val="008331A9"/>
    <w:rsid w:val="008332CA"/>
    <w:rsid w:val="008333B5"/>
    <w:rsid w:val="00833510"/>
    <w:rsid w:val="0083360D"/>
    <w:rsid w:val="0083380D"/>
    <w:rsid w:val="008338DC"/>
    <w:rsid w:val="00833A2B"/>
    <w:rsid w:val="00833B3D"/>
    <w:rsid w:val="00833C18"/>
    <w:rsid w:val="00833C29"/>
    <w:rsid w:val="00833E00"/>
    <w:rsid w:val="00833F90"/>
    <w:rsid w:val="00833FEB"/>
    <w:rsid w:val="0083412A"/>
    <w:rsid w:val="0083436C"/>
    <w:rsid w:val="008346F5"/>
    <w:rsid w:val="00834938"/>
    <w:rsid w:val="008349AE"/>
    <w:rsid w:val="00834C94"/>
    <w:rsid w:val="008351CB"/>
    <w:rsid w:val="008351E3"/>
    <w:rsid w:val="00835349"/>
    <w:rsid w:val="00835424"/>
    <w:rsid w:val="0083563A"/>
    <w:rsid w:val="00835650"/>
    <w:rsid w:val="00835E02"/>
    <w:rsid w:val="00835F95"/>
    <w:rsid w:val="00835FF5"/>
    <w:rsid w:val="0083621A"/>
    <w:rsid w:val="008362AD"/>
    <w:rsid w:val="0083641D"/>
    <w:rsid w:val="00836448"/>
    <w:rsid w:val="008364E2"/>
    <w:rsid w:val="00836665"/>
    <w:rsid w:val="0083678D"/>
    <w:rsid w:val="0083682E"/>
    <w:rsid w:val="0083693B"/>
    <w:rsid w:val="008369DA"/>
    <w:rsid w:val="008370E3"/>
    <w:rsid w:val="0083743D"/>
    <w:rsid w:val="008376D9"/>
    <w:rsid w:val="00837836"/>
    <w:rsid w:val="00837886"/>
    <w:rsid w:val="00837971"/>
    <w:rsid w:val="00837A20"/>
    <w:rsid w:val="00837A4C"/>
    <w:rsid w:val="00837A6A"/>
    <w:rsid w:val="00837BB7"/>
    <w:rsid w:val="00837BE5"/>
    <w:rsid w:val="00837FFD"/>
    <w:rsid w:val="008400C2"/>
    <w:rsid w:val="008400D1"/>
    <w:rsid w:val="00840500"/>
    <w:rsid w:val="0084070D"/>
    <w:rsid w:val="00840B3D"/>
    <w:rsid w:val="00840B89"/>
    <w:rsid w:val="00840F56"/>
    <w:rsid w:val="00841039"/>
    <w:rsid w:val="00841058"/>
    <w:rsid w:val="008410F9"/>
    <w:rsid w:val="00841366"/>
    <w:rsid w:val="00841594"/>
    <w:rsid w:val="008418E2"/>
    <w:rsid w:val="00841ADA"/>
    <w:rsid w:val="00841D2C"/>
    <w:rsid w:val="00841F09"/>
    <w:rsid w:val="00842027"/>
    <w:rsid w:val="00842262"/>
    <w:rsid w:val="0084236F"/>
    <w:rsid w:val="008423F8"/>
    <w:rsid w:val="00842BCC"/>
    <w:rsid w:val="00842BEF"/>
    <w:rsid w:val="00842E49"/>
    <w:rsid w:val="00842ED8"/>
    <w:rsid w:val="00842F0C"/>
    <w:rsid w:val="0084302A"/>
    <w:rsid w:val="00843289"/>
    <w:rsid w:val="008434D8"/>
    <w:rsid w:val="0084351A"/>
    <w:rsid w:val="008436F3"/>
    <w:rsid w:val="00843814"/>
    <w:rsid w:val="00843C11"/>
    <w:rsid w:val="00843CA8"/>
    <w:rsid w:val="008441AC"/>
    <w:rsid w:val="00844313"/>
    <w:rsid w:val="00844600"/>
    <w:rsid w:val="00844752"/>
    <w:rsid w:val="00844753"/>
    <w:rsid w:val="008448B8"/>
    <w:rsid w:val="00844BE8"/>
    <w:rsid w:val="00844E04"/>
    <w:rsid w:val="008451E2"/>
    <w:rsid w:val="008452AF"/>
    <w:rsid w:val="008456AF"/>
    <w:rsid w:val="00845928"/>
    <w:rsid w:val="00845AB5"/>
    <w:rsid w:val="00845D45"/>
    <w:rsid w:val="00845DB9"/>
    <w:rsid w:val="00845F9F"/>
    <w:rsid w:val="008460CF"/>
    <w:rsid w:val="0084646E"/>
    <w:rsid w:val="00846503"/>
    <w:rsid w:val="00846590"/>
    <w:rsid w:val="0084679E"/>
    <w:rsid w:val="0084681A"/>
    <w:rsid w:val="00846BAD"/>
    <w:rsid w:val="00846BE9"/>
    <w:rsid w:val="00846D1B"/>
    <w:rsid w:val="00846D3F"/>
    <w:rsid w:val="00847170"/>
    <w:rsid w:val="0084731A"/>
    <w:rsid w:val="00847449"/>
    <w:rsid w:val="00847514"/>
    <w:rsid w:val="008477F5"/>
    <w:rsid w:val="00847A10"/>
    <w:rsid w:val="00847CA6"/>
    <w:rsid w:val="00847F83"/>
    <w:rsid w:val="0085012E"/>
    <w:rsid w:val="00850130"/>
    <w:rsid w:val="008501E0"/>
    <w:rsid w:val="0085020B"/>
    <w:rsid w:val="008504AF"/>
    <w:rsid w:val="00850605"/>
    <w:rsid w:val="00850672"/>
    <w:rsid w:val="0085076B"/>
    <w:rsid w:val="00850C17"/>
    <w:rsid w:val="00850D42"/>
    <w:rsid w:val="00850EC6"/>
    <w:rsid w:val="0085123B"/>
    <w:rsid w:val="0085132B"/>
    <w:rsid w:val="00851392"/>
    <w:rsid w:val="00851495"/>
    <w:rsid w:val="008515B2"/>
    <w:rsid w:val="00851639"/>
    <w:rsid w:val="00851830"/>
    <w:rsid w:val="008518D0"/>
    <w:rsid w:val="00851914"/>
    <w:rsid w:val="0085191E"/>
    <w:rsid w:val="00851945"/>
    <w:rsid w:val="00851A31"/>
    <w:rsid w:val="00851B1B"/>
    <w:rsid w:val="00851B64"/>
    <w:rsid w:val="00851CD0"/>
    <w:rsid w:val="008520BE"/>
    <w:rsid w:val="00852128"/>
    <w:rsid w:val="0085213A"/>
    <w:rsid w:val="0085221C"/>
    <w:rsid w:val="00852941"/>
    <w:rsid w:val="008529A5"/>
    <w:rsid w:val="00852A8B"/>
    <w:rsid w:val="00852C6A"/>
    <w:rsid w:val="00852E43"/>
    <w:rsid w:val="00852EAA"/>
    <w:rsid w:val="00852F97"/>
    <w:rsid w:val="0085306D"/>
    <w:rsid w:val="00853319"/>
    <w:rsid w:val="008533FF"/>
    <w:rsid w:val="0085344B"/>
    <w:rsid w:val="008534E9"/>
    <w:rsid w:val="008534F0"/>
    <w:rsid w:val="008537C7"/>
    <w:rsid w:val="00853E0C"/>
    <w:rsid w:val="00853E5B"/>
    <w:rsid w:val="00853F35"/>
    <w:rsid w:val="0085420D"/>
    <w:rsid w:val="008543FB"/>
    <w:rsid w:val="00854499"/>
    <w:rsid w:val="008544D6"/>
    <w:rsid w:val="00854522"/>
    <w:rsid w:val="00854ADD"/>
    <w:rsid w:val="00854EEA"/>
    <w:rsid w:val="008550B3"/>
    <w:rsid w:val="008550E4"/>
    <w:rsid w:val="00855161"/>
    <w:rsid w:val="00855173"/>
    <w:rsid w:val="008554F1"/>
    <w:rsid w:val="008558CA"/>
    <w:rsid w:val="008558FB"/>
    <w:rsid w:val="00855983"/>
    <w:rsid w:val="00855994"/>
    <w:rsid w:val="00855AD9"/>
    <w:rsid w:val="00855B20"/>
    <w:rsid w:val="00855EAB"/>
    <w:rsid w:val="00855EDD"/>
    <w:rsid w:val="00855EE2"/>
    <w:rsid w:val="008562C0"/>
    <w:rsid w:val="008562CC"/>
    <w:rsid w:val="0085655F"/>
    <w:rsid w:val="00856925"/>
    <w:rsid w:val="00856A0D"/>
    <w:rsid w:val="00856B71"/>
    <w:rsid w:val="00856C1A"/>
    <w:rsid w:val="00856C9D"/>
    <w:rsid w:val="00856CE6"/>
    <w:rsid w:val="00857397"/>
    <w:rsid w:val="008573D8"/>
    <w:rsid w:val="00857525"/>
    <w:rsid w:val="00857543"/>
    <w:rsid w:val="008575A9"/>
    <w:rsid w:val="008575F5"/>
    <w:rsid w:val="0085770D"/>
    <w:rsid w:val="00857718"/>
    <w:rsid w:val="00857732"/>
    <w:rsid w:val="008579C7"/>
    <w:rsid w:val="00857A5F"/>
    <w:rsid w:val="00857AEC"/>
    <w:rsid w:val="00857BBA"/>
    <w:rsid w:val="00857CF3"/>
    <w:rsid w:val="00857D00"/>
    <w:rsid w:val="00857E4B"/>
    <w:rsid w:val="00857F50"/>
    <w:rsid w:val="0086002E"/>
    <w:rsid w:val="008600FE"/>
    <w:rsid w:val="008601AD"/>
    <w:rsid w:val="008602D0"/>
    <w:rsid w:val="008603E0"/>
    <w:rsid w:val="008604F7"/>
    <w:rsid w:val="008606FC"/>
    <w:rsid w:val="00860772"/>
    <w:rsid w:val="0086077F"/>
    <w:rsid w:val="00860860"/>
    <w:rsid w:val="00860BEB"/>
    <w:rsid w:val="00860E60"/>
    <w:rsid w:val="00860EF8"/>
    <w:rsid w:val="00860F2A"/>
    <w:rsid w:val="00861158"/>
    <w:rsid w:val="00861469"/>
    <w:rsid w:val="008617AE"/>
    <w:rsid w:val="008617B4"/>
    <w:rsid w:val="0086182A"/>
    <w:rsid w:val="0086187E"/>
    <w:rsid w:val="00861C74"/>
    <w:rsid w:val="00862166"/>
    <w:rsid w:val="008621B9"/>
    <w:rsid w:val="0086223D"/>
    <w:rsid w:val="0086253C"/>
    <w:rsid w:val="008625C6"/>
    <w:rsid w:val="0086270C"/>
    <w:rsid w:val="00862915"/>
    <w:rsid w:val="008629AC"/>
    <w:rsid w:val="00862AF2"/>
    <w:rsid w:val="0086307E"/>
    <w:rsid w:val="008632AA"/>
    <w:rsid w:val="0086344E"/>
    <w:rsid w:val="008634C9"/>
    <w:rsid w:val="00863617"/>
    <w:rsid w:val="0086362F"/>
    <w:rsid w:val="008639B0"/>
    <w:rsid w:val="00863B6D"/>
    <w:rsid w:val="00863ED4"/>
    <w:rsid w:val="008640C9"/>
    <w:rsid w:val="00864349"/>
    <w:rsid w:val="00864528"/>
    <w:rsid w:val="008645AA"/>
    <w:rsid w:val="008646D2"/>
    <w:rsid w:val="00864706"/>
    <w:rsid w:val="008647E7"/>
    <w:rsid w:val="0086491B"/>
    <w:rsid w:val="00864C84"/>
    <w:rsid w:val="00864C97"/>
    <w:rsid w:val="00864D10"/>
    <w:rsid w:val="00864E98"/>
    <w:rsid w:val="00864EF0"/>
    <w:rsid w:val="00865071"/>
    <w:rsid w:val="00865498"/>
    <w:rsid w:val="008654A1"/>
    <w:rsid w:val="00865681"/>
    <w:rsid w:val="0086571D"/>
    <w:rsid w:val="00865764"/>
    <w:rsid w:val="00865CBA"/>
    <w:rsid w:val="00865D41"/>
    <w:rsid w:val="00865DFC"/>
    <w:rsid w:val="00865E58"/>
    <w:rsid w:val="00865E97"/>
    <w:rsid w:val="0086613A"/>
    <w:rsid w:val="0086628C"/>
    <w:rsid w:val="008663FD"/>
    <w:rsid w:val="008664E4"/>
    <w:rsid w:val="00866569"/>
    <w:rsid w:val="008665AC"/>
    <w:rsid w:val="0086678A"/>
    <w:rsid w:val="008669A8"/>
    <w:rsid w:val="00866A08"/>
    <w:rsid w:val="00866A25"/>
    <w:rsid w:val="00866A65"/>
    <w:rsid w:val="00866FC0"/>
    <w:rsid w:val="00867207"/>
    <w:rsid w:val="008676C4"/>
    <w:rsid w:val="0086780C"/>
    <w:rsid w:val="00867AB8"/>
    <w:rsid w:val="00867ABC"/>
    <w:rsid w:val="00867B81"/>
    <w:rsid w:val="00867C5E"/>
    <w:rsid w:val="00867C89"/>
    <w:rsid w:val="00867D5B"/>
    <w:rsid w:val="00867E4D"/>
    <w:rsid w:val="0086A926"/>
    <w:rsid w:val="00870272"/>
    <w:rsid w:val="0087035D"/>
    <w:rsid w:val="008704D2"/>
    <w:rsid w:val="008704DD"/>
    <w:rsid w:val="00870548"/>
    <w:rsid w:val="008705DE"/>
    <w:rsid w:val="00870627"/>
    <w:rsid w:val="0087069D"/>
    <w:rsid w:val="008708EE"/>
    <w:rsid w:val="0087093E"/>
    <w:rsid w:val="00870968"/>
    <w:rsid w:val="008709AF"/>
    <w:rsid w:val="00870A05"/>
    <w:rsid w:val="00870A15"/>
    <w:rsid w:val="00870B7F"/>
    <w:rsid w:val="00871169"/>
    <w:rsid w:val="008712BB"/>
    <w:rsid w:val="0087140A"/>
    <w:rsid w:val="0087162C"/>
    <w:rsid w:val="008716C9"/>
    <w:rsid w:val="00871B40"/>
    <w:rsid w:val="0087240A"/>
    <w:rsid w:val="00872418"/>
    <w:rsid w:val="00872446"/>
    <w:rsid w:val="008724F8"/>
    <w:rsid w:val="0087276A"/>
    <w:rsid w:val="008727EE"/>
    <w:rsid w:val="00872A55"/>
    <w:rsid w:val="00872D20"/>
    <w:rsid w:val="00872FAA"/>
    <w:rsid w:val="00873024"/>
    <w:rsid w:val="00873195"/>
    <w:rsid w:val="008733E5"/>
    <w:rsid w:val="00873528"/>
    <w:rsid w:val="00873AE1"/>
    <w:rsid w:val="00873B54"/>
    <w:rsid w:val="00873BC0"/>
    <w:rsid w:val="00873C37"/>
    <w:rsid w:val="0087429F"/>
    <w:rsid w:val="008745CB"/>
    <w:rsid w:val="0087482A"/>
    <w:rsid w:val="00874A43"/>
    <w:rsid w:val="00874BA4"/>
    <w:rsid w:val="00874BB5"/>
    <w:rsid w:val="00874C4E"/>
    <w:rsid w:val="00874E62"/>
    <w:rsid w:val="00874EA5"/>
    <w:rsid w:val="00874FBF"/>
    <w:rsid w:val="00875009"/>
    <w:rsid w:val="0087502A"/>
    <w:rsid w:val="00875097"/>
    <w:rsid w:val="0087529C"/>
    <w:rsid w:val="0087540B"/>
    <w:rsid w:val="0087555E"/>
    <w:rsid w:val="008758EE"/>
    <w:rsid w:val="00875AFC"/>
    <w:rsid w:val="00875BE4"/>
    <w:rsid w:val="00875D67"/>
    <w:rsid w:val="00875E77"/>
    <w:rsid w:val="00875EB3"/>
    <w:rsid w:val="00876132"/>
    <w:rsid w:val="00876188"/>
    <w:rsid w:val="0087628A"/>
    <w:rsid w:val="0087629D"/>
    <w:rsid w:val="008762FA"/>
    <w:rsid w:val="00876604"/>
    <w:rsid w:val="008766F1"/>
    <w:rsid w:val="0087672A"/>
    <w:rsid w:val="0087687D"/>
    <w:rsid w:val="008769EB"/>
    <w:rsid w:val="00876AA0"/>
    <w:rsid w:val="00876B07"/>
    <w:rsid w:val="00876CDF"/>
    <w:rsid w:val="00876D6A"/>
    <w:rsid w:val="00876F3E"/>
    <w:rsid w:val="0087710A"/>
    <w:rsid w:val="0087713E"/>
    <w:rsid w:val="00877263"/>
    <w:rsid w:val="00877647"/>
    <w:rsid w:val="00877A01"/>
    <w:rsid w:val="00877AB4"/>
    <w:rsid w:val="00877B97"/>
    <w:rsid w:val="00877EF3"/>
    <w:rsid w:val="008800B5"/>
    <w:rsid w:val="00880188"/>
    <w:rsid w:val="00880454"/>
    <w:rsid w:val="00880971"/>
    <w:rsid w:val="00880A4F"/>
    <w:rsid w:val="00880B13"/>
    <w:rsid w:val="00880DB3"/>
    <w:rsid w:val="00880DE4"/>
    <w:rsid w:val="00880FB1"/>
    <w:rsid w:val="008810C8"/>
    <w:rsid w:val="008812F1"/>
    <w:rsid w:val="00881523"/>
    <w:rsid w:val="0088162C"/>
    <w:rsid w:val="008816C0"/>
    <w:rsid w:val="008819DB"/>
    <w:rsid w:val="00881C82"/>
    <w:rsid w:val="00881E1B"/>
    <w:rsid w:val="00881F06"/>
    <w:rsid w:val="00881F8C"/>
    <w:rsid w:val="00882138"/>
    <w:rsid w:val="008821F3"/>
    <w:rsid w:val="0088228C"/>
    <w:rsid w:val="0088236B"/>
    <w:rsid w:val="0088244E"/>
    <w:rsid w:val="008825D3"/>
    <w:rsid w:val="00882997"/>
    <w:rsid w:val="008829CA"/>
    <w:rsid w:val="00882AE9"/>
    <w:rsid w:val="00882D1B"/>
    <w:rsid w:val="00882E9A"/>
    <w:rsid w:val="00882EC5"/>
    <w:rsid w:val="0088320E"/>
    <w:rsid w:val="00883213"/>
    <w:rsid w:val="00883331"/>
    <w:rsid w:val="00883348"/>
    <w:rsid w:val="00883361"/>
    <w:rsid w:val="008837F2"/>
    <w:rsid w:val="008839F2"/>
    <w:rsid w:val="00883A0A"/>
    <w:rsid w:val="00883A8B"/>
    <w:rsid w:val="00883B9F"/>
    <w:rsid w:val="008841BB"/>
    <w:rsid w:val="0088426D"/>
    <w:rsid w:val="00884398"/>
    <w:rsid w:val="008846EE"/>
    <w:rsid w:val="008848C3"/>
    <w:rsid w:val="008848DC"/>
    <w:rsid w:val="00884A75"/>
    <w:rsid w:val="00884B1E"/>
    <w:rsid w:val="00884BB9"/>
    <w:rsid w:val="00884D54"/>
    <w:rsid w:val="00884D9C"/>
    <w:rsid w:val="00884EE1"/>
    <w:rsid w:val="00884F40"/>
    <w:rsid w:val="00885025"/>
    <w:rsid w:val="00885245"/>
    <w:rsid w:val="00885632"/>
    <w:rsid w:val="0088577A"/>
    <w:rsid w:val="0088578D"/>
    <w:rsid w:val="00885841"/>
    <w:rsid w:val="00885903"/>
    <w:rsid w:val="00885A44"/>
    <w:rsid w:val="00885BC5"/>
    <w:rsid w:val="00885BE4"/>
    <w:rsid w:val="00885C23"/>
    <w:rsid w:val="00885D7C"/>
    <w:rsid w:val="00885F3E"/>
    <w:rsid w:val="0088613B"/>
    <w:rsid w:val="00886257"/>
    <w:rsid w:val="008863D6"/>
    <w:rsid w:val="0088651B"/>
    <w:rsid w:val="0088676E"/>
    <w:rsid w:val="008867C1"/>
    <w:rsid w:val="008869B1"/>
    <w:rsid w:val="00886D06"/>
    <w:rsid w:val="00886DDE"/>
    <w:rsid w:val="00886E7D"/>
    <w:rsid w:val="00886EF6"/>
    <w:rsid w:val="00886F21"/>
    <w:rsid w:val="00887073"/>
    <w:rsid w:val="00887151"/>
    <w:rsid w:val="008875FF"/>
    <w:rsid w:val="008877BD"/>
    <w:rsid w:val="00887829"/>
    <w:rsid w:val="00887E24"/>
    <w:rsid w:val="00887FAD"/>
    <w:rsid w:val="0089005A"/>
    <w:rsid w:val="00890112"/>
    <w:rsid w:val="008902ED"/>
    <w:rsid w:val="008904D9"/>
    <w:rsid w:val="00890511"/>
    <w:rsid w:val="008905A6"/>
    <w:rsid w:val="00890885"/>
    <w:rsid w:val="00890988"/>
    <w:rsid w:val="00890C8F"/>
    <w:rsid w:val="00890E6B"/>
    <w:rsid w:val="00890E77"/>
    <w:rsid w:val="00890FB7"/>
    <w:rsid w:val="00891215"/>
    <w:rsid w:val="00891438"/>
    <w:rsid w:val="00891449"/>
    <w:rsid w:val="008914BC"/>
    <w:rsid w:val="008915F4"/>
    <w:rsid w:val="0089195C"/>
    <w:rsid w:val="00891BC2"/>
    <w:rsid w:val="00891D08"/>
    <w:rsid w:val="00891D93"/>
    <w:rsid w:val="00891DAF"/>
    <w:rsid w:val="00891DE2"/>
    <w:rsid w:val="00891EA0"/>
    <w:rsid w:val="00891EF9"/>
    <w:rsid w:val="00892041"/>
    <w:rsid w:val="00892060"/>
    <w:rsid w:val="0089212C"/>
    <w:rsid w:val="008922A6"/>
    <w:rsid w:val="008923FD"/>
    <w:rsid w:val="00892462"/>
    <w:rsid w:val="008925C2"/>
    <w:rsid w:val="0089276D"/>
    <w:rsid w:val="00892AAC"/>
    <w:rsid w:val="00892C31"/>
    <w:rsid w:val="00892CED"/>
    <w:rsid w:val="00893026"/>
    <w:rsid w:val="008936CB"/>
    <w:rsid w:val="008939F5"/>
    <w:rsid w:val="00893B33"/>
    <w:rsid w:val="00893D80"/>
    <w:rsid w:val="00893D8F"/>
    <w:rsid w:val="00893D95"/>
    <w:rsid w:val="00893E59"/>
    <w:rsid w:val="00893E85"/>
    <w:rsid w:val="008940DB"/>
    <w:rsid w:val="008942BB"/>
    <w:rsid w:val="0089431B"/>
    <w:rsid w:val="00894385"/>
    <w:rsid w:val="008944B2"/>
    <w:rsid w:val="008944C3"/>
    <w:rsid w:val="0089455A"/>
    <w:rsid w:val="00894941"/>
    <w:rsid w:val="00894B9B"/>
    <w:rsid w:val="00894D17"/>
    <w:rsid w:val="00894F53"/>
    <w:rsid w:val="0089507B"/>
    <w:rsid w:val="0089534B"/>
    <w:rsid w:val="00895581"/>
    <w:rsid w:val="008959B7"/>
    <w:rsid w:val="00895A50"/>
    <w:rsid w:val="00895A6E"/>
    <w:rsid w:val="00895D56"/>
    <w:rsid w:val="00895E06"/>
    <w:rsid w:val="008961B4"/>
    <w:rsid w:val="0089631B"/>
    <w:rsid w:val="008965FE"/>
    <w:rsid w:val="0089684A"/>
    <w:rsid w:val="008968B1"/>
    <w:rsid w:val="00896A73"/>
    <w:rsid w:val="008970A6"/>
    <w:rsid w:val="00897116"/>
    <w:rsid w:val="0089733C"/>
    <w:rsid w:val="00897686"/>
    <w:rsid w:val="008977F7"/>
    <w:rsid w:val="00897827"/>
    <w:rsid w:val="008978E1"/>
    <w:rsid w:val="00897A48"/>
    <w:rsid w:val="00897B32"/>
    <w:rsid w:val="00897B72"/>
    <w:rsid w:val="00897DDA"/>
    <w:rsid w:val="008A0364"/>
    <w:rsid w:val="008A0674"/>
    <w:rsid w:val="008A06BC"/>
    <w:rsid w:val="008A06F1"/>
    <w:rsid w:val="008A0710"/>
    <w:rsid w:val="008A072A"/>
    <w:rsid w:val="008A093E"/>
    <w:rsid w:val="008A098A"/>
    <w:rsid w:val="008A0D61"/>
    <w:rsid w:val="008A0E05"/>
    <w:rsid w:val="008A10BD"/>
    <w:rsid w:val="008A12F1"/>
    <w:rsid w:val="008A156F"/>
    <w:rsid w:val="008A15A2"/>
    <w:rsid w:val="008A17E1"/>
    <w:rsid w:val="008A1893"/>
    <w:rsid w:val="008A1E72"/>
    <w:rsid w:val="008A2157"/>
    <w:rsid w:val="008A2207"/>
    <w:rsid w:val="008A224F"/>
    <w:rsid w:val="008A23C5"/>
    <w:rsid w:val="008A243E"/>
    <w:rsid w:val="008A2708"/>
    <w:rsid w:val="008A2821"/>
    <w:rsid w:val="008A2CBF"/>
    <w:rsid w:val="008A2FE8"/>
    <w:rsid w:val="008A31FC"/>
    <w:rsid w:val="008A3265"/>
    <w:rsid w:val="008A3591"/>
    <w:rsid w:val="008A367B"/>
    <w:rsid w:val="008A3A04"/>
    <w:rsid w:val="008A3A3B"/>
    <w:rsid w:val="008A3D3B"/>
    <w:rsid w:val="008A3D40"/>
    <w:rsid w:val="008A3E4E"/>
    <w:rsid w:val="008A4257"/>
    <w:rsid w:val="008A4388"/>
    <w:rsid w:val="008A4836"/>
    <w:rsid w:val="008A48CD"/>
    <w:rsid w:val="008A4907"/>
    <w:rsid w:val="008A4930"/>
    <w:rsid w:val="008A49A8"/>
    <w:rsid w:val="008A4B84"/>
    <w:rsid w:val="008A4CAE"/>
    <w:rsid w:val="008A4D86"/>
    <w:rsid w:val="008A4E47"/>
    <w:rsid w:val="008A5047"/>
    <w:rsid w:val="008A5172"/>
    <w:rsid w:val="008A51EC"/>
    <w:rsid w:val="008A526A"/>
    <w:rsid w:val="008A5286"/>
    <w:rsid w:val="008A529A"/>
    <w:rsid w:val="008A52BD"/>
    <w:rsid w:val="008A5473"/>
    <w:rsid w:val="008A5494"/>
    <w:rsid w:val="008A55B0"/>
    <w:rsid w:val="008A55F2"/>
    <w:rsid w:val="008A56B2"/>
    <w:rsid w:val="008A570B"/>
    <w:rsid w:val="008A578C"/>
    <w:rsid w:val="008A57AA"/>
    <w:rsid w:val="008A5E0F"/>
    <w:rsid w:val="008A607B"/>
    <w:rsid w:val="008A61E0"/>
    <w:rsid w:val="008A64E7"/>
    <w:rsid w:val="008A65A6"/>
    <w:rsid w:val="008A65D6"/>
    <w:rsid w:val="008A665D"/>
    <w:rsid w:val="008A684C"/>
    <w:rsid w:val="008A6F02"/>
    <w:rsid w:val="008A7084"/>
    <w:rsid w:val="008A720E"/>
    <w:rsid w:val="008A7338"/>
    <w:rsid w:val="008A7411"/>
    <w:rsid w:val="008A74D3"/>
    <w:rsid w:val="008A75B0"/>
    <w:rsid w:val="008A7B5C"/>
    <w:rsid w:val="008A7DC0"/>
    <w:rsid w:val="008A7FB9"/>
    <w:rsid w:val="008B0009"/>
    <w:rsid w:val="008B016A"/>
    <w:rsid w:val="008B016E"/>
    <w:rsid w:val="008B026D"/>
    <w:rsid w:val="008B089C"/>
    <w:rsid w:val="008B0984"/>
    <w:rsid w:val="008B0AC7"/>
    <w:rsid w:val="008B0B50"/>
    <w:rsid w:val="008B0C3E"/>
    <w:rsid w:val="008B0DC1"/>
    <w:rsid w:val="008B0E5F"/>
    <w:rsid w:val="008B1003"/>
    <w:rsid w:val="008B1056"/>
    <w:rsid w:val="008B12F1"/>
    <w:rsid w:val="008B149D"/>
    <w:rsid w:val="008B14BE"/>
    <w:rsid w:val="008B161F"/>
    <w:rsid w:val="008B1810"/>
    <w:rsid w:val="008B185A"/>
    <w:rsid w:val="008B1906"/>
    <w:rsid w:val="008B1BE3"/>
    <w:rsid w:val="008B1DCA"/>
    <w:rsid w:val="008B1E4C"/>
    <w:rsid w:val="008B2018"/>
    <w:rsid w:val="008B2642"/>
    <w:rsid w:val="008B277E"/>
    <w:rsid w:val="008B28BF"/>
    <w:rsid w:val="008B2AED"/>
    <w:rsid w:val="008B2C94"/>
    <w:rsid w:val="008B2EAB"/>
    <w:rsid w:val="008B342A"/>
    <w:rsid w:val="008B3494"/>
    <w:rsid w:val="008B34D3"/>
    <w:rsid w:val="008B34EF"/>
    <w:rsid w:val="008B38BA"/>
    <w:rsid w:val="008B3AEB"/>
    <w:rsid w:val="008B3E17"/>
    <w:rsid w:val="008B3F52"/>
    <w:rsid w:val="008B3F88"/>
    <w:rsid w:val="008B3FB1"/>
    <w:rsid w:val="008B4135"/>
    <w:rsid w:val="008B416F"/>
    <w:rsid w:val="008B426A"/>
    <w:rsid w:val="008B4343"/>
    <w:rsid w:val="008B43DD"/>
    <w:rsid w:val="008B4412"/>
    <w:rsid w:val="008B472F"/>
    <w:rsid w:val="008B47AC"/>
    <w:rsid w:val="008B47B4"/>
    <w:rsid w:val="008B48CF"/>
    <w:rsid w:val="008B48D0"/>
    <w:rsid w:val="008B496B"/>
    <w:rsid w:val="008B49AD"/>
    <w:rsid w:val="008B49EC"/>
    <w:rsid w:val="008B4DF9"/>
    <w:rsid w:val="008B4E5C"/>
    <w:rsid w:val="008B4EE6"/>
    <w:rsid w:val="008B4F6B"/>
    <w:rsid w:val="008B526C"/>
    <w:rsid w:val="008B54D8"/>
    <w:rsid w:val="008B5B07"/>
    <w:rsid w:val="008B5CAF"/>
    <w:rsid w:val="008B61D5"/>
    <w:rsid w:val="008B6383"/>
    <w:rsid w:val="008B6477"/>
    <w:rsid w:val="008B6567"/>
    <w:rsid w:val="008B65EB"/>
    <w:rsid w:val="008B666F"/>
    <w:rsid w:val="008B6675"/>
    <w:rsid w:val="008B66DE"/>
    <w:rsid w:val="008B67C1"/>
    <w:rsid w:val="008B6BA6"/>
    <w:rsid w:val="008B6C20"/>
    <w:rsid w:val="008B6D28"/>
    <w:rsid w:val="008B6F87"/>
    <w:rsid w:val="008B73FC"/>
    <w:rsid w:val="008B73FD"/>
    <w:rsid w:val="008B76D1"/>
    <w:rsid w:val="008B76F3"/>
    <w:rsid w:val="008B7701"/>
    <w:rsid w:val="008B7959"/>
    <w:rsid w:val="008B7A28"/>
    <w:rsid w:val="008B7D35"/>
    <w:rsid w:val="008B7D98"/>
    <w:rsid w:val="008B7DF7"/>
    <w:rsid w:val="008B7E13"/>
    <w:rsid w:val="008B7EC8"/>
    <w:rsid w:val="008B7ECC"/>
    <w:rsid w:val="008C0067"/>
    <w:rsid w:val="008C0313"/>
    <w:rsid w:val="008C03AF"/>
    <w:rsid w:val="008C0423"/>
    <w:rsid w:val="008C05C8"/>
    <w:rsid w:val="008C066C"/>
    <w:rsid w:val="008C08F0"/>
    <w:rsid w:val="008C0A76"/>
    <w:rsid w:val="008C0B2C"/>
    <w:rsid w:val="008C0CBA"/>
    <w:rsid w:val="008C0E46"/>
    <w:rsid w:val="008C0FAA"/>
    <w:rsid w:val="008C105D"/>
    <w:rsid w:val="008C108B"/>
    <w:rsid w:val="008C1186"/>
    <w:rsid w:val="008C124C"/>
    <w:rsid w:val="008C12A0"/>
    <w:rsid w:val="008C13F3"/>
    <w:rsid w:val="008C14F7"/>
    <w:rsid w:val="008C1507"/>
    <w:rsid w:val="008C17E0"/>
    <w:rsid w:val="008C1814"/>
    <w:rsid w:val="008C1962"/>
    <w:rsid w:val="008C1A4D"/>
    <w:rsid w:val="008C1C40"/>
    <w:rsid w:val="008C1C6E"/>
    <w:rsid w:val="008C1CB5"/>
    <w:rsid w:val="008C1D3A"/>
    <w:rsid w:val="008C1DDA"/>
    <w:rsid w:val="008C2162"/>
    <w:rsid w:val="008C21E5"/>
    <w:rsid w:val="008C241D"/>
    <w:rsid w:val="008C256A"/>
    <w:rsid w:val="008C27B8"/>
    <w:rsid w:val="008C27E2"/>
    <w:rsid w:val="008C27E4"/>
    <w:rsid w:val="008C2AB5"/>
    <w:rsid w:val="008C3058"/>
    <w:rsid w:val="008C3066"/>
    <w:rsid w:val="008C330F"/>
    <w:rsid w:val="008C33DB"/>
    <w:rsid w:val="008C3463"/>
    <w:rsid w:val="008C36BB"/>
    <w:rsid w:val="008C373F"/>
    <w:rsid w:val="008C3854"/>
    <w:rsid w:val="008C3873"/>
    <w:rsid w:val="008C3918"/>
    <w:rsid w:val="008C3A48"/>
    <w:rsid w:val="008C3A97"/>
    <w:rsid w:val="008C3D1D"/>
    <w:rsid w:val="008C3DA5"/>
    <w:rsid w:val="008C3F9C"/>
    <w:rsid w:val="008C3FC8"/>
    <w:rsid w:val="008C40CA"/>
    <w:rsid w:val="008C40D3"/>
    <w:rsid w:val="008C40F3"/>
    <w:rsid w:val="008C476B"/>
    <w:rsid w:val="008C47D7"/>
    <w:rsid w:val="008C4B23"/>
    <w:rsid w:val="008C4BAB"/>
    <w:rsid w:val="008C4EBF"/>
    <w:rsid w:val="008C4F6E"/>
    <w:rsid w:val="008C510B"/>
    <w:rsid w:val="008C5116"/>
    <w:rsid w:val="008C5143"/>
    <w:rsid w:val="008C51E3"/>
    <w:rsid w:val="008C52FB"/>
    <w:rsid w:val="008C554C"/>
    <w:rsid w:val="008C5614"/>
    <w:rsid w:val="008C58B8"/>
    <w:rsid w:val="008C5B40"/>
    <w:rsid w:val="008C5C0F"/>
    <w:rsid w:val="008C5D93"/>
    <w:rsid w:val="008C5E21"/>
    <w:rsid w:val="008C5FAB"/>
    <w:rsid w:val="008C6031"/>
    <w:rsid w:val="008C62C3"/>
    <w:rsid w:val="008C671A"/>
    <w:rsid w:val="008C6804"/>
    <w:rsid w:val="008C68B4"/>
    <w:rsid w:val="008C69DE"/>
    <w:rsid w:val="008C6B2D"/>
    <w:rsid w:val="008C6EB3"/>
    <w:rsid w:val="008C6ECB"/>
    <w:rsid w:val="008C710C"/>
    <w:rsid w:val="008C73BF"/>
    <w:rsid w:val="008C74E5"/>
    <w:rsid w:val="008C754C"/>
    <w:rsid w:val="008C76AA"/>
    <w:rsid w:val="008C7A0C"/>
    <w:rsid w:val="008C7BF0"/>
    <w:rsid w:val="008C7C72"/>
    <w:rsid w:val="008C7CAA"/>
    <w:rsid w:val="008C7F31"/>
    <w:rsid w:val="008D007B"/>
    <w:rsid w:val="008D016C"/>
    <w:rsid w:val="008D0229"/>
    <w:rsid w:val="008D07CE"/>
    <w:rsid w:val="008D0AAB"/>
    <w:rsid w:val="008D0AC0"/>
    <w:rsid w:val="008D0B5F"/>
    <w:rsid w:val="008D0BC6"/>
    <w:rsid w:val="008D0CBA"/>
    <w:rsid w:val="008D0CC2"/>
    <w:rsid w:val="008D0E47"/>
    <w:rsid w:val="008D0E6D"/>
    <w:rsid w:val="008D0F4C"/>
    <w:rsid w:val="008D0F62"/>
    <w:rsid w:val="008D1054"/>
    <w:rsid w:val="008D11AE"/>
    <w:rsid w:val="008D1246"/>
    <w:rsid w:val="008D1277"/>
    <w:rsid w:val="008D1288"/>
    <w:rsid w:val="008D1317"/>
    <w:rsid w:val="008D1356"/>
    <w:rsid w:val="008D13A9"/>
    <w:rsid w:val="008D1431"/>
    <w:rsid w:val="008D1579"/>
    <w:rsid w:val="008D15A6"/>
    <w:rsid w:val="008D166C"/>
    <w:rsid w:val="008D1BCF"/>
    <w:rsid w:val="008D1BDE"/>
    <w:rsid w:val="008D1C31"/>
    <w:rsid w:val="008D1D09"/>
    <w:rsid w:val="008D1D6F"/>
    <w:rsid w:val="008D1F3C"/>
    <w:rsid w:val="008D201C"/>
    <w:rsid w:val="008D21A2"/>
    <w:rsid w:val="008D23B5"/>
    <w:rsid w:val="008D23CA"/>
    <w:rsid w:val="008D23CC"/>
    <w:rsid w:val="008D23D2"/>
    <w:rsid w:val="008D254E"/>
    <w:rsid w:val="008D256F"/>
    <w:rsid w:val="008D2668"/>
    <w:rsid w:val="008D27BB"/>
    <w:rsid w:val="008D27CE"/>
    <w:rsid w:val="008D2C72"/>
    <w:rsid w:val="008D2C8C"/>
    <w:rsid w:val="008D2F1F"/>
    <w:rsid w:val="008D2F32"/>
    <w:rsid w:val="008D30BF"/>
    <w:rsid w:val="008D30DC"/>
    <w:rsid w:val="008D3252"/>
    <w:rsid w:val="008D3446"/>
    <w:rsid w:val="008D3651"/>
    <w:rsid w:val="008D370F"/>
    <w:rsid w:val="008D3860"/>
    <w:rsid w:val="008D399A"/>
    <w:rsid w:val="008D39D9"/>
    <w:rsid w:val="008D3B1B"/>
    <w:rsid w:val="008D3BF9"/>
    <w:rsid w:val="008D3C8C"/>
    <w:rsid w:val="008D3E1B"/>
    <w:rsid w:val="008D3F73"/>
    <w:rsid w:val="008D3FA4"/>
    <w:rsid w:val="008D3FC1"/>
    <w:rsid w:val="008D3FCB"/>
    <w:rsid w:val="008D4A4A"/>
    <w:rsid w:val="008D4BCC"/>
    <w:rsid w:val="008D4DF7"/>
    <w:rsid w:val="008D4E4A"/>
    <w:rsid w:val="008D4F44"/>
    <w:rsid w:val="008D5023"/>
    <w:rsid w:val="008D5124"/>
    <w:rsid w:val="008D52FA"/>
    <w:rsid w:val="008D5490"/>
    <w:rsid w:val="008D570A"/>
    <w:rsid w:val="008D5B09"/>
    <w:rsid w:val="008D5B1C"/>
    <w:rsid w:val="008D5BF0"/>
    <w:rsid w:val="008D5D24"/>
    <w:rsid w:val="008D6171"/>
    <w:rsid w:val="008D6472"/>
    <w:rsid w:val="008D679C"/>
    <w:rsid w:val="008D68A4"/>
    <w:rsid w:val="008D697D"/>
    <w:rsid w:val="008D69C0"/>
    <w:rsid w:val="008D6BB4"/>
    <w:rsid w:val="008D6C16"/>
    <w:rsid w:val="008D6D67"/>
    <w:rsid w:val="008D6E18"/>
    <w:rsid w:val="008D6EE7"/>
    <w:rsid w:val="008D6EF0"/>
    <w:rsid w:val="008D7045"/>
    <w:rsid w:val="008D706C"/>
    <w:rsid w:val="008D7074"/>
    <w:rsid w:val="008D7077"/>
    <w:rsid w:val="008D70EB"/>
    <w:rsid w:val="008D71BC"/>
    <w:rsid w:val="008D7203"/>
    <w:rsid w:val="008D765F"/>
    <w:rsid w:val="008D7842"/>
    <w:rsid w:val="008D785A"/>
    <w:rsid w:val="008D7A7D"/>
    <w:rsid w:val="008D7AFD"/>
    <w:rsid w:val="008D7ED3"/>
    <w:rsid w:val="008E00B1"/>
    <w:rsid w:val="008E01A7"/>
    <w:rsid w:val="008E031E"/>
    <w:rsid w:val="008E077E"/>
    <w:rsid w:val="008E0782"/>
    <w:rsid w:val="008E0846"/>
    <w:rsid w:val="008E08AA"/>
    <w:rsid w:val="008E0C74"/>
    <w:rsid w:val="008E0DF8"/>
    <w:rsid w:val="008E0E76"/>
    <w:rsid w:val="008E1021"/>
    <w:rsid w:val="008E1077"/>
    <w:rsid w:val="008E129F"/>
    <w:rsid w:val="008E152F"/>
    <w:rsid w:val="008E16D2"/>
    <w:rsid w:val="008E188E"/>
    <w:rsid w:val="008E18A9"/>
    <w:rsid w:val="008E1C11"/>
    <w:rsid w:val="008E1C74"/>
    <w:rsid w:val="008E1CF4"/>
    <w:rsid w:val="008E1F61"/>
    <w:rsid w:val="008E21D9"/>
    <w:rsid w:val="008E220D"/>
    <w:rsid w:val="008E221A"/>
    <w:rsid w:val="008E226E"/>
    <w:rsid w:val="008E2590"/>
    <w:rsid w:val="008E259F"/>
    <w:rsid w:val="008E2629"/>
    <w:rsid w:val="008E2B5F"/>
    <w:rsid w:val="008E2E67"/>
    <w:rsid w:val="008E2EB4"/>
    <w:rsid w:val="008E30DD"/>
    <w:rsid w:val="008E3267"/>
    <w:rsid w:val="008E3497"/>
    <w:rsid w:val="008E3563"/>
    <w:rsid w:val="008E3685"/>
    <w:rsid w:val="008E3783"/>
    <w:rsid w:val="008E3911"/>
    <w:rsid w:val="008E3A2D"/>
    <w:rsid w:val="008E3A67"/>
    <w:rsid w:val="008E3BA1"/>
    <w:rsid w:val="008E3BDD"/>
    <w:rsid w:val="008E3CA8"/>
    <w:rsid w:val="008E3CE2"/>
    <w:rsid w:val="008E3E84"/>
    <w:rsid w:val="008E3EC2"/>
    <w:rsid w:val="008E3F72"/>
    <w:rsid w:val="008E41C9"/>
    <w:rsid w:val="008E44D4"/>
    <w:rsid w:val="008E45B8"/>
    <w:rsid w:val="008E45F6"/>
    <w:rsid w:val="008E493B"/>
    <w:rsid w:val="008E49E6"/>
    <w:rsid w:val="008E4A64"/>
    <w:rsid w:val="008E4A92"/>
    <w:rsid w:val="008E4B62"/>
    <w:rsid w:val="008E4C71"/>
    <w:rsid w:val="008E4CA5"/>
    <w:rsid w:val="008E4CF1"/>
    <w:rsid w:val="008E4D56"/>
    <w:rsid w:val="008E4FC9"/>
    <w:rsid w:val="008E5186"/>
    <w:rsid w:val="008E51EC"/>
    <w:rsid w:val="008E561D"/>
    <w:rsid w:val="008E56D1"/>
    <w:rsid w:val="008E575E"/>
    <w:rsid w:val="008E576E"/>
    <w:rsid w:val="008E57AF"/>
    <w:rsid w:val="008E5873"/>
    <w:rsid w:val="008E59B0"/>
    <w:rsid w:val="008E5AD1"/>
    <w:rsid w:val="008E5B9E"/>
    <w:rsid w:val="008E5CBC"/>
    <w:rsid w:val="008E5D1C"/>
    <w:rsid w:val="008E5DD3"/>
    <w:rsid w:val="008E5E63"/>
    <w:rsid w:val="008E60C1"/>
    <w:rsid w:val="008E61B9"/>
    <w:rsid w:val="008E63FF"/>
    <w:rsid w:val="008E6484"/>
    <w:rsid w:val="008E670C"/>
    <w:rsid w:val="008E69AF"/>
    <w:rsid w:val="008E6A11"/>
    <w:rsid w:val="008E6E7B"/>
    <w:rsid w:val="008E6F55"/>
    <w:rsid w:val="008E7160"/>
    <w:rsid w:val="008E7164"/>
    <w:rsid w:val="008E73A8"/>
    <w:rsid w:val="008E7407"/>
    <w:rsid w:val="008E7A1F"/>
    <w:rsid w:val="008E7A30"/>
    <w:rsid w:val="008E7C43"/>
    <w:rsid w:val="008E7FD8"/>
    <w:rsid w:val="008F007D"/>
    <w:rsid w:val="008F0166"/>
    <w:rsid w:val="008F05EE"/>
    <w:rsid w:val="008F066F"/>
    <w:rsid w:val="008F07A7"/>
    <w:rsid w:val="008F096D"/>
    <w:rsid w:val="008F09FD"/>
    <w:rsid w:val="008F0DFC"/>
    <w:rsid w:val="008F0ECC"/>
    <w:rsid w:val="008F0FFE"/>
    <w:rsid w:val="008F11CB"/>
    <w:rsid w:val="008F11E1"/>
    <w:rsid w:val="008F1204"/>
    <w:rsid w:val="008F157B"/>
    <w:rsid w:val="008F1D50"/>
    <w:rsid w:val="008F1DFC"/>
    <w:rsid w:val="008F1F88"/>
    <w:rsid w:val="008F20CF"/>
    <w:rsid w:val="008F2169"/>
    <w:rsid w:val="008F216E"/>
    <w:rsid w:val="008F21AD"/>
    <w:rsid w:val="008F21F9"/>
    <w:rsid w:val="008F23D3"/>
    <w:rsid w:val="008F2613"/>
    <w:rsid w:val="008F28D5"/>
    <w:rsid w:val="008F2A1A"/>
    <w:rsid w:val="008F2A62"/>
    <w:rsid w:val="008F2BCF"/>
    <w:rsid w:val="008F2CB8"/>
    <w:rsid w:val="008F2DB9"/>
    <w:rsid w:val="008F2FE6"/>
    <w:rsid w:val="008F3164"/>
    <w:rsid w:val="008F3171"/>
    <w:rsid w:val="008F32E0"/>
    <w:rsid w:val="008F36D2"/>
    <w:rsid w:val="008F37A0"/>
    <w:rsid w:val="008F3CAC"/>
    <w:rsid w:val="008F3DC0"/>
    <w:rsid w:val="008F3F2A"/>
    <w:rsid w:val="008F3F39"/>
    <w:rsid w:val="008F4040"/>
    <w:rsid w:val="008F4372"/>
    <w:rsid w:val="008F45B4"/>
    <w:rsid w:val="008F45EF"/>
    <w:rsid w:val="008F475C"/>
    <w:rsid w:val="008F4766"/>
    <w:rsid w:val="008F48EB"/>
    <w:rsid w:val="008F49F7"/>
    <w:rsid w:val="008F4DFF"/>
    <w:rsid w:val="008F4F8E"/>
    <w:rsid w:val="008F5205"/>
    <w:rsid w:val="008F527C"/>
    <w:rsid w:val="008F554A"/>
    <w:rsid w:val="008F5571"/>
    <w:rsid w:val="008F56B4"/>
    <w:rsid w:val="008F5947"/>
    <w:rsid w:val="008F5B61"/>
    <w:rsid w:val="008F6165"/>
    <w:rsid w:val="008F621A"/>
    <w:rsid w:val="008F6539"/>
    <w:rsid w:val="008F67C6"/>
    <w:rsid w:val="008F6999"/>
    <w:rsid w:val="008F6CDE"/>
    <w:rsid w:val="008F6F37"/>
    <w:rsid w:val="008F730E"/>
    <w:rsid w:val="008F73B4"/>
    <w:rsid w:val="008F7545"/>
    <w:rsid w:val="008F761A"/>
    <w:rsid w:val="008F783C"/>
    <w:rsid w:val="008F7A21"/>
    <w:rsid w:val="008F7B6E"/>
    <w:rsid w:val="008F7C8D"/>
    <w:rsid w:val="008F7F0D"/>
    <w:rsid w:val="008F7FC8"/>
    <w:rsid w:val="0090035C"/>
    <w:rsid w:val="00900638"/>
    <w:rsid w:val="009007D4"/>
    <w:rsid w:val="00900D1C"/>
    <w:rsid w:val="00900EE0"/>
    <w:rsid w:val="00900EF2"/>
    <w:rsid w:val="00900FF9"/>
    <w:rsid w:val="00901106"/>
    <w:rsid w:val="00901285"/>
    <w:rsid w:val="0090128D"/>
    <w:rsid w:val="00901330"/>
    <w:rsid w:val="009014C8"/>
    <w:rsid w:val="00901682"/>
    <w:rsid w:val="009018ED"/>
    <w:rsid w:val="0090194D"/>
    <w:rsid w:val="00901A6B"/>
    <w:rsid w:val="00901BA9"/>
    <w:rsid w:val="00901C56"/>
    <w:rsid w:val="00901F0A"/>
    <w:rsid w:val="00901F4F"/>
    <w:rsid w:val="00901F5E"/>
    <w:rsid w:val="00901F65"/>
    <w:rsid w:val="00902356"/>
    <w:rsid w:val="00902382"/>
    <w:rsid w:val="009023DD"/>
    <w:rsid w:val="0090240C"/>
    <w:rsid w:val="00902410"/>
    <w:rsid w:val="00902499"/>
    <w:rsid w:val="0090259D"/>
    <w:rsid w:val="009026E0"/>
    <w:rsid w:val="009026FA"/>
    <w:rsid w:val="0090274D"/>
    <w:rsid w:val="0090285E"/>
    <w:rsid w:val="00902A4C"/>
    <w:rsid w:val="00902AA7"/>
    <w:rsid w:val="00902B55"/>
    <w:rsid w:val="00902CA6"/>
    <w:rsid w:val="00902D61"/>
    <w:rsid w:val="00902D72"/>
    <w:rsid w:val="00902E94"/>
    <w:rsid w:val="00902F5A"/>
    <w:rsid w:val="00903034"/>
    <w:rsid w:val="009030F8"/>
    <w:rsid w:val="00903591"/>
    <w:rsid w:val="00903C5A"/>
    <w:rsid w:val="00903EF4"/>
    <w:rsid w:val="00903F2E"/>
    <w:rsid w:val="00903F96"/>
    <w:rsid w:val="009040E4"/>
    <w:rsid w:val="009040F4"/>
    <w:rsid w:val="00904174"/>
    <w:rsid w:val="009041AD"/>
    <w:rsid w:val="009042CE"/>
    <w:rsid w:val="00904327"/>
    <w:rsid w:val="0090438F"/>
    <w:rsid w:val="0090445A"/>
    <w:rsid w:val="00904480"/>
    <w:rsid w:val="0090450C"/>
    <w:rsid w:val="00904852"/>
    <w:rsid w:val="00904948"/>
    <w:rsid w:val="00904E27"/>
    <w:rsid w:val="0090509B"/>
    <w:rsid w:val="0090529F"/>
    <w:rsid w:val="0090534C"/>
    <w:rsid w:val="0090558A"/>
    <w:rsid w:val="009055CF"/>
    <w:rsid w:val="00905827"/>
    <w:rsid w:val="0090589A"/>
    <w:rsid w:val="00905976"/>
    <w:rsid w:val="00905F58"/>
    <w:rsid w:val="0090653E"/>
    <w:rsid w:val="009067A4"/>
    <w:rsid w:val="009067FC"/>
    <w:rsid w:val="00906930"/>
    <w:rsid w:val="0090699E"/>
    <w:rsid w:val="009069AA"/>
    <w:rsid w:val="00906A12"/>
    <w:rsid w:val="00906A2D"/>
    <w:rsid w:val="00906CF2"/>
    <w:rsid w:val="00906D71"/>
    <w:rsid w:val="0090710C"/>
    <w:rsid w:val="0090719F"/>
    <w:rsid w:val="00907542"/>
    <w:rsid w:val="00907605"/>
    <w:rsid w:val="009077EC"/>
    <w:rsid w:val="00907A3C"/>
    <w:rsid w:val="00907DAB"/>
    <w:rsid w:val="00907DDE"/>
    <w:rsid w:val="00907E24"/>
    <w:rsid w:val="00907EAE"/>
    <w:rsid w:val="00907F3A"/>
    <w:rsid w:val="00907FCD"/>
    <w:rsid w:val="00910095"/>
    <w:rsid w:val="00910168"/>
    <w:rsid w:val="009101A7"/>
    <w:rsid w:val="00910324"/>
    <w:rsid w:val="00910553"/>
    <w:rsid w:val="00910586"/>
    <w:rsid w:val="00910601"/>
    <w:rsid w:val="00910817"/>
    <w:rsid w:val="00910892"/>
    <w:rsid w:val="009109CF"/>
    <w:rsid w:val="00910B9D"/>
    <w:rsid w:val="00910F05"/>
    <w:rsid w:val="00911180"/>
    <w:rsid w:val="00911329"/>
    <w:rsid w:val="00911418"/>
    <w:rsid w:val="009114B9"/>
    <w:rsid w:val="0091169C"/>
    <w:rsid w:val="009118A7"/>
    <w:rsid w:val="00911A76"/>
    <w:rsid w:val="00911D93"/>
    <w:rsid w:val="00911F01"/>
    <w:rsid w:val="00912365"/>
    <w:rsid w:val="009123D6"/>
    <w:rsid w:val="0091289B"/>
    <w:rsid w:val="00912A35"/>
    <w:rsid w:val="00912A37"/>
    <w:rsid w:val="00912C6B"/>
    <w:rsid w:val="009130AC"/>
    <w:rsid w:val="009131DE"/>
    <w:rsid w:val="009133CB"/>
    <w:rsid w:val="00913B62"/>
    <w:rsid w:val="00913BF7"/>
    <w:rsid w:val="00913C97"/>
    <w:rsid w:val="00913FCB"/>
    <w:rsid w:val="0091409C"/>
    <w:rsid w:val="0091411D"/>
    <w:rsid w:val="00914190"/>
    <w:rsid w:val="009143E4"/>
    <w:rsid w:val="0091440C"/>
    <w:rsid w:val="00914A03"/>
    <w:rsid w:val="00914C25"/>
    <w:rsid w:val="00914D32"/>
    <w:rsid w:val="00914F17"/>
    <w:rsid w:val="00914FAA"/>
    <w:rsid w:val="00915255"/>
    <w:rsid w:val="00915784"/>
    <w:rsid w:val="009159BD"/>
    <w:rsid w:val="00915E90"/>
    <w:rsid w:val="009160DD"/>
    <w:rsid w:val="009162CB"/>
    <w:rsid w:val="009162E7"/>
    <w:rsid w:val="009163DB"/>
    <w:rsid w:val="00916515"/>
    <w:rsid w:val="009167B9"/>
    <w:rsid w:val="009168BD"/>
    <w:rsid w:val="00916B07"/>
    <w:rsid w:val="00916B79"/>
    <w:rsid w:val="00916BA5"/>
    <w:rsid w:val="00916D6B"/>
    <w:rsid w:val="00916EEA"/>
    <w:rsid w:val="00916F7C"/>
    <w:rsid w:val="00916FC2"/>
    <w:rsid w:val="00916FCA"/>
    <w:rsid w:val="0091711B"/>
    <w:rsid w:val="00917253"/>
    <w:rsid w:val="0091739B"/>
    <w:rsid w:val="009176EA"/>
    <w:rsid w:val="0091772F"/>
    <w:rsid w:val="009179DE"/>
    <w:rsid w:val="00917A5C"/>
    <w:rsid w:val="00917DB8"/>
    <w:rsid w:val="00917DFF"/>
    <w:rsid w:val="00917E67"/>
    <w:rsid w:val="00917F96"/>
    <w:rsid w:val="009206A6"/>
    <w:rsid w:val="009209DE"/>
    <w:rsid w:val="00920C9C"/>
    <w:rsid w:val="00920F07"/>
    <w:rsid w:val="009212CD"/>
    <w:rsid w:val="009212DA"/>
    <w:rsid w:val="009217C1"/>
    <w:rsid w:val="009218D1"/>
    <w:rsid w:val="00921F04"/>
    <w:rsid w:val="00922035"/>
    <w:rsid w:val="00922156"/>
    <w:rsid w:val="0092224A"/>
    <w:rsid w:val="009223FB"/>
    <w:rsid w:val="00922424"/>
    <w:rsid w:val="0092261B"/>
    <w:rsid w:val="00922995"/>
    <w:rsid w:val="00922A51"/>
    <w:rsid w:val="00922AEC"/>
    <w:rsid w:val="00922BE7"/>
    <w:rsid w:val="00922D55"/>
    <w:rsid w:val="00922D71"/>
    <w:rsid w:val="00922DDA"/>
    <w:rsid w:val="00922E3A"/>
    <w:rsid w:val="00922FDE"/>
    <w:rsid w:val="0092302F"/>
    <w:rsid w:val="00923132"/>
    <w:rsid w:val="0092337F"/>
    <w:rsid w:val="0092340E"/>
    <w:rsid w:val="009234BC"/>
    <w:rsid w:val="009235E3"/>
    <w:rsid w:val="00923838"/>
    <w:rsid w:val="009238E0"/>
    <w:rsid w:val="00923B07"/>
    <w:rsid w:val="00924120"/>
    <w:rsid w:val="0092419F"/>
    <w:rsid w:val="009244F6"/>
    <w:rsid w:val="0092471E"/>
    <w:rsid w:val="009248B3"/>
    <w:rsid w:val="00924A0F"/>
    <w:rsid w:val="00924A36"/>
    <w:rsid w:val="00924B1A"/>
    <w:rsid w:val="00924B21"/>
    <w:rsid w:val="00924B3B"/>
    <w:rsid w:val="00924FBC"/>
    <w:rsid w:val="00924FDD"/>
    <w:rsid w:val="009252D7"/>
    <w:rsid w:val="009253DB"/>
    <w:rsid w:val="0092553B"/>
    <w:rsid w:val="00925596"/>
    <w:rsid w:val="009258A3"/>
    <w:rsid w:val="0092597F"/>
    <w:rsid w:val="00925B49"/>
    <w:rsid w:val="00925B63"/>
    <w:rsid w:val="009264B1"/>
    <w:rsid w:val="009264E1"/>
    <w:rsid w:val="0092662B"/>
    <w:rsid w:val="00926BEE"/>
    <w:rsid w:val="00926C1B"/>
    <w:rsid w:val="00926C49"/>
    <w:rsid w:val="00926CF9"/>
    <w:rsid w:val="00926DA4"/>
    <w:rsid w:val="00926DB3"/>
    <w:rsid w:val="009270B3"/>
    <w:rsid w:val="00927143"/>
    <w:rsid w:val="009273BC"/>
    <w:rsid w:val="0092742F"/>
    <w:rsid w:val="00927498"/>
    <w:rsid w:val="00927553"/>
    <w:rsid w:val="00927949"/>
    <w:rsid w:val="00927AD6"/>
    <w:rsid w:val="009300B9"/>
    <w:rsid w:val="009301EB"/>
    <w:rsid w:val="00930248"/>
    <w:rsid w:val="0093025B"/>
    <w:rsid w:val="0093045D"/>
    <w:rsid w:val="00930564"/>
    <w:rsid w:val="00930657"/>
    <w:rsid w:val="009306A6"/>
    <w:rsid w:val="009306F4"/>
    <w:rsid w:val="00930765"/>
    <w:rsid w:val="009307F6"/>
    <w:rsid w:val="00930826"/>
    <w:rsid w:val="00930922"/>
    <w:rsid w:val="009309AE"/>
    <w:rsid w:val="009309B2"/>
    <w:rsid w:val="00930B0C"/>
    <w:rsid w:val="00930C7D"/>
    <w:rsid w:val="00931100"/>
    <w:rsid w:val="0093117A"/>
    <w:rsid w:val="009311B7"/>
    <w:rsid w:val="00931593"/>
    <w:rsid w:val="009315A1"/>
    <w:rsid w:val="009315D9"/>
    <w:rsid w:val="009317AB"/>
    <w:rsid w:val="00931C5B"/>
    <w:rsid w:val="00932151"/>
    <w:rsid w:val="009322E0"/>
    <w:rsid w:val="00932604"/>
    <w:rsid w:val="009328AD"/>
    <w:rsid w:val="00932AF5"/>
    <w:rsid w:val="00932BC4"/>
    <w:rsid w:val="00932C0B"/>
    <w:rsid w:val="00932F0F"/>
    <w:rsid w:val="00932F1A"/>
    <w:rsid w:val="0093313A"/>
    <w:rsid w:val="009331D9"/>
    <w:rsid w:val="009333CF"/>
    <w:rsid w:val="009336D9"/>
    <w:rsid w:val="00933C51"/>
    <w:rsid w:val="00933CBD"/>
    <w:rsid w:val="00933D48"/>
    <w:rsid w:val="00933E5D"/>
    <w:rsid w:val="00933E88"/>
    <w:rsid w:val="00933EA9"/>
    <w:rsid w:val="00934489"/>
    <w:rsid w:val="00934538"/>
    <w:rsid w:val="009347FE"/>
    <w:rsid w:val="00934AE4"/>
    <w:rsid w:val="00934B62"/>
    <w:rsid w:val="00934DCB"/>
    <w:rsid w:val="00934DF9"/>
    <w:rsid w:val="00934F6C"/>
    <w:rsid w:val="00934F99"/>
    <w:rsid w:val="00935062"/>
    <w:rsid w:val="009350E8"/>
    <w:rsid w:val="00935692"/>
    <w:rsid w:val="00935747"/>
    <w:rsid w:val="009357C0"/>
    <w:rsid w:val="009358B0"/>
    <w:rsid w:val="00935904"/>
    <w:rsid w:val="00935990"/>
    <w:rsid w:val="00935A0A"/>
    <w:rsid w:val="00935DA6"/>
    <w:rsid w:val="00935F82"/>
    <w:rsid w:val="00936175"/>
    <w:rsid w:val="009362FB"/>
    <w:rsid w:val="00936345"/>
    <w:rsid w:val="00936367"/>
    <w:rsid w:val="00936440"/>
    <w:rsid w:val="009366E8"/>
    <w:rsid w:val="00936ACD"/>
    <w:rsid w:val="00936B3D"/>
    <w:rsid w:val="00936E8F"/>
    <w:rsid w:val="0093765E"/>
    <w:rsid w:val="00937ABE"/>
    <w:rsid w:val="00937C7B"/>
    <w:rsid w:val="00937ED6"/>
    <w:rsid w:val="00937FBE"/>
    <w:rsid w:val="00937FE8"/>
    <w:rsid w:val="0094063C"/>
    <w:rsid w:val="009407D9"/>
    <w:rsid w:val="0094090F"/>
    <w:rsid w:val="00940E3E"/>
    <w:rsid w:val="00940EA5"/>
    <w:rsid w:val="00940F0D"/>
    <w:rsid w:val="00941102"/>
    <w:rsid w:val="00941124"/>
    <w:rsid w:val="0094117B"/>
    <w:rsid w:val="0094119F"/>
    <w:rsid w:val="0094121B"/>
    <w:rsid w:val="00941381"/>
    <w:rsid w:val="00941533"/>
    <w:rsid w:val="00941654"/>
    <w:rsid w:val="009417B9"/>
    <w:rsid w:val="00941946"/>
    <w:rsid w:val="00941BCE"/>
    <w:rsid w:val="00941C71"/>
    <w:rsid w:val="00941F44"/>
    <w:rsid w:val="009420D0"/>
    <w:rsid w:val="00942114"/>
    <w:rsid w:val="009421AD"/>
    <w:rsid w:val="009422B4"/>
    <w:rsid w:val="00942624"/>
    <w:rsid w:val="0094271C"/>
    <w:rsid w:val="0094275C"/>
    <w:rsid w:val="0094289C"/>
    <w:rsid w:val="009428F3"/>
    <w:rsid w:val="00942974"/>
    <w:rsid w:val="00942C8E"/>
    <w:rsid w:val="0094316A"/>
    <w:rsid w:val="00943453"/>
    <w:rsid w:val="00943889"/>
    <w:rsid w:val="00943960"/>
    <w:rsid w:val="00943973"/>
    <w:rsid w:val="00943CDE"/>
    <w:rsid w:val="00943E35"/>
    <w:rsid w:val="00943E73"/>
    <w:rsid w:val="00943F89"/>
    <w:rsid w:val="00944156"/>
    <w:rsid w:val="009443A2"/>
    <w:rsid w:val="009445AE"/>
    <w:rsid w:val="009445E0"/>
    <w:rsid w:val="009446A8"/>
    <w:rsid w:val="009447DE"/>
    <w:rsid w:val="00944A74"/>
    <w:rsid w:val="00944B41"/>
    <w:rsid w:val="00944F37"/>
    <w:rsid w:val="00944FE6"/>
    <w:rsid w:val="00945098"/>
    <w:rsid w:val="0094533E"/>
    <w:rsid w:val="0094536E"/>
    <w:rsid w:val="009456C4"/>
    <w:rsid w:val="00945762"/>
    <w:rsid w:val="009458BD"/>
    <w:rsid w:val="009459FB"/>
    <w:rsid w:val="00945AAE"/>
    <w:rsid w:val="00945D0E"/>
    <w:rsid w:val="00945DB9"/>
    <w:rsid w:val="009461B7"/>
    <w:rsid w:val="00946368"/>
    <w:rsid w:val="0094649A"/>
    <w:rsid w:val="00946657"/>
    <w:rsid w:val="00946661"/>
    <w:rsid w:val="009466B0"/>
    <w:rsid w:val="00946770"/>
    <w:rsid w:val="00946D09"/>
    <w:rsid w:val="00946D59"/>
    <w:rsid w:val="00946E7F"/>
    <w:rsid w:val="00947268"/>
    <w:rsid w:val="00947507"/>
    <w:rsid w:val="009475E3"/>
    <w:rsid w:val="00947645"/>
    <w:rsid w:val="00947795"/>
    <w:rsid w:val="009477A2"/>
    <w:rsid w:val="00947866"/>
    <w:rsid w:val="00947C09"/>
    <w:rsid w:val="00950033"/>
    <w:rsid w:val="00950089"/>
    <w:rsid w:val="009502D4"/>
    <w:rsid w:val="009503D8"/>
    <w:rsid w:val="00950487"/>
    <w:rsid w:val="0095091A"/>
    <w:rsid w:val="0095093A"/>
    <w:rsid w:val="00950BFA"/>
    <w:rsid w:val="00950E97"/>
    <w:rsid w:val="0095106F"/>
    <w:rsid w:val="009511B5"/>
    <w:rsid w:val="009512DC"/>
    <w:rsid w:val="0095133F"/>
    <w:rsid w:val="00951345"/>
    <w:rsid w:val="009513CE"/>
    <w:rsid w:val="009514BE"/>
    <w:rsid w:val="009514E4"/>
    <w:rsid w:val="009519C7"/>
    <w:rsid w:val="00951FAF"/>
    <w:rsid w:val="009522DD"/>
    <w:rsid w:val="009526E3"/>
    <w:rsid w:val="00952755"/>
    <w:rsid w:val="00952896"/>
    <w:rsid w:val="00952D48"/>
    <w:rsid w:val="00952E76"/>
    <w:rsid w:val="00952EC5"/>
    <w:rsid w:val="0095300A"/>
    <w:rsid w:val="00953097"/>
    <w:rsid w:val="009530A5"/>
    <w:rsid w:val="00953497"/>
    <w:rsid w:val="009534F1"/>
    <w:rsid w:val="00953514"/>
    <w:rsid w:val="0095361B"/>
    <w:rsid w:val="00953775"/>
    <w:rsid w:val="009538C6"/>
    <w:rsid w:val="009538F8"/>
    <w:rsid w:val="00953968"/>
    <w:rsid w:val="009539B4"/>
    <w:rsid w:val="009539D0"/>
    <w:rsid w:val="00953A20"/>
    <w:rsid w:val="00953AEE"/>
    <w:rsid w:val="00953BB6"/>
    <w:rsid w:val="00953C10"/>
    <w:rsid w:val="00953E2A"/>
    <w:rsid w:val="00953ED2"/>
    <w:rsid w:val="00953F04"/>
    <w:rsid w:val="00953F31"/>
    <w:rsid w:val="009541A1"/>
    <w:rsid w:val="009541B7"/>
    <w:rsid w:val="0095442C"/>
    <w:rsid w:val="009544A7"/>
    <w:rsid w:val="00954747"/>
    <w:rsid w:val="00954A63"/>
    <w:rsid w:val="00954A65"/>
    <w:rsid w:val="00954B8F"/>
    <w:rsid w:val="00954C7B"/>
    <w:rsid w:val="00954DE9"/>
    <w:rsid w:val="00954E29"/>
    <w:rsid w:val="00954EB1"/>
    <w:rsid w:val="0095529C"/>
    <w:rsid w:val="009554F3"/>
    <w:rsid w:val="00955548"/>
    <w:rsid w:val="009555D9"/>
    <w:rsid w:val="00955CBD"/>
    <w:rsid w:val="00955DA6"/>
    <w:rsid w:val="00956583"/>
    <w:rsid w:val="00956B00"/>
    <w:rsid w:val="00956B94"/>
    <w:rsid w:val="00956BEB"/>
    <w:rsid w:val="00956CEF"/>
    <w:rsid w:val="00957108"/>
    <w:rsid w:val="00957552"/>
    <w:rsid w:val="00957587"/>
    <w:rsid w:val="009579AE"/>
    <w:rsid w:val="009579BA"/>
    <w:rsid w:val="00957B21"/>
    <w:rsid w:val="00957E66"/>
    <w:rsid w:val="009605BD"/>
    <w:rsid w:val="0096077D"/>
    <w:rsid w:val="009608DA"/>
    <w:rsid w:val="009609E7"/>
    <w:rsid w:val="009610A7"/>
    <w:rsid w:val="009610CF"/>
    <w:rsid w:val="00961332"/>
    <w:rsid w:val="009614BA"/>
    <w:rsid w:val="00961617"/>
    <w:rsid w:val="00961806"/>
    <w:rsid w:val="00961BBE"/>
    <w:rsid w:val="00961D81"/>
    <w:rsid w:val="00961E59"/>
    <w:rsid w:val="009620AD"/>
    <w:rsid w:val="009620DA"/>
    <w:rsid w:val="009621FE"/>
    <w:rsid w:val="00962274"/>
    <w:rsid w:val="00962331"/>
    <w:rsid w:val="00962D85"/>
    <w:rsid w:val="00962E48"/>
    <w:rsid w:val="00962F24"/>
    <w:rsid w:val="0096302E"/>
    <w:rsid w:val="00963340"/>
    <w:rsid w:val="009633A1"/>
    <w:rsid w:val="0096351F"/>
    <w:rsid w:val="00963552"/>
    <w:rsid w:val="0096360B"/>
    <w:rsid w:val="0096365C"/>
    <w:rsid w:val="009637A9"/>
    <w:rsid w:val="00963E2E"/>
    <w:rsid w:val="00963E3D"/>
    <w:rsid w:val="00963E9D"/>
    <w:rsid w:val="00963FB3"/>
    <w:rsid w:val="009646DC"/>
    <w:rsid w:val="009647AB"/>
    <w:rsid w:val="00964849"/>
    <w:rsid w:val="009648D6"/>
    <w:rsid w:val="00964ACA"/>
    <w:rsid w:val="00964B16"/>
    <w:rsid w:val="00964FB8"/>
    <w:rsid w:val="0096514D"/>
    <w:rsid w:val="0096515C"/>
    <w:rsid w:val="0096554E"/>
    <w:rsid w:val="00965C1D"/>
    <w:rsid w:val="00965CD0"/>
    <w:rsid w:val="00965EFE"/>
    <w:rsid w:val="00965F08"/>
    <w:rsid w:val="0096601C"/>
    <w:rsid w:val="009660BA"/>
    <w:rsid w:val="00966287"/>
    <w:rsid w:val="00966364"/>
    <w:rsid w:val="009665C0"/>
    <w:rsid w:val="009666A3"/>
    <w:rsid w:val="00966725"/>
    <w:rsid w:val="00966761"/>
    <w:rsid w:val="009667CD"/>
    <w:rsid w:val="0096686B"/>
    <w:rsid w:val="00966B5F"/>
    <w:rsid w:val="00966B9A"/>
    <w:rsid w:val="00966C8D"/>
    <w:rsid w:val="00966DA4"/>
    <w:rsid w:val="00966FA1"/>
    <w:rsid w:val="00966FBF"/>
    <w:rsid w:val="0096711B"/>
    <w:rsid w:val="009677E0"/>
    <w:rsid w:val="0096785A"/>
    <w:rsid w:val="00967865"/>
    <w:rsid w:val="00967B89"/>
    <w:rsid w:val="00967C16"/>
    <w:rsid w:val="00967C28"/>
    <w:rsid w:val="00967C50"/>
    <w:rsid w:val="00967D08"/>
    <w:rsid w:val="00967D21"/>
    <w:rsid w:val="00967F30"/>
    <w:rsid w:val="00970195"/>
    <w:rsid w:val="00970298"/>
    <w:rsid w:val="0097033E"/>
    <w:rsid w:val="00970E07"/>
    <w:rsid w:val="00970E43"/>
    <w:rsid w:val="00970E56"/>
    <w:rsid w:val="00970E7C"/>
    <w:rsid w:val="00970F18"/>
    <w:rsid w:val="00971071"/>
    <w:rsid w:val="0097110B"/>
    <w:rsid w:val="0097115E"/>
    <w:rsid w:val="0097120C"/>
    <w:rsid w:val="00971507"/>
    <w:rsid w:val="00971668"/>
    <w:rsid w:val="009718CD"/>
    <w:rsid w:val="009719EF"/>
    <w:rsid w:val="00971A60"/>
    <w:rsid w:val="00971AFD"/>
    <w:rsid w:val="00971FC2"/>
    <w:rsid w:val="0097227D"/>
    <w:rsid w:val="009724AB"/>
    <w:rsid w:val="009725EC"/>
    <w:rsid w:val="00972821"/>
    <w:rsid w:val="009729AF"/>
    <w:rsid w:val="009732CE"/>
    <w:rsid w:val="009734B4"/>
    <w:rsid w:val="009734BE"/>
    <w:rsid w:val="009735C3"/>
    <w:rsid w:val="009736A5"/>
    <w:rsid w:val="00973704"/>
    <w:rsid w:val="0097384E"/>
    <w:rsid w:val="009738B7"/>
    <w:rsid w:val="00973A7E"/>
    <w:rsid w:val="00973E20"/>
    <w:rsid w:val="00973E68"/>
    <w:rsid w:val="00974004"/>
    <w:rsid w:val="00974084"/>
    <w:rsid w:val="00974150"/>
    <w:rsid w:val="009742CE"/>
    <w:rsid w:val="00974380"/>
    <w:rsid w:val="0097470A"/>
    <w:rsid w:val="0097481B"/>
    <w:rsid w:val="00974E2D"/>
    <w:rsid w:val="00974F5A"/>
    <w:rsid w:val="0097505B"/>
    <w:rsid w:val="00975090"/>
    <w:rsid w:val="009750B9"/>
    <w:rsid w:val="00975266"/>
    <w:rsid w:val="009752D5"/>
    <w:rsid w:val="0097532B"/>
    <w:rsid w:val="00975432"/>
    <w:rsid w:val="00975B20"/>
    <w:rsid w:val="00975BB4"/>
    <w:rsid w:val="00975CA0"/>
    <w:rsid w:val="00975E1F"/>
    <w:rsid w:val="00975E6C"/>
    <w:rsid w:val="0097607E"/>
    <w:rsid w:val="009762C0"/>
    <w:rsid w:val="00976426"/>
    <w:rsid w:val="0097642E"/>
    <w:rsid w:val="009764EC"/>
    <w:rsid w:val="00976640"/>
    <w:rsid w:val="00976652"/>
    <w:rsid w:val="0097677F"/>
    <w:rsid w:val="009767CB"/>
    <w:rsid w:val="0097682A"/>
    <w:rsid w:val="00976BDB"/>
    <w:rsid w:val="00976C79"/>
    <w:rsid w:val="00977062"/>
    <w:rsid w:val="0097707B"/>
    <w:rsid w:val="00977519"/>
    <w:rsid w:val="00977661"/>
    <w:rsid w:val="009777A0"/>
    <w:rsid w:val="00977808"/>
    <w:rsid w:val="00977A72"/>
    <w:rsid w:val="00980228"/>
    <w:rsid w:val="0098024F"/>
    <w:rsid w:val="00980542"/>
    <w:rsid w:val="00980773"/>
    <w:rsid w:val="00980949"/>
    <w:rsid w:val="009809A4"/>
    <w:rsid w:val="00980E5D"/>
    <w:rsid w:val="00981017"/>
    <w:rsid w:val="009811F7"/>
    <w:rsid w:val="009814AF"/>
    <w:rsid w:val="00981691"/>
    <w:rsid w:val="00981A13"/>
    <w:rsid w:val="00981DAF"/>
    <w:rsid w:val="00981E31"/>
    <w:rsid w:val="00981F4E"/>
    <w:rsid w:val="009823A3"/>
    <w:rsid w:val="00982427"/>
    <w:rsid w:val="009824CF"/>
    <w:rsid w:val="00982527"/>
    <w:rsid w:val="0098257B"/>
    <w:rsid w:val="00982962"/>
    <w:rsid w:val="00982A78"/>
    <w:rsid w:val="00983267"/>
    <w:rsid w:val="0098343A"/>
    <w:rsid w:val="0098349A"/>
    <w:rsid w:val="009834CA"/>
    <w:rsid w:val="00983598"/>
    <w:rsid w:val="009835E4"/>
    <w:rsid w:val="009836A8"/>
    <w:rsid w:val="009839F6"/>
    <w:rsid w:val="00983AA1"/>
    <w:rsid w:val="00983AC8"/>
    <w:rsid w:val="00983F0A"/>
    <w:rsid w:val="00983F2D"/>
    <w:rsid w:val="0098414F"/>
    <w:rsid w:val="009842CD"/>
    <w:rsid w:val="009843C9"/>
    <w:rsid w:val="0098453F"/>
    <w:rsid w:val="00984839"/>
    <w:rsid w:val="009848B9"/>
    <w:rsid w:val="00984A56"/>
    <w:rsid w:val="00984C1C"/>
    <w:rsid w:val="00984E69"/>
    <w:rsid w:val="0098502E"/>
    <w:rsid w:val="0098557D"/>
    <w:rsid w:val="00985635"/>
    <w:rsid w:val="009856D8"/>
    <w:rsid w:val="009858DD"/>
    <w:rsid w:val="00986013"/>
    <w:rsid w:val="00986705"/>
    <w:rsid w:val="00986986"/>
    <w:rsid w:val="00986C03"/>
    <w:rsid w:val="00986CAA"/>
    <w:rsid w:val="00987003"/>
    <w:rsid w:val="00987703"/>
    <w:rsid w:val="00987763"/>
    <w:rsid w:val="009878B5"/>
    <w:rsid w:val="00987C10"/>
    <w:rsid w:val="00990165"/>
    <w:rsid w:val="009904C8"/>
    <w:rsid w:val="00990B15"/>
    <w:rsid w:val="00990B31"/>
    <w:rsid w:val="00990C0C"/>
    <w:rsid w:val="00990E67"/>
    <w:rsid w:val="00990ECB"/>
    <w:rsid w:val="00990EFA"/>
    <w:rsid w:val="00991263"/>
    <w:rsid w:val="009913FF"/>
    <w:rsid w:val="00991405"/>
    <w:rsid w:val="00991406"/>
    <w:rsid w:val="0099145C"/>
    <w:rsid w:val="009914EB"/>
    <w:rsid w:val="009915C0"/>
    <w:rsid w:val="009917C8"/>
    <w:rsid w:val="00991C77"/>
    <w:rsid w:val="0099229D"/>
    <w:rsid w:val="009922B4"/>
    <w:rsid w:val="00992300"/>
    <w:rsid w:val="009926AD"/>
    <w:rsid w:val="009927E6"/>
    <w:rsid w:val="009928A7"/>
    <w:rsid w:val="00992A65"/>
    <w:rsid w:val="00992A9C"/>
    <w:rsid w:val="00992CC2"/>
    <w:rsid w:val="00992D1E"/>
    <w:rsid w:val="00992D87"/>
    <w:rsid w:val="00992D97"/>
    <w:rsid w:val="009936CE"/>
    <w:rsid w:val="00993728"/>
    <w:rsid w:val="009937D1"/>
    <w:rsid w:val="00993AAD"/>
    <w:rsid w:val="0099401C"/>
    <w:rsid w:val="00994170"/>
    <w:rsid w:val="009941DC"/>
    <w:rsid w:val="00994311"/>
    <w:rsid w:val="0099460A"/>
    <w:rsid w:val="00994815"/>
    <w:rsid w:val="00994953"/>
    <w:rsid w:val="00994EDE"/>
    <w:rsid w:val="00994F39"/>
    <w:rsid w:val="009951C4"/>
    <w:rsid w:val="0099530B"/>
    <w:rsid w:val="009957A7"/>
    <w:rsid w:val="009957C0"/>
    <w:rsid w:val="009957DC"/>
    <w:rsid w:val="009958F5"/>
    <w:rsid w:val="00995B72"/>
    <w:rsid w:val="009960D4"/>
    <w:rsid w:val="0099640D"/>
    <w:rsid w:val="00996413"/>
    <w:rsid w:val="00996481"/>
    <w:rsid w:val="0099685C"/>
    <w:rsid w:val="00996959"/>
    <w:rsid w:val="00996A41"/>
    <w:rsid w:val="00996C25"/>
    <w:rsid w:val="00996C33"/>
    <w:rsid w:val="00996C3A"/>
    <w:rsid w:val="00996C6B"/>
    <w:rsid w:val="00996CFE"/>
    <w:rsid w:val="00996E1D"/>
    <w:rsid w:val="00996E40"/>
    <w:rsid w:val="00996EBD"/>
    <w:rsid w:val="0099708E"/>
    <w:rsid w:val="009970BC"/>
    <w:rsid w:val="009974E5"/>
    <w:rsid w:val="00997556"/>
    <w:rsid w:val="00997641"/>
    <w:rsid w:val="009979B0"/>
    <w:rsid w:val="00997C71"/>
    <w:rsid w:val="00997CDD"/>
    <w:rsid w:val="00997E34"/>
    <w:rsid w:val="009A003E"/>
    <w:rsid w:val="009A018C"/>
    <w:rsid w:val="009A02F8"/>
    <w:rsid w:val="009A03E4"/>
    <w:rsid w:val="009A04F1"/>
    <w:rsid w:val="009A069F"/>
    <w:rsid w:val="009A06C4"/>
    <w:rsid w:val="009A0905"/>
    <w:rsid w:val="009A0928"/>
    <w:rsid w:val="009A09BC"/>
    <w:rsid w:val="009A0B2A"/>
    <w:rsid w:val="009A0BF2"/>
    <w:rsid w:val="009A0E85"/>
    <w:rsid w:val="009A0FBB"/>
    <w:rsid w:val="009A0FE4"/>
    <w:rsid w:val="009A1044"/>
    <w:rsid w:val="009A1051"/>
    <w:rsid w:val="009A1171"/>
    <w:rsid w:val="009A1396"/>
    <w:rsid w:val="009A13EF"/>
    <w:rsid w:val="009A1651"/>
    <w:rsid w:val="009A186A"/>
    <w:rsid w:val="009A18DA"/>
    <w:rsid w:val="009A1B61"/>
    <w:rsid w:val="009A1C25"/>
    <w:rsid w:val="009A2097"/>
    <w:rsid w:val="009A25B0"/>
    <w:rsid w:val="009A28A7"/>
    <w:rsid w:val="009A2B89"/>
    <w:rsid w:val="009A2C25"/>
    <w:rsid w:val="009A2CA9"/>
    <w:rsid w:val="009A2DF1"/>
    <w:rsid w:val="009A308D"/>
    <w:rsid w:val="009A30B2"/>
    <w:rsid w:val="009A314E"/>
    <w:rsid w:val="009A318D"/>
    <w:rsid w:val="009A31CE"/>
    <w:rsid w:val="009A34D1"/>
    <w:rsid w:val="009A34E2"/>
    <w:rsid w:val="009A3BE5"/>
    <w:rsid w:val="009A405E"/>
    <w:rsid w:val="009A41A0"/>
    <w:rsid w:val="009A41D8"/>
    <w:rsid w:val="009A427B"/>
    <w:rsid w:val="009A44E2"/>
    <w:rsid w:val="009A468B"/>
    <w:rsid w:val="009A46BD"/>
    <w:rsid w:val="009A46C3"/>
    <w:rsid w:val="009A4837"/>
    <w:rsid w:val="009A48CC"/>
    <w:rsid w:val="009A497D"/>
    <w:rsid w:val="009A4AA1"/>
    <w:rsid w:val="009A4BFF"/>
    <w:rsid w:val="009A4CB1"/>
    <w:rsid w:val="009A4CB6"/>
    <w:rsid w:val="009A4F68"/>
    <w:rsid w:val="009A4F6C"/>
    <w:rsid w:val="009A5077"/>
    <w:rsid w:val="009A5096"/>
    <w:rsid w:val="009A50E1"/>
    <w:rsid w:val="009A5241"/>
    <w:rsid w:val="009A52AA"/>
    <w:rsid w:val="009A52D6"/>
    <w:rsid w:val="009A57B9"/>
    <w:rsid w:val="009A5A6A"/>
    <w:rsid w:val="009A5A9D"/>
    <w:rsid w:val="009A5B06"/>
    <w:rsid w:val="009A5C52"/>
    <w:rsid w:val="009A5D50"/>
    <w:rsid w:val="009A5DB6"/>
    <w:rsid w:val="009A5F31"/>
    <w:rsid w:val="009A6210"/>
    <w:rsid w:val="009A632F"/>
    <w:rsid w:val="009A6334"/>
    <w:rsid w:val="009A63E3"/>
    <w:rsid w:val="009A6525"/>
    <w:rsid w:val="009A67EC"/>
    <w:rsid w:val="009A690C"/>
    <w:rsid w:val="009A6978"/>
    <w:rsid w:val="009A6C58"/>
    <w:rsid w:val="009A6C7B"/>
    <w:rsid w:val="009A6D33"/>
    <w:rsid w:val="009A6E6F"/>
    <w:rsid w:val="009A6E89"/>
    <w:rsid w:val="009A6F83"/>
    <w:rsid w:val="009A700A"/>
    <w:rsid w:val="009A70BD"/>
    <w:rsid w:val="009A714A"/>
    <w:rsid w:val="009A7155"/>
    <w:rsid w:val="009A7254"/>
    <w:rsid w:val="009A76E3"/>
    <w:rsid w:val="009A7745"/>
    <w:rsid w:val="009A7760"/>
    <w:rsid w:val="009A7822"/>
    <w:rsid w:val="009A7858"/>
    <w:rsid w:val="009A790C"/>
    <w:rsid w:val="009A79DB"/>
    <w:rsid w:val="009A7BE0"/>
    <w:rsid w:val="009A7C01"/>
    <w:rsid w:val="009A7D93"/>
    <w:rsid w:val="009A7E62"/>
    <w:rsid w:val="009A7E6E"/>
    <w:rsid w:val="009ADB97"/>
    <w:rsid w:val="009B0194"/>
    <w:rsid w:val="009B03B2"/>
    <w:rsid w:val="009B0442"/>
    <w:rsid w:val="009B065A"/>
    <w:rsid w:val="009B0955"/>
    <w:rsid w:val="009B12C3"/>
    <w:rsid w:val="009B154B"/>
    <w:rsid w:val="009B1730"/>
    <w:rsid w:val="009B1AAF"/>
    <w:rsid w:val="009B1AD4"/>
    <w:rsid w:val="009B1BD9"/>
    <w:rsid w:val="009B1C7F"/>
    <w:rsid w:val="009B1D74"/>
    <w:rsid w:val="009B2317"/>
    <w:rsid w:val="009B2509"/>
    <w:rsid w:val="009B2735"/>
    <w:rsid w:val="009B2787"/>
    <w:rsid w:val="009B2DB3"/>
    <w:rsid w:val="009B2DD3"/>
    <w:rsid w:val="009B2DE9"/>
    <w:rsid w:val="009B2E77"/>
    <w:rsid w:val="009B2F09"/>
    <w:rsid w:val="009B2F17"/>
    <w:rsid w:val="009B300E"/>
    <w:rsid w:val="009B32B2"/>
    <w:rsid w:val="009B3535"/>
    <w:rsid w:val="009B372E"/>
    <w:rsid w:val="009B3855"/>
    <w:rsid w:val="009B3902"/>
    <w:rsid w:val="009B3956"/>
    <w:rsid w:val="009B3968"/>
    <w:rsid w:val="009B3C85"/>
    <w:rsid w:val="009B3FFD"/>
    <w:rsid w:val="009B4016"/>
    <w:rsid w:val="009B4299"/>
    <w:rsid w:val="009B4393"/>
    <w:rsid w:val="009B4455"/>
    <w:rsid w:val="009B46C7"/>
    <w:rsid w:val="009B46DE"/>
    <w:rsid w:val="009B47B8"/>
    <w:rsid w:val="009B484C"/>
    <w:rsid w:val="009B4946"/>
    <w:rsid w:val="009B4A4A"/>
    <w:rsid w:val="009B4A9F"/>
    <w:rsid w:val="009B4B7A"/>
    <w:rsid w:val="009B4B89"/>
    <w:rsid w:val="009B4C6C"/>
    <w:rsid w:val="009B4E23"/>
    <w:rsid w:val="009B4E41"/>
    <w:rsid w:val="009B52BD"/>
    <w:rsid w:val="009B53BB"/>
    <w:rsid w:val="009B5944"/>
    <w:rsid w:val="009B59BF"/>
    <w:rsid w:val="009B5ACE"/>
    <w:rsid w:val="009B5B97"/>
    <w:rsid w:val="009B5B9E"/>
    <w:rsid w:val="009B5CD2"/>
    <w:rsid w:val="009B5DEC"/>
    <w:rsid w:val="009B5E40"/>
    <w:rsid w:val="009B5F4E"/>
    <w:rsid w:val="009B61D3"/>
    <w:rsid w:val="009B61E6"/>
    <w:rsid w:val="009B6263"/>
    <w:rsid w:val="009B6682"/>
    <w:rsid w:val="009B671F"/>
    <w:rsid w:val="009B67B6"/>
    <w:rsid w:val="009B693F"/>
    <w:rsid w:val="009B6B48"/>
    <w:rsid w:val="009B6B64"/>
    <w:rsid w:val="009B6BC8"/>
    <w:rsid w:val="009B6F46"/>
    <w:rsid w:val="009B7121"/>
    <w:rsid w:val="009B7185"/>
    <w:rsid w:val="009B7280"/>
    <w:rsid w:val="009B7558"/>
    <w:rsid w:val="009B75E4"/>
    <w:rsid w:val="009B784D"/>
    <w:rsid w:val="009B789D"/>
    <w:rsid w:val="009B7BC7"/>
    <w:rsid w:val="009B7BCA"/>
    <w:rsid w:val="009B7F12"/>
    <w:rsid w:val="009B7F5D"/>
    <w:rsid w:val="009C023B"/>
    <w:rsid w:val="009C0270"/>
    <w:rsid w:val="009C0284"/>
    <w:rsid w:val="009C0397"/>
    <w:rsid w:val="009C03C4"/>
    <w:rsid w:val="009C0428"/>
    <w:rsid w:val="009C0578"/>
    <w:rsid w:val="009C071D"/>
    <w:rsid w:val="009C0967"/>
    <w:rsid w:val="009C0A9E"/>
    <w:rsid w:val="009C0B7A"/>
    <w:rsid w:val="009C0FC9"/>
    <w:rsid w:val="009C11A9"/>
    <w:rsid w:val="009C1382"/>
    <w:rsid w:val="009C13AD"/>
    <w:rsid w:val="009C1400"/>
    <w:rsid w:val="009C14E1"/>
    <w:rsid w:val="009C18DB"/>
    <w:rsid w:val="009C1913"/>
    <w:rsid w:val="009C1A5E"/>
    <w:rsid w:val="009C1B7B"/>
    <w:rsid w:val="009C1BD3"/>
    <w:rsid w:val="009C1C29"/>
    <w:rsid w:val="009C2085"/>
    <w:rsid w:val="009C20C0"/>
    <w:rsid w:val="009C23C6"/>
    <w:rsid w:val="009C2511"/>
    <w:rsid w:val="009C27A9"/>
    <w:rsid w:val="009C2802"/>
    <w:rsid w:val="009C2A4C"/>
    <w:rsid w:val="009C2C2D"/>
    <w:rsid w:val="009C3152"/>
    <w:rsid w:val="009C319E"/>
    <w:rsid w:val="009C345D"/>
    <w:rsid w:val="009C346D"/>
    <w:rsid w:val="009C347D"/>
    <w:rsid w:val="009C34B9"/>
    <w:rsid w:val="009C37F0"/>
    <w:rsid w:val="009C3931"/>
    <w:rsid w:val="009C3A53"/>
    <w:rsid w:val="009C3B3C"/>
    <w:rsid w:val="009C40A6"/>
    <w:rsid w:val="009C42F1"/>
    <w:rsid w:val="009C42FD"/>
    <w:rsid w:val="009C465A"/>
    <w:rsid w:val="009C46C6"/>
    <w:rsid w:val="009C4A65"/>
    <w:rsid w:val="009C4D50"/>
    <w:rsid w:val="009C4D79"/>
    <w:rsid w:val="009C4FFB"/>
    <w:rsid w:val="009C5047"/>
    <w:rsid w:val="009C51B0"/>
    <w:rsid w:val="009C547D"/>
    <w:rsid w:val="009C5625"/>
    <w:rsid w:val="009C56DD"/>
    <w:rsid w:val="009C5EC6"/>
    <w:rsid w:val="009C6104"/>
    <w:rsid w:val="009C61D3"/>
    <w:rsid w:val="009C6309"/>
    <w:rsid w:val="009C6337"/>
    <w:rsid w:val="009C633D"/>
    <w:rsid w:val="009C63AB"/>
    <w:rsid w:val="009C64C7"/>
    <w:rsid w:val="009C678E"/>
    <w:rsid w:val="009C68D0"/>
    <w:rsid w:val="009C6A1D"/>
    <w:rsid w:val="009C6BF8"/>
    <w:rsid w:val="009C6C0A"/>
    <w:rsid w:val="009C6F61"/>
    <w:rsid w:val="009C6FF3"/>
    <w:rsid w:val="009C71BF"/>
    <w:rsid w:val="009C7235"/>
    <w:rsid w:val="009C729B"/>
    <w:rsid w:val="009C72DE"/>
    <w:rsid w:val="009C7817"/>
    <w:rsid w:val="009C7916"/>
    <w:rsid w:val="009C79E4"/>
    <w:rsid w:val="009C7A2E"/>
    <w:rsid w:val="009C7F77"/>
    <w:rsid w:val="009D0288"/>
    <w:rsid w:val="009D02C8"/>
    <w:rsid w:val="009D0400"/>
    <w:rsid w:val="009D04A1"/>
    <w:rsid w:val="009D04F6"/>
    <w:rsid w:val="009D0916"/>
    <w:rsid w:val="009D09CB"/>
    <w:rsid w:val="009D0F21"/>
    <w:rsid w:val="009D1024"/>
    <w:rsid w:val="009D1060"/>
    <w:rsid w:val="009D119C"/>
    <w:rsid w:val="009D149B"/>
    <w:rsid w:val="009D14E3"/>
    <w:rsid w:val="009D15B3"/>
    <w:rsid w:val="009D1630"/>
    <w:rsid w:val="009D171C"/>
    <w:rsid w:val="009D1728"/>
    <w:rsid w:val="009D191A"/>
    <w:rsid w:val="009D1ACF"/>
    <w:rsid w:val="009D1B36"/>
    <w:rsid w:val="009D1BB6"/>
    <w:rsid w:val="009D1BFC"/>
    <w:rsid w:val="009D1E00"/>
    <w:rsid w:val="009D1F6D"/>
    <w:rsid w:val="009D2046"/>
    <w:rsid w:val="009D208B"/>
    <w:rsid w:val="009D213C"/>
    <w:rsid w:val="009D21A7"/>
    <w:rsid w:val="009D238A"/>
    <w:rsid w:val="009D2451"/>
    <w:rsid w:val="009D2BA4"/>
    <w:rsid w:val="009D2FE2"/>
    <w:rsid w:val="009D31F2"/>
    <w:rsid w:val="009D35DB"/>
    <w:rsid w:val="009D3890"/>
    <w:rsid w:val="009D3BBF"/>
    <w:rsid w:val="009D3F4A"/>
    <w:rsid w:val="009D439E"/>
    <w:rsid w:val="009D45F6"/>
    <w:rsid w:val="009D479A"/>
    <w:rsid w:val="009D4829"/>
    <w:rsid w:val="009D4996"/>
    <w:rsid w:val="009D4E74"/>
    <w:rsid w:val="009D5026"/>
    <w:rsid w:val="009D5778"/>
    <w:rsid w:val="009D5A05"/>
    <w:rsid w:val="009D5A0F"/>
    <w:rsid w:val="009D5A80"/>
    <w:rsid w:val="009D5AE7"/>
    <w:rsid w:val="009D5C5A"/>
    <w:rsid w:val="009D67E0"/>
    <w:rsid w:val="009D6A8A"/>
    <w:rsid w:val="009D6E57"/>
    <w:rsid w:val="009D785C"/>
    <w:rsid w:val="009D7A8F"/>
    <w:rsid w:val="009D7C9D"/>
    <w:rsid w:val="009D7CD8"/>
    <w:rsid w:val="009D7D7C"/>
    <w:rsid w:val="009D7F55"/>
    <w:rsid w:val="009D7FF5"/>
    <w:rsid w:val="009D7FF9"/>
    <w:rsid w:val="009E0080"/>
    <w:rsid w:val="009E009D"/>
    <w:rsid w:val="009E055E"/>
    <w:rsid w:val="009E0582"/>
    <w:rsid w:val="009E0995"/>
    <w:rsid w:val="009E0A67"/>
    <w:rsid w:val="009E0B06"/>
    <w:rsid w:val="009E0C98"/>
    <w:rsid w:val="009E0EBD"/>
    <w:rsid w:val="009E109D"/>
    <w:rsid w:val="009E1335"/>
    <w:rsid w:val="009E139F"/>
    <w:rsid w:val="009E14D2"/>
    <w:rsid w:val="009E155E"/>
    <w:rsid w:val="009E17D6"/>
    <w:rsid w:val="009E185B"/>
    <w:rsid w:val="009E1887"/>
    <w:rsid w:val="009E1A07"/>
    <w:rsid w:val="009E1A5F"/>
    <w:rsid w:val="009E1A6C"/>
    <w:rsid w:val="009E1A72"/>
    <w:rsid w:val="009E1AA3"/>
    <w:rsid w:val="009E1AD5"/>
    <w:rsid w:val="009E1C3E"/>
    <w:rsid w:val="009E1D48"/>
    <w:rsid w:val="009E1DC8"/>
    <w:rsid w:val="009E2049"/>
    <w:rsid w:val="009E21D1"/>
    <w:rsid w:val="009E2270"/>
    <w:rsid w:val="009E239E"/>
    <w:rsid w:val="009E244B"/>
    <w:rsid w:val="009E254D"/>
    <w:rsid w:val="009E2B13"/>
    <w:rsid w:val="009E2DD5"/>
    <w:rsid w:val="009E2EAB"/>
    <w:rsid w:val="009E2ED7"/>
    <w:rsid w:val="009E2EF7"/>
    <w:rsid w:val="009E2F1F"/>
    <w:rsid w:val="009E2F91"/>
    <w:rsid w:val="009E3100"/>
    <w:rsid w:val="009E3130"/>
    <w:rsid w:val="009E31D5"/>
    <w:rsid w:val="009E31F0"/>
    <w:rsid w:val="009E3423"/>
    <w:rsid w:val="009E3597"/>
    <w:rsid w:val="009E3648"/>
    <w:rsid w:val="009E3855"/>
    <w:rsid w:val="009E38AE"/>
    <w:rsid w:val="009E3CD7"/>
    <w:rsid w:val="009E3D99"/>
    <w:rsid w:val="009E4085"/>
    <w:rsid w:val="009E417F"/>
    <w:rsid w:val="009E42D2"/>
    <w:rsid w:val="009E441C"/>
    <w:rsid w:val="009E4771"/>
    <w:rsid w:val="009E490E"/>
    <w:rsid w:val="009E4F90"/>
    <w:rsid w:val="009E5B9F"/>
    <w:rsid w:val="009E5BB0"/>
    <w:rsid w:val="009E5EC9"/>
    <w:rsid w:val="009E60D3"/>
    <w:rsid w:val="009E6315"/>
    <w:rsid w:val="009E6B4B"/>
    <w:rsid w:val="009E6BEB"/>
    <w:rsid w:val="009E6DEC"/>
    <w:rsid w:val="009E6E53"/>
    <w:rsid w:val="009E700A"/>
    <w:rsid w:val="009E7117"/>
    <w:rsid w:val="009E72B5"/>
    <w:rsid w:val="009E72D6"/>
    <w:rsid w:val="009E76FC"/>
    <w:rsid w:val="009E7799"/>
    <w:rsid w:val="009E7875"/>
    <w:rsid w:val="009E78C4"/>
    <w:rsid w:val="009E7B17"/>
    <w:rsid w:val="009E7E61"/>
    <w:rsid w:val="009E7E6D"/>
    <w:rsid w:val="009E7F7C"/>
    <w:rsid w:val="009F0177"/>
    <w:rsid w:val="009F0570"/>
    <w:rsid w:val="009F09DB"/>
    <w:rsid w:val="009F0BA7"/>
    <w:rsid w:val="009F0E06"/>
    <w:rsid w:val="009F0F1D"/>
    <w:rsid w:val="009F0F2F"/>
    <w:rsid w:val="009F10D6"/>
    <w:rsid w:val="009F1150"/>
    <w:rsid w:val="009F12A6"/>
    <w:rsid w:val="009F1388"/>
    <w:rsid w:val="009F13E9"/>
    <w:rsid w:val="009F1577"/>
    <w:rsid w:val="009F167B"/>
    <w:rsid w:val="009F16EB"/>
    <w:rsid w:val="009F1A19"/>
    <w:rsid w:val="009F1A63"/>
    <w:rsid w:val="009F1A6F"/>
    <w:rsid w:val="009F1C3A"/>
    <w:rsid w:val="009F1C8B"/>
    <w:rsid w:val="009F2145"/>
    <w:rsid w:val="009F21D7"/>
    <w:rsid w:val="009F2413"/>
    <w:rsid w:val="009F258A"/>
    <w:rsid w:val="009F2A28"/>
    <w:rsid w:val="009F2BC1"/>
    <w:rsid w:val="009F2D5D"/>
    <w:rsid w:val="009F2F00"/>
    <w:rsid w:val="009F316B"/>
    <w:rsid w:val="009F32A4"/>
    <w:rsid w:val="009F33FE"/>
    <w:rsid w:val="009F35CD"/>
    <w:rsid w:val="009F3CE6"/>
    <w:rsid w:val="009F3EFD"/>
    <w:rsid w:val="009F3F75"/>
    <w:rsid w:val="009F4016"/>
    <w:rsid w:val="009F4238"/>
    <w:rsid w:val="009F440B"/>
    <w:rsid w:val="009F4752"/>
    <w:rsid w:val="009F4767"/>
    <w:rsid w:val="009F48C7"/>
    <w:rsid w:val="009F4908"/>
    <w:rsid w:val="009F4953"/>
    <w:rsid w:val="009F49A8"/>
    <w:rsid w:val="009F4A24"/>
    <w:rsid w:val="009F4B2A"/>
    <w:rsid w:val="009F4BD3"/>
    <w:rsid w:val="009F4C2F"/>
    <w:rsid w:val="009F4C54"/>
    <w:rsid w:val="009F4DF7"/>
    <w:rsid w:val="009F4E11"/>
    <w:rsid w:val="009F5178"/>
    <w:rsid w:val="009F52D1"/>
    <w:rsid w:val="009F52D4"/>
    <w:rsid w:val="009F5451"/>
    <w:rsid w:val="009F56F5"/>
    <w:rsid w:val="009F5716"/>
    <w:rsid w:val="009F5731"/>
    <w:rsid w:val="009F5796"/>
    <w:rsid w:val="009F5806"/>
    <w:rsid w:val="009F5B2B"/>
    <w:rsid w:val="009F5C4D"/>
    <w:rsid w:val="009F5E80"/>
    <w:rsid w:val="009F5F45"/>
    <w:rsid w:val="009F5FB8"/>
    <w:rsid w:val="009F60BD"/>
    <w:rsid w:val="009F60E0"/>
    <w:rsid w:val="009F6437"/>
    <w:rsid w:val="009F644C"/>
    <w:rsid w:val="009F6462"/>
    <w:rsid w:val="009F687A"/>
    <w:rsid w:val="009F69C3"/>
    <w:rsid w:val="009F6A06"/>
    <w:rsid w:val="009F6A07"/>
    <w:rsid w:val="009F6B0B"/>
    <w:rsid w:val="009F6BD3"/>
    <w:rsid w:val="009F6DC0"/>
    <w:rsid w:val="009F6F36"/>
    <w:rsid w:val="009F71AC"/>
    <w:rsid w:val="009F7250"/>
    <w:rsid w:val="009F72F4"/>
    <w:rsid w:val="009F74A7"/>
    <w:rsid w:val="009F778A"/>
    <w:rsid w:val="009F7825"/>
    <w:rsid w:val="009F78B5"/>
    <w:rsid w:val="009F7BB3"/>
    <w:rsid w:val="009F7CE6"/>
    <w:rsid w:val="009F7D76"/>
    <w:rsid w:val="009F7FDD"/>
    <w:rsid w:val="00A000AC"/>
    <w:rsid w:val="00A002CB"/>
    <w:rsid w:val="00A00576"/>
    <w:rsid w:val="00A006DD"/>
    <w:rsid w:val="00A00821"/>
    <w:rsid w:val="00A00914"/>
    <w:rsid w:val="00A00C27"/>
    <w:rsid w:val="00A00DBA"/>
    <w:rsid w:val="00A00EBF"/>
    <w:rsid w:val="00A00EED"/>
    <w:rsid w:val="00A01308"/>
    <w:rsid w:val="00A01639"/>
    <w:rsid w:val="00A01838"/>
    <w:rsid w:val="00A018AE"/>
    <w:rsid w:val="00A01B82"/>
    <w:rsid w:val="00A01D5E"/>
    <w:rsid w:val="00A01EA5"/>
    <w:rsid w:val="00A01FD3"/>
    <w:rsid w:val="00A02484"/>
    <w:rsid w:val="00A0250F"/>
    <w:rsid w:val="00A025D1"/>
    <w:rsid w:val="00A0286F"/>
    <w:rsid w:val="00A028D5"/>
    <w:rsid w:val="00A029F6"/>
    <w:rsid w:val="00A02CC5"/>
    <w:rsid w:val="00A02CDB"/>
    <w:rsid w:val="00A02D88"/>
    <w:rsid w:val="00A02DBC"/>
    <w:rsid w:val="00A02E94"/>
    <w:rsid w:val="00A02F99"/>
    <w:rsid w:val="00A03299"/>
    <w:rsid w:val="00A03494"/>
    <w:rsid w:val="00A03644"/>
    <w:rsid w:val="00A0375E"/>
    <w:rsid w:val="00A03865"/>
    <w:rsid w:val="00A03912"/>
    <w:rsid w:val="00A039C4"/>
    <w:rsid w:val="00A03A02"/>
    <w:rsid w:val="00A03B34"/>
    <w:rsid w:val="00A03B9A"/>
    <w:rsid w:val="00A03D19"/>
    <w:rsid w:val="00A03D93"/>
    <w:rsid w:val="00A043DF"/>
    <w:rsid w:val="00A0446E"/>
    <w:rsid w:val="00A044A1"/>
    <w:rsid w:val="00A04939"/>
    <w:rsid w:val="00A04A2E"/>
    <w:rsid w:val="00A04C42"/>
    <w:rsid w:val="00A04C9E"/>
    <w:rsid w:val="00A04E60"/>
    <w:rsid w:val="00A04EA5"/>
    <w:rsid w:val="00A05104"/>
    <w:rsid w:val="00A05689"/>
    <w:rsid w:val="00A05872"/>
    <w:rsid w:val="00A05A96"/>
    <w:rsid w:val="00A05D39"/>
    <w:rsid w:val="00A05FBF"/>
    <w:rsid w:val="00A0630A"/>
    <w:rsid w:val="00A06659"/>
    <w:rsid w:val="00A068D0"/>
    <w:rsid w:val="00A06B20"/>
    <w:rsid w:val="00A06C97"/>
    <w:rsid w:val="00A06D30"/>
    <w:rsid w:val="00A07101"/>
    <w:rsid w:val="00A071BD"/>
    <w:rsid w:val="00A0726C"/>
    <w:rsid w:val="00A07373"/>
    <w:rsid w:val="00A074FA"/>
    <w:rsid w:val="00A07652"/>
    <w:rsid w:val="00A07770"/>
    <w:rsid w:val="00A079A8"/>
    <w:rsid w:val="00A07A3F"/>
    <w:rsid w:val="00A07BFB"/>
    <w:rsid w:val="00A07D3B"/>
    <w:rsid w:val="00A07D66"/>
    <w:rsid w:val="00A100B6"/>
    <w:rsid w:val="00A100BA"/>
    <w:rsid w:val="00A100D4"/>
    <w:rsid w:val="00A10374"/>
    <w:rsid w:val="00A10741"/>
    <w:rsid w:val="00A10800"/>
    <w:rsid w:val="00A10E6B"/>
    <w:rsid w:val="00A10EC0"/>
    <w:rsid w:val="00A10F83"/>
    <w:rsid w:val="00A110F5"/>
    <w:rsid w:val="00A1121F"/>
    <w:rsid w:val="00A1132A"/>
    <w:rsid w:val="00A1151D"/>
    <w:rsid w:val="00A117A6"/>
    <w:rsid w:val="00A118C7"/>
    <w:rsid w:val="00A1191A"/>
    <w:rsid w:val="00A11990"/>
    <w:rsid w:val="00A11ACF"/>
    <w:rsid w:val="00A11BF5"/>
    <w:rsid w:val="00A1216E"/>
    <w:rsid w:val="00A12233"/>
    <w:rsid w:val="00A1227C"/>
    <w:rsid w:val="00A123E2"/>
    <w:rsid w:val="00A124B0"/>
    <w:rsid w:val="00A125A5"/>
    <w:rsid w:val="00A1264C"/>
    <w:rsid w:val="00A1282E"/>
    <w:rsid w:val="00A12C87"/>
    <w:rsid w:val="00A12FAF"/>
    <w:rsid w:val="00A1315F"/>
    <w:rsid w:val="00A133A4"/>
    <w:rsid w:val="00A134BA"/>
    <w:rsid w:val="00A135A3"/>
    <w:rsid w:val="00A13B42"/>
    <w:rsid w:val="00A13B77"/>
    <w:rsid w:val="00A13CF2"/>
    <w:rsid w:val="00A13D5A"/>
    <w:rsid w:val="00A1406D"/>
    <w:rsid w:val="00A140A9"/>
    <w:rsid w:val="00A140D0"/>
    <w:rsid w:val="00A14155"/>
    <w:rsid w:val="00A14390"/>
    <w:rsid w:val="00A143EE"/>
    <w:rsid w:val="00A1440D"/>
    <w:rsid w:val="00A14A49"/>
    <w:rsid w:val="00A14A64"/>
    <w:rsid w:val="00A14C2B"/>
    <w:rsid w:val="00A14C90"/>
    <w:rsid w:val="00A14CB4"/>
    <w:rsid w:val="00A14D19"/>
    <w:rsid w:val="00A14ED7"/>
    <w:rsid w:val="00A150F8"/>
    <w:rsid w:val="00A15289"/>
    <w:rsid w:val="00A15432"/>
    <w:rsid w:val="00A15672"/>
    <w:rsid w:val="00A157FF"/>
    <w:rsid w:val="00A15FFB"/>
    <w:rsid w:val="00A16443"/>
    <w:rsid w:val="00A166A0"/>
    <w:rsid w:val="00A16747"/>
    <w:rsid w:val="00A1689F"/>
    <w:rsid w:val="00A1697A"/>
    <w:rsid w:val="00A169D7"/>
    <w:rsid w:val="00A16B06"/>
    <w:rsid w:val="00A16C8D"/>
    <w:rsid w:val="00A16CD0"/>
    <w:rsid w:val="00A16E8D"/>
    <w:rsid w:val="00A17821"/>
    <w:rsid w:val="00A1793F"/>
    <w:rsid w:val="00A17A15"/>
    <w:rsid w:val="00A17E1E"/>
    <w:rsid w:val="00A20063"/>
    <w:rsid w:val="00A205DB"/>
    <w:rsid w:val="00A20617"/>
    <w:rsid w:val="00A20636"/>
    <w:rsid w:val="00A2063D"/>
    <w:rsid w:val="00A20726"/>
    <w:rsid w:val="00A20EFE"/>
    <w:rsid w:val="00A21133"/>
    <w:rsid w:val="00A2139B"/>
    <w:rsid w:val="00A214FA"/>
    <w:rsid w:val="00A218E5"/>
    <w:rsid w:val="00A21989"/>
    <w:rsid w:val="00A21B97"/>
    <w:rsid w:val="00A21C1D"/>
    <w:rsid w:val="00A21D32"/>
    <w:rsid w:val="00A21D5F"/>
    <w:rsid w:val="00A21E90"/>
    <w:rsid w:val="00A21F31"/>
    <w:rsid w:val="00A2201E"/>
    <w:rsid w:val="00A220F5"/>
    <w:rsid w:val="00A2214F"/>
    <w:rsid w:val="00A22284"/>
    <w:rsid w:val="00A2242B"/>
    <w:rsid w:val="00A225D3"/>
    <w:rsid w:val="00A2263F"/>
    <w:rsid w:val="00A2265E"/>
    <w:rsid w:val="00A226BE"/>
    <w:rsid w:val="00A22B7E"/>
    <w:rsid w:val="00A22BE7"/>
    <w:rsid w:val="00A22C9A"/>
    <w:rsid w:val="00A23202"/>
    <w:rsid w:val="00A2377E"/>
    <w:rsid w:val="00A23A25"/>
    <w:rsid w:val="00A23AAD"/>
    <w:rsid w:val="00A23E5E"/>
    <w:rsid w:val="00A23E8B"/>
    <w:rsid w:val="00A23ECA"/>
    <w:rsid w:val="00A2423B"/>
    <w:rsid w:val="00A2443F"/>
    <w:rsid w:val="00A244E7"/>
    <w:rsid w:val="00A2466C"/>
    <w:rsid w:val="00A24823"/>
    <w:rsid w:val="00A248AF"/>
    <w:rsid w:val="00A249A1"/>
    <w:rsid w:val="00A249D4"/>
    <w:rsid w:val="00A24B2A"/>
    <w:rsid w:val="00A24D0D"/>
    <w:rsid w:val="00A25077"/>
    <w:rsid w:val="00A2511C"/>
    <w:rsid w:val="00A253B9"/>
    <w:rsid w:val="00A2545A"/>
    <w:rsid w:val="00A255EA"/>
    <w:rsid w:val="00A2562A"/>
    <w:rsid w:val="00A2568C"/>
    <w:rsid w:val="00A25725"/>
    <w:rsid w:val="00A25736"/>
    <w:rsid w:val="00A25AB1"/>
    <w:rsid w:val="00A25BF7"/>
    <w:rsid w:val="00A25D23"/>
    <w:rsid w:val="00A25FFF"/>
    <w:rsid w:val="00A26195"/>
    <w:rsid w:val="00A26363"/>
    <w:rsid w:val="00A26629"/>
    <w:rsid w:val="00A26663"/>
    <w:rsid w:val="00A26691"/>
    <w:rsid w:val="00A266A9"/>
    <w:rsid w:val="00A26752"/>
    <w:rsid w:val="00A268F6"/>
    <w:rsid w:val="00A2697F"/>
    <w:rsid w:val="00A26A2F"/>
    <w:rsid w:val="00A26DA8"/>
    <w:rsid w:val="00A26DE5"/>
    <w:rsid w:val="00A26FEA"/>
    <w:rsid w:val="00A270F8"/>
    <w:rsid w:val="00A2740B"/>
    <w:rsid w:val="00A275D0"/>
    <w:rsid w:val="00A275F8"/>
    <w:rsid w:val="00A2767D"/>
    <w:rsid w:val="00A27A9F"/>
    <w:rsid w:val="00A27B97"/>
    <w:rsid w:val="00A27C16"/>
    <w:rsid w:val="00A27C48"/>
    <w:rsid w:val="00A27C6A"/>
    <w:rsid w:val="00A27C82"/>
    <w:rsid w:val="00A27CF0"/>
    <w:rsid w:val="00A27E94"/>
    <w:rsid w:val="00A27EA8"/>
    <w:rsid w:val="00A27F65"/>
    <w:rsid w:val="00A27FA9"/>
    <w:rsid w:val="00A3043E"/>
    <w:rsid w:val="00A30486"/>
    <w:rsid w:val="00A304B6"/>
    <w:rsid w:val="00A304FF"/>
    <w:rsid w:val="00A305EE"/>
    <w:rsid w:val="00A3070E"/>
    <w:rsid w:val="00A30868"/>
    <w:rsid w:val="00A30F8E"/>
    <w:rsid w:val="00A30FB7"/>
    <w:rsid w:val="00A31011"/>
    <w:rsid w:val="00A31422"/>
    <w:rsid w:val="00A316F1"/>
    <w:rsid w:val="00A31734"/>
    <w:rsid w:val="00A3182C"/>
    <w:rsid w:val="00A31A65"/>
    <w:rsid w:val="00A31EA8"/>
    <w:rsid w:val="00A321DB"/>
    <w:rsid w:val="00A322A6"/>
    <w:rsid w:val="00A32362"/>
    <w:rsid w:val="00A325CB"/>
    <w:rsid w:val="00A325EF"/>
    <w:rsid w:val="00A32682"/>
    <w:rsid w:val="00A327DD"/>
    <w:rsid w:val="00A327FC"/>
    <w:rsid w:val="00A3283A"/>
    <w:rsid w:val="00A32964"/>
    <w:rsid w:val="00A32D2D"/>
    <w:rsid w:val="00A332B3"/>
    <w:rsid w:val="00A33467"/>
    <w:rsid w:val="00A33534"/>
    <w:rsid w:val="00A335DB"/>
    <w:rsid w:val="00A335DF"/>
    <w:rsid w:val="00A33735"/>
    <w:rsid w:val="00A338DD"/>
    <w:rsid w:val="00A33902"/>
    <w:rsid w:val="00A33AB4"/>
    <w:rsid w:val="00A33B15"/>
    <w:rsid w:val="00A33C25"/>
    <w:rsid w:val="00A33D4D"/>
    <w:rsid w:val="00A33DAA"/>
    <w:rsid w:val="00A34160"/>
    <w:rsid w:val="00A341FA"/>
    <w:rsid w:val="00A3425B"/>
    <w:rsid w:val="00A34485"/>
    <w:rsid w:val="00A3478F"/>
    <w:rsid w:val="00A349AD"/>
    <w:rsid w:val="00A349B9"/>
    <w:rsid w:val="00A34A09"/>
    <w:rsid w:val="00A34B83"/>
    <w:rsid w:val="00A3514A"/>
    <w:rsid w:val="00A35363"/>
    <w:rsid w:val="00A35484"/>
    <w:rsid w:val="00A3583A"/>
    <w:rsid w:val="00A35916"/>
    <w:rsid w:val="00A35926"/>
    <w:rsid w:val="00A35EA7"/>
    <w:rsid w:val="00A35ED8"/>
    <w:rsid w:val="00A35FBF"/>
    <w:rsid w:val="00A36189"/>
    <w:rsid w:val="00A36533"/>
    <w:rsid w:val="00A368D1"/>
    <w:rsid w:val="00A36A0D"/>
    <w:rsid w:val="00A36B0D"/>
    <w:rsid w:val="00A36B17"/>
    <w:rsid w:val="00A37061"/>
    <w:rsid w:val="00A3743A"/>
    <w:rsid w:val="00A37565"/>
    <w:rsid w:val="00A3762C"/>
    <w:rsid w:val="00A376FD"/>
    <w:rsid w:val="00A37850"/>
    <w:rsid w:val="00A378AA"/>
    <w:rsid w:val="00A3793E"/>
    <w:rsid w:val="00A37A20"/>
    <w:rsid w:val="00A37BD9"/>
    <w:rsid w:val="00A37BF1"/>
    <w:rsid w:val="00A37C2A"/>
    <w:rsid w:val="00A37C98"/>
    <w:rsid w:val="00A37EBF"/>
    <w:rsid w:val="00A37F18"/>
    <w:rsid w:val="00A40018"/>
    <w:rsid w:val="00A40573"/>
    <w:rsid w:val="00A40B0D"/>
    <w:rsid w:val="00A410B3"/>
    <w:rsid w:val="00A411BE"/>
    <w:rsid w:val="00A414BB"/>
    <w:rsid w:val="00A41787"/>
    <w:rsid w:val="00A41A97"/>
    <w:rsid w:val="00A41C00"/>
    <w:rsid w:val="00A41D14"/>
    <w:rsid w:val="00A41E58"/>
    <w:rsid w:val="00A42155"/>
    <w:rsid w:val="00A42404"/>
    <w:rsid w:val="00A4276C"/>
    <w:rsid w:val="00A427B1"/>
    <w:rsid w:val="00A4283E"/>
    <w:rsid w:val="00A42B15"/>
    <w:rsid w:val="00A42C81"/>
    <w:rsid w:val="00A42D34"/>
    <w:rsid w:val="00A42D98"/>
    <w:rsid w:val="00A42ED9"/>
    <w:rsid w:val="00A42EF2"/>
    <w:rsid w:val="00A43094"/>
    <w:rsid w:val="00A431D7"/>
    <w:rsid w:val="00A43A3A"/>
    <w:rsid w:val="00A43B7D"/>
    <w:rsid w:val="00A43C06"/>
    <w:rsid w:val="00A43C54"/>
    <w:rsid w:val="00A43CF9"/>
    <w:rsid w:val="00A43DB5"/>
    <w:rsid w:val="00A43FC0"/>
    <w:rsid w:val="00A43FFB"/>
    <w:rsid w:val="00A44060"/>
    <w:rsid w:val="00A44289"/>
    <w:rsid w:val="00A445FD"/>
    <w:rsid w:val="00A4478E"/>
    <w:rsid w:val="00A44859"/>
    <w:rsid w:val="00A448AD"/>
    <w:rsid w:val="00A44A7D"/>
    <w:rsid w:val="00A44EB5"/>
    <w:rsid w:val="00A450AC"/>
    <w:rsid w:val="00A4510D"/>
    <w:rsid w:val="00A452BA"/>
    <w:rsid w:val="00A453C2"/>
    <w:rsid w:val="00A45A1A"/>
    <w:rsid w:val="00A45A1B"/>
    <w:rsid w:val="00A45A98"/>
    <w:rsid w:val="00A45C46"/>
    <w:rsid w:val="00A45D84"/>
    <w:rsid w:val="00A45E81"/>
    <w:rsid w:val="00A45F60"/>
    <w:rsid w:val="00A4600C"/>
    <w:rsid w:val="00A46041"/>
    <w:rsid w:val="00A461AB"/>
    <w:rsid w:val="00A46467"/>
    <w:rsid w:val="00A46490"/>
    <w:rsid w:val="00A4655D"/>
    <w:rsid w:val="00A465AA"/>
    <w:rsid w:val="00A46738"/>
    <w:rsid w:val="00A4675E"/>
    <w:rsid w:val="00A467E3"/>
    <w:rsid w:val="00A4685F"/>
    <w:rsid w:val="00A4686C"/>
    <w:rsid w:val="00A46C2D"/>
    <w:rsid w:val="00A46CFA"/>
    <w:rsid w:val="00A46D14"/>
    <w:rsid w:val="00A46EB1"/>
    <w:rsid w:val="00A4721E"/>
    <w:rsid w:val="00A47246"/>
    <w:rsid w:val="00A47406"/>
    <w:rsid w:val="00A47498"/>
    <w:rsid w:val="00A474B2"/>
    <w:rsid w:val="00A4754C"/>
    <w:rsid w:val="00A4794A"/>
    <w:rsid w:val="00A47955"/>
    <w:rsid w:val="00A47FC2"/>
    <w:rsid w:val="00A50216"/>
    <w:rsid w:val="00A50470"/>
    <w:rsid w:val="00A50B8E"/>
    <w:rsid w:val="00A50BCC"/>
    <w:rsid w:val="00A51072"/>
    <w:rsid w:val="00A511DE"/>
    <w:rsid w:val="00A513E5"/>
    <w:rsid w:val="00A5145C"/>
    <w:rsid w:val="00A514B3"/>
    <w:rsid w:val="00A515FB"/>
    <w:rsid w:val="00A5167A"/>
    <w:rsid w:val="00A51877"/>
    <w:rsid w:val="00A51D0E"/>
    <w:rsid w:val="00A51F0D"/>
    <w:rsid w:val="00A521B8"/>
    <w:rsid w:val="00A5223E"/>
    <w:rsid w:val="00A5230E"/>
    <w:rsid w:val="00A52363"/>
    <w:rsid w:val="00A523C3"/>
    <w:rsid w:val="00A52601"/>
    <w:rsid w:val="00A5286D"/>
    <w:rsid w:val="00A529A8"/>
    <w:rsid w:val="00A52BC7"/>
    <w:rsid w:val="00A52C0F"/>
    <w:rsid w:val="00A52EB0"/>
    <w:rsid w:val="00A530EA"/>
    <w:rsid w:val="00A53152"/>
    <w:rsid w:val="00A531B5"/>
    <w:rsid w:val="00A531B7"/>
    <w:rsid w:val="00A53508"/>
    <w:rsid w:val="00A536D2"/>
    <w:rsid w:val="00A537FB"/>
    <w:rsid w:val="00A53845"/>
    <w:rsid w:val="00A5393C"/>
    <w:rsid w:val="00A539B2"/>
    <w:rsid w:val="00A53D42"/>
    <w:rsid w:val="00A540EA"/>
    <w:rsid w:val="00A540FD"/>
    <w:rsid w:val="00A541AE"/>
    <w:rsid w:val="00A54366"/>
    <w:rsid w:val="00A543F9"/>
    <w:rsid w:val="00A54460"/>
    <w:rsid w:val="00A54757"/>
    <w:rsid w:val="00A54AB7"/>
    <w:rsid w:val="00A54B8F"/>
    <w:rsid w:val="00A54F51"/>
    <w:rsid w:val="00A54F8B"/>
    <w:rsid w:val="00A550A2"/>
    <w:rsid w:val="00A55198"/>
    <w:rsid w:val="00A5521E"/>
    <w:rsid w:val="00A55266"/>
    <w:rsid w:val="00A5526B"/>
    <w:rsid w:val="00A5531E"/>
    <w:rsid w:val="00A55766"/>
    <w:rsid w:val="00A55F76"/>
    <w:rsid w:val="00A56103"/>
    <w:rsid w:val="00A56198"/>
    <w:rsid w:val="00A5665F"/>
    <w:rsid w:val="00A56977"/>
    <w:rsid w:val="00A569B4"/>
    <w:rsid w:val="00A56DD4"/>
    <w:rsid w:val="00A56E0B"/>
    <w:rsid w:val="00A571BE"/>
    <w:rsid w:val="00A57232"/>
    <w:rsid w:val="00A57A26"/>
    <w:rsid w:val="00A57AEF"/>
    <w:rsid w:val="00A57DA7"/>
    <w:rsid w:val="00A57F83"/>
    <w:rsid w:val="00A60401"/>
    <w:rsid w:val="00A6049F"/>
    <w:rsid w:val="00A60584"/>
    <w:rsid w:val="00A60BFC"/>
    <w:rsid w:val="00A60FAE"/>
    <w:rsid w:val="00A613DD"/>
    <w:rsid w:val="00A615B4"/>
    <w:rsid w:val="00A618E3"/>
    <w:rsid w:val="00A61B1A"/>
    <w:rsid w:val="00A61D8B"/>
    <w:rsid w:val="00A61EE1"/>
    <w:rsid w:val="00A61FAE"/>
    <w:rsid w:val="00A620CD"/>
    <w:rsid w:val="00A6226D"/>
    <w:rsid w:val="00A62499"/>
    <w:rsid w:val="00A627FC"/>
    <w:rsid w:val="00A62B7D"/>
    <w:rsid w:val="00A62CEC"/>
    <w:rsid w:val="00A62D9B"/>
    <w:rsid w:val="00A62EDA"/>
    <w:rsid w:val="00A62F82"/>
    <w:rsid w:val="00A6316B"/>
    <w:rsid w:val="00A63178"/>
    <w:rsid w:val="00A631C4"/>
    <w:rsid w:val="00A6321D"/>
    <w:rsid w:val="00A632E5"/>
    <w:rsid w:val="00A634DC"/>
    <w:rsid w:val="00A63509"/>
    <w:rsid w:val="00A635E2"/>
    <w:rsid w:val="00A6371F"/>
    <w:rsid w:val="00A63878"/>
    <w:rsid w:val="00A6389A"/>
    <w:rsid w:val="00A63981"/>
    <w:rsid w:val="00A63B6F"/>
    <w:rsid w:val="00A63CA1"/>
    <w:rsid w:val="00A64005"/>
    <w:rsid w:val="00A640D5"/>
    <w:rsid w:val="00A64365"/>
    <w:rsid w:val="00A64658"/>
    <w:rsid w:val="00A646CF"/>
    <w:rsid w:val="00A64972"/>
    <w:rsid w:val="00A64C43"/>
    <w:rsid w:val="00A64CC0"/>
    <w:rsid w:val="00A64EF9"/>
    <w:rsid w:val="00A64FD9"/>
    <w:rsid w:val="00A65061"/>
    <w:rsid w:val="00A65435"/>
    <w:rsid w:val="00A657D5"/>
    <w:rsid w:val="00A658E7"/>
    <w:rsid w:val="00A65AFA"/>
    <w:rsid w:val="00A65BEA"/>
    <w:rsid w:val="00A65CF0"/>
    <w:rsid w:val="00A65DD9"/>
    <w:rsid w:val="00A65E24"/>
    <w:rsid w:val="00A65F0D"/>
    <w:rsid w:val="00A6622B"/>
    <w:rsid w:val="00A662B5"/>
    <w:rsid w:val="00A66594"/>
    <w:rsid w:val="00A66B9B"/>
    <w:rsid w:val="00A66C4E"/>
    <w:rsid w:val="00A66C82"/>
    <w:rsid w:val="00A66CF3"/>
    <w:rsid w:val="00A66D9E"/>
    <w:rsid w:val="00A66FC2"/>
    <w:rsid w:val="00A6746F"/>
    <w:rsid w:val="00A67471"/>
    <w:rsid w:val="00A67A78"/>
    <w:rsid w:val="00A67B49"/>
    <w:rsid w:val="00A67D74"/>
    <w:rsid w:val="00A67E84"/>
    <w:rsid w:val="00A70033"/>
    <w:rsid w:val="00A7010B"/>
    <w:rsid w:val="00A701E8"/>
    <w:rsid w:val="00A70703"/>
    <w:rsid w:val="00A70A3C"/>
    <w:rsid w:val="00A70A4F"/>
    <w:rsid w:val="00A70B4C"/>
    <w:rsid w:val="00A70C59"/>
    <w:rsid w:val="00A70CE3"/>
    <w:rsid w:val="00A70D76"/>
    <w:rsid w:val="00A70FDC"/>
    <w:rsid w:val="00A71120"/>
    <w:rsid w:val="00A714A8"/>
    <w:rsid w:val="00A714CB"/>
    <w:rsid w:val="00A716A6"/>
    <w:rsid w:val="00A71AD1"/>
    <w:rsid w:val="00A71D0D"/>
    <w:rsid w:val="00A71ED6"/>
    <w:rsid w:val="00A72308"/>
    <w:rsid w:val="00A72350"/>
    <w:rsid w:val="00A7235C"/>
    <w:rsid w:val="00A7236A"/>
    <w:rsid w:val="00A724F2"/>
    <w:rsid w:val="00A72525"/>
    <w:rsid w:val="00A72569"/>
    <w:rsid w:val="00A72923"/>
    <w:rsid w:val="00A732E8"/>
    <w:rsid w:val="00A7337F"/>
    <w:rsid w:val="00A73390"/>
    <w:rsid w:val="00A7344A"/>
    <w:rsid w:val="00A734AD"/>
    <w:rsid w:val="00A735AE"/>
    <w:rsid w:val="00A73804"/>
    <w:rsid w:val="00A7385C"/>
    <w:rsid w:val="00A739D2"/>
    <w:rsid w:val="00A73A91"/>
    <w:rsid w:val="00A73C63"/>
    <w:rsid w:val="00A73CF1"/>
    <w:rsid w:val="00A73E39"/>
    <w:rsid w:val="00A73F51"/>
    <w:rsid w:val="00A73FA3"/>
    <w:rsid w:val="00A740EB"/>
    <w:rsid w:val="00A7412E"/>
    <w:rsid w:val="00A742FE"/>
    <w:rsid w:val="00A74457"/>
    <w:rsid w:val="00A74532"/>
    <w:rsid w:val="00A746BA"/>
    <w:rsid w:val="00A74B97"/>
    <w:rsid w:val="00A74EDB"/>
    <w:rsid w:val="00A75158"/>
    <w:rsid w:val="00A755E8"/>
    <w:rsid w:val="00A758FF"/>
    <w:rsid w:val="00A75ADA"/>
    <w:rsid w:val="00A75BE8"/>
    <w:rsid w:val="00A75D21"/>
    <w:rsid w:val="00A7619E"/>
    <w:rsid w:val="00A761E4"/>
    <w:rsid w:val="00A762BD"/>
    <w:rsid w:val="00A76682"/>
    <w:rsid w:val="00A766FE"/>
    <w:rsid w:val="00A76706"/>
    <w:rsid w:val="00A76938"/>
    <w:rsid w:val="00A76CCD"/>
    <w:rsid w:val="00A76D15"/>
    <w:rsid w:val="00A76ECE"/>
    <w:rsid w:val="00A76EE1"/>
    <w:rsid w:val="00A7713E"/>
    <w:rsid w:val="00A77267"/>
    <w:rsid w:val="00A7732C"/>
    <w:rsid w:val="00A77678"/>
    <w:rsid w:val="00A7773B"/>
    <w:rsid w:val="00A77791"/>
    <w:rsid w:val="00A77BC8"/>
    <w:rsid w:val="00A77D75"/>
    <w:rsid w:val="00A77FE8"/>
    <w:rsid w:val="00A80013"/>
    <w:rsid w:val="00A8033D"/>
    <w:rsid w:val="00A80351"/>
    <w:rsid w:val="00A803AB"/>
    <w:rsid w:val="00A803F9"/>
    <w:rsid w:val="00A8050D"/>
    <w:rsid w:val="00A80578"/>
    <w:rsid w:val="00A805E0"/>
    <w:rsid w:val="00A8086F"/>
    <w:rsid w:val="00A809D9"/>
    <w:rsid w:val="00A80AC2"/>
    <w:rsid w:val="00A80D1A"/>
    <w:rsid w:val="00A80DB5"/>
    <w:rsid w:val="00A812E8"/>
    <w:rsid w:val="00A81310"/>
    <w:rsid w:val="00A814BC"/>
    <w:rsid w:val="00A8163A"/>
    <w:rsid w:val="00A818E0"/>
    <w:rsid w:val="00A81A1B"/>
    <w:rsid w:val="00A81BA4"/>
    <w:rsid w:val="00A81D42"/>
    <w:rsid w:val="00A81FBF"/>
    <w:rsid w:val="00A820AD"/>
    <w:rsid w:val="00A8212F"/>
    <w:rsid w:val="00A82190"/>
    <w:rsid w:val="00A82202"/>
    <w:rsid w:val="00A82263"/>
    <w:rsid w:val="00A823E8"/>
    <w:rsid w:val="00A82540"/>
    <w:rsid w:val="00A82587"/>
    <w:rsid w:val="00A826C0"/>
    <w:rsid w:val="00A8271B"/>
    <w:rsid w:val="00A828DC"/>
    <w:rsid w:val="00A82BC9"/>
    <w:rsid w:val="00A82BEE"/>
    <w:rsid w:val="00A82E1E"/>
    <w:rsid w:val="00A83062"/>
    <w:rsid w:val="00A831AB"/>
    <w:rsid w:val="00A832B7"/>
    <w:rsid w:val="00A8362E"/>
    <w:rsid w:val="00A8366F"/>
    <w:rsid w:val="00A836FE"/>
    <w:rsid w:val="00A8393E"/>
    <w:rsid w:val="00A83BD6"/>
    <w:rsid w:val="00A83BE5"/>
    <w:rsid w:val="00A83C9D"/>
    <w:rsid w:val="00A83E8B"/>
    <w:rsid w:val="00A83F2B"/>
    <w:rsid w:val="00A84383"/>
    <w:rsid w:val="00A8449C"/>
    <w:rsid w:val="00A84586"/>
    <w:rsid w:val="00A846E8"/>
    <w:rsid w:val="00A84835"/>
    <w:rsid w:val="00A848FA"/>
    <w:rsid w:val="00A84916"/>
    <w:rsid w:val="00A84934"/>
    <w:rsid w:val="00A849F7"/>
    <w:rsid w:val="00A84A2C"/>
    <w:rsid w:val="00A84ADF"/>
    <w:rsid w:val="00A84B21"/>
    <w:rsid w:val="00A84CC4"/>
    <w:rsid w:val="00A84CC8"/>
    <w:rsid w:val="00A84DC0"/>
    <w:rsid w:val="00A84E15"/>
    <w:rsid w:val="00A85071"/>
    <w:rsid w:val="00A8569B"/>
    <w:rsid w:val="00A856BB"/>
    <w:rsid w:val="00A85722"/>
    <w:rsid w:val="00A85D2A"/>
    <w:rsid w:val="00A85DAE"/>
    <w:rsid w:val="00A85DC9"/>
    <w:rsid w:val="00A860D6"/>
    <w:rsid w:val="00A8630A"/>
    <w:rsid w:val="00A8631C"/>
    <w:rsid w:val="00A8648D"/>
    <w:rsid w:val="00A864D2"/>
    <w:rsid w:val="00A864F5"/>
    <w:rsid w:val="00A86588"/>
    <w:rsid w:val="00A86687"/>
    <w:rsid w:val="00A866B2"/>
    <w:rsid w:val="00A868DA"/>
    <w:rsid w:val="00A86A0A"/>
    <w:rsid w:val="00A86FDD"/>
    <w:rsid w:val="00A871EF"/>
    <w:rsid w:val="00A877A9"/>
    <w:rsid w:val="00A8781A"/>
    <w:rsid w:val="00A878C1"/>
    <w:rsid w:val="00A87B08"/>
    <w:rsid w:val="00A87DE1"/>
    <w:rsid w:val="00A87DE3"/>
    <w:rsid w:val="00A90426"/>
    <w:rsid w:val="00A9061D"/>
    <w:rsid w:val="00A90627"/>
    <w:rsid w:val="00A90654"/>
    <w:rsid w:val="00A906A6"/>
    <w:rsid w:val="00A908B0"/>
    <w:rsid w:val="00A90BA9"/>
    <w:rsid w:val="00A90CC9"/>
    <w:rsid w:val="00A90E73"/>
    <w:rsid w:val="00A9115C"/>
    <w:rsid w:val="00A913D3"/>
    <w:rsid w:val="00A91615"/>
    <w:rsid w:val="00A916D0"/>
    <w:rsid w:val="00A917EA"/>
    <w:rsid w:val="00A91C79"/>
    <w:rsid w:val="00A91D31"/>
    <w:rsid w:val="00A923F9"/>
    <w:rsid w:val="00A92649"/>
    <w:rsid w:val="00A92900"/>
    <w:rsid w:val="00A92BE3"/>
    <w:rsid w:val="00A92DCF"/>
    <w:rsid w:val="00A92EA9"/>
    <w:rsid w:val="00A92EC2"/>
    <w:rsid w:val="00A93002"/>
    <w:rsid w:val="00A9314B"/>
    <w:rsid w:val="00A935E6"/>
    <w:rsid w:val="00A936C6"/>
    <w:rsid w:val="00A93890"/>
    <w:rsid w:val="00A93987"/>
    <w:rsid w:val="00A93CB4"/>
    <w:rsid w:val="00A93DC6"/>
    <w:rsid w:val="00A940C4"/>
    <w:rsid w:val="00A941B5"/>
    <w:rsid w:val="00A94209"/>
    <w:rsid w:val="00A942DC"/>
    <w:rsid w:val="00A94301"/>
    <w:rsid w:val="00A94576"/>
    <w:rsid w:val="00A94857"/>
    <w:rsid w:val="00A9485E"/>
    <w:rsid w:val="00A94A89"/>
    <w:rsid w:val="00A94CA7"/>
    <w:rsid w:val="00A94D72"/>
    <w:rsid w:val="00A94D7D"/>
    <w:rsid w:val="00A9507F"/>
    <w:rsid w:val="00A950AF"/>
    <w:rsid w:val="00A95497"/>
    <w:rsid w:val="00A95ED7"/>
    <w:rsid w:val="00A960DB"/>
    <w:rsid w:val="00A96180"/>
    <w:rsid w:val="00A96252"/>
    <w:rsid w:val="00A963E3"/>
    <w:rsid w:val="00A963F0"/>
    <w:rsid w:val="00A96704"/>
    <w:rsid w:val="00A96B8A"/>
    <w:rsid w:val="00A96BD2"/>
    <w:rsid w:val="00A96D39"/>
    <w:rsid w:val="00A96D46"/>
    <w:rsid w:val="00A96FAF"/>
    <w:rsid w:val="00A96FD9"/>
    <w:rsid w:val="00A971E4"/>
    <w:rsid w:val="00A972EC"/>
    <w:rsid w:val="00A97489"/>
    <w:rsid w:val="00A975E8"/>
    <w:rsid w:val="00A979E9"/>
    <w:rsid w:val="00A97A44"/>
    <w:rsid w:val="00A97B69"/>
    <w:rsid w:val="00A97D55"/>
    <w:rsid w:val="00A97F89"/>
    <w:rsid w:val="00AA036D"/>
    <w:rsid w:val="00AA0639"/>
    <w:rsid w:val="00AA063B"/>
    <w:rsid w:val="00AA098B"/>
    <w:rsid w:val="00AA09C9"/>
    <w:rsid w:val="00AA0A95"/>
    <w:rsid w:val="00AA0BF4"/>
    <w:rsid w:val="00AA0D43"/>
    <w:rsid w:val="00AA0DD6"/>
    <w:rsid w:val="00AA0DE1"/>
    <w:rsid w:val="00AA11FD"/>
    <w:rsid w:val="00AA129C"/>
    <w:rsid w:val="00AA130E"/>
    <w:rsid w:val="00AA144D"/>
    <w:rsid w:val="00AA14AF"/>
    <w:rsid w:val="00AA1597"/>
    <w:rsid w:val="00AA15CF"/>
    <w:rsid w:val="00AA1755"/>
    <w:rsid w:val="00AA17E2"/>
    <w:rsid w:val="00AA196B"/>
    <w:rsid w:val="00AA1A07"/>
    <w:rsid w:val="00AA1B03"/>
    <w:rsid w:val="00AA1BD0"/>
    <w:rsid w:val="00AA1F72"/>
    <w:rsid w:val="00AA207C"/>
    <w:rsid w:val="00AA211C"/>
    <w:rsid w:val="00AA213D"/>
    <w:rsid w:val="00AA230F"/>
    <w:rsid w:val="00AA25BF"/>
    <w:rsid w:val="00AA26BE"/>
    <w:rsid w:val="00AA28D0"/>
    <w:rsid w:val="00AA2906"/>
    <w:rsid w:val="00AA292D"/>
    <w:rsid w:val="00AA2933"/>
    <w:rsid w:val="00AA2CB4"/>
    <w:rsid w:val="00AA2CCD"/>
    <w:rsid w:val="00AA2D47"/>
    <w:rsid w:val="00AA2DCF"/>
    <w:rsid w:val="00AA2EB7"/>
    <w:rsid w:val="00AA301A"/>
    <w:rsid w:val="00AA3095"/>
    <w:rsid w:val="00AA35CC"/>
    <w:rsid w:val="00AA3AA9"/>
    <w:rsid w:val="00AA4166"/>
    <w:rsid w:val="00AA4783"/>
    <w:rsid w:val="00AA4CC1"/>
    <w:rsid w:val="00AA50E6"/>
    <w:rsid w:val="00AA5112"/>
    <w:rsid w:val="00AA5304"/>
    <w:rsid w:val="00AA5333"/>
    <w:rsid w:val="00AA55BC"/>
    <w:rsid w:val="00AA561D"/>
    <w:rsid w:val="00AA56E3"/>
    <w:rsid w:val="00AA5A14"/>
    <w:rsid w:val="00AA5A1A"/>
    <w:rsid w:val="00AA5A8E"/>
    <w:rsid w:val="00AA5B79"/>
    <w:rsid w:val="00AA5C8D"/>
    <w:rsid w:val="00AA5CD0"/>
    <w:rsid w:val="00AA5FB1"/>
    <w:rsid w:val="00AA606D"/>
    <w:rsid w:val="00AA67B8"/>
    <w:rsid w:val="00AA695A"/>
    <w:rsid w:val="00AA6D85"/>
    <w:rsid w:val="00AA6F21"/>
    <w:rsid w:val="00AA6F3C"/>
    <w:rsid w:val="00AA6FD1"/>
    <w:rsid w:val="00AA70D6"/>
    <w:rsid w:val="00AA711F"/>
    <w:rsid w:val="00AA7149"/>
    <w:rsid w:val="00AA7553"/>
    <w:rsid w:val="00AA7597"/>
    <w:rsid w:val="00AA76C6"/>
    <w:rsid w:val="00AA7914"/>
    <w:rsid w:val="00AA7A7E"/>
    <w:rsid w:val="00AA7B71"/>
    <w:rsid w:val="00AA7E12"/>
    <w:rsid w:val="00AA7F2C"/>
    <w:rsid w:val="00AB0113"/>
    <w:rsid w:val="00AB0189"/>
    <w:rsid w:val="00AB01AB"/>
    <w:rsid w:val="00AB01C6"/>
    <w:rsid w:val="00AB0362"/>
    <w:rsid w:val="00AB0579"/>
    <w:rsid w:val="00AB0644"/>
    <w:rsid w:val="00AB0753"/>
    <w:rsid w:val="00AB0944"/>
    <w:rsid w:val="00AB0A87"/>
    <w:rsid w:val="00AB0ABE"/>
    <w:rsid w:val="00AB0C84"/>
    <w:rsid w:val="00AB0FA9"/>
    <w:rsid w:val="00AB108B"/>
    <w:rsid w:val="00AB1256"/>
    <w:rsid w:val="00AB1495"/>
    <w:rsid w:val="00AB15BB"/>
    <w:rsid w:val="00AB165C"/>
    <w:rsid w:val="00AB17E9"/>
    <w:rsid w:val="00AB18C0"/>
    <w:rsid w:val="00AB1A31"/>
    <w:rsid w:val="00AB1E4E"/>
    <w:rsid w:val="00AB1F76"/>
    <w:rsid w:val="00AB1FBC"/>
    <w:rsid w:val="00AB1FE0"/>
    <w:rsid w:val="00AB2066"/>
    <w:rsid w:val="00AB221F"/>
    <w:rsid w:val="00AB25E9"/>
    <w:rsid w:val="00AB2DDF"/>
    <w:rsid w:val="00AB2DF0"/>
    <w:rsid w:val="00AB2E09"/>
    <w:rsid w:val="00AB2F93"/>
    <w:rsid w:val="00AB2FF0"/>
    <w:rsid w:val="00AB31BD"/>
    <w:rsid w:val="00AB3628"/>
    <w:rsid w:val="00AB3761"/>
    <w:rsid w:val="00AB4173"/>
    <w:rsid w:val="00AB41E1"/>
    <w:rsid w:val="00AB42D0"/>
    <w:rsid w:val="00AB43A4"/>
    <w:rsid w:val="00AB4476"/>
    <w:rsid w:val="00AB455B"/>
    <w:rsid w:val="00AB4579"/>
    <w:rsid w:val="00AB4676"/>
    <w:rsid w:val="00AB46A7"/>
    <w:rsid w:val="00AB4717"/>
    <w:rsid w:val="00AB47C7"/>
    <w:rsid w:val="00AB4878"/>
    <w:rsid w:val="00AB490D"/>
    <w:rsid w:val="00AB4A02"/>
    <w:rsid w:val="00AB4A1B"/>
    <w:rsid w:val="00AB4A5B"/>
    <w:rsid w:val="00AB4BE3"/>
    <w:rsid w:val="00AB4D46"/>
    <w:rsid w:val="00AB4F5E"/>
    <w:rsid w:val="00AB50F0"/>
    <w:rsid w:val="00AB5121"/>
    <w:rsid w:val="00AB51A8"/>
    <w:rsid w:val="00AB5202"/>
    <w:rsid w:val="00AB588A"/>
    <w:rsid w:val="00AB59FF"/>
    <w:rsid w:val="00AB5A7E"/>
    <w:rsid w:val="00AB5A8D"/>
    <w:rsid w:val="00AB5CEB"/>
    <w:rsid w:val="00AB5E48"/>
    <w:rsid w:val="00AB5F0E"/>
    <w:rsid w:val="00AB624E"/>
    <w:rsid w:val="00AB6252"/>
    <w:rsid w:val="00AB6713"/>
    <w:rsid w:val="00AB67F7"/>
    <w:rsid w:val="00AB6A87"/>
    <w:rsid w:val="00AB6D49"/>
    <w:rsid w:val="00AB6E31"/>
    <w:rsid w:val="00AB6F40"/>
    <w:rsid w:val="00AB6F8C"/>
    <w:rsid w:val="00AB6FFB"/>
    <w:rsid w:val="00AB706E"/>
    <w:rsid w:val="00AB70BE"/>
    <w:rsid w:val="00AB7167"/>
    <w:rsid w:val="00AB71C7"/>
    <w:rsid w:val="00AB7268"/>
    <w:rsid w:val="00AB72C3"/>
    <w:rsid w:val="00AB7671"/>
    <w:rsid w:val="00AB7725"/>
    <w:rsid w:val="00AB775E"/>
    <w:rsid w:val="00AB7AA0"/>
    <w:rsid w:val="00AB7AB5"/>
    <w:rsid w:val="00AB7B6F"/>
    <w:rsid w:val="00AB7FB9"/>
    <w:rsid w:val="00AC0011"/>
    <w:rsid w:val="00AC01E6"/>
    <w:rsid w:val="00AC0323"/>
    <w:rsid w:val="00AC06F7"/>
    <w:rsid w:val="00AC0AAF"/>
    <w:rsid w:val="00AC0B29"/>
    <w:rsid w:val="00AC0D6F"/>
    <w:rsid w:val="00AC0DAA"/>
    <w:rsid w:val="00AC0EA8"/>
    <w:rsid w:val="00AC12AF"/>
    <w:rsid w:val="00AC1432"/>
    <w:rsid w:val="00AC1468"/>
    <w:rsid w:val="00AC152F"/>
    <w:rsid w:val="00AC159F"/>
    <w:rsid w:val="00AC16DF"/>
    <w:rsid w:val="00AC183D"/>
    <w:rsid w:val="00AC1A35"/>
    <w:rsid w:val="00AC1A9F"/>
    <w:rsid w:val="00AC1CE5"/>
    <w:rsid w:val="00AC1D9D"/>
    <w:rsid w:val="00AC1DD4"/>
    <w:rsid w:val="00AC1E0A"/>
    <w:rsid w:val="00AC1ECF"/>
    <w:rsid w:val="00AC1FD7"/>
    <w:rsid w:val="00AC24C4"/>
    <w:rsid w:val="00AC2578"/>
    <w:rsid w:val="00AC2843"/>
    <w:rsid w:val="00AC285F"/>
    <w:rsid w:val="00AC2A7C"/>
    <w:rsid w:val="00AC2AE1"/>
    <w:rsid w:val="00AC2C24"/>
    <w:rsid w:val="00AC2C4F"/>
    <w:rsid w:val="00AC2D0B"/>
    <w:rsid w:val="00AC3046"/>
    <w:rsid w:val="00AC30D3"/>
    <w:rsid w:val="00AC30F6"/>
    <w:rsid w:val="00AC362A"/>
    <w:rsid w:val="00AC363A"/>
    <w:rsid w:val="00AC3742"/>
    <w:rsid w:val="00AC386A"/>
    <w:rsid w:val="00AC3AEE"/>
    <w:rsid w:val="00AC3B02"/>
    <w:rsid w:val="00AC3B41"/>
    <w:rsid w:val="00AC3E90"/>
    <w:rsid w:val="00AC4372"/>
    <w:rsid w:val="00AC438B"/>
    <w:rsid w:val="00AC49A2"/>
    <w:rsid w:val="00AC4B94"/>
    <w:rsid w:val="00AC4DB0"/>
    <w:rsid w:val="00AC4DB8"/>
    <w:rsid w:val="00AC4F40"/>
    <w:rsid w:val="00AC5137"/>
    <w:rsid w:val="00AC5162"/>
    <w:rsid w:val="00AC517B"/>
    <w:rsid w:val="00AC53D2"/>
    <w:rsid w:val="00AC5538"/>
    <w:rsid w:val="00AC56FF"/>
    <w:rsid w:val="00AC57DD"/>
    <w:rsid w:val="00AC58B9"/>
    <w:rsid w:val="00AC5925"/>
    <w:rsid w:val="00AC5ABC"/>
    <w:rsid w:val="00AC5BA2"/>
    <w:rsid w:val="00AC5C42"/>
    <w:rsid w:val="00AC6076"/>
    <w:rsid w:val="00AC63D0"/>
    <w:rsid w:val="00AC63DF"/>
    <w:rsid w:val="00AC64DE"/>
    <w:rsid w:val="00AC656A"/>
    <w:rsid w:val="00AC67A1"/>
    <w:rsid w:val="00AC6840"/>
    <w:rsid w:val="00AC6BAF"/>
    <w:rsid w:val="00AC7053"/>
    <w:rsid w:val="00AC7087"/>
    <w:rsid w:val="00AC7146"/>
    <w:rsid w:val="00AC71E8"/>
    <w:rsid w:val="00AC7238"/>
    <w:rsid w:val="00AC7292"/>
    <w:rsid w:val="00AC729E"/>
    <w:rsid w:val="00AC73F3"/>
    <w:rsid w:val="00AC7802"/>
    <w:rsid w:val="00AC7967"/>
    <w:rsid w:val="00AC7A8B"/>
    <w:rsid w:val="00AC7B8B"/>
    <w:rsid w:val="00AC7BCB"/>
    <w:rsid w:val="00AC7D72"/>
    <w:rsid w:val="00AC7ECF"/>
    <w:rsid w:val="00AC7EE5"/>
    <w:rsid w:val="00AC7F1B"/>
    <w:rsid w:val="00AC7FBF"/>
    <w:rsid w:val="00AD05C2"/>
    <w:rsid w:val="00AD066A"/>
    <w:rsid w:val="00AD069A"/>
    <w:rsid w:val="00AD06FE"/>
    <w:rsid w:val="00AD0810"/>
    <w:rsid w:val="00AD0982"/>
    <w:rsid w:val="00AD0C90"/>
    <w:rsid w:val="00AD0DB1"/>
    <w:rsid w:val="00AD0DB4"/>
    <w:rsid w:val="00AD0F19"/>
    <w:rsid w:val="00AD1059"/>
    <w:rsid w:val="00AD129D"/>
    <w:rsid w:val="00AD13F3"/>
    <w:rsid w:val="00AD1BAE"/>
    <w:rsid w:val="00AD1CAC"/>
    <w:rsid w:val="00AD1CB7"/>
    <w:rsid w:val="00AD1D64"/>
    <w:rsid w:val="00AD22C3"/>
    <w:rsid w:val="00AD2359"/>
    <w:rsid w:val="00AD25EF"/>
    <w:rsid w:val="00AD2761"/>
    <w:rsid w:val="00AD27EF"/>
    <w:rsid w:val="00AD286C"/>
    <w:rsid w:val="00AD287B"/>
    <w:rsid w:val="00AD28DF"/>
    <w:rsid w:val="00AD2D19"/>
    <w:rsid w:val="00AD2E66"/>
    <w:rsid w:val="00AD2FF6"/>
    <w:rsid w:val="00AD2FF7"/>
    <w:rsid w:val="00AD3417"/>
    <w:rsid w:val="00AD3955"/>
    <w:rsid w:val="00AD3A1C"/>
    <w:rsid w:val="00AD3D02"/>
    <w:rsid w:val="00AD3D97"/>
    <w:rsid w:val="00AD3E06"/>
    <w:rsid w:val="00AD3E54"/>
    <w:rsid w:val="00AD3EB4"/>
    <w:rsid w:val="00AD4251"/>
    <w:rsid w:val="00AD434A"/>
    <w:rsid w:val="00AD441C"/>
    <w:rsid w:val="00AD45BB"/>
    <w:rsid w:val="00AD46F9"/>
    <w:rsid w:val="00AD479D"/>
    <w:rsid w:val="00AD47D8"/>
    <w:rsid w:val="00AD48F4"/>
    <w:rsid w:val="00AD49E7"/>
    <w:rsid w:val="00AD4A96"/>
    <w:rsid w:val="00AD4B33"/>
    <w:rsid w:val="00AD4C9E"/>
    <w:rsid w:val="00AD4CAC"/>
    <w:rsid w:val="00AD4DE0"/>
    <w:rsid w:val="00AD4E3A"/>
    <w:rsid w:val="00AD4F8C"/>
    <w:rsid w:val="00AD500F"/>
    <w:rsid w:val="00AD51C1"/>
    <w:rsid w:val="00AD5212"/>
    <w:rsid w:val="00AD541D"/>
    <w:rsid w:val="00AD5497"/>
    <w:rsid w:val="00AD5526"/>
    <w:rsid w:val="00AD578C"/>
    <w:rsid w:val="00AD57C9"/>
    <w:rsid w:val="00AD5A02"/>
    <w:rsid w:val="00AD5E04"/>
    <w:rsid w:val="00AD5F41"/>
    <w:rsid w:val="00AD626D"/>
    <w:rsid w:val="00AD6290"/>
    <w:rsid w:val="00AD6508"/>
    <w:rsid w:val="00AD65AA"/>
    <w:rsid w:val="00AD69D9"/>
    <w:rsid w:val="00AD69F2"/>
    <w:rsid w:val="00AD6C6C"/>
    <w:rsid w:val="00AD6F12"/>
    <w:rsid w:val="00AD6F31"/>
    <w:rsid w:val="00AD6F53"/>
    <w:rsid w:val="00AD6FC3"/>
    <w:rsid w:val="00AD70F5"/>
    <w:rsid w:val="00AD74E2"/>
    <w:rsid w:val="00AD7558"/>
    <w:rsid w:val="00AD75D0"/>
    <w:rsid w:val="00AD76CF"/>
    <w:rsid w:val="00AD7730"/>
    <w:rsid w:val="00AD7935"/>
    <w:rsid w:val="00AD7CE0"/>
    <w:rsid w:val="00AD7CEC"/>
    <w:rsid w:val="00AE00D9"/>
    <w:rsid w:val="00AE01D8"/>
    <w:rsid w:val="00AE054D"/>
    <w:rsid w:val="00AE06AC"/>
    <w:rsid w:val="00AE0758"/>
    <w:rsid w:val="00AE0FD5"/>
    <w:rsid w:val="00AE11A3"/>
    <w:rsid w:val="00AE1377"/>
    <w:rsid w:val="00AE14C1"/>
    <w:rsid w:val="00AE16C5"/>
    <w:rsid w:val="00AE18EF"/>
    <w:rsid w:val="00AE18FD"/>
    <w:rsid w:val="00AE1974"/>
    <w:rsid w:val="00AE1A02"/>
    <w:rsid w:val="00AE1A03"/>
    <w:rsid w:val="00AE1A1D"/>
    <w:rsid w:val="00AE1ADE"/>
    <w:rsid w:val="00AE1B92"/>
    <w:rsid w:val="00AE1B9C"/>
    <w:rsid w:val="00AE1D8D"/>
    <w:rsid w:val="00AE1F86"/>
    <w:rsid w:val="00AE240E"/>
    <w:rsid w:val="00AE273A"/>
    <w:rsid w:val="00AE297A"/>
    <w:rsid w:val="00AE298D"/>
    <w:rsid w:val="00AE29AA"/>
    <w:rsid w:val="00AE3260"/>
    <w:rsid w:val="00AE335F"/>
    <w:rsid w:val="00AE3413"/>
    <w:rsid w:val="00AE3443"/>
    <w:rsid w:val="00AE346A"/>
    <w:rsid w:val="00AE351C"/>
    <w:rsid w:val="00AE364D"/>
    <w:rsid w:val="00AE3C72"/>
    <w:rsid w:val="00AE3CEE"/>
    <w:rsid w:val="00AE400D"/>
    <w:rsid w:val="00AE4034"/>
    <w:rsid w:val="00AE40A4"/>
    <w:rsid w:val="00AE422E"/>
    <w:rsid w:val="00AE4380"/>
    <w:rsid w:val="00AE43CE"/>
    <w:rsid w:val="00AE4941"/>
    <w:rsid w:val="00AE4AF0"/>
    <w:rsid w:val="00AE4CFC"/>
    <w:rsid w:val="00AE5025"/>
    <w:rsid w:val="00AE506A"/>
    <w:rsid w:val="00AE56CF"/>
    <w:rsid w:val="00AE58A5"/>
    <w:rsid w:val="00AE5BFE"/>
    <w:rsid w:val="00AE5E97"/>
    <w:rsid w:val="00AE63C2"/>
    <w:rsid w:val="00AE6611"/>
    <w:rsid w:val="00AE68BC"/>
    <w:rsid w:val="00AE6943"/>
    <w:rsid w:val="00AE6971"/>
    <w:rsid w:val="00AE6A6A"/>
    <w:rsid w:val="00AE6D6C"/>
    <w:rsid w:val="00AE701C"/>
    <w:rsid w:val="00AE7644"/>
    <w:rsid w:val="00AE7AC2"/>
    <w:rsid w:val="00AE7BB8"/>
    <w:rsid w:val="00AE7DA7"/>
    <w:rsid w:val="00AE7ED3"/>
    <w:rsid w:val="00AE7F42"/>
    <w:rsid w:val="00AF01FE"/>
    <w:rsid w:val="00AF027B"/>
    <w:rsid w:val="00AF0391"/>
    <w:rsid w:val="00AF0580"/>
    <w:rsid w:val="00AF0922"/>
    <w:rsid w:val="00AF09B5"/>
    <w:rsid w:val="00AF0B2C"/>
    <w:rsid w:val="00AF10B2"/>
    <w:rsid w:val="00AF1279"/>
    <w:rsid w:val="00AF1961"/>
    <w:rsid w:val="00AF1AF8"/>
    <w:rsid w:val="00AF1B01"/>
    <w:rsid w:val="00AF1B9B"/>
    <w:rsid w:val="00AF2001"/>
    <w:rsid w:val="00AF232F"/>
    <w:rsid w:val="00AF2569"/>
    <w:rsid w:val="00AF2597"/>
    <w:rsid w:val="00AF25F4"/>
    <w:rsid w:val="00AF280A"/>
    <w:rsid w:val="00AF2B4B"/>
    <w:rsid w:val="00AF2B99"/>
    <w:rsid w:val="00AF2D1A"/>
    <w:rsid w:val="00AF359E"/>
    <w:rsid w:val="00AF3675"/>
    <w:rsid w:val="00AF376D"/>
    <w:rsid w:val="00AF3907"/>
    <w:rsid w:val="00AF3915"/>
    <w:rsid w:val="00AF3C73"/>
    <w:rsid w:val="00AF3D4A"/>
    <w:rsid w:val="00AF3E8C"/>
    <w:rsid w:val="00AF3FD3"/>
    <w:rsid w:val="00AF4028"/>
    <w:rsid w:val="00AF411E"/>
    <w:rsid w:val="00AF413E"/>
    <w:rsid w:val="00AF456D"/>
    <w:rsid w:val="00AF4837"/>
    <w:rsid w:val="00AF49AA"/>
    <w:rsid w:val="00AF49E8"/>
    <w:rsid w:val="00AF4B53"/>
    <w:rsid w:val="00AF4BAE"/>
    <w:rsid w:val="00AF4C8D"/>
    <w:rsid w:val="00AF4D04"/>
    <w:rsid w:val="00AF4E0E"/>
    <w:rsid w:val="00AF4F3F"/>
    <w:rsid w:val="00AF5484"/>
    <w:rsid w:val="00AF575B"/>
    <w:rsid w:val="00AF5B4A"/>
    <w:rsid w:val="00AF5B60"/>
    <w:rsid w:val="00AF5BAC"/>
    <w:rsid w:val="00AF5BF7"/>
    <w:rsid w:val="00AF6692"/>
    <w:rsid w:val="00AF6709"/>
    <w:rsid w:val="00AF6921"/>
    <w:rsid w:val="00AF6CE6"/>
    <w:rsid w:val="00AF6D01"/>
    <w:rsid w:val="00AF6F6E"/>
    <w:rsid w:val="00AF702D"/>
    <w:rsid w:val="00AF7348"/>
    <w:rsid w:val="00AF7842"/>
    <w:rsid w:val="00AF787C"/>
    <w:rsid w:val="00AF798E"/>
    <w:rsid w:val="00AF7B21"/>
    <w:rsid w:val="00AF7B40"/>
    <w:rsid w:val="00AF7D6C"/>
    <w:rsid w:val="00B00260"/>
    <w:rsid w:val="00B00369"/>
    <w:rsid w:val="00B005B9"/>
    <w:rsid w:val="00B007FD"/>
    <w:rsid w:val="00B00A24"/>
    <w:rsid w:val="00B00AFB"/>
    <w:rsid w:val="00B00CAB"/>
    <w:rsid w:val="00B00D3B"/>
    <w:rsid w:val="00B00E2C"/>
    <w:rsid w:val="00B01046"/>
    <w:rsid w:val="00B01228"/>
    <w:rsid w:val="00B015FB"/>
    <w:rsid w:val="00B016FF"/>
    <w:rsid w:val="00B017B0"/>
    <w:rsid w:val="00B017EF"/>
    <w:rsid w:val="00B01836"/>
    <w:rsid w:val="00B01AAE"/>
    <w:rsid w:val="00B01AD6"/>
    <w:rsid w:val="00B01B0F"/>
    <w:rsid w:val="00B01CED"/>
    <w:rsid w:val="00B01E37"/>
    <w:rsid w:val="00B02172"/>
    <w:rsid w:val="00B0218A"/>
    <w:rsid w:val="00B022CE"/>
    <w:rsid w:val="00B02354"/>
    <w:rsid w:val="00B0235F"/>
    <w:rsid w:val="00B02612"/>
    <w:rsid w:val="00B028AC"/>
    <w:rsid w:val="00B02EB5"/>
    <w:rsid w:val="00B03025"/>
    <w:rsid w:val="00B03207"/>
    <w:rsid w:val="00B0327C"/>
    <w:rsid w:val="00B03438"/>
    <w:rsid w:val="00B035E4"/>
    <w:rsid w:val="00B03668"/>
    <w:rsid w:val="00B036A5"/>
    <w:rsid w:val="00B03740"/>
    <w:rsid w:val="00B037EF"/>
    <w:rsid w:val="00B0393F"/>
    <w:rsid w:val="00B03D41"/>
    <w:rsid w:val="00B040FA"/>
    <w:rsid w:val="00B0444E"/>
    <w:rsid w:val="00B0455C"/>
    <w:rsid w:val="00B046A2"/>
    <w:rsid w:val="00B04EF2"/>
    <w:rsid w:val="00B04F3C"/>
    <w:rsid w:val="00B04F6E"/>
    <w:rsid w:val="00B0505E"/>
    <w:rsid w:val="00B05182"/>
    <w:rsid w:val="00B05205"/>
    <w:rsid w:val="00B052C0"/>
    <w:rsid w:val="00B0532A"/>
    <w:rsid w:val="00B05336"/>
    <w:rsid w:val="00B0538D"/>
    <w:rsid w:val="00B057B0"/>
    <w:rsid w:val="00B05A8C"/>
    <w:rsid w:val="00B06128"/>
    <w:rsid w:val="00B062A8"/>
    <w:rsid w:val="00B065A4"/>
    <w:rsid w:val="00B065A9"/>
    <w:rsid w:val="00B06AE7"/>
    <w:rsid w:val="00B0710D"/>
    <w:rsid w:val="00B0736A"/>
    <w:rsid w:val="00B0741E"/>
    <w:rsid w:val="00B074D0"/>
    <w:rsid w:val="00B0763A"/>
    <w:rsid w:val="00B07A60"/>
    <w:rsid w:val="00B07AF6"/>
    <w:rsid w:val="00B07B0D"/>
    <w:rsid w:val="00B07BB9"/>
    <w:rsid w:val="00B07C57"/>
    <w:rsid w:val="00B07F59"/>
    <w:rsid w:val="00B1014C"/>
    <w:rsid w:val="00B103DA"/>
    <w:rsid w:val="00B10830"/>
    <w:rsid w:val="00B10A3E"/>
    <w:rsid w:val="00B10AA0"/>
    <w:rsid w:val="00B10D59"/>
    <w:rsid w:val="00B10FB7"/>
    <w:rsid w:val="00B1136C"/>
    <w:rsid w:val="00B1153A"/>
    <w:rsid w:val="00B11596"/>
    <w:rsid w:val="00B11641"/>
    <w:rsid w:val="00B1177E"/>
    <w:rsid w:val="00B11886"/>
    <w:rsid w:val="00B11897"/>
    <w:rsid w:val="00B11B3E"/>
    <w:rsid w:val="00B11CE3"/>
    <w:rsid w:val="00B11D46"/>
    <w:rsid w:val="00B11E0C"/>
    <w:rsid w:val="00B11E4E"/>
    <w:rsid w:val="00B120E6"/>
    <w:rsid w:val="00B12251"/>
    <w:rsid w:val="00B1262F"/>
    <w:rsid w:val="00B12991"/>
    <w:rsid w:val="00B12A03"/>
    <w:rsid w:val="00B12B63"/>
    <w:rsid w:val="00B12C85"/>
    <w:rsid w:val="00B12EA0"/>
    <w:rsid w:val="00B12EEF"/>
    <w:rsid w:val="00B12F3E"/>
    <w:rsid w:val="00B12FE3"/>
    <w:rsid w:val="00B13405"/>
    <w:rsid w:val="00B13407"/>
    <w:rsid w:val="00B134F9"/>
    <w:rsid w:val="00B1366B"/>
    <w:rsid w:val="00B137A9"/>
    <w:rsid w:val="00B137B4"/>
    <w:rsid w:val="00B138EF"/>
    <w:rsid w:val="00B13989"/>
    <w:rsid w:val="00B13ABC"/>
    <w:rsid w:val="00B13C78"/>
    <w:rsid w:val="00B14312"/>
    <w:rsid w:val="00B143EB"/>
    <w:rsid w:val="00B1482C"/>
    <w:rsid w:val="00B14A3B"/>
    <w:rsid w:val="00B14A58"/>
    <w:rsid w:val="00B14BF5"/>
    <w:rsid w:val="00B14C67"/>
    <w:rsid w:val="00B14D6D"/>
    <w:rsid w:val="00B152ED"/>
    <w:rsid w:val="00B153D9"/>
    <w:rsid w:val="00B156C8"/>
    <w:rsid w:val="00B156E0"/>
    <w:rsid w:val="00B1587F"/>
    <w:rsid w:val="00B15914"/>
    <w:rsid w:val="00B15BC8"/>
    <w:rsid w:val="00B15C4F"/>
    <w:rsid w:val="00B15D41"/>
    <w:rsid w:val="00B15D96"/>
    <w:rsid w:val="00B15DD5"/>
    <w:rsid w:val="00B15DF3"/>
    <w:rsid w:val="00B160A0"/>
    <w:rsid w:val="00B160B9"/>
    <w:rsid w:val="00B162DF"/>
    <w:rsid w:val="00B16880"/>
    <w:rsid w:val="00B16AB0"/>
    <w:rsid w:val="00B16B56"/>
    <w:rsid w:val="00B16FE7"/>
    <w:rsid w:val="00B17011"/>
    <w:rsid w:val="00B17102"/>
    <w:rsid w:val="00B17261"/>
    <w:rsid w:val="00B172E5"/>
    <w:rsid w:val="00B1733D"/>
    <w:rsid w:val="00B1737F"/>
    <w:rsid w:val="00B173DD"/>
    <w:rsid w:val="00B177C3"/>
    <w:rsid w:val="00B178A0"/>
    <w:rsid w:val="00B17970"/>
    <w:rsid w:val="00B17B2A"/>
    <w:rsid w:val="00B17CCB"/>
    <w:rsid w:val="00B17D0B"/>
    <w:rsid w:val="00B201EE"/>
    <w:rsid w:val="00B20344"/>
    <w:rsid w:val="00B203DA"/>
    <w:rsid w:val="00B2065B"/>
    <w:rsid w:val="00B208D5"/>
    <w:rsid w:val="00B2091F"/>
    <w:rsid w:val="00B20B98"/>
    <w:rsid w:val="00B20BCD"/>
    <w:rsid w:val="00B20C0D"/>
    <w:rsid w:val="00B20E30"/>
    <w:rsid w:val="00B20E6F"/>
    <w:rsid w:val="00B20F3D"/>
    <w:rsid w:val="00B2118D"/>
    <w:rsid w:val="00B211B2"/>
    <w:rsid w:val="00B212B2"/>
    <w:rsid w:val="00B21546"/>
    <w:rsid w:val="00B215FF"/>
    <w:rsid w:val="00B2171F"/>
    <w:rsid w:val="00B21923"/>
    <w:rsid w:val="00B21986"/>
    <w:rsid w:val="00B219C1"/>
    <w:rsid w:val="00B21B17"/>
    <w:rsid w:val="00B21B97"/>
    <w:rsid w:val="00B21C56"/>
    <w:rsid w:val="00B21C8B"/>
    <w:rsid w:val="00B21D71"/>
    <w:rsid w:val="00B21ECB"/>
    <w:rsid w:val="00B21FB9"/>
    <w:rsid w:val="00B2217B"/>
    <w:rsid w:val="00B22342"/>
    <w:rsid w:val="00B22374"/>
    <w:rsid w:val="00B22681"/>
    <w:rsid w:val="00B2275B"/>
    <w:rsid w:val="00B229D0"/>
    <w:rsid w:val="00B22A4F"/>
    <w:rsid w:val="00B22B5B"/>
    <w:rsid w:val="00B22B99"/>
    <w:rsid w:val="00B22BEA"/>
    <w:rsid w:val="00B22C22"/>
    <w:rsid w:val="00B22D18"/>
    <w:rsid w:val="00B22D59"/>
    <w:rsid w:val="00B22FF3"/>
    <w:rsid w:val="00B230F4"/>
    <w:rsid w:val="00B23112"/>
    <w:rsid w:val="00B23292"/>
    <w:rsid w:val="00B23322"/>
    <w:rsid w:val="00B23388"/>
    <w:rsid w:val="00B2354D"/>
    <w:rsid w:val="00B236BD"/>
    <w:rsid w:val="00B237E7"/>
    <w:rsid w:val="00B2382E"/>
    <w:rsid w:val="00B23840"/>
    <w:rsid w:val="00B239EA"/>
    <w:rsid w:val="00B23D41"/>
    <w:rsid w:val="00B23E76"/>
    <w:rsid w:val="00B23ECE"/>
    <w:rsid w:val="00B240B5"/>
    <w:rsid w:val="00B242A8"/>
    <w:rsid w:val="00B2431C"/>
    <w:rsid w:val="00B243CB"/>
    <w:rsid w:val="00B24487"/>
    <w:rsid w:val="00B2476E"/>
    <w:rsid w:val="00B24852"/>
    <w:rsid w:val="00B24D9F"/>
    <w:rsid w:val="00B2501B"/>
    <w:rsid w:val="00B25069"/>
    <w:rsid w:val="00B250C1"/>
    <w:rsid w:val="00B25190"/>
    <w:rsid w:val="00B252BA"/>
    <w:rsid w:val="00B252CD"/>
    <w:rsid w:val="00B253CA"/>
    <w:rsid w:val="00B253DC"/>
    <w:rsid w:val="00B25537"/>
    <w:rsid w:val="00B255C1"/>
    <w:rsid w:val="00B257D4"/>
    <w:rsid w:val="00B25A22"/>
    <w:rsid w:val="00B25D7F"/>
    <w:rsid w:val="00B25E4C"/>
    <w:rsid w:val="00B25F57"/>
    <w:rsid w:val="00B260AC"/>
    <w:rsid w:val="00B2628B"/>
    <w:rsid w:val="00B2646B"/>
    <w:rsid w:val="00B2668D"/>
    <w:rsid w:val="00B267D2"/>
    <w:rsid w:val="00B26A41"/>
    <w:rsid w:val="00B26C16"/>
    <w:rsid w:val="00B26D28"/>
    <w:rsid w:val="00B270B9"/>
    <w:rsid w:val="00B2743F"/>
    <w:rsid w:val="00B27675"/>
    <w:rsid w:val="00B277EB"/>
    <w:rsid w:val="00B2781D"/>
    <w:rsid w:val="00B278C5"/>
    <w:rsid w:val="00B278C8"/>
    <w:rsid w:val="00B27E48"/>
    <w:rsid w:val="00B27F07"/>
    <w:rsid w:val="00B30009"/>
    <w:rsid w:val="00B30170"/>
    <w:rsid w:val="00B301A4"/>
    <w:rsid w:val="00B301B8"/>
    <w:rsid w:val="00B30275"/>
    <w:rsid w:val="00B3038B"/>
    <w:rsid w:val="00B3087F"/>
    <w:rsid w:val="00B308F0"/>
    <w:rsid w:val="00B30958"/>
    <w:rsid w:val="00B309D4"/>
    <w:rsid w:val="00B30A48"/>
    <w:rsid w:val="00B30CE4"/>
    <w:rsid w:val="00B30D31"/>
    <w:rsid w:val="00B30D4C"/>
    <w:rsid w:val="00B30F4C"/>
    <w:rsid w:val="00B31047"/>
    <w:rsid w:val="00B3132E"/>
    <w:rsid w:val="00B313B8"/>
    <w:rsid w:val="00B317CC"/>
    <w:rsid w:val="00B31840"/>
    <w:rsid w:val="00B3184C"/>
    <w:rsid w:val="00B31858"/>
    <w:rsid w:val="00B31AD7"/>
    <w:rsid w:val="00B31DB6"/>
    <w:rsid w:val="00B32087"/>
    <w:rsid w:val="00B321A9"/>
    <w:rsid w:val="00B3221E"/>
    <w:rsid w:val="00B323BF"/>
    <w:rsid w:val="00B32677"/>
    <w:rsid w:val="00B32B8C"/>
    <w:rsid w:val="00B32BC6"/>
    <w:rsid w:val="00B32BCE"/>
    <w:rsid w:val="00B32D3F"/>
    <w:rsid w:val="00B33102"/>
    <w:rsid w:val="00B33195"/>
    <w:rsid w:val="00B331CE"/>
    <w:rsid w:val="00B331EA"/>
    <w:rsid w:val="00B3323B"/>
    <w:rsid w:val="00B3343B"/>
    <w:rsid w:val="00B338EF"/>
    <w:rsid w:val="00B33AF0"/>
    <w:rsid w:val="00B33BDE"/>
    <w:rsid w:val="00B33C38"/>
    <w:rsid w:val="00B33C70"/>
    <w:rsid w:val="00B33CE5"/>
    <w:rsid w:val="00B33D09"/>
    <w:rsid w:val="00B33E2E"/>
    <w:rsid w:val="00B33E93"/>
    <w:rsid w:val="00B33FE8"/>
    <w:rsid w:val="00B34214"/>
    <w:rsid w:val="00B34241"/>
    <w:rsid w:val="00B345BC"/>
    <w:rsid w:val="00B34635"/>
    <w:rsid w:val="00B3465C"/>
    <w:rsid w:val="00B346DB"/>
    <w:rsid w:val="00B3494E"/>
    <w:rsid w:val="00B3498D"/>
    <w:rsid w:val="00B349DC"/>
    <w:rsid w:val="00B34A41"/>
    <w:rsid w:val="00B34B30"/>
    <w:rsid w:val="00B34C58"/>
    <w:rsid w:val="00B34C92"/>
    <w:rsid w:val="00B34D2C"/>
    <w:rsid w:val="00B34EFA"/>
    <w:rsid w:val="00B34EFF"/>
    <w:rsid w:val="00B35014"/>
    <w:rsid w:val="00B35302"/>
    <w:rsid w:val="00B354CA"/>
    <w:rsid w:val="00B355F0"/>
    <w:rsid w:val="00B358CD"/>
    <w:rsid w:val="00B36030"/>
    <w:rsid w:val="00B360AA"/>
    <w:rsid w:val="00B36113"/>
    <w:rsid w:val="00B36214"/>
    <w:rsid w:val="00B36231"/>
    <w:rsid w:val="00B362CF"/>
    <w:rsid w:val="00B363E3"/>
    <w:rsid w:val="00B3645D"/>
    <w:rsid w:val="00B3658B"/>
    <w:rsid w:val="00B3660E"/>
    <w:rsid w:val="00B368D5"/>
    <w:rsid w:val="00B36B78"/>
    <w:rsid w:val="00B36D11"/>
    <w:rsid w:val="00B36F49"/>
    <w:rsid w:val="00B36F5C"/>
    <w:rsid w:val="00B36FDF"/>
    <w:rsid w:val="00B372BF"/>
    <w:rsid w:val="00B37563"/>
    <w:rsid w:val="00B37639"/>
    <w:rsid w:val="00B37840"/>
    <w:rsid w:val="00B3787A"/>
    <w:rsid w:val="00B37ACC"/>
    <w:rsid w:val="00B37C29"/>
    <w:rsid w:val="00B37D0E"/>
    <w:rsid w:val="00B37EA8"/>
    <w:rsid w:val="00B37F5B"/>
    <w:rsid w:val="00B37FD2"/>
    <w:rsid w:val="00B40296"/>
    <w:rsid w:val="00B40419"/>
    <w:rsid w:val="00B40497"/>
    <w:rsid w:val="00B4056B"/>
    <w:rsid w:val="00B40579"/>
    <w:rsid w:val="00B40712"/>
    <w:rsid w:val="00B40A6E"/>
    <w:rsid w:val="00B40BB8"/>
    <w:rsid w:val="00B40BEF"/>
    <w:rsid w:val="00B40E02"/>
    <w:rsid w:val="00B40EA2"/>
    <w:rsid w:val="00B4145F"/>
    <w:rsid w:val="00B415FD"/>
    <w:rsid w:val="00B4182E"/>
    <w:rsid w:val="00B418A1"/>
    <w:rsid w:val="00B41915"/>
    <w:rsid w:val="00B41C3E"/>
    <w:rsid w:val="00B41CBD"/>
    <w:rsid w:val="00B41E4D"/>
    <w:rsid w:val="00B42074"/>
    <w:rsid w:val="00B42527"/>
    <w:rsid w:val="00B428DE"/>
    <w:rsid w:val="00B428E1"/>
    <w:rsid w:val="00B42A96"/>
    <w:rsid w:val="00B42DC9"/>
    <w:rsid w:val="00B43059"/>
    <w:rsid w:val="00B430DC"/>
    <w:rsid w:val="00B43407"/>
    <w:rsid w:val="00B4341B"/>
    <w:rsid w:val="00B437C9"/>
    <w:rsid w:val="00B437F5"/>
    <w:rsid w:val="00B43B0B"/>
    <w:rsid w:val="00B43C7F"/>
    <w:rsid w:val="00B43FDE"/>
    <w:rsid w:val="00B440D7"/>
    <w:rsid w:val="00B44104"/>
    <w:rsid w:val="00B442B4"/>
    <w:rsid w:val="00B44A14"/>
    <w:rsid w:val="00B44A31"/>
    <w:rsid w:val="00B44B7E"/>
    <w:rsid w:val="00B44BC5"/>
    <w:rsid w:val="00B44E06"/>
    <w:rsid w:val="00B44F0A"/>
    <w:rsid w:val="00B4511E"/>
    <w:rsid w:val="00B4557A"/>
    <w:rsid w:val="00B4572B"/>
    <w:rsid w:val="00B45A61"/>
    <w:rsid w:val="00B45CBE"/>
    <w:rsid w:val="00B45CFA"/>
    <w:rsid w:val="00B46244"/>
    <w:rsid w:val="00B466C5"/>
    <w:rsid w:val="00B466E5"/>
    <w:rsid w:val="00B466EA"/>
    <w:rsid w:val="00B4673B"/>
    <w:rsid w:val="00B46CF7"/>
    <w:rsid w:val="00B46F11"/>
    <w:rsid w:val="00B470D0"/>
    <w:rsid w:val="00B472C1"/>
    <w:rsid w:val="00B473A3"/>
    <w:rsid w:val="00B47893"/>
    <w:rsid w:val="00B47A3D"/>
    <w:rsid w:val="00B47C2A"/>
    <w:rsid w:val="00B47C8F"/>
    <w:rsid w:val="00B47DB6"/>
    <w:rsid w:val="00B47DD6"/>
    <w:rsid w:val="00B47E6F"/>
    <w:rsid w:val="00B47E81"/>
    <w:rsid w:val="00B47F35"/>
    <w:rsid w:val="00B47F65"/>
    <w:rsid w:val="00B50034"/>
    <w:rsid w:val="00B5032D"/>
    <w:rsid w:val="00B505EB"/>
    <w:rsid w:val="00B50639"/>
    <w:rsid w:val="00B506A7"/>
    <w:rsid w:val="00B5082F"/>
    <w:rsid w:val="00B50951"/>
    <w:rsid w:val="00B50BFE"/>
    <w:rsid w:val="00B50D3F"/>
    <w:rsid w:val="00B50DD5"/>
    <w:rsid w:val="00B50DE9"/>
    <w:rsid w:val="00B50F89"/>
    <w:rsid w:val="00B51004"/>
    <w:rsid w:val="00B51252"/>
    <w:rsid w:val="00B513C7"/>
    <w:rsid w:val="00B514C5"/>
    <w:rsid w:val="00B51552"/>
    <w:rsid w:val="00B5158A"/>
    <w:rsid w:val="00B515B7"/>
    <w:rsid w:val="00B515E0"/>
    <w:rsid w:val="00B515FC"/>
    <w:rsid w:val="00B517C8"/>
    <w:rsid w:val="00B51985"/>
    <w:rsid w:val="00B5199D"/>
    <w:rsid w:val="00B51C7D"/>
    <w:rsid w:val="00B51E0C"/>
    <w:rsid w:val="00B5206D"/>
    <w:rsid w:val="00B5246B"/>
    <w:rsid w:val="00B52488"/>
    <w:rsid w:val="00B52B05"/>
    <w:rsid w:val="00B52B2F"/>
    <w:rsid w:val="00B52C3B"/>
    <w:rsid w:val="00B52D02"/>
    <w:rsid w:val="00B52E36"/>
    <w:rsid w:val="00B52FA9"/>
    <w:rsid w:val="00B53152"/>
    <w:rsid w:val="00B532B4"/>
    <w:rsid w:val="00B5363B"/>
    <w:rsid w:val="00B53A25"/>
    <w:rsid w:val="00B53AD8"/>
    <w:rsid w:val="00B53BDF"/>
    <w:rsid w:val="00B53D8C"/>
    <w:rsid w:val="00B53F51"/>
    <w:rsid w:val="00B53FD4"/>
    <w:rsid w:val="00B54106"/>
    <w:rsid w:val="00B541B0"/>
    <w:rsid w:val="00B542C7"/>
    <w:rsid w:val="00B5451D"/>
    <w:rsid w:val="00B54601"/>
    <w:rsid w:val="00B54840"/>
    <w:rsid w:val="00B548B3"/>
    <w:rsid w:val="00B54C27"/>
    <w:rsid w:val="00B54C56"/>
    <w:rsid w:val="00B54FDB"/>
    <w:rsid w:val="00B54FE4"/>
    <w:rsid w:val="00B5502A"/>
    <w:rsid w:val="00B550C7"/>
    <w:rsid w:val="00B55199"/>
    <w:rsid w:val="00B551A4"/>
    <w:rsid w:val="00B55254"/>
    <w:rsid w:val="00B5560E"/>
    <w:rsid w:val="00B5579D"/>
    <w:rsid w:val="00B5591A"/>
    <w:rsid w:val="00B55E8A"/>
    <w:rsid w:val="00B5601E"/>
    <w:rsid w:val="00B562CB"/>
    <w:rsid w:val="00B56430"/>
    <w:rsid w:val="00B565C8"/>
    <w:rsid w:val="00B56787"/>
    <w:rsid w:val="00B5679F"/>
    <w:rsid w:val="00B569D5"/>
    <w:rsid w:val="00B56E48"/>
    <w:rsid w:val="00B570F6"/>
    <w:rsid w:val="00B57158"/>
    <w:rsid w:val="00B572CA"/>
    <w:rsid w:val="00B5730D"/>
    <w:rsid w:val="00B57328"/>
    <w:rsid w:val="00B574AD"/>
    <w:rsid w:val="00B576DB"/>
    <w:rsid w:val="00B579B9"/>
    <w:rsid w:val="00B57AC1"/>
    <w:rsid w:val="00B57DB7"/>
    <w:rsid w:val="00B60447"/>
    <w:rsid w:val="00B6045A"/>
    <w:rsid w:val="00B604A3"/>
    <w:rsid w:val="00B6066B"/>
    <w:rsid w:val="00B606D6"/>
    <w:rsid w:val="00B609B7"/>
    <w:rsid w:val="00B60A08"/>
    <w:rsid w:val="00B60A5B"/>
    <w:rsid w:val="00B61332"/>
    <w:rsid w:val="00B61374"/>
    <w:rsid w:val="00B61781"/>
    <w:rsid w:val="00B6194C"/>
    <w:rsid w:val="00B61A0B"/>
    <w:rsid w:val="00B61AE2"/>
    <w:rsid w:val="00B61D02"/>
    <w:rsid w:val="00B61F8F"/>
    <w:rsid w:val="00B6202A"/>
    <w:rsid w:val="00B620DD"/>
    <w:rsid w:val="00B62173"/>
    <w:rsid w:val="00B62193"/>
    <w:rsid w:val="00B62236"/>
    <w:rsid w:val="00B622C3"/>
    <w:rsid w:val="00B62385"/>
    <w:rsid w:val="00B62A91"/>
    <w:rsid w:val="00B62CE7"/>
    <w:rsid w:val="00B62CFF"/>
    <w:rsid w:val="00B62EE5"/>
    <w:rsid w:val="00B62EE6"/>
    <w:rsid w:val="00B631F5"/>
    <w:rsid w:val="00B6324E"/>
    <w:rsid w:val="00B6328D"/>
    <w:rsid w:val="00B632FA"/>
    <w:rsid w:val="00B634A1"/>
    <w:rsid w:val="00B6352D"/>
    <w:rsid w:val="00B635A7"/>
    <w:rsid w:val="00B63754"/>
    <w:rsid w:val="00B637C1"/>
    <w:rsid w:val="00B6387A"/>
    <w:rsid w:val="00B639DB"/>
    <w:rsid w:val="00B63B97"/>
    <w:rsid w:val="00B63EF2"/>
    <w:rsid w:val="00B6406B"/>
    <w:rsid w:val="00B64374"/>
    <w:rsid w:val="00B64377"/>
    <w:rsid w:val="00B6439B"/>
    <w:rsid w:val="00B643E8"/>
    <w:rsid w:val="00B64406"/>
    <w:rsid w:val="00B64565"/>
    <w:rsid w:val="00B64882"/>
    <w:rsid w:val="00B64A43"/>
    <w:rsid w:val="00B64A6C"/>
    <w:rsid w:val="00B64C46"/>
    <w:rsid w:val="00B65077"/>
    <w:rsid w:val="00B65132"/>
    <w:rsid w:val="00B653AC"/>
    <w:rsid w:val="00B656AB"/>
    <w:rsid w:val="00B659D3"/>
    <w:rsid w:val="00B65BD1"/>
    <w:rsid w:val="00B65C62"/>
    <w:rsid w:val="00B65D92"/>
    <w:rsid w:val="00B65D9E"/>
    <w:rsid w:val="00B65F5A"/>
    <w:rsid w:val="00B66140"/>
    <w:rsid w:val="00B6622B"/>
    <w:rsid w:val="00B6660F"/>
    <w:rsid w:val="00B669DB"/>
    <w:rsid w:val="00B66E24"/>
    <w:rsid w:val="00B66E3C"/>
    <w:rsid w:val="00B66FBC"/>
    <w:rsid w:val="00B67218"/>
    <w:rsid w:val="00B672D2"/>
    <w:rsid w:val="00B67BB3"/>
    <w:rsid w:val="00B67E59"/>
    <w:rsid w:val="00B7018B"/>
    <w:rsid w:val="00B701C1"/>
    <w:rsid w:val="00B7038A"/>
    <w:rsid w:val="00B703C4"/>
    <w:rsid w:val="00B7049E"/>
    <w:rsid w:val="00B7051C"/>
    <w:rsid w:val="00B70A68"/>
    <w:rsid w:val="00B70A83"/>
    <w:rsid w:val="00B70AF4"/>
    <w:rsid w:val="00B70CE1"/>
    <w:rsid w:val="00B70D61"/>
    <w:rsid w:val="00B71638"/>
    <w:rsid w:val="00B71713"/>
    <w:rsid w:val="00B7174E"/>
    <w:rsid w:val="00B717C6"/>
    <w:rsid w:val="00B717F4"/>
    <w:rsid w:val="00B718B8"/>
    <w:rsid w:val="00B718E2"/>
    <w:rsid w:val="00B719AC"/>
    <w:rsid w:val="00B71A11"/>
    <w:rsid w:val="00B71D25"/>
    <w:rsid w:val="00B71D26"/>
    <w:rsid w:val="00B72038"/>
    <w:rsid w:val="00B7209F"/>
    <w:rsid w:val="00B721EB"/>
    <w:rsid w:val="00B7234A"/>
    <w:rsid w:val="00B723BB"/>
    <w:rsid w:val="00B724F3"/>
    <w:rsid w:val="00B72584"/>
    <w:rsid w:val="00B72AE4"/>
    <w:rsid w:val="00B73278"/>
    <w:rsid w:val="00B734B2"/>
    <w:rsid w:val="00B739C5"/>
    <w:rsid w:val="00B739FF"/>
    <w:rsid w:val="00B73BC3"/>
    <w:rsid w:val="00B73DE8"/>
    <w:rsid w:val="00B73EE6"/>
    <w:rsid w:val="00B73FF2"/>
    <w:rsid w:val="00B7414B"/>
    <w:rsid w:val="00B741B2"/>
    <w:rsid w:val="00B741EB"/>
    <w:rsid w:val="00B74456"/>
    <w:rsid w:val="00B74462"/>
    <w:rsid w:val="00B744FB"/>
    <w:rsid w:val="00B74B42"/>
    <w:rsid w:val="00B7513E"/>
    <w:rsid w:val="00B7529F"/>
    <w:rsid w:val="00B75918"/>
    <w:rsid w:val="00B7599B"/>
    <w:rsid w:val="00B75AAB"/>
    <w:rsid w:val="00B75D2C"/>
    <w:rsid w:val="00B76120"/>
    <w:rsid w:val="00B76126"/>
    <w:rsid w:val="00B76252"/>
    <w:rsid w:val="00B76679"/>
    <w:rsid w:val="00B768A5"/>
    <w:rsid w:val="00B76996"/>
    <w:rsid w:val="00B76A41"/>
    <w:rsid w:val="00B76B32"/>
    <w:rsid w:val="00B76B4A"/>
    <w:rsid w:val="00B76CEE"/>
    <w:rsid w:val="00B77285"/>
    <w:rsid w:val="00B776D2"/>
    <w:rsid w:val="00B7771C"/>
    <w:rsid w:val="00B77739"/>
    <w:rsid w:val="00B7778E"/>
    <w:rsid w:val="00B77846"/>
    <w:rsid w:val="00B778FA"/>
    <w:rsid w:val="00B7796F"/>
    <w:rsid w:val="00B77A00"/>
    <w:rsid w:val="00B77AA8"/>
    <w:rsid w:val="00B77BDE"/>
    <w:rsid w:val="00B77BEE"/>
    <w:rsid w:val="00B77C6F"/>
    <w:rsid w:val="00B77F75"/>
    <w:rsid w:val="00B77FD0"/>
    <w:rsid w:val="00B80280"/>
    <w:rsid w:val="00B80372"/>
    <w:rsid w:val="00B80576"/>
    <w:rsid w:val="00B805FA"/>
    <w:rsid w:val="00B809D0"/>
    <w:rsid w:val="00B80A1A"/>
    <w:rsid w:val="00B80D4B"/>
    <w:rsid w:val="00B80EB7"/>
    <w:rsid w:val="00B80F5A"/>
    <w:rsid w:val="00B80F6C"/>
    <w:rsid w:val="00B8125B"/>
    <w:rsid w:val="00B8125C"/>
    <w:rsid w:val="00B812AF"/>
    <w:rsid w:val="00B81544"/>
    <w:rsid w:val="00B815A2"/>
    <w:rsid w:val="00B816A1"/>
    <w:rsid w:val="00B81950"/>
    <w:rsid w:val="00B81BB9"/>
    <w:rsid w:val="00B81D3A"/>
    <w:rsid w:val="00B81E66"/>
    <w:rsid w:val="00B81EAC"/>
    <w:rsid w:val="00B81FA0"/>
    <w:rsid w:val="00B82024"/>
    <w:rsid w:val="00B821A9"/>
    <w:rsid w:val="00B821CD"/>
    <w:rsid w:val="00B8224C"/>
    <w:rsid w:val="00B822D2"/>
    <w:rsid w:val="00B82998"/>
    <w:rsid w:val="00B82AA7"/>
    <w:rsid w:val="00B82C62"/>
    <w:rsid w:val="00B82D90"/>
    <w:rsid w:val="00B82EE8"/>
    <w:rsid w:val="00B82F24"/>
    <w:rsid w:val="00B82F91"/>
    <w:rsid w:val="00B8314E"/>
    <w:rsid w:val="00B832AF"/>
    <w:rsid w:val="00B833F3"/>
    <w:rsid w:val="00B83C61"/>
    <w:rsid w:val="00B83E44"/>
    <w:rsid w:val="00B8406B"/>
    <w:rsid w:val="00B84275"/>
    <w:rsid w:val="00B84892"/>
    <w:rsid w:val="00B848D3"/>
    <w:rsid w:val="00B84BB9"/>
    <w:rsid w:val="00B84C14"/>
    <w:rsid w:val="00B84F84"/>
    <w:rsid w:val="00B84FF6"/>
    <w:rsid w:val="00B850FE"/>
    <w:rsid w:val="00B85190"/>
    <w:rsid w:val="00B85197"/>
    <w:rsid w:val="00B851F0"/>
    <w:rsid w:val="00B85220"/>
    <w:rsid w:val="00B853B1"/>
    <w:rsid w:val="00B853FC"/>
    <w:rsid w:val="00B8585D"/>
    <w:rsid w:val="00B85A36"/>
    <w:rsid w:val="00B85D63"/>
    <w:rsid w:val="00B85DEC"/>
    <w:rsid w:val="00B85F44"/>
    <w:rsid w:val="00B8616A"/>
    <w:rsid w:val="00B865DE"/>
    <w:rsid w:val="00B8681D"/>
    <w:rsid w:val="00B86971"/>
    <w:rsid w:val="00B86B0A"/>
    <w:rsid w:val="00B86B28"/>
    <w:rsid w:val="00B86B6C"/>
    <w:rsid w:val="00B86BBB"/>
    <w:rsid w:val="00B86CC3"/>
    <w:rsid w:val="00B86EE6"/>
    <w:rsid w:val="00B872AE"/>
    <w:rsid w:val="00B872FE"/>
    <w:rsid w:val="00B87366"/>
    <w:rsid w:val="00B87465"/>
    <w:rsid w:val="00B875B9"/>
    <w:rsid w:val="00B87761"/>
    <w:rsid w:val="00B87958"/>
    <w:rsid w:val="00B87A2B"/>
    <w:rsid w:val="00B87A3B"/>
    <w:rsid w:val="00B87B36"/>
    <w:rsid w:val="00B87C81"/>
    <w:rsid w:val="00B87FB4"/>
    <w:rsid w:val="00B9029F"/>
    <w:rsid w:val="00B9036B"/>
    <w:rsid w:val="00B9052A"/>
    <w:rsid w:val="00B9067C"/>
    <w:rsid w:val="00B90A29"/>
    <w:rsid w:val="00B90BB9"/>
    <w:rsid w:val="00B90C66"/>
    <w:rsid w:val="00B90E62"/>
    <w:rsid w:val="00B90F44"/>
    <w:rsid w:val="00B90F74"/>
    <w:rsid w:val="00B91119"/>
    <w:rsid w:val="00B9138A"/>
    <w:rsid w:val="00B9148C"/>
    <w:rsid w:val="00B917F8"/>
    <w:rsid w:val="00B9181B"/>
    <w:rsid w:val="00B919DC"/>
    <w:rsid w:val="00B91C2D"/>
    <w:rsid w:val="00B91CE0"/>
    <w:rsid w:val="00B91D40"/>
    <w:rsid w:val="00B920C8"/>
    <w:rsid w:val="00B92140"/>
    <w:rsid w:val="00B92374"/>
    <w:rsid w:val="00B924B1"/>
    <w:rsid w:val="00B924EC"/>
    <w:rsid w:val="00B928A4"/>
    <w:rsid w:val="00B9294F"/>
    <w:rsid w:val="00B9298E"/>
    <w:rsid w:val="00B92A53"/>
    <w:rsid w:val="00B92AED"/>
    <w:rsid w:val="00B92E04"/>
    <w:rsid w:val="00B92EB8"/>
    <w:rsid w:val="00B9329A"/>
    <w:rsid w:val="00B9335C"/>
    <w:rsid w:val="00B93474"/>
    <w:rsid w:val="00B936E7"/>
    <w:rsid w:val="00B93823"/>
    <w:rsid w:val="00B9382B"/>
    <w:rsid w:val="00B93941"/>
    <w:rsid w:val="00B93D6C"/>
    <w:rsid w:val="00B93EC0"/>
    <w:rsid w:val="00B940B3"/>
    <w:rsid w:val="00B941FB"/>
    <w:rsid w:val="00B94223"/>
    <w:rsid w:val="00B94234"/>
    <w:rsid w:val="00B945DA"/>
    <w:rsid w:val="00B94626"/>
    <w:rsid w:val="00B94A42"/>
    <w:rsid w:val="00B94B57"/>
    <w:rsid w:val="00B94B7C"/>
    <w:rsid w:val="00B95052"/>
    <w:rsid w:val="00B95120"/>
    <w:rsid w:val="00B9518D"/>
    <w:rsid w:val="00B9559F"/>
    <w:rsid w:val="00B955C0"/>
    <w:rsid w:val="00B95883"/>
    <w:rsid w:val="00B95940"/>
    <w:rsid w:val="00B959A6"/>
    <w:rsid w:val="00B95B25"/>
    <w:rsid w:val="00B95B2C"/>
    <w:rsid w:val="00B95E76"/>
    <w:rsid w:val="00B95E97"/>
    <w:rsid w:val="00B96032"/>
    <w:rsid w:val="00B96056"/>
    <w:rsid w:val="00B96298"/>
    <w:rsid w:val="00B96520"/>
    <w:rsid w:val="00B967E8"/>
    <w:rsid w:val="00B9680F"/>
    <w:rsid w:val="00B9696B"/>
    <w:rsid w:val="00B96A3C"/>
    <w:rsid w:val="00B96DE7"/>
    <w:rsid w:val="00B96FFF"/>
    <w:rsid w:val="00B971E2"/>
    <w:rsid w:val="00B97354"/>
    <w:rsid w:val="00B97829"/>
    <w:rsid w:val="00B97831"/>
    <w:rsid w:val="00B9794F"/>
    <w:rsid w:val="00B97A7B"/>
    <w:rsid w:val="00B97BE5"/>
    <w:rsid w:val="00B97E40"/>
    <w:rsid w:val="00BA0257"/>
    <w:rsid w:val="00BA0666"/>
    <w:rsid w:val="00BA0943"/>
    <w:rsid w:val="00BA0AA3"/>
    <w:rsid w:val="00BA0C7F"/>
    <w:rsid w:val="00BA0E8F"/>
    <w:rsid w:val="00BA0F72"/>
    <w:rsid w:val="00BA130A"/>
    <w:rsid w:val="00BA18FC"/>
    <w:rsid w:val="00BA1C06"/>
    <w:rsid w:val="00BA1D0F"/>
    <w:rsid w:val="00BA1F72"/>
    <w:rsid w:val="00BA2011"/>
    <w:rsid w:val="00BA2362"/>
    <w:rsid w:val="00BA24CA"/>
    <w:rsid w:val="00BA253E"/>
    <w:rsid w:val="00BA257F"/>
    <w:rsid w:val="00BA2687"/>
    <w:rsid w:val="00BA270F"/>
    <w:rsid w:val="00BA2731"/>
    <w:rsid w:val="00BA28DA"/>
    <w:rsid w:val="00BA2A10"/>
    <w:rsid w:val="00BA2B7B"/>
    <w:rsid w:val="00BA2F71"/>
    <w:rsid w:val="00BA317D"/>
    <w:rsid w:val="00BA3317"/>
    <w:rsid w:val="00BA3873"/>
    <w:rsid w:val="00BA39FE"/>
    <w:rsid w:val="00BA3CBA"/>
    <w:rsid w:val="00BA4003"/>
    <w:rsid w:val="00BA446D"/>
    <w:rsid w:val="00BA46B0"/>
    <w:rsid w:val="00BA494D"/>
    <w:rsid w:val="00BA4989"/>
    <w:rsid w:val="00BA4A82"/>
    <w:rsid w:val="00BA4E27"/>
    <w:rsid w:val="00BA512B"/>
    <w:rsid w:val="00BA51BC"/>
    <w:rsid w:val="00BA5238"/>
    <w:rsid w:val="00BA530C"/>
    <w:rsid w:val="00BA5559"/>
    <w:rsid w:val="00BA57A6"/>
    <w:rsid w:val="00BA58AE"/>
    <w:rsid w:val="00BA58B3"/>
    <w:rsid w:val="00BA5A48"/>
    <w:rsid w:val="00BA5CD1"/>
    <w:rsid w:val="00BA5D32"/>
    <w:rsid w:val="00BA5EC8"/>
    <w:rsid w:val="00BA5F4F"/>
    <w:rsid w:val="00BA622F"/>
    <w:rsid w:val="00BA6393"/>
    <w:rsid w:val="00BA642A"/>
    <w:rsid w:val="00BA6473"/>
    <w:rsid w:val="00BA6681"/>
    <w:rsid w:val="00BA6804"/>
    <w:rsid w:val="00BA6B1D"/>
    <w:rsid w:val="00BA6BDC"/>
    <w:rsid w:val="00BA6DCE"/>
    <w:rsid w:val="00BA7072"/>
    <w:rsid w:val="00BA71B2"/>
    <w:rsid w:val="00BA726E"/>
    <w:rsid w:val="00BA7698"/>
    <w:rsid w:val="00BA76C1"/>
    <w:rsid w:val="00BA7863"/>
    <w:rsid w:val="00BA79ED"/>
    <w:rsid w:val="00BA7AC0"/>
    <w:rsid w:val="00BA7BCC"/>
    <w:rsid w:val="00BB0227"/>
    <w:rsid w:val="00BB0456"/>
    <w:rsid w:val="00BB071D"/>
    <w:rsid w:val="00BB072C"/>
    <w:rsid w:val="00BB0810"/>
    <w:rsid w:val="00BB09DC"/>
    <w:rsid w:val="00BB0A33"/>
    <w:rsid w:val="00BB0A39"/>
    <w:rsid w:val="00BB0BD8"/>
    <w:rsid w:val="00BB0D01"/>
    <w:rsid w:val="00BB0D11"/>
    <w:rsid w:val="00BB1135"/>
    <w:rsid w:val="00BB13D2"/>
    <w:rsid w:val="00BB1470"/>
    <w:rsid w:val="00BB1980"/>
    <w:rsid w:val="00BB1B16"/>
    <w:rsid w:val="00BB1D1B"/>
    <w:rsid w:val="00BB1F44"/>
    <w:rsid w:val="00BB1F9D"/>
    <w:rsid w:val="00BB28C7"/>
    <w:rsid w:val="00BB295A"/>
    <w:rsid w:val="00BB2B5B"/>
    <w:rsid w:val="00BB2E04"/>
    <w:rsid w:val="00BB2E30"/>
    <w:rsid w:val="00BB3152"/>
    <w:rsid w:val="00BB3695"/>
    <w:rsid w:val="00BB3708"/>
    <w:rsid w:val="00BB3AAB"/>
    <w:rsid w:val="00BB3B6A"/>
    <w:rsid w:val="00BB3B86"/>
    <w:rsid w:val="00BB3BAB"/>
    <w:rsid w:val="00BB3E81"/>
    <w:rsid w:val="00BB4405"/>
    <w:rsid w:val="00BB44A9"/>
    <w:rsid w:val="00BB45E4"/>
    <w:rsid w:val="00BB47E6"/>
    <w:rsid w:val="00BB49C5"/>
    <w:rsid w:val="00BB4D4F"/>
    <w:rsid w:val="00BB4D70"/>
    <w:rsid w:val="00BB4DAF"/>
    <w:rsid w:val="00BB509F"/>
    <w:rsid w:val="00BB5176"/>
    <w:rsid w:val="00BB5472"/>
    <w:rsid w:val="00BB54BA"/>
    <w:rsid w:val="00BB5688"/>
    <w:rsid w:val="00BB57C0"/>
    <w:rsid w:val="00BB5A14"/>
    <w:rsid w:val="00BB5D8B"/>
    <w:rsid w:val="00BB5EA0"/>
    <w:rsid w:val="00BB5EE6"/>
    <w:rsid w:val="00BB5F8D"/>
    <w:rsid w:val="00BB5FF4"/>
    <w:rsid w:val="00BB620F"/>
    <w:rsid w:val="00BB628C"/>
    <w:rsid w:val="00BB64F9"/>
    <w:rsid w:val="00BB6A83"/>
    <w:rsid w:val="00BB6BA8"/>
    <w:rsid w:val="00BB6D4E"/>
    <w:rsid w:val="00BB6FA1"/>
    <w:rsid w:val="00BB70ED"/>
    <w:rsid w:val="00BB732E"/>
    <w:rsid w:val="00BB77CD"/>
    <w:rsid w:val="00BB7844"/>
    <w:rsid w:val="00BB7955"/>
    <w:rsid w:val="00BB7F18"/>
    <w:rsid w:val="00BB7F4F"/>
    <w:rsid w:val="00BC0020"/>
    <w:rsid w:val="00BC0150"/>
    <w:rsid w:val="00BC026C"/>
    <w:rsid w:val="00BC0435"/>
    <w:rsid w:val="00BC05A2"/>
    <w:rsid w:val="00BC067F"/>
    <w:rsid w:val="00BC06E3"/>
    <w:rsid w:val="00BC0DB3"/>
    <w:rsid w:val="00BC0DDC"/>
    <w:rsid w:val="00BC0FDC"/>
    <w:rsid w:val="00BC1433"/>
    <w:rsid w:val="00BC1471"/>
    <w:rsid w:val="00BC14E1"/>
    <w:rsid w:val="00BC156F"/>
    <w:rsid w:val="00BC16CF"/>
    <w:rsid w:val="00BC1716"/>
    <w:rsid w:val="00BC1CCE"/>
    <w:rsid w:val="00BC1F18"/>
    <w:rsid w:val="00BC1FEE"/>
    <w:rsid w:val="00BC2121"/>
    <w:rsid w:val="00BC2139"/>
    <w:rsid w:val="00BC21F0"/>
    <w:rsid w:val="00BC2579"/>
    <w:rsid w:val="00BC266C"/>
    <w:rsid w:val="00BC26C5"/>
    <w:rsid w:val="00BC283E"/>
    <w:rsid w:val="00BC28B6"/>
    <w:rsid w:val="00BC28B8"/>
    <w:rsid w:val="00BC2CEF"/>
    <w:rsid w:val="00BC2CF2"/>
    <w:rsid w:val="00BC2CF9"/>
    <w:rsid w:val="00BC2DBB"/>
    <w:rsid w:val="00BC345A"/>
    <w:rsid w:val="00BC37B6"/>
    <w:rsid w:val="00BC3983"/>
    <w:rsid w:val="00BC39D5"/>
    <w:rsid w:val="00BC3C1A"/>
    <w:rsid w:val="00BC3CD9"/>
    <w:rsid w:val="00BC418D"/>
    <w:rsid w:val="00BC41A6"/>
    <w:rsid w:val="00BC43DB"/>
    <w:rsid w:val="00BC44EB"/>
    <w:rsid w:val="00BC4513"/>
    <w:rsid w:val="00BC452F"/>
    <w:rsid w:val="00BC4596"/>
    <w:rsid w:val="00BC4853"/>
    <w:rsid w:val="00BC499C"/>
    <w:rsid w:val="00BC4E6D"/>
    <w:rsid w:val="00BC4EE4"/>
    <w:rsid w:val="00BC538A"/>
    <w:rsid w:val="00BC57DA"/>
    <w:rsid w:val="00BC589D"/>
    <w:rsid w:val="00BC5A71"/>
    <w:rsid w:val="00BC5B91"/>
    <w:rsid w:val="00BC5D2D"/>
    <w:rsid w:val="00BC5D32"/>
    <w:rsid w:val="00BC5DBD"/>
    <w:rsid w:val="00BC5F4A"/>
    <w:rsid w:val="00BC627C"/>
    <w:rsid w:val="00BC630A"/>
    <w:rsid w:val="00BC63B1"/>
    <w:rsid w:val="00BC63E6"/>
    <w:rsid w:val="00BC6724"/>
    <w:rsid w:val="00BC67B5"/>
    <w:rsid w:val="00BC6899"/>
    <w:rsid w:val="00BC69B4"/>
    <w:rsid w:val="00BC6DF0"/>
    <w:rsid w:val="00BC6F45"/>
    <w:rsid w:val="00BC71A2"/>
    <w:rsid w:val="00BC7721"/>
    <w:rsid w:val="00BC77F1"/>
    <w:rsid w:val="00BC78DE"/>
    <w:rsid w:val="00BC79B2"/>
    <w:rsid w:val="00BC79E1"/>
    <w:rsid w:val="00BC7A68"/>
    <w:rsid w:val="00BC7A6F"/>
    <w:rsid w:val="00BC7B9E"/>
    <w:rsid w:val="00BC7C49"/>
    <w:rsid w:val="00BC7EDA"/>
    <w:rsid w:val="00BC7F91"/>
    <w:rsid w:val="00BC7FB5"/>
    <w:rsid w:val="00BD013E"/>
    <w:rsid w:val="00BD0223"/>
    <w:rsid w:val="00BD030E"/>
    <w:rsid w:val="00BD0486"/>
    <w:rsid w:val="00BD0543"/>
    <w:rsid w:val="00BD066A"/>
    <w:rsid w:val="00BD0885"/>
    <w:rsid w:val="00BD0AF7"/>
    <w:rsid w:val="00BD0B5A"/>
    <w:rsid w:val="00BD0C43"/>
    <w:rsid w:val="00BD0F2A"/>
    <w:rsid w:val="00BD118F"/>
    <w:rsid w:val="00BD1457"/>
    <w:rsid w:val="00BD15D2"/>
    <w:rsid w:val="00BD1605"/>
    <w:rsid w:val="00BD1839"/>
    <w:rsid w:val="00BD1871"/>
    <w:rsid w:val="00BD1922"/>
    <w:rsid w:val="00BD1926"/>
    <w:rsid w:val="00BD1AE8"/>
    <w:rsid w:val="00BD1B3C"/>
    <w:rsid w:val="00BD1C0C"/>
    <w:rsid w:val="00BD1C30"/>
    <w:rsid w:val="00BD1E68"/>
    <w:rsid w:val="00BD2055"/>
    <w:rsid w:val="00BD2608"/>
    <w:rsid w:val="00BD2A20"/>
    <w:rsid w:val="00BD2BD2"/>
    <w:rsid w:val="00BD2E30"/>
    <w:rsid w:val="00BD2E93"/>
    <w:rsid w:val="00BD2F30"/>
    <w:rsid w:val="00BD3205"/>
    <w:rsid w:val="00BD3343"/>
    <w:rsid w:val="00BD3633"/>
    <w:rsid w:val="00BD3838"/>
    <w:rsid w:val="00BD3867"/>
    <w:rsid w:val="00BD39BA"/>
    <w:rsid w:val="00BD3CD1"/>
    <w:rsid w:val="00BD3E33"/>
    <w:rsid w:val="00BD4121"/>
    <w:rsid w:val="00BD42DD"/>
    <w:rsid w:val="00BD4309"/>
    <w:rsid w:val="00BD430E"/>
    <w:rsid w:val="00BD4403"/>
    <w:rsid w:val="00BD45D8"/>
    <w:rsid w:val="00BD4675"/>
    <w:rsid w:val="00BD47CC"/>
    <w:rsid w:val="00BD4854"/>
    <w:rsid w:val="00BD486C"/>
    <w:rsid w:val="00BD4A30"/>
    <w:rsid w:val="00BD4BB6"/>
    <w:rsid w:val="00BD4BF3"/>
    <w:rsid w:val="00BD5351"/>
    <w:rsid w:val="00BD54CD"/>
    <w:rsid w:val="00BD559B"/>
    <w:rsid w:val="00BD58B4"/>
    <w:rsid w:val="00BD5A0B"/>
    <w:rsid w:val="00BD5A34"/>
    <w:rsid w:val="00BD5C13"/>
    <w:rsid w:val="00BD5EA8"/>
    <w:rsid w:val="00BD605B"/>
    <w:rsid w:val="00BD60D3"/>
    <w:rsid w:val="00BD6231"/>
    <w:rsid w:val="00BD6681"/>
    <w:rsid w:val="00BD6812"/>
    <w:rsid w:val="00BD6868"/>
    <w:rsid w:val="00BD6AAE"/>
    <w:rsid w:val="00BD6B58"/>
    <w:rsid w:val="00BD6E3B"/>
    <w:rsid w:val="00BD709A"/>
    <w:rsid w:val="00BD70FE"/>
    <w:rsid w:val="00BD71E8"/>
    <w:rsid w:val="00BD737A"/>
    <w:rsid w:val="00BD74D0"/>
    <w:rsid w:val="00BD74D2"/>
    <w:rsid w:val="00BD76ED"/>
    <w:rsid w:val="00BD771D"/>
    <w:rsid w:val="00BD7732"/>
    <w:rsid w:val="00BD7804"/>
    <w:rsid w:val="00BD7CBE"/>
    <w:rsid w:val="00BD7CC8"/>
    <w:rsid w:val="00BD7DE9"/>
    <w:rsid w:val="00BD7E62"/>
    <w:rsid w:val="00BE00B4"/>
    <w:rsid w:val="00BE0828"/>
    <w:rsid w:val="00BE09C8"/>
    <w:rsid w:val="00BE0D2F"/>
    <w:rsid w:val="00BE0E9C"/>
    <w:rsid w:val="00BE0EFF"/>
    <w:rsid w:val="00BE0F15"/>
    <w:rsid w:val="00BE1059"/>
    <w:rsid w:val="00BE11E5"/>
    <w:rsid w:val="00BE145D"/>
    <w:rsid w:val="00BE1540"/>
    <w:rsid w:val="00BE1599"/>
    <w:rsid w:val="00BE17F6"/>
    <w:rsid w:val="00BE189C"/>
    <w:rsid w:val="00BE1926"/>
    <w:rsid w:val="00BE1B1B"/>
    <w:rsid w:val="00BE1D22"/>
    <w:rsid w:val="00BE1D55"/>
    <w:rsid w:val="00BE1E70"/>
    <w:rsid w:val="00BE2209"/>
    <w:rsid w:val="00BE22A3"/>
    <w:rsid w:val="00BE22CC"/>
    <w:rsid w:val="00BE2591"/>
    <w:rsid w:val="00BE25FA"/>
    <w:rsid w:val="00BE27B6"/>
    <w:rsid w:val="00BE27CD"/>
    <w:rsid w:val="00BE27E0"/>
    <w:rsid w:val="00BE2E76"/>
    <w:rsid w:val="00BE30E7"/>
    <w:rsid w:val="00BE338C"/>
    <w:rsid w:val="00BE34C1"/>
    <w:rsid w:val="00BE3613"/>
    <w:rsid w:val="00BE368E"/>
    <w:rsid w:val="00BE37F5"/>
    <w:rsid w:val="00BE3EBA"/>
    <w:rsid w:val="00BE43F7"/>
    <w:rsid w:val="00BE4573"/>
    <w:rsid w:val="00BE467F"/>
    <w:rsid w:val="00BE47C1"/>
    <w:rsid w:val="00BE4BD0"/>
    <w:rsid w:val="00BE4BDC"/>
    <w:rsid w:val="00BE4C97"/>
    <w:rsid w:val="00BE4D5A"/>
    <w:rsid w:val="00BE5137"/>
    <w:rsid w:val="00BE5313"/>
    <w:rsid w:val="00BE555D"/>
    <w:rsid w:val="00BE5908"/>
    <w:rsid w:val="00BE5A0C"/>
    <w:rsid w:val="00BE5B71"/>
    <w:rsid w:val="00BE5E31"/>
    <w:rsid w:val="00BE5F8A"/>
    <w:rsid w:val="00BE5FBE"/>
    <w:rsid w:val="00BE600F"/>
    <w:rsid w:val="00BE6013"/>
    <w:rsid w:val="00BE6125"/>
    <w:rsid w:val="00BE6290"/>
    <w:rsid w:val="00BE62B0"/>
    <w:rsid w:val="00BE649F"/>
    <w:rsid w:val="00BE66AF"/>
    <w:rsid w:val="00BE66FE"/>
    <w:rsid w:val="00BE67D6"/>
    <w:rsid w:val="00BE6A0B"/>
    <w:rsid w:val="00BE6F38"/>
    <w:rsid w:val="00BE7295"/>
    <w:rsid w:val="00BE72F9"/>
    <w:rsid w:val="00BE76AD"/>
    <w:rsid w:val="00BE770C"/>
    <w:rsid w:val="00BE77CC"/>
    <w:rsid w:val="00BE7805"/>
    <w:rsid w:val="00BE7838"/>
    <w:rsid w:val="00BE787E"/>
    <w:rsid w:val="00BE792E"/>
    <w:rsid w:val="00BE7B74"/>
    <w:rsid w:val="00BE7D5B"/>
    <w:rsid w:val="00BE7E42"/>
    <w:rsid w:val="00BF0013"/>
    <w:rsid w:val="00BF00DD"/>
    <w:rsid w:val="00BF03A6"/>
    <w:rsid w:val="00BF070D"/>
    <w:rsid w:val="00BF076F"/>
    <w:rsid w:val="00BF07DF"/>
    <w:rsid w:val="00BF0B06"/>
    <w:rsid w:val="00BF0F82"/>
    <w:rsid w:val="00BF1042"/>
    <w:rsid w:val="00BF1848"/>
    <w:rsid w:val="00BF19B8"/>
    <w:rsid w:val="00BF19E7"/>
    <w:rsid w:val="00BF1A28"/>
    <w:rsid w:val="00BF1B23"/>
    <w:rsid w:val="00BF1D82"/>
    <w:rsid w:val="00BF1E9B"/>
    <w:rsid w:val="00BF250E"/>
    <w:rsid w:val="00BF25A4"/>
    <w:rsid w:val="00BF2694"/>
    <w:rsid w:val="00BF27BC"/>
    <w:rsid w:val="00BF29F1"/>
    <w:rsid w:val="00BF2B7F"/>
    <w:rsid w:val="00BF2D3C"/>
    <w:rsid w:val="00BF2D8B"/>
    <w:rsid w:val="00BF2DBA"/>
    <w:rsid w:val="00BF301F"/>
    <w:rsid w:val="00BF304E"/>
    <w:rsid w:val="00BF30C8"/>
    <w:rsid w:val="00BF311E"/>
    <w:rsid w:val="00BF32EE"/>
    <w:rsid w:val="00BF337B"/>
    <w:rsid w:val="00BF33C0"/>
    <w:rsid w:val="00BF3619"/>
    <w:rsid w:val="00BF367B"/>
    <w:rsid w:val="00BF36CE"/>
    <w:rsid w:val="00BF36FA"/>
    <w:rsid w:val="00BF3BDA"/>
    <w:rsid w:val="00BF3BF9"/>
    <w:rsid w:val="00BF3D57"/>
    <w:rsid w:val="00BF3E2E"/>
    <w:rsid w:val="00BF3ECC"/>
    <w:rsid w:val="00BF3EF9"/>
    <w:rsid w:val="00BF4054"/>
    <w:rsid w:val="00BF40AF"/>
    <w:rsid w:val="00BF4387"/>
    <w:rsid w:val="00BF4428"/>
    <w:rsid w:val="00BF470C"/>
    <w:rsid w:val="00BF487B"/>
    <w:rsid w:val="00BF48D9"/>
    <w:rsid w:val="00BF4BD5"/>
    <w:rsid w:val="00BF4C7B"/>
    <w:rsid w:val="00BF5173"/>
    <w:rsid w:val="00BF5748"/>
    <w:rsid w:val="00BF5966"/>
    <w:rsid w:val="00BF5C2E"/>
    <w:rsid w:val="00BF5C33"/>
    <w:rsid w:val="00BF5F3C"/>
    <w:rsid w:val="00BF611E"/>
    <w:rsid w:val="00BF62D1"/>
    <w:rsid w:val="00BF636A"/>
    <w:rsid w:val="00BF698B"/>
    <w:rsid w:val="00BF6B30"/>
    <w:rsid w:val="00BF6B7A"/>
    <w:rsid w:val="00BF6BC5"/>
    <w:rsid w:val="00BF6D95"/>
    <w:rsid w:val="00BF6EC7"/>
    <w:rsid w:val="00BF7177"/>
    <w:rsid w:val="00BF71DB"/>
    <w:rsid w:val="00BF7268"/>
    <w:rsid w:val="00BF79FB"/>
    <w:rsid w:val="00BF7AA1"/>
    <w:rsid w:val="00BF7CE9"/>
    <w:rsid w:val="00BF7D65"/>
    <w:rsid w:val="00C003C8"/>
    <w:rsid w:val="00C00852"/>
    <w:rsid w:val="00C00866"/>
    <w:rsid w:val="00C00C1E"/>
    <w:rsid w:val="00C00E31"/>
    <w:rsid w:val="00C00E3D"/>
    <w:rsid w:val="00C00E42"/>
    <w:rsid w:val="00C00E86"/>
    <w:rsid w:val="00C00E87"/>
    <w:rsid w:val="00C00EA9"/>
    <w:rsid w:val="00C00EEB"/>
    <w:rsid w:val="00C00EEE"/>
    <w:rsid w:val="00C010D6"/>
    <w:rsid w:val="00C014CB"/>
    <w:rsid w:val="00C0153E"/>
    <w:rsid w:val="00C01561"/>
    <w:rsid w:val="00C0157C"/>
    <w:rsid w:val="00C017EC"/>
    <w:rsid w:val="00C01A27"/>
    <w:rsid w:val="00C01BDA"/>
    <w:rsid w:val="00C01D7F"/>
    <w:rsid w:val="00C01DBA"/>
    <w:rsid w:val="00C01E1D"/>
    <w:rsid w:val="00C01E64"/>
    <w:rsid w:val="00C01E68"/>
    <w:rsid w:val="00C021D5"/>
    <w:rsid w:val="00C021DE"/>
    <w:rsid w:val="00C02214"/>
    <w:rsid w:val="00C0223B"/>
    <w:rsid w:val="00C023B4"/>
    <w:rsid w:val="00C024AB"/>
    <w:rsid w:val="00C024B9"/>
    <w:rsid w:val="00C028CE"/>
    <w:rsid w:val="00C02935"/>
    <w:rsid w:val="00C029E1"/>
    <w:rsid w:val="00C02A2A"/>
    <w:rsid w:val="00C02E82"/>
    <w:rsid w:val="00C02F65"/>
    <w:rsid w:val="00C02FD9"/>
    <w:rsid w:val="00C0304D"/>
    <w:rsid w:val="00C030EA"/>
    <w:rsid w:val="00C031CF"/>
    <w:rsid w:val="00C0345F"/>
    <w:rsid w:val="00C03584"/>
    <w:rsid w:val="00C03961"/>
    <w:rsid w:val="00C03B2F"/>
    <w:rsid w:val="00C03C4E"/>
    <w:rsid w:val="00C040C4"/>
    <w:rsid w:val="00C04113"/>
    <w:rsid w:val="00C0451E"/>
    <w:rsid w:val="00C045E4"/>
    <w:rsid w:val="00C046CE"/>
    <w:rsid w:val="00C04A0B"/>
    <w:rsid w:val="00C04ACD"/>
    <w:rsid w:val="00C04BD5"/>
    <w:rsid w:val="00C04CC8"/>
    <w:rsid w:val="00C04E12"/>
    <w:rsid w:val="00C04EBF"/>
    <w:rsid w:val="00C05136"/>
    <w:rsid w:val="00C051C8"/>
    <w:rsid w:val="00C052F4"/>
    <w:rsid w:val="00C054D7"/>
    <w:rsid w:val="00C05738"/>
    <w:rsid w:val="00C05BDB"/>
    <w:rsid w:val="00C05BDD"/>
    <w:rsid w:val="00C061A9"/>
    <w:rsid w:val="00C06367"/>
    <w:rsid w:val="00C06374"/>
    <w:rsid w:val="00C06391"/>
    <w:rsid w:val="00C0645D"/>
    <w:rsid w:val="00C0657A"/>
    <w:rsid w:val="00C06689"/>
    <w:rsid w:val="00C066E9"/>
    <w:rsid w:val="00C069B4"/>
    <w:rsid w:val="00C06B53"/>
    <w:rsid w:val="00C06B89"/>
    <w:rsid w:val="00C06D37"/>
    <w:rsid w:val="00C06DD6"/>
    <w:rsid w:val="00C06DFF"/>
    <w:rsid w:val="00C07045"/>
    <w:rsid w:val="00C07197"/>
    <w:rsid w:val="00C071C4"/>
    <w:rsid w:val="00C07417"/>
    <w:rsid w:val="00C07688"/>
    <w:rsid w:val="00C07A3F"/>
    <w:rsid w:val="00C07C11"/>
    <w:rsid w:val="00C07EDD"/>
    <w:rsid w:val="00C10253"/>
    <w:rsid w:val="00C1044F"/>
    <w:rsid w:val="00C10667"/>
    <w:rsid w:val="00C108E8"/>
    <w:rsid w:val="00C10EA0"/>
    <w:rsid w:val="00C10F98"/>
    <w:rsid w:val="00C11191"/>
    <w:rsid w:val="00C111A4"/>
    <w:rsid w:val="00C112C3"/>
    <w:rsid w:val="00C113CB"/>
    <w:rsid w:val="00C114A5"/>
    <w:rsid w:val="00C11530"/>
    <w:rsid w:val="00C11782"/>
    <w:rsid w:val="00C11862"/>
    <w:rsid w:val="00C11CCF"/>
    <w:rsid w:val="00C11FA2"/>
    <w:rsid w:val="00C12225"/>
    <w:rsid w:val="00C125CD"/>
    <w:rsid w:val="00C12628"/>
    <w:rsid w:val="00C12775"/>
    <w:rsid w:val="00C12786"/>
    <w:rsid w:val="00C127CC"/>
    <w:rsid w:val="00C1281F"/>
    <w:rsid w:val="00C12BC6"/>
    <w:rsid w:val="00C12C6A"/>
    <w:rsid w:val="00C12D12"/>
    <w:rsid w:val="00C13099"/>
    <w:rsid w:val="00C1315B"/>
    <w:rsid w:val="00C1320C"/>
    <w:rsid w:val="00C13345"/>
    <w:rsid w:val="00C13369"/>
    <w:rsid w:val="00C1369E"/>
    <w:rsid w:val="00C1388B"/>
    <w:rsid w:val="00C13921"/>
    <w:rsid w:val="00C1392F"/>
    <w:rsid w:val="00C139D4"/>
    <w:rsid w:val="00C13AF4"/>
    <w:rsid w:val="00C13B58"/>
    <w:rsid w:val="00C13CBB"/>
    <w:rsid w:val="00C13D27"/>
    <w:rsid w:val="00C13DD5"/>
    <w:rsid w:val="00C13FFC"/>
    <w:rsid w:val="00C14334"/>
    <w:rsid w:val="00C14347"/>
    <w:rsid w:val="00C14435"/>
    <w:rsid w:val="00C1454B"/>
    <w:rsid w:val="00C1484A"/>
    <w:rsid w:val="00C148BF"/>
    <w:rsid w:val="00C14B2C"/>
    <w:rsid w:val="00C14CC4"/>
    <w:rsid w:val="00C14DCB"/>
    <w:rsid w:val="00C14E7F"/>
    <w:rsid w:val="00C14E84"/>
    <w:rsid w:val="00C1526D"/>
    <w:rsid w:val="00C15385"/>
    <w:rsid w:val="00C155CF"/>
    <w:rsid w:val="00C157EB"/>
    <w:rsid w:val="00C15803"/>
    <w:rsid w:val="00C15A45"/>
    <w:rsid w:val="00C15AE4"/>
    <w:rsid w:val="00C15BCA"/>
    <w:rsid w:val="00C15DDF"/>
    <w:rsid w:val="00C15E37"/>
    <w:rsid w:val="00C15F2A"/>
    <w:rsid w:val="00C15F5A"/>
    <w:rsid w:val="00C16352"/>
    <w:rsid w:val="00C16489"/>
    <w:rsid w:val="00C165BE"/>
    <w:rsid w:val="00C169F9"/>
    <w:rsid w:val="00C16B1C"/>
    <w:rsid w:val="00C16B9B"/>
    <w:rsid w:val="00C16BAB"/>
    <w:rsid w:val="00C16E97"/>
    <w:rsid w:val="00C16F35"/>
    <w:rsid w:val="00C1713B"/>
    <w:rsid w:val="00C174F6"/>
    <w:rsid w:val="00C176F7"/>
    <w:rsid w:val="00C179F2"/>
    <w:rsid w:val="00C17C33"/>
    <w:rsid w:val="00C17CA0"/>
    <w:rsid w:val="00C20068"/>
    <w:rsid w:val="00C20070"/>
    <w:rsid w:val="00C20265"/>
    <w:rsid w:val="00C204E8"/>
    <w:rsid w:val="00C207E1"/>
    <w:rsid w:val="00C20855"/>
    <w:rsid w:val="00C20BBE"/>
    <w:rsid w:val="00C20FE3"/>
    <w:rsid w:val="00C2102F"/>
    <w:rsid w:val="00C211F6"/>
    <w:rsid w:val="00C2133E"/>
    <w:rsid w:val="00C21D09"/>
    <w:rsid w:val="00C21DDD"/>
    <w:rsid w:val="00C21F3A"/>
    <w:rsid w:val="00C220A7"/>
    <w:rsid w:val="00C2215B"/>
    <w:rsid w:val="00C222BD"/>
    <w:rsid w:val="00C2259C"/>
    <w:rsid w:val="00C2276E"/>
    <w:rsid w:val="00C228C8"/>
    <w:rsid w:val="00C22935"/>
    <w:rsid w:val="00C22A43"/>
    <w:rsid w:val="00C22AE8"/>
    <w:rsid w:val="00C22B5F"/>
    <w:rsid w:val="00C22D32"/>
    <w:rsid w:val="00C22DC6"/>
    <w:rsid w:val="00C22DD4"/>
    <w:rsid w:val="00C23071"/>
    <w:rsid w:val="00C230C6"/>
    <w:rsid w:val="00C2327C"/>
    <w:rsid w:val="00C232B4"/>
    <w:rsid w:val="00C23318"/>
    <w:rsid w:val="00C2334E"/>
    <w:rsid w:val="00C2369E"/>
    <w:rsid w:val="00C236E0"/>
    <w:rsid w:val="00C23825"/>
    <w:rsid w:val="00C23870"/>
    <w:rsid w:val="00C23B2E"/>
    <w:rsid w:val="00C23CCB"/>
    <w:rsid w:val="00C23E51"/>
    <w:rsid w:val="00C23F2C"/>
    <w:rsid w:val="00C240D2"/>
    <w:rsid w:val="00C24452"/>
    <w:rsid w:val="00C2490C"/>
    <w:rsid w:val="00C24BBE"/>
    <w:rsid w:val="00C24DA7"/>
    <w:rsid w:val="00C24E86"/>
    <w:rsid w:val="00C24FE0"/>
    <w:rsid w:val="00C2511D"/>
    <w:rsid w:val="00C251F1"/>
    <w:rsid w:val="00C252A9"/>
    <w:rsid w:val="00C254AC"/>
    <w:rsid w:val="00C2569C"/>
    <w:rsid w:val="00C2597F"/>
    <w:rsid w:val="00C259D8"/>
    <w:rsid w:val="00C25E2F"/>
    <w:rsid w:val="00C25FC7"/>
    <w:rsid w:val="00C2612D"/>
    <w:rsid w:val="00C261F5"/>
    <w:rsid w:val="00C2639D"/>
    <w:rsid w:val="00C26793"/>
    <w:rsid w:val="00C2692A"/>
    <w:rsid w:val="00C26F1F"/>
    <w:rsid w:val="00C26F6B"/>
    <w:rsid w:val="00C26FAE"/>
    <w:rsid w:val="00C270F5"/>
    <w:rsid w:val="00C273FF"/>
    <w:rsid w:val="00C274AA"/>
    <w:rsid w:val="00C27682"/>
    <w:rsid w:val="00C27707"/>
    <w:rsid w:val="00C27840"/>
    <w:rsid w:val="00C279B6"/>
    <w:rsid w:val="00C27A81"/>
    <w:rsid w:val="00C27CDD"/>
    <w:rsid w:val="00C27D2A"/>
    <w:rsid w:val="00C27E02"/>
    <w:rsid w:val="00C27EEE"/>
    <w:rsid w:val="00C27F29"/>
    <w:rsid w:val="00C30069"/>
    <w:rsid w:val="00C30201"/>
    <w:rsid w:val="00C30329"/>
    <w:rsid w:val="00C304CC"/>
    <w:rsid w:val="00C307B3"/>
    <w:rsid w:val="00C30995"/>
    <w:rsid w:val="00C309EC"/>
    <w:rsid w:val="00C30C0A"/>
    <w:rsid w:val="00C30CD8"/>
    <w:rsid w:val="00C31042"/>
    <w:rsid w:val="00C31453"/>
    <w:rsid w:val="00C31801"/>
    <w:rsid w:val="00C31A74"/>
    <w:rsid w:val="00C31B31"/>
    <w:rsid w:val="00C31CBA"/>
    <w:rsid w:val="00C31D30"/>
    <w:rsid w:val="00C32142"/>
    <w:rsid w:val="00C32405"/>
    <w:rsid w:val="00C325A5"/>
    <w:rsid w:val="00C3280C"/>
    <w:rsid w:val="00C32824"/>
    <w:rsid w:val="00C32A51"/>
    <w:rsid w:val="00C32F95"/>
    <w:rsid w:val="00C3338A"/>
    <w:rsid w:val="00C33411"/>
    <w:rsid w:val="00C337AA"/>
    <w:rsid w:val="00C33A25"/>
    <w:rsid w:val="00C33CD2"/>
    <w:rsid w:val="00C33E9B"/>
    <w:rsid w:val="00C3410E"/>
    <w:rsid w:val="00C343BA"/>
    <w:rsid w:val="00C344EC"/>
    <w:rsid w:val="00C34713"/>
    <w:rsid w:val="00C34AE0"/>
    <w:rsid w:val="00C34EF1"/>
    <w:rsid w:val="00C34F7E"/>
    <w:rsid w:val="00C34FBC"/>
    <w:rsid w:val="00C35133"/>
    <w:rsid w:val="00C35222"/>
    <w:rsid w:val="00C352DE"/>
    <w:rsid w:val="00C3546F"/>
    <w:rsid w:val="00C35607"/>
    <w:rsid w:val="00C35622"/>
    <w:rsid w:val="00C356A6"/>
    <w:rsid w:val="00C35861"/>
    <w:rsid w:val="00C35966"/>
    <w:rsid w:val="00C35B9B"/>
    <w:rsid w:val="00C35C56"/>
    <w:rsid w:val="00C35CC0"/>
    <w:rsid w:val="00C35CFC"/>
    <w:rsid w:val="00C35D95"/>
    <w:rsid w:val="00C35DB9"/>
    <w:rsid w:val="00C361AE"/>
    <w:rsid w:val="00C3636A"/>
    <w:rsid w:val="00C36854"/>
    <w:rsid w:val="00C36BDC"/>
    <w:rsid w:val="00C37177"/>
    <w:rsid w:val="00C372F7"/>
    <w:rsid w:val="00C37446"/>
    <w:rsid w:val="00C3751E"/>
    <w:rsid w:val="00C37643"/>
    <w:rsid w:val="00C376E8"/>
    <w:rsid w:val="00C3789A"/>
    <w:rsid w:val="00C379D6"/>
    <w:rsid w:val="00C37A6A"/>
    <w:rsid w:val="00C37A6D"/>
    <w:rsid w:val="00C37B17"/>
    <w:rsid w:val="00C37BFD"/>
    <w:rsid w:val="00C37E64"/>
    <w:rsid w:val="00C400EB"/>
    <w:rsid w:val="00C404C6"/>
    <w:rsid w:val="00C406D8"/>
    <w:rsid w:val="00C406FC"/>
    <w:rsid w:val="00C407BE"/>
    <w:rsid w:val="00C40815"/>
    <w:rsid w:val="00C408FB"/>
    <w:rsid w:val="00C40939"/>
    <w:rsid w:val="00C409E5"/>
    <w:rsid w:val="00C40BAA"/>
    <w:rsid w:val="00C40E1C"/>
    <w:rsid w:val="00C40E3F"/>
    <w:rsid w:val="00C40F1E"/>
    <w:rsid w:val="00C41131"/>
    <w:rsid w:val="00C41182"/>
    <w:rsid w:val="00C41483"/>
    <w:rsid w:val="00C41577"/>
    <w:rsid w:val="00C41579"/>
    <w:rsid w:val="00C4186E"/>
    <w:rsid w:val="00C418FE"/>
    <w:rsid w:val="00C41A9C"/>
    <w:rsid w:val="00C41D09"/>
    <w:rsid w:val="00C41DD4"/>
    <w:rsid w:val="00C41F6C"/>
    <w:rsid w:val="00C41FAD"/>
    <w:rsid w:val="00C420D0"/>
    <w:rsid w:val="00C421BB"/>
    <w:rsid w:val="00C422E7"/>
    <w:rsid w:val="00C4250C"/>
    <w:rsid w:val="00C4256D"/>
    <w:rsid w:val="00C426FD"/>
    <w:rsid w:val="00C429A4"/>
    <w:rsid w:val="00C42B0F"/>
    <w:rsid w:val="00C42D5D"/>
    <w:rsid w:val="00C42DCC"/>
    <w:rsid w:val="00C42FF3"/>
    <w:rsid w:val="00C4304F"/>
    <w:rsid w:val="00C4334B"/>
    <w:rsid w:val="00C435A4"/>
    <w:rsid w:val="00C438D2"/>
    <w:rsid w:val="00C43B6C"/>
    <w:rsid w:val="00C43B79"/>
    <w:rsid w:val="00C43C72"/>
    <w:rsid w:val="00C43D05"/>
    <w:rsid w:val="00C43DA8"/>
    <w:rsid w:val="00C43F8D"/>
    <w:rsid w:val="00C43F99"/>
    <w:rsid w:val="00C44438"/>
    <w:rsid w:val="00C445F6"/>
    <w:rsid w:val="00C447B0"/>
    <w:rsid w:val="00C44B94"/>
    <w:rsid w:val="00C44C4E"/>
    <w:rsid w:val="00C44D98"/>
    <w:rsid w:val="00C44F68"/>
    <w:rsid w:val="00C450FB"/>
    <w:rsid w:val="00C45607"/>
    <w:rsid w:val="00C4571C"/>
    <w:rsid w:val="00C459EB"/>
    <w:rsid w:val="00C45A0B"/>
    <w:rsid w:val="00C45A54"/>
    <w:rsid w:val="00C45B70"/>
    <w:rsid w:val="00C45D34"/>
    <w:rsid w:val="00C460C2"/>
    <w:rsid w:val="00C46273"/>
    <w:rsid w:val="00C463CA"/>
    <w:rsid w:val="00C4673E"/>
    <w:rsid w:val="00C46860"/>
    <w:rsid w:val="00C46908"/>
    <w:rsid w:val="00C4694A"/>
    <w:rsid w:val="00C46A08"/>
    <w:rsid w:val="00C46C7D"/>
    <w:rsid w:val="00C46F8E"/>
    <w:rsid w:val="00C47163"/>
    <w:rsid w:val="00C473A1"/>
    <w:rsid w:val="00C473A4"/>
    <w:rsid w:val="00C47820"/>
    <w:rsid w:val="00C47833"/>
    <w:rsid w:val="00C47905"/>
    <w:rsid w:val="00C47B8E"/>
    <w:rsid w:val="00C47CA1"/>
    <w:rsid w:val="00C47CE4"/>
    <w:rsid w:val="00C47E21"/>
    <w:rsid w:val="00C47F3C"/>
    <w:rsid w:val="00C50154"/>
    <w:rsid w:val="00C5018D"/>
    <w:rsid w:val="00C50246"/>
    <w:rsid w:val="00C50ABC"/>
    <w:rsid w:val="00C50B13"/>
    <w:rsid w:val="00C50C5D"/>
    <w:rsid w:val="00C50D01"/>
    <w:rsid w:val="00C50D84"/>
    <w:rsid w:val="00C50F21"/>
    <w:rsid w:val="00C51134"/>
    <w:rsid w:val="00C512C3"/>
    <w:rsid w:val="00C512C7"/>
    <w:rsid w:val="00C5143D"/>
    <w:rsid w:val="00C514B6"/>
    <w:rsid w:val="00C51603"/>
    <w:rsid w:val="00C51713"/>
    <w:rsid w:val="00C517B2"/>
    <w:rsid w:val="00C51812"/>
    <w:rsid w:val="00C51892"/>
    <w:rsid w:val="00C51944"/>
    <w:rsid w:val="00C519EE"/>
    <w:rsid w:val="00C51D41"/>
    <w:rsid w:val="00C51E4F"/>
    <w:rsid w:val="00C51FB3"/>
    <w:rsid w:val="00C52107"/>
    <w:rsid w:val="00C5225B"/>
    <w:rsid w:val="00C52335"/>
    <w:rsid w:val="00C523AA"/>
    <w:rsid w:val="00C52444"/>
    <w:rsid w:val="00C52777"/>
    <w:rsid w:val="00C52845"/>
    <w:rsid w:val="00C52BBC"/>
    <w:rsid w:val="00C52C6D"/>
    <w:rsid w:val="00C52E88"/>
    <w:rsid w:val="00C5320A"/>
    <w:rsid w:val="00C53228"/>
    <w:rsid w:val="00C5328F"/>
    <w:rsid w:val="00C533F9"/>
    <w:rsid w:val="00C535D5"/>
    <w:rsid w:val="00C53824"/>
    <w:rsid w:val="00C53C92"/>
    <w:rsid w:val="00C53D6C"/>
    <w:rsid w:val="00C53DB1"/>
    <w:rsid w:val="00C540D0"/>
    <w:rsid w:val="00C54194"/>
    <w:rsid w:val="00C542BB"/>
    <w:rsid w:val="00C542FC"/>
    <w:rsid w:val="00C54798"/>
    <w:rsid w:val="00C548A7"/>
    <w:rsid w:val="00C548D6"/>
    <w:rsid w:val="00C54905"/>
    <w:rsid w:val="00C549D3"/>
    <w:rsid w:val="00C54BD5"/>
    <w:rsid w:val="00C54F87"/>
    <w:rsid w:val="00C55105"/>
    <w:rsid w:val="00C55121"/>
    <w:rsid w:val="00C5520A"/>
    <w:rsid w:val="00C55270"/>
    <w:rsid w:val="00C552F2"/>
    <w:rsid w:val="00C55333"/>
    <w:rsid w:val="00C55481"/>
    <w:rsid w:val="00C55724"/>
    <w:rsid w:val="00C55752"/>
    <w:rsid w:val="00C5585C"/>
    <w:rsid w:val="00C5588F"/>
    <w:rsid w:val="00C558DB"/>
    <w:rsid w:val="00C55A5B"/>
    <w:rsid w:val="00C55BEF"/>
    <w:rsid w:val="00C55E73"/>
    <w:rsid w:val="00C55E7C"/>
    <w:rsid w:val="00C55F27"/>
    <w:rsid w:val="00C56417"/>
    <w:rsid w:val="00C56A5D"/>
    <w:rsid w:val="00C5701D"/>
    <w:rsid w:val="00C57087"/>
    <w:rsid w:val="00C57317"/>
    <w:rsid w:val="00C5757C"/>
    <w:rsid w:val="00C57732"/>
    <w:rsid w:val="00C57751"/>
    <w:rsid w:val="00C57903"/>
    <w:rsid w:val="00C57E4B"/>
    <w:rsid w:val="00C57F4C"/>
    <w:rsid w:val="00C600BB"/>
    <w:rsid w:val="00C6020C"/>
    <w:rsid w:val="00C60242"/>
    <w:rsid w:val="00C602E1"/>
    <w:rsid w:val="00C6034B"/>
    <w:rsid w:val="00C603AB"/>
    <w:rsid w:val="00C604B1"/>
    <w:rsid w:val="00C6059B"/>
    <w:rsid w:val="00C6059F"/>
    <w:rsid w:val="00C606C1"/>
    <w:rsid w:val="00C60892"/>
    <w:rsid w:val="00C60955"/>
    <w:rsid w:val="00C60A4D"/>
    <w:rsid w:val="00C60CC9"/>
    <w:rsid w:val="00C60EA8"/>
    <w:rsid w:val="00C60F71"/>
    <w:rsid w:val="00C60FFC"/>
    <w:rsid w:val="00C61101"/>
    <w:rsid w:val="00C615A2"/>
    <w:rsid w:val="00C61869"/>
    <w:rsid w:val="00C61CC3"/>
    <w:rsid w:val="00C61FD2"/>
    <w:rsid w:val="00C621C3"/>
    <w:rsid w:val="00C62244"/>
    <w:rsid w:val="00C623AA"/>
    <w:rsid w:val="00C62550"/>
    <w:rsid w:val="00C62585"/>
    <w:rsid w:val="00C62748"/>
    <w:rsid w:val="00C62884"/>
    <w:rsid w:val="00C62B33"/>
    <w:rsid w:val="00C62BF1"/>
    <w:rsid w:val="00C62C18"/>
    <w:rsid w:val="00C62D1F"/>
    <w:rsid w:val="00C62D65"/>
    <w:rsid w:val="00C63245"/>
    <w:rsid w:val="00C63329"/>
    <w:rsid w:val="00C633C8"/>
    <w:rsid w:val="00C63635"/>
    <w:rsid w:val="00C636C1"/>
    <w:rsid w:val="00C63979"/>
    <w:rsid w:val="00C63C79"/>
    <w:rsid w:val="00C63D69"/>
    <w:rsid w:val="00C6412F"/>
    <w:rsid w:val="00C6418D"/>
    <w:rsid w:val="00C6441B"/>
    <w:rsid w:val="00C64718"/>
    <w:rsid w:val="00C648E3"/>
    <w:rsid w:val="00C64D69"/>
    <w:rsid w:val="00C64EA8"/>
    <w:rsid w:val="00C65035"/>
    <w:rsid w:val="00C65084"/>
    <w:rsid w:val="00C650EE"/>
    <w:rsid w:val="00C65154"/>
    <w:rsid w:val="00C6535F"/>
    <w:rsid w:val="00C6591A"/>
    <w:rsid w:val="00C65927"/>
    <w:rsid w:val="00C6596D"/>
    <w:rsid w:val="00C65E15"/>
    <w:rsid w:val="00C65E98"/>
    <w:rsid w:val="00C65F35"/>
    <w:rsid w:val="00C65F98"/>
    <w:rsid w:val="00C65FDA"/>
    <w:rsid w:val="00C664DA"/>
    <w:rsid w:val="00C66540"/>
    <w:rsid w:val="00C66800"/>
    <w:rsid w:val="00C669DA"/>
    <w:rsid w:val="00C66C6D"/>
    <w:rsid w:val="00C66D24"/>
    <w:rsid w:val="00C66D5B"/>
    <w:rsid w:val="00C66EB1"/>
    <w:rsid w:val="00C66EEF"/>
    <w:rsid w:val="00C670BC"/>
    <w:rsid w:val="00C67124"/>
    <w:rsid w:val="00C671CC"/>
    <w:rsid w:val="00C67238"/>
    <w:rsid w:val="00C6767A"/>
    <w:rsid w:val="00C67EB2"/>
    <w:rsid w:val="00C67F9B"/>
    <w:rsid w:val="00C7002A"/>
    <w:rsid w:val="00C70034"/>
    <w:rsid w:val="00C70088"/>
    <w:rsid w:val="00C700E6"/>
    <w:rsid w:val="00C702BB"/>
    <w:rsid w:val="00C70436"/>
    <w:rsid w:val="00C70515"/>
    <w:rsid w:val="00C70599"/>
    <w:rsid w:val="00C708CE"/>
    <w:rsid w:val="00C70930"/>
    <w:rsid w:val="00C709AB"/>
    <w:rsid w:val="00C70A68"/>
    <w:rsid w:val="00C70B53"/>
    <w:rsid w:val="00C70D2A"/>
    <w:rsid w:val="00C70EAE"/>
    <w:rsid w:val="00C70EF1"/>
    <w:rsid w:val="00C70F9E"/>
    <w:rsid w:val="00C714C0"/>
    <w:rsid w:val="00C714D5"/>
    <w:rsid w:val="00C7175F"/>
    <w:rsid w:val="00C71777"/>
    <w:rsid w:val="00C71B74"/>
    <w:rsid w:val="00C71C48"/>
    <w:rsid w:val="00C71F19"/>
    <w:rsid w:val="00C722FD"/>
    <w:rsid w:val="00C723E2"/>
    <w:rsid w:val="00C7251B"/>
    <w:rsid w:val="00C72529"/>
    <w:rsid w:val="00C7299D"/>
    <w:rsid w:val="00C729A9"/>
    <w:rsid w:val="00C729F7"/>
    <w:rsid w:val="00C72AF6"/>
    <w:rsid w:val="00C72C70"/>
    <w:rsid w:val="00C732A8"/>
    <w:rsid w:val="00C7332B"/>
    <w:rsid w:val="00C73520"/>
    <w:rsid w:val="00C7354B"/>
    <w:rsid w:val="00C73633"/>
    <w:rsid w:val="00C7386C"/>
    <w:rsid w:val="00C73955"/>
    <w:rsid w:val="00C73BC9"/>
    <w:rsid w:val="00C73E1D"/>
    <w:rsid w:val="00C7417B"/>
    <w:rsid w:val="00C7418C"/>
    <w:rsid w:val="00C742B2"/>
    <w:rsid w:val="00C744E2"/>
    <w:rsid w:val="00C7476A"/>
    <w:rsid w:val="00C747E7"/>
    <w:rsid w:val="00C74BA8"/>
    <w:rsid w:val="00C75040"/>
    <w:rsid w:val="00C751C9"/>
    <w:rsid w:val="00C753F4"/>
    <w:rsid w:val="00C756DF"/>
    <w:rsid w:val="00C756F7"/>
    <w:rsid w:val="00C75882"/>
    <w:rsid w:val="00C7599D"/>
    <w:rsid w:val="00C75B42"/>
    <w:rsid w:val="00C75C1F"/>
    <w:rsid w:val="00C75DD6"/>
    <w:rsid w:val="00C76331"/>
    <w:rsid w:val="00C767C8"/>
    <w:rsid w:val="00C7689B"/>
    <w:rsid w:val="00C76AE4"/>
    <w:rsid w:val="00C76E45"/>
    <w:rsid w:val="00C771D6"/>
    <w:rsid w:val="00C7721D"/>
    <w:rsid w:val="00C772E4"/>
    <w:rsid w:val="00C77303"/>
    <w:rsid w:val="00C77436"/>
    <w:rsid w:val="00C77520"/>
    <w:rsid w:val="00C776A8"/>
    <w:rsid w:val="00C776D5"/>
    <w:rsid w:val="00C77714"/>
    <w:rsid w:val="00C777B2"/>
    <w:rsid w:val="00C7789E"/>
    <w:rsid w:val="00C7790C"/>
    <w:rsid w:val="00C77989"/>
    <w:rsid w:val="00C77B33"/>
    <w:rsid w:val="00C77CAF"/>
    <w:rsid w:val="00C77E82"/>
    <w:rsid w:val="00C8000B"/>
    <w:rsid w:val="00C8031D"/>
    <w:rsid w:val="00C8037D"/>
    <w:rsid w:val="00C803AB"/>
    <w:rsid w:val="00C80562"/>
    <w:rsid w:val="00C80576"/>
    <w:rsid w:val="00C806FC"/>
    <w:rsid w:val="00C807A4"/>
    <w:rsid w:val="00C80F15"/>
    <w:rsid w:val="00C810EC"/>
    <w:rsid w:val="00C812A8"/>
    <w:rsid w:val="00C812BA"/>
    <w:rsid w:val="00C8191A"/>
    <w:rsid w:val="00C8196A"/>
    <w:rsid w:val="00C81A18"/>
    <w:rsid w:val="00C81A1A"/>
    <w:rsid w:val="00C81A90"/>
    <w:rsid w:val="00C81C3C"/>
    <w:rsid w:val="00C81C4F"/>
    <w:rsid w:val="00C81F8B"/>
    <w:rsid w:val="00C82013"/>
    <w:rsid w:val="00C8202D"/>
    <w:rsid w:val="00C8230F"/>
    <w:rsid w:val="00C82314"/>
    <w:rsid w:val="00C82366"/>
    <w:rsid w:val="00C82440"/>
    <w:rsid w:val="00C826E3"/>
    <w:rsid w:val="00C82815"/>
    <w:rsid w:val="00C82841"/>
    <w:rsid w:val="00C8298D"/>
    <w:rsid w:val="00C82B32"/>
    <w:rsid w:val="00C82B90"/>
    <w:rsid w:val="00C82C33"/>
    <w:rsid w:val="00C82CA2"/>
    <w:rsid w:val="00C82ECD"/>
    <w:rsid w:val="00C835F6"/>
    <w:rsid w:val="00C83B95"/>
    <w:rsid w:val="00C83CE1"/>
    <w:rsid w:val="00C83F1D"/>
    <w:rsid w:val="00C83FFE"/>
    <w:rsid w:val="00C84069"/>
    <w:rsid w:val="00C840CE"/>
    <w:rsid w:val="00C84209"/>
    <w:rsid w:val="00C842D7"/>
    <w:rsid w:val="00C843BA"/>
    <w:rsid w:val="00C846D3"/>
    <w:rsid w:val="00C846EB"/>
    <w:rsid w:val="00C847DA"/>
    <w:rsid w:val="00C84CF7"/>
    <w:rsid w:val="00C84D19"/>
    <w:rsid w:val="00C850EB"/>
    <w:rsid w:val="00C8518E"/>
    <w:rsid w:val="00C851F9"/>
    <w:rsid w:val="00C85530"/>
    <w:rsid w:val="00C85718"/>
    <w:rsid w:val="00C857DB"/>
    <w:rsid w:val="00C858B5"/>
    <w:rsid w:val="00C859E3"/>
    <w:rsid w:val="00C85AFA"/>
    <w:rsid w:val="00C85BE6"/>
    <w:rsid w:val="00C85C97"/>
    <w:rsid w:val="00C86112"/>
    <w:rsid w:val="00C8622C"/>
    <w:rsid w:val="00C86BED"/>
    <w:rsid w:val="00C86CF7"/>
    <w:rsid w:val="00C86E1C"/>
    <w:rsid w:val="00C86FBA"/>
    <w:rsid w:val="00C86FEB"/>
    <w:rsid w:val="00C87177"/>
    <w:rsid w:val="00C8719B"/>
    <w:rsid w:val="00C8778E"/>
    <w:rsid w:val="00C8790F"/>
    <w:rsid w:val="00C879A9"/>
    <w:rsid w:val="00C87D08"/>
    <w:rsid w:val="00C87D73"/>
    <w:rsid w:val="00C90461"/>
    <w:rsid w:val="00C9069F"/>
    <w:rsid w:val="00C9072D"/>
    <w:rsid w:val="00C907FA"/>
    <w:rsid w:val="00C90804"/>
    <w:rsid w:val="00C90811"/>
    <w:rsid w:val="00C90A0D"/>
    <w:rsid w:val="00C90C4B"/>
    <w:rsid w:val="00C90D49"/>
    <w:rsid w:val="00C90FFB"/>
    <w:rsid w:val="00C9100E"/>
    <w:rsid w:val="00C91022"/>
    <w:rsid w:val="00C91312"/>
    <w:rsid w:val="00C91407"/>
    <w:rsid w:val="00C91412"/>
    <w:rsid w:val="00C9148E"/>
    <w:rsid w:val="00C9170E"/>
    <w:rsid w:val="00C91742"/>
    <w:rsid w:val="00C9186A"/>
    <w:rsid w:val="00C919BD"/>
    <w:rsid w:val="00C91AF8"/>
    <w:rsid w:val="00C91C5F"/>
    <w:rsid w:val="00C91FEF"/>
    <w:rsid w:val="00C92028"/>
    <w:rsid w:val="00C92277"/>
    <w:rsid w:val="00C92364"/>
    <w:rsid w:val="00C92647"/>
    <w:rsid w:val="00C9272D"/>
    <w:rsid w:val="00C927B2"/>
    <w:rsid w:val="00C928AD"/>
    <w:rsid w:val="00C92DB2"/>
    <w:rsid w:val="00C92F5F"/>
    <w:rsid w:val="00C92FF4"/>
    <w:rsid w:val="00C932BD"/>
    <w:rsid w:val="00C933A5"/>
    <w:rsid w:val="00C936B5"/>
    <w:rsid w:val="00C93780"/>
    <w:rsid w:val="00C9390A"/>
    <w:rsid w:val="00C93A01"/>
    <w:rsid w:val="00C93A38"/>
    <w:rsid w:val="00C93A9F"/>
    <w:rsid w:val="00C93ADA"/>
    <w:rsid w:val="00C93C71"/>
    <w:rsid w:val="00C93E09"/>
    <w:rsid w:val="00C9400E"/>
    <w:rsid w:val="00C9417B"/>
    <w:rsid w:val="00C943C0"/>
    <w:rsid w:val="00C94467"/>
    <w:rsid w:val="00C94725"/>
    <w:rsid w:val="00C94792"/>
    <w:rsid w:val="00C94BA4"/>
    <w:rsid w:val="00C94BF8"/>
    <w:rsid w:val="00C94CD3"/>
    <w:rsid w:val="00C94D57"/>
    <w:rsid w:val="00C94D62"/>
    <w:rsid w:val="00C95137"/>
    <w:rsid w:val="00C951A8"/>
    <w:rsid w:val="00C9526D"/>
    <w:rsid w:val="00C9528B"/>
    <w:rsid w:val="00C95520"/>
    <w:rsid w:val="00C955CF"/>
    <w:rsid w:val="00C9587A"/>
    <w:rsid w:val="00C958ED"/>
    <w:rsid w:val="00C9595C"/>
    <w:rsid w:val="00C95B13"/>
    <w:rsid w:val="00C95E01"/>
    <w:rsid w:val="00C95EC0"/>
    <w:rsid w:val="00C96008"/>
    <w:rsid w:val="00C9603F"/>
    <w:rsid w:val="00C960AE"/>
    <w:rsid w:val="00C960B9"/>
    <w:rsid w:val="00C960C9"/>
    <w:rsid w:val="00C96110"/>
    <w:rsid w:val="00C96435"/>
    <w:rsid w:val="00C964C8"/>
    <w:rsid w:val="00C9669B"/>
    <w:rsid w:val="00C967C8"/>
    <w:rsid w:val="00C969A4"/>
    <w:rsid w:val="00C96AAA"/>
    <w:rsid w:val="00C96C12"/>
    <w:rsid w:val="00C96EB0"/>
    <w:rsid w:val="00C96F08"/>
    <w:rsid w:val="00C96FBB"/>
    <w:rsid w:val="00C970DC"/>
    <w:rsid w:val="00C971EC"/>
    <w:rsid w:val="00C975FA"/>
    <w:rsid w:val="00C9763B"/>
    <w:rsid w:val="00C97648"/>
    <w:rsid w:val="00C9765D"/>
    <w:rsid w:val="00C978EA"/>
    <w:rsid w:val="00C9797A"/>
    <w:rsid w:val="00C97A09"/>
    <w:rsid w:val="00C97D8E"/>
    <w:rsid w:val="00C97EA2"/>
    <w:rsid w:val="00CA009A"/>
    <w:rsid w:val="00CA039A"/>
    <w:rsid w:val="00CA0484"/>
    <w:rsid w:val="00CA0C1D"/>
    <w:rsid w:val="00CA0C3E"/>
    <w:rsid w:val="00CA0DB2"/>
    <w:rsid w:val="00CA1262"/>
    <w:rsid w:val="00CA1351"/>
    <w:rsid w:val="00CA147E"/>
    <w:rsid w:val="00CA14DC"/>
    <w:rsid w:val="00CA160C"/>
    <w:rsid w:val="00CA1619"/>
    <w:rsid w:val="00CA1C91"/>
    <w:rsid w:val="00CA2102"/>
    <w:rsid w:val="00CA2129"/>
    <w:rsid w:val="00CA22C1"/>
    <w:rsid w:val="00CA2347"/>
    <w:rsid w:val="00CA23D2"/>
    <w:rsid w:val="00CA24AA"/>
    <w:rsid w:val="00CA25C3"/>
    <w:rsid w:val="00CA267F"/>
    <w:rsid w:val="00CA28FC"/>
    <w:rsid w:val="00CA2B17"/>
    <w:rsid w:val="00CA2B3A"/>
    <w:rsid w:val="00CA2BE5"/>
    <w:rsid w:val="00CA2E73"/>
    <w:rsid w:val="00CA2F86"/>
    <w:rsid w:val="00CA3041"/>
    <w:rsid w:val="00CA304F"/>
    <w:rsid w:val="00CA3113"/>
    <w:rsid w:val="00CA32B4"/>
    <w:rsid w:val="00CA38AC"/>
    <w:rsid w:val="00CA38BC"/>
    <w:rsid w:val="00CA39C1"/>
    <w:rsid w:val="00CA3A16"/>
    <w:rsid w:val="00CA3C42"/>
    <w:rsid w:val="00CA3C6A"/>
    <w:rsid w:val="00CA3E66"/>
    <w:rsid w:val="00CA3E92"/>
    <w:rsid w:val="00CA3F43"/>
    <w:rsid w:val="00CA3FD5"/>
    <w:rsid w:val="00CA421E"/>
    <w:rsid w:val="00CA4542"/>
    <w:rsid w:val="00CA46D1"/>
    <w:rsid w:val="00CA4755"/>
    <w:rsid w:val="00CA4784"/>
    <w:rsid w:val="00CA4797"/>
    <w:rsid w:val="00CA498E"/>
    <w:rsid w:val="00CA4D43"/>
    <w:rsid w:val="00CA52A4"/>
    <w:rsid w:val="00CA52ED"/>
    <w:rsid w:val="00CA5306"/>
    <w:rsid w:val="00CA564A"/>
    <w:rsid w:val="00CA580C"/>
    <w:rsid w:val="00CA58CA"/>
    <w:rsid w:val="00CA5A09"/>
    <w:rsid w:val="00CA5CAE"/>
    <w:rsid w:val="00CA5D50"/>
    <w:rsid w:val="00CA5DF7"/>
    <w:rsid w:val="00CA611F"/>
    <w:rsid w:val="00CA631F"/>
    <w:rsid w:val="00CA6482"/>
    <w:rsid w:val="00CA6597"/>
    <w:rsid w:val="00CA6977"/>
    <w:rsid w:val="00CA6B85"/>
    <w:rsid w:val="00CA6C75"/>
    <w:rsid w:val="00CA6DB4"/>
    <w:rsid w:val="00CA6EFC"/>
    <w:rsid w:val="00CA6F9E"/>
    <w:rsid w:val="00CA74E4"/>
    <w:rsid w:val="00CA74EE"/>
    <w:rsid w:val="00CA7DFD"/>
    <w:rsid w:val="00CA7F32"/>
    <w:rsid w:val="00CB0362"/>
    <w:rsid w:val="00CB03D0"/>
    <w:rsid w:val="00CB0554"/>
    <w:rsid w:val="00CB05BD"/>
    <w:rsid w:val="00CB06CD"/>
    <w:rsid w:val="00CB0716"/>
    <w:rsid w:val="00CB0764"/>
    <w:rsid w:val="00CB0841"/>
    <w:rsid w:val="00CB099E"/>
    <w:rsid w:val="00CB0D30"/>
    <w:rsid w:val="00CB115F"/>
    <w:rsid w:val="00CB11EE"/>
    <w:rsid w:val="00CB12EC"/>
    <w:rsid w:val="00CB17E3"/>
    <w:rsid w:val="00CB18D4"/>
    <w:rsid w:val="00CB18E3"/>
    <w:rsid w:val="00CB1DC5"/>
    <w:rsid w:val="00CB2123"/>
    <w:rsid w:val="00CB2238"/>
    <w:rsid w:val="00CB254C"/>
    <w:rsid w:val="00CB258E"/>
    <w:rsid w:val="00CB2AF6"/>
    <w:rsid w:val="00CB2CDD"/>
    <w:rsid w:val="00CB2D9D"/>
    <w:rsid w:val="00CB2FA0"/>
    <w:rsid w:val="00CB35B7"/>
    <w:rsid w:val="00CB3613"/>
    <w:rsid w:val="00CB3690"/>
    <w:rsid w:val="00CB39B0"/>
    <w:rsid w:val="00CB3A5A"/>
    <w:rsid w:val="00CB3CAB"/>
    <w:rsid w:val="00CB4078"/>
    <w:rsid w:val="00CB45A0"/>
    <w:rsid w:val="00CB488B"/>
    <w:rsid w:val="00CB4C02"/>
    <w:rsid w:val="00CB4DE7"/>
    <w:rsid w:val="00CB4ED3"/>
    <w:rsid w:val="00CB4EDC"/>
    <w:rsid w:val="00CB4F62"/>
    <w:rsid w:val="00CB540F"/>
    <w:rsid w:val="00CB57E0"/>
    <w:rsid w:val="00CB59DE"/>
    <w:rsid w:val="00CB5AAB"/>
    <w:rsid w:val="00CB5ABE"/>
    <w:rsid w:val="00CB5C1F"/>
    <w:rsid w:val="00CB5F51"/>
    <w:rsid w:val="00CB602C"/>
    <w:rsid w:val="00CB610C"/>
    <w:rsid w:val="00CB61DD"/>
    <w:rsid w:val="00CB6595"/>
    <w:rsid w:val="00CB6679"/>
    <w:rsid w:val="00CB66D1"/>
    <w:rsid w:val="00CB680B"/>
    <w:rsid w:val="00CB6839"/>
    <w:rsid w:val="00CB6875"/>
    <w:rsid w:val="00CB6968"/>
    <w:rsid w:val="00CB6CB6"/>
    <w:rsid w:val="00CB742C"/>
    <w:rsid w:val="00CB78BC"/>
    <w:rsid w:val="00CB7C52"/>
    <w:rsid w:val="00CB7C9C"/>
    <w:rsid w:val="00CB7D1E"/>
    <w:rsid w:val="00CB7DB8"/>
    <w:rsid w:val="00CB7FD3"/>
    <w:rsid w:val="00CC04E1"/>
    <w:rsid w:val="00CC05BD"/>
    <w:rsid w:val="00CC05C9"/>
    <w:rsid w:val="00CC06B0"/>
    <w:rsid w:val="00CC07B8"/>
    <w:rsid w:val="00CC08ED"/>
    <w:rsid w:val="00CC0A66"/>
    <w:rsid w:val="00CC0AC6"/>
    <w:rsid w:val="00CC0CE9"/>
    <w:rsid w:val="00CC0DA5"/>
    <w:rsid w:val="00CC0EF8"/>
    <w:rsid w:val="00CC0F56"/>
    <w:rsid w:val="00CC1112"/>
    <w:rsid w:val="00CC1379"/>
    <w:rsid w:val="00CC1741"/>
    <w:rsid w:val="00CC1F28"/>
    <w:rsid w:val="00CC2094"/>
    <w:rsid w:val="00CC214F"/>
    <w:rsid w:val="00CC2246"/>
    <w:rsid w:val="00CC2493"/>
    <w:rsid w:val="00CC264A"/>
    <w:rsid w:val="00CC29C1"/>
    <w:rsid w:val="00CC2A97"/>
    <w:rsid w:val="00CC2DEF"/>
    <w:rsid w:val="00CC2DF7"/>
    <w:rsid w:val="00CC2E3E"/>
    <w:rsid w:val="00CC3162"/>
    <w:rsid w:val="00CC3554"/>
    <w:rsid w:val="00CC35A4"/>
    <w:rsid w:val="00CC35CF"/>
    <w:rsid w:val="00CC3655"/>
    <w:rsid w:val="00CC367A"/>
    <w:rsid w:val="00CC3979"/>
    <w:rsid w:val="00CC3C91"/>
    <w:rsid w:val="00CC3DDC"/>
    <w:rsid w:val="00CC3E2F"/>
    <w:rsid w:val="00CC3E8B"/>
    <w:rsid w:val="00CC3EC7"/>
    <w:rsid w:val="00CC3ECA"/>
    <w:rsid w:val="00CC40B6"/>
    <w:rsid w:val="00CC4294"/>
    <w:rsid w:val="00CC4354"/>
    <w:rsid w:val="00CC43AC"/>
    <w:rsid w:val="00CC4595"/>
    <w:rsid w:val="00CC45D8"/>
    <w:rsid w:val="00CC4622"/>
    <w:rsid w:val="00CC4694"/>
    <w:rsid w:val="00CC47CF"/>
    <w:rsid w:val="00CC4B61"/>
    <w:rsid w:val="00CC4FF8"/>
    <w:rsid w:val="00CC5085"/>
    <w:rsid w:val="00CC50B2"/>
    <w:rsid w:val="00CC522B"/>
    <w:rsid w:val="00CC5349"/>
    <w:rsid w:val="00CC540F"/>
    <w:rsid w:val="00CC54CF"/>
    <w:rsid w:val="00CC5535"/>
    <w:rsid w:val="00CC55E0"/>
    <w:rsid w:val="00CC5A1C"/>
    <w:rsid w:val="00CC5ADD"/>
    <w:rsid w:val="00CC5DC3"/>
    <w:rsid w:val="00CC6209"/>
    <w:rsid w:val="00CC631A"/>
    <w:rsid w:val="00CC6492"/>
    <w:rsid w:val="00CC6601"/>
    <w:rsid w:val="00CC67B2"/>
    <w:rsid w:val="00CC6D3A"/>
    <w:rsid w:val="00CC6FD0"/>
    <w:rsid w:val="00CC703E"/>
    <w:rsid w:val="00CC71D7"/>
    <w:rsid w:val="00CC7223"/>
    <w:rsid w:val="00CC72A9"/>
    <w:rsid w:val="00CC746D"/>
    <w:rsid w:val="00CC7655"/>
    <w:rsid w:val="00CC772D"/>
    <w:rsid w:val="00CC7817"/>
    <w:rsid w:val="00CC7BB0"/>
    <w:rsid w:val="00CC7C83"/>
    <w:rsid w:val="00CC7D2E"/>
    <w:rsid w:val="00CC7F05"/>
    <w:rsid w:val="00CC7F2C"/>
    <w:rsid w:val="00CD028C"/>
    <w:rsid w:val="00CD033C"/>
    <w:rsid w:val="00CD073F"/>
    <w:rsid w:val="00CD081D"/>
    <w:rsid w:val="00CD0A77"/>
    <w:rsid w:val="00CD0C52"/>
    <w:rsid w:val="00CD0C5B"/>
    <w:rsid w:val="00CD0D6B"/>
    <w:rsid w:val="00CD0DD5"/>
    <w:rsid w:val="00CD0E16"/>
    <w:rsid w:val="00CD10AC"/>
    <w:rsid w:val="00CD10F1"/>
    <w:rsid w:val="00CD110D"/>
    <w:rsid w:val="00CD1210"/>
    <w:rsid w:val="00CD129E"/>
    <w:rsid w:val="00CD136D"/>
    <w:rsid w:val="00CD1610"/>
    <w:rsid w:val="00CD1626"/>
    <w:rsid w:val="00CD19E0"/>
    <w:rsid w:val="00CD1A63"/>
    <w:rsid w:val="00CD1AC6"/>
    <w:rsid w:val="00CD1B2F"/>
    <w:rsid w:val="00CD1B32"/>
    <w:rsid w:val="00CD1C9E"/>
    <w:rsid w:val="00CD1EEC"/>
    <w:rsid w:val="00CD233F"/>
    <w:rsid w:val="00CD23B7"/>
    <w:rsid w:val="00CD246E"/>
    <w:rsid w:val="00CD24D0"/>
    <w:rsid w:val="00CD253A"/>
    <w:rsid w:val="00CD28A5"/>
    <w:rsid w:val="00CD2B4F"/>
    <w:rsid w:val="00CD2B91"/>
    <w:rsid w:val="00CD2CD6"/>
    <w:rsid w:val="00CD2D39"/>
    <w:rsid w:val="00CD307A"/>
    <w:rsid w:val="00CD3364"/>
    <w:rsid w:val="00CD33C9"/>
    <w:rsid w:val="00CD3417"/>
    <w:rsid w:val="00CD346D"/>
    <w:rsid w:val="00CD3473"/>
    <w:rsid w:val="00CD34CE"/>
    <w:rsid w:val="00CD37BA"/>
    <w:rsid w:val="00CD3923"/>
    <w:rsid w:val="00CD3BC6"/>
    <w:rsid w:val="00CD3E4D"/>
    <w:rsid w:val="00CD401D"/>
    <w:rsid w:val="00CD40D9"/>
    <w:rsid w:val="00CD41EE"/>
    <w:rsid w:val="00CD41F5"/>
    <w:rsid w:val="00CD421F"/>
    <w:rsid w:val="00CD425F"/>
    <w:rsid w:val="00CD4314"/>
    <w:rsid w:val="00CD459F"/>
    <w:rsid w:val="00CD4751"/>
    <w:rsid w:val="00CD47AF"/>
    <w:rsid w:val="00CD4920"/>
    <w:rsid w:val="00CD4CB9"/>
    <w:rsid w:val="00CD4DFF"/>
    <w:rsid w:val="00CD4EF7"/>
    <w:rsid w:val="00CD510B"/>
    <w:rsid w:val="00CD521E"/>
    <w:rsid w:val="00CD5283"/>
    <w:rsid w:val="00CD529F"/>
    <w:rsid w:val="00CD5455"/>
    <w:rsid w:val="00CD5686"/>
    <w:rsid w:val="00CD5906"/>
    <w:rsid w:val="00CD59B5"/>
    <w:rsid w:val="00CD5A81"/>
    <w:rsid w:val="00CD5BB5"/>
    <w:rsid w:val="00CD5BDA"/>
    <w:rsid w:val="00CD5DF8"/>
    <w:rsid w:val="00CD5F6E"/>
    <w:rsid w:val="00CD6309"/>
    <w:rsid w:val="00CD649A"/>
    <w:rsid w:val="00CD64E8"/>
    <w:rsid w:val="00CD65BB"/>
    <w:rsid w:val="00CD65FD"/>
    <w:rsid w:val="00CD6830"/>
    <w:rsid w:val="00CD6D43"/>
    <w:rsid w:val="00CD6E39"/>
    <w:rsid w:val="00CD6E52"/>
    <w:rsid w:val="00CD6F61"/>
    <w:rsid w:val="00CD7113"/>
    <w:rsid w:val="00CD7130"/>
    <w:rsid w:val="00CD7156"/>
    <w:rsid w:val="00CD734D"/>
    <w:rsid w:val="00CD778A"/>
    <w:rsid w:val="00CD7B81"/>
    <w:rsid w:val="00CD7BD1"/>
    <w:rsid w:val="00CE0015"/>
    <w:rsid w:val="00CE0242"/>
    <w:rsid w:val="00CE0720"/>
    <w:rsid w:val="00CE078B"/>
    <w:rsid w:val="00CE081E"/>
    <w:rsid w:val="00CE0849"/>
    <w:rsid w:val="00CE097A"/>
    <w:rsid w:val="00CE0CA6"/>
    <w:rsid w:val="00CE0EEF"/>
    <w:rsid w:val="00CE0F04"/>
    <w:rsid w:val="00CE1016"/>
    <w:rsid w:val="00CE10FD"/>
    <w:rsid w:val="00CE1150"/>
    <w:rsid w:val="00CE1690"/>
    <w:rsid w:val="00CE1748"/>
    <w:rsid w:val="00CE1761"/>
    <w:rsid w:val="00CE17C3"/>
    <w:rsid w:val="00CE1E08"/>
    <w:rsid w:val="00CE25D4"/>
    <w:rsid w:val="00CE28E3"/>
    <w:rsid w:val="00CE2AE1"/>
    <w:rsid w:val="00CE2B04"/>
    <w:rsid w:val="00CE2C45"/>
    <w:rsid w:val="00CE2C61"/>
    <w:rsid w:val="00CE2C8D"/>
    <w:rsid w:val="00CE2D68"/>
    <w:rsid w:val="00CE2DC6"/>
    <w:rsid w:val="00CE2FF2"/>
    <w:rsid w:val="00CE30A2"/>
    <w:rsid w:val="00CE3249"/>
    <w:rsid w:val="00CE32A9"/>
    <w:rsid w:val="00CE32CF"/>
    <w:rsid w:val="00CE337A"/>
    <w:rsid w:val="00CE363C"/>
    <w:rsid w:val="00CE3C39"/>
    <w:rsid w:val="00CE3C81"/>
    <w:rsid w:val="00CE3D88"/>
    <w:rsid w:val="00CE3E28"/>
    <w:rsid w:val="00CE3EBA"/>
    <w:rsid w:val="00CE3F16"/>
    <w:rsid w:val="00CE4000"/>
    <w:rsid w:val="00CE427D"/>
    <w:rsid w:val="00CE441F"/>
    <w:rsid w:val="00CE4497"/>
    <w:rsid w:val="00CE44A4"/>
    <w:rsid w:val="00CE47C6"/>
    <w:rsid w:val="00CE4C31"/>
    <w:rsid w:val="00CE4E98"/>
    <w:rsid w:val="00CE4F7D"/>
    <w:rsid w:val="00CE512F"/>
    <w:rsid w:val="00CE537A"/>
    <w:rsid w:val="00CE5560"/>
    <w:rsid w:val="00CE55DE"/>
    <w:rsid w:val="00CE594B"/>
    <w:rsid w:val="00CE59A1"/>
    <w:rsid w:val="00CE5A0E"/>
    <w:rsid w:val="00CE5BA2"/>
    <w:rsid w:val="00CE5CFC"/>
    <w:rsid w:val="00CE5D38"/>
    <w:rsid w:val="00CE605F"/>
    <w:rsid w:val="00CE612A"/>
    <w:rsid w:val="00CE6163"/>
    <w:rsid w:val="00CE61B2"/>
    <w:rsid w:val="00CE66A8"/>
    <w:rsid w:val="00CE66F2"/>
    <w:rsid w:val="00CE6BE5"/>
    <w:rsid w:val="00CE6E53"/>
    <w:rsid w:val="00CE6F66"/>
    <w:rsid w:val="00CE71BE"/>
    <w:rsid w:val="00CE7388"/>
    <w:rsid w:val="00CE73F5"/>
    <w:rsid w:val="00CE7A12"/>
    <w:rsid w:val="00CE7AD0"/>
    <w:rsid w:val="00CE7BB0"/>
    <w:rsid w:val="00CE7EBB"/>
    <w:rsid w:val="00CE7FE9"/>
    <w:rsid w:val="00CF01EB"/>
    <w:rsid w:val="00CF02B4"/>
    <w:rsid w:val="00CF0328"/>
    <w:rsid w:val="00CF038B"/>
    <w:rsid w:val="00CF0497"/>
    <w:rsid w:val="00CF04BE"/>
    <w:rsid w:val="00CF0A29"/>
    <w:rsid w:val="00CF0C8E"/>
    <w:rsid w:val="00CF0CFC"/>
    <w:rsid w:val="00CF0D3F"/>
    <w:rsid w:val="00CF0F6A"/>
    <w:rsid w:val="00CF0F77"/>
    <w:rsid w:val="00CF1081"/>
    <w:rsid w:val="00CF1090"/>
    <w:rsid w:val="00CF1154"/>
    <w:rsid w:val="00CF11A1"/>
    <w:rsid w:val="00CF1226"/>
    <w:rsid w:val="00CF14E2"/>
    <w:rsid w:val="00CF1665"/>
    <w:rsid w:val="00CF16F2"/>
    <w:rsid w:val="00CF18CB"/>
    <w:rsid w:val="00CF1A52"/>
    <w:rsid w:val="00CF1C52"/>
    <w:rsid w:val="00CF1FAB"/>
    <w:rsid w:val="00CF1FF0"/>
    <w:rsid w:val="00CF201E"/>
    <w:rsid w:val="00CF2580"/>
    <w:rsid w:val="00CF278B"/>
    <w:rsid w:val="00CF282A"/>
    <w:rsid w:val="00CF2A4F"/>
    <w:rsid w:val="00CF2A8C"/>
    <w:rsid w:val="00CF2C4F"/>
    <w:rsid w:val="00CF2FD1"/>
    <w:rsid w:val="00CF3566"/>
    <w:rsid w:val="00CF36C7"/>
    <w:rsid w:val="00CF36D2"/>
    <w:rsid w:val="00CF3901"/>
    <w:rsid w:val="00CF3BE7"/>
    <w:rsid w:val="00CF3C0B"/>
    <w:rsid w:val="00CF3D88"/>
    <w:rsid w:val="00CF3D8D"/>
    <w:rsid w:val="00CF3F56"/>
    <w:rsid w:val="00CF4010"/>
    <w:rsid w:val="00CF40AD"/>
    <w:rsid w:val="00CF41A6"/>
    <w:rsid w:val="00CF45A8"/>
    <w:rsid w:val="00CF4714"/>
    <w:rsid w:val="00CF498E"/>
    <w:rsid w:val="00CF4BE0"/>
    <w:rsid w:val="00CF4BF6"/>
    <w:rsid w:val="00CF4BFE"/>
    <w:rsid w:val="00CF4EAD"/>
    <w:rsid w:val="00CF4FB5"/>
    <w:rsid w:val="00CF509B"/>
    <w:rsid w:val="00CF51F4"/>
    <w:rsid w:val="00CF526F"/>
    <w:rsid w:val="00CF52E0"/>
    <w:rsid w:val="00CF53FE"/>
    <w:rsid w:val="00CF5797"/>
    <w:rsid w:val="00CF57F8"/>
    <w:rsid w:val="00CF58C6"/>
    <w:rsid w:val="00CF58CA"/>
    <w:rsid w:val="00CF5963"/>
    <w:rsid w:val="00CF5A4B"/>
    <w:rsid w:val="00CF5C0B"/>
    <w:rsid w:val="00CF5C37"/>
    <w:rsid w:val="00CF5ED0"/>
    <w:rsid w:val="00CF5F12"/>
    <w:rsid w:val="00CF5FD0"/>
    <w:rsid w:val="00CF5FEB"/>
    <w:rsid w:val="00CF602C"/>
    <w:rsid w:val="00CF6083"/>
    <w:rsid w:val="00CF617E"/>
    <w:rsid w:val="00CF62E1"/>
    <w:rsid w:val="00CF6343"/>
    <w:rsid w:val="00CF6651"/>
    <w:rsid w:val="00CF69C8"/>
    <w:rsid w:val="00CF6A12"/>
    <w:rsid w:val="00CF6A36"/>
    <w:rsid w:val="00CF6D12"/>
    <w:rsid w:val="00CF6E13"/>
    <w:rsid w:val="00CF7114"/>
    <w:rsid w:val="00CF7204"/>
    <w:rsid w:val="00CF75D1"/>
    <w:rsid w:val="00CF76CC"/>
    <w:rsid w:val="00CF792B"/>
    <w:rsid w:val="00CF798A"/>
    <w:rsid w:val="00CF79FE"/>
    <w:rsid w:val="00CF7AB5"/>
    <w:rsid w:val="00CF7BC1"/>
    <w:rsid w:val="00CF7F0B"/>
    <w:rsid w:val="00D003AB"/>
    <w:rsid w:val="00D0053F"/>
    <w:rsid w:val="00D005A9"/>
    <w:rsid w:val="00D00908"/>
    <w:rsid w:val="00D009A8"/>
    <w:rsid w:val="00D00BD6"/>
    <w:rsid w:val="00D00C40"/>
    <w:rsid w:val="00D00CAD"/>
    <w:rsid w:val="00D00CCE"/>
    <w:rsid w:val="00D00D3D"/>
    <w:rsid w:val="00D00ED6"/>
    <w:rsid w:val="00D013A6"/>
    <w:rsid w:val="00D01548"/>
    <w:rsid w:val="00D0178A"/>
    <w:rsid w:val="00D017BF"/>
    <w:rsid w:val="00D019A7"/>
    <w:rsid w:val="00D019B5"/>
    <w:rsid w:val="00D01A13"/>
    <w:rsid w:val="00D01A90"/>
    <w:rsid w:val="00D01CA2"/>
    <w:rsid w:val="00D01CA9"/>
    <w:rsid w:val="00D01E7D"/>
    <w:rsid w:val="00D01F14"/>
    <w:rsid w:val="00D01FEE"/>
    <w:rsid w:val="00D0213E"/>
    <w:rsid w:val="00D02150"/>
    <w:rsid w:val="00D02426"/>
    <w:rsid w:val="00D0262E"/>
    <w:rsid w:val="00D02657"/>
    <w:rsid w:val="00D02846"/>
    <w:rsid w:val="00D02F5C"/>
    <w:rsid w:val="00D02F63"/>
    <w:rsid w:val="00D034FF"/>
    <w:rsid w:val="00D03AEE"/>
    <w:rsid w:val="00D03D47"/>
    <w:rsid w:val="00D03D50"/>
    <w:rsid w:val="00D03DBC"/>
    <w:rsid w:val="00D03FAB"/>
    <w:rsid w:val="00D0404E"/>
    <w:rsid w:val="00D041BF"/>
    <w:rsid w:val="00D042EF"/>
    <w:rsid w:val="00D04314"/>
    <w:rsid w:val="00D0472B"/>
    <w:rsid w:val="00D04B09"/>
    <w:rsid w:val="00D04CE4"/>
    <w:rsid w:val="00D04D91"/>
    <w:rsid w:val="00D04F0A"/>
    <w:rsid w:val="00D050F5"/>
    <w:rsid w:val="00D05373"/>
    <w:rsid w:val="00D054BE"/>
    <w:rsid w:val="00D056EB"/>
    <w:rsid w:val="00D0571B"/>
    <w:rsid w:val="00D05773"/>
    <w:rsid w:val="00D05915"/>
    <w:rsid w:val="00D05AAA"/>
    <w:rsid w:val="00D05AF5"/>
    <w:rsid w:val="00D05B22"/>
    <w:rsid w:val="00D05CE2"/>
    <w:rsid w:val="00D05E03"/>
    <w:rsid w:val="00D05F6E"/>
    <w:rsid w:val="00D062EF"/>
    <w:rsid w:val="00D063F5"/>
    <w:rsid w:val="00D0644F"/>
    <w:rsid w:val="00D064C4"/>
    <w:rsid w:val="00D065E2"/>
    <w:rsid w:val="00D06729"/>
    <w:rsid w:val="00D067DA"/>
    <w:rsid w:val="00D06966"/>
    <w:rsid w:val="00D06A82"/>
    <w:rsid w:val="00D06C8E"/>
    <w:rsid w:val="00D06CDB"/>
    <w:rsid w:val="00D06DE1"/>
    <w:rsid w:val="00D06E0B"/>
    <w:rsid w:val="00D06F77"/>
    <w:rsid w:val="00D06FD8"/>
    <w:rsid w:val="00D070FF"/>
    <w:rsid w:val="00D07223"/>
    <w:rsid w:val="00D07289"/>
    <w:rsid w:val="00D074BE"/>
    <w:rsid w:val="00D07614"/>
    <w:rsid w:val="00D07D4A"/>
    <w:rsid w:val="00D07D6E"/>
    <w:rsid w:val="00D07EC5"/>
    <w:rsid w:val="00D102D0"/>
    <w:rsid w:val="00D102E2"/>
    <w:rsid w:val="00D10574"/>
    <w:rsid w:val="00D1058C"/>
    <w:rsid w:val="00D10724"/>
    <w:rsid w:val="00D109C3"/>
    <w:rsid w:val="00D10A6F"/>
    <w:rsid w:val="00D10B5D"/>
    <w:rsid w:val="00D10EA8"/>
    <w:rsid w:val="00D111B4"/>
    <w:rsid w:val="00D1150E"/>
    <w:rsid w:val="00D115A0"/>
    <w:rsid w:val="00D115CB"/>
    <w:rsid w:val="00D115D6"/>
    <w:rsid w:val="00D1167C"/>
    <w:rsid w:val="00D117FE"/>
    <w:rsid w:val="00D11BCD"/>
    <w:rsid w:val="00D11C05"/>
    <w:rsid w:val="00D11CB8"/>
    <w:rsid w:val="00D11ECC"/>
    <w:rsid w:val="00D11F42"/>
    <w:rsid w:val="00D12121"/>
    <w:rsid w:val="00D121FD"/>
    <w:rsid w:val="00D12342"/>
    <w:rsid w:val="00D124EC"/>
    <w:rsid w:val="00D126E4"/>
    <w:rsid w:val="00D12837"/>
    <w:rsid w:val="00D12B24"/>
    <w:rsid w:val="00D12B65"/>
    <w:rsid w:val="00D12C53"/>
    <w:rsid w:val="00D132CF"/>
    <w:rsid w:val="00D134A8"/>
    <w:rsid w:val="00D137A7"/>
    <w:rsid w:val="00D1383C"/>
    <w:rsid w:val="00D139BB"/>
    <w:rsid w:val="00D13D0B"/>
    <w:rsid w:val="00D140FA"/>
    <w:rsid w:val="00D14180"/>
    <w:rsid w:val="00D142C1"/>
    <w:rsid w:val="00D14344"/>
    <w:rsid w:val="00D143AF"/>
    <w:rsid w:val="00D143CB"/>
    <w:rsid w:val="00D1443C"/>
    <w:rsid w:val="00D14460"/>
    <w:rsid w:val="00D1464B"/>
    <w:rsid w:val="00D1472E"/>
    <w:rsid w:val="00D14893"/>
    <w:rsid w:val="00D14994"/>
    <w:rsid w:val="00D14B9E"/>
    <w:rsid w:val="00D14C1E"/>
    <w:rsid w:val="00D14D0D"/>
    <w:rsid w:val="00D14D9B"/>
    <w:rsid w:val="00D14E78"/>
    <w:rsid w:val="00D14EBB"/>
    <w:rsid w:val="00D15573"/>
    <w:rsid w:val="00D15589"/>
    <w:rsid w:val="00D15663"/>
    <w:rsid w:val="00D1573B"/>
    <w:rsid w:val="00D157AF"/>
    <w:rsid w:val="00D15843"/>
    <w:rsid w:val="00D158CE"/>
    <w:rsid w:val="00D15A1F"/>
    <w:rsid w:val="00D15D33"/>
    <w:rsid w:val="00D15D77"/>
    <w:rsid w:val="00D15D87"/>
    <w:rsid w:val="00D15FD4"/>
    <w:rsid w:val="00D16050"/>
    <w:rsid w:val="00D16155"/>
    <w:rsid w:val="00D1618D"/>
    <w:rsid w:val="00D1622E"/>
    <w:rsid w:val="00D167A0"/>
    <w:rsid w:val="00D167E5"/>
    <w:rsid w:val="00D16B26"/>
    <w:rsid w:val="00D16BAC"/>
    <w:rsid w:val="00D16ED1"/>
    <w:rsid w:val="00D1709D"/>
    <w:rsid w:val="00D1716B"/>
    <w:rsid w:val="00D174B8"/>
    <w:rsid w:val="00D1757B"/>
    <w:rsid w:val="00D17822"/>
    <w:rsid w:val="00D17945"/>
    <w:rsid w:val="00D17CA7"/>
    <w:rsid w:val="00D17D57"/>
    <w:rsid w:val="00D17EEA"/>
    <w:rsid w:val="00D20264"/>
    <w:rsid w:val="00D2034B"/>
    <w:rsid w:val="00D20368"/>
    <w:rsid w:val="00D205F7"/>
    <w:rsid w:val="00D2060A"/>
    <w:rsid w:val="00D208B1"/>
    <w:rsid w:val="00D20914"/>
    <w:rsid w:val="00D20D5F"/>
    <w:rsid w:val="00D21144"/>
    <w:rsid w:val="00D217CA"/>
    <w:rsid w:val="00D21976"/>
    <w:rsid w:val="00D21B20"/>
    <w:rsid w:val="00D21D3E"/>
    <w:rsid w:val="00D21DA7"/>
    <w:rsid w:val="00D222A6"/>
    <w:rsid w:val="00D225CE"/>
    <w:rsid w:val="00D227C3"/>
    <w:rsid w:val="00D22877"/>
    <w:rsid w:val="00D22A0D"/>
    <w:rsid w:val="00D22BC2"/>
    <w:rsid w:val="00D22D1B"/>
    <w:rsid w:val="00D22DA5"/>
    <w:rsid w:val="00D23014"/>
    <w:rsid w:val="00D235A5"/>
    <w:rsid w:val="00D23946"/>
    <w:rsid w:val="00D2399D"/>
    <w:rsid w:val="00D23CE3"/>
    <w:rsid w:val="00D23D9D"/>
    <w:rsid w:val="00D23E2F"/>
    <w:rsid w:val="00D23E80"/>
    <w:rsid w:val="00D23FDC"/>
    <w:rsid w:val="00D24159"/>
    <w:rsid w:val="00D241A9"/>
    <w:rsid w:val="00D246A7"/>
    <w:rsid w:val="00D248DF"/>
    <w:rsid w:val="00D24A3F"/>
    <w:rsid w:val="00D24AFE"/>
    <w:rsid w:val="00D24BCC"/>
    <w:rsid w:val="00D24E1B"/>
    <w:rsid w:val="00D24E49"/>
    <w:rsid w:val="00D251D1"/>
    <w:rsid w:val="00D251E3"/>
    <w:rsid w:val="00D25385"/>
    <w:rsid w:val="00D253DE"/>
    <w:rsid w:val="00D25448"/>
    <w:rsid w:val="00D2561F"/>
    <w:rsid w:val="00D25779"/>
    <w:rsid w:val="00D25785"/>
    <w:rsid w:val="00D25A22"/>
    <w:rsid w:val="00D25B85"/>
    <w:rsid w:val="00D25C2F"/>
    <w:rsid w:val="00D25C58"/>
    <w:rsid w:val="00D25E65"/>
    <w:rsid w:val="00D25F53"/>
    <w:rsid w:val="00D25FDB"/>
    <w:rsid w:val="00D260A6"/>
    <w:rsid w:val="00D260D3"/>
    <w:rsid w:val="00D264C3"/>
    <w:rsid w:val="00D2651B"/>
    <w:rsid w:val="00D2654A"/>
    <w:rsid w:val="00D265AE"/>
    <w:rsid w:val="00D266D5"/>
    <w:rsid w:val="00D266EE"/>
    <w:rsid w:val="00D268B4"/>
    <w:rsid w:val="00D269D8"/>
    <w:rsid w:val="00D269F3"/>
    <w:rsid w:val="00D26A13"/>
    <w:rsid w:val="00D26A9A"/>
    <w:rsid w:val="00D26B85"/>
    <w:rsid w:val="00D26CA1"/>
    <w:rsid w:val="00D26D84"/>
    <w:rsid w:val="00D26E07"/>
    <w:rsid w:val="00D26F04"/>
    <w:rsid w:val="00D26F73"/>
    <w:rsid w:val="00D26FF3"/>
    <w:rsid w:val="00D270CC"/>
    <w:rsid w:val="00D27759"/>
    <w:rsid w:val="00D27992"/>
    <w:rsid w:val="00D27D10"/>
    <w:rsid w:val="00D30052"/>
    <w:rsid w:val="00D306C5"/>
    <w:rsid w:val="00D3094F"/>
    <w:rsid w:val="00D30A88"/>
    <w:rsid w:val="00D30C96"/>
    <w:rsid w:val="00D30E4F"/>
    <w:rsid w:val="00D30E7C"/>
    <w:rsid w:val="00D30E80"/>
    <w:rsid w:val="00D31159"/>
    <w:rsid w:val="00D312E2"/>
    <w:rsid w:val="00D31429"/>
    <w:rsid w:val="00D3165E"/>
    <w:rsid w:val="00D316B3"/>
    <w:rsid w:val="00D31B34"/>
    <w:rsid w:val="00D31BF8"/>
    <w:rsid w:val="00D31D24"/>
    <w:rsid w:val="00D31D7D"/>
    <w:rsid w:val="00D31E8E"/>
    <w:rsid w:val="00D31FB2"/>
    <w:rsid w:val="00D3222D"/>
    <w:rsid w:val="00D32260"/>
    <w:rsid w:val="00D3235F"/>
    <w:rsid w:val="00D3247A"/>
    <w:rsid w:val="00D32619"/>
    <w:rsid w:val="00D3261C"/>
    <w:rsid w:val="00D3265D"/>
    <w:rsid w:val="00D3267D"/>
    <w:rsid w:val="00D328E4"/>
    <w:rsid w:val="00D32CB4"/>
    <w:rsid w:val="00D32DCC"/>
    <w:rsid w:val="00D32EA2"/>
    <w:rsid w:val="00D32ED9"/>
    <w:rsid w:val="00D32EDA"/>
    <w:rsid w:val="00D32F56"/>
    <w:rsid w:val="00D33479"/>
    <w:rsid w:val="00D33830"/>
    <w:rsid w:val="00D33B36"/>
    <w:rsid w:val="00D33C6A"/>
    <w:rsid w:val="00D33D7A"/>
    <w:rsid w:val="00D340A8"/>
    <w:rsid w:val="00D34121"/>
    <w:rsid w:val="00D34185"/>
    <w:rsid w:val="00D34415"/>
    <w:rsid w:val="00D34547"/>
    <w:rsid w:val="00D34667"/>
    <w:rsid w:val="00D348A8"/>
    <w:rsid w:val="00D34A94"/>
    <w:rsid w:val="00D34C60"/>
    <w:rsid w:val="00D34DB4"/>
    <w:rsid w:val="00D34E2E"/>
    <w:rsid w:val="00D34E37"/>
    <w:rsid w:val="00D34EA9"/>
    <w:rsid w:val="00D34EAC"/>
    <w:rsid w:val="00D34F2D"/>
    <w:rsid w:val="00D34F66"/>
    <w:rsid w:val="00D35404"/>
    <w:rsid w:val="00D35447"/>
    <w:rsid w:val="00D357F2"/>
    <w:rsid w:val="00D35D9E"/>
    <w:rsid w:val="00D35ED5"/>
    <w:rsid w:val="00D3600F"/>
    <w:rsid w:val="00D36280"/>
    <w:rsid w:val="00D3642B"/>
    <w:rsid w:val="00D36513"/>
    <w:rsid w:val="00D36730"/>
    <w:rsid w:val="00D36787"/>
    <w:rsid w:val="00D36939"/>
    <w:rsid w:val="00D36B2D"/>
    <w:rsid w:val="00D36BAE"/>
    <w:rsid w:val="00D36C05"/>
    <w:rsid w:val="00D36CCA"/>
    <w:rsid w:val="00D36D21"/>
    <w:rsid w:val="00D37026"/>
    <w:rsid w:val="00D3702C"/>
    <w:rsid w:val="00D3709F"/>
    <w:rsid w:val="00D37155"/>
    <w:rsid w:val="00D37163"/>
    <w:rsid w:val="00D3740C"/>
    <w:rsid w:val="00D378F8"/>
    <w:rsid w:val="00D37BB3"/>
    <w:rsid w:val="00D37E18"/>
    <w:rsid w:val="00D4022D"/>
    <w:rsid w:val="00D4039B"/>
    <w:rsid w:val="00D4041B"/>
    <w:rsid w:val="00D40502"/>
    <w:rsid w:val="00D405CD"/>
    <w:rsid w:val="00D40A19"/>
    <w:rsid w:val="00D40AC0"/>
    <w:rsid w:val="00D40ACF"/>
    <w:rsid w:val="00D40D9C"/>
    <w:rsid w:val="00D40E9B"/>
    <w:rsid w:val="00D4105A"/>
    <w:rsid w:val="00D4135E"/>
    <w:rsid w:val="00D41422"/>
    <w:rsid w:val="00D4156B"/>
    <w:rsid w:val="00D4164B"/>
    <w:rsid w:val="00D419D4"/>
    <w:rsid w:val="00D41BC7"/>
    <w:rsid w:val="00D41C74"/>
    <w:rsid w:val="00D41D86"/>
    <w:rsid w:val="00D41DAE"/>
    <w:rsid w:val="00D42291"/>
    <w:rsid w:val="00D42311"/>
    <w:rsid w:val="00D4243A"/>
    <w:rsid w:val="00D42474"/>
    <w:rsid w:val="00D424BD"/>
    <w:rsid w:val="00D4298B"/>
    <w:rsid w:val="00D429F5"/>
    <w:rsid w:val="00D42E4C"/>
    <w:rsid w:val="00D42F28"/>
    <w:rsid w:val="00D43062"/>
    <w:rsid w:val="00D4340A"/>
    <w:rsid w:val="00D434EE"/>
    <w:rsid w:val="00D435A2"/>
    <w:rsid w:val="00D43778"/>
    <w:rsid w:val="00D439F7"/>
    <w:rsid w:val="00D43A47"/>
    <w:rsid w:val="00D43FF7"/>
    <w:rsid w:val="00D440C5"/>
    <w:rsid w:val="00D440D1"/>
    <w:rsid w:val="00D441C3"/>
    <w:rsid w:val="00D44303"/>
    <w:rsid w:val="00D44360"/>
    <w:rsid w:val="00D44407"/>
    <w:rsid w:val="00D4465B"/>
    <w:rsid w:val="00D447C1"/>
    <w:rsid w:val="00D4481B"/>
    <w:rsid w:val="00D44860"/>
    <w:rsid w:val="00D44908"/>
    <w:rsid w:val="00D44B53"/>
    <w:rsid w:val="00D44B9A"/>
    <w:rsid w:val="00D44D40"/>
    <w:rsid w:val="00D450CD"/>
    <w:rsid w:val="00D452AA"/>
    <w:rsid w:val="00D4538B"/>
    <w:rsid w:val="00D4550B"/>
    <w:rsid w:val="00D456D9"/>
    <w:rsid w:val="00D4570F"/>
    <w:rsid w:val="00D457B1"/>
    <w:rsid w:val="00D4587F"/>
    <w:rsid w:val="00D45989"/>
    <w:rsid w:val="00D45B08"/>
    <w:rsid w:val="00D45B5B"/>
    <w:rsid w:val="00D45CC0"/>
    <w:rsid w:val="00D45D31"/>
    <w:rsid w:val="00D46046"/>
    <w:rsid w:val="00D46057"/>
    <w:rsid w:val="00D46326"/>
    <w:rsid w:val="00D46421"/>
    <w:rsid w:val="00D46674"/>
    <w:rsid w:val="00D466E0"/>
    <w:rsid w:val="00D466FA"/>
    <w:rsid w:val="00D468C3"/>
    <w:rsid w:val="00D46CC1"/>
    <w:rsid w:val="00D46D50"/>
    <w:rsid w:val="00D46F3B"/>
    <w:rsid w:val="00D472BC"/>
    <w:rsid w:val="00D472C9"/>
    <w:rsid w:val="00D47346"/>
    <w:rsid w:val="00D4744D"/>
    <w:rsid w:val="00D47538"/>
    <w:rsid w:val="00D4781B"/>
    <w:rsid w:val="00D47913"/>
    <w:rsid w:val="00D47A57"/>
    <w:rsid w:val="00D47AA9"/>
    <w:rsid w:val="00D47B6E"/>
    <w:rsid w:val="00D47E94"/>
    <w:rsid w:val="00D50047"/>
    <w:rsid w:val="00D504DD"/>
    <w:rsid w:val="00D50963"/>
    <w:rsid w:val="00D50B2F"/>
    <w:rsid w:val="00D5126C"/>
    <w:rsid w:val="00D512E5"/>
    <w:rsid w:val="00D514F5"/>
    <w:rsid w:val="00D5153B"/>
    <w:rsid w:val="00D515D4"/>
    <w:rsid w:val="00D518A2"/>
    <w:rsid w:val="00D51CC8"/>
    <w:rsid w:val="00D51CDB"/>
    <w:rsid w:val="00D51D64"/>
    <w:rsid w:val="00D51F02"/>
    <w:rsid w:val="00D51F24"/>
    <w:rsid w:val="00D51F7E"/>
    <w:rsid w:val="00D52130"/>
    <w:rsid w:val="00D525B4"/>
    <w:rsid w:val="00D527F0"/>
    <w:rsid w:val="00D5281A"/>
    <w:rsid w:val="00D52C30"/>
    <w:rsid w:val="00D52EBE"/>
    <w:rsid w:val="00D52F5B"/>
    <w:rsid w:val="00D53003"/>
    <w:rsid w:val="00D531D1"/>
    <w:rsid w:val="00D531ED"/>
    <w:rsid w:val="00D533B0"/>
    <w:rsid w:val="00D533FA"/>
    <w:rsid w:val="00D53721"/>
    <w:rsid w:val="00D537A1"/>
    <w:rsid w:val="00D5397C"/>
    <w:rsid w:val="00D53A77"/>
    <w:rsid w:val="00D53B4B"/>
    <w:rsid w:val="00D53ED5"/>
    <w:rsid w:val="00D540D4"/>
    <w:rsid w:val="00D543D2"/>
    <w:rsid w:val="00D54499"/>
    <w:rsid w:val="00D5456A"/>
    <w:rsid w:val="00D54673"/>
    <w:rsid w:val="00D54924"/>
    <w:rsid w:val="00D54E93"/>
    <w:rsid w:val="00D550E8"/>
    <w:rsid w:val="00D55284"/>
    <w:rsid w:val="00D552B8"/>
    <w:rsid w:val="00D55438"/>
    <w:rsid w:val="00D55578"/>
    <w:rsid w:val="00D556DE"/>
    <w:rsid w:val="00D557CA"/>
    <w:rsid w:val="00D559C8"/>
    <w:rsid w:val="00D55A7B"/>
    <w:rsid w:val="00D55B84"/>
    <w:rsid w:val="00D55EB3"/>
    <w:rsid w:val="00D561BC"/>
    <w:rsid w:val="00D561CC"/>
    <w:rsid w:val="00D561EB"/>
    <w:rsid w:val="00D562DE"/>
    <w:rsid w:val="00D56486"/>
    <w:rsid w:val="00D56511"/>
    <w:rsid w:val="00D565B3"/>
    <w:rsid w:val="00D565E3"/>
    <w:rsid w:val="00D56995"/>
    <w:rsid w:val="00D56C58"/>
    <w:rsid w:val="00D56EC7"/>
    <w:rsid w:val="00D56F2B"/>
    <w:rsid w:val="00D56F61"/>
    <w:rsid w:val="00D571C5"/>
    <w:rsid w:val="00D571D2"/>
    <w:rsid w:val="00D576F7"/>
    <w:rsid w:val="00D5796F"/>
    <w:rsid w:val="00D57BE2"/>
    <w:rsid w:val="00D57C59"/>
    <w:rsid w:val="00D57C70"/>
    <w:rsid w:val="00D57C81"/>
    <w:rsid w:val="00D57EFE"/>
    <w:rsid w:val="00D6040D"/>
    <w:rsid w:val="00D60430"/>
    <w:rsid w:val="00D605BF"/>
    <w:rsid w:val="00D607A6"/>
    <w:rsid w:val="00D608EA"/>
    <w:rsid w:val="00D60BB7"/>
    <w:rsid w:val="00D60F14"/>
    <w:rsid w:val="00D610D4"/>
    <w:rsid w:val="00D6168B"/>
    <w:rsid w:val="00D61700"/>
    <w:rsid w:val="00D61882"/>
    <w:rsid w:val="00D61A69"/>
    <w:rsid w:val="00D61AC9"/>
    <w:rsid w:val="00D61B99"/>
    <w:rsid w:val="00D61C50"/>
    <w:rsid w:val="00D61EF8"/>
    <w:rsid w:val="00D61F0C"/>
    <w:rsid w:val="00D61FB2"/>
    <w:rsid w:val="00D6218B"/>
    <w:rsid w:val="00D6248B"/>
    <w:rsid w:val="00D62861"/>
    <w:rsid w:val="00D62C39"/>
    <w:rsid w:val="00D62EBB"/>
    <w:rsid w:val="00D631AC"/>
    <w:rsid w:val="00D63211"/>
    <w:rsid w:val="00D6321D"/>
    <w:rsid w:val="00D6324E"/>
    <w:rsid w:val="00D637D2"/>
    <w:rsid w:val="00D63904"/>
    <w:rsid w:val="00D63A43"/>
    <w:rsid w:val="00D63A63"/>
    <w:rsid w:val="00D63BEC"/>
    <w:rsid w:val="00D63C10"/>
    <w:rsid w:val="00D63C54"/>
    <w:rsid w:val="00D63DFD"/>
    <w:rsid w:val="00D63E63"/>
    <w:rsid w:val="00D64209"/>
    <w:rsid w:val="00D64576"/>
    <w:rsid w:val="00D64683"/>
    <w:rsid w:val="00D64B80"/>
    <w:rsid w:val="00D64CB6"/>
    <w:rsid w:val="00D6507E"/>
    <w:rsid w:val="00D6516D"/>
    <w:rsid w:val="00D651E6"/>
    <w:rsid w:val="00D65350"/>
    <w:rsid w:val="00D654DB"/>
    <w:rsid w:val="00D65514"/>
    <w:rsid w:val="00D656C0"/>
    <w:rsid w:val="00D65779"/>
    <w:rsid w:val="00D658A6"/>
    <w:rsid w:val="00D658E9"/>
    <w:rsid w:val="00D658F3"/>
    <w:rsid w:val="00D659D6"/>
    <w:rsid w:val="00D65A5C"/>
    <w:rsid w:val="00D65E69"/>
    <w:rsid w:val="00D65F39"/>
    <w:rsid w:val="00D661E7"/>
    <w:rsid w:val="00D66322"/>
    <w:rsid w:val="00D6658F"/>
    <w:rsid w:val="00D66694"/>
    <w:rsid w:val="00D667BF"/>
    <w:rsid w:val="00D667DA"/>
    <w:rsid w:val="00D66886"/>
    <w:rsid w:val="00D66AC4"/>
    <w:rsid w:val="00D66D20"/>
    <w:rsid w:val="00D670CB"/>
    <w:rsid w:val="00D6718E"/>
    <w:rsid w:val="00D671A3"/>
    <w:rsid w:val="00D6735C"/>
    <w:rsid w:val="00D67435"/>
    <w:rsid w:val="00D6746B"/>
    <w:rsid w:val="00D6764A"/>
    <w:rsid w:val="00D67729"/>
    <w:rsid w:val="00D6798D"/>
    <w:rsid w:val="00D679FE"/>
    <w:rsid w:val="00D67E04"/>
    <w:rsid w:val="00D67FA0"/>
    <w:rsid w:val="00D701C8"/>
    <w:rsid w:val="00D70311"/>
    <w:rsid w:val="00D7070A"/>
    <w:rsid w:val="00D70809"/>
    <w:rsid w:val="00D70B51"/>
    <w:rsid w:val="00D70BF0"/>
    <w:rsid w:val="00D70C61"/>
    <w:rsid w:val="00D70CAA"/>
    <w:rsid w:val="00D70CFB"/>
    <w:rsid w:val="00D70DFF"/>
    <w:rsid w:val="00D70FE1"/>
    <w:rsid w:val="00D71149"/>
    <w:rsid w:val="00D712DE"/>
    <w:rsid w:val="00D7130C"/>
    <w:rsid w:val="00D713B0"/>
    <w:rsid w:val="00D71572"/>
    <w:rsid w:val="00D7188A"/>
    <w:rsid w:val="00D718B9"/>
    <w:rsid w:val="00D71AF3"/>
    <w:rsid w:val="00D71D2D"/>
    <w:rsid w:val="00D71FEC"/>
    <w:rsid w:val="00D72140"/>
    <w:rsid w:val="00D721D5"/>
    <w:rsid w:val="00D72211"/>
    <w:rsid w:val="00D7227F"/>
    <w:rsid w:val="00D7249F"/>
    <w:rsid w:val="00D72595"/>
    <w:rsid w:val="00D726AA"/>
    <w:rsid w:val="00D72A3E"/>
    <w:rsid w:val="00D72CEE"/>
    <w:rsid w:val="00D72E7A"/>
    <w:rsid w:val="00D72EC9"/>
    <w:rsid w:val="00D72ECB"/>
    <w:rsid w:val="00D73533"/>
    <w:rsid w:val="00D73751"/>
    <w:rsid w:val="00D739B9"/>
    <w:rsid w:val="00D73A67"/>
    <w:rsid w:val="00D73AA2"/>
    <w:rsid w:val="00D73AEF"/>
    <w:rsid w:val="00D73AF3"/>
    <w:rsid w:val="00D73B3E"/>
    <w:rsid w:val="00D73D21"/>
    <w:rsid w:val="00D73DB0"/>
    <w:rsid w:val="00D74039"/>
    <w:rsid w:val="00D740DD"/>
    <w:rsid w:val="00D743AE"/>
    <w:rsid w:val="00D74426"/>
    <w:rsid w:val="00D74773"/>
    <w:rsid w:val="00D748C5"/>
    <w:rsid w:val="00D74C6E"/>
    <w:rsid w:val="00D74D9D"/>
    <w:rsid w:val="00D74E89"/>
    <w:rsid w:val="00D74EFE"/>
    <w:rsid w:val="00D74F06"/>
    <w:rsid w:val="00D75215"/>
    <w:rsid w:val="00D7565A"/>
    <w:rsid w:val="00D7565D"/>
    <w:rsid w:val="00D756B4"/>
    <w:rsid w:val="00D756F0"/>
    <w:rsid w:val="00D756FE"/>
    <w:rsid w:val="00D757C5"/>
    <w:rsid w:val="00D7597A"/>
    <w:rsid w:val="00D75BB8"/>
    <w:rsid w:val="00D761DD"/>
    <w:rsid w:val="00D76415"/>
    <w:rsid w:val="00D765C3"/>
    <w:rsid w:val="00D76894"/>
    <w:rsid w:val="00D768BF"/>
    <w:rsid w:val="00D76959"/>
    <w:rsid w:val="00D76AB1"/>
    <w:rsid w:val="00D76B29"/>
    <w:rsid w:val="00D76B36"/>
    <w:rsid w:val="00D76C65"/>
    <w:rsid w:val="00D77201"/>
    <w:rsid w:val="00D778CF"/>
    <w:rsid w:val="00D77B8A"/>
    <w:rsid w:val="00D77C23"/>
    <w:rsid w:val="00D77CD0"/>
    <w:rsid w:val="00D77D4D"/>
    <w:rsid w:val="00D77E03"/>
    <w:rsid w:val="00D77EF4"/>
    <w:rsid w:val="00D80039"/>
    <w:rsid w:val="00D802D4"/>
    <w:rsid w:val="00D80397"/>
    <w:rsid w:val="00D80799"/>
    <w:rsid w:val="00D8096B"/>
    <w:rsid w:val="00D80A63"/>
    <w:rsid w:val="00D80AF7"/>
    <w:rsid w:val="00D80B3B"/>
    <w:rsid w:val="00D81041"/>
    <w:rsid w:val="00D81157"/>
    <w:rsid w:val="00D812C2"/>
    <w:rsid w:val="00D8169F"/>
    <w:rsid w:val="00D818D0"/>
    <w:rsid w:val="00D81B2D"/>
    <w:rsid w:val="00D81C6E"/>
    <w:rsid w:val="00D81CEB"/>
    <w:rsid w:val="00D81EEE"/>
    <w:rsid w:val="00D822C7"/>
    <w:rsid w:val="00D8281C"/>
    <w:rsid w:val="00D82829"/>
    <w:rsid w:val="00D82996"/>
    <w:rsid w:val="00D829AC"/>
    <w:rsid w:val="00D82A43"/>
    <w:rsid w:val="00D82AE5"/>
    <w:rsid w:val="00D82C1C"/>
    <w:rsid w:val="00D82D2D"/>
    <w:rsid w:val="00D82DC6"/>
    <w:rsid w:val="00D82ECB"/>
    <w:rsid w:val="00D82F8A"/>
    <w:rsid w:val="00D830D5"/>
    <w:rsid w:val="00D8336B"/>
    <w:rsid w:val="00D839F0"/>
    <w:rsid w:val="00D839F3"/>
    <w:rsid w:val="00D83A30"/>
    <w:rsid w:val="00D83B69"/>
    <w:rsid w:val="00D84022"/>
    <w:rsid w:val="00D84038"/>
    <w:rsid w:val="00D840D1"/>
    <w:rsid w:val="00D841D0"/>
    <w:rsid w:val="00D8421C"/>
    <w:rsid w:val="00D8456C"/>
    <w:rsid w:val="00D84BE8"/>
    <w:rsid w:val="00D84C6C"/>
    <w:rsid w:val="00D85010"/>
    <w:rsid w:val="00D8517D"/>
    <w:rsid w:val="00D852AD"/>
    <w:rsid w:val="00D85317"/>
    <w:rsid w:val="00D85325"/>
    <w:rsid w:val="00D85473"/>
    <w:rsid w:val="00D854E3"/>
    <w:rsid w:val="00D85507"/>
    <w:rsid w:val="00D8552C"/>
    <w:rsid w:val="00D85776"/>
    <w:rsid w:val="00D8583B"/>
    <w:rsid w:val="00D859A4"/>
    <w:rsid w:val="00D85AA8"/>
    <w:rsid w:val="00D85B0E"/>
    <w:rsid w:val="00D85EA3"/>
    <w:rsid w:val="00D85ED4"/>
    <w:rsid w:val="00D85F6B"/>
    <w:rsid w:val="00D86764"/>
    <w:rsid w:val="00D86818"/>
    <w:rsid w:val="00D86A69"/>
    <w:rsid w:val="00D86FD1"/>
    <w:rsid w:val="00D86FE7"/>
    <w:rsid w:val="00D873D2"/>
    <w:rsid w:val="00D87519"/>
    <w:rsid w:val="00D87599"/>
    <w:rsid w:val="00D8771A"/>
    <w:rsid w:val="00D87A9E"/>
    <w:rsid w:val="00D87B43"/>
    <w:rsid w:val="00D9002F"/>
    <w:rsid w:val="00D90094"/>
    <w:rsid w:val="00D901D4"/>
    <w:rsid w:val="00D902AF"/>
    <w:rsid w:val="00D90322"/>
    <w:rsid w:val="00D90B21"/>
    <w:rsid w:val="00D90CE4"/>
    <w:rsid w:val="00D90CF2"/>
    <w:rsid w:val="00D90D80"/>
    <w:rsid w:val="00D90F36"/>
    <w:rsid w:val="00D9101F"/>
    <w:rsid w:val="00D91047"/>
    <w:rsid w:val="00D911AA"/>
    <w:rsid w:val="00D9123A"/>
    <w:rsid w:val="00D91476"/>
    <w:rsid w:val="00D914AD"/>
    <w:rsid w:val="00D91535"/>
    <w:rsid w:val="00D917FA"/>
    <w:rsid w:val="00D91AAC"/>
    <w:rsid w:val="00D91B78"/>
    <w:rsid w:val="00D92089"/>
    <w:rsid w:val="00D921B3"/>
    <w:rsid w:val="00D922E8"/>
    <w:rsid w:val="00D92328"/>
    <w:rsid w:val="00D92384"/>
    <w:rsid w:val="00D92A0E"/>
    <w:rsid w:val="00D92A76"/>
    <w:rsid w:val="00D92C3C"/>
    <w:rsid w:val="00D92CBB"/>
    <w:rsid w:val="00D9302D"/>
    <w:rsid w:val="00D93073"/>
    <w:rsid w:val="00D93189"/>
    <w:rsid w:val="00D93456"/>
    <w:rsid w:val="00D934B9"/>
    <w:rsid w:val="00D935E4"/>
    <w:rsid w:val="00D9364F"/>
    <w:rsid w:val="00D937D6"/>
    <w:rsid w:val="00D93AF7"/>
    <w:rsid w:val="00D93D0E"/>
    <w:rsid w:val="00D940C5"/>
    <w:rsid w:val="00D94100"/>
    <w:rsid w:val="00D9411B"/>
    <w:rsid w:val="00D945C6"/>
    <w:rsid w:val="00D947F2"/>
    <w:rsid w:val="00D949F8"/>
    <w:rsid w:val="00D94BCC"/>
    <w:rsid w:val="00D94C52"/>
    <w:rsid w:val="00D94CF2"/>
    <w:rsid w:val="00D94D50"/>
    <w:rsid w:val="00D94DC8"/>
    <w:rsid w:val="00D951B7"/>
    <w:rsid w:val="00D954C4"/>
    <w:rsid w:val="00D95932"/>
    <w:rsid w:val="00D95A27"/>
    <w:rsid w:val="00D95B36"/>
    <w:rsid w:val="00D95C78"/>
    <w:rsid w:val="00D95D82"/>
    <w:rsid w:val="00D95E11"/>
    <w:rsid w:val="00D96319"/>
    <w:rsid w:val="00D9633A"/>
    <w:rsid w:val="00D963D8"/>
    <w:rsid w:val="00D96909"/>
    <w:rsid w:val="00D96B42"/>
    <w:rsid w:val="00D96C4C"/>
    <w:rsid w:val="00D96E03"/>
    <w:rsid w:val="00D96EC4"/>
    <w:rsid w:val="00D96FDC"/>
    <w:rsid w:val="00D97060"/>
    <w:rsid w:val="00D97132"/>
    <w:rsid w:val="00D9732E"/>
    <w:rsid w:val="00D97370"/>
    <w:rsid w:val="00D97400"/>
    <w:rsid w:val="00D9741C"/>
    <w:rsid w:val="00D974D0"/>
    <w:rsid w:val="00D97599"/>
    <w:rsid w:val="00D975F6"/>
    <w:rsid w:val="00D97B16"/>
    <w:rsid w:val="00D97B79"/>
    <w:rsid w:val="00D97D47"/>
    <w:rsid w:val="00DA01FB"/>
    <w:rsid w:val="00DA0506"/>
    <w:rsid w:val="00DA0643"/>
    <w:rsid w:val="00DA073F"/>
    <w:rsid w:val="00DA0769"/>
    <w:rsid w:val="00DA090B"/>
    <w:rsid w:val="00DA0940"/>
    <w:rsid w:val="00DA0B62"/>
    <w:rsid w:val="00DA0C66"/>
    <w:rsid w:val="00DA0CD2"/>
    <w:rsid w:val="00DA0CE8"/>
    <w:rsid w:val="00DA0CF9"/>
    <w:rsid w:val="00DA0DDB"/>
    <w:rsid w:val="00DA0EC3"/>
    <w:rsid w:val="00DA0FE8"/>
    <w:rsid w:val="00DA1432"/>
    <w:rsid w:val="00DA1712"/>
    <w:rsid w:val="00DA1886"/>
    <w:rsid w:val="00DA18DC"/>
    <w:rsid w:val="00DA196C"/>
    <w:rsid w:val="00DA1C88"/>
    <w:rsid w:val="00DA1F3E"/>
    <w:rsid w:val="00DA1FE0"/>
    <w:rsid w:val="00DA263C"/>
    <w:rsid w:val="00DA2644"/>
    <w:rsid w:val="00DA28F0"/>
    <w:rsid w:val="00DA313C"/>
    <w:rsid w:val="00DA331C"/>
    <w:rsid w:val="00DA3534"/>
    <w:rsid w:val="00DA3837"/>
    <w:rsid w:val="00DA3A21"/>
    <w:rsid w:val="00DA3AC5"/>
    <w:rsid w:val="00DA3D1E"/>
    <w:rsid w:val="00DA4178"/>
    <w:rsid w:val="00DA418E"/>
    <w:rsid w:val="00DA4280"/>
    <w:rsid w:val="00DA438D"/>
    <w:rsid w:val="00DA4580"/>
    <w:rsid w:val="00DA4897"/>
    <w:rsid w:val="00DA499C"/>
    <w:rsid w:val="00DA4AA5"/>
    <w:rsid w:val="00DA4D47"/>
    <w:rsid w:val="00DA4D77"/>
    <w:rsid w:val="00DA4DCC"/>
    <w:rsid w:val="00DA4E8B"/>
    <w:rsid w:val="00DA5004"/>
    <w:rsid w:val="00DA52F5"/>
    <w:rsid w:val="00DA5411"/>
    <w:rsid w:val="00DA5512"/>
    <w:rsid w:val="00DA558C"/>
    <w:rsid w:val="00DA55F4"/>
    <w:rsid w:val="00DA56B4"/>
    <w:rsid w:val="00DA56C8"/>
    <w:rsid w:val="00DA595E"/>
    <w:rsid w:val="00DA5A2C"/>
    <w:rsid w:val="00DA5AEE"/>
    <w:rsid w:val="00DA5C72"/>
    <w:rsid w:val="00DA5E3D"/>
    <w:rsid w:val="00DA5E6B"/>
    <w:rsid w:val="00DA621C"/>
    <w:rsid w:val="00DA6729"/>
    <w:rsid w:val="00DA69C7"/>
    <w:rsid w:val="00DA6B77"/>
    <w:rsid w:val="00DA6DA2"/>
    <w:rsid w:val="00DA71B8"/>
    <w:rsid w:val="00DA7369"/>
    <w:rsid w:val="00DA7764"/>
    <w:rsid w:val="00DA7C4F"/>
    <w:rsid w:val="00DA7E5D"/>
    <w:rsid w:val="00DA7EBE"/>
    <w:rsid w:val="00DB02E0"/>
    <w:rsid w:val="00DB03A0"/>
    <w:rsid w:val="00DB03AB"/>
    <w:rsid w:val="00DB05B7"/>
    <w:rsid w:val="00DB0724"/>
    <w:rsid w:val="00DB0747"/>
    <w:rsid w:val="00DB0992"/>
    <w:rsid w:val="00DB09E4"/>
    <w:rsid w:val="00DB0B70"/>
    <w:rsid w:val="00DB0C40"/>
    <w:rsid w:val="00DB0E41"/>
    <w:rsid w:val="00DB0E96"/>
    <w:rsid w:val="00DB0F08"/>
    <w:rsid w:val="00DB0F61"/>
    <w:rsid w:val="00DB101E"/>
    <w:rsid w:val="00DB113E"/>
    <w:rsid w:val="00DB1262"/>
    <w:rsid w:val="00DB1434"/>
    <w:rsid w:val="00DB1540"/>
    <w:rsid w:val="00DB1835"/>
    <w:rsid w:val="00DB18C9"/>
    <w:rsid w:val="00DB1A8D"/>
    <w:rsid w:val="00DB1B52"/>
    <w:rsid w:val="00DB1CEC"/>
    <w:rsid w:val="00DB1D4A"/>
    <w:rsid w:val="00DB1E8C"/>
    <w:rsid w:val="00DB1EE6"/>
    <w:rsid w:val="00DB1EFD"/>
    <w:rsid w:val="00DB209A"/>
    <w:rsid w:val="00DB2221"/>
    <w:rsid w:val="00DB2260"/>
    <w:rsid w:val="00DB237A"/>
    <w:rsid w:val="00DB2436"/>
    <w:rsid w:val="00DB2511"/>
    <w:rsid w:val="00DB27E2"/>
    <w:rsid w:val="00DB2A39"/>
    <w:rsid w:val="00DB2A9A"/>
    <w:rsid w:val="00DB2B08"/>
    <w:rsid w:val="00DB2B7D"/>
    <w:rsid w:val="00DB2CBA"/>
    <w:rsid w:val="00DB2DDF"/>
    <w:rsid w:val="00DB2E61"/>
    <w:rsid w:val="00DB2F0E"/>
    <w:rsid w:val="00DB31EC"/>
    <w:rsid w:val="00DB33B8"/>
    <w:rsid w:val="00DB33FE"/>
    <w:rsid w:val="00DB35E5"/>
    <w:rsid w:val="00DB3884"/>
    <w:rsid w:val="00DB38DD"/>
    <w:rsid w:val="00DB395E"/>
    <w:rsid w:val="00DB3A19"/>
    <w:rsid w:val="00DB3BA5"/>
    <w:rsid w:val="00DB3BED"/>
    <w:rsid w:val="00DB3C12"/>
    <w:rsid w:val="00DB3C8A"/>
    <w:rsid w:val="00DB3D51"/>
    <w:rsid w:val="00DB3E46"/>
    <w:rsid w:val="00DB3E71"/>
    <w:rsid w:val="00DB3E74"/>
    <w:rsid w:val="00DB4055"/>
    <w:rsid w:val="00DB40F0"/>
    <w:rsid w:val="00DB430D"/>
    <w:rsid w:val="00DB4757"/>
    <w:rsid w:val="00DB4909"/>
    <w:rsid w:val="00DB4A62"/>
    <w:rsid w:val="00DB4B38"/>
    <w:rsid w:val="00DB4BAF"/>
    <w:rsid w:val="00DB4DCC"/>
    <w:rsid w:val="00DB4E29"/>
    <w:rsid w:val="00DB5421"/>
    <w:rsid w:val="00DB5424"/>
    <w:rsid w:val="00DB5622"/>
    <w:rsid w:val="00DB5772"/>
    <w:rsid w:val="00DB577A"/>
    <w:rsid w:val="00DB5FD9"/>
    <w:rsid w:val="00DB660A"/>
    <w:rsid w:val="00DB6959"/>
    <w:rsid w:val="00DB6A21"/>
    <w:rsid w:val="00DB6A2D"/>
    <w:rsid w:val="00DB6CA9"/>
    <w:rsid w:val="00DB6F6B"/>
    <w:rsid w:val="00DB6FA6"/>
    <w:rsid w:val="00DB6FD6"/>
    <w:rsid w:val="00DB7683"/>
    <w:rsid w:val="00DB7D3E"/>
    <w:rsid w:val="00DB7E6B"/>
    <w:rsid w:val="00DC0713"/>
    <w:rsid w:val="00DC098E"/>
    <w:rsid w:val="00DC0D63"/>
    <w:rsid w:val="00DC0E09"/>
    <w:rsid w:val="00DC1113"/>
    <w:rsid w:val="00DC1130"/>
    <w:rsid w:val="00DC1495"/>
    <w:rsid w:val="00DC15A5"/>
    <w:rsid w:val="00DC15B8"/>
    <w:rsid w:val="00DC1C49"/>
    <w:rsid w:val="00DC1C6A"/>
    <w:rsid w:val="00DC1C97"/>
    <w:rsid w:val="00DC1EA1"/>
    <w:rsid w:val="00DC21C3"/>
    <w:rsid w:val="00DC22A0"/>
    <w:rsid w:val="00DC23A8"/>
    <w:rsid w:val="00DC25FD"/>
    <w:rsid w:val="00DC2631"/>
    <w:rsid w:val="00DC2748"/>
    <w:rsid w:val="00DC2850"/>
    <w:rsid w:val="00DC29D9"/>
    <w:rsid w:val="00DC2A0C"/>
    <w:rsid w:val="00DC2A95"/>
    <w:rsid w:val="00DC2BEC"/>
    <w:rsid w:val="00DC2D12"/>
    <w:rsid w:val="00DC2DCA"/>
    <w:rsid w:val="00DC2DFF"/>
    <w:rsid w:val="00DC2E19"/>
    <w:rsid w:val="00DC2E44"/>
    <w:rsid w:val="00DC2EA5"/>
    <w:rsid w:val="00DC2ED5"/>
    <w:rsid w:val="00DC2F9A"/>
    <w:rsid w:val="00DC3109"/>
    <w:rsid w:val="00DC31A5"/>
    <w:rsid w:val="00DC3242"/>
    <w:rsid w:val="00DC3259"/>
    <w:rsid w:val="00DC3293"/>
    <w:rsid w:val="00DC33D2"/>
    <w:rsid w:val="00DC34E1"/>
    <w:rsid w:val="00DC3522"/>
    <w:rsid w:val="00DC356B"/>
    <w:rsid w:val="00DC3579"/>
    <w:rsid w:val="00DC39E2"/>
    <w:rsid w:val="00DC3A59"/>
    <w:rsid w:val="00DC3A62"/>
    <w:rsid w:val="00DC3AFD"/>
    <w:rsid w:val="00DC44B7"/>
    <w:rsid w:val="00DC44E9"/>
    <w:rsid w:val="00DC450C"/>
    <w:rsid w:val="00DC4548"/>
    <w:rsid w:val="00DC460F"/>
    <w:rsid w:val="00DC4626"/>
    <w:rsid w:val="00DC4887"/>
    <w:rsid w:val="00DC4913"/>
    <w:rsid w:val="00DC498E"/>
    <w:rsid w:val="00DC49AB"/>
    <w:rsid w:val="00DC49B2"/>
    <w:rsid w:val="00DC4A60"/>
    <w:rsid w:val="00DC4AFC"/>
    <w:rsid w:val="00DC4B59"/>
    <w:rsid w:val="00DC4C2C"/>
    <w:rsid w:val="00DC4DDC"/>
    <w:rsid w:val="00DC5019"/>
    <w:rsid w:val="00DC51BF"/>
    <w:rsid w:val="00DC52FE"/>
    <w:rsid w:val="00DC5369"/>
    <w:rsid w:val="00DC54D8"/>
    <w:rsid w:val="00DC551B"/>
    <w:rsid w:val="00DC55A9"/>
    <w:rsid w:val="00DC5691"/>
    <w:rsid w:val="00DC5891"/>
    <w:rsid w:val="00DC58D5"/>
    <w:rsid w:val="00DC59C8"/>
    <w:rsid w:val="00DC5AE9"/>
    <w:rsid w:val="00DC5D40"/>
    <w:rsid w:val="00DC5F2F"/>
    <w:rsid w:val="00DC5FD9"/>
    <w:rsid w:val="00DC610D"/>
    <w:rsid w:val="00DC626C"/>
    <w:rsid w:val="00DC65BB"/>
    <w:rsid w:val="00DC672A"/>
    <w:rsid w:val="00DC67EF"/>
    <w:rsid w:val="00DC6B01"/>
    <w:rsid w:val="00DC6BA8"/>
    <w:rsid w:val="00DC6C85"/>
    <w:rsid w:val="00DC6E0D"/>
    <w:rsid w:val="00DC70A7"/>
    <w:rsid w:val="00DC7111"/>
    <w:rsid w:val="00DC72CD"/>
    <w:rsid w:val="00DC7B0F"/>
    <w:rsid w:val="00DC7B11"/>
    <w:rsid w:val="00DC7D61"/>
    <w:rsid w:val="00DD003F"/>
    <w:rsid w:val="00DD033D"/>
    <w:rsid w:val="00DD048D"/>
    <w:rsid w:val="00DD04C5"/>
    <w:rsid w:val="00DD05A6"/>
    <w:rsid w:val="00DD05E2"/>
    <w:rsid w:val="00DD06C6"/>
    <w:rsid w:val="00DD06DC"/>
    <w:rsid w:val="00DD0750"/>
    <w:rsid w:val="00DD09E0"/>
    <w:rsid w:val="00DD0CE7"/>
    <w:rsid w:val="00DD0F55"/>
    <w:rsid w:val="00DD1016"/>
    <w:rsid w:val="00DD1204"/>
    <w:rsid w:val="00DD1339"/>
    <w:rsid w:val="00DD13A6"/>
    <w:rsid w:val="00DD159E"/>
    <w:rsid w:val="00DD15B6"/>
    <w:rsid w:val="00DD16DA"/>
    <w:rsid w:val="00DD184D"/>
    <w:rsid w:val="00DD19A5"/>
    <w:rsid w:val="00DD1BEF"/>
    <w:rsid w:val="00DD1D1E"/>
    <w:rsid w:val="00DD1E57"/>
    <w:rsid w:val="00DD1F2E"/>
    <w:rsid w:val="00DD1F5A"/>
    <w:rsid w:val="00DD2114"/>
    <w:rsid w:val="00DD24E2"/>
    <w:rsid w:val="00DD27A6"/>
    <w:rsid w:val="00DD287D"/>
    <w:rsid w:val="00DD28DD"/>
    <w:rsid w:val="00DD2CD1"/>
    <w:rsid w:val="00DD2D7A"/>
    <w:rsid w:val="00DD2FA7"/>
    <w:rsid w:val="00DD315B"/>
    <w:rsid w:val="00DD31C6"/>
    <w:rsid w:val="00DD32D4"/>
    <w:rsid w:val="00DD32F1"/>
    <w:rsid w:val="00DD3300"/>
    <w:rsid w:val="00DD3C99"/>
    <w:rsid w:val="00DD3D22"/>
    <w:rsid w:val="00DD3EA4"/>
    <w:rsid w:val="00DD3F25"/>
    <w:rsid w:val="00DD42AB"/>
    <w:rsid w:val="00DD43C3"/>
    <w:rsid w:val="00DD45CB"/>
    <w:rsid w:val="00DD460D"/>
    <w:rsid w:val="00DD478C"/>
    <w:rsid w:val="00DD4892"/>
    <w:rsid w:val="00DD4B6F"/>
    <w:rsid w:val="00DD4DBD"/>
    <w:rsid w:val="00DD5019"/>
    <w:rsid w:val="00DD5214"/>
    <w:rsid w:val="00DD5369"/>
    <w:rsid w:val="00DD571B"/>
    <w:rsid w:val="00DD59B7"/>
    <w:rsid w:val="00DD5ADC"/>
    <w:rsid w:val="00DD5B98"/>
    <w:rsid w:val="00DD5BDC"/>
    <w:rsid w:val="00DD5D18"/>
    <w:rsid w:val="00DD5DF7"/>
    <w:rsid w:val="00DD5F13"/>
    <w:rsid w:val="00DD604F"/>
    <w:rsid w:val="00DD6313"/>
    <w:rsid w:val="00DD6389"/>
    <w:rsid w:val="00DD64C0"/>
    <w:rsid w:val="00DD66BC"/>
    <w:rsid w:val="00DD6732"/>
    <w:rsid w:val="00DD68B9"/>
    <w:rsid w:val="00DD6918"/>
    <w:rsid w:val="00DD6BDC"/>
    <w:rsid w:val="00DD6BFE"/>
    <w:rsid w:val="00DD6DA8"/>
    <w:rsid w:val="00DD6DD5"/>
    <w:rsid w:val="00DD731E"/>
    <w:rsid w:val="00DD7607"/>
    <w:rsid w:val="00DD7668"/>
    <w:rsid w:val="00DD773E"/>
    <w:rsid w:val="00DD7847"/>
    <w:rsid w:val="00DD790F"/>
    <w:rsid w:val="00DD79A7"/>
    <w:rsid w:val="00DD7B6E"/>
    <w:rsid w:val="00DD7E87"/>
    <w:rsid w:val="00DD7EFA"/>
    <w:rsid w:val="00DE00E9"/>
    <w:rsid w:val="00DE038B"/>
    <w:rsid w:val="00DE05CB"/>
    <w:rsid w:val="00DE075D"/>
    <w:rsid w:val="00DE076E"/>
    <w:rsid w:val="00DE0D3B"/>
    <w:rsid w:val="00DE0DCD"/>
    <w:rsid w:val="00DE11B6"/>
    <w:rsid w:val="00DE139C"/>
    <w:rsid w:val="00DE13B3"/>
    <w:rsid w:val="00DE1440"/>
    <w:rsid w:val="00DE15AE"/>
    <w:rsid w:val="00DE18B9"/>
    <w:rsid w:val="00DE18C8"/>
    <w:rsid w:val="00DE196C"/>
    <w:rsid w:val="00DE1A2D"/>
    <w:rsid w:val="00DE1A53"/>
    <w:rsid w:val="00DE1ADB"/>
    <w:rsid w:val="00DE1B26"/>
    <w:rsid w:val="00DE1E20"/>
    <w:rsid w:val="00DE1E4C"/>
    <w:rsid w:val="00DE219B"/>
    <w:rsid w:val="00DE2207"/>
    <w:rsid w:val="00DE228A"/>
    <w:rsid w:val="00DE22EB"/>
    <w:rsid w:val="00DE2539"/>
    <w:rsid w:val="00DE297D"/>
    <w:rsid w:val="00DE2AF1"/>
    <w:rsid w:val="00DE2CB1"/>
    <w:rsid w:val="00DE2D26"/>
    <w:rsid w:val="00DE2E5D"/>
    <w:rsid w:val="00DE3013"/>
    <w:rsid w:val="00DE30DA"/>
    <w:rsid w:val="00DE3173"/>
    <w:rsid w:val="00DE321D"/>
    <w:rsid w:val="00DE3292"/>
    <w:rsid w:val="00DE3728"/>
    <w:rsid w:val="00DE39E4"/>
    <w:rsid w:val="00DE3A7D"/>
    <w:rsid w:val="00DE3BAB"/>
    <w:rsid w:val="00DE3BFA"/>
    <w:rsid w:val="00DE3DF1"/>
    <w:rsid w:val="00DE3E0A"/>
    <w:rsid w:val="00DE3F96"/>
    <w:rsid w:val="00DE4287"/>
    <w:rsid w:val="00DE437B"/>
    <w:rsid w:val="00DE4382"/>
    <w:rsid w:val="00DE4597"/>
    <w:rsid w:val="00DE4790"/>
    <w:rsid w:val="00DE47BC"/>
    <w:rsid w:val="00DE4849"/>
    <w:rsid w:val="00DE4957"/>
    <w:rsid w:val="00DE4B01"/>
    <w:rsid w:val="00DE4BE5"/>
    <w:rsid w:val="00DE4D58"/>
    <w:rsid w:val="00DE4DD3"/>
    <w:rsid w:val="00DE4E10"/>
    <w:rsid w:val="00DE50F7"/>
    <w:rsid w:val="00DE51B4"/>
    <w:rsid w:val="00DE5353"/>
    <w:rsid w:val="00DE540C"/>
    <w:rsid w:val="00DE54A0"/>
    <w:rsid w:val="00DE54C7"/>
    <w:rsid w:val="00DE5808"/>
    <w:rsid w:val="00DE5893"/>
    <w:rsid w:val="00DE5BFD"/>
    <w:rsid w:val="00DE5D44"/>
    <w:rsid w:val="00DE5F6B"/>
    <w:rsid w:val="00DE6055"/>
    <w:rsid w:val="00DE60CD"/>
    <w:rsid w:val="00DE6302"/>
    <w:rsid w:val="00DE63B2"/>
    <w:rsid w:val="00DE63E6"/>
    <w:rsid w:val="00DE6430"/>
    <w:rsid w:val="00DE6433"/>
    <w:rsid w:val="00DE64A4"/>
    <w:rsid w:val="00DE6605"/>
    <w:rsid w:val="00DE67D3"/>
    <w:rsid w:val="00DE68B8"/>
    <w:rsid w:val="00DE6998"/>
    <w:rsid w:val="00DE6CFA"/>
    <w:rsid w:val="00DE6D1F"/>
    <w:rsid w:val="00DE7139"/>
    <w:rsid w:val="00DE715A"/>
    <w:rsid w:val="00DE7228"/>
    <w:rsid w:val="00DE72FD"/>
    <w:rsid w:val="00DE74AE"/>
    <w:rsid w:val="00DE7501"/>
    <w:rsid w:val="00DE77EC"/>
    <w:rsid w:val="00DE7A19"/>
    <w:rsid w:val="00DE7BE2"/>
    <w:rsid w:val="00DE7CBD"/>
    <w:rsid w:val="00DE7EAB"/>
    <w:rsid w:val="00DF00B8"/>
    <w:rsid w:val="00DF013C"/>
    <w:rsid w:val="00DF0522"/>
    <w:rsid w:val="00DF0724"/>
    <w:rsid w:val="00DF0762"/>
    <w:rsid w:val="00DF076E"/>
    <w:rsid w:val="00DF0781"/>
    <w:rsid w:val="00DF084C"/>
    <w:rsid w:val="00DF08FE"/>
    <w:rsid w:val="00DF09C2"/>
    <w:rsid w:val="00DF0CFB"/>
    <w:rsid w:val="00DF0E52"/>
    <w:rsid w:val="00DF0F04"/>
    <w:rsid w:val="00DF1401"/>
    <w:rsid w:val="00DF1670"/>
    <w:rsid w:val="00DF1832"/>
    <w:rsid w:val="00DF1BD9"/>
    <w:rsid w:val="00DF1C0F"/>
    <w:rsid w:val="00DF1CFF"/>
    <w:rsid w:val="00DF1DE2"/>
    <w:rsid w:val="00DF20BF"/>
    <w:rsid w:val="00DF212F"/>
    <w:rsid w:val="00DF2159"/>
    <w:rsid w:val="00DF24E1"/>
    <w:rsid w:val="00DF2520"/>
    <w:rsid w:val="00DF257A"/>
    <w:rsid w:val="00DF286D"/>
    <w:rsid w:val="00DF2BFD"/>
    <w:rsid w:val="00DF2E10"/>
    <w:rsid w:val="00DF2E2E"/>
    <w:rsid w:val="00DF2E2F"/>
    <w:rsid w:val="00DF2E9D"/>
    <w:rsid w:val="00DF2FFF"/>
    <w:rsid w:val="00DF30AF"/>
    <w:rsid w:val="00DF3359"/>
    <w:rsid w:val="00DF33BA"/>
    <w:rsid w:val="00DF3480"/>
    <w:rsid w:val="00DF3488"/>
    <w:rsid w:val="00DF3861"/>
    <w:rsid w:val="00DF3E56"/>
    <w:rsid w:val="00DF4008"/>
    <w:rsid w:val="00DF4108"/>
    <w:rsid w:val="00DF45A2"/>
    <w:rsid w:val="00DF45AB"/>
    <w:rsid w:val="00DF47F4"/>
    <w:rsid w:val="00DF4A0E"/>
    <w:rsid w:val="00DF4E36"/>
    <w:rsid w:val="00DF5142"/>
    <w:rsid w:val="00DF514E"/>
    <w:rsid w:val="00DF533C"/>
    <w:rsid w:val="00DF55CB"/>
    <w:rsid w:val="00DF5721"/>
    <w:rsid w:val="00DF573E"/>
    <w:rsid w:val="00DF5970"/>
    <w:rsid w:val="00DF5A32"/>
    <w:rsid w:val="00DF5B6A"/>
    <w:rsid w:val="00DF5B9A"/>
    <w:rsid w:val="00DF5BCA"/>
    <w:rsid w:val="00DF5CB7"/>
    <w:rsid w:val="00DF5DEE"/>
    <w:rsid w:val="00DF5F46"/>
    <w:rsid w:val="00DF629B"/>
    <w:rsid w:val="00DF62E4"/>
    <w:rsid w:val="00DF6715"/>
    <w:rsid w:val="00DF676B"/>
    <w:rsid w:val="00DF67B5"/>
    <w:rsid w:val="00DF6A68"/>
    <w:rsid w:val="00DF6ACB"/>
    <w:rsid w:val="00DF6BBD"/>
    <w:rsid w:val="00DF6E48"/>
    <w:rsid w:val="00DF6E6B"/>
    <w:rsid w:val="00DF70A9"/>
    <w:rsid w:val="00DF71C3"/>
    <w:rsid w:val="00DF71F5"/>
    <w:rsid w:val="00DF727D"/>
    <w:rsid w:val="00DF72DB"/>
    <w:rsid w:val="00DF7433"/>
    <w:rsid w:val="00DF7701"/>
    <w:rsid w:val="00DF7752"/>
    <w:rsid w:val="00DF7B38"/>
    <w:rsid w:val="00DF7E74"/>
    <w:rsid w:val="00DF7FFC"/>
    <w:rsid w:val="00E000CD"/>
    <w:rsid w:val="00E00264"/>
    <w:rsid w:val="00E00388"/>
    <w:rsid w:val="00E00392"/>
    <w:rsid w:val="00E0041E"/>
    <w:rsid w:val="00E004FB"/>
    <w:rsid w:val="00E0059F"/>
    <w:rsid w:val="00E0065D"/>
    <w:rsid w:val="00E0068D"/>
    <w:rsid w:val="00E006DC"/>
    <w:rsid w:val="00E0089D"/>
    <w:rsid w:val="00E00E20"/>
    <w:rsid w:val="00E010B0"/>
    <w:rsid w:val="00E010C3"/>
    <w:rsid w:val="00E01123"/>
    <w:rsid w:val="00E0117A"/>
    <w:rsid w:val="00E01463"/>
    <w:rsid w:val="00E014A2"/>
    <w:rsid w:val="00E0156F"/>
    <w:rsid w:val="00E01634"/>
    <w:rsid w:val="00E01CA1"/>
    <w:rsid w:val="00E01E77"/>
    <w:rsid w:val="00E01EF8"/>
    <w:rsid w:val="00E01F79"/>
    <w:rsid w:val="00E01F7D"/>
    <w:rsid w:val="00E0201F"/>
    <w:rsid w:val="00E02108"/>
    <w:rsid w:val="00E0227D"/>
    <w:rsid w:val="00E02439"/>
    <w:rsid w:val="00E0243A"/>
    <w:rsid w:val="00E02459"/>
    <w:rsid w:val="00E027D8"/>
    <w:rsid w:val="00E0284D"/>
    <w:rsid w:val="00E02BC0"/>
    <w:rsid w:val="00E03539"/>
    <w:rsid w:val="00E03543"/>
    <w:rsid w:val="00E038FA"/>
    <w:rsid w:val="00E03A8C"/>
    <w:rsid w:val="00E03ABF"/>
    <w:rsid w:val="00E03D45"/>
    <w:rsid w:val="00E0432B"/>
    <w:rsid w:val="00E044E2"/>
    <w:rsid w:val="00E04541"/>
    <w:rsid w:val="00E0454A"/>
    <w:rsid w:val="00E04608"/>
    <w:rsid w:val="00E04639"/>
    <w:rsid w:val="00E047AD"/>
    <w:rsid w:val="00E048BB"/>
    <w:rsid w:val="00E04B62"/>
    <w:rsid w:val="00E04C4A"/>
    <w:rsid w:val="00E04CC5"/>
    <w:rsid w:val="00E05219"/>
    <w:rsid w:val="00E05626"/>
    <w:rsid w:val="00E05681"/>
    <w:rsid w:val="00E05741"/>
    <w:rsid w:val="00E05985"/>
    <w:rsid w:val="00E05A52"/>
    <w:rsid w:val="00E05D1F"/>
    <w:rsid w:val="00E062A3"/>
    <w:rsid w:val="00E062E9"/>
    <w:rsid w:val="00E064E4"/>
    <w:rsid w:val="00E06696"/>
    <w:rsid w:val="00E0675A"/>
    <w:rsid w:val="00E06BE0"/>
    <w:rsid w:val="00E06CA1"/>
    <w:rsid w:val="00E06E11"/>
    <w:rsid w:val="00E06E8A"/>
    <w:rsid w:val="00E07063"/>
    <w:rsid w:val="00E074A4"/>
    <w:rsid w:val="00E07686"/>
    <w:rsid w:val="00E07728"/>
    <w:rsid w:val="00E079E0"/>
    <w:rsid w:val="00E07AEE"/>
    <w:rsid w:val="00E07C4C"/>
    <w:rsid w:val="00E1002D"/>
    <w:rsid w:val="00E10053"/>
    <w:rsid w:val="00E100C3"/>
    <w:rsid w:val="00E1027D"/>
    <w:rsid w:val="00E10455"/>
    <w:rsid w:val="00E10998"/>
    <w:rsid w:val="00E10AD4"/>
    <w:rsid w:val="00E10C62"/>
    <w:rsid w:val="00E1151E"/>
    <w:rsid w:val="00E11662"/>
    <w:rsid w:val="00E119BA"/>
    <w:rsid w:val="00E11A39"/>
    <w:rsid w:val="00E11A5D"/>
    <w:rsid w:val="00E11A60"/>
    <w:rsid w:val="00E11AC8"/>
    <w:rsid w:val="00E11C5C"/>
    <w:rsid w:val="00E11CA5"/>
    <w:rsid w:val="00E11FD5"/>
    <w:rsid w:val="00E12131"/>
    <w:rsid w:val="00E123B7"/>
    <w:rsid w:val="00E124DC"/>
    <w:rsid w:val="00E12525"/>
    <w:rsid w:val="00E128A0"/>
    <w:rsid w:val="00E12CC1"/>
    <w:rsid w:val="00E12CD3"/>
    <w:rsid w:val="00E12D7B"/>
    <w:rsid w:val="00E12EB4"/>
    <w:rsid w:val="00E12FAE"/>
    <w:rsid w:val="00E12FAF"/>
    <w:rsid w:val="00E13290"/>
    <w:rsid w:val="00E1365C"/>
    <w:rsid w:val="00E1385C"/>
    <w:rsid w:val="00E13B58"/>
    <w:rsid w:val="00E13FA3"/>
    <w:rsid w:val="00E14077"/>
    <w:rsid w:val="00E14155"/>
    <w:rsid w:val="00E142D4"/>
    <w:rsid w:val="00E1432B"/>
    <w:rsid w:val="00E14423"/>
    <w:rsid w:val="00E14475"/>
    <w:rsid w:val="00E14837"/>
    <w:rsid w:val="00E1485F"/>
    <w:rsid w:val="00E149F5"/>
    <w:rsid w:val="00E14A8B"/>
    <w:rsid w:val="00E14C6E"/>
    <w:rsid w:val="00E14F3E"/>
    <w:rsid w:val="00E14FB8"/>
    <w:rsid w:val="00E1541B"/>
    <w:rsid w:val="00E15476"/>
    <w:rsid w:val="00E158F1"/>
    <w:rsid w:val="00E1590A"/>
    <w:rsid w:val="00E15935"/>
    <w:rsid w:val="00E15ADF"/>
    <w:rsid w:val="00E15B39"/>
    <w:rsid w:val="00E15F23"/>
    <w:rsid w:val="00E15F34"/>
    <w:rsid w:val="00E15FE7"/>
    <w:rsid w:val="00E1600E"/>
    <w:rsid w:val="00E16043"/>
    <w:rsid w:val="00E162C7"/>
    <w:rsid w:val="00E166C0"/>
    <w:rsid w:val="00E16829"/>
    <w:rsid w:val="00E16BCD"/>
    <w:rsid w:val="00E171DD"/>
    <w:rsid w:val="00E17235"/>
    <w:rsid w:val="00E1725C"/>
    <w:rsid w:val="00E1730B"/>
    <w:rsid w:val="00E17523"/>
    <w:rsid w:val="00E17627"/>
    <w:rsid w:val="00E17A3C"/>
    <w:rsid w:val="00E17AF1"/>
    <w:rsid w:val="00E17F6E"/>
    <w:rsid w:val="00E202EB"/>
    <w:rsid w:val="00E20542"/>
    <w:rsid w:val="00E2074B"/>
    <w:rsid w:val="00E209B3"/>
    <w:rsid w:val="00E20A0D"/>
    <w:rsid w:val="00E20BC6"/>
    <w:rsid w:val="00E20C42"/>
    <w:rsid w:val="00E20D3F"/>
    <w:rsid w:val="00E20D76"/>
    <w:rsid w:val="00E212A4"/>
    <w:rsid w:val="00E213F7"/>
    <w:rsid w:val="00E215B8"/>
    <w:rsid w:val="00E215F6"/>
    <w:rsid w:val="00E2161D"/>
    <w:rsid w:val="00E21721"/>
    <w:rsid w:val="00E21951"/>
    <w:rsid w:val="00E219F0"/>
    <w:rsid w:val="00E21F48"/>
    <w:rsid w:val="00E21F6F"/>
    <w:rsid w:val="00E221CC"/>
    <w:rsid w:val="00E221D2"/>
    <w:rsid w:val="00E22384"/>
    <w:rsid w:val="00E2246A"/>
    <w:rsid w:val="00E22537"/>
    <w:rsid w:val="00E22579"/>
    <w:rsid w:val="00E22A33"/>
    <w:rsid w:val="00E22CCD"/>
    <w:rsid w:val="00E230FB"/>
    <w:rsid w:val="00E233CA"/>
    <w:rsid w:val="00E23662"/>
    <w:rsid w:val="00E23BCF"/>
    <w:rsid w:val="00E23F29"/>
    <w:rsid w:val="00E240E3"/>
    <w:rsid w:val="00E242E3"/>
    <w:rsid w:val="00E2454D"/>
    <w:rsid w:val="00E2463C"/>
    <w:rsid w:val="00E247E2"/>
    <w:rsid w:val="00E24AD6"/>
    <w:rsid w:val="00E24C44"/>
    <w:rsid w:val="00E24D74"/>
    <w:rsid w:val="00E24E8F"/>
    <w:rsid w:val="00E24EC5"/>
    <w:rsid w:val="00E25050"/>
    <w:rsid w:val="00E25236"/>
    <w:rsid w:val="00E25379"/>
    <w:rsid w:val="00E25541"/>
    <w:rsid w:val="00E255E9"/>
    <w:rsid w:val="00E255F2"/>
    <w:rsid w:val="00E25738"/>
    <w:rsid w:val="00E257A7"/>
    <w:rsid w:val="00E2595E"/>
    <w:rsid w:val="00E25BAE"/>
    <w:rsid w:val="00E25C5A"/>
    <w:rsid w:val="00E25E2B"/>
    <w:rsid w:val="00E261D4"/>
    <w:rsid w:val="00E26247"/>
    <w:rsid w:val="00E2647F"/>
    <w:rsid w:val="00E264D5"/>
    <w:rsid w:val="00E268F4"/>
    <w:rsid w:val="00E26C20"/>
    <w:rsid w:val="00E26C9D"/>
    <w:rsid w:val="00E26DF8"/>
    <w:rsid w:val="00E26DFE"/>
    <w:rsid w:val="00E26E4F"/>
    <w:rsid w:val="00E271A1"/>
    <w:rsid w:val="00E279D8"/>
    <w:rsid w:val="00E27BB4"/>
    <w:rsid w:val="00E27F14"/>
    <w:rsid w:val="00E27F68"/>
    <w:rsid w:val="00E301F4"/>
    <w:rsid w:val="00E303BE"/>
    <w:rsid w:val="00E3048A"/>
    <w:rsid w:val="00E305F3"/>
    <w:rsid w:val="00E3060A"/>
    <w:rsid w:val="00E3065F"/>
    <w:rsid w:val="00E306D6"/>
    <w:rsid w:val="00E30723"/>
    <w:rsid w:val="00E307A3"/>
    <w:rsid w:val="00E30844"/>
    <w:rsid w:val="00E30890"/>
    <w:rsid w:val="00E3093D"/>
    <w:rsid w:val="00E30AA7"/>
    <w:rsid w:val="00E30AF2"/>
    <w:rsid w:val="00E30C62"/>
    <w:rsid w:val="00E30DE3"/>
    <w:rsid w:val="00E31107"/>
    <w:rsid w:val="00E31304"/>
    <w:rsid w:val="00E314D3"/>
    <w:rsid w:val="00E3155A"/>
    <w:rsid w:val="00E31626"/>
    <w:rsid w:val="00E31786"/>
    <w:rsid w:val="00E317BE"/>
    <w:rsid w:val="00E319E3"/>
    <w:rsid w:val="00E31D8B"/>
    <w:rsid w:val="00E31E06"/>
    <w:rsid w:val="00E32085"/>
    <w:rsid w:val="00E32091"/>
    <w:rsid w:val="00E320C6"/>
    <w:rsid w:val="00E320CA"/>
    <w:rsid w:val="00E3235D"/>
    <w:rsid w:val="00E325C3"/>
    <w:rsid w:val="00E329E2"/>
    <w:rsid w:val="00E32A1E"/>
    <w:rsid w:val="00E32C17"/>
    <w:rsid w:val="00E32C45"/>
    <w:rsid w:val="00E32CB8"/>
    <w:rsid w:val="00E32EC3"/>
    <w:rsid w:val="00E32F34"/>
    <w:rsid w:val="00E333F5"/>
    <w:rsid w:val="00E336D6"/>
    <w:rsid w:val="00E338C9"/>
    <w:rsid w:val="00E33C46"/>
    <w:rsid w:val="00E33CA3"/>
    <w:rsid w:val="00E33D0C"/>
    <w:rsid w:val="00E33E43"/>
    <w:rsid w:val="00E33E8A"/>
    <w:rsid w:val="00E33F4F"/>
    <w:rsid w:val="00E340F7"/>
    <w:rsid w:val="00E34168"/>
    <w:rsid w:val="00E3443A"/>
    <w:rsid w:val="00E3449E"/>
    <w:rsid w:val="00E34681"/>
    <w:rsid w:val="00E346DC"/>
    <w:rsid w:val="00E3480E"/>
    <w:rsid w:val="00E34955"/>
    <w:rsid w:val="00E34CDC"/>
    <w:rsid w:val="00E34DA9"/>
    <w:rsid w:val="00E34DC2"/>
    <w:rsid w:val="00E34F77"/>
    <w:rsid w:val="00E351C4"/>
    <w:rsid w:val="00E351E8"/>
    <w:rsid w:val="00E352B5"/>
    <w:rsid w:val="00E355C9"/>
    <w:rsid w:val="00E359C9"/>
    <w:rsid w:val="00E36150"/>
    <w:rsid w:val="00E36498"/>
    <w:rsid w:val="00E364F9"/>
    <w:rsid w:val="00E36525"/>
    <w:rsid w:val="00E36584"/>
    <w:rsid w:val="00E369BD"/>
    <w:rsid w:val="00E36C63"/>
    <w:rsid w:val="00E36CBF"/>
    <w:rsid w:val="00E36E15"/>
    <w:rsid w:val="00E36F32"/>
    <w:rsid w:val="00E36F9E"/>
    <w:rsid w:val="00E370DD"/>
    <w:rsid w:val="00E371BE"/>
    <w:rsid w:val="00E3738F"/>
    <w:rsid w:val="00E373D2"/>
    <w:rsid w:val="00E37532"/>
    <w:rsid w:val="00E3761B"/>
    <w:rsid w:val="00E37743"/>
    <w:rsid w:val="00E37818"/>
    <w:rsid w:val="00E378EA"/>
    <w:rsid w:val="00E37B02"/>
    <w:rsid w:val="00E37BDC"/>
    <w:rsid w:val="00E37D9E"/>
    <w:rsid w:val="00E37F83"/>
    <w:rsid w:val="00E401F9"/>
    <w:rsid w:val="00E402A8"/>
    <w:rsid w:val="00E40327"/>
    <w:rsid w:val="00E4041F"/>
    <w:rsid w:val="00E40509"/>
    <w:rsid w:val="00E40E11"/>
    <w:rsid w:val="00E40EA2"/>
    <w:rsid w:val="00E40F48"/>
    <w:rsid w:val="00E40FA1"/>
    <w:rsid w:val="00E410C4"/>
    <w:rsid w:val="00E4115D"/>
    <w:rsid w:val="00E41299"/>
    <w:rsid w:val="00E412A0"/>
    <w:rsid w:val="00E41315"/>
    <w:rsid w:val="00E413BD"/>
    <w:rsid w:val="00E417F5"/>
    <w:rsid w:val="00E4183B"/>
    <w:rsid w:val="00E41898"/>
    <w:rsid w:val="00E419EF"/>
    <w:rsid w:val="00E41A4B"/>
    <w:rsid w:val="00E41ACE"/>
    <w:rsid w:val="00E41B41"/>
    <w:rsid w:val="00E41D7E"/>
    <w:rsid w:val="00E41EB7"/>
    <w:rsid w:val="00E41FEA"/>
    <w:rsid w:val="00E421D2"/>
    <w:rsid w:val="00E4243B"/>
    <w:rsid w:val="00E424BE"/>
    <w:rsid w:val="00E4296A"/>
    <w:rsid w:val="00E42B4F"/>
    <w:rsid w:val="00E42B86"/>
    <w:rsid w:val="00E42EB8"/>
    <w:rsid w:val="00E42F41"/>
    <w:rsid w:val="00E43163"/>
    <w:rsid w:val="00E431C0"/>
    <w:rsid w:val="00E433ED"/>
    <w:rsid w:val="00E4379A"/>
    <w:rsid w:val="00E437B2"/>
    <w:rsid w:val="00E43A8C"/>
    <w:rsid w:val="00E43E80"/>
    <w:rsid w:val="00E4409B"/>
    <w:rsid w:val="00E44168"/>
    <w:rsid w:val="00E44242"/>
    <w:rsid w:val="00E44346"/>
    <w:rsid w:val="00E443F5"/>
    <w:rsid w:val="00E44586"/>
    <w:rsid w:val="00E445D2"/>
    <w:rsid w:val="00E446B4"/>
    <w:rsid w:val="00E44AF1"/>
    <w:rsid w:val="00E44CB1"/>
    <w:rsid w:val="00E44D54"/>
    <w:rsid w:val="00E44DB0"/>
    <w:rsid w:val="00E45019"/>
    <w:rsid w:val="00E45148"/>
    <w:rsid w:val="00E4531D"/>
    <w:rsid w:val="00E45363"/>
    <w:rsid w:val="00E45938"/>
    <w:rsid w:val="00E45E3D"/>
    <w:rsid w:val="00E45F73"/>
    <w:rsid w:val="00E45FB1"/>
    <w:rsid w:val="00E46184"/>
    <w:rsid w:val="00E46456"/>
    <w:rsid w:val="00E464BF"/>
    <w:rsid w:val="00E466A4"/>
    <w:rsid w:val="00E4688A"/>
    <w:rsid w:val="00E4699C"/>
    <w:rsid w:val="00E46B2F"/>
    <w:rsid w:val="00E46D64"/>
    <w:rsid w:val="00E46E9F"/>
    <w:rsid w:val="00E46F5C"/>
    <w:rsid w:val="00E476C5"/>
    <w:rsid w:val="00E4786C"/>
    <w:rsid w:val="00E478A6"/>
    <w:rsid w:val="00E47A66"/>
    <w:rsid w:val="00E47A8F"/>
    <w:rsid w:val="00E47B8B"/>
    <w:rsid w:val="00E5006A"/>
    <w:rsid w:val="00E5019D"/>
    <w:rsid w:val="00E50345"/>
    <w:rsid w:val="00E505C1"/>
    <w:rsid w:val="00E50D20"/>
    <w:rsid w:val="00E50E18"/>
    <w:rsid w:val="00E50E5C"/>
    <w:rsid w:val="00E5116B"/>
    <w:rsid w:val="00E513A9"/>
    <w:rsid w:val="00E514A4"/>
    <w:rsid w:val="00E51822"/>
    <w:rsid w:val="00E51AEB"/>
    <w:rsid w:val="00E51BE4"/>
    <w:rsid w:val="00E51F92"/>
    <w:rsid w:val="00E52124"/>
    <w:rsid w:val="00E522B3"/>
    <w:rsid w:val="00E523B2"/>
    <w:rsid w:val="00E52474"/>
    <w:rsid w:val="00E52A91"/>
    <w:rsid w:val="00E52D6D"/>
    <w:rsid w:val="00E52EBC"/>
    <w:rsid w:val="00E52F99"/>
    <w:rsid w:val="00E53223"/>
    <w:rsid w:val="00E53386"/>
    <w:rsid w:val="00E534A4"/>
    <w:rsid w:val="00E534FA"/>
    <w:rsid w:val="00E5350F"/>
    <w:rsid w:val="00E5375C"/>
    <w:rsid w:val="00E53875"/>
    <w:rsid w:val="00E539FD"/>
    <w:rsid w:val="00E53A17"/>
    <w:rsid w:val="00E53D3A"/>
    <w:rsid w:val="00E53E60"/>
    <w:rsid w:val="00E53EDD"/>
    <w:rsid w:val="00E544D8"/>
    <w:rsid w:val="00E5451F"/>
    <w:rsid w:val="00E54555"/>
    <w:rsid w:val="00E548CA"/>
    <w:rsid w:val="00E5492C"/>
    <w:rsid w:val="00E54B9B"/>
    <w:rsid w:val="00E54BB1"/>
    <w:rsid w:val="00E54BBD"/>
    <w:rsid w:val="00E551CF"/>
    <w:rsid w:val="00E5540C"/>
    <w:rsid w:val="00E55562"/>
    <w:rsid w:val="00E55620"/>
    <w:rsid w:val="00E556CA"/>
    <w:rsid w:val="00E55721"/>
    <w:rsid w:val="00E55A2D"/>
    <w:rsid w:val="00E55B01"/>
    <w:rsid w:val="00E55CF5"/>
    <w:rsid w:val="00E5611C"/>
    <w:rsid w:val="00E561BA"/>
    <w:rsid w:val="00E564E1"/>
    <w:rsid w:val="00E5670E"/>
    <w:rsid w:val="00E567B3"/>
    <w:rsid w:val="00E56B55"/>
    <w:rsid w:val="00E56D75"/>
    <w:rsid w:val="00E570C8"/>
    <w:rsid w:val="00E57161"/>
    <w:rsid w:val="00E57383"/>
    <w:rsid w:val="00E576B0"/>
    <w:rsid w:val="00E57715"/>
    <w:rsid w:val="00E57738"/>
    <w:rsid w:val="00E57B06"/>
    <w:rsid w:val="00E57CED"/>
    <w:rsid w:val="00E57D47"/>
    <w:rsid w:val="00E57EDC"/>
    <w:rsid w:val="00E57F62"/>
    <w:rsid w:val="00E60029"/>
    <w:rsid w:val="00E60065"/>
    <w:rsid w:val="00E6008B"/>
    <w:rsid w:val="00E600F9"/>
    <w:rsid w:val="00E60205"/>
    <w:rsid w:val="00E60599"/>
    <w:rsid w:val="00E608D0"/>
    <w:rsid w:val="00E60BBC"/>
    <w:rsid w:val="00E61193"/>
    <w:rsid w:val="00E6136B"/>
    <w:rsid w:val="00E61435"/>
    <w:rsid w:val="00E61452"/>
    <w:rsid w:val="00E614CE"/>
    <w:rsid w:val="00E61571"/>
    <w:rsid w:val="00E619FB"/>
    <w:rsid w:val="00E620B5"/>
    <w:rsid w:val="00E6215B"/>
    <w:rsid w:val="00E621AE"/>
    <w:rsid w:val="00E621B8"/>
    <w:rsid w:val="00E62208"/>
    <w:rsid w:val="00E626FD"/>
    <w:rsid w:val="00E62710"/>
    <w:rsid w:val="00E62B3B"/>
    <w:rsid w:val="00E62CE6"/>
    <w:rsid w:val="00E62D8D"/>
    <w:rsid w:val="00E62F63"/>
    <w:rsid w:val="00E63025"/>
    <w:rsid w:val="00E630CC"/>
    <w:rsid w:val="00E63300"/>
    <w:rsid w:val="00E6352F"/>
    <w:rsid w:val="00E635A7"/>
    <w:rsid w:val="00E635D1"/>
    <w:rsid w:val="00E63690"/>
    <w:rsid w:val="00E6381C"/>
    <w:rsid w:val="00E63A18"/>
    <w:rsid w:val="00E63C01"/>
    <w:rsid w:val="00E63C25"/>
    <w:rsid w:val="00E63CE3"/>
    <w:rsid w:val="00E63EE4"/>
    <w:rsid w:val="00E64065"/>
    <w:rsid w:val="00E640F3"/>
    <w:rsid w:val="00E642EF"/>
    <w:rsid w:val="00E6440D"/>
    <w:rsid w:val="00E64844"/>
    <w:rsid w:val="00E6489B"/>
    <w:rsid w:val="00E648A3"/>
    <w:rsid w:val="00E64AF2"/>
    <w:rsid w:val="00E64B6B"/>
    <w:rsid w:val="00E64C57"/>
    <w:rsid w:val="00E64DE3"/>
    <w:rsid w:val="00E64E07"/>
    <w:rsid w:val="00E65047"/>
    <w:rsid w:val="00E652D7"/>
    <w:rsid w:val="00E655B9"/>
    <w:rsid w:val="00E656AF"/>
    <w:rsid w:val="00E656F8"/>
    <w:rsid w:val="00E65A3B"/>
    <w:rsid w:val="00E664D6"/>
    <w:rsid w:val="00E665DA"/>
    <w:rsid w:val="00E66658"/>
    <w:rsid w:val="00E667EA"/>
    <w:rsid w:val="00E668B1"/>
    <w:rsid w:val="00E669FB"/>
    <w:rsid w:val="00E66A30"/>
    <w:rsid w:val="00E66BBD"/>
    <w:rsid w:val="00E66ECD"/>
    <w:rsid w:val="00E66F16"/>
    <w:rsid w:val="00E6707E"/>
    <w:rsid w:val="00E67193"/>
    <w:rsid w:val="00E67264"/>
    <w:rsid w:val="00E6746D"/>
    <w:rsid w:val="00E6746E"/>
    <w:rsid w:val="00E674D7"/>
    <w:rsid w:val="00E674F2"/>
    <w:rsid w:val="00E67573"/>
    <w:rsid w:val="00E675C5"/>
    <w:rsid w:val="00E67604"/>
    <w:rsid w:val="00E67A42"/>
    <w:rsid w:val="00E67B54"/>
    <w:rsid w:val="00E67B8D"/>
    <w:rsid w:val="00E67C24"/>
    <w:rsid w:val="00E67C4A"/>
    <w:rsid w:val="00E67EE4"/>
    <w:rsid w:val="00E70046"/>
    <w:rsid w:val="00E70077"/>
    <w:rsid w:val="00E70209"/>
    <w:rsid w:val="00E70275"/>
    <w:rsid w:val="00E70744"/>
    <w:rsid w:val="00E708B3"/>
    <w:rsid w:val="00E70B48"/>
    <w:rsid w:val="00E70B85"/>
    <w:rsid w:val="00E70D44"/>
    <w:rsid w:val="00E70FF0"/>
    <w:rsid w:val="00E710E7"/>
    <w:rsid w:val="00E713DF"/>
    <w:rsid w:val="00E71547"/>
    <w:rsid w:val="00E71686"/>
    <w:rsid w:val="00E71724"/>
    <w:rsid w:val="00E71880"/>
    <w:rsid w:val="00E71996"/>
    <w:rsid w:val="00E71B15"/>
    <w:rsid w:val="00E71BF6"/>
    <w:rsid w:val="00E71C86"/>
    <w:rsid w:val="00E71DF0"/>
    <w:rsid w:val="00E71F67"/>
    <w:rsid w:val="00E71FC8"/>
    <w:rsid w:val="00E722C9"/>
    <w:rsid w:val="00E723CD"/>
    <w:rsid w:val="00E724AE"/>
    <w:rsid w:val="00E72625"/>
    <w:rsid w:val="00E726F6"/>
    <w:rsid w:val="00E729B3"/>
    <w:rsid w:val="00E72B1C"/>
    <w:rsid w:val="00E72B92"/>
    <w:rsid w:val="00E72DF6"/>
    <w:rsid w:val="00E731F3"/>
    <w:rsid w:val="00E73344"/>
    <w:rsid w:val="00E735AE"/>
    <w:rsid w:val="00E739A2"/>
    <w:rsid w:val="00E73A32"/>
    <w:rsid w:val="00E73C47"/>
    <w:rsid w:val="00E73F38"/>
    <w:rsid w:val="00E74044"/>
    <w:rsid w:val="00E745E2"/>
    <w:rsid w:val="00E747DB"/>
    <w:rsid w:val="00E74A3A"/>
    <w:rsid w:val="00E74A94"/>
    <w:rsid w:val="00E74E33"/>
    <w:rsid w:val="00E75092"/>
    <w:rsid w:val="00E750C6"/>
    <w:rsid w:val="00E754CD"/>
    <w:rsid w:val="00E75799"/>
    <w:rsid w:val="00E757D1"/>
    <w:rsid w:val="00E759B9"/>
    <w:rsid w:val="00E75ADB"/>
    <w:rsid w:val="00E75D2F"/>
    <w:rsid w:val="00E75EEC"/>
    <w:rsid w:val="00E75F4E"/>
    <w:rsid w:val="00E7601A"/>
    <w:rsid w:val="00E76284"/>
    <w:rsid w:val="00E7628C"/>
    <w:rsid w:val="00E76547"/>
    <w:rsid w:val="00E768EB"/>
    <w:rsid w:val="00E76C27"/>
    <w:rsid w:val="00E76CB3"/>
    <w:rsid w:val="00E76E84"/>
    <w:rsid w:val="00E76F03"/>
    <w:rsid w:val="00E77231"/>
    <w:rsid w:val="00E7770E"/>
    <w:rsid w:val="00E779A9"/>
    <w:rsid w:val="00E77A8E"/>
    <w:rsid w:val="00E77B13"/>
    <w:rsid w:val="00E77BF6"/>
    <w:rsid w:val="00E77DAC"/>
    <w:rsid w:val="00E77EC7"/>
    <w:rsid w:val="00E80028"/>
    <w:rsid w:val="00E80169"/>
    <w:rsid w:val="00E80270"/>
    <w:rsid w:val="00E80331"/>
    <w:rsid w:val="00E80459"/>
    <w:rsid w:val="00E80512"/>
    <w:rsid w:val="00E805E2"/>
    <w:rsid w:val="00E806A9"/>
    <w:rsid w:val="00E80853"/>
    <w:rsid w:val="00E80996"/>
    <w:rsid w:val="00E809EF"/>
    <w:rsid w:val="00E80B82"/>
    <w:rsid w:val="00E80B89"/>
    <w:rsid w:val="00E811A6"/>
    <w:rsid w:val="00E812A2"/>
    <w:rsid w:val="00E812A5"/>
    <w:rsid w:val="00E8141E"/>
    <w:rsid w:val="00E817F6"/>
    <w:rsid w:val="00E81818"/>
    <w:rsid w:val="00E8187F"/>
    <w:rsid w:val="00E81967"/>
    <w:rsid w:val="00E81BAF"/>
    <w:rsid w:val="00E81D64"/>
    <w:rsid w:val="00E81E16"/>
    <w:rsid w:val="00E81FCE"/>
    <w:rsid w:val="00E820BE"/>
    <w:rsid w:val="00E8260B"/>
    <w:rsid w:val="00E82644"/>
    <w:rsid w:val="00E82AAE"/>
    <w:rsid w:val="00E82AE3"/>
    <w:rsid w:val="00E82B7B"/>
    <w:rsid w:val="00E82C48"/>
    <w:rsid w:val="00E82DEA"/>
    <w:rsid w:val="00E82F9D"/>
    <w:rsid w:val="00E83056"/>
    <w:rsid w:val="00E830B9"/>
    <w:rsid w:val="00E830DD"/>
    <w:rsid w:val="00E833A1"/>
    <w:rsid w:val="00E833FF"/>
    <w:rsid w:val="00E83406"/>
    <w:rsid w:val="00E837A5"/>
    <w:rsid w:val="00E8380A"/>
    <w:rsid w:val="00E83853"/>
    <w:rsid w:val="00E839C6"/>
    <w:rsid w:val="00E83D2C"/>
    <w:rsid w:val="00E83F2A"/>
    <w:rsid w:val="00E840CE"/>
    <w:rsid w:val="00E8443B"/>
    <w:rsid w:val="00E84AAA"/>
    <w:rsid w:val="00E84C71"/>
    <w:rsid w:val="00E84F7B"/>
    <w:rsid w:val="00E85090"/>
    <w:rsid w:val="00E85344"/>
    <w:rsid w:val="00E854B1"/>
    <w:rsid w:val="00E856AD"/>
    <w:rsid w:val="00E857AB"/>
    <w:rsid w:val="00E858AD"/>
    <w:rsid w:val="00E85A44"/>
    <w:rsid w:val="00E85B38"/>
    <w:rsid w:val="00E85B77"/>
    <w:rsid w:val="00E85BDB"/>
    <w:rsid w:val="00E85C1E"/>
    <w:rsid w:val="00E85CFA"/>
    <w:rsid w:val="00E85DB3"/>
    <w:rsid w:val="00E8609C"/>
    <w:rsid w:val="00E861C9"/>
    <w:rsid w:val="00E8624A"/>
    <w:rsid w:val="00E862A0"/>
    <w:rsid w:val="00E862F8"/>
    <w:rsid w:val="00E869B2"/>
    <w:rsid w:val="00E86AAA"/>
    <w:rsid w:val="00E86C64"/>
    <w:rsid w:val="00E86CC9"/>
    <w:rsid w:val="00E86E5D"/>
    <w:rsid w:val="00E86F38"/>
    <w:rsid w:val="00E8702C"/>
    <w:rsid w:val="00E87187"/>
    <w:rsid w:val="00E8734A"/>
    <w:rsid w:val="00E877C6"/>
    <w:rsid w:val="00E87814"/>
    <w:rsid w:val="00E87940"/>
    <w:rsid w:val="00E87B1E"/>
    <w:rsid w:val="00E87BC5"/>
    <w:rsid w:val="00E87EBD"/>
    <w:rsid w:val="00E902A6"/>
    <w:rsid w:val="00E90393"/>
    <w:rsid w:val="00E90B09"/>
    <w:rsid w:val="00E90C54"/>
    <w:rsid w:val="00E90F3F"/>
    <w:rsid w:val="00E913EA"/>
    <w:rsid w:val="00E913F1"/>
    <w:rsid w:val="00E91478"/>
    <w:rsid w:val="00E916BD"/>
    <w:rsid w:val="00E9179C"/>
    <w:rsid w:val="00E91CFF"/>
    <w:rsid w:val="00E91E95"/>
    <w:rsid w:val="00E91FC2"/>
    <w:rsid w:val="00E9206C"/>
    <w:rsid w:val="00E92444"/>
    <w:rsid w:val="00E924F9"/>
    <w:rsid w:val="00E926F3"/>
    <w:rsid w:val="00E92768"/>
    <w:rsid w:val="00E928A8"/>
    <w:rsid w:val="00E928F0"/>
    <w:rsid w:val="00E92B1E"/>
    <w:rsid w:val="00E92C36"/>
    <w:rsid w:val="00E9306F"/>
    <w:rsid w:val="00E930A1"/>
    <w:rsid w:val="00E93264"/>
    <w:rsid w:val="00E9327B"/>
    <w:rsid w:val="00E933DC"/>
    <w:rsid w:val="00E93548"/>
    <w:rsid w:val="00E93550"/>
    <w:rsid w:val="00E93A29"/>
    <w:rsid w:val="00E93C6F"/>
    <w:rsid w:val="00E93D67"/>
    <w:rsid w:val="00E94165"/>
    <w:rsid w:val="00E94179"/>
    <w:rsid w:val="00E943BC"/>
    <w:rsid w:val="00E9441B"/>
    <w:rsid w:val="00E948D9"/>
    <w:rsid w:val="00E949F5"/>
    <w:rsid w:val="00E94A4D"/>
    <w:rsid w:val="00E94A7D"/>
    <w:rsid w:val="00E94ABD"/>
    <w:rsid w:val="00E94ACB"/>
    <w:rsid w:val="00E94C67"/>
    <w:rsid w:val="00E94DFD"/>
    <w:rsid w:val="00E94E81"/>
    <w:rsid w:val="00E94FCF"/>
    <w:rsid w:val="00E94FD6"/>
    <w:rsid w:val="00E95069"/>
    <w:rsid w:val="00E952B9"/>
    <w:rsid w:val="00E9538A"/>
    <w:rsid w:val="00E95449"/>
    <w:rsid w:val="00E95728"/>
    <w:rsid w:val="00E95B13"/>
    <w:rsid w:val="00E95B4D"/>
    <w:rsid w:val="00E95B5E"/>
    <w:rsid w:val="00E95B5F"/>
    <w:rsid w:val="00E95BE8"/>
    <w:rsid w:val="00E95C18"/>
    <w:rsid w:val="00E95CEF"/>
    <w:rsid w:val="00E95D2A"/>
    <w:rsid w:val="00E95F68"/>
    <w:rsid w:val="00E96097"/>
    <w:rsid w:val="00E960D8"/>
    <w:rsid w:val="00E96225"/>
    <w:rsid w:val="00E9627F"/>
    <w:rsid w:val="00E965EF"/>
    <w:rsid w:val="00E965FE"/>
    <w:rsid w:val="00E966FE"/>
    <w:rsid w:val="00E96762"/>
    <w:rsid w:val="00E9680D"/>
    <w:rsid w:val="00E96AD9"/>
    <w:rsid w:val="00E96ED3"/>
    <w:rsid w:val="00E970A8"/>
    <w:rsid w:val="00E9711A"/>
    <w:rsid w:val="00E9719D"/>
    <w:rsid w:val="00E97265"/>
    <w:rsid w:val="00E975BC"/>
    <w:rsid w:val="00E9798E"/>
    <w:rsid w:val="00E97D48"/>
    <w:rsid w:val="00E97E38"/>
    <w:rsid w:val="00EA0336"/>
    <w:rsid w:val="00EA0545"/>
    <w:rsid w:val="00EA061B"/>
    <w:rsid w:val="00EA06A8"/>
    <w:rsid w:val="00EA079D"/>
    <w:rsid w:val="00EA07FD"/>
    <w:rsid w:val="00EA082F"/>
    <w:rsid w:val="00EA088D"/>
    <w:rsid w:val="00EA0A1C"/>
    <w:rsid w:val="00EA0C5C"/>
    <w:rsid w:val="00EA0CB9"/>
    <w:rsid w:val="00EA0ECA"/>
    <w:rsid w:val="00EA0F4A"/>
    <w:rsid w:val="00EA11F1"/>
    <w:rsid w:val="00EA123D"/>
    <w:rsid w:val="00EA1391"/>
    <w:rsid w:val="00EA1830"/>
    <w:rsid w:val="00EA1855"/>
    <w:rsid w:val="00EA1896"/>
    <w:rsid w:val="00EA18F6"/>
    <w:rsid w:val="00EA1A0E"/>
    <w:rsid w:val="00EA1B8E"/>
    <w:rsid w:val="00EA1E92"/>
    <w:rsid w:val="00EA1F17"/>
    <w:rsid w:val="00EA2036"/>
    <w:rsid w:val="00EA219F"/>
    <w:rsid w:val="00EA236C"/>
    <w:rsid w:val="00EA2380"/>
    <w:rsid w:val="00EA280C"/>
    <w:rsid w:val="00EA29DA"/>
    <w:rsid w:val="00EA2E00"/>
    <w:rsid w:val="00EA32D1"/>
    <w:rsid w:val="00EA334A"/>
    <w:rsid w:val="00EA336E"/>
    <w:rsid w:val="00EA3387"/>
    <w:rsid w:val="00EA3466"/>
    <w:rsid w:val="00EA3B0C"/>
    <w:rsid w:val="00EA3BB0"/>
    <w:rsid w:val="00EA3CFF"/>
    <w:rsid w:val="00EA3DF2"/>
    <w:rsid w:val="00EA3FFC"/>
    <w:rsid w:val="00EA44E4"/>
    <w:rsid w:val="00EA458C"/>
    <w:rsid w:val="00EA4793"/>
    <w:rsid w:val="00EA4915"/>
    <w:rsid w:val="00EA4A53"/>
    <w:rsid w:val="00EA4BBE"/>
    <w:rsid w:val="00EA4D84"/>
    <w:rsid w:val="00EA4DE9"/>
    <w:rsid w:val="00EA4E04"/>
    <w:rsid w:val="00EA4E41"/>
    <w:rsid w:val="00EA4F64"/>
    <w:rsid w:val="00EA4F9F"/>
    <w:rsid w:val="00EA4FBA"/>
    <w:rsid w:val="00EA50DB"/>
    <w:rsid w:val="00EA51B3"/>
    <w:rsid w:val="00EA54B1"/>
    <w:rsid w:val="00EA57BF"/>
    <w:rsid w:val="00EA5849"/>
    <w:rsid w:val="00EA585F"/>
    <w:rsid w:val="00EA5972"/>
    <w:rsid w:val="00EA5BC2"/>
    <w:rsid w:val="00EA5EF8"/>
    <w:rsid w:val="00EA60AD"/>
    <w:rsid w:val="00EA63FC"/>
    <w:rsid w:val="00EA64DA"/>
    <w:rsid w:val="00EA6612"/>
    <w:rsid w:val="00EA6735"/>
    <w:rsid w:val="00EA6BA4"/>
    <w:rsid w:val="00EA6C98"/>
    <w:rsid w:val="00EA6E2D"/>
    <w:rsid w:val="00EA6FC1"/>
    <w:rsid w:val="00EA7420"/>
    <w:rsid w:val="00EA7476"/>
    <w:rsid w:val="00EA752F"/>
    <w:rsid w:val="00EA7547"/>
    <w:rsid w:val="00EA7617"/>
    <w:rsid w:val="00EA7847"/>
    <w:rsid w:val="00EA788C"/>
    <w:rsid w:val="00EA7AD1"/>
    <w:rsid w:val="00EA7BFE"/>
    <w:rsid w:val="00EA7D68"/>
    <w:rsid w:val="00EA7DA1"/>
    <w:rsid w:val="00EB0505"/>
    <w:rsid w:val="00EB0522"/>
    <w:rsid w:val="00EB05EC"/>
    <w:rsid w:val="00EB06D3"/>
    <w:rsid w:val="00EB09EB"/>
    <w:rsid w:val="00EB0A50"/>
    <w:rsid w:val="00EB0AD7"/>
    <w:rsid w:val="00EB0CB3"/>
    <w:rsid w:val="00EB0E60"/>
    <w:rsid w:val="00EB0FCB"/>
    <w:rsid w:val="00EB10D9"/>
    <w:rsid w:val="00EB1103"/>
    <w:rsid w:val="00EB150F"/>
    <w:rsid w:val="00EB1880"/>
    <w:rsid w:val="00EB19F8"/>
    <w:rsid w:val="00EB1C73"/>
    <w:rsid w:val="00EB1E42"/>
    <w:rsid w:val="00EB1FDD"/>
    <w:rsid w:val="00EB206E"/>
    <w:rsid w:val="00EB20FB"/>
    <w:rsid w:val="00EB229D"/>
    <w:rsid w:val="00EB23E8"/>
    <w:rsid w:val="00EB23FD"/>
    <w:rsid w:val="00EB2417"/>
    <w:rsid w:val="00EB24B8"/>
    <w:rsid w:val="00EB25F3"/>
    <w:rsid w:val="00EB274C"/>
    <w:rsid w:val="00EB29AC"/>
    <w:rsid w:val="00EB2A9D"/>
    <w:rsid w:val="00EB2D0D"/>
    <w:rsid w:val="00EB2D43"/>
    <w:rsid w:val="00EB2D97"/>
    <w:rsid w:val="00EB2E15"/>
    <w:rsid w:val="00EB3127"/>
    <w:rsid w:val="00EB368B"/>
    <w:rsid w:val="00EB3832"/>
    <w:rsid w:val="00EB3919"/>
    <w:rsid w:val="00EB3A47"/>
    <w:rsid w:val="00EB3AEA"/>
    <w:rsid w:val="00EB3D64"/>
    <w:rsid w:val="00EB3D99"/>
    <w:rsid w:val="00EB3F57"/>
    <w:rsid w:val="00EB410B"/>
    <w:rsid w:val="00EB4174"/>
    <w:rsid w:val="00EB419E"/>
    <w:rsid w:val="00EB41C3"/>
    <w:rsid w:val="00EB41FC"/>
    <w:rsid w:val="00EB42AF"/>
    <w:rsid w:val="00EB438E"/>
    <w:rsid w:val="00EB458B"/>
    <w:rsid w:val="00EB46DE"/>
    <w:rsid w:val="00EB485A"/>
    <w:rsid w:val="00EB4ACF"/>
    <w:rsid w:val="00EB4C0D"/>
    <w:rsid w:val="00EB4D60"/>
    <w:rsid w:val="00EB4DE5"/>
    <w:rsid w:val="00EB4E0F"/>
    <w:rsid w:val="00EB5313"/>
    <w:rsid w:val="00EB5505"/>
    <w:rsid w:val="00EB5540"/>
    <w:rsid w:val="00EB56E1"/>
    <w:rsid w:val="00EB5825"/>
    <w:rsid w:val="00EB587B"/>
    <w:rsid w:val="00EB58DE"/>
    <w:rsid w:val="00EB596E"/>
    <w:rsid w:val="00EB5999"/>
    <w:rsid w:val="00EB5A90"/>
    <w:rsid w:val="00EB5BE3"/>
    <w:rsid w:val="00EB5CF5"/>
    <w:rsid w:val="00EB6077"/>
    <w:rsid w:val="00EB6197"/>
    <w:rsid w:val="00EB61A6"/>
    <w:rsid w:val="00EB61C2"/>
    <w:rsid w:val="00EB623A"/>
    <w:rsid w:val="00EB62BE"/>
    <w:rsid w:val="00EB644F"/>
    <w:rsid w:val="00EB6915"/>
    <w:rsid w:val="00EB6B0C"/>
    <w:rsid w:val="00EB6B92"/>
    <w:rsid w:val="00EB6C24"/>
    <w:rsid w:val="00EB6D38"/>
    <w:rsid w:val="00EB6D5E"/>
    <w:rsid w:val="00EB6EB4"/>
    <w:rsid w:val="00EB6EC3"/>
    <w:rsid w:val="00EB6EF1"/>
    <w:rsid w:val="00EB70D0"/>
    <w:rsid w:val="00EB70E6"/>
    <w:rsid w:val="00EB71C5"/>
    <w:rsid w:val="00EB7359"/>
    <w:rsid w:val="00EB75E3"/>
    <w:rsid w:val="00EB763D"/>
    <w:rsid w:val="00EB7682"/>
    <w:rsid w:val="00EB76FF"/>
    <w:rsid w:val="00EB7BDC"/>
    <w:rsid w:val="00EB7C1E"/>
    <w:rsid w:val="00EB7CB8"/>
    <w:rsid w:val="00EB7DE5"/>
    <w:rsid w:val="00EB7DE6"/>
    <w:rsid w:val="00EB7F0E"/>
    <w:rsid w:val="00EC0001"/>
    <w:rsid w:val="00EC0142"/>
    <w:rsid w:val="00EC01B3"/>
    <w:rsid w:val="00EC098C"/>
    <w:rsid w:val="00EC0AE8"/>
    <w:rsid w:val="00EC0BA2"/>
    <w:rsid w:val="00EC0C7B"/>
    <w:rsid w:val="00EC0D84"/>
    <w:rsid w:val="00EC0F29"/>
    <w:rsid w:val="00EC10E2"/>
    <w:rsid w:val="00EC126A"/>
    <w:rsid w:val="00EC1328"/>
    <w:rsid w:val="00EC1440"/>
    <w:rsid w:val="00EC180C"/>
    <w:rsid w:val="00EC1866"/>
    <w:rsid w:val="00EC1CAD"/>
    <w:rsid w:val="00EC1EC9"/>
    <w:rsid w:val="00EC2190"/>
    <w:rsid w:val="00EC21F2"/>
    <w:rsid w:val="00EC22D6"/>
    <w:rsid w:val="00EC22F6"/>
    <w:rsid w:val="00EC2329"/>
    <w:rsid w:val="00EC2531"/>
    <w:rsid w:val="00EC26C4"/>
    <w:rsid w:val="00EC2AC3"/>
    <w:rsid w:val="00EC2E59"/>
    <w:rsid w:val="00EC3072"/>
    <w:rsid w:val="00EC3154"/>
    <w:rsid w:val="00EC32B4"/>
    <w:rsid w:val="00EC366E"/>
    <w:rsid w:val="00EC3755"/>
    <w:rsid w:val="00EC37FF"/>
    <w:rsid w:val="00EC3953"/>
    <w:rsid w:val="00EC3BB2"/>
    <w:rsid w:val="00EC3DA8"/>
    <w:rsid w:val="00EC3DAD"/>
    <w:rsid w:val="00EC3F1B"/>
    <w:rsid w:val="00EC3F25"/>
    <w:rsid w:val="00EC3FA4"/>
    <w:rsid w:val="00EC3FD4"/>
    <w:rsid w:val="00EC41A8"/>
    <w:rsid w:val="00EC43EB"/>
    <w:rsid w:val="00EC444A"/>
    <w:rsid w:val="00EC47BD"/>
    <w:rsid w:val="00EC47DD"/>
    <w:rsid w:val="00EC4A83"/>
    <w:rsid w:val="00EC4B2E"/>
    <w:rsid w:val="00EC4D0F"/>
    <w:rsid w:val="00EC4E04"/>
    <w:rsid w:val="00EC4F30"/>
    <w:rsid w:val="00EC5042"/>
    <w:rsid w:val="00EC52CE"/>
    <w:rsid w:val="00EC530F"/>
    <w:rsid w:val="00EC5AB6"/>
    <w:rsid w:val="00EC5B80"/>
    <w:rsid w:val="00EC5D8A"/>
    <w:rsid w:val="00EC5DEA"/>
    <w:rsid w:val="00EC5E5B"/>
    <w:rsid w:val="00EC605B"/>
    <w:rsid w:val="00EC6309"/>
    <w:rsid w:val="00EC637D"/>
    <w:rsid w:val="00EC6616"/>
    <w:rsid w:val="00EC66D7"/>
    <w:rsid w:val="00EC67B5"/>
    <w:rsid w:val="00EC6909"/>
    <w:rsid w:val="00EC691C"/>
    <w:rsid w:val="00EC692B"/>
    <w:rsid w:val="00EC69C6"/>
    <w:rsid w:val="00EC6ADD"/>
    <w:rsid w:val="00EC6AF8"/>
    <w:rsid w:val="00EC6BEC"/>
    <w:rsid w:val="00EC6C39"/>
    <w:rsid w:val="00EC6C70"/>
    <w:rsid w:val="00EC6D6A"/>
    <w:rsid w:val="00EC7111"/>
    <w:rsid w:val="00EC727A"/>
    <w:rsid w:val="00EC7495"/>
    <w:rsid w:val="00EC7505"/>
    <w:rsid w:val="00EC7720"/>
    <w:rsid w:val="00EC7786"/>
    <w:rsid w:val="00EC79BA"/>
    <w:rsid w:val="00EC7BFB"/>
    <w:rsid w:val="00EC7E48"/>
    <w:rsid w:val="00EC7E71"/>
    <w:rsid w:val="00EC7FE6"/>
    <w:rsid w:val="00ED038B"/>
    <w:rsid w:val="00ED06BB"/>
    <w:rsid w:val="00ED06E1"/>
    <w:rsid w:val="00ED090C"/>
    <w:rsid w:val="00ED09FE"/>
    <w:rsid w:val="00ED0B16"/>
    <w:rsid w:val="00ED0EA9"/>
    <w:rsid w:val="00ED10F0"/>
    <w:rsid w:val="00ED160E"/>
    <w:rsid w:val="00ED191B"/>
    <w:rsid w:val="00ED19D8"/>
    <w:rsid w:val="00ED1A48"/>
    <w:rsid w:val="00ED1A54"/>
    <w:rsid w:val="00ED1B57"/>
    <w:rsid w:val="00ED1C15"/>
    <w:rsid w:val="00ED213D"/>
    <w:rsid w:val="00ED220B"/>
    <w:rsid w:val="00ED249B"/>
    <w:rsid w:val="00ED24AB"/>
    <w:rsid w:val="00ED251E"/>
    <w:rsid w:val="00ED29E7"/>
    <w:rsid w:val="00ED2A9C"/>
    <w:rsid w:val="00ED2E45"/>
    <w:rsid w:val="00ED3193"/>
    <w:rsid w:val="00ED333E"/>
    <w:rsid w:val="00ED355D"/>
    <w:rsid w:val="00ED37FC"/>
    <w:rsid w:val="00ED3837"/>
    <w:rsid w:val="00ED3FD2"/>
    <w:rsid w:val="00ED4027"/>
    <w:rsid w:val="00ED4192"/>
    <w:rsid w:val="00ED4239"/>
    <w:rsid w:val="00ED42FC"/>
    <w:rsid w:val="00ED45D6"/>
    <w:rsid w:val="00ED45FA"/>
    <w:rsid w:val="00ED4649"/>
    <w:rsid w:val="00ED46C4"/>
    <w:rsid w:val="00ED47B8"/>
    <w:rsid w:val="00ED49AB"/>
    <w:rsid w:val="00ED49F3"/>
    <w:rsid w:val="00ED4AEE"/>
    <w:rsid w:val="00ED4B3D"/>
    <w:rsid w:val="00ED4C93"/>
    <w:rsid w:val="00ED4E7B"/>
    <w:rsid w:val="00ED4FC9"/>
    <w:rsid w:val="00ED50CF"/>
    <w:rsid w:val="00ED54D9"/>
    <w:rsid w:val="00ED5855"/>
    <w:rsid w:val="00ED5A99"/>
    <w:rsid w:val="00ED5D55"/>
    <w:rsid w:val="00ED5FAE"/>
    <w:rsid w:val="00ED602E"/>
    <w:rsid w:val="00ED61FD"/>
    <w:rsid w:val="00ED6419"/>
    <w:rsid w:val="00ED6551"/>
    <w:rsid w:val="00ED6646"/>
    <w:rsid w:val="00ED6698"/>
    <w:rsid w:val="00ED6699"/>
    <w:rsid w:val="00ED672B"/>
    <w:rsid w:val="00ED6849"/>
    <w:rsid w:val="00ED6868"/>
    <w:rsid w:val="00ED6897"/>
    <w:rsid w:val="00ED6F13"/>
    <w:rsid w:val="00ED7221"/>
    <w:rsid w:val="00ED7307"/>
    <w:rsid w:val="00ED734F"/>
    <w:rsid w:val="00ED73CD"/>
    <w:rsid w:val="00ED773E"/>
    <w:rsid w:val="00ED782C"/>
    <w:rsid w:val="00ED78ED"/>
    <w:rsid w:val="00ED7AD2"/>
    <w:rsid w:val="00ED7C68"/>
    <w:rsid w:val="00ED7D53"/>
    <w:rsid w:val="00ED7F0E"/>
    <w:rsid w:val="00ED7FAD"/>
    <w:rsid w:val="00EE075F"/>
    <w:rsid w:val="00EE078B"/>
    <w:rsid w:val="00EE0954"/>
    <w:rsid w:val="00EE0C15"/>
    <w:rsid w:val="00EE0C68"/>
    <w:rsid w:val="00EE11A6"/>
    <w:rsid w:val="00EE13CB"/>
    <w:rsid w:val="00EE1529"/>
    <w:rsid w:val="00EE1613"/>
    <w:rsid w:val="00EE177A"/>
    <w:rsid w:val="00EE1AFD"/>
    <w:rsid w:val="00EE1AFE"/>
    <w:rsid w:val="00EE1EC5"/>
    <w:rsid w:val="00EE203F"/>
    <w:rsid w:val="00EE20F7"/>
    <w:rsid w:val="00EE21CB"/>
    <w:rsid w:val="00EE228F"/>
    <w:rsid w:val="00EE231C"/>
    <w:rsid w:val="00EE26BF"/>
    <w:rsid w:val="00EE277C"/>
    <w:rsid w:val="00EE2820"/>
    <w:rsid w:val="00EE2C57"/>
    <w:rsid w:val="00EE2C73"/>
    <w:rsid w:val="00EE32E5"/>
    <w:rsid w:val="00EE33C9"/>
    <w:rsid w:val="00EE3527"/>
    <w:rsid w:val="00EE353D"/>
    <w:rsid w:val="00EE370E"/>
    <w:rsid w:val="00EE3A2A"/>
    <w:rsid w:val="00EE3A89"/>
    <w:rsid w:val="00EE3DE3"/>
    <w:rsid w:val="00EE3E35"/>
    <w:rsid w:val="00EE3FCA"/>
    <w:rsid w:val="00EE41DB"/>
    <w:rsid w:val="00EE4330"/>
    <w:rsid w:val="00EE4409"/>
    <w:rsid w:val="00EE4A46"/>
    <w:rsid w:val="00EE4A66"/>
    <w:rsid w:val="00EE4D1B"/>
    <w:rsid w:val="00EE4ECB"/>
    <w:rsid w:val="00EE5435"/>
    <w:rsid w:val="00EE5B40"/>
    <w:rsid w:val="00EE63AB"/>
    <w:rsid w:val="00EE676C"/>
    <w:rsid w:val="00EE6790"/>
    <w:rsid w:val="00EE684A"/>
    <w:rsid w:val="00EE6891"/>
    <w:rsid w:val="00EE6A4F"/>
    <w:rsid w:val="00EE6A8A"/>
    <w:rsid w:val="00EE6CCB"/>
    <w:rsid w:val="00EE6E66"/>
    <w:rsid w:val="00EE6EC2"/>
    <w:rsid w:val="00EE7180"/>
    <w:rsid w:val="00EE74CF"/>
    <w:rsid w:val="00EE764B"/>
    <w:rsid w:val="00EE770F"/>
    <w:rsid w:val="00EE779A"/>
    <w:rsid w:val="00EE7885"/>
    <w:rsid w:val="00EE7A62"/>
    <w:rsid w:val="00EE7E55"/>
    <w:rsid w:val="00EF0010"/>
    <w:rsid w:val="00EF0049"/>
    <w:rsid w:val="00EF04ED"/>
    <w:rsid w:val="00EF0604"/>
    <w:rsid w:val="00EF08C2"/>
    <w:rsid w:val="00EF099A"/>
    <w:rsid w:val="00EF0AAD"/>
    <w:rsid w:val="00EF0B23"/>
    <w:rsid w:val="00EF0B47"/>
    <w:rsid w:val="00EF1077"/>
    <w:rsid w:val="00EF1143"/>
    <w:rsid w:val="00EF11C2"/>
    <w:rsid w:val="00EF11C3"/>
    <w:rsid w:val="00EF12BF"/>
    <w:rsid w:val="00EF175B"/>
    <w:rsid w:val="00EF18DD"/>
    <w:rsid w:val="00EF1967"/>
    <w:rsid w:val="00EF196B"/>
    <w:rsid w:val="00EF1972"/>
    <w:rsid w:val="00EF19FA"/>
    <w:rsid w:val="00EF1A4B"/>
    <w:rsid w:val="00EF1AB4"/>
    <w:rsid w:val="00EF1AF8"/>
    <w:rsid w:val="00EF1C66"/>
    <w:rsid w:val="00EF1CF5"/>
    <w:rsid w:val="00EF1E10"/>
    <w:rsid w:val="00EF2351"/>
    <w:rsid w:val="00EF237B"/>
    <w:rsid w:val="00EF23A9"/>
    <w:rsid w:val="00EF261B"/>
    <w:rsid w:val="00EF2648"/>
    <w:rsid w:val="00EF26FA"/>
    <w:rsid w:val="00EF28FC"/>
    <w:rsid w:val="00EF296A"/>
    <w:rsid w:val="00EF2B7E"/>
    <w:rsid w:val="00EF2D3B"/>
    <w:rsid w:val="00EF3110"/>
    <w:rsid w:val="00EF3234"/>
    <w:rsid w:val="00EF3713"/>
    <w:rsid w:val="00EF3FB4"/>
    <w:rsid w:val="00EF40FA"/>
    <w:rsid w:val="00EF41E9"/>
    <w:rsid w:val="00EF4308"/>
    <w:rsid w:val="00EF4345"/>
    <w:rsid w:val="00EF44EE"/>
    <w:rsid w:val="00EF4A52"/>
    <w:rsid w:val="00EF4CF0"/>
    <w:rsid w:val="00EF4E1E"/>
    <w:rsid w:val="00EF5210"/>
    <w:rsid w:val="00EF5256"/>
    <w:rsid w:val="00EF5391"/>
    <w:rsid w:val="00EF554D"/>
    <w:rsid w:val="00EF5861"/>
    <w:rsid w:val="00EF58C6"/>
    <w:rsid w:val="00EF5B4A"/>
    <w:rsid w:val="00EF5D39"/>
    <w:rsid w:val="00EF5D6B"/>
    <w:rsid w:val="00EF5D94"/>
    <w:rsid w:val="00EF610E"/>
    <w:rsid w:val="00EF63D2"/>
    <w:rsid w:val="00EF6471"/>
    <w:rsid w:val="00EF6482"/>
    <w:rsid w:val="00EF64C5"/>
    <w:rsid w:val="00EF6658"/>
    <w:rsid w:val="00EF6713"/>
    <w:rsid w:val="00EF68C3"/>
    <w:rsid w:val="00EF68C6"/>
    <w:rsid w:val="00EF6968"/>
    <w:rsid w:val="00EF6BF3"/>
    <w:rsid w:val="00EF6C9F"/>
    <w:rsid w:val="00EF6D05"/>
    <w:rsid w:val="00EF7424"/>
    <w:rsid w:val="00EF75FE"/>
    <w:rsid w:val="00EF7600"/>
    <w:rsid w:val="00EF7647"/>
    <w:rsid w:val="00EF7670"/>
    <w:rsid w:val="00EF774C"/>
    <w:rsid w:val="00EF7794"/>
    <w:rsid w:val="00EF799C"/>
    <w:rsid w:val="00EF79A2"/>
    <w:rsid w:val="00EF7AAF"/>
    <w:rsid w:val="00EF7EE4"/>
    <w:rsid w:val="00F00055"/>
    <w:rsid w:val="00F0023D"/>
    <w:rsid w:val="00F0040C"/>
    <w:rsid w:val="00F0062D"/>
    <w:rsid w:val="00F00729"/>
    <w:rsid w:val="00F0072D"/>
    <w:rsid w:val="00F00758"/>
    <w:rsid w:val="00F00909"/>
    <w:rsid w:val="00F009F9"/>
    <w:rsid w:val="00F00B27"/>
    <w:rsid w:val="00F00B43"/>
    <w:rsid w:val="00F00EB8"/>
    <w:rsid w:val="00F00F69"/>
    <w:rsid w:val="00F01009"/>
    <w:rsid w:val="00F01461"/>
    <w:rsid w:val="00F016FD"/>
    <w:rsid w:val="00F0198D"/>
    <w:rsid w:val="00F019D2"/>
    <w:rsid w:val="00F01E3D"/>
    <w:rsid w:val="00F01EB2"/>
    <w:rsid w:val="00F01F2F"/>
    <w:rsid w:val="00F0202A"/>
    <w:rsid w:val="00F0213C"/>
    <w:rsid w:val="00F022B2"/>
    <w:rsid w:val="00F02458"/>
    <w:rsid w:val="00F025B6"/>
    <w:rsid w:val="00F0285F"/>
    <w:rsid w:val="00F02978"/>
    <w:rsid w:val="00F02A38"/>
    <w:rsid w:val="00F02C38"/>
    <w:rsid w:val="00F02DED"/>
    <w:rsid w:val="00F02FE7"/>
    <w:rsid w:val="00F030A9"/>
    <w:rsid w:val="00F03121"/>
    <w:rsid w:val="00F0316F"/>
    <w:rsid w:val="00F0336C"/>
    <w:rsid w:val="00F03454"/>
    <w:rsid w:val="00F03497"/>
    <w:rsid w:val="00F03577"/>
    <w:rsid w:val="00F035E0"/>
    <w:rsid w:val="00F039A4"/>
    <w:rsid w:val="00F039B6"/>
    <w:rsid w:val="00F03EB6"/>
    <w:rsid w:val="00F0450E"/>
    <w:rsid w:val="00F04569"/>
    <w:rsid w:val="00F048B9"/>
    <w:rsid w:val="00F048D7"/>
    <w:rsid w:val="00F048EC"/>
    <w:rsid w:val="00F04C2F"/>
    <w:rsid w:val="00F04C56"/>
    <w:rsid w:val="00F04D8D"/>
    <w:rsid w:val="00F04FFA"/>
    <w:rsid w:val="00F0509A"/>
    <w:rsid w:val="00F051B6"/>
    <w:rsid w:val="00F053F5"/>
    <w:rsid w:val="00F05412"/>
    <w:rsid w:val="00F05507"/>
    <w:rsid w:val="00F0566B"/>
    <w:rsid w:val="00F056B2"/>
    <w:rsid w:val="00F056D5"/>
    <w:rsid w:val="00F05A02"/>
    <w:rsid w:val="00F05C13"/>
    <w:rsid w:val="00F05D7D"/>
    <w:rsid w:val="00F05E67"/>
    <w:rsid w:val="00F05EE8"/>
    <w:rsid w:val="00F05F23"/>
    <w:rsid w:val="00F05FD2"/>
    <w:rsid w:val="00F06016"/>
    <w:rsid w:val="00F060C3"/>
    <w:rsid w:val="00F062D2"/>
    <w:rsid w:val="00F0653A"/>
    <w:rsid w:val="00F066D2"/>
    <w:rsid w:val="00F06892"/>
    <w:rsid w:val="00F068CF"/>
    <w:rsid w:val="00F068DC"/>
    <w:rsid w:val="00F06A6F"/>
    <w:rsid w:val="00F06BAF"/>
    <w:rsid w:val="00F06D7F"/>
    <w:rsid w:val="00F06DF7"/>
    <w:rsid w:val="00F06F92"/>
    <w:rsid w:val="00F0722D"/>
    <w:rsid w:val="00F07414"/>
    <w:rsid w:val="00F0752D"/>
    <w:rsid w:val="00F0753D"/>
    <w:rsid w:val="00F0793D"/>
    <w:rsid w:val="00F07C5A"/>
    <w:rsid w:val="00F07E91"/>
    <w:rsid w:val="00F07FB8"/>
    <w:rsid w:val="00F103B7"/>
    <w:rsid w:val="00F10456"/>
    <w:rsid w:val="00F1071B"/>
    <w:rsid w:val="00F10C69"/>
    <w:rsid w:val="00F10CB3"/>
    <w:rsid w:val="00F10DA1"/>
    <w:rsid w:val="00F10E47"/>
    <w:rsid w:val="00F10EFB"/>
    <w:rsid w:val="00F10F15"/>
    <w:rsid w:val="00F10F85"/>
    <w:rsid w:val="00F11043"/>
    <w:rsid w:val="00F112C3"/>
    <w:rsid w:val="00F1149E"/>
    <w:rsid w:val="00F11875"/>
    <w:rsid w:val="00F119AA"/>
    <w:rsid w:val="00F11AC1"/>
    <w:rsid w:val="00F11B43"/>
    <w:rsid w:val="00F11D63"/>
    <w:rsid w:val="00F11D99"/>
    <w:rsid w:val="00F120FD"/>
    <w:rsid w:val="00F1287C"/>
    <w:rsid w:val="00F12890"/>
    <w:rsid w:val="00F12ADF"/>
    <w:rsid w:val="00F12C07"/>
    <w:rsid w:val="00F12D83"/>
    <w:rsid w:val="00F12E98"/>
    <w:rsid w:val="00F12EF9"/>
    <w:rsid w:val="00F12FF0"/>
    <w:rsid w:val="00F13067"/>
    <w:rsid w:val="00F1337F"/>
    <w:rsid w:val="00F13A1A"/>
    <w:rsid w:val="00F13A4E"/>
    <w:rsid w:val="00F13AE7"/>
    <w:rsid w:val="00F13BBD"/>
    <w:rsid w:val="00F1449A"/>
    <w:rsid w:val="00F1468D"/>
    <w:rsid w:val="00F1480C"/>
    <w:rsid w:val="00F14875"/>
    <w:rsid w:val="00F14921"/>
    <w:rsid w:val="00F1498E"/>
    <w:rsid w:val="00F149BE"/>
    <w:rsid w:val="00F14AA1"/>
    <w:rsid w:val="00F14D59"/>
    <w:rsid w:val="00F14DD8"/>
    <w:rsid w:val="00F14F88"/>
    <w:rsid w:val="00F15216"/>
    <w:rsid w:val="00F15366"/>
    <w:rsid w:val="00F15420"/>
    <w:rsid w:val="00F1547E"/>
    <w:rsid w:val="00F154ED"/>
    <w:rsid w:val="00F1570C"/>
    <w:rsid w:val="00F15942"/>
    <w:rsid w:val="00F1594C"/>
    <w:rsid w:val="00F15A3F"/>
    <w:rsid w:val="00F15B3C"/>
    <w:rsid w:val="00F15C46"/>
    <w:rsid w:val="00F15D76"/>
    <w:rsid w:val="00F15DB7"/>
    <w:rsid w:val="00F15E00"/>
    <w:rsid w:val="00F15F89"/>
    <w:rsid w:val="00F1604A"/>
    <w:rsid w:val="00F163CE"/>
    <w:rsid w:val="00F1691C"/>
    <w:rsid w:val="00F16A5D"/>
    <w:rsid w:val="00F16A73"/>
    <w:rsid w:val="00F16AF1"/>
    <w:rsid w:val="00F16B3A"/>
    <w:rsid w:val="00F16C1A"/>
    <w:rsid w:val="00F16D93"/>
    <w:rsid w:val="00F16E26"/>
    <w:rsid w:val="00F16EA6"/>
    <w:rsid w:val="00F1733F"/>
    <w:rsid w:val="00F1737C"/>
    <w:rsid w:val="00F173B5"/>
    <w:rsid w:val="00F17490"/>
    <w:rsid w:val="00F1776B"/>
    <w:rsid w:val="00F177C8"/>
    <w:rsid w:val="00F17844"/>
    <w:rsid w:val="00F17B86"/>
    <w:rsid w:val="00F17D51"/>
    <w:rsid w:val="00F17DB1"/>
    <w:rsid w:val="00F17DB3"/>
    <w:rsid w:val="00F17FE6"/>
    <w:rsid w:val="00F20069"/>
    <w:rsid w:val="00F201D4"/>
    <w:rsid w:val="00F201D5"/>
    <w:rsid w:val="00F203BF"/>
    <w:rsid w:val="00F203F8"/>
    <w:rsid w:val="00F2047E"/>
    <w:rsid w:val="00F2078B"/>
    <w:rsid w:val="00F20991"/>
    <w:rsid w:val="00F20BB9"/>
    <w:rsid w:val="00F20D50"/>
    <w:rsid w:val="00F21158"/>
    <w:rsid w:val="00F211E6"/>
    <w:rsid w:val="00F21283"/>
    <w:rsid w:val="00F213F0"/>
    <w:rsid w:val="00F21456"/>
    <w:rsid w:val="00F2148D"/>
    <w:rsid w:val="00F215A4"/>
    <w:rsid w:val="00F21623"/>
    <w:rsid w:val="00F216D0"/>
    <w:rsid w:val="00F21A96"/>
    <w:rsid w:val="00F21AB6"/>
    <w:rsid w:val="00F21AD3"/>
    <w:rsid w:val="00F21C36"/>
    <w:rsid w:val="00F21C73"/>
    <w:rsid w:val="00F21F42"/>
    <w:rsid w:val="00F21FBE"/>
    <w:rsid w:val="00F2228D"/>
    <w:rsid w:val="00F225F9"/>
    <w:rsid w:val="00F2265C"/>
    <w:rsid w:val="00F2293D"/>
    <w:rsid w:val="00F22ACE"/>
    <w:rsid w:val="00F22C63"/>
    <w:rsid w:val="00F22C8E"/>
    <w:rsid w:val="00F22CC9"/>
    <w:rsid w:val="00F22CED"/>
    <w:rsid w:val="00F23204"/>
    <w:rsid w:val="00F2345C"/>
    <w:rsid w:val="00F23550"/>
    <w:rsid w:val="00F235CB"/>
    <w:rsid w:val="00F23F5D"/>
    <w:rsid w:val="00F24334"/>
    <w:rsid w:val="00F24428"/>
    <w:rsid w:val="00F24552"/>
    <w:rsid w:val="00F245A5"/>
    <w:rsid w:val="00F2464B"/>
    <w:rsid w:val="00F24760"/>
    <w:rsid w:val="00F247F9"/>
    <w:rsid w:val="00F2486E"/>
    <w:rsid w:val="00F24C63"/>
    <w:rsid w:val="00F24DF7"/>
    <w:rsid w:val="00F24F4F"/>
    <w:rsid w:val="00F252F5"/>
    <w:rsid w:val="00F2548F"/>
    <w:rsid w:val="00F25820"/>
    <w:rsid w:val="00F25838"/>
    <w:rsid w:val="00F25C50"/>
    <w:rsid w:val="00F26310"/>
    <w:rsid w:val="00F26578"/>
    <w:rsid w:val="00F26A5F"/>
    <w:rsid w:val="00F26A7E"/>
    <w:rsid w:val="00F26B59"/>
    <w:rsid w:val="00F26D21"/>
    <w:rsid w:val="00F26EB1"/>
    <w:rsid w:val="00F26F0C"/>
    <w:rsid w:val="00F26F74"/>
    <w:rsid w:val="00F271DA"/>
    <w:rsid w:val="00F274D2"/>
    <w:rsid w:val="00F275AC"/>
    <w:rsid w:val="00F275D8"/>
    <w:rsid w:val="00F2794D"/>
    <w:rsid w:val="00F27B56"/>
    <w:rsid w:val="00F27C06"/>
    <w:rsid w:val="00F27E34"/>
    <w:rsid w:val="00F27EBE"/>
    <w:rsid w:val="00F27FB1"/>
    <w:rsid w:val="00F30051"/>
    <w:rsid w:val="00F30106"/>
    <w:rsid w:val="00F30402"/>
    <w:rsid w:val="00F304C3"/>
    <w:rsid w:val="00F305C9"/>
    <w:rsid w:val="00F30713"/>
    <w:rsid w:val="00F30947"/>
    <w:rsid w:val="00F30AB1"/>
    <w:rsid w:val="00F30AB5"/>
    <w:rsid w:val="00F30ACD"/>
    <w:rsid w:val="00F310AE"/>
    <w:rsid w:val="00F31127"/>
    <w:rsid w:val="00F3112D"/>
    <w:rsid w:val="00F31222"/>
    <w:rsid w:val="00F31228"/>
    <w:rsid w:val="00F31261"/>
    <w:rsid w:val="00F31544"/>
    <w:rsid w:val="00F3180E"/>
    <w:rsid w:val="00F3186B"/>
    <w:rsid w:val="00F319C0"/>
    <w:rsid w:val="00F31BB7"/>
    <w:rsid w:val="00F31CC3"/>
    <w:rsid w:val="00F31D2F"/>
    <w:rsid w:val="00F31F5B"/>
    <w:rsid w:val="00F32027"/>
    <w:rsid w:val="00F325C0"/>
    <w:rsid w:val="00F3276D"/>
    <w:rsid w:val="00F3291E"/>
    <w:rsid w:val="00F32B38"/>
    <w:rsid w:val="00F33172"/>
    <w:rsid w:val="00F334C9"/>
    <w:rsid w:val="00F33545"/>
    <w:rsid w:val="00F336CB"/>
    <w:rsid w:val="00F33961"/>
    <w:rsid w:val="00F33AC8"/>
    <w:rsid w:val="00F33CD0"/>
    <w:rsid w:val="00F33DC5"/>
    <w:rsid w:val="00F341E9"/>
    <w:rsid w:val="00F342C6"/>
    <w:rsid w:val="00F34614"/>
    <w:rsid w:val="00F347D7"/>
    <w:rsid w:val="00F34872"/>
    <w:rsid w:val="00F348BA"/>
    <w:rsid w:val="00F348DA"/>
    <w:rsid w:val="00F3491B"/>
    <w:rsid w:val="00F349CD"/>
    <w:rsid w:val="00F34C6E"/>
    <w:rsid w:val="00F34CB4"/>
    <w:rsid w:val="00F34F5C"/>
    <w:rsid w:val="00F35577"/>
    <w:rsid w:val="00F356D7"/>
    <w:rsid w:val="00F356E4"/>
    <w:rsid w:val="00F35F84"/>
    <w:rsid w:val="00F36417"/>
    <w:rsid w:val="00F3647B"/>
    <w:rsid w:val="00F3648E"/>
    <w:rsid w:val="00F3661F"/>
    <w:rsid w:val="00F36994"/>
    <w:rsid w:val="00F36AD7"/>
    <w:rsid w:val="00F36B10"/>
    <w:rsid w:val="00F36B67"/>
    <w:rsid w:val="00F36EED"/>
    <w:rsid w:val="00F3705D"/>
    <w:rsid w:val="00F370B9"/>
    <w:rsid w:val="00F374C5"/>
    <w:rsid w:val="00F374D5"/>
    <w:rsid w:val="00F3754E"/>
    <w:rsid w:val="00F3775B"/>
    <w:rsid w:val="00F37A09"/>
    <w:rsid w:val="00F37BBC"/>
    <w:rsid w:val="00F37D5F"/>
    <w:rsid w:val="00F40219"/>
    <w:rsid w:val="00F40637"/>
    <w:rsid w:val="00F409E6"/>
    <w:rsid w:val="00F40C9F"/>
    <w:rsid w:val="00F40D47"/>
    <w:rsid w:val="00F40D91"/>
    <w:rsid w:val="00F40E20"/>
    <w:rsid w:val="00F40F6F"/>
    <w:rsid w:val="00F4120A"/>
    <w:rsid w:val="00F41276"/>
    <w:rsid w:val="00F412DC"/>
    <w:rsid w:val="00F41415"/>
    <w:rsid w:val="00F41516"/>
    <w:rsid w:val="00F41628"/>
    <w:rsid w:val="00F41660"/>
    <w:rsid w:val="00F416EE"/>
    <w:rsid w:val="00F418BC"/>
    <w:rsid w:val="00F41D86"/>
    <w:rsid w:val="00F41DEF"/>
    <w:rsid w:val="00F41EBB"/>
    <w:rsid w:val="00F4222C"/>
    <w:rsid w:val="00F42236"/>
    <w:rsid w:val="00F422BB"/>
    <w:rsid w:val="00F4265E"/>
    <w:rsid w:val="00F427AF"/>
    <w:rsid w:val="00F4283E"/>
    <w:rsid w:val="00F4284C"/>
    <w:rsid w:val="00F428BE"/>
    <w:rsid w:val="00F42C13"/>
    <w:rsid w:val="00F42C99"/>
    <w:rsid w:val="00F42F57"/>
    <w:rsid w:val="00F431E6"/>
    <w:rsid w:val="00F4324A"/>
    <w:rsid w:val="00F43342"/>
    <w:rsid w:val="00F434C8"/>
    <w:rsid w:val="00F435D3"/>
    <w:rsid w:val="00F435E9"/>
    <w:rsid w:val="00F43620"/>
    <w:rsid w:val="00F43925"/>
    <w:rsid w:val="00F43BEA"/>
    <w:rsid w:val="00F43CFD"/>
    <w:rsid w:val="00F43DEC"/>
    <w:rsid w:val="00F43FA0"/>
    <w:rsid w:val="00F440B8"/>
    <w:rsid w:val="00F44483"/>
    <w:rsid w:val="00F448E0"/>
    <w:rsid w:val="00F4492E"/>
    <w:rsid w:val="00F449BC"/>
    <w:rsid w:val="00F44A0F"/>
    <w:rsid w:val="00F44AD7"/>
    <w:rsid w:val="00F44C9F"/>
    <w:rsid w:val="00F44CB5"/>
    <w:rsid w:val="00F44EF3"/>
    <w:rsid w:val="00F45031"/>
    <w:rsid w:val="00F452F9"/>
    <w:rsid w:val="00F4590C"/>
    <w:rsid w:val="00F45A28"/>
    <w:rsid w:val="00F45A7D"/>
    <w:rsid w:val="00F45C95"/>
    <w:rsid w:val="00F45CB9"/>
    <w:rsid w:val="00F45E77"/>
    <w:rsid w:val="00F45F46"/>
    <w:rsid w:val="00F46365"/>
    <w:rsid w:val="00F46678"/>
    <w:rsid w:val="00F4692D"/>
    <w:rsid w:val="00F46A4D"/>
    <w:rsid w:val="00F46C4B"/>
    <w:rsid w:val="00F46DDB"/>
    <w:rsid w:val="00F46DED"/>
    <w:rsid w:val="00F46EAE"/>
    <w:rsid w:val="00F46EBA"/>
    <w:rsid w:val="00F46EF5"/>
    <w:rsid w:val="00F46FA9"/>
    <w:rsid w:val="00F46FEE"/>
    <w:rsid w:val="00F4702E"/>
    <w:rsid w:val="00F4723A"/>
    <w:rsid w:val="00F473C4"/>
    <w:rsid w:val="00F47566"/>
    <w:rsid w:val="00F47771"/>
    <w:rsid w:val="00F47C33"/>
    <w:rsid w:val="00F47D7F"/>
    <w:rsid w:val="00F47E16"/>
    <w:rsid w:val="00F500F9"/>
    <w:rsid w:val="00F50130"/>
    <w:rsid w:val="00F504E2"/>
    <w:rsid w:val="00F50595"/>
    <w:rsid w:val="00F506A9"/>
    <w:rsid w:val="00F5090C"/>
    <w:rsid w:val="00F50B09"/>
    <w:rsid w:val="00F50BF8"/>
    <w:rsid w:val="00F50C09"/>
    <w:rsid w:val="00F51242"/>
    <w:rsid w:val="00F51453"/>
    <w:rsid w:val="00F51749"/>
    <w:rsid w:val="00F51820"/>
    <w:rsid w:val="00F518A5"/>
    <w:rsid w:val="00F519A1"/>
    <w:rsid w:val="00F51AEF"/>
    <w:rsid w:val="00F51FA4"/>
    <w:rsid w:val="00F520B5"/>
    <w:rsid w:val="00F522A2"/>
    <w:rsid w:val="00F52610"/>
    <w:rsid w:val="00F52670"/>
    <w:rsid w:val="00F528C7"/>
    <w:rsid w:val="00F529B0"/>
    <w:rsid w:val="00F52A5C"/>
    <w:rsid w:val="00F52BD7"/>
    <w:rsid w:val="00F52BE1"/>
    <w:rsid w:val="00F53082"/>
    <w:rsid w:val="00F534C2"/>
    <w:rsid w:val="00F5376F"/>
    <w:rsid w:val="00F538C7"/>
    <w:rsid w:val="00F539BF"/>
    <w:rsid w:val="00F53B52"/>
    <w:rsid w:val="00F53D4A"/>
    <w:rsid w:val="00F53FD9"/>
    <w:rsid w:val="00F541B7"/>
    <w:rsid w:val="00F5445C"/>
    <w:rsid w:val="00F544E1"/>
    <w:rsid w:val="00F54702"/>
    <w:rsid w:val="00F548BE"/>
    <w:rsid w:val="00F54954"/>
    <w:rsid w:val="00F54BD0"/>
    <w:rsid w:val="00F54BE0"/>
    <w:rsid w:val="00F54D7F"/>
    <w:rsid w:val="00F54D9B"/>
    <w:rsid w:val="00F54DDE"/>
    <w:rsid w:val="00F54DEA"/>
    <w:rsid w:val="00F55175"/>
    <w:rsid w:val="00F55230"/>
    <w:rsid w:val="00F55279"/>
    <w:rsid w:val="00F552D9"/>
    <w:rsid w:val="00F556E3"/>
    <w:rsid w:val="00F55738"/>
    <w:rsid w:val="00F558A6"/>
    <w:rsid w:val="00F55FF9"/>
    <w:rsid w:val="00F5611F"/>
    <w:rsid w:val="00F561F5"/>
    <w:rsid w:val="00F562BC"/>
    <w:rsid w:val="00F564C2"/>
    <w:rsid w:val="00F5667F"/>
    <w:rsid w:val="00F567C1"/>
    <w:rsid w:val="00F569F1"/>
    <w:rsid w:val="00F56B15"/>
    <w:rsid w:val="00F570D4"/>
    <w:rsid w:val="00F5738D"/>
    <w:rsid w:val="00F5743D"/>
    <w:rsid w:val="00F57455"/>
    <w:rsid w:val="00F575ED"/>
    <w:rsid w:val="00F57611"/>
    <w:rsid w:val="00F576A1"/>
    <w:rsid w:val="00F576E6"/>
    <w:rsid w:val="00F5776F"/>
    <w:rsid w:val="00F57A56"/>
    <w:rsid w:val="00F57A62"/>
    <w:rsid w:val="00F57C73"/>
    <w:rsid w:val="00F57D1D"/>
    <w:rsid w:val="00F57F5B"/>
    <w:rsid w:val="00F60055"/>
    <w:rsid w:val="00F602C4"/>
    <w:rsid w:val="00F6032A"/>
    <w:rsid w:val="00F60489"/>
    <w:rsid w:val="00F60620"/>
    <w:rsid w:val="00F60B9B"/>
    <w:rsid w:val="00F60EC7"/>
    <w:rsid w:val="00F60FE4"/>
    <w:rsid w:val="00F6105C"/>
    <w:rsid w:val="00F61117"/>
    <w:rsid w:val="00F611BA"/>
    <w:rsid w:val="00F615DF"/>
    <w:rsid w:val="00F61615"/>
    <w:rsid w:val="00F616D5"/>
    <w:rsid w:val="00F61733"/>
    <w:rsid w:val="00F61B21"/>
    <w:rsid w:val="00F61C95"/>
    <w:rsid w:val="00F61D61"/>
    <w:rsid w:val="00F61E31"/>
    <w:rsid w:val="00F62272"/>
    <w:rsid w:val="00F626BE"/>
    <w:rsid w:val="00F629AA"/>
    <w:rsid w:val="00F629EE"/>
    <w:rsid w:val="00F62B2D"/>
    <w:rsid w:val="00F62FFA"/>
    <w:rsid w:val="00F63385"/>
    <w:rsid w:val="00F63442"/>
    <w:rsid w:val="00F63636"/>
    <w:rsid w:val="00F63832"/>
    <w:rsid w:val="00F63A12"/>
    <w:rsid w:val="00F63FAE"/>
    <w:rsid w:val="00F640B9"/>
    <w:rsid w:val="00F641A9"/>
    <w:rsid w:val="00F64342"/>
    <w:rsid w:val="00F644BC"/>
    <w:rsid w:val="00F645FC"/>
    <w:rsid w:val="00F646F7"/>
    <w:rsid w:val="00F646FF"/>
    <w:rsid w:val="00F64BA1"/>
    <w:rsid w:val="00F650EE"/>
    <w:rsid w:val="00F65239"/>
    <w:rsid w:val="00F65282"/>
    <w:rsid w:val="00F6528E"/>
    <w:rsid w:val="00F65563"/>
    <w:rsid w:val="00F6578D"/>
    <w:rsid w:val="00F657D7"/>
    <w:rsid w:val="00F657E1"/>
    <w:rsid w:val="00F65B1A"/>
    <w:rsid w:val="00F65B1E"/>
    <w:rsid w:val="00F66087"/>
    <w:rsid w:val="00F6610C"/>
    <w:rsid w:val="00F66955"/>
    <w:rsid w:val="00F669D1"/>
    <w:rsid w:val="00F66D31"/>
    <w:rsid w:val="00F67072"/>
    <w:rsid w:val="00F67467"/>
    <w:rsid w:val="00F67682"/>
    <w:rsid w:val="00F67A43"/>
    <w:rsid w:val="00F67C8A"/>
    <w:rsid w:val="00F67CA2"/>
    <w:rsid w:val="00F67D05"/>
    <w:rsid w:val="00F67E1D"/>
    <w:rsid w:val="00F700F5"/>
    <w:rsid w:val="00F70349"/>
    <w:rsid w:val="00F703ED"/>
    <w:rsid w:val="00F70737"/>
    <w:rsid w:val="00F7084B"/>
    <w:rsid w:val="00F709C4"/>
    <w:rsid w:val="00F70ABD"/>
    <w:rsid w:val="00F70BCB"/>
    <w:rsid w:val="00F70D1C"/>
    <w:rsid w:val="00F70E0C"/>
    <w:rsid w:val="00F7117B"/>
    <w:rsid w:val="00F711C6"/>
    <w:rsid w:val="00F711C7"/>
    <w:rsid w:val="00F711D6"/>
    <w:rsid w:val="00F71294"/>
    <w:rsid w:val="00F71326"/>
    <w:rsid w:val="00F716C5"/>
    <w:rsid w:val="00F7180D"/>
    <w:rsid w:val="00F71B5C"/>
    <w:rsid w:val="00F71C91"/>
    <w:rsid w:val="00F71EBF"/>
    <w:rsid w:val="00F723BC"/>
    <w:rsid w:val="00F7250C"/>
    <w:rsid w:val="00F72761"/>
    <w:rsid w:val="00F7279B"/>
    <w:rsid w:val="00F7283A"/>
    <w:rsid w:val="00F72A82"/>
    <w:rsid w:val="00F72AF4"/>
    <w:rsid w:val="00F72B04"/>
    <w:rsid w:val="00F730C7"/>
    <w:rsid w:val="00F73174"/>
    <w:rsid w:val="00F731C2"/>
    <w:rsid w:val="00F731E5"/>
    <w:rsid w:val="00F734CD"/>
    <w:rsid w:val="00F73503"/>
    <w:rsid w:val="00F73577"/>
    <w:rsid w:val="00F73645"/>
    <w:rsid w:val="00F737D6"/>
    <w:rsid w:val="00F7386C"/>
    <w:rsid w:val="00F73AEA"/>
    <w:rsid w:val="00F73B6A"/>
    <w:rsid w:val="00F73BE6"/>
    <w:rsid w:val="00F73E9D"/>
    <w:rsid w:val="00F73F8D"/>
    <w:rsid w:val="00F73F99"/>
    <w:rsid w:val="00F7402C"/>
    <w:rsid w:val="00F74398"/>
    <w:rsid w:val="00F7489E"/>
    <w:rsid w:val="00F748A6"/>
    <w:rsid w:val="00F7493E"/>
    <w:rsid w:val="00F74DB8"/>
    <w:rsid w:val="00F74E4A"/>
    <w:rsid w:val="00F75138"/>
    <w:rsid w:val="00F7516A"/>
    <w:rsid w:val="00F751FA"/>
    <w:rsid w:val="00F7528A"/>
    <w:rsid w:val="00F752B6"/>
    <w:rsid w:val="00F753AF"/>
    <w:rsid w:val="00F75446"/>
    <w:rsid w:val="00F754F2"/>
    <w:rsid w:val="00F7558F"/>
    <w:rsid w:val="00F75B1F"/>
    <w:rsid w:val="00F75BE6"/>
    <w:rsid w:val="00F75DDC"/>
    <w:rsid w:val="00F75EE8"/>
    <w:rsid w:val="00F7634D"/>
    <w:rsid w:val="00F763DF"/>
    <w:rsid w:val="00F7656B"/>
    <w:rsid w:val="00F765A7"/>
    <w:rsid w:val="00F7688F"/>
    <w:rsid w:val="00F76B26"/>
    <w:rsid w:val="00F76CC9"/>
    <w:rsid w:val="00F76E58"/>
    <w:rsid w:val="00F773EA"/>
    <w:rsid w:val="00F77435"/>
    <w:rsid w:val="00F77541"/>
    <w:rsid w:val="00F7766A"/>
    <w:rsid w:val="00F7798F"/>
    <w:rsid w:val="00F77B07"/>
    <w:rsid w:val="00F77D51"/>
    <w:rsid w:val="00F77E66"/>
    <w:rsid w:val="00F77F36"/>
    <w:rsid w:val="00F80009"/>
    <w:rsid w:val="00F8012F"/>
    <w:rsid w:val="00F801F8"/>
    <w:rsid w:val="00F8024E"/>
    <w:rsid w:val="00F80506"/>
    <w:rsid w:val="00F8061C"/>
    <w:rsid w:val="00F809D9"/>
    <w:rsid w:val="00F80D79"/>
    <w:rsid w:val="00F80EF7"/>
    <w:rsid w:val="00F80F68"/>
    <w:rsid w:val="00F810A3"/>
    <w:rsid w:val="00F81331"/>
    <w:rsid w:val="00F813A2"/>
    <w:rsid w:val="00F818E3"/>
    <w:rsid w:val="00F8191C"/>
    <w:rsid w:val="00F81BFE"/>
    <w:rsid w:val="00F81D05"/>
    <w:rsid w:val="00F81F91"/>
    <w:rsid w:val="00F821E4"/>
    <w:rsid w:val="00F8267C"/>
    <w:rsid w:val="00F82898"/>
    <w:rsid w:val="00F82A12"/>
    <w:rsid w:val="00F82BD9"/>
    <w:rsid w:val="00F82C84"/>
    <w:rsid w:val="00F82F7B"/>
    <w:rsid w:val="00F83407"/>
    <w:rsid w:val="00F83509"/>
    <w:rsid w:val="00F83611"/>
    <w:rsid w:val="00F837CA"/>
    <w:rsid w:val="00F839CE"/>
    <w:rsid w:val="00F83B50"/>
    <w:rsid w:val="00F83B9B"/>
    <w:rsid w:val="00F83C32"/>
    <w:rsid w:val="00F8419A"/>
    <w:rsid w:val="00F843B8"/>
    <w:rsid w:val="00F84561"/>
    <w:rsid w:val="00F84A7A"/>
    <w:rsid w:val="00F84DBB"/>
    <w:rsid w:val="00F84E2A"/>
    <w:rsid w:val="00F84ED2"/>
    <w:rsid w:val="00F850C2"/>
    <w:rsid w:val="00F85354"/>
    <w:rsid w:val="00F853AC"/>
    <w:rsid w:val="00F8547C"/>
    <w:rsid w:val="00F858DD"/>
    <w:rsid w:val="00F85946"/>
    <w:rsid w:val="00F85A34"/>
    <w:rsid w:val="00F85A8C"/>
    <w:rsid w:val="00F85CD1"/>
    <w:rsid w:val="00F85D7D"/>
    <w:rsid w:val="00F85E58"/>
    <w:rsid w:val="00F85F2A"/>
    <w:rsid w:val="00F86034"/>
    <w:rsid w:val="00F86078"/>
    <w:rsid w:val="00F860E2"/>
    <w:rsid w:val="00F86570"/>
    <w:rsid w:val="00F865BE"/>
    <w:rsid w:val="00F86BA8"/>
    <w:rsid w:val="00F86BBD"/>
    <w:rsid w:val="00F86E6F"/>
    <w:rsid w:val="00F870E4"/>
    <w:rsid w:val="00F871F0"/>
    <w:rsid w:val="00F87201"/>
    <w:rsid w:val="00F87561"/>
    <w:rsid w:val="00F8779C"/>
    <w:rsid w:val="00F87D93"/>
    <w:rsid w:val="00F9005C"/>
    <w:rsid w:val="00F900FD"/>
    <w:rsid w:val="00F90290"/>
    <w:rsid w:val="00F902EA"/>
    <w:rsid w:val="00F9042D"/>
    <w:rsid w:val="00F90430"/>
    <w:rsid w:val="00F9058E"/>
    <w:rsid w:val="00F9058F"/>
    <w:rsid w:val="00F907E8"/>
    <w:rsid w:val="00F9082E"/>
    <w:rsid w:val="00F9094F"/>
    <w:rsid w:val="00F90BEC"/>
    <w:rsid w:val="00F90F29"/>
    <w:rsid w:val="00F90F49"/>
    <w:rsid w:val="00F91113"/>
    <w:rsid w:val="00F91497"/>
    <w:rsid w:val="00F91550"/>
    <w:rsid w:val="00F915C4"/>
    <w:rsid w:val="00F9178F"/>
    <w:rsid w:val="00F917FE"/>
    <w:rsid w:val="00F91895"/>
    <w:rsid w:val="00F91896"/>
    <w:rsid w:val="00F91969"/>
    <w:rsid w:val="00F91AE7"/>
    <w:rsid w:val="00F91D38"/>
    <w:rsid w:val="00F91ED3"/>
    <w:rsid w:val="00F91F4B"/>
    <w:rsid w:val="00F92B19"/>
    <w:rsid w:val="00F92FFD"/>
    <w:rsid w:val="00F93342"/>
    <w:rsid w:val="00F93431"/>
    <w:rsid w:val="00F935DF"/>
    <w:rsid w:val="00F938B8"/>
    <w:rsid w:val="00F93960"/>
    <w:rsid w:val="00F939D5"/>
    <w:rsid w:val="00F93C0B"/>
    <w:rsid w:val="00F93C20"/>
    <w:rsid w:val="00F93C96"/>
    <w:rsid w:val="00F93D47"/>
    <w:rsid w:val="00F93E1F"/>
    <w:rsid w:val="00F93E2F"/>
    <w:rsid w:val="00F93EC5"/>
    <w:rsid w:val="00F94492"/>
    <w:rsid w:val="00F94621"/>
    <w:rsid w:val="00F946D0"/>
    <w:rsid w:val="00F946DA"/>
    <w:rsid w:val="00F948B2"/>
    <w:rsid w:val="00F94CB0"/>
    <w:rsid w:val="00F94DC6"/>
    <w:rsid w:val="00F95606"/>
    <w:rsid w:val="00F956A9"/>
    <w:rsid w:val="00F956AE"/>
    <w:rsid w:val="00F95A8E"/>
    <w:rsid w:val="00F95BBF"/>
    <w:rsid w:val="00F95BC2"/>
    <w:rsid w:val="00F95E85"/>
    <w:rsid w:val="00F95E9F"/>
    <w:rsid w:val="00F95EB7"/>
    <w:rsid w:val="00F961E0"/>
    <w:rsid w:val="00F96616"/>
    <w:rsid w:val="00F96770"/>
    <w:rsid w:val="00F969AB"/>
    <w:rsid w:val="00F96A59"/>
    <w:rsid w:val="00F96D95"/>
    <w:rsid w:val="00F96DEC"/>
    <w:rsid w:val="00F9709B"/>
    <w:rsid w:val="00F9717A"/>
    <w:rsid w:val="00F9725D"/>
    <w:rsid w:val="00F972B8"/>
    <w:rsid w:val="00F97393"/>
    <w:rsid w:val="00F973E3"/>
    <w:rsid w:val="00F97511"/>
    <w:rsid w:val="00F975F6"/>
    <w:rsid w:val="00F9780E"/>
    <w:rsid w:val="00F97878"/>
    <w:rsid w:val="00F97CA7"/>
    <w:rsid w:val="00F97D5F"/>
    <w:rsid w:val="00FA0228"/>
    <w:rsid w:val="00FA02D2"/>
    <w:rsid w:val="00FA0352"/>
    <w:rsid w:val="00FA041C"/>
    <w:rsid w:val="00FA078F"/>
    <w:rsid w:val="00FA0964"/>
    <w:rsid w:val="00FA0C65"/>
    <w:rsid w:val="00FA0C88"/>
    <w:rsid w:val="00FA0CAA"/>
    <w:rsid w:val="00FA0CCD"/>
    <w:rsid w:val="00FA0D0C"/>
    <w:rsid w:val="00FA1335"/>
    <w:rsid w:val="00FA1339"/>
    <w:rsid w:val="00FA13D3"/>
    <w:rsid w:val="00FA168C"/>
    <w:rsid w:val="00FA16E6"/>
    <w:rsid w:val="00FA1BDF"/>
    <w:rsid w:val="00FA1CD8"/>
    <w:rsid w:val="00FA1D9E"/>
    <w:rsid w:val="00FA1E51"/>
    <w:rsid w:val="00FA22FA"/>
    <w:rsid w:val="00FA2354"/>
    <w:rsid w:val="00FA23AA"/>
    <w:rsid w:val="00FA261E"/>
    <w:rsid w:val="00FA284E"/>
    <w:rsid w:val="00FA2C77"/>
    <w:rsid w:val="00FA2F47"/>
    <w:rsid w:val="00FA3309"/>
    <w:rsid w:val="00FA3529"/>
    <w:rsid w:val="00FA36F0"/>
    <w:rsid w:val="00FA381C"/>
    <w:rsid w:val="00FA3980"/>
    <w:rsid w:val="00FA3C2A"/>
    <w:rsid w:val="00FA3DE7"/>
    <w:rsid w:val="00FA3EB6"/>
    <w:rsid w:val="00FA41F4"/>
    <w:rsid w:val="00FA4290"/>
    <w:rsid w:val="00FA42AE"/>
    <w:rsid w:val="00FA4302"/>
    <w:rsid w:val="00FA440D"/>
    <w:rsid w:val="00FA4654"/>
    <w:rsid w:val="00FA47D9"/>
    <w:rsid w:val="00FA4922"/>
    <w:rsid w:val="00FA4B55"/>
    <w:rsid w:val="00FA4F47"/>
    <w:rsid w:val="00FA51F3"/>
    <w:rsid w:val="00FA526C"/>
    <w:rsid w:val="00FA53B1"/>
    <w:rsid w:val="00FA54CA"/>
    <w:rsid w:val="00FA5592"/>
    <w:rsid w:val="00FA5600"/>
    <w:rsid w:val="00FA562A"/>
    <w:rsid w:val="00FA5720"/>
    <w:rsid w:val="00FA584A"/>
    <w:rsid w:val="00FA59C2"/>
    <w:rsid w:val="00FA5B88"/>
    <w:rsid w:val="00FA5BD2"/>
    <w:rsid w:val="00FA5C24"/>
    <w:rsid w:val="00FA5C4B"/>
    <w:rsid w:val="00FA5FA6"/>
    <w:rsid w:val="00FA5FED"/>
    <w:rsid w:val="00FA61E2"/>
    <w:rsid w:val="00FA64DD"/>
    <w:rsid w:val="00FA66B8"/>
    <w:rsid w:val="00FA67ED"/>
    <w:rsid w:val="00FA682E"/>
    <w:rsid w:val="00FA6A87"/>
    <w:rsid w:val="00FA7014"/>
    <w:rsid w:val="00FA707B"/>
    <w:rsid w:val="00FA7447"/>
    <w:rsid w:val="00FA7991"/>
    <w:rsid w:val="00FA7A28"/>
    <w:rsid w:val="00FA7A50"/>
    <w:rsid w:val="00FA7C92"/>
    <w:rsid w:val="00FA7DCF"/>
    <w:rsid w:val="00FA7EB3"/>
    <w:rsid w:val="00FB0067"/>
    <w:rsid w:val="00FB00C0"/>
    <w:rsid w:val="00FB0471"/>
    <w:rsid w:val="00FB04A2"/>
    <w:rsid w:val="00FB0506"/>
    <w:rsid w:val="00FB07F9"/>
    <w:rsid w:val="00FB092E"/>
    <w:rsid w:val="00FB0952"/>
    <w:rsid w:val="00FB0A0F"/>
    <w:rsid w:val="00FB0ADE"/>
    <w:rsid w:val="00FB12BB"/>
    <w:rsid w:val="00FB131D"/>
    <w:rsid w:val="00FB1401"/>
    <w:rsid w:val="00FB1458"/>
    <w:rsid w:val="00FB194F"/>
    <w:rsid w:val="00FB19B7"/>
    <w:rsid w:val="00FB1D14"/>
    <w:rsid w:val="00FB1DD7"/>
    <w:rsid w:val="00FB1FAF"/>
    <w:rsid w:val="00FB1FE5"/>
    <w:rsid w:val="00FB23C9"/>
    <w:rsid w:val="00FB23D3"/>
    <w:rsid w:val="00FB25D5"/>
    <w:rsid w:val="00FB266A"/>
    <w:rsid w:val="00FB2760"/>
    <w:rsid w:val="00FB27DC"/>
    <w:rsid w:val="00FB2F74"/>
    <w:rsid w:val="00FB2FF4"/>
    <w:rsid w:val="00FB3108"/>
    <w:rsid w:val="00FB31CC"/>
    <w:rsid w:val="00FB323D"/>
    <w:rsid w:val="00FB3681"/>
    <w:rsid w:val="00FB3695"/>
    <w:rsid w:val="00FB36B3"/>
    <w:rsid w:val="00FB36C0"/>
    <w:rsid w:val="00FB38EB"/>
    <w:rsid w:val="00FB3A07"/>
    <w:rsid w:val="00FB3FE3"/>
    <w:rsid w:val="00FB46A9"/>
    <w:rsid w:val="00FB4AE9"/>
    <w:rsid w:val="00FB52AF"/>
    <w:rsid w:val="00FB5487"/>
    <w:rsid w:val="00FB587C"/>
    <w:rsid w:val="00FB5AD0"/>
    <w:rsid w:val="00FB5D09"/>
    <w:rsid w:val="00FB5F7C"/>
    <w:rsid w:val="00FB5F8B"/>
    <w:rsid w:val="00FB656C"/>
    <w:rsid w:val="00FB683E"/>
    <w:rsid w:val="00FB6934"/>
    <w:rsid w:val="00FB6ED1"/>
    <w:rsid w:val="00FB6F77"/>
    <w:rsid w:val="00FB7262"/>
    <w:rsid w:val="00FB74B8"/>
    <w:rsid w:val="00FB7502"/>
    <w:rsid w:val="00FB761D"/>
    <w:rsid w:val="00FB7A16"/>
    <w:rsid w:val="00FB7A87"/>
    <w:rsid w:val="00FB7B8F"/>
    <w:rsid w:val="00FB7C74"/>
    <w:rsid w:val="00FB7D34"/>
    <w:rsid w:val="00FB7FDE"/>
    <w:rsid w:val="00FC0034"/>
    <w:rsid w:val="00FC005F"/>
    <w:rsid w:val="00FC0213"/>
    <w:rsid w:val="00FC0247"/>
    <w:rsid w:val="00FC03AA"/>
    <w:rsid w:val="00FC04B7"/>
    <w:rsid w:val="00FC0728"/>
    <w:rsid w:val="00FC0813"/>
    <w:rsid w:val="00FC0D44"/>
    <w:rsid w:val="00FC0DAB"/>
    <w:rsid w:val="00FC0DB9"/>
    <w:rsid w:val="00FC12C4"/>
    <w:rsid w:val="00FC1329"/>
    <w:rsid w:val="00FC13D0"/>
    <w:rsid w:val="00FC175A"/>
    <w:rsid w:val="00FC18B8"/>
    <w:rsid w:val="00FC18D0"/>
    <w:rsid w:val="00FC1907"/>
    <w:rsid w:val="00FC1AC0"/>
    <w:rsid w:val="00FC1AC6"/>
    <w:rsid w:val="00FC1C40"/>
    <w:rsid w:val="00FC1C9A"/>
    <w:rsid w:val="00FC1F15"/>
    <w:rsid w:val="00FC1F26"/>
    <w:rsid w:val="00FC1F41"/>
    <w:rsid w:val="00FC28C3"/>
    <w:rsid w:val="00FC2962"/>
    <w:rsid w:val="00FC2C18"/>
    <w:rsid w:val="00FC31A3"/>
    <w:rsid w:val="00FC32DA"/>
    <w:rsid w:val="00FC3301"/>
    <w:rsid w:val="00FC3315"/>
    <w:rsid w:val="00FC33A3"/>
    <w:rsid w:val="00FC33AD"/>
    <w:rsid w:val="00FC34BB"/>
    <w:rsid w:val="00FC35AA"/>
    <w:rsid w:val="00FC35E3"/>
    <w:rsid w:val="00FC3648"/>
    <w:rsid w:val="00FC3789"/>
    <w:rsid w:val="00FC37C7"/>
    <w:rsid w:val="00FC37F5"/>
    <w:rsid w:val="00FC3906"/>
    <w:rsid w:val="00FC392E"/>
    <w:rsid w:val="00FC398C"/>
    <w:rsid w:val="00FC399F"/>
    <w:rsid w:val="00FC3A0F"/>
    <w:rsid w:val="00FC3AEA"/>
    <w:rsid w:val="00FC3DD2"/>
    <w:rsid w:val="00FC3FAA"/>
    <w:rsid w:val="00FC3FF8"/>
    <w:rsid w:val="00FC418F"/>
    <w:rsid w:val="00FC44CE"/>
    <w:rsid w:val="00FC450D"/>
    <w:rsid w:val="00FC4635"/>
    <w:rsid w:val="00FC48A0"/>
    <w:rsid w:val="00FC4CA8"/>
    <w:rsid w:val="00FC4F0E"/>
    <w:rsid w:val="00FC52A9"/>
    <w:rsid w:val="00FC5304"/>
    <w:rsid w:val="00FC544F"/>
    <w:rsid w:val="00FC548D"/>
    <w:rsid w:val="00FC56B5"/>
    <w:rsid w:val="00FC573D"/>
    <w:rsid w:val="00FC58E1"/>
    <w:rsid w:val="00FC59AC"/>
    <w:rsid w:val="00FC5AC6"/>
    <w:rsid w:val="00FC5D2C"/>
    <w:rsid w:val="00FC6015"/>
    <w:rsid w:val="00FC603C"/>
    <w:rsid w:val="00FC6098"/>
    <w:rsid w:val="00FC60D6"/>
    <w:rsid w:val="00FC62BA"/>
    <w:rsid w:val="00FC62C5"/>
    <w:rsid w:val="00FC64B5"/>
    <w:rsid w:val="00FC659A"/>
    <w:rsid w:val="00FC66D1"/>
    <w:rsid w:val="00FC6804"/>
    <w:rsid w:val="00FC6886"/>
    <w:rsid w:val="00FC697C"/>
    <w:rsid w:val="00FC69C9"/>
    <w:rsid w:val="00FC6ABE"/>
    <w:rsid w:val="00FC6B18"/>
    <w:rsid w:val="00FC6BE4"/>
    <w:rsid w:val="00FC6BFC"/>
    <w:rsid w:val="00FC6C08"/>
    <w:rsid w:val="00FC6DD7"/>
    <w:rsid w:val="00FC6F17"/>
    <w:rsid w:val="00FC6F6D"/>
    <w:rsid w:val="00FC7177"/>
    <w:rsid w:val="00FC7189"/>
    <w:rsid w:val="00FC7477"/>
    <w:rsid w:val="00FC7500"/>
    <w:rsid w:val="00FC7756"/>
    <w:rsid w:val="00FC78D0"/>
    <w:rsid w:val="00FC79F4"/>
    <w:rsid w:val="00FC7BDD"/>
    <w:rsid w:val="00FC7BF0"/>
    <w:rsid w:val="00FC7D3D"/>
    <w:rsid w:val="00FC7D7D"/>
    <w:rsid w:val="00FD01B8"/>
    <w:rsid w:val="00FD0253"/>
    <w:rsid w:val="00FD044E"/>
    <w:rsid w:val="00FD0469"/>
    <w:rsid w:val="00FD050B"/>
    <w:rsid w:val="00FD087C"/>
    <w:rsid w:val="00FD0ADE"/>
    <w:rsid w:val="00FD0BAE"/>
    <w:rsid w:val="00FD0CB9"/>
    <w:rsid w:val="00FD0EE1"/>
    <w:rsid w:val="00FD110E"/>
    <w:rsid w:val="00FD1391"/>
    <w:rsid w:val="00FD13BF"/>
    <w:rsid w:val="00FD13CB"/>
    <w:rsid w:val="00FD15A0"/>
    <w:rsid w:val="00FD15B3"/>
    <w:rsid w:val="00FD15C7"/>
    <w:rsid w:val="00FD1692"/>
    <w:rsid w:val="00FD183D"/>
    <w:rsid w:val="00FD1AB4"/>
    <w:rsid w:val="00FD1ACF"/>
    <w:rsid w:val="00FD1BB5"/>
    <w:rsid w:val="00FD1DC6"/>
    <w:rsid w:val="00FD1F33"/>
    <w:rsid w:val="00FD1FF2"/>
    <w:rsid w:val="00FD23E5"/>
    <w:rsid w:val="00FD260A"/>
    <w:rsid w:val="00FD27A6"/>
    <w:rsid w:val="00FD295A"/>
    <w:rsid w:val="00FD299D"/>
    <w:rsid w:val="00FD2B68"/>
    <w:rsid w:val="00FD30F7"/>
    <w:rsid w:val="00FD31DC"/>
    <w:rsid w:val="00FD3387"/>
    <w:rsid w:val="00FD3911"/>
    <w:rsid w:val="00FD392A"/>
    <w:rsid w:val="00FD3A67"/>
    <w:rsid w:val="00FD3A6D"/>
    <w:rsid w:val="00FD3B5D"/>
    <w:rsid w:val="00FD3E1F"/>
    <w:rsid w:val="00FD418C"/>
    <w:rsid w:val="00FD443B"/>
    <w:rsid w:val="00FD45DC"/>
    <w:rsid w:val="00FD46A7"/>
    <w:rsid w:val="00FD48EB"/>
    <w:rsid w:val="00FD49D3"/>
    <w:rsid w:val="00FD4BBD"/>
    <w:rsid w:val="00FD4C7A"/>
    <w:rsid w:val="00FD4C97"/>
    <w:rsid w:val="00FD50F4"/>
    <w:rsid w:val="00FD51A1"/>
    <w:rsid w:val="00FD56D3"/>
    <w:rsid w:val="00FD5751"/>
    <w:rsid w:val="00FD59B8"/>
    <w:rsid w:val="00FD5B08"/>
    <w:rsid w:val="00FD5B82"/>
    <w:rsid w:val="00FD5C58"/>
    <w:rsid w:val="00FD5DD9"/>
    <w:rsid w:val="00FD5E36"/>
    <w:rsid w:val="00FD5EAC"/>
    <w:rsid w:val="00FD6296"/>
    <w:rsid w:val="00FD65A7"/>
    <w:rsid w:val="00FD690D"/>
    <w:rsid w:val="00FD694C"/>
    <w:rsid w:val="00FD6959"/>
    <w:rsid w:val="00FD698E"/>
    <w:rsid w:val="00FD6D32"/>
    <w:rsid w:val="00FD6E4F"/>
    <w:rsid w:val="00FD6F0A"/>
    <w:rsid w:val="00FD6FC6"/>
    <w:rsid w:val="00FD776D"/>
    <w:rsid w:val="00FD779E"/>
    <w:rsid w:val="00FD7A95"/>
    <w:rsid w:val="00FD7AFE"/>
    <w:rsid w:val="00FD7B99"/>
    <w:rsid w:val="00FD7C8E"/>
    <w:rsid w:val="00FD7DFC"/>
    <w:rsid w:val="00FD7FD5"/>
    <w:rsid w:val="00FE06CC"/>
    <w:rsid w:val="00FE0901"/>
    <w:rsid w:val="00FE0A69"/>
    <w:rsid w:val="00FE0B5B"/>
    <w:rsid w:val="00FE0B92"/>
    <w:rsid w:val="00FE0C12"/>
    <w:rsid w:val="00FE0C5C"/>
    <w:rsid w:val="00FE0EED"/>
    <w:rsid w:val="00FE1011"/>
    <w:rsid w:val="00FE12E2"/>
    <w:rsid w:val="00FE12E8"/>
    <w:rsid w:val="00FE142D"/>
    <w:rsid w:val="00FE1582"/>
    <w:rsid w:val="00FE16DC"/>
    <w:rsid w:val="00FE1789"/>
    <w:rsid w:val="00FE18A7"/>
    <w:rsid w:val="00FE198C"/>
    <w:rsid w:val="00FE1A34"/>
    <w:rsid w:val="00FE1AA8"/>
    <w:rsid w:val="00FE1B56"/>
    <w:rsid w:val="00FE1E07"/>
    <w:rsid w:val="00FE1E4A"/>
    <w:rsid w:val="00FE1E95"/>
    <w:rsid w:val="00FE1ECB"/>
    <w:rsid w:val="00FE1EDB"/>
    <w:rsid w:val="00FE1F39"/>
    <w:rsid w:val="00FE1F65"/>
    <w:rsid w:val="00FE2025"/>
    <w:rsid w:val="00FE20DD"/>
    <w:rsid w:val="00FE2246"/>
    <w:rsid w:val="00FE226D"/>
    <w:rsid w:val="00FE25A0"/>
    <w:rsid w:val="00FE2A4C"/>
    <w:rsid w:val="00FE2CBD"/>
    <w:rsid w:val="00FE2EA5"/>
    <w:rsid w:val="00FE2FDE"/>
    <w:rsid w:val="00FE3068"/>
    <w:rsid w:val="00FE3553"/>
    <w:rsid w:val="00FE36B3"/>
    <w:rsid w:val="00FE3B0E"/>
    <w:rsid w:val="00FE3FCE"/>
    <w:rsid w:val="00FE3FF3"/>
    <w:rsid w:val="00FE40B8"/>
    <w:rsid w:val="00FE41AF"/>
    <w:rsid w:val="00FE41C3"/>
    <w:rsid w:val="00FE42D2"/>
    <w:rsid w:val="00FE43DC"/>
    <w:rsid w:val="00FE43E4"/>
    <w:rsid w:val="00FE4533"/>
    <w:rsid w:val="00FE4683"/>
    <w:rsid w:val="00FE4AE1"/>
    <w:rsid w:val="00FE4AE6"/>
    <w:rsid w:val="00FE4B14"/>
    <w:rsid w:val="00FE4B66"/>
    <w:rsid w:val="00FE4D6B"/>
    <w:rsid w:val="00FE4F87"/>
    <w:rsid w:val="00FE5056"/>
    <w:rsid w:val="00FE508B"/>
    <w:rsid w:val="00FE52EE"/>
    <w:rsid w:val="00FE52F7"/>
    <w:rsid w:val="00FE5324"/>
    <w:rsid w:val="00FE532D"/>
    <w:rsid w:val="00FE5359"/>
    <w:rsid w:val="00FE53D4"/>
    <w:rsid w:val="00FE5487"/>
    <w:rsid w:val="00FE5539"/>
    <w:rsid w:val="00FE5596"/>
    <w:rsid w:val="00FE57B7"/>
    <w:rsid w:val="00FE589C"/>
    <w:rsid w:val="00FE5A0B"/>
    <w:rsid w:val="00FE5A4B"/>
    <w:rsid w:val="00FE5B6A"/>
    <w:rsid w:val="00FE5D72"/>
    <w:rsid w:val="00FE61F2"/>
    <w:rsid w:val="00FE625B"/>
    <w:rsid w:val="00FE647D"/>
    <w:rsid w:val="00FE66F8"/>
    <w:rsid w:val="00FE66FB"/>
    <w:rsid w:val="00FE6944"/>
    <w:rsid w:val="00FE6A9C"/>
    <w:rsid w:val="00FE6CC7"/>
    <w:rsid w:val="00FE6CFD"/>
    <w:rsid w:val="00FE6D08"/>
    <w:rsid w:val="00FE6E5E"/>
    <w:rsid w:val="00FE6E79"/>
    <w:rsid w:val="00FE6FB0"/>
    <w:rsid w:val="00FE6FC7"/>
    <w:rsid w:val="00FE7023"/>
    <w:rsid w:val="00FE7463"/>
    <w:rsid w:val="00FE74A0"/>
    <w:rsid w:val="00FE74B1"/>
    <w:rsid w:val="00FE76F2"/>
    <w:rsid w:val="00FE792F"/>
    <w:rsid w:val="00FE7CD0"/>
    <w:rsid w:val="00FE7D9F"/>
    <w:rsid w:val="00FE7ED7"/>
    <w:rsid w:val="00FF0158"/>
    <w:rsid w:val="00FF0319"/>
    <w:rsid w:val="00FF0562"/>
    <w:rsid w:val="00FF0981"/>
    <w:rsid w:val="00FF114E"/>
    <w:rsid w:val="00FF133F"/>
    <w:rsid w:val="00FF16FE"/>
    <w:rsid w:val="00FF174A"/>
    <w:rsid w:val="00FF17E1"/>
    <w:rsid w:val="00FF1A3C"/>
    <w:rsid w:val="00FF1AD8"/>
    <w:rsid w:val="00FF1B66"/>
    <w:rsid w:val="00FF1C94"/>
    <w:rsid w:val="00FF1F51"/>
    <w:rsid w:val="00FF2177"/>
    <w:rsid w:val="00FF220A"/>
    <w:rsid w:val="00FF224D"/>
    <w:rsid w:val="00FF25F5"/>
    <w:rsid w:val="00FF26D3"/>
    <w:rsid w:val="00FF27B5"/>
    <w:rsid w:val="00FF285A"/>
    <w:rsid w:val="00FF2879"/>
    <w:rsid w:val="00FF2A52"/>
    <w:rsid w:val="00FF2A91"/>
    <w:rsid w:val="00FF2AA2"/>
    <w:rsid w:val="00FF2B6F"/>
    <w:rsid w:val="00FF2C3D"/>
    <w:rsid w:val="00FF2E3C"/>
    <w:rsid w:val="00FF2EF8"/>
    <w:rsid w:val="00FF2F02"/>
    <w:rsid w:val="00FF2F65"/>
    <w:rsid w:val="00FF2F85"/>
    <w:rsid w:val="00FF2FA6"/>
    <w:rsid w:val="00FF31F3"/>
    <w:rsid w:val="00FF32A1"/>
    <w:rsid w:val="00FF33E6"/>
    <w:rsid w:val="00FF33EF"/>
    <w:rsid w:val="00FF36C2"/>
    <w:rsid w:val="00FF3829"/>
    <w:rsid w:val="00FF3924"/>
    <w:rsid w:val="00FF3A0A"/>
    <w:rsid w:val="00FF3F6F"/>
    <w:rsid w:val="00FF3F72"/>
    <w:rsid w:val="00FF4050"/>
    <w:rsid w:val="00FF43C0"/>
    <w:rsid w:val="00FF44AB"/>
    <w:rsid w:val="00FF47BB"/>
    <w:rsid w:val="00FF480E"/>
    <w:rsid w:val="00FF4AF0"/>
    <w:rsid w:val="00FF4F94"/>
    <w:rsid w:val="00FF505C"/>
    <w:rsid w:val="00FF5901"/>
    <w:rsid w:val="00FF5AA5"/>
    <w:rsid w:val="00FF5B6F"/>
    <w:rsid w:val="00FF5EB3"/>
    <w:rsid w:val="00FF5EE5"/>
    <w:rsid w:val="00FF5FF1"/>
    <w:rsid w:val="00FF6099"/>
    <w:rsid w:val="00FF6119"/>
    <w:rsid w:val="00FF65E2"/>
    <w:rsid w:val="00FF66FD"/>
    <w:rsid w:val="00FF67E3"/>
    <w:rsid w:val="00FF69A0"/>
    <w:rsid w:val="00FF69AD"/>
    <w:rsid w:val="00FF6BB0"/>
    <w:rsid w:val="00FF6E0F"/>
    <w:rsid w:val="00FF71EA"/>
    <w:rsid w:val="00FF754D"/>
    <w:rsid w:val="00FF75DA"/>
    <w:rsid w:val="00FF7890"/>
    <w:rsid w:val="00FF78E9"/>
    <w:rsid w:val="00FF7BBB"/>
    <w:rsid w:val="00FF7E8E"/>
    <w:rsid w:val="010ED09C"/>
    <w:rsid w:val="0122EE0F"/>
    <w:rsid w:val="013CE025"/>
    <w:rsid w:val="016540D4"/>
    <w:rsid w:val="01F1428D"/>
    <w:rsid w:val="0236ABF8"/>
    <w:rsid w:val="024CA0CE"/>
    <w:rsid w:val="0259510E"/>
    <w:rsid w:val="02C16D29"/>
    <w:rsid w:val="02F6FBB7"/>
    <w:rsid w:val="030B1FD2"/>
    <w:rsid w:val="0346963D"/>
    <w:rsid w:val="03786E07"/>
    <w:rsid w:val="03CD59B0"/>
    <w:rsid w:val="03D29A2C"/>
    <w:rsid w:val="0410FF4F"/>
    <w:rsid w:val="04161210"/>
    <w:rsid w:val="044CE03A"/>
    <w:rsid w:val="04646F4C"/>
    <w:rsid w:val="0496B883"/>
    <w:rsid w:val="04C3DFF0"/>
    <w:rsid w:val="04CBEFAF"/>
    <w:rsid w:val="04DFBDD9"/>
    <w:rsid w:val="05060D85"/>
    <w:rsid w:val="05850239"/>
    <w:rsid w:val="05F91BA9"/>
    <w:rsid w:val="05F9854B"/>
    <w:rsid w:val="069BDAA1"/>
    <w:rsid w:val="069EB4F8"/>
    <w:rsid w:val="06CD113B"/>
    <w:rsid w:val="06D69C2A"/>
    <w:rsid w:val="070A1D1B"/>
    <w:rsid w:val="07200490"/>
    <w:rsid w:val="078326F4"/>
    <w:rsid w:val="07A757A7"/>
    <w:rsid w:val="07C4CF77"/>
    <w:rsid w:val="07E5D1A3"/>
    <w:rsid w:val="082AC892"/>
    <w:rsid w:val="083008BC"/>
    <w:rsid w:val="084D5B94"/>
    <w:rsid w:val="08650AFE"/>
    <w:rsid w:val="08B04511"/>
    <w:rsid w:val="08E98333"/>
    <w:rsid w:val="093A4E77"/>
    <w:rsid w:val="093CC25B"/>
    <w:rsid w:val="09663EE4"/>
    <w:rsid w:val="096D9A79"/>
    <w:rsid w:val="09AD77BF"/>
    <w:rsid w:val="09C4D155"/>
    <w:rsid w:val="09CA48E6"/>
    <w:rsid w:val="09EA6787"/>
    <w:rsid w:val="0A03ABFC"/>
    <w:rsid w:val="0A855394"/>
    <w:rsid w:val="0AB6F7BA"/>
    <w:rsid w:val="0B011232"/>
    <w:rsid w:val="0B1BC69E"/>
    <w:rsid w:val="0B1DE0AC"/>
    <w:rsid w:val="0B278AC7"/>
    <w:rsid w:val="0B2F3EA4"/>
    <w:rsid w:val="0B328613"/>
    <w:rsid w:val="0BBAA6DA"/>
    <w:rsid w:val="0BFA0539"/>
    <w:rsid w:val="0C0090FE"/>
    <w:rsid w:val="0C0852DC"/>
    <w:rsid w:val="0C1F2C56"/>
    <w:rsid w:val="0C20A684"/>
    <w:rsid w:val="0CAF2D59"/>
    <w:rsid w:val="0CC963AB"/>
    <w:rsid w:val="0DBCBC2A"/>
    <w:rsid w:val="0DE8BBB0"/>
    <w:rsid w:val="0E567458"/>
    <w:rsid w:val="0E6F138E"/>
    <w:rsid w:val="0E7776C2"/>
    <w:rsid w:val="0EF3559F"/>
    <w:rsid w:val="0F4132AB"/>
    <w:rsid w:val="0F45CC6D"/>
    <w:rsid w:val="0F846173"/>
    <w:rsid w:val="0FF00EF5"/>
    <w:rsid w:val="10376E79"/>
    <w:rsid w:val="10454F51"/>
    <w:rsid w:val="1080A407"/>
    <w:rsid w:val="108AEB4D"/>
    <w:rsid w:val="10ACCCE8"/>
    <w:rsid w:val="11043F12"/>
    <w:rsid w:val="115EF60D"/>
    <w:rsid w:val="116834DB"/>
    <w:rsid w:val="11A4C18E"/>
    <w:rsid w:val="11C4192A"/>
    <w:rsid w:val="11C734C5"/>
    <w:rsid w:val="11D21F86"/>
    <w:rsid w:val="11DF3E4F"/>
    <w:rsid w:val="11E65FCD"/>
    <w:rsid w:val="11E727CC"/>
    <w:rsid w:val="1230E606"/>
    <w:rsid w:val="12826F85"/>
    <w:rsid w:val="12BC0235"/>
    <w:rsid w:val="12F3DE04"/>
    <w:rsid w:val="134560BF"/>
    <w:rsid w:val="13FB44DC"/>
    <w:rsid w:val="140B79B2"/>
    <w:rsid w:val="143FC2FD"/>
    <w:rsid w:val="144375D0"/>
    <w:rsid w:val="144F5214"/>
    <w:rsid w:val="145B7C20"/>
    <w:rsid w:val="14BA3B86"/>
    <w:rsid w:val="14F8EE49"/>
    <w:rsid w:val="1534D887"/>
    <w:rsid w:val="1552A2A3"/>
    <w:rsid w:val="15A14D21"/>
    <w:rsid w:val="15F3A2F7"/>
    <w:rsid w:val="1622FDD0"/>
    <w:rsid w:val="16235FE3"/>
    <w:rsid w:val="166A1861"/>
    <w:rsid w:val="17141F96"/>
    <w:rsid w:val="17215B42"/>
    <w:rsid w:val="174C4AFB"/>
    <w:rsid w:val="1783A808"/>
    <w:rsid w:val="183D05D4"/>
    <w:rsid w:val="187C622E"/>
    <w:rsid w:val="1895750E"/>
    <w:rsid w:val="18A235FA"/>
    <w:rsid w:val="18ACBA1A"/>
    <w:rsid w:val="18CCB101"/>
    <w:rsid w:val="18EFBD5C"/>
    <w:rsid w:val="196185E3"/>
    <w:rsid w:val="19715411"/>
    <w:rsid w:val="19C10F99"/>
    <w:rsid w:val="19D3D318"/>
    <w:rsid w:val="19E29271"/>
    <w:rsid w:val="1A171926"/>
    <w:rsid w:val="1AAA06E8"/>
    <w:rsid w:val="1B417772"/>
    <w:rsid w:val="1B704C43"/>
    <w:rsid w:val="1B8040C8"/>
    <w:rsid w:val="1BBCEC95"/>
    <w:rsid w:val="1BE6A5D5"/>
    <w:rsid w:val="1C0E480B"/>
    <w:rsid w:val="1C608496"/>
    <w:rsid w:val="1CA72E6B"/>
    <w:rsid w:val="1CAD400C"/>
    <w:rsid w:val="1CB5C9C0"/>
    <w:rsid w:val="1CCF01E9"/>
    <w:rsid w:val="1CD94CBF"/>
    <w:rsid w:val="1CE871A3"/>
    <w:rsid w:val="1D008A94"/>
    <w:rsid w:val="1D0F9B7F"/>
    <w:rsid w:val="1D807F02"/>
    <w:rsid w:val="1D99484A"/>
    <w:rsid w:val="1DCE2B29"/>
    <w:rsid w:val="1DDB5531"/>
    <w:rsid w:val="1E5456F7"/>
    <w:rsid w:val="1E6C337B"/>
    <w:rsid w:val="1EBB2D43"/>
    <w:rsid w:val="1EED781A"/>
    <w:rsid w:val="1FE75A62"/>
    <w:rsid w:val="1FEDF406"/>
    <w:rsid w:val="20064B09"/>
    <w:rsid w:val="205108F6"/>
    <w:rsid w:val="20D554A7"/>
    <w:rsid w:val="2121A531"/>
    <w:rsid w:val="215E5DAC"/>
    <w:rsid w:val="2182E85B"/>
    <w:rsid w:val="219B2AFE"/>
    <w:rsid w:val="21E570C2"/>
    <w:rsid w:val="21FDE717"/>
    <w:rsid w:val="2202F2E4"/>
    <w:rsid w:val="2221EA7F"/>
    <w:rsid w:val="22335156"/>
    <w:rsid w:val="225BED29"/>
    <w:rsid w:val="22DE9151"/>
    <w:rsid w:val="22FF86D9"/>
    <w:rsid w:val="235314B1"/>
    <w:rsid w:val="23786B00"/>
    <w:rsid w:val="23B26358"/>
    <w:rsid w:val="23D041E7"/>
    <w:rsid w:val="23DEC8F7"/>
    <w:rsid w:val="2445EDE4"/>
    <w:rsid w:val="247B5D0A"/>
    <w:rsid w:val="2496CDCA"/>
    <w:rsid w:val="24A49502"/>
    <w:rsid w:val="24C3FD22"/>
    <w:rsid w:val="24D95E83"/>
    <w:rsid w:val="25A2C317"/>
    <w:rsid w:val="25E2CF55"/>
    <w:rsid w:val="263EC6CD"/>
    <w:rsid w:val="26FA945C"/>
    <w:rsid w:val="270459E0"/>
    <w:rsid w:val="272C0546"/>
    <w:rsid w:val="275C3558"/>
    <w:rsid w:val="27AC878E"/>
    <w:rsid w:val="280FBBC2"/>
    <w:rsid w:val="28639761"/>
    <w:rsid w:val="286865B0"/>
    <w:rsid w:val="286C4432"/>
    <w:rsid w:val="288C5FD5"/>
    <w:rsid w:val="288DE57A"/>
    <w:rsid w:val="28AF44C2"/>
    <w:rsid w:val="294596BB"/>
    <w:rsid w:val="294857EF"/>
    <w:rsid w:val="29B292A6"/>
    <w:rsid w:val="2A1C0219"/>
    <w:rsid w:val="2A89C553"/>
    <w:rsid w:val="2B31C0F7"/>
    <w:rsid w:val="2B5E9361"/>
    <w:rsid w:val="2BAADE61"/>
    <w:rsid w:val="2BDAABC5"/>
    <w:rsid w:val="2C2F5A9F"/>
    <w:rsid w:val="2C3A8794"/>
    <w:rsid w:val="2C469257"/>
    <w:rsid w:val="2C883557"/>
    <w:rsid w:val="2C90224D"/>
    <w:rsid w:val="2CB06DE7"/>
    <w:rsid w:val="2D13F93B"/>
    <w:rsid w:val="2D140A83"/>
    <w:rsid w:val="2D39C44D"/>
    <w:rsid w:val="2D5823BF"/>
    <w:rsid w:val="2DC58AAF"/>
    <w:rsid w:val="2DC8B4DD"/>
    <w:rsid w:val="2DFEEEB1"/>
    <w:rsid w:val="2E5C7685"/>
    <w:rsid w:val="2E6DCAEE"/>
    <w:rsid w:val="2E8040C9"/>
    <w:rsid w:val="2EAEB6D4"/>
    <w:rsid w:val="2EB68139"/>
    <w:rsid w:val="2EC6C6A3"/>
    <w:rsid w:val="2ECD24CC"/>
    <w:rsid w:val="2ED39B75"/>
    <w:rsid w:val="2F179F7A"/>
    <w:rsid w:val="2F265533"/>
    <w:rsid w:val="2F5596C4"/>
    <w:rsid w:val="2F6291FC"/>
    <w:rsid w:val="2F91122F"/>
    <w:rsid w:val="2FBA8BCB"/>
    <w:rsid w:val="2FE4EE39"/>
    <w:rsid w:val="2FEB574A"/>
    <w:rsid w:val="30206CEB"/>
    <w:rsid w:val="3084EC68"/>
    <w:rsid w:val="3088C704"/>
    <w:rsid w:val="30D39A56"/>
    <w:rsid w:val="30DF7C9C"/>
    <w:rsid w:val="30EFBA8E"/>
    <w:rsid w:val="310D380E"/>
    <w:rsid w:val="31928DC8"/>
    <w:rsid w:val="31FD5F9A"/>
    <w:rsid w:val="32039D13"/>
    <w:rsid w:val="320AB03E"/>
    <w:rsid w:val="322AD55E"/>
    <w:rsid w:val="322F6466"/>
    <w:rsid w:val="3247F8CF"/>
    <w:rsid w:val="32C10BBE"/>
    <w:rsid w:val="32E54B63"/>
    <w:rsid w:val="3301568F"/>
    <w:rsid w:val="330669CB"/>
    <w:rsid w:val="3378ADE5"/>
    <w:rsid w:val="338E2890"/>
    <w:rsid w:val="33C02AFD"/>
    <w:rsid w:val="33C2E45F"/>
    <w:rsid w:val="33C3DF2F"/>
    <w:rsid w:val="341FD67A"/>
    <w:rsid w:val="34373561"/>
    <w:rsid w:val="3472DF53"/>
    <w:rsid w:val="34931C8F"/>
    <w:rsid w:val="34D24E66"/>
    <w:rsid w:val="34E59A03"/>
    <w:rsid w:val="3518F1B8"/>
    <w:rsid w:val="3533688A"/>
    <w:rsid w:val="3538741D"/>
    <w:rsid w:val="353B058A"/>
    <w:rsid w:val="35ABB584"/>
    <w:rsid w:val="35D42701"/>
    <w:rsid w:val="3636B3B9"/>
    <w:rsid w:val="3685870A"/>
    <w:rsid w:val="3690CD56"/>
    <w:rsid w:val="36B8823B"/>
    <w:rsid w:val="3706B3A9"/>
    <w:rsid w:val="37A96D1A"/>
    <w:rsid w:val="3810C58F"/>
    <w:rsid w:val="3812D8CD"/>
    <w:rsid w:val="381DA2ED"/>
    <w:rsid w:val="3830A1B5"/>
    <w:rsid w:val="38597DEF"/>
    <w:rsid w:val="38707BCE"/>
    <w:rsid w:val="38B63E0E"/>
    <w:rsid w:val="38BFA77B"/>
    <w:rsid w:val="38EC8A02"/>
    <w:rsid w:val="392E5637"/>
    <w:rsid w:val="398FE9BF"/>
    <w:rsid w:val="399C9F86"/>
    <w:rsid w:val="39A3C2C3"/>
    <w:rsid w:val="39B73BE6"/>
    <w:rsid w:val="39DF7DED"/>
    <w:rsid w:val="3A169DD6"/>
    <w:rsid w:val="3A548809"/>
    <w:rsid w:val="3A5AC569"/>
    <w:rsid w:val="3A6261CD"/>
    <w:rsid w:val="3A6F91B5"/>
    <w:rsid w:val="3A7DFAD7"/>
    <w:rsid w:val="3AC2A145"/>
    <w:rsid w:val="3ADB322A"/>
    <w:rsid w:val="3AE66B94"/>
    <w:rsid w:val="3B2BE4F0"/>
    <w:rsid w:val="3B47C3D4"/>
    <w:rsid w:val="3B66B157"/>
    <w:rsid w:val="3B7F8901"/>
    <w:rsid w:val="3B918153"/>
    <w:rsid w:val="3BAA470E"/>
    <w:rsid w:val="3C1E558F"/>
    <w:rsid w:val="3C1F1549"/>
    <w:rsid w:val="3C395E67"/>
    <w:rsid w:val="3C77D1E7"/>
    <w:rsid w:val="3C830618"/>
    <w:rsid w:val="3C9D713A"/>
    <w:rsid w:val="3D086107"/>
    <w:rsid w:val="3D68760A"/>
    <w:rsid w:val="3DAD8EA4"/>
    <w:rsid w:val="3DBF4C67"/>
    <w:rsid w:val="3DFC2B23"/>
    <w:rsid w:val="3E04C5B5"/>
    <w:rsid w:val="3E21EF4B"/>
    <w:rsid w:val="3E282462"/>
    <w:rsid w:val="3E341826"/>
    <w:rsid w:val="3E9E5219"/>
    <w:rsid w:val="3ED29B9A"/>
    <w:rsid w:val="3F31C6FF"/>
    <w:rsid w:val="3F5EE4A3"/>
    <w:rsid w:val="3F694787"/>
    <w:rsid w:val="3F6B8746"/>
    <w:rsid w:val="3F6D644D"/>
    <w:rsid w:val="3F823A89"/>
    <w:rsid w:val="3FBA62AF"/>
    <w:rsid w:val="3FC81F24"/>
    <w:rsid w:val="3FD37A6A"/>
    <w:rsid w:val="3FE35D55"/>
    <w:rsid w:val="3FFAD809"/>
    <w:rsid w:val="40712A1A"/>
    <w:rsid w:val="40894CA4"/>
    <w:rsid w:val="40C8C0B7"/>
    <w:rsid w:val="40F687F2"/>
    <w:rsid w:val="41135A89"/>
    <w:rsid w:val="4113804B"/>
    <w:rsid w:val="41194B96"/>
    <w:rsid w:val="414125F1"/>
    <w:rsid w:val="415359E5"/>
    <w:rsid w:val="416F718E"/>
    <w:rsid w:val="41A96026"/>
    <w:rsid w:val="41B0F151"/>
    <w:rsid w:val="41C58116"/>
    <w:rsid w:val="41D030ED"/>
    <w:rsid w:val="41E0E2A3"/>
    <w:rsid w:val="4208EFC6"/>
    <w:rsid w:val="427A679D"/>
    <w:rsid w:val="429992F2"/>
    <w:rsid w:val="42C68CDF"/>
    <w:rsid w:val="42FCC475"/>
    <w:rsid w:val="42FD4670"/>
    <w:rsid w:val="437F9D16"/>
    <w:rsid w:val="43FB0B2B"/>
    <w:rsid w:val="4470996C"/>
    <w:rsid w:val="44AA35BA"/>
    <w:rsid w:val="44AFF6CB"/>
    <w:rsid w:val="44B4A420"/>
    <w:rsid w:val="44CA981F"/>
    <w:rsid w:val="44FD214E"/>
    <w:rsid w:val="4509F1CF"/>
    <w:rsid w:val="45112C52"/>
    <w:rsid w:val="4579D0B8"/>
    <w:rsid w:val="45E7FBEB"/>
    <w:rsid w:val="45F798CF"/>
    <w:rsid w:val="46094DE0"/>
    <w:rsid w:val="46264B7E"/>
    <w:rsid w:val="465D21DA"/>
    <w:rsid w:val="4684F2D5"/>
    <w:rsid w:val="468CE1A2"/>
    <w:rsid w:val="46B92201"/>
    <w:rsid w:val="46CC65CC"/>
    <w:rsid w:val="46E52369"/>
    <w:rsid w:val="4709F02F"/>
    <w:rsid w:val="4710F8EB"/>
    <w:rsid w:val="4728282A"/>
    <w:rsid w:val="472C5244"/>
    <w:rsid w:val="4794CE3B"/>
    <w:rsid w:val="47D28D68"/>
    <w:rsid w:val="47E8081E"/>
    <w:rsid w:val="481ECA5C"/>
    <w:rsid w:val="48D682DC"/>
    <w:rsid w:val="49283E65"/>
    <w:rsid w:val="4963ADBC"/>
    <w:rsid w:val="49A2071A"/>
    <w:rsid w:val="49C48264"/>
    <w:rsid w:val="4A4BF140"/>
    <w:rsid w:val="4A896D36"/>
    <w:rsid w:val="4B12FCF1"/>
    <w:rsid w:val="4BCB57F2"/>
    <w:rsid w:val="4BD58C37"/>
    <w:rsid w:val="4BDD9103"/>
    <w:rsid w:val="4C3B49FD"/>
    <w:rsid w:val="4C4A344B"/>
    <w:rsid w:val="4C4AD497"/>
    <w:rsid w:val="4C8439A2"/>
    <w:rsid w:val="4CB3305D"/>
    <w:rsid w:val="4CC8854C"/>
    <w:rsid w:val="4CEE91F7"/>
    <w:rsid w:val="4D72AC46"/>
    <w:rsid w:val="4DEA16C8"/>
    <w:rsid w:val="4E194C68"/>
    <w:rsid w:val="4E1DCABC"/>
    <w:rsid w:val="4E274BD9"/>
    <w:rsid w:val="4E2C210C"/>
    <w:rsid w:val="4E3DF7BD"/>
    <w:rsid w:val="4E6AEC8C"/>
    <w:rsid w:val="4E6F085F"/>
    <w:rsid w:val="4E761B65"/>
    <w:rsid w:val="4EFE1D31"/>
    <w:rsid w:val="4F201C25"/>
    <w:rsid w:val="4F35C383"/>
    <w:rsid w:val="4F4AE61B"/>
    <w:rsid w:val="4F536710"/>
    <w:rsid w:val="4F68D8E8"/>
    <w:rsid w:val="4FBB75BD"/>
    <w:rsid w:val="50BEE20E"/>
    <w:rsid w:val="50F51786"/>
    <w:rsid w:val="515B23C8"/>
    <w:rsid w:val="516A46F5"/>
    <w:rsid w:val="516C80DE"/>
    <w:rsid w:val="517406D6"/>
    <w:rsid w:val="5198C335"/>
    <w:rsid w:val="51FFEB04"/>
    <w:rsid w:val="520DEAE0"/>
    <w:rsid w:val="52C2CE5F"/>
    <w:rsid w:val="5341819E"/>
    <w:rsid w:val="53496749"/>
    <w:rsid w:val="5419F534"/>
    <w:rsid w:val="544BDEF0"/>
    <w:rsid w:val="54875EFC"/>
    <w:rsid w:val="54DCDF02"/>
    <w:rsid w:val="54E97C6A"/>
    <w:rsid w:val="554E277B"/>
    <w:rsid w:val="55AF60B7"/>
    <w:rsid w:val="55E4AFFB"/>
    <w:rsid w:val="55FE51FD"/>
    <w:rsid w:val="569E5DE2"/>
    <w:rsid w:val="56A0113C"/>
    <w:rsid w:val="56D035BF"/>
    <w:rsid w:val="56D1FE6F"/>
    <w:rsid w:val="5702E6D2"/>
    <w:rsid w:val="574D7910"/>
    <w:rsid w:val="57DED924"/>
    <w:rsid w:val="5847F728"/>
    <w:rsid w:val="585BFB9E"/>
    <w:rsid w:val="58A82669"/>
    <w:rsid w:val="58C518AB"/>
    <w:rsid w:val="58F36874"/>
    <w:rsid w:val="5934E1A2"/>
    <w:rsid w:val="5935DE2C"/>
    <w:rsid w:val="5971708F"/>
    <w:rsid w:val="59BC78C9"/>
    <w:rsid w:val="5A283F3D"/>
    <w:rsid w:val="5A56E565"/>
    <w:rsid w:val="5AB89AC3"/>
    <w:rsid w:val="5ACFCD2A"/>
    <w:rsid w:val="5B4A92FF"/>
    <w:rsid w:val="5B70506C"/>
    <w:rsid w:val="5BB3731E"/>
    <w:rsid w:val="5BE2F998"/>
    <w:rsid w:val="5C7E62F0"/>
    <w:rsid w:val="5C8492C8"/>
    <w:rsid w:val="5CB94B4E"/>
    <w:rsid w:val="5D3A4814"/>
    <w:rsid w:val="5D514294"/>
    <w:rsid w:val="5D8ED670"/>
    <w:rsid w:val="5DA2F3ED"/>
    <w:rsid w:val="5DA6642B"/>
    <w:rsid w:val="5DB1CEDF"/>
    <w:rsid w:val="5DF163B6"/>
    <w:rsid w:val="5E4BCD63"/>
    <w:rsid w:val="5E81E352"/>
    <w:rsid w:val="5E9C4D58"/>
    <w:rsid w:val="5EE3FE78"/>
    <w:rsid w:val="5F4E36B8"/>
    <w:rsid w:val="5F58A859"/>
    <w:rsid w:val="5FE4A624"/>
    <w:rsid w:val="5FF7F777"/>
    <w:rsid w:val="60073A10"/>
    <w:rsid w:val="604ED349"/>
    <w:rsid w:val="607767AE"/>
    <w:rsid w:val="60AE3282"/>
    <w:rsid w:val="60EE109C"/>
    <w:rsid w:val="6187CC49"/>
    <w:rsid w:val="61B11DAF"/>
    <w:rsid w:val="61B1D37C"/>
    <w:rsid w:val="625BBC39"/>
    <w:rsid w:val="626162BA"/>
    <w:rsid w:val="626DADB3"/>
    <w:rsid w:val="626FFDBE"/>
    <w:rsid w:val="62711E7A"/>
    <w:rsid w:val="62CA9616"/>
    <w:rsid w:val="62DA02C9"/>
    <w:rsid w:val="62FB8516"/>
    <w:rsid w:val="6310AE60"/>
    <w:rsid w:val="632F00C1"/>
    <w:rsid w:val="63472059"/>
    <w:rsid w:val="63473463"/>
    <w:rsid w:val="63949209"/>
    <w:rsid w:val="63BF79F9"/>
    <w:rsid w:val="63CDD7B9"/>
    <w:rsid w:val="63D5DFCF"/>
    <w:rsid w:val="63EB3840"/>
    <w:rsid w:val="63F2D41A"/>
    <w:rsid w:val="64123730"/>
    <w:rsid w:val="643110EC"/>
    <w:rsid w:val="647FC68C"/>
    <w:rsid w:val="648E5EC6"/>
    <w:rsid w:val="64AB0046"/>
    <w:rsid w:val="64C642B3"/>
    <w:rsid w:val="64CD191A"/>
    <w:rsid w:val="65533FFC"/>
    <w:rsid w:val="65949008"/>
    <w:rsid w:val="65AC3D71"/>
    <w:rsid w:val="65BBD84C"/>
    <w:rsid w:val="65E371D0"/>
    <w:rsid w:val="6649B0E3"/>
    <w:rsid w:val="66AE1B3B"/>
    <w:rsid w:val="66B03F10"/>
    <w:rsid w:val="670838BA"/>
    <w:rsid w:val="6752451A"/>
    <w:rsid w:val="67DA1C7C"/>
    <w:rsid w:val="67E9EC7E"/>
    <w:rsid w:val="67F8BE86"/>
    <w:rsid w:val="67FA4C0D"/>
    <w:rsid w:val="67FBC965"/>
    <w:rsid w:val="67FC4BC1"/>
    <w:rsid w:val="686505B3"/>
    <w:rsid w:val="68C3AEC6"/>
    <w:rsid w:val="68CEDDD6"/>
    <w:rsid w:val="68FEE2E1"/>
    <w:rsid w:val="69164DA0"/>
    <w:rsid w:val="69C615C3"/>
    <w:rsid w:val="69EAB0E3"/>
    <w:rsid w:val="6A548368"/>
    <w:rsid w:val="6A5E73DF"/>
    <w:rsid w:val="6A76930D"/>
    <w:rsid w:val="6A90D5DD"/>
    <w:rsid w:val="6AD00BBB"/>
    <w:rsid w:val="6AEBB270"/>
    <w:rsid w:val="6AF99474"/>
    <w:rsid w:val="6AFAE4EC"/>
    <w:rsid w:val="6B007FF0"/>
    <w:rsid w:val="6B5E3A95"/>
    <w:rsid w:val="6BA9DB9D"/>
    <w:rsid w:val="6BBFE2A1"/>
    <w:rsid w:val="6BF2BDF3"/>
    <w:rsid w:val="6C2D8873"/>
    <w:rsid w:val="6CBF7DC1"/>
    <w:rsid w:val="6CC4F1DC"/>
    <w:rsid w:val="6CC53540"/>
    <w:rsid w:val="6CF39E80"/>
    <w:rsid w:val="6D128859"/>
    <w:rsid w:val="6DB8300C"/>
    <w:rsid w:val="6DB90230"/>
    <w:rsid w:val="6DC732FD"/>
    <w:rsid w:val="6DD46F57"/>
    <w:rsid w:val="6E10FEE6"/>
    <w:rsid w:val="6E2C1699"/>
    <w:rsid w:val="6E99223F"/>
    <w:rsid w:val="6E9EAA6F"/>
    <w:rsid w:val="6ED90FA2"/>
    <w:rsid w:val="6F2E04D2"/>
    <w:rsid w:val="6F2F2A22"/>
    <w:rsid w:val="6F6C01B5"/>
    <w:rsid w:val="6F878DD1"/>
    <w:rsid w:val="6F88A1E6"/>
    <w:rsid w:val="6FA9BDB7"/>
    <w:rsid w:val="6FF37D31"/>
    <w:rsid w:val="701EDEF3"/>
    <w:rsid w:val="70306946"/>
    <w:rsid w:val="7034C8A9"/>
    <w:rsid w:val="7049A5DB"/>
    <w:rsid w:val="70572FCC"/>
    <w:rsid w:val="7097111D"/>
    <w:rsid w:val="70A54AEE"/>
    <w:rsid w:val="70E059EB"/>
    <w:rsid w:val="70E98020"/>
    <w:rsid w:val="7172596C"/>
    <w:rsid w:val="7181E5E3"/>
    <w:rsid w:val="719A4489"/>
    <w:rsid w:val="719E0E0F"/>
    <w:rsid w:val="71C39808"/>
    <w:rsid w:val="720C55BC"/>
    <w:rsid w:val="72862E5D"/>
    <w:rsid w:val="729317D5"/>
    <w:rsid w:val="7297F136"/>
    <w:rsid w:val="72AD040E"/>
    <w:rsid w:val="72AEC9E0"/>
    <w:rsid w:val="72CC1F6B"/>
    <w:rsid w:val="72CE8B10"/>
    <w:rsid w:val="72FDE792"/>
    <w:rsid w:val="731AFAE6"/>
    <w:rsid w:val="731D519D"/>
    <w:rsid w:val="732BCBA4"/>
    <w:rsid w:val="735AFCA7"/>
    <w:rsid w:val="73A1C4AC"/>
    <w:rsid w:val="73F3DAA7"/>
    <w:rsid w:val="7400783C"/>
    <w:rsid w:val="741A1240"/>
    <w:rsid w:val="74AB228D"/>
    <w:rsid w:val="74F643A8"/>
    <w:rsid w:val="74FDAA32"/>
    <w:rsid w:val="750FE52C"/>
    <w:rsid w:val="75DC8661"/>
    <w:rsid w:val="76D7A783"/>
    <w:rsid w:val="773633E9"/>
    <w:rsid w:val="77DAC1FC"/>
    <w:rsid w:val="782A2316"/>
    <w:rsid w:val="78449711"/>
    <w:rsid w:val="78963F5F"/>
    <w:rsid w:val="790176BE"/>
    <w:rsid w:val="7927E810"/>
    <w:rsid w:val="793F2AA9"/>
    <w:rsid w:val="794B3D8E"/>
    <w:rsid w:val="79E8B99F"/>
    <w:rsid w:val="79F2780C"/>
    <w:rsid w:val="7A20405B"/>
    <w:rsid w:val="7A6B01E4"/>
    <w:rsid w:val="7AA93466"/>
    <w:rsid w:val="7AFFF88C"/>
    <w:rsid w:val="7B0A1ABF"/>
    <w:rsid w:val="7B7095A1"/>
    <w:rsid w:val="7BA02CF1"/>
    <w:rsid w:val="7BC72C44"/>
    <w:rsid w:val="7BD6CA4F"/>
    <w:rsid w:val="7BDBAF89"/>
    <w:rsid w:val="7C0C8319"/>
    <w:rsid w:val="7C13E880"/>
    <w:rsid w:val="7C47D7BD"/>
    <w:rsid w:val="7C49D2B5"/>
    <w:rsid w:val="7C71C12E"/>
    <w:rsid w:val="7CB5882B"/>
    <w:rsid w:val="7CDD3C8F"/>
    <w:rsid w:val="7D40E6F6"/>
    <w:rsid w:val="7D6E89B4"/>
    <w:rsid w:val="7E93A312"/>
    <w:rsid w:val="7E94934A"/>
    <w:rsid w:val="7ED60616"/>
    <w:rsid w:val="7F05444A"/>
    <w:rsid w:val="7F22E0E3"/>
    <w:rsid w:val="7F457AC7"/>
    <w:rsid w:val="7F70B7D7"/>
    <w:rsid w:val="7FA1B229"/>
    <w:rsid w:val="7FBBC167"/>
    <w:rsid w:val="7FD9B595"/>
    <w:rsid w:val="7FDDD9A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95A611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3CE"/>
    <w:pPr>
      <w:spacing w:after="160" w:line="259" w:lineRule="auto"/>
    </w:pPr>
    <w:rPr>
      <w:rFonts w:eastAsiaTheme="minorEastAsia"/>
    </w:rPr>
  </w:style>
  <w:style w:type="paragraph" w:styleId="Heading1">
    <w:name w:val="heading 1"/>
    <w:basedOn w:val="Normal"/>
    <w:next w:val="Normal"/>
    <w:link w:val="Heading1Char"/>
    <w:uiPriority w:val="9"/>
    <w:qFormat/>
    <w:rsid w:val="003F1FF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404A2"/>
    <w:pPr>
      <w:keepNext/>
      <w:keepLines/>
      <w:numPr>
        <w:ilvl w:val="1"/>
        <w:numId w:val="1"/>
      </w:numPr>
      <w:spacing w:before="40" w:after="0" w:line="240" w:lineRule="auto"/>
      <w:outlineLvl w:val="1"/>
    </w:pPr>
    <w:rPr>
      <w:rFonts w:asciiTheme="majorHAnsi" w:eastAsia="Times New Roman" w:hAnsiTheme="majorHAnsi" w:cstheme="majorBidi"/>
      <w:color w:val="365F91" w:themeColor="accent1" w:themeShade="BF"/>
      <w:sz w:val="32"/>
      <w:szCs w:val="32"/>
      <w:lang w:eastAsia="en-IE"/>
    </w:rPr>
  </w:style>
  <w:style w:type="paragraph" w:styleId="Heading3">
    <w:name w:val="heading 3"/>
    <w:basedOn w:val="Normal"/>
    <w:next w:val="Normal"/>
    <w:link w:val="Heading3Char"/>
    <w:uiPriority w:val="9"/>
    <w:unhideWhenUsed/>
    <w:qFormat/>
    <w:rsid w:val="0053389F"/>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53389F"/>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unhideWhenUsed/>
    <w:qFormat/>
    <w:rsid w:val="0085139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404A2"/>
    <w:rPr>
      <w:rFonts w:asciiTheme="majorHAnsi" w:eastAsia="Times New Roman" w:hAnsiTheme="majorHAnsi" w:cstheme="majorBidi"/>
      <w:color w:val="365F91" w:themeColor="accent1" w:themeShade="BF"/>
      <w:sz w:val="32"/>
      <w:szCs w:val="32"/>
      <w:lang w:val="it-IT" w:eastAsia="en-IE"/>
    </w:rPr>
  </w:style>
  <w:style w:type="character" w:customStyle="1" w:styleId="Heading3Char">
    <w:name w:val="Heading 3 Char"/>
    <w:basedOn w:val="DefaultParagraphFont"/>
    <w:link w:val="Heading3"/>
    <w:uiPriority w:val="9"/>
    <w:rsid w:val="0053389F"/>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rsid w:val="0053389F"/>
    <w:rPr>
      <w:rFonts w:asciiTheme="majorHAnsi" w:eastAsiaTheme="majorEastAsia" w:hAnsiTheme="majorHAnsi" w:cstheme="majorBidi"/>
      <w:color w:val="365F91" w:themeColor="accent1" w:themeShade="BF"/>
      <w:sz w:val="24"/>
      <w:szCs w:val="24"/>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rsid w:val="0053389F"/>
    <w:pPr>
      <w:ind w:left="720"/>
      <w:contextualSpacing/>
    </w:p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link w:val="ListParagraph"/>
    <w:uiPriority w:val="34"/>
    <w:qFormat/>
    <w:rsid w:val="0053389F"/>
    <w:rPr>
      <w:rFonts w:eastAsiaTheme="minorEastAsia"/>
    </w:rPr>
  </w:style>
  <w:style w:type="paragraph" w:styleId="FootnoteText">
    <w:name w:val="footnote text"/>
    <w:basedOn w:val="Normal"/>
    <w:link w:val="FootnoteTextChar"/>
    <w:uiPriority w:val="99"/>
    <w:unhideWhenUsed/>
    <w:rsid w:val="003F1FF2"/>
    <w:pPr>
      <w:spacing w:after="0" w:line="240" w:lineRule="auto"/>
      <w:jc w:val="both"/>
    </w:pPr>
    <w:rPr>
      <w:rFonts w:ascii="Times New Roman" w:eastAsiaTheme="minorHAnsi" w:hAnsi="Times New Roman"/>
      <w:sz w:val="20"/>
      <w:szCs w:val="20"/>
    </w:rPr>
  </w:style>
  <w:style w:type="character" w:customStyle="1" w:styleId="FootnoteTextChar">
    <w:name w:val="Footnote Text Char"/>
    <w:basedOn w:val="DefaultParagraphFont"/>
    <w:link w:val="FootnoteText"/>
    <w:uiPriority w:val="99"/>
    <w:rsid w:val="003F1FF2"/>
    <w:rPr>
      <w:rFonts w:ascii="Times New Roman" w:hAnsi="Times New Roman"/>
      <w:sz w:val="20"/>
      <w:szCs w:val="20"/>
    </w:rPr>
  </w:style>
  <w:style w:type="character" w:styleId="FootnoteReference">
    <w:name w:val="footnote reference"/>
    <w:aliases w:val="Footnote symbol,IT Fußnotenzeichen,Footnote symboFußnotenzeichen,Footnote sign,-E Fußnotenzeichen,ESPON Footnote No,Footnote call,Footnote Reference Superscript,Footnote reference number,Times 10 Point,Exposant 3 Point,Ref,SUPERS,numb"/>
    <w:basedOn w:val="DefaultParagraphFont"/>
    <w:uiPriority w:val="99"/>
    <w:unhideWhenUsed/>
    <w:qFormat/>
    <w:rsid w:val="003F1FF2"/>
    <w:rPr>
      <w:vertAlign w:val="superscript"/>
    </w:rPr>
  </w:style>
  <w:style w:type="paragraph" w:styleId="Title">
    <w:name w:val="Title"/>
    <w:basedOn w:val="Normal"/>
    <w:next w:val="Normal"/>
    <w:link w:val="TitleChar"/>
    <w:uiPriority w:val="10"/>
    <w:qFormat/>
    <w:rsid w:val="003F1FF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1FF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F1FF2"/>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5362B5"/>
    <w:pPr>
      <w:outlineLvl w:val="9"/>
    </w:pPr>
  </w:style>
  <w:style w:type="paragraph" w:styleId="TOC1">
    <w:name w:val="toc 1"/>
    <w:basedOn w:val="Normal"/>
    <w:next w:val="Normal"/>
    <w:autoRedefine/>
    <w:uiPriority w:val="39"/>
    <w:unhideWhenUsed/>
    <w:rsid w:val="0021675B"/>
    <w:pPr>
      <w:tabs>
        <w:tab w:val="left" w:pos="440"/>
        <w:tab w:val="right" w:leader="dot" w:pos="9062"/>
      </w:tabs>
      <w:spacing w:after="100"/>
    </w:pPr>
    <w:rPr>
      <w:rFonts w:ascii="Times New Roman" w:hAnsi="Times New Roman" w:cs="Times New Roman"/>
      <w:noProof/>
      <w:color w:val="000000" w:themeColor="text1"/>
      <w:lang w:eastAsia="en-IE"/>
    </w:rPr>
  </w:style>
  <w:style w:type="paragraph" w:styleId="TOC2">
    <w:name w:val="toc 2"/>
    <w:basedOn w:val="Normal"/>
    <w:next w:val="Normal"/>
    <w:autoRedefine/>
    <w:uiPriority w:val="39"/>
    <w:unhideWhenUsed/>
    <w:rsid w:val="003F09F0"/>
    <w:pPr>
      <w:tabs>
        <w:tab w:val="left" w:pos="880"/>
        <w:tab w:val="right" w:leader="dot" w:pos="9062"/>
      </w:tabs>
      <w:spacing w:after="100"/>
      <w:ind w:left="220"/>
    </w:pPr>
  </w:style>
  <w:style w:type="character" w:styleId="Hyperlink">
    <w:name w:val="Hyperlink"/>
    <w:basedOn w:val="DefaultParagraphFont"/>
    <w:uiPriority w:val="99"/>
    <w:unhideWhenUsed/>
    <w:rsid w:val="005362B5"/>
    <w:rPr>
      <w:color w:val="0000FF" w:themeColor="hyperlink"/>
      <w:u w:val="single"/>
    </w:rPr>
  </w:style>
  <w:style w:type="character" w:styleId="CommentReference">
    <w:name w:val="annotation reference"/>
    <w:basedOn w:val="DefaultParagraphFont"/>
    <w:uiPriority w:val="99"/>
    <w:semiHidden/>
    <w:unhideWhenUsed/>
    <w:rsid w:val="00777014"/>
    <w:rPr>
      <w:sz w:val="16"/>
      <w:szCs w:val="16"/>
    </w:rPr>
  </w:style>
  <w:style w:type="paragraph" w:styleId="CommentText">
    <w:name w:val="annotation text"/>
    <w:basedOn w:val="Normal"/>
    <w:link w:val="CommentTextChar"/>
    <w:uiPriority w:val="99"/>
    <w:unhideWhenUsed/>
    <w:rsid w:val="00777014"/>
    <w:pPr>
      <w:spacing w:line="240" w:lineRule="auto"/>
    </w:pPr>
    <w:rPr>
      <w:sz w:val="20"/>
      <w:szCs w:val="20"/>
    </w:rPr>
  </w:style>
  <w:style w:type="character" w:customStyle="1" w:styleId="CommentTextChar">
    <w:name w:val="Comment Text Char"/>
    <w:basedOn w:val="DefaultParagraphFont"/>
    <w:link w:val="CommentText"/>
    <w:uiPriority w:val="99"/>
    <w:rsid w:val="00777014"/>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777014"/>
    <w:rPr>
      <w:b/>
      <w:bCs/>
    </w:rPr>
  </w:style>
  <w:style w:type="character" w:customStyle="1" w:styleId="CommentSubjectChar">
    <w:name w:val="Comment Subject Char"/>
    <w:basedOn w:val="CommentTextChar"/>
    <w:link w:val="CommentSubject"/>
    <w:uiPriority w:val="99"/>
    <w:semiHidden/>
    <w:rsid w:val="00777014"/>
    <w:rPr>
      <w:rFonts w:eastAsiaTheme="minorEastAsia"/>
      <w:b/>
      <w:bCs/>
      <w:sz w:val="20"/>
      <w:szCs w:val="20"/>
    </w:rPr>
  </w:style>
  <w:style w:type="paragraph" w:styleId="TOC3">
    <w:name w:val="toc 3"/>
    <w:basedOn w:val="Normal"/>
    <w:next w:val="Normal"/>
    <w:autoRedefine/>
    <w:uiPriority w:val="39"/>
    <w:unhideWhenUsed/>
    <w:rsid w:val="00DD16DA"/>
    <w:pPr>
      <w:tabs>
        <w:tab w:val="left" w:pos="1100"/>
        <w:tab w:val="right" w:leader="dot" w:pos="9062"/>
      </w:tabs>
      <w:spacing w:after="100"/>
      <w:ind w:left="440"/>
    </w:pPr>
  </w:style>
  <w:style w:type="paragraph" w:styleId="Revision">
    <w:name w:val="Revision"/>
    <w:hidden/>
    <w:uiPriority w:val="99"/>
    <w:semiHidden/>
    <w:rsid w:val="000C5FF3"/>
    <w:pPr>
      <w:spacing w:after="0" w:line="240" w:lineRule="auto"/>
    </w:pPr>
    <w:rPr>
      <w:rFonts w:eastAsiaTheme="minorEastAsia"/>
    </w:rPr>
  </w:style>
  <w:style w:type="paragraph" w:styleId="Header">
    <w:name w:val="header"/>
    <w:basedOn w:val="Normal"/>
    <w:link w:val="HeaderChar"/>
    <w:uiPriority w:val="99"/>
    <w:unhideWhenUsed/>
    <w:rsid w:val="009044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4480"/>
    <w:rPr>
      <w:rFonts w:eastAsiaTheme="minorEastAsia"/>
    </w:rPr>
  </w:style>
  <w:style w:type="paragraph" w:styleId="Footer">
    <w:name w:val="footer"/>
    <w:basedOn w:val="Normal"/>
    <w:link w:val="FooterChar"/>
    <w:uiPriority w:val="99"/>
    <w:unhideWhenUsed/>
    <w:rsid w:val="009044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4480"/>
    <w:rPr>
      <w:rFonts w:eastAsiaTheme="minorEastAsia"/>
    </w:rPr>
  </w:style>
  <w:style w:type="character" w:customStyle="1" w:styleId="UnresolvedMention1">
    <w:name w:val="Unresolved Mention1"/>
    <w:basedOn w:val="DefaultParagraphFont"/>
    <w:uiPriority w:val="99"/>
    <w:semiHidden/>
    <w:unhideWhenUsed/>
    <w:rsid w:val="00CA28FC"/>
    <w:rPr>
      <w:color w:val="605E5C"/>
      <w:shd w:val="clear" w:color="auto" w:fill="E1DFDD"/>
    </w:rPr>
  </w:style>
  <w:style w:type="paragraph" w:styleId="EndnoteText">
    <w:name w:val="endnote text"/>
    <w:basedOn w:val="Normal"/>
    <w:link w:val="EndnoteTextChar"/>
    <w:uiPriority w:val="99"/>
    <w:semiHidden/>
    <w:unhideWhenUsed/>
    <w:rsid w:val="00A5167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5167A"/>
    <w:rPr>
      <w:rFonts w:eastAsiaTheme="minorEastAsia"/>
      <w:sz w:val="20"/>
      <w:szCs w:val="20"/>
    </w:rPr>
  </w:style>
  <w:style w:type="character" w:styleId="EndnoteReference">
    <w:name w:val="endnote reference"/>
    <w:basedOn w:val="DefaultParagraphFont"/>
    <w:uiPriority w:val="99"/>
    <w:semiHidden/>
    <w:unhideWhenUsed/>
    <w:rsid w:val="00A5167A"/>
    <w:rPr>
      <w:vertAlign w:val="superscript"/>
    </w:rPr>
  </w:style>
  <w:style w:type="character" w:styleId="FollowedHyperlink">
    <w:name w:val="FollowedHyperlink"/>
    <w:basedOn w:val="DefaultParagraphFont"/>
    <w:uiPriority w:val="99"/>
    <w:semiHidden/>
    <w:unhideWhenUsed/>
    <w:rsid w:val="00224B7D"/>
    <w:rPr>
      <w:color w:val="800080" w:themeColor="followedHyperlink"/>
      <w:u w:val="single"/>
    </w:rPr>
  </w:style>
  <w:style w:type="character" w:customStyle="1" w:styleId="Mention1">
    <w:name w:val="Mention1"/>
    <w:basedOn w:val="DefaultParagraphFont"/>
    <w:uiPriority w:val="99"/>
    <w:unhideWhenUsed/>
    <w:rsid w:val="006D799A"/>
    <w:rPr>
      <w:color w:val="2B579A"/>
      <w:shd w:val="clear" w:color="auto" w:fill="E1DFDD"/>
    </w:rPr>
  </w:style>
  <w:style w:type="paragraph" w:customStyle="1" w:styleId="Text1">
    <w:name w:val="Text 1"/>
    <w:basedOn w:val="Normal"/>
    <w:uiPriority w:val="1"/>
    <w:qFormat/>
    <w:rsid w:val="003F1797"/>
    <w:pPr>
      <w:spacing w:after="240" w:line="240" w:lineRule="auto"/>
      <w:ind w:left="482"/>
      <w:jc w:val="both"/>
    </w:pPr>
    <w:rPr>
      <w:rFonts w:ascii="Times New Roman" w:eastAsia="Times New Roman" w:hAnsi="Times New Roman" w:cs="Times New Roman"/>
      <w:sz w:val="24"/>
      <w:szCs w:val="20"/>
      <w:lang w:eastAsia="en-GB"/>
    </w:rPr>
  </w:style>
  <w:style w:type="character" w:customStyle="1" w:styleId="ui-provider">
    <w:name w:val="ui-provider"/>
    <w:basedOn w:val="DefaultParagraphFont"/>
    <w:rsid w:val="00507EFC"/>
  </w:style>
  <w:style w:type="character" w:customStyle="1" w:styleId="normaltextrun">
    <w:name w:val="normaltextrun"/>
    <w:basedOn w:val="DefaultParagraphFont"/>
    <w:rsid w:val="00B61F8F"/>
  </w:style>
  <w:style w:type="character" w:customStyle="1" w:styleId="eop">
    <w:name w:val="eop"/>
    <w:basedOn w:val="DefaultParagraphFont"/>
    <w:rsid w:val="00B61F8F"/>
  </w:style>
  <w:style w:type="character" w:customStyle="1" w:styleId="superscript">
    <w:name w:val="superscript"/>
    <w:basedOn w:val="DefaultParagraphFont"/>
    <w:rsid w:val="00865498"/>
  </w:style>
  <w:style w:type="character" w:customStyle="1" w:styleId="Marker">
    <w:name w:val="Marker"/>
    <w:basedOn w:val="DefaultParagraphFont"/>
    <w:rsid w:val="00915255"/>
    <w:rPr>
      <w:color w:val="0000FF"/>
      <w:shd w:val="clear" w:color="auto" w:fill="auto"/>
    </w:rPr>
  </w:style>
  <w:style w:type="paragraph" w:customStyle="1" w:styleId="Pagedecouverture">
    <w:name w:val="Page de couverture"/>
    <w:basedOn w:val="Normal"/>
    <w:next w:val="Normal"/>
    <w:link w:val="PagedecouvertureChar"/>
    <w:rsid w:val="00915255"/>
    <w:pPr>
      <w:spacing w:after="0" w:line="240" w:lineRule="auto"/>
      <w:jc w:val="both"/>
    </w:pPr>
    <w:rPr>
      <w:rFonts w:ascii="Times New Roman" w:eastAsiaTheme="minorHAnsi" w:hAnsi="Times New Roman" w:cs="Times New Roman"/>
      <w:sz w:val="24"/>
    </w:rPr>
  </w:style>
  <w:style w:type="paragraph" w:customStyle="1" w:styleId="Typedudocument">
    <w:name w:val="Type du document"/>
    <w:basedOn w:val="Normal"/>
    <w:next w:val="Normal"/>
    <w:rsid w:val="00915255"/>
    <w:pPr>
      <w:spacing w:before="360" w:after="0" w:line="240" w:lineRule="auto"/>
      <w:jc w:val="center"/>
    </w:pPr>
    <w:rPr>
      <w:rFonts w:ascii="Times New Roman" w:eastAsiaTheme="minorHAnsi" w:hAnsi="Times New Roman" w:cs="Times New Roman"/>
      <w:b/>
      <w:sz w:val="24"/>
    </w:rPr>
  </w:style>
  <w:style w:type="paragraph" w:customStyle="1" w:styleId="Titreobjet">
    <w:name w:val="Titre objet"/>
    <w:basedOn w:val="Normal"/>
    <w:next w:val="Normal"/>
    <w:rsid w:val="00915255"/>
    <w:pPr>
      <w:spacing w:before="360" w:after="360" w:line="240" w:lineRule="auto"/>
      <w:jc w:val="center"/>
    </w:pPr>
    <w:rPr>
      <w:rFonts w:ascii="Times New Roman" w:eastAsiaTheme="minorHAnsi" w:hAnsi="Times New Roman" w:cs="Times New Roman"/>
      <w:b/>
      <w:sz w:val="24"/>
    </w:rPr>
  </w:style>
  <w:style w:type="paragraph" w:customStyle="1" w:styleId="FooterCoverPage">
    <w:name w:val="Footer Cover Page"/>
    <w:basedOn w:val="Normal"/>
    <w:link w:val="FooterCoverPageChar"/>
    <w:rsid w:val="00915255"/>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PagedecouvertureChar">
    <w:name w:val="Page de couverture Char"/>
    <w:basedOn w:val="DefaultParagraphFont"/>
    <w:link w:val="Pagedecouverture"/>
    <w:rsid w:val="00915255"/>
    <w:rPr>
      <w:rFonts w:ascii="Times New Roman" w:hAnsi="Times New Roman" w:cs="Times New Roman"/>
      <w:sz w:val="24"/>
    </w:rPr>
  </w:style>
  <w:style w:type="character" w:customStyle="1" w:styleId="FooterCoverPageChar">
    <w:name w:val="Footer Cover Page Char"/>
    <w:basedOn w:val="PagedecouvertureChar"/>
    <w:link w:val="FooterCoverPage"/>
    <w:rsid w:val="00915255"/>
    <w:rPr>
      <w:rFonts w:ascii="Times New Roman" w:eastAsiaTheme="minorEastAsia" w:hAnsi="Times New Roman" w:cs="Times New Roman"/>
      <w:sz w:val="24"/>
    </w:rPr>
  </w:style>
  <w:style w:type="paragraph" w:customStyle="1" w:styleId="FooterSensitivity">
    <w:name w:val="Footer Sensitivity"/>
    <w:basedOn w:val="Normal"/>
    <w:link w:val="FooterSensitivityChar"/>
    <w:rsid w:val="00915255"/>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PagedecouvertureChar"/>
    <w:link w:val="FooterSensitivity"/>
    <w:rsid w:val="00915255"/>
    <w:rPr>
      <w:rFonts w:ascii="Times New Roman" w:eastAsiaTheme="minorEastAsia" w:hAnsi="Times New Roman" w:cs="Times New Roman"/>
      <w:b/>
      <w:sz w:val="32"/>
    </w:rPr>
  </w:style>
  <w:style w:type="paragraph" w:customStyle="1" w:styleId="HeaderCoverPage">
    <w:name w:val="Header Cover Page"/>
    <w:basedOn w:val="Normal"/>
    <w:link w:val="HeaderCoverPageChar"/>
    <w:rsid w:val="00915255"/>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PagedecouvertureChar"/>
    <w:link w:val="HeaderCoverPage"/>
    <w:rsid w:val="00915255"/>
    <w:rPr>
      <w:rFonts w:ascii="Times New Roman" w:eastAsiaTheme="minorEastAsia" w:hAnsi="Times New Roman" w:cs="Times New Roman"/>
      <w:sz w:val="24"/>
    </w:rPr>
  </w:style>
  <w:style w:type="paragraph" w:customStyle="1" w:styleId="HeaderSensitivity">
    <w:name w:val="Header Sensitivity"/>
    <w:basedOn w:val="Normal"/>
    <w:link w:val="HeaderSensitivityChar"/>
    <w:rsid w:val="00915255"/>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PagedecouvertureChar"/>
    <w:link w:val="HeaderSensitivity"/>
    <w:rsid w:val="00915255"/>
    <w:rPr>
      <w:rFonts w:ascii="Times New Roman" w:eastAsiaTheme="minorEastAsia" w:hAnsi="Times New Roman" w:cs="Times New Roman"/>
      <w:b/>
      <w:sz w:val="32"/>
    </w:rPr>
  </w:style>
  <w:style w:type="paragraph" w:customStyle="1" w:styleId="HeaderSensitivityRight">
    <w:name w:val="Header Sensitivity Right"/>
    <w:basedOn w:val="Normal"/>
    <w:link w:val="HeaderSensitivityRightChar"/>
    <w:rsid w:val="00915255"/>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PagedecouvertureChar"/>
    <w:link w:val="HeaderSensitivityRight"/>
    <w:rsid w:val="00915255"/>
    <w:rPr>
      <w:rFonts w:ascii="Times New Roman" w:eastAsiaTheme="minorEastAsia" w:hAnsi="Times New Roman" w:cs="Times New Roman"/>
      <w:sz w:val="28"/>
    </w:rPr>
  </w:style>
  <w:style w:type="character" w:customStyle="1" w:styleId="Heading5Char">
    <w:name w:val="Heading 5 Char"/>
    <w:basedOn w:val="DefaultParagraphFont"/>
    <w:link w:val="Heading5"/>
    <w:uiPriority w:val="9"/>
    <w:rsid w:val="00851392"/>
    <w:rPr>
      <w:rFonts w:asciiTheme="majorHAnsi" w:eastAsiaTheme="majorEastAsia" w:hAnsiTheme="majorHAnsi" w:cstheme="majorBidi"/>
      <w:color w:val="365F91" w:themeColor="accent1" w:themeShade="BF"/>
    </w:rPr>
  </w:style>
  <w:style w:type="character" w:customStyle="1" w:styleId="cf01">
    <w:name w:val="cf01"/>
    <w:basedOn w:val="DefaultParagraphFont"/>
    <w:rsid w:val="00F00729"/>
    <w:rPr>
      <w:rFonts w:ascii="Segoe UI" w:hAnsi="Segoe UI" w:cs="Segoe UI" w:hint="default"/>
      <w:sz w:val="18"/>
      <w:szCs w:val="18"/>
    </w:rPr>
  </w:style>
  <w:style w:type="paragraph" w:styleId="BalloonText">
    <w:name w:val="Balloon Text"/>
    <w:basedOn w:val="Normal"/>
    <w:link w:val="BalloonTextChar"/>
    <w:uiPriority w:val="99"/>
    <w:semiHidden/>
    <w:unhideWhenUsed/>
    <w:rsid w:val="00EF52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256"/>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720405">
      <w:bodyDiv w:val="1"/>
      <w:marLeft w:val="0"/>
      <w:marRight w:val="0"/>
      <w:marTop w:val="0"/>
      <w:marBottom w:val="0"/>
      <w:divBdr>
        <w:top w:val="none" w:sz="0" w:space="0" w:color="auto"/>
        <w:left w:val="none" w:sz="0" w:space="0" w:color="auto"/>
        <w:bottom w:val="none" w:sz="0" w:space="0" w:color="auto"/>
        <w:right w:val="none" w:sz="0" w:space="0" w:color="auto"/>
      </w:divBdr>
    </w:div>
    <w:div w:id="358900420">
      <w:bodyDiv w:val="1"/>
      <w:marLeft w:val="0"/>
      <w:marRight w:val="0"/>
      <w:marTop w:val="0"/>
      <w:marBottom w:val="0"/>
      <w:divBdr>
        <w:top w:val="none" w:sz="0" w:space="0" w:color="auto"/>
        <w:left w:val="none" w:sz="0" w:space="0" w:color="auto"/>
        <w:bottom w:val="none" w:sz="0" w:space="0" w:color="auto"/>
        <w:right w:val="none" w:sz="0" w:space="0" w:color="auto"/>
      </w:divBdr>
    </w:div>
    <w:div w:id="365065273">
      <w:bodyDiv w:val="1"/>
      <w:marLeft w:val="0"/>
      <w:marRight w:val="0"/>
      <w:marTop w:val="0"/>
      <w:marBottom w:val="0"/>
      <w:divBdr>
        <w:top w:val="none" w:sz="0" w:space="0" w:color="auto"/>
        <w:left w:val="none" w:sz="0" w:space="0" w:color="auto"/>
        <w:bottom w:val="none" w:sz="0" w:space="0" w:color="auto"/>
        <w:right w:val="none" w:sz="0" w:space="0" w:color="auto"/>
      </w:divBdr>
    </w:div>
    <w:div w:id="383876553">
      <w:bodyDiv w:val="1"/>
      <w:marLeft w:val="0"/>
      <w:marRight w:val="0"/>
      <w:marTop w:val="0"/>
      <w:marBottom w:val="0"/>
      <w:divBdr>
        <w:top w:val="none" w:sz="0" w:space="0" w:color="auto"/>
        <w:left w:val="none" w:sz="0" w:space="0" w:color="auto"/>
        <w:bottom w:val="none" w:sz="0" w:space="0" w:color="auto"/>
        <w:right w:val="none" w:sz="0" w:space="0" w:color="auto"/>
      </w:divBdr>
    </w:div>
    <w:div w:id="422262284">
      <w:bodyDiv w:val="1"/>
      <w:marLeft w:val="0"/>
      <w:marRight w:val="0"/>
      <w:marTop w:val="0"/>
      <w:marBottom w:val="0"/>
      <w:divBdr>
        <w:top w:val="none" w:sz="0" w:space="0" w:color="auto"/>
        <w:left w:val="none" w:sz="0" w:space="0" w:color="auto"/>
        <w:bottom w:val="none" w:sz="0" w:space="0" w:color="auto"/>
        <w:right w:val="none" w:sz="0" w:space="0" w:color="auto"/>
      </w:divBdr>
    </w:div>
    <w:div w:id="529953912">
      <w:bodyDiv w:val="1"/>
      <w:marLeft w:val="0"/>
      <w:marRight w:val="0"/>
      <w:marTop w:val="0"/>
      <w:marBottom w:val="0"/>
      <w:divBdr>
        <w:top w:val="none" w:sz="0" w:space="0" w:color="auto"/>
        <w:left w:val="none" w:sz="0" w:space="0" w:color="auto"/>
        <w:bottom w:val="none" w:sz="0" w:space="0" w:color="auto"/>
        <w:right w:val="none" w:sz="0" w:space="0" w:color="auto"/>
      </w:divBdr>
    </w:div>
    <w:div w:id="544682505">
      <w:bodyDiv w:val="1"/>
      <w:marLeft w:val="0"/>
      <w:marRight w:val="0"/>
      <w:marTop w:val="0"/>
      <w:marBottom w:val="0"/>
      <w:divBdr>
        <w:top w:val="none" w:sz="0" w:space="0" w:color="auto"/>
        <w:left w:val="none" w:sz="0" w:space="0" w:color="auto"/>
        <w:bottom w:val="none" w:sz="0" w:space="0" w:color="auto"/>
        <w:right w:val="none" w:sz="0" w:space="0" w:color="auto"/>
      </w:divBdr>
    </w:div>
    <w:div w:id="591474248">
      <w:bodyDiv w:val="1"/>
      <w:marLeft w:val="0"/>
      <w:marRight w:val="0"/>
      <w:marTop w:val="0"/>
      <w:marBottom w:val="0"/>
      <w:divBdr>
        <w:top w:val="none" w:sz="0" w:space="0" w:color="auto"/>
        <w:left w:val="none" w:sz="0" w:space="0" w:color="auto"/>
        <w:bottom w:val="none" w:sz="0" w:space="0" w:color="auto"/>
        <w:right w:val="none" w:sz="0" w:space="0" w:color="auto"/>
      </w:divBdr>
    </w:div>
    <w:div w:id="632366832">
      <w:bodyDiv w:val="1"/>
      <w:marLeft w:val="0"/>
      <w:marRight w:val="0"/>
      <w:marTop w:val="0"/>
      <w:marBottom w:val="0"/>
      <w:divBdr>
        <w:top w:val="none" w:sz="0" w:space="0" w:color="auto"/>
        <w:left w:val="none" w:sz="0" w:space="0" w:color="auto"/>
        <w:bottom w:val="none" w:sz="0" w:space="0" w:color="auto"/>
        <w:right w:val="none" w:sz="0" w:space="0" w:color="auto"/>
      </w:divBdr>
    </w:div>
    <w:div w:id="647174555">
      <w:bodyDiv w:val="1"/>
      <w:marLeft w:val="0"/>
      <w:marRight w:val="0"/>
      <w:marTop w:val="0"/>
      <w:marBottom w:val="0"/>
      <w:divBdr>
        <w:top w:val="none" w:sz="0" w:space="0" w:color="auto"/>
        <w:left w:val="none" w:sz="0" w:space="0" w:color="auto"/>
        <w:bottom w:val="none" w:sz="0" w:space="0" w:color="auto"/>
        <w:right w:val="none" w:sz="0" w:space="0" w:color="auto"/>
      </w:divBdr>
    </w:div>
    <w:div w:id="744031736">
      <w:bodyDiv w:val="1"/>
      <w:marLeft w:val="0"/>
      <w:marRight w:val="0"/>
      <w:marTop w:val="0"/>
      <w:marBottom w:val="0"/>
      <w:divBdr>
        <w:top w:val="none" w:sz="0" w:space="0" w:color="auto"/>
        <w:left w:val="none" w:sz="0" w:space="0" w:color="auto"/>
        <w:bottom w:val="none" w:sz="0" w:space="0" w:color="auto"/>
        <w:right w:val="none" w:sz="0" w:space="0" w:color="auto"/>
      </w:divBdr>
    </w:div>
    <w:div w:id="763764609">
      <w:bodyDiv w:val="1"/>
      <w:marLeft w:val="0"/>
      <w:marRight w:val="0"/>
      <w:marTop w:val="0"/>
      <w:marBottom w:val="0"/>
      <w:divBdr>
        <w:top w:val="none" w:sz="0" w:space="0" w:color="auto"/>
        <w:left w:val="none" w:sz="0" w:space="0" w:color="auto"/>
        <w:bottom w:val="none" w:sz="0" w:space="0" w:color="auto"/>
        <w:right w:val="none" w:sz="0" w:space="0" w:color="auto"/>
      </w:divBdr>
    </w:div>
    <w:div w:id="777062709">
      <w:bodyDiv w:val="1"/>
      <w:marLeft w:val="0"/>
      <w:marRight w:val="0"/>
      <w:marTop w:val="0"/>
      <w:marBottom w:val="0"/>
      <w:divBdr>
        <w:top w:val="none" w:sz="0" w:space="0" w:color="auto"/>
        <w:left w:val="none" w:sz="0" w:space="0" w:color="auto"/>
        <w:bottom w:val="none" w:sz="0" w:space="0" w:color="auto"/>
        <w:right w:val="none" w:sz="0" w:space="0" w:color="auto"/>
      </w:divBdr>
    </w:div>
    <w:div w:id="800222156">
      <w:bodyDiv w:val="1"/>
      <w:marLeft w:val="0"/>
      <w:marRight w:val="0"/>
      <w:marTop w:val="0"/>
      <w:marBottom w:val="0"/>
      <w:divBdr>
        <w:top w:val="none" w:sz="0" w:space="0" w:color="auto"/>
        <w:left w:val="none" w:sz="0" w:space="0" w:color="auto"/>
        <w:bottom w:val="none" w:sz="0" w:space="0" w:color="auto"/>
        <w:right w:val="none" w:sz="0" w:space="0" w:color="auto"/>
      </w:divBdr>
    </w:div>
    <w:div w:id="902789652">
      <w:bodyDiv w:val="1"/>
      <w:marLeft w:val="0"/>
      <w:marRight w:val="0"/>
      <w:marTop w:val="0"/>
      <w:marBottom w:val="0"/>
      <w:divBdr>
        <w:top w:val="none" w:sz="0" w:space="0" w:color="auto"/>
        <w:left w:val="none" w:sz="0" w:space="0" w:color="auto"/>
        <w:bottom w:val="none" w:sz="0" w:space="0" w:color="auto"/>
        <w:right w:val="none" w:sz="0" w:space="0" w:color="auto"/>
      </w:divBdr>
    </w:div>
    <w:div w:id="946471371">
      <w:bodyDiv w:val="1"/>
      <w:marLeft w:val="0"/>
      <w:marRight w:val="0"/>
      <w:marTop w:val="0"/>
      <w:marBottom w:val="0"/>
      <w:divBdr>
        <w:top w:val="none" w:sz="0" w:space="0" w:color="auto"/>
        <w:left w:val="none" w:sz="0" w:space="0" w:color="auto"/>
        <w:bottom w:val="none" w:sz="0" w:space="0" w:color="auto"/>
        <w:right w:val="none" w:sz="0" w:space="0" w:color="auto"/>
      </w:divBdr>
    </w:div>
    <w:div w:id="965812771">
      <w:bodyDiv w:val="1"/>
      <w:marLeft w:val="0"/>
      <w:marRight w:val="0"/>
      <w:marTop w:val="0"/>
      <w:marBottom w:val="0"/>
      <w:divBdr>
        <w:top w:val="none" w:sz="0" w:space="0" w:color="auto"/>
        <w:left w:val="none" w:sz="0" w:space="0" w:color="auto"/>
        <w:bottom w:val="none" w:sz="0" w:space="0" w:color="auto"/>
        <w:right w:val="none" w:sz="0" w:space="0" w:color="auto"/>
      </w:divBdr>
    </w:div>
    <w:div w:id="1083066943">
      <w:bodyDiv w:val="1"/>
      <w:marLeft w:val="0"/>
      <w:marRight w:val="0"/>
      <w:marTop w:val="0"/>
      <w:marBottom w:val="0"/>
      <w:divBdr>
        <w:top w:val="none" w:sz="0" w:space="0" w:color="auto"/>
        <w:left w:val="none" w:sz="0" w:space="0" w:color="auto"/>
        <w:bottom w:val="none" w:sz="0" w:space="0" w:color="auto"/>
        <w:right w:val="none" w:sz="0" w:space="0" w:color="auto"/>
      </w:divBdr>
    </w:div>
    <w:div w:id="1150751631">
      <w:bodyDiv w:val="1"/>
      <w:marLeft w:val="0"/>
      <w:marRight w:val="0"/>
      <w:marTop w:val="0"/>
      <w:marBottom w:val="0"/>
      <w:divBdr>
        <w:top w:val="none" w:sz="0" w:space="0" w:color="auto"/>
        <w:left w:val="none" w:sz="0" w:space="0" w:color="auto"/>
        <w:bottom w:val="none" w:sz="0" w:space="0" w:color="auto"/>
        <w:right w:val="none" w:sz="0" w:space="0" w:color="auto"/>
      </w:divBdr>
    </w:div>
    <w:div w:id="1153183816">
      <w:bodyDiv w:val="1"/>
      <w:marLeft w:val="0"/>
      <w:marRight w:val="0"/>
      <w:marTop w:val="0"/>
      <w:marBottom w:val="0"/>
      <w:divBdr>
        <w:top w:val="none" w:sz="0" w:space="0" w:color="auto"/>
        <w:left w:val="none" w:sz="0" w:space="0" w:color="auto"/>
        <w:bottom w:val="none" w:sz="0" w:space="0" w:color="auto"/>
        <w:right w:val="none" w:sz="0" w:space="0" w:color="auto"/>
      </w:divBdr>
    </w:div>
    <w:div w:id="1269696332">
      <w:bodyDiv w:val="1"/>
      <w:marLeft w:val="0"/>
      <w:marRight w:val="0"/>
      <w:marTop w:val="0"/>
      <w:marBottom w:val="0"/>
      <w:divBdr>
        <w:top w:val="none" w:sz="0" w:space="0" w:color="auto"/>
        <w:left w:val="none" w:sz="0" w:space="0" w:color="auto"/>
        <w:bottom w:val="none" w:sz="0" w:space="0" w:color="auto"/>
        <w:right w:val="none" w:sz="0" w:space="0" w:color="auto"/>
      </w:divBdr>
    </w:div>
    <w:div w:id="1303729939">
      <w:bodyDiv w:val="1"/>
      <w:marLeft w:val="0"/>
      <w:marRight w:val="0"/>
      <w:marTop w:val="0"/>
      <w:marBottom w:val="0"/>
      <w:divBdr>
        <w:top w:val="none" w:sz="0" w:space="0" w:color="auto"/>
        <w:left w:val="none" w:sz="0" w:space="0" w:color="auto"/>
        <w:bottom w:val="none" w:sz="0" w:space="0" w:color="auto"/>
        <w:right w:val="none" w:sz="0" w:space="0" w:color="auto"/>
      </w:divBdr>
    </w:div>
    <w:div w:id="1363823117">
      <w:bodyDiv w:val="1"/>
      <w:marLeft w:val="0"/>
      <w:marRight w:val="0"/>
      <w:marTop w:val="0"/>
      <w:marBottom w:val="0"/>
      <w:divBdr>
        <w:top w:val="none" w:sz="0" w:space="0" w:color="auto"/>
        <w:left w:val="none" w:sz="0" w:space="0" w:color="auto"/>
        <w:bottom w:val="none" w:sz="0" w:space="0" w:color="auto"/>
        <w:right w:val="none" w:sz="0" w:space="0" w:color="auto"/>
      </w:divBdr>
    </w:div>
    <w:div w:id="1454010367">
      <w:bodyDiv w:val="1"/>
      <w:marLeft w:val="0"/>
      <w:marRight w:val="0"/>
      <w:marTop w:val="0"/>
      <w:marBottom w:val="0"/>
      <w:divBdr>
        <w:top w:val="none" w:sz="0" w:space="0" w:color="auto"/>
        <w:left w:val="none" w:sz="0" w:space="0" w:color="auto"/>
        <w:bottom w:val="none" w:sz="0" w:space="0" w:color="auto"/>
        <w:right w:val="none" w:sz="0" w:space="0" w:color="auto"/>
      </w:divBdr>
    </w:div>
    <w:div w:id="1459251912">
      <w:bodyDiv w:val="1"/>
      <w:marLeft w:val="0"/>
      <w:marRight w:val="0"/>
      <w:marTop w:val="0"/>
      <w:marBottom w:val="0"/>
      <w:divBdr>
        <w:top w:val="none" w:sz="0" w:space="0" w:color="auto"/>
        <w:left w:val="none" w:sz="0" w:space="0" w:color="auto"/>
        <w:bottom w:val="none" w:sz="0" w:space="0" w:color="auto"/>
        <w:right w:val="none" w:sz="0" w:space="0" w:color="auto"/>
      </w:divBdr>
    </w:div>
    <w:div w:id="1543593251">
      <w:bodyDiv w:val="1"/>
      <w:marLeft w:val="0"/>
      <w:marRight w:val="0"/>
      <w:marTop w:val="0"/>
      <w:marBottom w:val="0"/>
      <w:divBdr>
        <w:top w:val="none" w:sz="0" w:space="0" w:color="auto"/>
        <w:left w:val="none" w:sz="0" w:space="0" w:color="auto"/>
        <w:bottom w:val="none" w:sz="0" w:space="0" w:color="auto"/>
        <w:right w:val="none" w:sz="0" w:space="0" w:color="auto"/>
      </w:divBdr>
    </w:div>
    <w:div w:id="1558663890">
      <w:bodyDiv w:val="1"/>
      <w:marLeft w:val="0"/>
      <w:marRight w:val="0"/>
      <w:marTop w:val="0"/>
      <w:marBottom w:val="0"/>
      <w:divBdr>
        <w:top w:val="none" w:sz="0" w:space="0" w:color="auto"/>
        <w:left w:val="none" w:sz="0" w:space="0" w:color="auto"/>
        <w:bottom w:val="none" w:sz="0" w:space="0" w:color="auto"/>
        <w:right w:val="none" w:sz="0" w:space="0" w:color="auto"/>
      </w:divBdr>
    </w:div>
    <w:div w:id="1589339456">
      <w:bodyDiv w:val="1"/>
      <w:marLeft w:val="0"/>
      <w:marRight w:val="0"/>
      <w:marTop w:val="0"/>
      <w:marBottom w:val="0"/>
      <w:divBdr>
        <w:top w:val="none" w:sz="0" w:space="0" w:color="auto"/>
        <w:left w:val="none" w:sz="0" w:space="0" w:color="auto"/>
        <w:bottom w:val="none" w:sz="0" w:space="0" w:color="auto"/>
        <w:right w:val="none" w:sz="0" w:space="0" w:color="auto"/>
      </w:divBdr>
    </w:div>
    <w:div w:id="1635215781">
      <w:bodyDiv w:val="1"/>
      <w:marLeft w:val="0"/>
      <w:marRight w:val="0"/>
      <w:marTop w:val="0"/>
      <w:marBottom w:val="0"/>
      <w:divBdr>
        <w:top w:val="none" w:sz="0" w:space="0" w:color="auto"/>
        <w:left w:val="none" w:sz="0" w:space="0" w:color="auto"/>
        <w:bottom w:val="none" w:sz="0" w:space="0" w:color="auto"/>
        <w:right w:val="none" w:sz="0" w:space="0" w:color="auto"/>
      </w:divBdr>
    </w:div>
    <w:div w:id="1652447017">
      <w:bodyDiv w:val="1"/>
      <w:marLeft w:val="0"/>
      <w:marRight w:val="0"/>
      <w:marTop w:val="0"/>
      <w:marBottom w:val="0"/>
      <w:divBdr>
        <w:top w:val="none" w:sz="0" w:space="0" w:color="auto"/>
        <w:left w:val="none" w:sz="0" w:space="0" w:color="auto"/>
        <w:bottom w:val="none" w:sz="0" w:space="0" w:color="auto"/>
        <w:right w:val="none" w:sz="0" w:space="0" w:color="auto"/>
      </w:divBdr>
    </w:div>
    <w:div w:id="1652561831">
      <w:bodyDiv w:val="1"/>
      <w:marLeft w:val="0"/>
      <w:marRight w:val="0"/>
      <w:marTop w:val="0"/>
      <w:marBottom w:val="0"/>
      <w:divBdr>
        <w:top w:val="none" w:sz="0" w:space="0" w:color="auto"/>
        <w:left w:val="none" w:sz="0" w:space="0" w:color="auto"/>
        <w:bottom w:val="none" w:sz="0" w:space="0" w:color="auto"/>
        <w:right w:val="none" w:sz="0" w:space="0" w:color="auto"/>
      </w:divBdr>
    </w:div>
    <w:div w:id="1668365388">
      <w:bodyDiv w:val="1"/>
      <w:marLeft w:val="0"/>
      <w:marRight w:val="0"/>
      <w:marTop w:val="0"/>
      <w:marBottom w:val="0"/>
      <w:divBdr>
        <w:top w:val="none" w:sz="0" w:space="0" w:color="auto"/>
        <w:left w:val="none" w:sz="0" w:space="0" w:color="auto"/>
        <w:bottom w:val="none" w:sz="0" w:space="0" w:color="auto"/>
        <w:right w:val="none" w:sz="0" w:space="0" w:color="auto"/>
      </w:divBdr>
    </w:div>
    <w:div w:id="1676684930">
      <w:bodyDiv w:val="1"/>
      <w:marLeft w:val="0"/>
      <w:marRight w:val="0"/>
      <w:marTop w:val="0"/>
      <w:marBottom w:val="0"/>
      <w:divBdr>
        <w:top w:val="none" w:sz="0" w:space="0" w:color="auto"/>
        <w:left w:val="none" w:sz="0" w:space="0" w:color="auto"/>
        <w:bottom w:val="none" w:sz="0" w:space="0" w:color="auto"/>
        <w:right w:val="none" w:sz="0" w:space="0" w:color="auto"/>
      </w:divBdr>
    </w:div>
    <w:div w:id="1709179511">
      <w:bodyDiv w:val="1"/>
      <w:marLeft w:val="0"/>
      <w:marRight w:val="0"/>
      <w:marTop w:val="0"/>
      <w:marBottom w:val="0"/>
      <w:divBdr>
        <w:top w:val="none" w:sz="0" w:space="0" w:color="auto"/>
        <w:left w:val="none" w:sz="0" w:space="0" w:color="auto"/>
        <w:bottom w:val="none" w:sz="0" w:space="0" w:color="auto"/>
        <w:right w:val="none" w:sz="0" w:space="0" w:color="auto"/>
      </w:divBdr>
    </w:div>
    <w:div w:id="1926644065">
      <w:bodyDiv w:val="1"/>
      <w:marLeft w:val="0"/>
      <w:marRight w:val="0"/>
      <w:marTop w:val="0"/>
      <w:marBottom w:val="0"/>
      <w:divBdr>
        <w:top w:val="none" w:sz="0" w:space="0" w:color="auto"/>
        <w:left w:val="none" w:sz="0" w:space="0" w:color="auto"/>
        <w:bottom w:val="none" w:sz="0" w:space="0" w:color="auto"/>
        <w:right w:val="none" w:sz="0" w:space="0" w:color="auto"/>
      </w:divBdr>
    </w:div>
    <w:div w:id="2026246563">
      <w:bodyDiv w:val="1"/>
      <w:marLeft w:val="0"/>
      <w:marRight w:val="0"/>
      <w:marTop w:val="0"/>
      <w:marBottom w:val="0"/>
      <w:divBdr>
        <w:top w:val="none" w:sz="0" w:space="0" w:color="auto"/>
        <w:left w:val="none" w:sz="0" w:space="0" w:color="auto"/>
        <w:bottom w:val="none" w:sz="0" w:space="0" w:color="auto"/>
        <w:right w:val="none" w:sz="0" w:space="0" w:color="auto"/>
      </w:divBdr>
      <w:divsChild>
        <w:div w:id="276572375">
          <w:marLeft w:val="1080"/>
          <w:marRight w:val="0"/>
          <w:marTop w:val="100"/>
          <w:marBottom w:val="360"/>
          <w:divBdr>
            <w:top w:val="none" w:sz="0" w:space="0" w:color="auto"/>
            <w:left w:val="none" w:sz="0" w:space="0" w:color="auto"/>
            <w:bottom w:val="none" w:sz="0" w:space="0" w:color="auto"/>
            <w:right w:val="none" w:sz="0" w:space="0" w:color="auto"/>
          </w:divBdr>
        </w:div>
        <w:div w:id="755519716">
          <w:marLeft w:val="1080"/>
          <w:marRight w:val="0"/>
          <w:marTop w:val="100"/>
          <w:marBottom w:val="360"/>
          <w:divBdr>
            <w:top w:val="none" w:sz="0" w:space="0" w:color="auto"/>
            <w:left w:val="none" w:sz="0" w:space="0" w:color="auto"/>
            <w:bottom w:val="none" w:sz="0" w:space="0" w:color="auto"/>
            <w:right w:val="none" w:sz="0" w:space="0" w:color="auto"/>
          </w:divBdr>
        </w:div>
        <w:div w:id="1658413389">
          <w:marLeft w:val="1080"/>
          <w:marRight w:val="0"/>
          <w:marTop w:val="100"/>
          <w:marBottom w:val="3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EN/ALL/?uri=CELEX:52023SC0339" TargetMode="External"/><Relationship Id="rId13" Type="http://schemas.openxmlformats.org/officeDocument/2006/relationships/hyperlink" Target="https://eur-lex.europa.eu/legal-content/IT/TXT/PDF/?uri=CELEX:52021DC0082&amp;from=EN" TargetMode="External"/><Relationship Id="rId18" Type="http://schemas.openxmlformats.org/officeDocument/2006/relationships/hyperlink" Target="https://eur-lex.europa.eu/legal-content/IT/TXT/?uri=CELEX%3A52023PC0416" TargetMode="External"/><Relationship Id="rId26" Type="http://schemas.openxmlformats.org/officeDocument/2006/relationships/hyperlink" Target="https://eur-lex.europa.eu/legal-content/IT/TXT/?uri=CELEX%3A52023DC0102" TargetMode="External"/><Relationship Id="rId39" Type="http://schemas.openxmlformats.org/officeDocument/2006/relationships/hyperlink" Target="https://www.ecb.europa.eu/pub/economic-bulletin/focus/2023/html/ecb.ebbox202306_05~f5ec994b9e.it.html" TargetMode="External"/><Relationship Id="rId3" Type="http://schemas.openxmlformats.org/officeDocument/2006/relationships/hyperlink" Target="https://www.eea.europa.eu/publications/european-climate-risk-assessment" TargetMode="External"/><Relationship Id="rId21" Type="http://schemas.openxmlformats.org/officeDocument/2006/relationships/hyperlink" Target="https://climate-risk-dashboard.climateanalytics.org/" TargetMode="External"/><Relationship Id="rId34" Type="http://schemas.openxmlformats.org/officeDocument/2006/relationships/hyperlink" Target="https://eurocodes.jrc.ec.europa.eu/2nd-generation/second-generation-eurocodes-what-new" TargetMode="External"/><Relationship Id="rId42" Type="http://schemas.openxmlformats.org/officeDocument/2006/relationships/hyperlink" Target="https://eur-lex.europa.eu/legal-content/IT/TXT/?uri=COM%3A2023%3A535%3AFIN" TargetMode="External"/><Relationship Id="rId7" Type="http://schemas.openxmlformats.org/officeDocument/2006/relationships/hyperlink" Target="https://www.consilium.europa.eu/media/67645/20231027-european-council-conclusions-it.pdf" TargetMode="External"/><Relationship Id="rId12" Type="http://schemas.openxmlformats.org/officeDocument/2006/relationships/hyperlink" Target="https://eur-lex.europa.eu/legal-content/IT/TXT/?uri=CELEX%3A52023JC0019" TargetMode="External"/><Relationship Id="rId17" Type="http://schemas.openxmlformats.org/officeDocument/2006/relationships/hyperlink" Target="https://eur-lex.europa.eu/legal-content/IT/TXT/?uri=COM%3A2023%3A728%3AFIN" TargetMode="External"/><Relationship Id="rId25" Type="http://schemas.openxmlformats.org/officeDocument/2006/relationships/hyperlink" Target="https://www.ipcc.ch/assessment-report/ar6/" TargetMode="External"/><Relationship Id="rId33" Type="http://schemas.openxmlformats.org/officeDocument/2006/relationships/hyperlink" Target="https://osha.europa.eu/it/oshnews/heat-work-guidance-workplaces" TargetMode="External"/><Relationship Id="rId38" Type="http://schemas.openxmlformats.org/officeDocument/2006/relationships/hyperlink" Target="https://publications.jrc.ec.europa.eu/repository/handle/JRC136274" TargetMode="External"/><Relationship Id="rId2" Type="http://schemas.openxmlformats.org/officeDocument/2006/relationships/hyperlink" Target="https://climate.copernicus.eu/copernicus-2023-hottest-year-record" TargetMode="External"/><Relationship Id="rId16" Type="http://schemas.openxmlformats.org/officeDocument/2006/relationships/hyperlink" Target="https://www.wekeo.eu/" TargetMode="External"/><Relationship Id="rId20" Type="http://schemas.openxmlformats.org/officeDocument/2006/relationships/hyperlink" Target="https://drmkc.jrc.ec.europa.eu/risk-data-hub" TargetMode="External"/><Relationship Id="rId29" Type="http://schemas.openxmlformats.org/officeDocument/2006/relationships/hyperlink" Target="https://health.ec.europa.eu/non-communicable-diseases/healthier-together-eu-non-communicable-diseases-initiative_en?prefLang=it&amp;etrans=it" TargetMode="External"/><Relationship Id="rId41" Type="http://schemas.openxmlformats.org/officeDocument/2006/relationships/hyperlink" Target="https://eur-lex.europa.eu/legal-content/IT/TXT/?uri=CELEX%3A52023JC0020" TargetMode="External"/><Relationship Id="rId1" Type="http://schemas.openxmlformats.org/officeDocument/2006/relationships/hyperlink" Target="https://eur-lex.europa.eu/legal-content/IT/TXT/?uri=COM%3A2024%3A63%3AFIN" TargetMode="External"/><Relationship Id="rId6" Type="http://schemas.openxmlformats.org/officeDocument/2006/relationships/hyperlink" Target="https://www.europarl.europa.eu/doceo/document/TA-9-2022-0330_IT.html" TargetMode="External"/><Relationship Id="rId11" Type="http://schemas.openxmlformats.org/officeDocument/2006/relationships/hyperlink" Target="https://civil-protection-humanitarian-aid.ec.europa.eu/what/civil-protection/european-disaster-risk-management_en?prefLang=it&amp;etrans=it" TargetMode="External"/><Relationship Id="rId24" Type="http://schemas.openxmlformats.org/officeDocument/2006/relationships/hyperlink" Target="https://eur-lex.europa.eu/legal-content/IT/TXT/?uri=CELEX:52023DC0061" TargetMode="External"/><Relationship Id="rId32" Type="http://schemas.openxmlformats.org/officeDocument/2006/relationships/hyperlink" Target="https://www.cop28.com/en/cop28-uae-declaration-on-climate-and-health" TargetMode="External"/><Relationship Id="rId37" Type="http://schemas.openxmlformats.org/officeDocument/2006/relationships/hyperlink" Target="https://eur-lex.europa.eu/legal-content/IT/TXT/?uri=CELEX%3A52022DC0409" TargetMode="External"/><Relationship Id="rId40" Type="http://schemas.openxmlformats.org/officeDocument/2006/relationships/hyperlink" Target="https://eur-lex.europa.eu/legal-content/IT/ALL/?uri=CELEX%3A52020DC0103" TargetMode="External"/><Relationship Id="rId5" Type="http://schemas.openxmlformats.org/officeDocument/2006/relationships/hyperlink" Target="https://www.ecb.europa.eu/press/pr/date/2023/html/ecb.pr231218_1~6b3bea9532.it.html" TargetMode="External"/><Relationship Id="rId15" Type="http://schemas.openxmlformats.org/officeDocument/2006/relationships/hyperlink" Target="https://dataspace.copernicus.eu/" TargetMode="External"/><Relationship Id="rId23" Type="http://schemas.openxmlformats.org/officeDocument/2006/relationships/hyperlink" Target="https://new-european-bauhaus.europa.eu/get-involved/use-compass_en?prefLang=it&amp;etrans=it" TargetMode="External"/><Relationship Id="rId28" Type="http://schemas.openxmlformats.org/officeDocument/2006/relationships/hyperlink" Target="https://www.exhaustion.eu/" TargetMode="External"/><Relationship Id="rId36" Type="http://schemas.openxmlformats.org/officeDocument/2006/relationships/hyperlink" Target="http://www.tradeministersonclimate.org/" TargetMode="External"/><Relationship Id="rId10" Type="http://schemas.openxmlformats.org/officeDocument/2006/relationships/hyperlink" Target="https://commission.europa.eu/energy-climate-change-environment/implementation-eu-countries/energy-and-climate-governance-and-reporting/national-energy-and-climate-plans_en?prefLang=it&amp;etrans=it" TargetMode="External"/><Relationship Id="rId19" Type="http://schemas.openxmlformats.org/officeDocument/2006/relationships/hyperlink" Target="https://climate-adapt.eea.europa.eu/it/knowledge/european-climate-data-explorer/european-climate-data-explorer-intro?set_language=it" TargetMode="External"/><Relationship Id="rId31" Type="http://schemas.openxmlformats.org/officeDocument/2006/relationships/hyperlink" Target="https://www.who.int/europe/publications/i/item/EURO-Budapest2023-6" TargetMode="External"/><Relationship Id="rId4" Type="http://schemas.openxmlformats.org/officeDocument/2006/relationships/hyperlink" Target="https://www.weforum.org/publications/global-risks-report-2024/" TargetMode="External"/><Relationship Id="rId9" Type="http://schemas.openxmlformats.org/officeDocument/2006/relationships/hyperlink" Target="https://climate.ec.europa.eu/system/files/2023-12/SWD_2023_932_1_EN.pdf" TargetMode="External"/><Relationship Id="rId14" Type="http://schemas.openxmlformats.org/officeDocument/2006/relationships/hyperlink" Target="https://climate.ec.europa.eu/document/download/768bc81f-5f48-48e3-b4d4-e02ba09faca1_en" TargetMode="External"/><Relationship Id="rId22" Type="http://schemas.openxmlformats.org/officeDocument/2006/relationships/hyperlink" Target="https://eur-lex.europa.eu/legal-content/IT/ALL/?uri=COM:2023:667:FIN" TargetMode="External"/><Relationship Id="rId27" Type="http://schemas.openxmlformats.org/officeDocument/2006/relationships/hyperlink" Target="https://research-and-innovation.ec.europa.eu/funding/funding-opportunities/funding-programmes-and-open-calls/horizon-europe/eu-missions-horizon-europe/restore-our-ocean-and-waters_en?prefLang=it&amp;etrans=it" TargetMode="External"/><Relationship Id="rId30" Type="http://schemas.openxmlformats.org/officeDocument/2006/relationships/hyperlink" Target="https://health.ec.europa.eu/publications/comprehensive-approach-mental-health_en?prefLang=it&amp;etrans=it" TargetMode="External"/><Relationship Id="rId35" Type="http://schemas.openxmlformats.org/officeDocument/2006/relationships/hyperlink" Target="https://climate.ec.europa.eu/document/download/768bc81f-5f48-48e3-b4d4-e02ba09faca1_en" TargetMode="External"/><Relationship Id="rId43" Type="http://schemas.openxmlformats.org/officeDocument/2006/relationships/hyperlink" Target="https://eur-lex.europa.eu/legal-content/IT/TXT/?uri=CELEX%3A52023PC02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33e07890-6196-4e26-9dd2-53178dae8e48">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TaxCatchAll xmlns="faa54b14-608b-44ba-8621-4287d9574b2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CFDF3D715AA394A9B15E0E0FAA07E37" ma:contentTypeVersion="19" ma:contentTypeDescription="Create a new document." ma:contentTypeScope="" ma:versionID="5bf29b2a3c6ecafbb31bdd03e5262a3d">
  <xsd:schema xmlns:xsd="http://www.w3.org/2001/XMLSchema" xmlns:xs="http://www.w3.org/2001/XMLSchema" xmlns:p="http://schemas.microsoft.com/office/2006/metadata/properties" xmlns:ns1="http://schemas.microsoft.com/sharepoint/v3" xmlns:ns2="33e07890-6196-4e26-9dd2-53178dae8e48" xmlns:ns3="faa54b14-608b-44ba-8621-4287d9574b27" targetNamespace="http://schemas.microsoft.com/office/2006/metadata/properties" ma:root="true" ma:fieldsID="cc6c822d7742d136d6b2ce621399e9cf" ns1:_="" ns2:_="" ns3:_="">
    <xsd:import namespace="http://schemas.microsoft.com/sharepoint/v3"/>
    <xsd:import namespace="33e07890-6196-4e26-9dd2-53178dae8e48"/>
    <xsd:import namespace="faa54b14-608b-44ba-8621-4287d9574b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1:_ip_UnifiedCompliancePolicyProperties" minOccurs="0"/>
                <xsd:element ref="ns1:_ip_UnifiedCompliancePolicyUIAc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e07890-6196-4e26-9dd2-53178dae8e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a54b14-608b-44ba-8621-4287d9574b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e2d1171-1b20-46c7-b5af-210c5dce4f7c}" ma:internalName="TaxCatchAll" ma:showField="CatchAllData" ma:web="faa54b14-608b-44ba-8621-4287d9574b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FF0186-E0D7-4E5E-B46D-6F54AD0AB0DF}">
  <ds:schemaRefs>
    <ds:schemaRef ds:uri="http://schemas.microsoft.com/office/2006/metadata/properties"/>
    <ds:schemaRef ds:uri="http://schemas.microsoft.com/office/infopath/2007/PartnerControls"/>
    <ds:schemaRef ds:uri="http://schemas.microsoft.com/sharepoint/v3"/>
    <ds:schemaRef ds:uri="33e07890-6196-4e26-9dd2-53178dae8e48"/>
    <ds:schemaRef ds:uri="faa54b14-608b-44ba-8621-4287d9574b27"/>
  </ds:schemaRefs>
</ds:datastoreItem>
</file>

<file path=customXml/itemProps2.xml><?xml version="1.0" encoding="utf-8"?>
<ds:datastoreItem xmlns:ds="http://schemas.openxmlformats.org/officeDocument/2006/customXml" ds:itemID="{09ED45BD-9959-4C35-B33C-C6B8397C3E22}">
  <ds:schemaRefs>
    <ds:schemaRef ds:uri="http://schemas.microsoft.com/sharepoint/v3/contenttype/forms"/>
  </ds:schemaRefs>
</ds:datastoreItem>
</file>

<file path=customXml/itemProps3.xml><?xml version="1.0" encoding="utf-8"?>
<ds:datastoreItem xmlns:ds="http://schemas.openxmlformats.org/officeDocument/2006/customXml" ds:itemID="{FE6E9AAA-56B9-46EF-B05C-1F80F5D0FD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e07890-6196-4e26-9dd2-53178dae8e48"/>
    <ds:schemaRef ds:uri="faa54b14-608b-44ba-8621-4287d9574b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EDAC49-46E8-4617-A375-29642D783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11361</Words>
  <Characters>64759</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75969</CharactersWithSpaces>
  <SharedDoc>false</SharedDoc>
  <HLinks>
    <vt:vector size="264" baseType="variant">
      <vt:variant>
        <vt:i4>7208998</vt:i4>
      </vt:variant>
      <vt:variant>
        <vt:i4>132</vt:i4>
      </vt:variant>
      <vt:variant>
        <vt:i4>0</vt:i4>
      </vt:variant>
      <vt:variant>
        <vt:i4>5</vt:i4>
      </vt:variant>
      <vt:variant>
        <vt:lpwstr>https://eur-lex.europa.eu/legal-content/EN/TXT/?uri=CELEX%3A52023PC0240</vt:lpwstr>
      </vt:variant>
      <vt:variant>
        <vt:lpwstr/>
      </vt:variant>
      <vt:variant>
        <vt:i4>8257634</vt:i4>
      </vt:variant>
      <vt:variant>
        <vt:i4>129</vt:i4>
      </vt:variant>
      <vt:variant>
        <vt:i4>0</vt:i4>
      </vt:variant>
      <vt:variant>
        <vt:i4>5</vt:i4>
      </vt:variant>
      <vt:variant>
        <vt:lpwstr>https://eur-lex.europa.eu/legal-content/EN/TXT/?uri=COM%3A2023%3A535%3AFIN</vt:lpwstr>
      </vt:variant>
      <vt:variant>
        <vt:lpwstr/>
      </vt:variant>
      <vt:variant>
        <vt:i4>7471140</vt:i4>
      </vt:variant>
      <vt:variant>
        <vt:i4>126</vt:i4>
      </vt:variant>
      <vt:variant>
        <vt:i4>0</vt:i4>
      </vt:variant>
      <vt:variant>
        <vt:i4>5</vt:i4>
      </vt:variant>
      <vt:variant>
        <vt:lpwstr>https://eur-lex.europa.eu/legal-content/EN/TXT/?uri=CELEX%3A52023JC0020</vt:lpwstr>
      </vt:variant>
      <vt:variant>
        <vt:lpwstr/>
      </vt:variant>
      <vt:variant>
        <vt:i4>7536690</vt:i4>
      </vt:variant>
      <vt:variant>
        <vt:i4>123</vt:i4>
      </vt:variant>
      <vt:variant>
        <vt:i4>0</vt:i4>
      </vt:variant>
      <vt:variant>
        <vt:i4>5</vt:i4>
      </vt:variant>
      <vt:variant>
        <vt:lpwstr>https://eur-lex.europa.eu/legal-content/en/ALL/?uri=CELEX%3A52020DC0103</vt:lpwstr>
      </vt:variant>
      <vt:variant>
        <vt:lpwstr/>
      </vt:variant>
      <vt:variant>
        <vt:i4>3407966</vt:i4>
      </vt:variant>
      <vt:variant>
        <vt:i4>120</vt:i4>
      </vt:variant>
      <vt:variant>
        <vt:i4>0</vt:i4>
      </vt:variant>
      <vt:variant>
        <vt:i4>5</vt:i4>
      </vt:variant>
      <vt:variant>
        <vt:lpwstr>https://www.ecb.europa.eu/pub/economic-bulletin/focus/2023/html/ecb.ebbox202306_05~f5ec994b9e.en.html</vt:lpwstr>
      </vt:variant>
      <vt:variant>
        <vt:lpwstr/>
      </vt:variant>
      <vt:variant>
        <vt:i4>131136</vt:i4>
      </vt:variant>
      <vt:variant>
        <vt:i4>117</vt:i4>
      </vt:variant>
      <vt:variant>
        <vt:i4>0</vt:i4>
      </vt:variant>
      <vt:variant>
        <vt:i4>5</vt:i4>
      </vt:variant>
      <vt:variant>
        <vt:lpwstr>https://publications.jrc.ec.europa.eu/repository/handle/JRC136274</vt:lpwstr>
      </vt:variant>
      <vt:variant>
        <vt:lpwstr/>
      </vt:variant>
      <vt:variant>
        <vt:i4>8257569</vt:i4>
      </vt:variant>
      <vt:variant>
        <vt:i4>114</vt:i4>
      </vt:variant>
      <vt:variant>
        <vt:i4>0</vt:i4>
      </vt:variant>
      <vt:variant>
        <vt:i4>5</vt:i4>
      </vt:variant>
      <vt:variant>
        <vt:lpwstr>https://eur-lex.europa.eu/legal-content/EN/TXT/?uri=CELEX%3A52022DC0409</vt:lpwstr>
      </vt:variant>
      <vt:variant>
        <vt:lpwstr/>
      </vt:variant>
      <vt:variant>
        <vt:i4>3407975</vt:i4>
      </vt:variant>
      <vt:variant>
        <vt:i4>111</vt:i4>
      </vt:variant>
      <vt:variant>
        <vt:i4>0</vt:i4>
      </vt:variant>
      <vt:variant>
        <vt:i4>5</vt:i4>
      </vt:variant>
      <vt:variant>
        <vt:lpwstr>http://www.tradeministersonclimate.org/</vt:lpwstr>
      </vt:variant>
      <vt:variant>
        <vt:lpwstr/>
      </vt:variant>
      <vt:variant>
        <vt:i4>5767227</vt:i4>
      </vt:variant>
      <vt:variant>
        <vt:i4>108</vt:i4>
      </vt:variant>
      <vt:variant>
        <vt:i4>0</vt:i4>
      </vt:variant>
      <vt:variant>
        <vt:i4>5</vt:i4>
      </vt:variant>
      <vt:variant>
        <vt:lpwstr>https://climate.ec.europa.eu/document/download/768bc81f-5f48-48e3-b4d4-e02ba09faca1_en</vt:lpwstr>
      </vt:variant>
      <vt:variant>
        <vt:lpwstr/>
      </vt:variant>
      <vt:variant>
        <vt:i4>3014781</vt:i4>
      </vt:variant>
      <vt:variant>
        <vt:i4>105</vt:i4>
      </vt:variant>
      <vt:variant>
        <vt:i4>0</vt:i4>
      </vt:variant>
      <vt:variant>
        <vt:i4>5</vt:i4>
      </vt:variant>
      <vt:variant>
        <vt:lpwstr>https://eurocodes.jrc.ec.europa.eu/2nd-generation/second-generation-eurocodes-what-new</vt:lpwstr>
      </vt:variant>
      <vt:variant>
        <vt:lpwstr/>
      </vt:variant>
      <vt:variant>
        <vt:i4>6422573</vt:i4>
      </vt:variant>
      <vt:variant>
        <vt:i4>102</vt:i4>
      </vt:variant>
      <vt:variant>
        <vt:i4>0</vt:i4>
      </vt:variant>
      <vt:variant>
        <vt:i4>5</vt:i4>
      </vt:variant>
      <vt:variant>
        <vt:lpwstr>https://osha.europa.eu/en/oshnews/heat-work-guidance-workplaces</vt:lpwstr>
      </vt:variant>
      <vt:variant>
        <vt:lpwstr/>
      </vt:variant>
      <vt:variant>
        <vt:i4>1441862</vt:i4>
      </vt:variant>
      <vt:variant>
        <vt:i4>99</vt:i4>
      </vt:variant>
      <vt:variant>
        <vt:i4>0</vt:i4>
      </vt:variant>
      <vt:variant>
        <vt:i4>5</vt:i4>
      </vt:variant>
      <vt:variant>
        <vt:lpwstr>https://www.cop28.com/en/cop28-uae-declaration-on-climate-and-health</vt:lpwstr>
      </vt:variant>
      <vt:variant>
        <vt:lpwstr/>
      </vt:variant>
      <vt:variant>
        <vt:i4>4063335</vt:i4>
      </vt:variant>
      <vt:variant>
        <vt:i4>96</vt:i4>
      </vt:variant>
      <vt:variant>
        <vt:i4>0</vt:i4>
      </vt:variant>
      <vt:variant>
        <vt:i4>5</vt:i4>
      </vt:variant>
      <vt:variant>
        <vt:lpwstr>https://www.who.int/europe/publications/i/item/EURO-Budapest2023-6</vt:lpwstr>
      </vt:variant>
      <vt:variant>
        <vt:lpwstr/>
      </vt:variant>
      <vt:variant>
        <vt:i4>7274505</vt:i4>
      </vt:variant>
      <vt:variant>
        <vt:i4>93</vt:i4>
      </vt:variant>
      <vt:variant>
        <vt:i4>0</vt:i4>
      </vt:variant>
      <vt:variant>
        <vt:i4>5</vt:i4>
      </vt:variant>
      <vt:variant>
        <vt:lpwstr>https://health.ec.europa.eu/publications/comprehensive-approach-mental-health_en</vt:lpwstr>
      </vt:variant>
      <vt:variant>
        <vt:lpwstr/>
      </vt:variant>
      <vt:variant>
        <vt:i4>7012420</vt:i4>
      </vt:variant>
      <vt:variant>
        <vt:i4>90</vt:i4>
      </vt:variant>
      <vt:variant>
        <vt:i4>0</vt:i4>
      </vt:variant>
      <vt:variant>
        <vt:i4>5</vt:i4>
      </vt:variant>
      <vt:variant>
        <vt:lpwstr>https://health.ec.europa.eu/non-communicable-diseases/healthier-together-eu-non-communicable-diseases-initiative_en</vt:lpwstr>
      </vt:variant>
      <vt:variant>
        <vt:lpwstr/>
      </vt:variant>
      <vt:variant>
        <vt:i4>7274616</vt:i4>
      </vt:variant>
      <vt:variant>
        <vt:i4>87</vt:i4>
      </vt:variant>
      <vt:variant>
        <vt:i4>0</vt:i4>
      </vt:variant>
      <vt:variant>
        <vt:i4>5</vt:i4>
      </vt:variant>
      <vt:variant>
        <vt:lpwstr>https://www.exhaustion.eu/</vt:lpwstr>
      </vt:variant>
      <vt:variant>
        <vt:lpwstr/>
      </vt:variant>
      <vt:variant>
        <vt:i4>1704042</vt:i4>
      </vt:variant>
      <vt:variant>
        <vt:i4>84</vt:i4>
      </vt:variant>
      <vt:variant>
        <vt:i4>0</vt:i4>
      </vt:variant>
      <vt:variant>
        <vt:i4>5</vt:i4>
      </vt:variant>
      <vt:variant>
        <vt:lpwstr>https://research-and-innovation.ec.europa.eu/funding/funding-opportunities/funding-programmes-and-open-calls/horizon-europe/eu-missions-horizon-europe/restore-our-ocean-and-waters_en</vt:lpwstr>
      </vt:variant>
      <vt:variant>
        <vt:lpwstr/>
      </vt:variant>
      <vt:variant>
        <vt:i4>8257573</vt:i4>
      </vt:variant>
      <vt:variant>
        <vt:i4>81</vt:i4>
      </vt:variant>
      <vt:variant>
        <vt:i4>0</vt:i4>
      </vt:variant>
      <vt:variant>
        <vt:i4>5</vt:i4>
      </vt:variant>
      <vt:variant>
        <vt:lpwstr>https://eur-lex.europa.eu/legal-content/EN/TXT/?uri=CELEX%3A52023DC0102</vt:lpwstr>
      </vt:variant>
      <vt:variant>
        <vt:lpwstr/>
      </vt:variant>
      <vt:variant>
        <vt:i4>2359411</vt:i4>
      </vt:variant>
      <vt:variant>
        <vt:i4>78</vt:i4>
      </vt:variant>
      <vt:variant>
        <vt:i4>0</vt:i4>
      </vt:variant>
      <vt:variant>
        <vt:i4>5</vt:i4>
      </vt:variant>
      <vt:variant>
        <vt:lpwstr>https://www.worldbank.org/en/publication/changing-wealth-of-nations</vt:lpwstr>
      </vt:variant>
      <vt:variant>
        <vt:lpwstr/>
      </vt:variant>
      <vt:variant>
        <vt:i4>6357098</vt:i4>
      </vt:variant>
      <vt:variant>
        <vt:i4>72</vt:i4>
      </vt:variant>
      <vt:variant>
        <vt:i4>0</vt:i4>
      </vt:variant>
      <vt:variant>
        <vt:i4>5</vt:i4>
      </vt:variant>
      <vt:variant>
        <vt:lpwstr>https://www.ipcc.ch/assessment-report/ar6/</vt:lpwstr>
      </vt:variant>
      <vt:variant>
        <vt:lpwstr/>
      </vt:variant>
      <vt:variant>
        <vt:i4>393239</vt:i4>
      </vt:variant>
      <vt:variant>
        <vt:i4>69</vt:i4>
      </vt:variant>
      <vt:variant>
        <vt:i4>0</vt:i4>
      </vt:variant>
      <vt:variant>
        <vt:i4>5</vt:i4>
      </vt:variant>
      <vt:variant>
        <vt:lpwstr>https://eur-lex.europa.eu/legal-content/EN/TXT/?uri=CELEX:52023DC0061</vt:lpwstr>
      </vt:variant>
      <vt:variant>
        <vt:lpwstr/>
      </vt:variant>
      <vt:variant>
        <vt:i4>5767203</vt:i4>
      </vt:variant>
      <vt:variant>
        <vt:i4>66</vt:i4>
      </vt:variant>
      <vt:variant>
        <vt:i4>0</vt:i4>
      </vt:variant>
      <vt:variant>
        <vt:i4>5</vt:i4>
      </vt:variant>
      <vt:variant>
        <vt:lpwstr>https://new-european-bauhaus.europa.eu/get-involved/use-compass_en</vt:lpwstr>
      </vt:variant>
      <vt:variant>
        <vt:lpwstr/>
      </vt:variant>
      <vt:variant>
        <vt:i4>786496</vt:i4>
      </vt:variant>
      <vt:variant>
        <vt:i4>63</vt:i4>
      </vt:variant>
      <vt:variant>
        <vt:i4>0</vt:i4>
      </vt:variant>
      <vt:variant>
        <vt:i4>5</vt:i4>
      </vt:variant>
      <vt:variant>
        <vt:lpwstr>https://eur-lex.europa.eu/legal-content/EN/ALL/?uri=COM:2023:667:FIN</vt:lpwstr>
      </vt:variant>
      <vt:variant>
        <vt:lpwstr/>
      </vt:variant>
      <vt:variant>
        <vt:i4>5439558</vt:i4>
      </vt:variant>
      <vt:variant>
        <vt:i4>60</vt:i4>
      </vt:variant>
      <vt:variant>
        <vt:i4>0</vt:i4>
      </vt:variant>
      <vt:variant>
        <vt:i4>5</vt:i4>
      </vt:variant>
      <vt:variant>
        <vt:lpwstr>https://climate-risk-dashboard.climateanalytics.org/</vt:lpwstr>
      </vt:variant>
      <vt:variant>
        <vt:lpwstr/>
      </vt:variant>
      <vt:variant>
        <vt:i4>196668</vt:i4>
      </vt:variant>
      <vt:variant>
        <vt:i4>57</vt:i4>
      </vt:variant>
      <vt:variant>
        <vt:i4>0</vt:i4>
      </vt:variant>
      <vt:variant>
        <vt:i4>5</vt:i4>
      </vt:variant>
      <vt:variant>
        <vt:lpwstr>https://drmkc.jrc.ec.europa.eu/risk-data-hub</vt:lpwstr>
      </vt:variant>
      <vt:variant>
        <vt:lpwstr>/</vt:lpwstr>
      </vt:variant>
      <vt:variant>
        <vt:i4>5046346</vt:i4>
      </vt:variant>
      <vt:variant>
        <vt:i4>54</vt:i4>
      </vt:variant>
      <vt:variant>
        <vt:i4>0</vt:i4>
      </vt:variant>
      <vt:variant>
        <vt:i4>5</vt:i4>
      </vt:variant>
      <vt:variant>
        <vt:lpwstr>https://climate-adapt.eea.europa.eu/en/knowledge/european-climate-data-explorer/</vt:lpwstr>
      </vt:variant>
      <vt:variant>
        <vt:lpwstr/>
      </vt:variant>
      <vt:variant>
        <vt:i4>7012384</vt:i4>
      </vt:variant>
      <vt:variant>
        <vt:i4>51</vt:i4>
      </vt:variant>
      <vt:variant>
        <vt:i4>0</vt:i4>
      </vt:variant>
      <vt:variant>
        <vt:i4>5</vt:i4>
      </vt:variant>
      <vt:variant>
        <vt:lpwstr>https://eur-lex.europa.eu/legal-content/EN/TXT/?uri=CELEX%3A52023PC0416</vt:lpwstr>
      </vt:variant>
      <vt:variant>
        <vt:lpwstr/>
      </vt:variant>
      <vt:variant>
        <vt:i4>7405667</vt:i4>
      </vt:variant>
      <vt:variant>
        <vt:i4>48</vt:i4>
      </vt:variant>
      <vt:variant>
        <vt:i4>0</vt:i4>
      </vt:variant>
      <vt:variant>
        <vt:i4>5</vt:i4>
      </vt:variant>
      <vt:variant>
        <vt:lpwstr>https://eur-lex.europa.eu/legal-content/EN/TXT/?uri=COM%3A2023%3A728%3AFIN</vt:lpwstr>
      </vt:variant>
      <vt:variant>
        <vt:lpwstr/>
      </vt:variant>
      <vt:variant>
        <vt:i4>1245270</vt:i4>
      </vt:variant>
      <vt:variant>
        <vt:i4>45</vt:i4>
      </vt:variant>
      <vt:variant>
        <vt:i4>0</vt:i4>
      </vt:variant>
      <vt:variant>
        <vt:i4>5</vt:i4>
      </vt:variant>
      <vt:variant>
        <vt:lpwstr>https://www.wekeo.eu/</vt:lpwstr>
      </vt:variant>
      <vt:variant>
        <vt:lpwstr/>
      </vt:variant>
      <vt:variant>
        <vt:i4>1179649</vt:i4>
      </vt:variant>
      <vt:variant>
        <vt:i4>42</vt:i4>
      </vt:variant>
      <vt:variant>
        <vt:i4>0</vt:i4>
      </vt:variant>
      <vt:variant>
        <vt:i4>5</vt:i4>
      </vt:variant>
      <vt:variant>
        <vt:lpwstr>https://dataspace.copernicus.eu/</vt:lpwstr>
      </vt:variant>
      <vt:variant>
        <vt:lpwstr/>
      </vt:variant>
      <vt:variant>
        <vt:i4>5767227</vt:i4>
      </vt:variant>
      <vt:variant>
        <vt:i4>39</vt:i4>
      </vt:variant>
      <vt:variant>
        <vt:i4>0</vt:i4>
      </vt:variant>
      <vt:variant>
        <vt:i4>5</vt:i4>
      </vt:variant>
      <vt:variant>
        <vt:lpwstr>https://climate.ec.europa.eu/document/download/768bc81f-5f48-48e3-b4d4-e02ba09faca1_en</vt:lpwstr>
      </vt:variant>
      <vt:variant>
        <vt:lpwstr/>
      </vt:variant>
      <vt:variant>
        <vt:i4>4325464</vt:i4>
      </vt:variant>
      <vt:variant>
        <vt:i4>36</vt:i4>
      </vt:variant>
      <vt:variant>
        <vt:i4>0</vt:i4>
      </vt:variant>
      <vt:variant>
        <vt:i4>5</vt:i4>
      </vt:variant>
      <vt:variant>
        <vt:lpwstr>https://eur-lex.europa.eu/legal-content/EN/TXT/PDF/?uri=CELEX:52021DC0082&amp;from=EN</vt:lpwstr>
      </vt:variant>
      <vt:variant>
        <vt:lpwstr/>
      </vt:variant>
      <vt:variant>
        <vt:i4>7405604</vt:i4>
      </vt:variant>
      <vt:variant>
        <vt:i4>33</vt:i4>
      </vt:variant>
      <vt:variant>
        <vt:i4>0</vt:i4>
      </vt:variant>
      <vt:variant>
        <vt:i4>5</vt:i4>
      </vt:variant>
      <vt:variant>
        <vt:lpwstr>https://eur-lex.europa.eu/legal-content/EN/TXT/?uri=CELEX%3A52023JC0019</vt:lpwstr>
      </vt:variant>
      <vt:variant>
        <vt:lpwstr/>
      </vt:variant>
      <vt:variant>
        <vt:i4>589885</vt:i4>
      </vt:variant>
      <vt:variant>
        <vt:i4>30</vt:i4>
      </vt:variant>
      <vt:variant>
        <vt:i4>0</vt:i4>
      </vt:variant>
      <vt:variant>
        <vt:i4>5</vt:i4>
      </vt:variant>
      <vt:variant>
        <vt:lpwstr>https://civil-protection-humanitarian-aid.ec.europa.eu/what/civil-protection/european-disaster-risk-management_en</vt:lpwstr>
      </vt:variant>
      <vt:variant>
        <vt:lpwstr/>
      </vt:variant>
      <vt:variant>
        <vt:i4>7798798</vt:i4>
      </vt:variant>
      <vt:variant>
        <vt:i4>27</vt:i4>
      </vt:variant>
      <vt:variant>
        <vt:i4>0</vt:i4>
      </vt:variant>
      <vt:variant>
        <vt:i4>5</vt:i4>
      </vt:variant>
      <vt:variant>
        <vt:lpwstr>https://commission.europa.eu/energy-climate-change-environment/implementation-eu-countries/energy-and-climate-governance-and-reporting/national-energy-and-climate-plans_en</vt:lpwstr>
      </vt:variant>
      <vt:variant>
        <vt:lpwstr/>
      </vt:variant>
      <vt:variant>
        <vt:i4>6226007</vt:i4>
      </vt:variant>
      <vt:variant>
        <vt:i4>24</vt:i4>
      </vt:variant>
      <vt:variant>
        <vt:i4>0</vt:i4>
      </vt:variant>
      <vt:variant>
        <vt:i4>5</vt:i4>
      </vt:variant>
      <vt:variant>
        <vt:lpwstr>https://climate.ec.europa.eu/system/files/2023-12/SWD_2023_932_1_EN.pdf</vt:lpwstr>
      </vt:variant>
      <vt:variant>
        <vt:lpwstr/>
      </vt:variant>
      <vt:variant>
        <vt:i4>1638400</vt:i4>
      </vt:variant>
      <vt:variant>
        <vt:i4>21</vt:i4>
      </vt:variant>
      <vt:variant>
        <vt:i4>0</vt:i4>
      </vt:variant>
      <vt:variant>
        <vt:i4>5</vt:i4>
      </vt:variant>
      <vt:variant>
        <vt:lpwstr>https://eur-lex.europa.eu/legal-content/EN/ALL/?uri=CELEX:52023SC0339</vt:lpwstr>
      </vt:variant>
      <vt:variant>
        <vt:lpwstr/>
      </vt:variant>
      <vt:variant>
        <vt:i4>131099</vt:i4>
      </vt:variant>
      <vt:variant>
        <vt:i4>18</vt:i4>
      </vt:variant>
      <vt:variant>
        <vt:i4>0</vt:i4>
      </vt:variant>
      <vt:variant>
        <vt:i4>5</vt:i4>
      </vt:variant>
      <vt:variant>
        <vt:lpwstr>https://www.consilium.europa.eu/media/67627/20241027-european-council-conclusions.pdf</vt:lpwstr>
      </vt:variant>
      <vt:variant>
        <vt:lpwstr/>
      </vt:variant>
      <vt:variant>
        <vt:i4>327717</vt:i4>
      </vt:variant>
      <vt:variant>
        <vt:i4>15</vt:i4>
      </vt:variant>
      <vt:variant>
        <vt:i4>0</vt:i4>
      </vt:variant>
      <vt:variant>
        <vt:i4>5</vt:i4>
      </vt:variant>
      <vt:variant>
        <vt:lpwstr>https://www.europarl.europa.eu/doceo/document/TA-9-2022-0330_EN.html</vt:lpwstr>
      </vt:variant>
      <vt:variant>
        <vt:lpwstr/>
      </vt:variant>
      <vt:variant>
        <vt:i4>6684748</vt:i4>
      </vt:variant>
      <vt:variant>
        <vt:i4>12</vt:i4>
      </vt:variant>
      <vt:variant>
        <vt:i4>0</vt:i4>
      </vt:variant>
      <vt:variant>
        <vt:i4>5</vt:i4>
      </vt:variant>
      <vt:variant>
        <vt:lpwstr>https://www.ecb.europa.eu/press/pr/date/2023/html/ecb.pr231218_1~6b3bea9532.en.html</vt:lpwstr>
      </vt:variant>
      <vt:variant>
        <vt:lpwstr/>
      </vt:variant>
      <vt:variant>
        <vt:i4>7077949</vt:i4>
      </vt:variant>
      <vt:variant>
        <vt:i4>9</vt:i4>
      </vt:variant>
      <vt:variant>
        <vt:i4>0</vt:i4>
      </vt:variant>
      <vt:variant>
        <vt:i4>5</vt:i4>
      </vt:variant>
      <vt:variant>
        <vt:lpwstr>https://www.weforum.org/publications/global-risks-report-2024/</vt:lpwstr>
      </vt:variant>
      <vt:variant>
        <vt:lpwstr/>
      </vt:variant>
      <vt:variant>
        <vt:i4>3342457</vt:i4>
      </vt:variant>
      <vt:variant>
        <vt:i4>6</vt:i4>
      </vt:variant>
      <vt:variant>
        <vt:i4>0</vt:i4>
      </vt:variant>
      <vt:variant>
        <vt:i4>5</vt:i4>
      </vt:variant>
      <vt:variant>
        <vt:lpwstr>https://www.eea.europa.eu/publications/european-climate-risk-assessment</vt:lpwstr>
      </vt:variant>
      <vt:variant>
        <vt:lpwstr/>
      </vt:variant>
      <vt:variant>
        <vt:i4>1835017</vt:i4>
      </vt:variant>
      <vt:variant>
        <vt:i4>3</vt:i4>
      </vt:variant>
      <vt:variant>
        <vt:i4>0</vt:i4>
      </vt:variant>
      <vt:variant>
        <vt:i4>5</vt:i4>
      </vt:variant>
      <vt:variant>
        <vt:lpwstr>https://climate.copernicus.eu/copernicus-2023-hottest-year-record</vt:lpwstr>
      </vt:variant>
      <vt:variant>
        <vt:lpwstr/>
      </vt:variant>
      <vt:variant>
        <vt:i4>5832730</vt:i4>
      </vt:variant>
      <vt:variant>
        <vt:i4>0</vt:i4>
      </vt:variant>
      <vt:variant>
        <vt:i4>0</vt:i4>
      </vt:variant>
      <vt:variant>
        <vt:i4>5</vt:i4>
      </vt:variant>
      <vt:variant>
        <vt:lpwstr>https://eur-lex.europa.eu/legal-content/EN/TXT/?uri=COM%3A2024%3A63%3AFIN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2024-03-11T21:25:00Z</dcterms:created>
  <dcterms:modified xsi:type="dcterms:W3CDTF">2024-03-18T22:02:00Z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ast edited using">
    <vt:lpwstr>LW 9.0, Build 20230317</vt:lpwstr>
  </property>
  <property fmtid="{D5CDD505-2E9C-101B-9397-08002B2CF9AE}" pid="4" name="MSIP_Label_6bd9ddd1-4d20-43f6-abfa-fc3c07406f94_Name">
    <vt:lpwstr>Commission Use</vt:lpwstr>
  </property>
  <property fmtid="{D5CDD505-2E9C-101B-9397-08002B2CF9AE}" pid="5" name="Part">
    <vt:lpwstr>1</vt:lpwstr>
  </property>
  <property fmtid="{D5CDD505-2E9C-101B-9397-08002B2CF9AE}" pid="6" name="MediaServiceImageTags">
    <vt:lpwstr/>
  </property>
  <property fmtid="{D5CDD505-2E9C-101B-9397-08002B2CF9AE}" pid="7" name="ContentTypeId">
    <vt:lpwstr>0x010100ECFDF3D715AA394A9B15E0E0FAA07E37</vt:lpwstr>
  </property>
  <property fmtid="{D5CDD505-2E9C-101B-9397-08002B2CF9AE}" pid="8" name="MSIP_Label_6bd9ddd1-4d20-43f6-abfa-fc3c07406f94_ContentBits">
    <vt:lpwstr>0</vt:lpwstr>
  </property>
  <property fmtid="{D5CDD505-2E9C-101B-9397-08002B2CF9AE}" pid="9" name="CPTemplateID">
    <vt:lpwstr>CP-014</vt:lpwstr>
  </property>
  <property fmtid="{D5CDD505-2E9C-101B-9397-08002B2CF9AE}" pid="10" name="MSIP_Label_6bd9ddd1-4d20-43f6-abfa-fc3c07406f94_SiteId">
    <vt:lpwstr>b24c8b06-522c-46fe-9080-70926f8dddb1</vt:lpwstr>
  </property>
  <property fmtid="{D5CDD505-2E9C-101B-9397-08002B2CF9AE}" pid="11" name="MSIP_Label_6bd9ddd1-4d20-43f6-abfa-fc3c07406f94_Method">
    <vt:lpwstr>Standard</vt:lpwstr>
  </property>
  <property fmtid="{D5CDD505-2E9C-101B-9397-08002B2CF9AE}" pid="12" name="MSIP_Label_6bd9ddd1-4d20-43f6-abfa-fc3c07406f94_Enabled">
    <vt:lpwstr>true</vt:lpwstr>
  </property>
  <property fmtid="{D5CDD505-2E9C-101B-9397-08002B2CF9AE}" pid="13" name="Total parts">
    <vt:lpwstr>1</vt:lpwstr>
  </property>
  <property fmtid="{D5CDD505-2E9C-101B-9397-08002B2CF9AE}" pid="14" name="MSIP_Label_6bd9ddd1-4d20-43f6-abfa-fc3c07406f94_SetDate">
    <vt:lpwstr>2024-02-09T06:41:38Z</vt:lpwstr>
  </property>
  <property fmtid="{D5CDD505-2E9C-101B-9397-08002B2CF9AE}" pid="15" name="Level of sensitivity">
    <vt:lpwstr>Standard treatment</vt:lpwstr>
  </property>
  <property fmtid="{D5CDD505-2E9C-101B-9397-08002B2CF9AE}" pid="16" name="MSIP_Label_6bd9ddd1-4d20-43f6-abfa-fc3c07406f94_ActionId">
    <vt:lpwstr>823e5efc-0c59-42b9-b19c-7cfeca294b5c</vt:lpwstr>
  </property>
</Properties>
</file>